
<file path=[Content_Types].xml><?xml version="1.0" encoding="utf-8"?>
<Types xmlns="http://schemas.openxmlformats.org/package/2006/content-types">
  <Override PartName="/word/charts/chart10.xml" ContentType="application/vnd.openxmlformats-officedocument.drawingml.chart+xml"/>
  <Override PartName="/word/activeX/activeX8.xml" ContentType="application/vnd.ms-office.activeX+xml"/>
  <Override PartName="/word/activeX/activeX36.bin" ContentType="application/vnd.ms-office.activeX"/>
  <Override PartName="/customXml/itemProps1.xml" ContentType="application/vnd.openxmlformats-officedocument.customXmlProperties+xml"/>
  <Override PartName="/word/activeX/activeX14.bin" ContentType="application/vnd.ms-office.activeX"/>
  <Override PartName="/word/activeX/activeX25.bin" ContentType="application/vnd.ms-office.activeX"/>
  <Override PartName="/word/activeX/activeX4.xml" ContentType="application/vnd.ms-office.activeX+xml"/>
  <Override PartName="/word/activeX/activeX19.xml" ContentType="application/vnd.ms-office.activeX+xml"/>
  <Override PartName="/word/activeX/activeX32.bin" ContentType="application/vnd.ms-office.activeX"/>
  <Override PartName="/word/activeX/activeX37.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activeX/activeX2.xml" ContentType="application/vnd.ms-office.activeX+xml"/>
  <Override PartName="/word/activeX/activeX10.bin" ContentType="application/vnd.ms-office.activeX"/>
  <Override PartName="/word/activeX/activeX17.xml" ContentType="application/vnd.ms-office.activeX+xml"/>
  <Override PartName="/word/activeX/activeX21.bin" ContentType="application/vnd.ms-office.activeX"/>
  <Override PartName="/word/activeX/activeX26.xml" ContentType="application/vnd.ms-office.activeX+xml"/>
  <Override PartName="/word/activeX/activeX30.bin" ContentType="application/vnd.ms-office.activeX"/>
  <Override PartName="/word/activeX/activeX35.xml" ContentType="application/vnd.ms-office.activeX+xml"/>
  <Override PartName="/word/charts/chart7.xml" ContentType="application/vnd.openxmlformats-officedocument.drawingml.chart+xml"/>
  <Override PartName="/word/footer3.xml" ContentType="application/vnd.openxmlformats-officedocument.wordprocessingml.footer+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charts/chart5.xml" ContentType="application/vnd.openxmlformats-officedocument.drawingml.chart+xml"/>
  <Override PartName="/word/footer1.xml" ContentType="application/vnd.openxmlformats-officedocument.wordprocessingml.footer+xml"/>
  <Override PartName="/word/header4.xml" ContentType="application/vnd.openxmlformats-officedocument.wordprocessingml.header+xml"/>
  <Override PartName="/word/activeX/activeX8.bin" ContentType="application/vnd.ms-office.activeX"/>
  <Override PartName="/word/activeX/activeX13.xml" ContentType="application/vnd.ms-office.activeX+xml"/>
  <Override PartName="/word/activeX/activeX22.xml" ContentType="application/vnd.ms-office.activeX+xml"/>
  <Override PartName="/word/activeX/activeX31.xml" ContentType="application/vnd.ms-office.activeX+xml"/>
  <Default Extension="xlsx" ContentType="application/vnd.openxmlformats-officedocument.spreadsheetml.sheet"/>
  <Override PartName="/word/charts/chart3.xml" ContentType="application/vnd.openxmlformats-officedocument.drawingml.chart+xml"/>
  <Override PartName="/word/header2.xml" ContentType="application/vnd.openxmlformats-officedocument.wordprocessingml.header+xml"/>
  <Override PartName="/word/activeX/activeX6.bin" ContentType="application/vnd.ms-office.activeX"/>
  <Override PartName="/word/activeX/activeX11.xml" ContentType="application/vnd.ms-office.activeX+xml"/>
  <Override PartName="/word/activeX/activeX20.xml" ContentType="application/vnd.ms-office.activeX+xml"/>
  <Override PartName="/word/charts/chart1.xml" ContentType="application/vnd.openxmlformats-officedocument.drawingml.chart+xml"/>
  <Override PartName="/word/activeX/activeX4.bin" ContentType="application/vnd.ms-office.activeX"/>
  <Override PartName="/word/activeX/activeX9.xml" ContentType="application/vnd.ms-office.activeX+xml"/>
  <Override PartName="/word/activeX/activeX19.bin" ContentType="application/vnd.ms-office.activeX"/>
  <Override PartName="/word/activeX/activeX28.bin" ContentType="application/vnd.ms-office.activeX"/>
  <Override PartName="/word/activeX/activeX37.bin" ContentType="application/vnd.ms-office.activeX"/>
  <Default Extension="png" ContentType="image/png"/>
  <Default Extension="bin" ContentType="application/vnd.openxmlformats-officedocument.oleObject"/>
  <Override PartName="/word/activeX/activeX2.bin" ContentType="application/vnd.ms-office.activeX"/>
  <Override PartName="/word/activeX/activeX7.xml" ContentType="application/vnd.ms-office.activeX+xml"/>
  <Override PartName="/word/activeX/activeX17.bin" ContentType="application/vnd.ms-office.activeX"/>
  <Override PartName="/word/activeX/activeX26.bin" ContentType="application/vnd.ms-office.activeX"/>
  <Override PartName="/word/activeX/activeX35.bin" ContentType="application/vnd.ms-office.activeX"/>
  <Override PartName="/word/activeX/activeX5.xml" ContentType="application/vnd.ms-office.activeX+xml"/>
  <Override PartName="/word/activeX/activeX15.bin" ContentType="application/vnd.ms-office.activeX"/>
  <Override PartName="/word/activeX/activeX24.bin" ContentType="application/vnd.ms-office.activeX"/>
  <Override PartName="/word/activeX/activeX33.bin" ContentType="application/vnd.ms-office.activeX"/>
  <Override PartName="/word/activeX/activeX3.xml" ContentType="application/vnd.ms-office.activeX+xml"/>
  <Override PartName="/word/activeX/activeX13.bin" ContentType="application/vnd.ms-office.activeX"/>
  <Override PartName="/word/activeX/activeX18.xml" ContentType="application/vnd.ms-office.activeX+xml"/>
  <Override PartName="/word/activeX/activeX22.bin" ContentType="application/vnd.ms-office.activeX"/>
  <Override PartName="/word/activeX/activeX29.xml" ContentType="application/vnd.ms-office.activeX+xml"/>
  <Override PartName="/word/activeX/activeX31.bin" ContentType="application/vnd.ms-office.activeX"/>
  <Override PartName="/word/numbering.xml" ContentType="application/vnd.openxmlformats-officedocument.wordprocessingml.numbering+xml"/>
  <Override PartName="/word/endnotes.xml" ContentType="application/vnd.openxmlformats-officedocument.wordprocessingml.endnotes+xml"/>
  <Override PartName="/word/charts/chart8.xml" ContentType="application/vnd.openxmlformats-officedocument.drawingml.chart+xml"/>
  <Override PartName="/word/activeX/activeX1.xml" ContentType="application/vnd.ms-office.activeX+xml"/>
  <Override PartName="/word/activeX/activeX11.bin" ContentType="application/vnd.ms-office.activeX"/>
  <Override PartName="/word/activeX/activeX16.xml" ContentType="application/vnd.ms-office.activeX+xml"/>
  <Override PartName="/word/activeX/activeX20.bin" ContentType="application/vnd.ms-office.activeX"/>
  <Override PartName="/word/activeX/activeX27.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activeX/activeX9.bin" ContentType="application/vnd.ms-office.activeX"/>
  <Override PartName="/word/activeX/activeX14.xml" ContentType="application/vnd.ms-office.activeX+xml"/>
  <Override PartName="/word/activeX/activeX25.xml" ContentType="application/vnd.ms-office.activeX+xml"/>
  <Override PartName="/word/activeX/activeX34.xml" ContentType="application/vnd.ms-office.activeX+xml"/>
  <Override PartName="/word/charts/chart4.xml" ContentType="application/vnd.openxmlformats-officedocument.drawingml.chart+xml"/>
  <Override PartName="/word/activeX/activeX7.bin" ContentType="application/vnd.ms-office.activeX"/>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theme/theme1.xml" ContentType="application/vnd.openxmlformats-officedocument.theme+xml"/>
  <Override PartName="/word/charts/chart2.xml" ContentType="application/vnd.openxmlformats-officedocument.drawingml.chart+xml"/>
  <Override PartName="/word/header3.xml" ContentType="application/vnd.openxmlformats-officedocument.wordprocessingml.header+xml"/>
  <Override PartName="/word/activeX/activeX5.bin" ContentType="application/vnd.ms-office.activeX"/>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activeX/activeX3.bin" ContentType="application/vnd.ms-office.activeX"/>
  <Override PartName="/word/activeX/activeX18.bin" ContentType="application/vnd.ms-office.activeX"/>
  <Override PartName="/word/activeX/activeX29.bin" ContentType="application/vnd.ms-office.activeX"/>
  <Override PartName="/docProps/core.xml" ContentType="application/vnd.openxmlformats-package.core-properties+xml"/>
  <Override PartName="/word/footnotes.xml" ContentType="application/vnd.openxmlformats-officedocument.wordprocessingml.footnotes+xml"/>
  <Override PartName="/word/activeX/activeX1.bin" ContentType="application/vnd.ms-office.activeX"/>
  <Override PartName="/word/activeX/activeX16.bin" ContentType="application/vnd.ms-office.activeX"/>
  <Override PartName="/word/activeX/activeX27.bin" ContentType="application/vnd.ms-office.activeX"/>
  <Override PartName="/word/activeX/activeX6.xml" ContentType="application/vnd.ms-office.activeX+xml"/>
  <Override PartName="/word/activeX/activeX34.bin" ContentType="application/vnd.ms-office.activeX"/>
  <Default Extension="wmf" ContentType="image/x-wmf"/>
  <Override PartName="/word/activeX/activeX12.bin" ContentType="application/vnd.ms-office.activeX"/>
  <Override PartName="/word/activeX/activeX23.bin" ContentType="application/vnd.ms-office.activeX"/>
  <Override PartName="/word/activeX/activeX28.xml" ContentType="application/vnd.ms-office.activeX+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B2A" w:rsidRPr="007F095F" w:rsidRDefault="00B35B2A" w:rsidP="00B35B2A">
      <w:pPr>
        <w:ind w:firstLine="0"/>
        <w:jc w:val="center"/>
        <w:rPr>
          <w:b/>
          <w:sz w:val="32"/>
          <w:szCs w:val="32"/>
        </w:rPr>
      </w:pPr>
      <w:r w:rsidRPr="007F095F">
        <w:rPr>
          <w:b/>
          <w:sz w:val="32"/>
          <w:szCs w:val="32"/>
        </w:rPr>
        <w:t>MYKOLO ROMERIO UNIVERSITETAS</w:t>
      </w:r>
    </w:p>
    <w:p w:rsidR="00B35B2A" w:rsidRPr="007F095F" w:rsidRDefault="00B35B2A" w:rsidP="007F095F">
      <w:pPr>
        <w:ind w:firstLine="0"/>
        <w:jc w:val="center"/>
        <w:rPr>
          <w:b/>
          <w:sz w:val="28"/>
          <w:szCs w:val="28"/>
        </w:rPr>
      </w:pPr>
      <w:r w:rsidRPr="007F095F">
        <w:rPr>
          <w:b/>
          <w:sz w:val="28"/>
          <w:szCs w:val="28"/>
        </w:rPr>
        <w:t>EKONOMIKOS IR FINANSŲ VALDYMO FAKULTETAS</w:t>
      </w:r>
    </w:p>
    <w:p w:rsidR="00B35B2A" w:rsidRPr="000128C1" w:rsidRDefault="004C6FA5" w:rsidP="007F095F">
      <w:pPr>
        <w:ind w:firstLine="0"/>
        <w:jc w:val="center"/>
        <w:rPr>
          <w:b/>
          <w:szCs w:val="24"/>
        </w:rPr>
      </w:pPr>
      <w:r w:rsidRPr="000128C1">
        <w:rPr>
          <w:b/>
          <w:szCs w:val="24"/>
        </w:rPr>
        <w:t>BANKININKYSTĖS IR INVESTICIJŲ</w:t>
      </w:r>
      <w:r w:rsidR="00B35B2A" w:rsidRPr="000128C1">
        <w:rPr>
          <w:b/>
          <w:szCs w:val="24"/>
        </w:rPr>
        <w:t xml:space="preserve"> KATEDRA</w:t>
      </w:r>
    </w:p>
    <w:p w:rsidR="004A7494" w:rsidRPr="004A7494" w:rsidRDefault="004A7494" w:rsidP="00A77C14">
      <w:pPr>
        <w:spacing w:before="1680" w:after="0"/>
        <w:ind w:firstLine="0"/>
        <w:contextualSpacing w:val="0"/>
        <w:jc w:val="center"/>
        <w:rPr>
          <w:b/>
          <w:sz w:val="32"/>
          <w:szCs w:val="32"/>
        </w:rPr>
      </w:pPr>
      <w:r w:rsidRPr="004A7494">
        <w:rPr>
          <w:b/>
          <w:sz w:val="32"/>
          <w:szCs w:val="32"/>
        </w:rPr>
        <w:t>ROLANDA ŠARKAUSKAITĖ</w:t>
      </w:r>
    </w:p>
    <w:p w:rsidR="00B35B2A" w:rsidRPr="003A749C" w:rsidRDefault="00770088" w:rsidP="00A77C14">
      <w:pPr>
        <w:spacing w:before="1680" w:after="0"/>
        <w:ind w:firstLine="0"/>
        <w:contextualSpacing w:val="0"/>
        <w:jc w:val="center"/>
        <w:rPr>
          <w:b/>
          <w:sz w:val="38"/>
          <w:szCs w:val="38"/>
        </w:rPr>
      </w:pPr>
      <w:r w:rsidRPr="003A749C">
        <w:rPr>
          <w:b/>
          <w:sz w:val="38"/>
          <w:szCs w:val="38"/>
        </w:rPr>
        <w:t>NEDARBO SOCIALINIO DRAUDIMO I</w:t>
      </w:r>
      <w:r w:rsidR="00C54078" w:rsidRPr="003A749C">
        <w:rPr>
          <w:b/>
          <w:sz w:val="38"/>
          <w:szCs w:val="38"/>
        </w:rPr>
        <w:t>ŠMOKŲ BEI SOCIALINĖS PARAMOS</w:t>
      </w:r>
      <w:r w:rsidRPr="003A749C">
        <w:rPr>
          <w:b/>
          <w:sz w:val="38"/>
          <w:szCs w:val="38"/>
        </w:rPr>
        <w:t xml:space="preserve"> </w:t>
      </w:r>
      <w:r w:rsidR="00C54078" w:rsidRPr="003A749C">
        <w:rPr>
          <w:b/>
          <w:sz w:val="38"/>
          <w:szCs w:val="38"/>
        </w:rPr>
        <w:t xml:space="preserve">GAVĖJŲ </w:t>
      </w:r>
      <w:r w:rsidR="008A6602" w:rsidRPr="003A749C">
        <w:rPr>
          <w:b/>
          <w:sz w:val="38"/>
          <w:szCs w:val="38"/>
        </w:rPr>
        <w:t xml:space="preserve">FINANSINĖS </w:t>
      </w:r>
      <w:r w:rsidR="00C54078" w:rsidRPr="003A749C">
        <w:rPr>
          <w:b/>
          <w:sz w:val="38"/>
          <w:szCs w:val="38"/>
        </w:rPr>
        <w:t>ELGSENOS VERTINIMAS</w:t>
      </w:r>
      <w:r w:rsidR="00CE4C58" w:rsidRPr="003A749C">
        <w:rPr>
          <w:b/>
          <w:sz w:val="38"/>
          <w:szCs w:val="38"/>
        </w:rPr>
        <w:t>: LIETUVOS ATVEJIS</w:t>
      </w:r>
    </w:p>
    <w:p w:rsidR="00B35B2A" w:rsidRPr="000E4036" w:rsidRDefault="00B35B2A" w:rsidP="005F4AE7">
      <w:pPr>
        <w:ind w:firstLine="0"/>
        <w:jc w:val="center"/>
        <w:rPr>
          <w:b/>
          <w:sz w:val="28"/>
          <w:szCs w:val="28"/>
        </w:rPr>
      </w:pPr>
      <w:r w:rsidRPr="000E4036">
        <w:rPr>
          <w:b/>
          <w:sz w:val="28"/>
          <w:szCs w:val="28"/>
        </w:rPr>
        <w:t>Magistro bai</w:t>
      </w:r>
      <w:r w:rsidR="00C54078" w:rsidRPr="000E4036">
        <w:rPr>
          <w:b/>
          <w:sz w:val="28"/>
          <w:szCs w:val="28"/>
        </w:rPr>
        <w:t>giamasis darbas</w:t>
      </w:r>
    </w:p>
    <w:p w:rsidR="00B35B2A" w:rsidRPr="00A77C14" w:rsidRDefault="003F7222" w:rsidP="00A77C14">
      <w:pPr>
        <w:tabs>
          <w:tab w:val="left" w:pos="7020"/>
        </w:tabs>
        <w:spacing w:before="2040"/>
        <w:ind w:firstLine="0"/>
        <w:contextualSpacing w:val="0"/>
        <w:rPr>
          <w:b/>
          <w:sz w:val="28"/>
          <w:szCs w:val="28"/>
        </w:rPr>
      </w:pPr>
      <w:r>
        <w:tab/>
      </w:r>
      <w:r w:rsidR="004A171A" w:rsidRPr="00A77C14">
        <w:rPr>
          <w:b/>
          <w:sz w:val="28"/>
          <w:szCs w:val="28"/>
        </w:rPr>
        <w:t>Vadovė</w:t>
      </w:r>
    </w:p>
    <w:p w:rsidR="00B35B2A" w:rsidRPr="00A77C14" w:rsidRDefault="008F3F5A" w:rsidP="00A77C14">
      <w:pPr>
        <w:tabs>
          <w:tab w:val="left" w:pos="7020"/>
        </w:tabs>
        <w:ind w:firstLine="0"/>
        <w:rPr>
          <w:b/>
          <w:sz w:val="28"/>
          <w:szCs w:val="28"/>
        </w:rPr>
      </w:pPr>
      <w:r w:rsidRPr="00A77C14">
        <w:rPr>
          <w:b/>
          <w:sz w:val="28"/>
          <w:szCs w:val="28"/>
        </w:rPr>
        <w:tab/>
      </w:r>
      <w:r w:rsidR="00BB77BF" w:rsidRPr="00A77C14">
        <w:rPr>
          <w:b/>
          <w:sz w:val="28"/>
          <w:szCs w:val="28"/>
        </w:rPr>
        <w:t>prof. dr.</w:t>
      </w:r>
      <w:r w:rsidR="00A77C14">
        <w:rPr>
          <w:b/>
          <w:sz w:val="28"/>
          <w:szCs w:val="28"/>
        </w:rPr>
        <w:t xml:space="preserve"> </w:t>
      </w:r>
      <w:r w:rsidR="00B35B2A" w:rsidRPr="00A77C14">
        <w:rPr>
          <w:b/>
          <w:sz w:val="28"/>
          <w:szCs w:val="28"/>
        </w:rPr>
        <w:t xml:space="preserve">D. </w:t>
      </w:r>
      <w:proofErr w:type="spellStart"/>
      <w:r w:rsidR="00B35B2A" w:rsidRPr="00A77C14">
        <w:rPr>
          <w:b/>
          <w:sz w:val="28"/>
          <w:szCs w:val="28"/>
        </w:rPr>
        <w:t>Jurevičienė</w:t>
      </w:r>
      <w:proofErr w:type="spellEnd"/>
    </w:p>
    <w:p w:rsidR="00C82A71" w:rsidRDefault="000C2778" w:rsidP="007C3D23">
      <w:pPr>
        <w:spacing w:before="2400" w:after="0"/>
        <w:ind w:firstLine="0"/>
        <w:contextualSpacing w:val="0"/>
        <w:jc w:val="center"/>
        <w:rPr>
          <w:b/>
          <w:sz w:val="28"/>
          <w:szCs w:val="28"/>
        </w:rPr>
      </w:pPr>
      <w:r>
        <w:rPr>
          <w:b/>
          <w:sz w:val="28"/>
          <w:szCs w:val="28"/>
        </w:rPr>
        <w:t>VILNIUS, 2012</w:t>
      </w:r>
    </w:p>
    <w:p w:rsidR="00100686" w:rsidRPr="007F095F" w:rsidRDefault="00100686" w:rsidP="00100686">
      <w:pPr>
        <w:ind w:firstLine="0"/>
        <w:jc w:val="center"/>
        <w:rPr>
          <w:b/>
          <w:sz w:val="32"/>
          <w:szCs w:val="32"/>
        </w:rPr>
      </w:pPr>
      <w:r w:rsidRPr="007F095F">
        <w:rPr>
          <w:b/>
          <w:sz w:val="32"/>
          <w:szCs w:val="32"/>
        </w:rPr>
        <w:lastRenderedPageBreak/>
        <w:t>MYKOLO ROMERIO UNIVERSITETAS</w:t>
      </w:r>
    </w:p>
    <w:p w:rsidR="00100686" w:rsidRPr="007F095F" w:rsidRDefault="00100686" w:rsidP="00100686">
      <w:pPr>
        <w:ind w:firstLine="0"/>
        <w:jc w:val="center"/>
        <w:rPr>
          <w:b/>
          <w:sz w:val="28"/>
          <w:szCs w:val="28"/>
        </w:rPr>
      </w:pPr>
      <w:r w:rsidRPr="007F095F">
        <w:rPr>
          <w:b/>
          <w:sz w:val="28"/>
          <w:szCs w:val="28"/>
        </w:rPr>
        <w:t>EKONOMIKOS IR FINANSŲ VALDYMO FAKULTETAS</w:t>
      </w:r>
    </w:p>
    <w:p w:rsidR="00100686" w:rsidRPr="000128C1" w:rsidRDefault="00100686" w:rsidP="00100686">
      <w:pPr>
        <w:ind w:firstLine="0"/>
        <w:jc w:val="center"/>
        <w:rPr>
          <w:b/>
          <w:szCs w:val="24"/>
        </w:rPr>
      </w:pPr>
      <w:r w:rsidRPr="000128C1">
        <w:rPr>
          <w:b/>
          <w:szCs w:val="24"/>
        </w:rPr>
        <w:t>BANKININKYSTĖS IR INVESTICIJŲ KATEDRA</w:t>
      </w:r>
    </w:p>
    <w:p w:rsidR="00100686" w:rsidRPr="000128C1" w:rsidRDefault="00100686" w:rsidP="000128C1">
      <w:pPr>
        <w:spacing w:before="1800" w:after="0"/>
        <w:ind w:firstLine="0"/>
        <w:contextualSpacing w:val="0"/>
        <w:jc w:val="center"/>
        <w:rPr>
          <w:b/>
          <w:sz w:val="38"/>
          <w:szCs w:val="38"/>
        </w:rPr>
      </w:pPr>
      <w:r w:rsidRPr="000128C1">
        <w:rPr>
          <w:b/>
          <w:sz w:val="38"/>
          <w:szCs w:val="38"/>
        </w:rPr>
        <w:t>NEDARBO SOCIALINIO DRAUDIMO IŠMOKŲ BEI SOCIALINĖS PARAMOS GAVĖJŲ FINANSINĖS ELGSENOS VERTINIMAS: LIETUVOS ATVEJIS</w:t>
      </w:r>
    </w:p>
    <w:p w:rsidR="004746E0" w:rsidRDefault="00265294" w:rsidP="004746E0">
      <w:pPr>
        <w:ind w:firstLine="0"/>
        <w:jc w:val="center"/>
        <w:rPr>
          <w:b/>
          <w:sz w:val="28"/>
          <w:szCs w:val="28"/>
        </w:rPr>
      </w:pPr>
      <w:r>
        <w:rPr>
          <w:b/>
          <w:sz w:val="28"/>
          <w:szCs w:val="28"/>
        </w:rPr>
        <w:t>Finansų valdymo m</w:t>
      </w:r>
      <w:r w:rsidR="004746E0" w:rsidRPr="004746E0">
        <w:rPr>
          <w:b/>
          <w:sz w:val="28"/>
          <w:szCs w:val="28"/>
        </w:rPr>
        <w:t>agistro baigiamasis darbas</w:t>
      </w:r>
    </w:p>
    <w:p w:rsidR="00D80680" w:rsidRPr="004746E0" w:rsidRDefault="00D80680" w:rsidP="004746E0">
      <w:pPr>
        <w:ind w:firstLine="0"/>
        <w:jc w:val="center"/>
        <w:rPr>
          <w:b/>
          <w:sz w:val="28"/>
          <w:szCs w:val="28"/>
        </w:rPr>
      </w:pPr>
      <w:r>
        <w:rPr>
          <w:b/>
          <w:sz w:val="28"/>
          <w:szCs w:val="28"/>
        </w:rPr>
        <w:t>Studijų programa</w:t>
      </w:r>
      <w:r w:rsidR="00265294" w:rsidRPr="00B23A12">
        <w:rPr>
          <w:b/>
          <w:sz w:val="28"/>
          <w:szCs w:val="28"/>
        </w:rPr>
        <w:t xml:space="preserve"> </w:t>
      </w:r>
      <w:r w:rsidR="007A2965" w:rsidRPr="00B23A12">
        <w:rPr>
          <w:b/>
          <w:sz w:val="28"/>
          <w:szCs w:val="28"/>
        </w:rPr>
        <w:t>621N30005</w:t>
      </w:r>
    </w:p>
    <w:p w:rsidR="00100686" w:rsidRDefault="00265294" w:rsidP="00A01F27">
      <w:pPr>
        <w:tabs>
          <w:tab w:val="left" w:pos="6660"/>
        </w:tabs>
        <w:spacing w:before="1800" w:after="0"/>
        <w:ind w:firstLine="0"/>
        <w:contextualSpacing w:val="0"/>
        <w:jc w:val="left"/>
        <w:rPr>
          <w:b/>
          <w:szCs w:val="24"/>
        </w:rPr>
      </w:pPr>
      <w:r>
        <w:rPr>
          <w:b/>
          <w:szCs w:val="24"/>
        </w:rPr>
        <w:tab/>
        <w:t>Vadovė</w:t>
      </w:r>
    </w:p>
    <w:p w:rsidR="004435AE" w:rsidRDefault="004435AE" w:rsidP="004435AE">
      <w:pPr>
        <w:tabs>
          <w:tab w:val="left" w:pos="7830"/>
        </w:tabs>
        <w:ind w:firstLine="0"/>
        <w:jc w:val="left"/>
        <w:rPr>
          <w:b/>
          <w:szCs w:val="24"/>
        </w:rPr>
      </w:pPr>
      <w:r>
        <w:rPr>
          <w:b/>
          <w:szCs w:val="24"/>
        </w:rPr>
        <w:tab/>
        <w:t xml:space="preserve">prof. dr. D. </w:t>
      </w:r>
      <w:proofErr w:type="spellStart"/>
      <w:r>
        <w:rPr>
          <w:b/>
          <w:szCs w:val="24"/>
        </w:rPr>
        <w:t>Jurevičienė</w:t>
      </w:r>
      <w:proofErr w:type="spellEnd"/>
    </w:p>
    <w:p w:rsidR="004435AE" w:rsidRPr="00184964" w:rsidRDefault="00887A78" w:rsidP="00887A78">
      <w:pPr>
        <w:tabs>
          <w:tab w:val="left" w:pos="6660"/>
          <w:tab w:val="left" w:pos="7830"/>
        </w:tabs>
        <w:ind w:firstLine="0"/>
        <w:jc w:val="left"/>
        <w:rPr>
          <w:b/>
          <w:szCs w:val="24"/>
        </w:rPr>
      </w:pPr>
      <w:r>
        <w:rPr>
          <w:b/>
          <w:szCs w:val="24"/>
        </w:rPr>
        <w:tab/>
      </w:r>
      <w:r w:rsidRPr="00184964">
        <w:rPr>
          <w:b/>
          <w:szCs w:val="24"/>
        </w:rPr>
        <w:t>2012</w:t>
      </w:r>
      <w:r w:rsidR="00184964" w:rsidRPr="00184964">
        <w:rPr>
          <w:b/>
          <w:szCs w:val="24"/>
        </w:rPr>
        <w:t> </w:t>
      </w:r>
      <w:r w:rsidR="00183549" w:rsidRPr="00184964">
        <w:rPr>
          <w:b/>
          <w:szCs w:val="24"/>
        </w:rPr>
        <w:t>1</w:t>
      </w:r>
      <w:r w:rsidR="000D5741" w:rsidRPr="00184964">
        <w:rPr>
          <w:b/>
          <w:szCs w:val="24"/>
        </w:rPr>
        <w:t>2</w:t>
      </w:r>
      <w:r w:rsidR="00184964" w:rsidRPr="00184964">
        <w:rPr>
          <w:b/>
          <w:szCs w:val="24"/>
        </w:rPr>
        <w:t> </w:t>
      </w:r>
      <w:r w:rsidR="000D5741" w:rsidRPr="00184964">
        <w:rPr>
          <w:b/>
          <w:szCs w:val="24"/>
        </w:rPr>
        <w:t>19</w:t>
      </w:r>
    </w:p>
    <w:p w:rsidR="00183549" w:rsidRDefault="00183549" w:rsidP="00C3297C">
      <w:pPr>
        <w:tabs>
          <w:tab w:val="left" w:pos="6660"/>
          <w:tab w:val="left" w:pos="7830"/>
        </w:tabs>
        <w:spacing w:before="1080" w:after="0"/>
        <w:ind w:firstLine="0"/>
        <w:contextualSpacing w:val="0"/>
        <w:jc w:val="left"/>
        <w:rPr>
          <w:b/>
          <w:szCs w:val="24"/>
        </w:rPr>
      </w:pPr>
      <w:r>
        <w:rPr>
          <w:b/>
          <w:szCs w:val="24"/>
        </w:rPr>
        <w:t>Recenzentas</w:t>
      </w:r>
      <w:r>
        <w:rPr>
          <w:b/>
          <w:szCs w:val="24"/>
        </w:rPr>
        <w:tab/>
        <w:t>Atliko</w:t>
      </w:r>
    </w:p>
    <w:p w:rsidR="00183549" w:rsidRDefault="00B2438E" w:rsidP="00C3297C">
      <w:pPr>
        <w:tabs>
          <w:tab w:val="left" w:pos="1350"/>
          <w:tab w:val="left" w:pos="6660"/>
          <w:tab w:val="left" w:pos="7830"/>
        </w:tabs>
        <w:ind w:firstLine="0"/>
        <w:jc w:val="left"/>
        <w:rPr>
          <w:b/>
          <w:szCs w:val="24"/>
        </w:rPr>
      </w:pPr>
      <w:r>
        <w:rPr>
          <w:b/>
          <w:szCs w:val="24"/>
        </w:rPr>
        <w:tab/>
        <w:t>prof</w:t>
      </w:r>
      <w:r w:rsidR="00C3297C">
        <w:rPr>
          <w:b/>
          <w:szCs w:val="24"/>
        </w:rPr>
        <w:t>. dr.</w:t>
      </w:r>
      <w:r w:rsidR="00C3297C">
        <w:rPr>
          <w:b/>
          <w:szCs w:val="24"/>
        </w:rPr>
        <w:tab/>
        <w:t xml:space="preserve">FVmns1-01 gr. </w:t>
      </w:r>
      <w:proofErr w:type="spellStart"/>
      <w:r w:rsidR="00C3297C">
        <w:rPr>
          <w:b/>
          <w:szCs w:val="24"/>
        </w:rPr>
        <w:t>stud</w:t>
      </w:r>
      <w:proofErr w:type="spellEnd"/>
      <w:r w:rsidR="00C3297C">
        <w:rPr>
          <w:b/>
          <w:szCs w:val="24"/>
        </w:rPr>
        <w:t>.</w:t>
      </w:r>
    </w:p>
    <w:p w:rsidR="00F74BA9" w:rsidRDefault="00F74BA9" w:rsidP="00C3297C">
      <w:pPr>
        <w:tabs>
          <w:tab w:val="left" w:pos="1350"/>
          <w:tab w:val="left" w:pos="6660"/>
          <w:tab w:val="left" w:pos="7830"/>
        </w:tabs>
        <w:ind w:firstLine="0"/>
        <w:jc w:val="left"/>
        <w:rPr>
          <w:b/>
          <w:szCs w:val="24"/>
        </w:rPr>
      </w:pPr>
      <w:r w:rsidRPr="000D5741">
        <w:rPr>
          <w:b/>
          <w:szCs w:val="24"/>
        </w:rPr>
        <w:t>2012 12</w:t>
      </w:r>
      <w:r>
        <w:rPr>
          <w:b/>
          <w:szCs w:val="24"/>
        </w:rPr>
        <w:tab/>
      </w:r>
      <w:r>
        <w:rPr>
          <w:b/>
          <w:szCs w:val="24"/>
        </w:rPr>
        <w:tab/>
      </w:r>
      <w:r>
        <w:rPr>
          <w:b/>
          <w:szCs w:val="24"/>
        </w:rPr>
        <w:tab/>
        <w:t xml:space="preserve">R. </w:t>
      </w:r>
      <w:proofErr w:type="spellStart"/>
      <w:r>
        <w:rPr>
          <w:b/>
          <w:szCs w:val="24"/>
        </w:rPr>
        <w:t>Šarkauskaitė</w:t>
      </w:r>
      <w:proofErr w:type="spellEnd"/>
    </w:p>
    <w:p w:rsidR="00F74BA9" w:rsidRPr="00184964" w:rsidRDefault="00F74BA9" w:rsidP="00C3297C">
      <w:pPr>
        <w:tabs>
          <w:tab w:val="left" w:pos="1350"/>
          <w:tab w:val="left" w:pos="6660"/>
          <w:tab w:val="left" w:pos="7830"/>
        </w:tabs>
        <w:ind w:firstLine="0"/>
        <w:jc w:val="left"/>
        <w:rPr>
          <w:b/>
          <w:szCs w:val="24"/>
        </w:rPr>
      </w:pPr>
      <w:r>
        <w:rPr>
          <w:b/>
          <w:szCs w:val="24"/>
        </w:rPr>
        <w:tab/>
      </w:r>
      <w:r>
        <w:rPr>
          <w:b/>
          <w:szCs w:val="24"/>
        </w:rPr>
        <w:tab/>
      </w:r>
      <w:r w:rsidRPr="00184964">
        <w:rPr>
          <w:b/>
          <w:szCs w:val="24"/>
        </w:rPr>
        <w:t>2012</w:t>
      </w:r>
      <w:r w:rsidR="00A01F27" w:rsidRPr="00184964">
        <w:rPr>
          <w:b/>
          <w:szCs w:val="24"/>
        </w:rPr>
        <w:t xml:space="preserve"> 12</w:t>
      </w:r>
      <w:r w:rsidR="000D5741" w:rsidRPr="00184964">
        <w:rPr>
          <w:b/>
          <w:szCs w:val="24"/>
        </w:rPr>
        <w:t> 19</w:t>
      </w:r>
    </w:p>
    <w:p w:rsidR="00A01F27" w:rsidRPr="007C3D23" w:rsidRDefault="007C3D23" w:rsidP="007C3D23">
      <w:pPr>
        <w:spacing w:before="1440"/>
        <w:ind w:firstLine="0"/>
        <w:contextualSpacing w:val="0"/>
        <w:jc w:val="center"/>
        <w:rPr>
          <w:b/>
          <w:sz w:val="28"/>
          <w:szCs w:val="28"/>
        </w:rPr>
      </w:pPr>
      <w:r w:rsidRPr="007C3D23">
        <w:rPr>
          <w:b/>
          <w:sz w:val="28"/>
          <w:szCs w:val="28"/>
        </w:rPr>
        <w:t>VILNIUS, 2012</w:t>
      </w:r>
    </w:p>
    <w:p w:rsidR="000C2778" w:rsidRPr="007749D1" w:rsidRDefault="00D32A4B" w:rsidP="00395CAD">
      <w:pPr>
        <w:widowControl/>
        <w:spacing w:line="276" w:lineRule="auto"/>
        <w:ind w:firstLine="0"/>
        <w:contextualSpacing w:val="0"/>
        <w:jc w:val="center"/>
        <w:rPr>
          <w:b/>
          <w:sz w:val="26"/>
          <w:szCs w:val="26"/>
        </w:rPr>
      </w:pPr>
      <w:r w:rsidRPr="007749D1">
        <w:rPr>
          <w:b/>
          <w:sz w:val="26"/>
          <w:szCs w:val="26"/>
        </w:rPr>
        <w:lastRenderedPageBreak/>
        <w:t>TURINYS</w:t>
      </w:r>
    </w:p>
    <w:p w:rsidR="0066100B" w:rsidRPr="00622C4B" w:rsidRDefault="00D84BC4" w:rsidP="00622C4B">
      <w:pPr>
        <w:pStyle w:val="TOC1"/>
        <w:spacing w:line="380" w:lineRule="atLeast"/>
        <w:rPr>
          <w:noProof/>
          <w:sz w:val="24"/>
          <w:szCs w:val="24"/>
          <w:lang w:val="en-US" w:eastAsia="en-US"/>
        </w:rPr>
      </w:pPr>
      <w:r w:rsidRPr="00622C4B">
        <w:rPr>
          <w:sz w:val="24"/>
          <w:szCs w:val="24"/>
        </w:rPr>
        <w:fldChar w:fldCharType="begin"/>
      </w:r>
      <w:r w:rsidR="00E215E4" w:rsidRPr="00622C4B">
        <w:rPr>
          <w:sz w:val="24"/>
          <w:szCs w:val="24"/>
        </w:rPr>
        <w:instrText xml:space="preserve"> TOC \o "1-3" \h \z \u </w:instrText>
      </w:r>
      <w:r w:rsidRPr="00622C4B">
        <w:rPr>
          <w:sz w:val="24"/>
          <w:szCs w:val="24"/>
        </w:rPr>
        <w:fldChar w:fldCharType="separate"/>
      </w:r>
      <w:hyperlink w:anchor="_Toc343636872" w:history="1">
        <w:r w:rsidR="0066100B" w:rsidRPr="00622C4B">
          <w:rPr>
            <w:rStyle w:val="Hyperlink"/>
            <w:rFonts w:ascii="Times New Roman" w:hAnsi="Times New Roman" w:cs="Times New Roman"/>
            <w:noProof/>
            <w:sz w:val="24"/>
            <w:szCs w:val="24"/>
          </w:rPr>
          <w:t>ĮVADAS</w:t>
        </w:r>
        <w:r w:rsidR="0066100B" w:rsidRPr="00622C4B">
          <w:rPr>
            <w:rFonts w:ascii="Times New Roman" w:hAnsi="Times New Roman" w:cs="Times New Roman"/>
            <w:b w:val="0"/>
            <w:noProof/>
            <w:webHidden/>
            <w:sz w:val="24"/>
            <w:szCs w:val="24"/>
          </w:rPr>
          <w:tab/>
        </w:r>
        <w:r w:rsidRPr="00622C4B">
          <w:rPr>
            <w:rFonts w:ascii="Times New Roman" w:hAnsi="Times New Roman" w:cs="Times New Roman"/>
            <w:b w:val="0"/>
            <w:noProof/>
            <w:webHidden/>
            <w:sz w:val="24"/>
            <w:szCs w:val="24"/>
          </w:rPr>
          <w:fldChar w:fldCharType="begin"/>
        </w:r>
        <w:r w:rsidR="0066100B" w:rsidRPr="00622C4B">
          <w:rPr>
            <w:rFonts w:ascii="Times New Roman" w:hAnsi="Times New Roman" w:cs="Times New Roman"/>
            <w:b w:val="0"/>
            <w:noProof/>
            <w:webHidden/>
            <w:sz w:val="24"/>
            <w:szCs w:val="24"/>
          </w:rPr>
          <w:instrText xml:space="preserve"> PAGEREF _Toc343636872 \h </w:instrText>
        </w:r>
        <w:r w:rsidRPr="00622C4B">
          <w:rPr>
            <w:rFonts w:ascii="Times New Roman" w:hAnsi="Times New Roman" w:cs="Times New Roman"/>
            <w:b w:val="0"/>
            <w:noProof/>
            <w:webHidden/>
            <w:sz w:val="24"/>
            <w:szCs w:val="24"/>
          </w:rPr>
        </w:r>
        <w:r w:rsidRPr="00622C4B">
          <w:rPr>
            <w:rFonts w:ascii="Times New Roman" w:hAnsi="Times New Roman" w:cs="Times New Roman"/>
            <w:b w:val="0"/>
            <w:noProof/>
            <w:webHidden/>
            <w:sz w:val="24"/>
            <w:szCs w:val="24"/>
          </w:rPr>
          <w:fldChar w:fldCharType="separate"/>
        </w:r>
        <w:r w:rsidR="0066100B" w:rsidRPr="00622C4B">
          <w:rPr>
            <w:rFonts w:ascii="Times New Roman" w:hAnsi="Times New Roman" w:cs="Times New Roman"/>
            <w:b w:val="0"/>
            <w:noProof/>
            <w:webHidden/>
            <w:sz w:val="24"/>
            <w:szCs w:val="24"/>
          </w:rPr>
          <w:t>6</w:t>
        </w:r>
        <w:r w:rsidRPr="00622C4B">
          <w:rPr>
            <w:rFonts w:ascii="Times New Roman" w:hAnsi="Times New Roman" w:cs="Times New Roman"/>
            <w:b w:val="0"/>
            <w:noProof/>
            <w:webHidden/>
            <w:sz w:val="24"/>
            <w:szCs w:val="24"/>
          </w:rPr>
          <w:fldChar w:fldCharType="end"/>
        </w:r>
      </w:hyperlink>
    </w:p>
    <w:p w:rsidR="0066100B" w:rsidRPr="00622C4B" w:rsidRDefault="00D84BC4" w:rsidP="00622C4B">
      <w:pPr>
        <w:pStyle w:val="TOC1"/>
        <w:spacing w:line="380" w:lineRule="atLeast"/>
        <w:rPr>
          <w:noProof/>
          <w:sz w:val="24"/>
          <w:szCs w:val="24"/>
          <w:lang w:val="en-US" w:eastAsia="en-US"/>
        </w:rPr>
      </w:pPr>
      <w:hyperlink w:anchor="_Toc343636873" w:history="1">
        <w:r w:rsidR="0066100B" w:rsidRPr="00622C4B">
          <w:rPr>
            <w:rStyle w:val="Hyperlink"/>
            <w:rFonts w:ascii="Times New Roman" w:hAnsi="Times New Roman" w:cs="Times New Roman"/>
            <w:noProof/>
            <w:sz w:val="24"/>
            <w:szCs w:val="24"/>
          </w:rPr>
          <w:t>1.</w:t>
        </w:r>
        <w:r w:rsidR="0066100B" w:rsidRPr="00622C4B">
          <w:rPr>
            <w:noProof/>
            <w:sz w:val="24"/>
            <w:szCs w:val="24"/>
            <w:lang w:val="en-US" w:eastAsia="en-US"/>
          </w:rPr>
          <w:tab/>
        </w:r>
        <w:r w:rsidR="0066100B" w:rsidRPr="00622C4B">
          <w:rPr>
            <w:rStyle w:val="Hyperlink"/>
            <w:rFonts w:ascii="Times New Roman" w:hAnsi="Times New Roman" w:cs="Times New Roman"/>
            <w:noProof/>
            <w:sz w:val="24"/>
            <w:szCs w:val="24"/>
          </w:rPr>
          <w:t>TEORINIAI GYVENTOJŲ FINANSINĖS ELGSENOS ASPEKTAI</w:t>
        </w:r>
        <w:r w:rsidR="0066100B" w:rsidRPr="00622C4B">
          <w:rPr>
            <w:rFonts w:ascii="Times New Roman" w:hAnsi="Times New Roman" w:cs="Times New Roman"/>
            <w:b w:val="0"/>
            <w:noProof/>
            <w:webHidden/>
            <w:sz w:val="24"/>
            <w:szCs w:val="24"/>
          </w:rPr>
          <w:tab/>
        </w:r>
        <w:r w:rsidRPr="00622C4B">
          <w:rPr>
            <w:rFonts w:ascii="Times New Roman" w:hAnsi="Times New Roman" w:cs="Times New Roman"/>
            <w:b w:val="0"/>
            <w:noProof/>
            <w:webHidden/>
            <w:sz w:val="24"/>
            <w:szCs w:val="24"/>
          </w:rPr>
          <w:fldChar w:fldCharType="begin"/>
        </w:r>
        <w:r w:rsidR="0066100B" w:rsidRPr="00622C4B">
          <w:rPr>
            <w:rFonts w:ascii="Times New Roman" w:hAnsi="Times New Roman" w:cs="Times New Roman"/>
            <w:b w:val="0"/>
            <w:noProof/>
            <w:webHidden/>
            <w:sz w:val="24"/>
            <w:szCs w:val="24"/>
          </w:rPr>
          <w:instrText xml:space="preserve"> PAGEREF _Toc343636873 \h </w:instrText>
        </w:r>
        <w:r w:rsidRPr="00622C4B">
          <w:rPr>
            <w:rFonts w:ascii="Times New Roman" w:hAnsi="Times New Roman" w:cs="Times New Roman"/>
            <w:b w:val="0"/>
            <w:noProof/>
            <w:webHidden/>
            <w:sz w:val="24"/>
            <w:szCs w:val="24"/>
          </w:rPr>
        </w:r>
        <w:r w:rsidRPr="00622C4B">
          <w:rPr>
            <w:rFonts w:ascii="Times New Roman" w:hAnsi="Times New Roman" w:cs="Times New Roman"/>
            <w:b w:val="0"/>
            <w:noProof/>
            <w:webHidden/>
            <w:sz w:val="24"/>
            <w:szCs w:val="24"/>
          </w:rPr>
          <w:fldChar w:fldCharType="separate"/>
        </w:r>
        <w:r w:rsidR="0066100B" w:rsidRPr="00622C4B">
          <w:rPr>
            <w:rFonts w:ascii="Times New Roman" w:hAnsi="Times New Roman" w:cs="Times New Roman"/>
            <w:b w:val="0"/>
            <w:noProof/>
            <w:webHidden/>
            <w:sz w:val="24"/>
            <w:szCs w:val="24"/>
          </w:rPr>
          <w:t>9</w:t>
        </w:r>
        <w:r w:rsidRPr="00622C4B">
          <w:rPr>
            <w:rFonts w:ascii="Times New Roman" w:hAnsi="Times New Roman" w:cs="Times New Roman"/>
            <w:b w:val="0"/>
            <w:noProof/>
            <w:webHidden/>
            <w:sz w:val="24"/>
            <w:szCs w:val="24"/>
          </w:rPr>
          <w:fldChar w:fldCharType="end"/>
        </w:r>
      </w:hyperlink>
    </w:p>
    <w:p w:rsidR="0066100B" w:rsidRPr="00622C4B" w:rsidRDefault="00D84BC4" w:rsidP="00622C4B">
      <w:pPr>
        <w:pStyle w:val="TOC2"/>
        <w:spacing w:line="380" w:lineRule="atLeast"/>
        <w:rPr>
          <w:sz w:val="24"/>
          <w:szCs w:val="24"/>
          <w:lang w:val="en-US" w:eastAsia="en-US"/>
        </w:rPr>
      </w:pPr>
      <w:hyperlink w:anchor="_Toc343636874" w:history="1">
        <w:r w:rsidR="0066100B" w:rsidRPr="00622C4B">
          <w:rPr>
            <w:rStyle w:val="Hyperlink"/>
            <w:sz w:val="24"/>
            <w:szCs w:val="24"/>
          </w:rPr>
          <w:t>1.1.</w:t>
        </w:r>
        <w:r w:rsidR="0066100B" w:rsidRPr="00622C4B">
          <w:rPr>
            <w:sz w:val="24"/>
            <w:szCs w:val="24"/>
            <w:lang w:val="en-US" w:eastAsia="en-US"/>
          </w:rPr>
          <w:tab/>
        </w:r>
        <w:r w:rsidR="0066100B" w:rsidRPr="00622C4B">
          <w:rPr>
            <w:rStyle w:val="Hyperlink"/>
            <w:sz w:val="24"/>
            <w:szCs w:val="24"/>
          </w:rPr>
          <w:t>Gyventojų finansinės elgsenos, kaip reiškinio, ypatumai</w:t>
        </w:r>
        <w:r w:rsidR="0066100B" w:rsidRPr="00622C4B">
          <w:rPr>
            <w:webHidden/>
            <w:sz w:val="24"/>
            <w:szCs w:val="24"/>
          </w:rPr>
          <w:tab/>
        </w:r>
        <w:r w:rsidRPr="00622C4B">
          <w:rPr>
            <w:webHidden/>
            <w:sz w:val="24"/>
            <w:szCs w:val="24"/>
          </w:rPr>
          <w:fldChar w:fldCharType="begin"/>
        </w:r>
        <w:r w:rsidR="0066100B" w:rsidRPr="00622C4B">
          <w:rPr>
            <w:webHidden/>
            <w:sz w:val="24"/>
            <w:szCs w:val="24"/>
          </w:rPr>
          <w:instrText xml:space="preserve"> PAGEREF _Toc343636874 \h </w:instrText>
        </w:r>
        <w:r w:rsidRPr="00622C4B">
          <w:rPr>
            <w:webHidden/>
            <w:sz w:val="24"/>
            <w:szCs w:val="24"/>
          </w:rPr>
        </w:r>
        <w:r w:rsidRPr="00622C4B">
          <w:rPr>
            <w:webHidden/>
            <w:sz w:val="24"/>
            <w:szCs w:val="24"/>
          </w:rPr>
          <w:fldChar w:fldCharType="separate"/>
        </w:r>
        <w:r w:rsidR="0066100B" w:rsidRPr="00622C4B">
          <w:rPr>
            <w:webHidden/>
            <w:sz w:val="24"/>
            <w:szCs w:val="24"/>
          </w:rPr>
          <w:t>9</w:t>
        </w:r>
        <w:r w:rsidRPr="00622C4B">
          <w:rPr>
            <w:webHidden/>
            <w:sz w:val="24"/>
            <w:szCs w:val="24"/>
          </w:rPr>
          <w:fldChar w:fldCharType="end"/>
        </w:r>
      </w:hyperlink>
    </w:p>
    <w:p w:rsidR="0066100B" w:rsidRPr="00622C4B" w:rsidRDefault="00D84BC4" w:rsidP="00622C4B">
      <w:pPr>
        <w:pStyle w:val="TOC3"/>
        <w:spacing w:line="380" w:lineRule="atLeast"/>
        <w:rPr>
          <w:noProof/>
          <w:sz w:val="24"/>
          <w:szCs w:val="24"/>
          <w:lang w:val="en-US" w:eastAsia="en-US"/>
        </w:rPr>
      </w:pPr>
      <w:hyperlink w:anchor="_Toc343636875" w:history="1">
        <w:r w:rsidR="0066100B" w:rsidRPr="00622C4B">
          <w:rPr>
            <w:rStyle w:val="Hyperlink"/>
            <w:rFonts w:ascii="Times New Roman" w:hAnsi="Times New Roman" w:cs="Times New Roman"/>
            <w:i w:val="0"/>
            <w:noProof/>
            <w:sz w:val="24"/>
            <w:szCs w:val="24"/>
          </w:rPr>
          <w:t>1.1.1.</w:t>
        </w:r>
        <w:r w:rsidR="0066100B" w:rsidRPr="00622C4B">
          <w:rPr>
            <w:noProof/>
            <w:sz w:val="24"/>
            <w:szCs w:val="24"/>
            <w:lang w:val="en-US" w:eastAsia="en-US"/>
          </w:rPr>
          <w:tab/>
        </w:r>
        <w:r w:rsidR="0066100B" w:rsidRPr="00622C4B">
          <w:rPr>
            <w:rStyle w:val="Hyperlink"/>
            <w:rFonts w:ascii="Times New Roman" w:hAnsi="Times New Roman" w:cs="Times New Roman"/>
            <w:noProof/>
            <w:sz w:val="24"/>
            <w:szCs w:val="24"/>
          </w:rPr>
          <w:t>Racionalios finansinės elgsenos koncepcija</w:t>
        </w:r>
        <w:r w:rsidR="0066100B" w:rsidRPr="00622C4B">
          <w:rPr>
            <w:rFonts w:ascii="Times New Roman" w:hAnsi="Times New Roman" w:cs="Times New Roman"/>
            <w:noProof/>
            <w:webHidden/>
            <w:sz w:val="24"/>
            <w:szCs w:val="24"/>
          </w:rPr>
          <w:tab/>
        </w:r>
        <w:r w:rsidRPr="00622C4B">
          <w:rPr>
            <w:rFonts w:ascii="Times New Roman" w:hAnsi="Times New Roman" w:cs="Times New Roman"/>
            <w:i w:val="0"/>
            <w:noProof/>
            <w:webHidden/>
            <w:sz w:val="24"/>
            <w:szCs w:val="24"/>
          </w:rPr>
          <w:fldChar w:fldCharType="begin"/>
        </w:r>
        <w:r w:rsidR="0066100B" w:rsidRPr="00622C4B">
          <w:rPr>
            <w:rFonts w:ascii="Times New Roman" w:hAnsi="Times New Roman" w:cs="Times New Roman"/>
            <w:i w:val="0"/>
            <w:noProof/>
            <w:webHidden/>
            <w:sz w:val="24"/>
            <w:szCs w:val="24"/>
          </w:rPr>
          <w:instrText xml:space="preserve"> PAGEREF _Toc343636875 \h </w:instrText>
        </w:r>
        <w:r w:rsidRPr="00622C4B">
          <w:rPr>
            <w:rFonts w:ascii="Times New Roman" w:hAnsi="Times New Roman" w:cs="Times New Roman"/>
            <w:i w:val="0"/>
            <w:noProof/>
            <w:webHidden/>
            <w:sz w:val="24"/>
            <w:szCs w:val="24"/>
          </w:rPr>
        </w:r>
        <w:r w:rsidRPr="00622C4B">
          <w:rPr>
            <w:rFonts w:ascii="Times New Roman" w:hAnsi="Times New Roman" w:cs="Times New Roman"/>
            <w:i w:val="0"/>
            <w:noProof/>
            <w:webHidden/>
            <w:sz w:val="24"/>
            <w:szCs w:val="24"/>
          </w:rPr>
          <w:fldChar w:fldCharType="separate"/>
        </w:r>
        <w:r w:rsidR="0066100B" w:rsidRPr="00622C4B">
          <w:rPr>
            <w:rFonts w:ascii="Times New Roman" w:hAnsi="Times New Roman" w:cs="Times New Roman"/>
            <w:i w:val="0"/>
            <w:noProof/>
            <w:webHidden/>
            <w:sz w:val="24"/>
            <w:szCs w:val="24"/>
          </w:rPr>
          <w:t>12</w:t>
        </w:r>
        <w:r w:rsidRPr="00622C4B">
          <w:rPr>
            <w:rFonts w:ascii="Times New Roman" w:hAnsi="Times New Roman" w:cs="Times New Roman"/>
            <w:i w:val="0"/>
            <w:noProof/>
            <w:webHidden/>
            <w:sz w:val="24"/>
            <w:szCs w:val="24"/>
          </w:rPr>
          <w:fldChar w:fldCharType="end"/>
        </w:r>
      </w:hyperlink>
    </w:p>
    <w:p w:rsidR="0066100B" w:rsidRPr="00622C4B" w:rsidRDefault="00D84BC4" w:rsidP="00622C4B">
      <w:pPr>
        <w:pStyle w:val="TOC3"/>
        <w:spacing w:line="380" w:lineRule="atLeast"/>
        <w:rPr>
          <w:noProof/>
          <w:sz w:val="24"/>
          <w:szCs w:val="24"/>
          <w:lang w:val="en-US" w:eastAsia="en-US"/>
        </w:rPr>
      </w:pPr>
      <w:hyperlink w:anchor="_Toc343636876" w:history="1">
        <w:r w:rsidR="0066100B" w:rsidRPr="00622C4B">
          <w:rPr>
            <w:rStyle w:val="Hyperlink"/>
            <w:rFonts w:ascii="Times New Roman" w:hAnsi="Times New Roman" w:cs="Times New Roman"/>
            <w:i w:val="0"/>
            <w:noProof/>
            <w:sz w:val="24"/>
            <w:szCs w:val="24"/>
          </w:rPr>
          <w:t>1.1.2.</w:t>
        </w:r>
        <w:r w:rsidR="0066100B" w:rsidRPr="00622C4B">
          <w:rPr>
            <w:noProof/>
            <w:sz w:val="24"/>
            <w:szCs w:val="24"/>
            <w:lang w:val="en-US" w:eastAsia="en-US"/>
          </w:rPr>
          <w:tab/>
        </w:r>
        <w:r w:rsidR="0066100B" w:rsidRPr="00622C4B">
          <w:rPr>
            <w:rStyle w:val="Hyperlink"/>
            <w:rFonts w:ascii="Times New Roman" w:hAnsi="Times New Roman" w:cs="Times New Roman"/>
            <w:noProof/>
            <w:sz w:val="24"/>
            <w:szCs w:val="24"/>
          </w:rPr>
          <w:t>Veiksniai, lemiantys neracionalią finansinę elgseną</w:t>
        </w:r>
        <w:r w:rsidR="0066100B" w:rsidRPr="00622C4B">
          <w:rPr>
            <w:rFonts w:ascii="Times New Roman" w:hAnsi="Times New Roman" w:cs="Times New Roman"/>
            <w:noProof/>
            <w:webHidden/>
            <w:sz w:val="24"/>
            <w:szCs w:val="24"/>
          </w:rPr>
          <w:tab/>
        </w:r>
        <w:r w:rsidRPr="00622C4B">
          <w:rPr>
            <w:rFonts w:ascii="Times New Roman" w:hAnsi="Times New Roman" w:cs="Times New Roman"/>
            <w:i w:val="0"/>
            <w:noProof/>
            <w:webHidden/>
            <w:sz w:val="24"/>
            <w:szCs w:val="24"/>
          </w:rPr>
          <w:fldChar w:fldCharType="begin"/>
        </w:r>
        <w:r w:rsidR="0066100B" w:rsidRPr="00622C4B">
          <w:rPr>
            <w:rFonts w:ascii="Times New Roman" w:hAnsi="Times New Roman" w:cs="Times New Roman"/>
            <w:i w:val="0"/>
            <w:noProof/>
            <w:webHidden/>
            <w:sz w:val="24"/>
            <w:szCs w:val="24"/>
          </w:rPr>
          <w:instrText xml:space="preserve"> PAGEREF _Toc343636876 \h </w:instrText>
        </w:r>
        <w:r w:rsidRPr="00622C4B">
          <w:rPr>
            <w:rFonts w:ascii="Times New Roman" w:hAnsi="Times New Roman" w:cs="Times New Roman"/>
            <w:i w:val="0"/>
            <w:noProof/>
            <w:webHidden/>
            <w:sz w:val="24"/>
            <w:szCs w:val="24"/>
          </w:rPr>
        </w:r>
        <w:r w:rsidRPr="00622C4B">
          <w:rPr>
            <w:rFonts w:ascii="Times New Roman" w:hAnsi="Times New Roman" w:cs="Times New Roman"/>
            <w:i w:val="0"/>
            <w:noProof/>
            <w:webHidden/>
            <w:sz w:val="24"/>
            <w:szCs w:val="24"/>
          </w:rPr>
          <w:fldChar w:fldCharType="separate"/>
        </w:r>
        <w:r w:rsidR="0066100B" w:rsidRPr="00622C4B">
          <w:rPr>
            <w:rFonts w:ascii="Times New Roman" w:hAnsi="Times New Roman" w:cs="Times New Roman"/>
            <w:i w:val="0"/>
            <w:noProof/>
            <w:webHidden/>
            <w:sz w:val="24"/>
            <w:szCs w:val="24"/>
          </w:rPr>
          <w:t>14</w:t>
        </w:r>
        <w:r w:rsidRPr="00622C4B">
          <w:rPr>
            <w:rFonts w:ascii="Times New Roman" w:hAnsi="Times New Roman" w:cs="Times New Roman"/>
            <w:i w:val="0"/>
            <w:noProof/>
            <w:webHidden/>
            <w:sz w:val="24"/>
            <w:szCs w:val="24"/>
          </w:rPr>
          <w:fldChar w:fldCharType="end"/>
        </w:r>
      </w:hyperlink>
    </w:p>
    <w:p w:rsidR="0066100B" w:rsidRPr="00622C4B" w:rsidRDefault="00D84BC4" w:rsidP="00622C4B">
      <w:pPr>
        <w:pStyle w:val="TOC3"/>
        <w:spacing w:line="380" w:lineRule="atLeast"/>
        <w:rPr>
          <w:noProof/>
          <w:sz w:val="24"/>
          <w:szCs w:val="24"/>
          <w:lang w:val="en-US" w:eastAsia="en-US"/>
        </w:rPr>
      </w:pPr>
      <w:hyperlink w:anchor="_Toc343636877" w:history="1">
        <w:r w:rsidR="0066100B" w:rsidRPr="00622C4B">
          <w:rPr>
            <w:rStyle w:val="Hyperlink"/>
            <w:rFonts w:ascii="Times New Roman" w:hAnsi="Times New Roman" w:cs="Times New Roman"/>
            <w:i w:val="0"/>
            <w:noProof/>
            <w:sz w:val="24"/>
            <w:szCs w:val="24"/>
          </w:rPr>
          <w:t>1.1.3.</w:t>
        </w:r>
        <w:r w:rsidR="0066100B" w:rsidRPr="00622C4B">
          <w:rPr>
            <w:noProof/>
            <w:sz w:val="24"/>
            <w:szCs w:val="24"/>
            <w:lang w:val="en-US" w:eastAsia="en-US"/>
          </w:rPr>
          <w:tab/>
        </w:r>
        <w:r w:rsidR="0066100B" w:rsidRPr="00622C4B">
          <w:rPr>
            <w:rStyle w:val="Hyperlink"/>
            <w:rFonts w:ascii="Times New Roman" w:hAnsi="Times New Roman" w:cs="Times New Roman"/>
            <w:noProof/>
            <w:sz w:val="24"/>
            <w:szCs w:val="24"/>
          </w:rPr>
          <w:t>Lietuvos gyventojų finansinės elgsenos problemos</w:t>
        </w:r>
        <w:r w:rsidR="0066100B" w:rsidRPr="00622C4B">
          <w:rPr>
            <w:rFonts w:ascii="Times New Roman" w:hAnsi="Times New Roman" w:cs="Times New Roman"/>
            <w:i w:val="0"/>
            <w:noProof/>
            <w:webHidden/>
            <w:sz w:val="24"/>
            <w:szCs w:val="24"/>
          </w:rPr>
          <w:tab/>
        </w:r>
        <w:r w:rsidRPr="00622C4B">
          <w:rPr>
            <w:rFonts w:ascii="Times New Roman" w:hAnsi="Times New Roman" w:cs="Times New Roman"/>
            <w:i w:val="0"/>
            <w:noProof/>
            <w:webHidden/>
            <w:sz w:val="24"/>
            <w:szCs w:val="24"/>
          </w:rPr>
          <w:fldChar w:fldCharType="begin"/>
        </w:r>
        <w:r w:rsidR="0066100B" w:rsidRPr="00622C4B">
          <w:rPr>
            <w:rFonts w:ascii="Times New Roman" w:hAnsi="Times New Roman" w:cs="Times New Roman"/>
            <w:i w:val="0"/>
            <w:noProof/>
            <w:webHidden/>
            <w:sz w:val="24"/>
            <w:szCs w:val="24"/>
          </w:rPr>
          <w:instrText xml:space="preserve"> PAGEREF _Toc343636877 \h </w:instrText>
        </w:r>
        <w:r w:rsidRPr="00622C4B">
          <w:rPr>
            <w:rFonts w:ascii="Times New Roman" w:hAnsi="Times New Roman" w:cs="Times New Roman"/>
            <w:i w:val="0"/>
            <w:noProof/>
            <w:webHidden/>
            <w:sz w:val="24"/>
            <w:szCs w:val="24"/>
          </w:rPr>
        </w:r>
        <w:r w:rsidRPr="00622C4B">
          <w:rPr>
            <w:rFonts w:ascii="Times New Roman" w:hAnsi="Times New Roman" w:cs="Times New Roman"/>
            <w:i w:val="0"/>
            <w:noProof/>
            <w:webHidden/>
            <w:sz w:val="24"/>
            <w:szCs w:val="24"/>
          </w:rPr>
          <w:fldChar w:fldCharType="separate"/>
        </w:r>
        <w:r w:rsidR="0066100B" w:rsidRPr="00622C4B">
          <w:rPr>
            <w:rFonts w:ascii="Times New Roman" w:hAnsi="Times New Roman" w:cs="Times New Roman"/>
            <w:i w:val="0"/>
            <w:noProof/>
            <w:webHidden/>
            <w:sz w:val="24"/>
            <w:szCs w:val="24"/>
          </w:rPr>
          <w:t>20</w:t>
        </w:r>
        <w:r w:rsidRPr="00622C4B">
          <w:rPr>
            <w:rFonts w:ascii="Times New Roman" w:hAnsi="Times New Roman" w:cs="Times New Roman"/>
            <w:i w:val="0"/>
            <w:noProof/>
            <w:webHidden/>
            <w:sz w:val="24"/>
            <w:szCs w:val="24"/>
          </w:rPr>
          <w:fldChar w:fldCharType="end"/>
        </w:r>
      </w:hyperlink>
    </w:p>
    <w:p w:rsidR="0066100B" w:rsidRPr="00622C4B" w:rsidRDefault="00D84BC4" w:rsidP="00622C4B">
      <w:pPr>
        <w:pStyle w:val="TOC2"/>
        <w:spacing w:line="380" w:lineRule="atLeast"/>
        <w:rPr>
          <w:sz w:val="24"/>
          <w:szCs w:val="24"/>
          <w:lang w:val="en-US" w:eastAsia="en-US"/>
        </w:rPr>
      </w:pPr>
      <w:hyperlink w:anchor="_Toc343636878" w:history="1">
        <w:r w:rsidR="0066100B" w:rsidRPr="00622C4B">
          <w:rPr>
            <w:rStyle w:val="Hyperlink"/>
            <w:sz w:val="24"/>
            <w:szCs w:val="24"/>
          </w:rPr>
          <w:t>1.2.</w:t>
        </w:r>
        <w:r w:rsidR="0066100B" w:rsidRPr="00622C4B">
          <w:rPr>
            <w:sz w:val="24"/>
            <w:szCs w:val="24"/>
            <w:lang w:val="en-US" w:eastAsia="en-US"/>
          </w:rPr>
          <w:tab/>
        </w:r>
        <w:r w:rsidR="0066100B" w:rsidRPr="00622C4B">
          <w:rPr>
            <w:rStyle w:val="Hyperlink"/>
            <w:sz w:val="24"/>
            <w:szCs w:val="24"/>
          </w:rPr>
          <w:t>Gyventojų finansinės elgsenos ypatumai socialinės apsaugos srityje</w:t>
        </w:r>
        <w:r w:rsidR="0066100B" w:rsidRPr="00622C4B">
          <w:rPr>
            <w:webHidden/>
            <w:sz w:val="24"/>
            <w:szCs w:val="24"/>
          </w:rPr>
          <w:tab/>
        </w:r>
        <w:r w:rsidRPr="00622C4B">
          <w:rPr>
            <w:webHidden/>
            <w:sz w:val="24"/>
            <w:szCs w:val="24"/>
          </w:rPr>
          <w:fldChar w:fldCharType="begin"/>
        </w:r>
        <w:r w:rsidR="0066100B" w:rsidRPr="00622C4B">
          <w:rPr>
            <w:webHidden/>
            <w:sz w:val="24"/>
            <w:szCs w:val="24"/>
          </w:rPr>
          <w:instrText xml:space="preserve"> PAGEREF _Toc343636878 \h </w:instrText>
        </w:r>
        <w:r w:rsidRPr="00622C4B">
          <w:rPr>
            <w:webHidden/>
            <w:sz w:val="24"/>
            <w:szCs w:val="24"/>
          </w:rPr>
        </w:r>
        <w:r w:rsidRPr="00622C4B">
          <w:rPr>
            <w:webHidden/>
            <w:sz w:val="24"/>
            <w:szCs w:val="24"/>
          </w:rPr>
          <w:fldChar w:fldCharType="separate"/>
        </w:r>
        <w:r w:rsidR="0066100B" w:rsidRPr="00622C4B">
          <w:rPr>
            <w:webHidden/>
            <w:sz w:val="24"/>
            <w:szCs w:val="24"/>
          </w:rPr>
          <w:t>23</w:t>
        </w:r>
        <w:r w:rsidRPr="00622C4B">
          <w:rPr>
            <w:webHidden/>
            <w:sz w:val="24"/>
            <w:szCs w:val="24"/>
          </w:rPr>
          <w:fldChar w:fldCharType="end"/>
        </w:r>
      </w:hyperlink>
    </w:p>
    <w:p w:rsidR="0066100B" w:rsidRPr="00622C4B" w:rsidRDefault="00D84BC4" w:rsidP="00622C4B">
      <w:pPr>
        <w:pStyle w:val="TOC3"/>
        <w:spacing w:line="380" w:lineRule="atLeast"/>
        <w:rPr>
          <w:noProof/>
          <w:sz w:val="24"/>
          <w:szCs w:val="24"/>
          <w:lang w:val="en-US" w:eastAsia="en-US"/>
        </w:rPr>
      </w:pPr>
      <w:hyperlink w:anchor="_Toc343636879" w:history="1">
        <w:r w:rsidR="0066100B" w:rsidRPr="00622C4B">
          <w:rPr>
            <w:rStyle w:val="Hyperlink"/>
            <w:rFonts w:ascii="Times New Roman" w:hAnsi="Times New Roman" w:cs="Times New Roman"/>
            <w:i w:val="0"/>
            <w:noProof/>
            <w:sz w:val="24"/>
            <w:szCs w:val="24"/>
          </w:rPr>
          <w:t>1.2.1.</w:t>
        </w:r>
        <w:r w:rsidR="0066100B" w:rsidRPr="00622C4B">
          <w:rPr>
            <w:noProof/>
            <w:sz w:val="24"/>
            <w:szCs w:val="24"/>
            <w:lang w:val="en-US" w:eastAsia="en-US"/>
          </w:rPr>
          <w:tab/>
        </w:r>
        <w:r w:rsidR="0066100B" w:rsidRPr="00622C4B">
          <w:rPr>
            <w:rStyle w:val="Hyperlink"/>
            <w:rFonts w:ascii="Times New Roman" w:hAnsi="Times New Roman" w:cs="Times New Roman"/>
            <w:noProof/>
            <w:sz w:val="24"/>
            <w:szCs w:val="24"/>
          </w:rPr>
          <w:t>Teorinis gyventojo, kaip išmokų gavėjo, vaidmuo socialinės apsaugos sistemoje</w:t>
        </w:r>
        <w:r w:rsidR="0066100B" w:rsidRPr="00622C4B">
          <w:rPr>
            <w:rFonts w:ascii="Times New Roman" w:hAnsi="Times New Roman" w:cs="Times New Roman"/>
            <w:noProof/>
            <w:webHidden/>
            <w:sz w:val="24"/>
            <w:szCs w:val="24"/>
          </w:rPr>
          <w:tab/>
        </w:r>
        <w:r w:rsidRPr="00622C4B">
          <w:rPr>
            <w:rFonts w:ascii="Times New Roman" w:hAnsi="Times New Roman" w:cs="Times New Roman"/>
            <w:i w:val="0"/>
            <w:noProof/>
            <w:webHidden/>
            <w:sz w:val="24"/>
            <w:szCs w:val="24"/>
          </w:rPr>
          <w:fldChar w:fldCharType="begin"/>
        </w:r>
        <w:r w:rsidR="0066100B" w:rsidRPr="00622C4B">
          <w:rPr>
            <w:rFonts w:ascii="Times New Roman" w:hAnsi="Times New Roman" w:cs="Times New Roman"/>
            <w:i w:val="0"/>
            <w:noProof/>
            <w:webHidden/>
            <w:sz w:val="24"/>
            <w:szCs w:val="24"/>
          </w:rPr>
          <w:instrText xml:space="preserve"> PAGEREF _Toc343636879 \h </w:instrText>
        </w:r>
        <w:r w:rsidRPr="00622C4B">
          <w:rPr>
            <w:rFonts w:ascii="Times New Roman" w:hAnsi="Times New Roman" w:cs="Times New Roman"/>
            <w:i w:val="0"/>
            <w:noProof/>
            <w:webHidden/>
            <w:sz w:val="24"/>
            <w:szCs w:val="24"/>
          </w:rPr>
        </w:r>
        <w:r w:rsidRPr="00622C4B">
          <w:rPr>
            <w:rFonts w:ascii="Times New Roman" w:hAnsi="Times New Roman" w:cs="Times New Roman"/>
            <w:i w:val="0"/>
            <w:noProof/>
            <w:webHidden/>
            <w:sz w:val="24"/>
            <w:szCs w:val="24"/>
          </w:rPr>
          <w:fldChar w:fldCharType="separate"/>
        </w:r>
        <w:r w:rsidR="0066100B" w:rsidRPr="00622C4B">
          <w:rPr>
            <w:rFonts w:ascii="Times New Roman" w:hAnsi="Times New Roman" w:cs="Times New Roman"/>
            <w:i w:val="0"/>
            <w:noProof/>
            <w:webHidden/>
            <w:sz w:val="24"/>
            <w:szCs w:val="24"/>
          </w:rPr>
          <w:t>24</w:t>
        </w:r>
        <w:r w:rsidRPr="00622C4B">
          <w:rPr>
            <w:rFonts w:ascii="Times New Roman" w:hAnsi="Times New Roman" w:cs="Times New Roman"/>
            <w:i w:val="0"/>
            <w:noProof/>
            <w:webHidden/>
            <w:sz w:val="24"/>
            <w:szCs w:val="24"/>
          </w:rPr>
          <w:fldChar w:fldCharType="end"/>
        </w:r>
      </w:hyperlink>
    </w:p>
    <w:p w:rsidR="0066100B" w:rsidRPr="00622C4B" w:rsidRDefault="00D84BC4" w:rsidP="00622C4B">
      <w:pPr>
        <w:pStyle w:val="TOC3"/>
        <w:spacing w:line="380" w:lineRule="atLeast"/>
        <w:rPr>
          <w:noProof/>
          <w:sz w:val="24"/>
          <w:szCs w:val="24"/>
          <w:lang w:val="en-US" w:eastAsia="en-US"/>
        </w:rPr>
      </w:pPr>
      <w:hyperlink w:anchor="_Toc343636880" w:history="1">
        <w:r w:rsidR="0066100B" w:rsidRPr="00622C4B">
          <w:rPr>
            <w:rStyle w:val="Hyperlink"/>
            <w:rFonts w:ascii="Times New Roman" w:hAnsi="Times New Roman" w:cs="Times New Roman"/>
            <w:i w:val="0"/>
            <w:noProof/>
            <w:sz w:val="24"/>
            <w:szCs w:val="24"/>
          </w:rPr>
          <w:t>1.2.2.</w:t>
        </w:r>
        <w:r w:rsidR="0066100B" w:rsidRPr="00622C4B">
          <w:rPr>
            <w:noProof/>
            <w:sz w:val="24"/>
            <w:szCs w:val="24"/>
            <w:lang w:val="en-US" w:eastAsia="en-US"/>
          </w:rPr>
          <w:tab/>
        </w:r>
        <w:r w:rsidR="0066100B" w:rsidRPr="00622C4B">
          <w:rPr>
            <w:rStyle w:val="Hyperlink"/>
            <w:rFonts w:ascii="Times New Roman" w:hAnsi="Times New Roman" w:cs="Times New Roman"/>
            <w:noProof/>
            <w:sz w:val="24"/>
            <w:szCs w:val="24"/>
          </w:rPr>
          <w:t>Pasirinkimą pajamas formuoti iš socialinės apsaugos lėšų lemiantys veiksniai</w:t>
        </w:r>
        <w:r w:rsidR="0066100B" w:rsidRPr="00622C4B">
          <w:rPr>
            <w:rFonts w:ascii="Times New Roman" w:hAnsi="Times New Roman" w:cs="Times New Roman"/>
            <w:noProof/>
            <w:webHidden/>
            <w:sz w:val="24"/>
            <w:szCs w:val="24"/>
          </w:rPr>
          <w:tab/>
        </w:r>
        <w:r w:rsidRPr="00622C4B">
          <w:rPr>
            <w:rFonts w:ascii="Times New Roman" w:hAnsi="Times New Roman" w:cs="Times New Roman"/>
            <w:i w:val="0"/>
            <w:noProof/>
            <w:webHidden/>
            <w:sz w:val="24"/>
            <w:szCs w:val="24"/>
          </w:rPr>
          <w:fldChar w:fldCharType="begin"/>
        </w:r>
        <w:r w:rsidR="0066100B" w:rsidRPr="00622C4B">
          <w:rPr>
            <w:rFonts w:ascii="Times New Roman" w:hAnsi="Times New Roman" w:cs="Times New Roman"/>
            <w:i w:val="0"/>
            <w:noProof/>
            <w:webHidden/>
            <w:sz w:val="24"/>
            <w:szCs w:val="24"/>
          </w:rPr>
          <w:instrText xml:space="preserve"> PAGEREF _Toc343636880 \h </w:instrText>
        </w:r>
        <w:r w:rsidRPr="00622C4B">
          <w:rPr>
            <w:rFonts w:ascii="Times New Roman" w:hAnsi="Times New Roman" w:cs="Times New Roman"/>
            <w:i w:val="0"/>
            <w:noProof/>
            <w:webHidden/>
            <w:sz w:val="24"/>
            <w:szCs w:val="24"/>
          </w:rPr>
        </w:r>
        <w:r w:rsidRPr="00622C4B">
          <w:rPr>
            <w:rFonts w:ascii="Times New Roman" w:hAnsi="Times New Roman" w:cs="Times New Roman"/>
            <w:i w:val="0"/>
            <w:noProof/>
            <w:webHidden/>
            <w:sz w:val="24"/>
            <w:szCs w:val="24"/>
          </w:rPr>
          <w:fldChar w:fldCharType="separate"/>
        </w:r>
        <w:r w:rsidR="0066100B" w:rsidRPr="00622C4B">
          <w:rPr>
            <w:rFonts w:ascii="Times New Roman" w:hAnsi="Times New Roman" w:cs="Times New Roman"/>
            <w:i w:val="0"/>
            <w:noProof/>
            <w:webHidden/>
            <w:sz w:val="24"/>
            <w:szCs w:val="24"/>
          </w:rPr>
          <w:t>25</w:t>
        </w:r>
        <w:r w:rsidRPr="00622C4B">
          <w:rPr>
            <w:rFonts w:ascii="Times New Roman" w:hAnsi="Times New Roman" w:cs="Times New Roman"/>
            <w:i w:val="0"/>
            <w:noProof/>
            <w:webHidden/>
            <w:sz w:val="24"/>
            <w:szCs w:val="24"/>
          </w:rPr>
          <w:fldChar w:fldCharType="end"/>
        </w:r>
      </w:hyperlink>
    </w:p>
    <w:p w:rsidR="0066100B" w:rsidRPr="00622C4B" w:rsidRDefault="00D84BC4" w:rsidP="00622C4B">
      <w:pPr>
        <w:pStyle w:val="TOC1"/>
        <w:spacing w:line="380" w:lineRule="atLeast"/>
        <w:rPr>
          <w:noProof/>
          <w:sz w:val="24"/>
          <w:szCs w:val="24"/>
          <w:lang w:val="en-US" w:eastAsia="en-US"/>
        </w:rPr>
      </w:pPr>
      <w:hyperlink w:anchor="_Toc343636881" w:history="1">
        <w:r w:rsidR="0066100B" w:rsidRPr="00622C4B">
          <w:rPr>
            <w:rStyle w:val="Hyperlink"/>
            <w:rFonts w:ascii="Times New Roman" w:hAnsi="Times New Roman" w:cs="Times New Roman"/>
            <w:noProof/>
            <w:sz w:val="24"/>
            <w:szCs w:val="24"/>
          </w:rPr>
          <w:t>2.</w:t>
        </w:r>
        <w:r w:rsidR="0066100B" w:rsidRPr="00622C4B">
          <w:rPr>
            <w:noProof/>
            <w:sz w:val="24"/>
            <w:szCs w:val="24"/>
            <w:lang w:val="en-US" w:eastAsia="en-US"/>
          </w:rPr>
          <w:tab/>
        </w:r>
        <w:r w:rsidR="0066100B" w:rsidRPr="00622C4B">
          <w:rPr>
            <w:rStyle w:val="Hyperlink"/>
            <w:rFonts w:ascii="Times New Roman" w:hAnsi="Times New Roman" w:cs="Times New Roman"/>
            <w:noProof/>
            <w:sz w:val="24"/>
            <w:szCs w:val="24"/>
          </w:rPr>
          <w:t>GYVENTOJŲ FINANSINĖS ELGSENOS VERTINIMO METODOLOGIJA</w:t>
        </w:r>
        <w:r w:rsidR="0066100B" w:rsidRPr="00622C4B">
          <w:rPr>
            <w:rFonts w:ascii="Times New Roman" w:hAnsi="Times New Roman" w:cs="Times New Roman"/>
            <w:b w:val="0"/>
            <w:noProof/>
            <w:webHidden/>
            <w:sz w:val="24"/>
            <w:szCs w:val="24"/>
          </w:rPr>
          <w:tab/>
        </w:r>
        <w:r w:rsidRPr="00622C4B">
          <w:rPr>
            <w:rFonts w:ascii="Times New Roman" w:hAnsi="Times New Roman" w:cs="Times New Roman"/>
            <w:b w:val="0"/>
            <w:noProof/>
            <w:webHidden/>
            <w:sz w:val="24"/>
            <w:szCs w:val="24"/>
          </w:rPr>
          <w:fldChar w:fldCharType="begin"/>
        </w:r>
        <w:r w:rsidR="0066100B" w:rsidRPr="00622C4B">
          <w:rPr>
            <w:rFonts w:ascii="Times New Roman" w:hAnsi="Times New Roman" w:cs="Times New Roman"/>
            <w:b w:val="0"/>
            <w:noProof/>
            <w:webHidden/>
            <w:sz w:val="24"/>
            <w:szCs w:val="24"/>
          </w:rPr>
          <w:instrText xml:space="preserve"> PAGEREF _Toc343636881 \h </w:instrText>
        </w:r>
        <w:r w:rsidRPr="00622C4B">
          <w:rPr>
            <w:rFonts w:ascii="Times New Roman" w:hAnsi="Times New Roman" w:cs="Times New Roman"/>
            <w:b w:val="0"/>
            <w:noProof/>
            <w:webHidden/>
            <w:sz w:val="24"/>
            <w:szCs w:val="24"/>
          </w:rPr>
        </w:r>
        <w:r w:rsidRPr="00622C4B">
          <w:rPr>
            <w:rFonts w:ascii="Times New Roman" w:hAnsi="Times New Roman" w:cs="Times New Roman"/>
            <w:b w:val="0"/>
            <w:noProof/>
            <w:webHidden/>
            <w:sz w:val="24"/>
            <w:szCs w:val="24"/>
          </w:rPr>
          <w:fldChar w:fldCharType="separate"/>
        </w:r>
        <w:r w:rsidR="0066100B" w:rsidRPr="00622C4B">
          <w:rPr>
            <w:rFonts w:ascii="Times New Roman" w:hAnsi="Times New Roman" w:cs="Times New Roman"/>
            <w:b w:val="0"/>
            <w:noProof/>
            <w:webHidden/>
            <w:sz w:val="24"/>
            <w:szCs w:val="24"/>
          </w:rPr>
          <w:t>33</w:t>
        </w:r>
        <w:r w:rsidRPr="00622C4B">
          <w:rPr>
            <w:rFonts w:ascii="Times New Roman" w:hAnsi="Times New Roman" w:cs="Times New Roman"/>
            <w:b w:val="0"/>
            <w:noProof/>
            <w:webHidden/>
            <w:sz w:val="24"/>
            <w:szCs w:val="24"/>
          </w:rPr>
          <w:fldChar w:fldCharType="end"/>
        </w:r>
      </w:hyperlink>
    </w:p>
    <w:p w:rsidR="0066100B" w:rsidRPr="00622C4B" w:rsidRDefault="00D84BC4" w:rsidP="00622C4B">
      <w:pPr>
        <w:pStyle w:val="TOC2"/>
        <w:spacing w:line="380" w:lineRule="atLeast"/>
        <w:rPr>
          <w:sz w:val="24"/>
          <w:szCs w:val="24"/>
          <w:lang w:val="en-US" w:eastAsia="en-US"/>
        </w:rPr>
      </w:pPr>
      <w:hyperlink w:anchor="_Toc343636882" w:history="1">
        <w:r w:rsidR="0066100B" w:rsidRPr="00622C4B">
          <w:rPr>
            <w:rStyle w:val="Hyperlink"/>
            <w:sz w:val="24"/>
            <w:szCs w:val="24"/>
          </w:rPr>
          <w:t>2.1.</w:t>
        </w:r>
        <w:r w:rsidR="0066100B" w:rsidRPr="00622C4B">
          <w:rPr>
            <w:sz w:val="24"/>
            <w:szCs w:val="24"/>
            <w:lang w:val="en-US" w:eastAsia="en-US"/>
          </w:rPr>
          <w:tab/>
        </w:r>
        <w:r w:rsidR="0066100B" w:rsidRPr="00622C4B">
          <w:rPr>
            <w:rStyle w:val="Hyperlink"/>
            <w:sz w:val="24"/>
            <w:szCs w:val="24"/>
          </w:rPr>
          <w:t>Gyventojų finansinės elgsenos vertinimo sudėtingumas</w:t>
        </w:r>
        <w:r w:rsidR="0066100B" w:rsidRPr="00622C4B">
          <w:rPr>
            <w:webHidden/>
            <w:sz w:val="24"/>
            <w:szCs w:val="24"/>
          </w:rPr>
          <w:tab/>
        </w:r>
        <w:r w:rsidRPr="00622C4B">
          <w:rPr>
            <w:webHidden/>
            <w:sz w:val="24"/>
            <w:szCs w:val="24"/>
          </w:rPr>
          <w:fldChar w:fldCharType="begin"/>
        </w:r>
        <w:r w:rsidR="0066100B" w:rsidRPr="00622C4B">
          <w:rPr>
            <w:webHidden/>
            <w:sz w:val="24"/>
            <w:szCs w:val="24"/>
          </w:rPr>
          <w:instrText xml:space="preserve"> PAGEREF _Toc343636882 \h </w:instrText>
        </w:r>
        <w:r w:rsidRPr="00622C4B">
          <w:rPr>
            <w:webHidden/>
            <w:sz w:val="24"/>
            <w:szCs w:val="24"/>
          </w:rPr>
        </w:r>
        <w:r w:rsidRPr="00622C4B">
          <w:rPr>
            <w:webHidden/>
            <w:sz w:val="24"/>
            <w:szCs w:val="24"/>
          </w:rPr>
          <w:fldChar w:fldCharType="separate"/>
        </w:r>
        <w:r w:rsidR="0066100B" w:rsidRPr="00622C4B">
          <w:rPr>
            <w:webHidden/>
            <w:sz w:val="24"/>
            <w:szCs w:val="24"/>
          </w:rPr>
          <w:t>33</w:t>
        </w:r>
        <w:r w:rsidRPr="00622C4B">
          <w:rPr>
            <w:webHidden/>
            <w:sz w:val="24"/>
            <w:szCs w:val="24"/>
          </w:rPr>
          <w:fldChar w:fldCharType="end"/>
        </w:r>
      </w:hyperlink>
    </w:p>
    <w:p w:rsidR="0066100B" w:rsidRPr="00622C4B" w:rsidRDefault="00D84BC4" w:rsidP="00622C4B">
      <w:pPr>
        <w:pStyle w:val="TOC2"/>
        <w:spacing w:line="380" w:lineRule="atLeast"/>
        <w:rPr>
          <w:sz w:val="24"/>
          <w:szCs w:val="24"/>
          <w:lang w:val="en-US" w:eastAsia="en-US"/>
        </w:rPr>
      </w:pPr>
      <w:hyperlink w:anchor="_Toc343636883" w:history="1">
        <w:r w:rsidR="0066100B" w:rsidRPr="00622C4B">
          <w:rPr>
            <w:rStyle w:val="Hyperlink"/>
            <w:sz w:val="24"/>
            <w:szCs w:val="24"/>
          </w:rPr>
          <w:t>2.2.</w:t>
        </w:r>
        <w:r w:rsidR="0066100B" w:rsidRPr="00622C4B">
          <w:rPr>
            <w:sz w:val="24"/>
            <w:szCs w:val="24"/>
            <w:lang w:val="en-US" w:eastAsia="en-US"/>
          </w:rPr>
          <w:tab/>
        </w:r>
        <w:r w:rsidR="0066100B" w:rsidRPr="00622C4B">
          <w:rPr>
            <w:rStyle w:val="Hyperlink"/>
            <w:sz w:val="24"/>
            <w:szCs w:val="24"/>
          </w:rPr>
          <w:t>Teorinis socialinių išmokų gavėjų finansinės elgsenos vertinimo modelis</w:t>
        </w:r>
        <w:r w:rsidR="0066100B" w:rsidRPr="00622C4B">
          <w:rPr>
            <w:webHidden/>
            <w:sz w:val="24"/>
            <w:szCs w:val="24"/>
          </w:rPr>
          <w:tab/>
        </w:r>
        <w:r w:rsidRPr="00622C4B">
          <w:rPr>
            <w:webHidden/>
            <w:sz w:val="24"/>
            <w:szCs w:val="24"/>
          </w:rPr>
          <w:fldChar w:fldCharType="begin"/>
        </w:r>
        <w:r w:rsidR="0066100B" w:rsidRPr="00622C4B">
          <w:rPr>
            <w:webHidden/>
            <w:sz w:val="24"/>
            <w:szCs w:val="24"/>
          </w:rPr>
          <w:instrText xml:space="preserve"> PAGEREF _Toc343636883 \h </w:instrText>
        </w:r>
        <w:r w:rsidRPr="00622C4B">
          <w:rPr>
            <w:webHidden/>
            <w:sz w:val="24"/>
            <w:szCs w:val="24"/>
          </w:rPr>
        </w:r>
        <w:r w:rsidRPr="00622C4B">
          <w:rPr>
            <w:webHidden/>
            <w:sz w:val="24"/>
            <w:szCs w:val="24"/>
          </w:rPr>
          <w:fldChar w:fldCharType="separate"/>
        </w:r>
        <w:r w:rsidR="0066100B" w:rsidRPr="00622C4B">
          <w:rPr>
            <w:webHidden/>
            <w:sz w:val="24"/>
            <w:szCs w:val="24"/>
          </w:rPr>
          <w:t>34</w:t>
        </w:r>
        <w:r w:rsidRPr="00622C4B">
          <w:rPr>
            <w:webHidden/>
            <w:sz w:val="24"/>
            <w:szCs w:val="24"/>
          </w:rPr>
          <w:fldChar w:fldCharType="end"/>
        </w:r>
      </w:hyperlink>
    </w:p>
    <w:p w:rsidR="0066100B" w:rsidRPr="00622C4B" w:rsidRDefault="00D84BC4" w:rsidP="00622C4B">
      <w:pPr>
        <w:pStyle w:val="TOC2"/>
        <w:spacing w:line="380" w:lineRule="atLeast"/>
        <w:rPr>
          <w:sz w:val="24"/>
          <w:szCs w:val="24"/>
          <w:lang w:val="en-US" w:eastAsia="en-US"/>
        </w:rPr>
      </w:pPr>
      <w:hyperlink w:anchor="_Toc343636884" w:history="1">
        <w:r w:rsidR="0066100B" w:rsidRPr="00622C4B">
          <w:rPr>
            <w:rStyle w:val="Hyperlink"/>
            <w:sz w:val="24"/>
            <w:szCs w:val="24"/>
          </w:rPr>
          <w:t>2.3.</w:t>
        </w:r>
        <w:r w:rsidR="0066100B" w:rsidRPr="00622C4B">
          <w:rPr>
            <w:sz w:val="24"/>
            <w:szCs w:val="24"/>
            <w:lang w:val="en-US" w:eastAsia="en-US"/>
          </w:rPr>
          <w:tab/>
        </w:r>
        <w:r w:rsidR="0066100B" w:rsidRPr="00622C4B">
          <w:rPr>
            <w:rStyle w:val="Hyperlink"/>
            <w:sz w:val="24"/>
            <w:szCs w:val="24"/>
          </w:rPr>
          <w:t>Statistiniams tyrimams keliami reikalavimai ir jų įgyvendinimas</w:t>
        </w:r>
        <w:r w:rsidR="0066100B" w:rsidRPr="00622C4B">
          <w:rPr>
            <w:webHidden/>
            <w:sz w:val="24"/>
            <w:szCs w:val="24"/>
          </w:rPr>
          <w:tab/>
        </w:r>
        <w:r w:rsidRPr="00622C4B">
          <w:rPr>
            <w:webHidden/>
            <w:sz w:val="24"/>
            <w:szCs w:val="24"/>
          </w:rPr>
          <w:fldChar w:fldCharType="begin"/>
        </w:r>
        <w:r w:rsidR="0066100B" w:rsidRPr="00622C4B">
          <w:rPr>
            <w:webHidden/>
            <w:sz w:val="24"/>
            <w:szCs w:val="24"/>
          </w:rPr>
          <w:instrText xml:space="preserve"> PAGEREF _Toc343636884 \h </w:instrText>
        </w:r>
        <w:r w:rsidRPr="00622C4B">
          <w:rPr>
            <w:webHidden/>
            <w:sz w:val="24"/>
            <w:szCs w:val="24"/>
          </w:rPr>
        </w:r>
        <w:r w:rsidRPr="00622C4B">
          <w:rPr>
            <w:webHidden/>
            <w:sz w:val="24"/>
            <w:szCs w:val="24"/>
          </w:rPr>
          <w:fldChar w:fldCharType="separate"/>
        </w:r>
        <w:r w:rsidR="0066100B" w:rsidRPr="00622C4B">
          <w:rPr>
            <w:webHidden/>
            <w:sz w:val="24"/>
            <w:szCs w:val="24"/>
          </w:rPr>
          <w:t>36</w:t>
        </w:r>
        <w:r w:rsidRPr="00622C4B">
          <w:rPr>
            <w:webHidden/>
            <w:sz w:val="24"/>
            <w:szCs w:val="24"/>
          </w:rPr>
          <w:fldChar w:fldCharType="end"/>
        </w:r>
      </w:hyperlink>
    </w:p>
    <w:p w:rsidR="0066100B" w:rsidRPr="00622C4B" w:rsidRDefault="00D84BC4" w:rsidP="00622C4B">
      <w:pPr>
        <w:pStyle w:val="TOC1"/>
        <w:spacing w:line="380" w:lineRule="atLeast"/>
        <w:rPr>
          <w:noProof/>
          <w:sz w:val="24"/>
          <w:szCs w:val="24"/>
          <w:lang w:val="en-US" w:eastAsia="en-US"/>
        </w:rPr>
      </w:pPr>
      <w:hyperlink w:anchor="_Toc343636885" w:history="1">
        <w:r w:rsidR="0066100B" w:rsidRPr="00622C4B">
          <w:rPr>
            <w:rStyle w:val="Hyperlink"/>
            <w:rFonts w:ascii="Times New Roman" w:hAnsi="Times New Roman" w:cs="Times New Roman"/>
            <w:noProof/>
            <w:sz w:val="24"/>
            <w:szCs w:val="24"/>
          </w:rPr>
          <w:t>3.</w:t>
        </w:r>
        <w:r w:rsidR="0066100B" w:rsidRPr="00622C4B">
          <w:rPr>
            <w:noProof/>
            <w:sz w:val="24"/>
            <w:szCs w:val="24"/>
            <w:lang w:val="en-US" w:eastAsia="en-US"/>
          </w:rPr>
          <w:tab/>
        </w:r>
        <w:r w:rsidR="0066100B" w:rsidRPr="00622C4B">
          <w:rPr>
            <w:rStyle w:val="Hyperlink"/>
            <w:rFonts w:ascii="Times New Roman" w:hAnsi="Times New Roman" w:cs="Times New Roman"/>
            <w:noProof/>
            <w:sz w:val="24"/>
            <w:szCs w:val="24"/>
          </w:rPr>
          <w:t>NEDARBO SOCIALINIO DRAUDIMO IŠMOKAS IR / AR  SOCIALINĘ PARAMĄ GAUNANČIŲ LIETUVOS GYVENTOJŲ FINANSINĖS ELGSENOS VERTINIMAS</w:t>
        </w:r>
        <w:r w:rsidR="0066100B" w:rsidRPr="00622C4B">
          <w:rPr>
            <w:rFonts w:ascii="Times New Roman" w:hAnsi="Times New Roman" w:cs="Times New Roman"/>
            <w:b w:val="0"/>
            <w:noProof/>
            <w:webHidden/>
            <w:sz w:val="24"/>
            <w:szCs w:val="24"/>
          </w:rPr>
          <w:tab/>
        </w:r>
        <w:r w:rsidRPr="00622C4B">
          <w:rPr>
            <w:rFonts w:ascii="Times New Roman" w:hAnsi="Times New Roman" w:cs="Times New Roman"/>
            <w:b w:val="0"/>
            <w:noProof/>
            <w:webHidden/>
            <w:sz w:val="24"/>
            <w:szCs w:val="24"/>
          </w:rPr>
          <w:fldChar w:fldCharType="begin"/>
        </w:r>
        <w:r w:rsidR="0066100B" w:rsidRPr="00622C4B">
          <w:rPr>
            <w:rFonts w:ascii="Times New Roman" w:hAnsi="Times New Roman" w:cs="Times New Roman"/>
            <w:b w:val="0"/>
            <w:noProof/>
            <w:webHidden/>
            <w:sz w:val="24"/>
            <w:szCs w:val="24"/>
          </w:rPr>
          <w:instrText xml:space="preserve"> PAGEREF _Toc343636885 \h </w:instrText>
        </w:r>
        <w:r w:rsidRPr="00622C4B">
          <w:rPr>
            <w:rFonts w:ascii="Times New Roman" w:hAnsi="Times New Roman" w:cs="Times New Roman"/>
            <w:b w:val="0"/>
            <w:noProof/>
            <w:webHidden/>
            <w:sz w:val="24"/>
            <w:szCs w:val="24"/>
          </w:rPr>
        </w:r>
        <w:r w:rsidRPr="00622C4B">
          <w:rPr>
            <w:rFonts w:ascii="Times New Roman" w:hAnsi="Times New Roman" w:cs="Times New Roman"/>
            <w:b w:val="0"/>
            <w:noProof/>
            <w:webHidden/>
            <w:sz w:val="24"/>
            <w:szCs w:val="24"/>
          </w:rPr>
          <w:fldChar w:fldCharType="separate"/>
        </w:r>
        <w:r w:rsidR="0066100B" w:rsidRPr="00622C4B">
          <w:rPr>
            <w:rFonts w:ascii="Times New Roman" w:hAnsi="Times New Roman" w:cs="Times New Roman"/>
            <w:b w:val="0"/>
            <w:noProof/>
            <w:webHidden/>
            <w:sz w:val="24"/>
            <w:szCs w:val="24"/>
          </w:rPr>
          <w:t>39</w:t>
        </w:r>
        <w:r w:rsidRPr="00622C4B">
          <w:rPr>
            <w:rFonts w:ascii="Times New Roman" w:hAnsi="Times New Roman" w:cs="Times New Roman"/>
            <w:b w:val="0"/>
            <w:noProof/>
            <w:webHidden/>
            <w:sz w:val="24"/>
            <w:szCs w:val="24"/>
          </w:rPr>
          <w:fldChar w:fldCharType="end"/>
        </w:r>
      </w:hyperlink>
    </w:p>
    <w:p w:rsidR="0066100B" w:rsidRPr="00622C4B" w:rsidRDefault="00D84BC4" w:rsidP="00622C4B">
      <w:pPr>
        <w:pStyle w:val="TOC2"/>
        <w:spacing w:line="380" w:lineRule="atLeast"/>
        <w:rPr>
          <w:sz w:val="24"/>
          <w:szCs w:val="24"/>
          <w:lang w:val="en-US" w:eastAsia="en-US"/>
        </w:rPr>
      </w:pPr>
      <w:hyperlink w:anchor="_Toc343636886" w:history="1">
        <w:r w:rsidR="0066100B" w:rsidRPr="00622C4B">
          <w:rPr>
            <w:rStyle w:val="Hyperlink"/>
            <w:sz w:val="24"/>
            <w:szCs w:val="24"/>
          </w:rPr>
          <w:t>3.1.</w:t>
        </w:r>
        <w:r w:rsidR="0066100B" w:rsidRPr="00622C4B">
          <w:rPr>
            <w:sz w:val="24"/>
            <w:szCs w:val="24"/>
            <w:lang w:val="en-US" w:eastAsia="en-US"/>
          </w:rPr>
          <w:tab/>
        </w:r>
        <w:r w:rsidR="0066100B" w:rsidRPr="00622C4B">
          <w:rPr>
            <w:rStyle w:val="Hyperlink"/>
            <w:sz w:val="24"/>
            <w:szCs w:val="24"/>
          </w:rPr>
          <w:t>Veiksnių, lemiančių pajamų formavimą iš socialinės apsaugos lėšų, parinkimas</w:t>
        </w:r>
        <w:r w:rsidR="0066100B" w:rsidRPr="00622C4B">
          <w:rPr>
            <w:webHidden/>
            <w:sz w:val="24"/>
            <w:szCs w:val="24"/>
          </w:rPr>
          <w:tab/>
        </w:r>
        <w:r w:rsidRPr="00622C4B">
          <w:rPr>
            <w:webHidden/>
            <w:sz w:val="24"/>
            <w:szCs w:val="24"/>
          </w:rPr>
          <w:fldChar w:fldCharType="begin"/>
        </w:r>
        <w:r w:rsidR="0066100B" w:rsidRPr="00622C4B">
          <w:rPr>
            <w:webHidden/>
            <w:sz w:val="24"/>
            <w:szCs w:val="24"/>
          </w:rPr>
          <w:instrText xml:space="preserve"> PAGEREF _Toc343636886 \h </w:instrText>
        </w:r>
        <w:r w:rsidRPr="00622C4B">
          <w:rPr>
            <w:webHidden/>
            <w:sz w:val="24"/>
            <w:szCs w:val="24"/>
          </w:rPr>
        </w:r>
        <w:r w:rsidRPr="00622C4B">
          <w:rPr>
            <w:webHidden/>
            <w:sz w:val="24"/>
            <w:szCs w:val="24"/>
          </w:rPr>
          <w:fldChar w:fldCharType="separate"/>
        </w:r>
        <w:r w:rsidR="0066100B" w:rsidRPr="00622C4B">
          <w:rPr>
            <w:webHidden/>
            <w:sz w:val="24"/>
            <w:szCs w:val="24"/>
          </w:rPr>
          <w:t>39</w:t>
        </w:r>
        <w:r w:rsidRPr="00622C4B">
          <w:rPr>
            <w:webHidden/>
            <w:sz w:val="24"/>
            <w:szCs w:val="24"/>
          </w:rPr>
          <w:fldChar w:fldCharType="end"/>
        </w:r>
      </w:hyperlink>
    </w:p>
    <w:p w:rsidR="0066100B" w:rsidRPr="00622C4B" w:rsidRDefault="00D84BC4" w:rsidP="00622C4B">
      <w:pPr>
        <w:pStyle w:val="TOC2"/>
        <w:spacing w:line="380" w:lineRule="atLeast"/>
        <w:rPr>
          <w:sz w:val="24"/>
          <w:szCs w:val="24"/>
          <w:lang w:val="en-US" w:eastAsia="en-US"/>
        </w:rPr>
      </w:pPr>
      <w:hyperlink w:anchor="_Toc343636887" w:history="1">
        <w:r w:rsidR="0066100B" w:rsidRPr="00622C4B">
          <w:rPr>
            <w:rStyle w:val="Hyperlink"/>
            <w:sz w:val="24"/>
            <w:szCs w:val="24"/>
          </w:rPr>
          <w:t>3.2.</w:t>
        </w:r>
        <w:r w:rsidR="0066100B" w:rsidRPr="00622C4B">
          <w:rPr>
            <w:sz w:val="24"/>
            <w:szCs w:val="24"/>
            <w:lang w:val="en-US" w:eastAsia="en-US"/>
          </w:rPr>
          <w:tab/>
        </w:r>
        <w:r w:rsidR="0066100B" w:rsidRPr="00622C4B">
          <w:rPr>
            <w:rStyle w:val="Hyperlink"/>
            <w:sz w:val="24"/>
            <w:szCs w:val="24"/>
          </w:rPr>
          <w:t>Pageidautinos reikšmės, atspindinčios racionalią finansinę elgseną, nustatymas</w:t>
        </w:r>
        <w:r w:rsidR="0066100B" w:rsidRPr="00622C4B">
          <w:rPr>
            <w:webHidden/>
            <w:sz w:val="24"/>
            <w:szCs w:val="24"/>
          </w:rPr>
          <w:tab/>
        </w:r>
        <w:r w:rsidRPr="00622C4B">
          <w:rPr>
            <w:webHidden/>
            <w:sz w:val="24"/>
            <w:szCs w:val="24"/>
          </w:rPr>
          <w:fldChar w:fldCharType="begin"/>
        </w:r>
        <w:r w:rsidR="0066100B" w:rsidRPr="00622C4B">
          <w:rPr>
            <w:webHidden/>
            <w:sz w:val="24"/>
            <w:szCs w:val="24"/>
          </w:rPr>
          <w:instrText xml:space="preserve"> PAGEREF _Toc343636887 \h </w:instrText>
        </w:r>
        <w:r w:rsidRPr="00622C4B">
          <w:rPr>
            <w:webHidden/>
            <w:sz w:val="24"/>
            <w:szCs w:val="24"/>
          </w:rPr>
        </w:r>
        <w:r w:rsidRPr="00622C4B">
          <w:rPr>
            <w:webHidden/>
            <w:sz w:val="24"/>
            <w:szCs w:val="24"/>
          </w:rPr>
          <w:fldChar w:fldCharType="separate"/>
        </w:r>
        <w:r w:rsidR="0066100B" w:rsidRPr="00622C4B">
          <w:rPr>
            <w:webHidden/>
            <w:sz w:val="24"/>
            <w:szCs w:val="24"/>
          </w:rPr>
          <w:t>41</w:t>
        </w:r>
        <w:r w:rsidRPr="00622C4B">
          <w:rPr>
            <w:webHidden/>
            <w:sz w:val="24"/>
            <w:szCs w:val="24"/>
          </w:rPr>
          <w:fldChar w:fldCharType="end"/>
        </w:r>
      </w:hyperlink>
    </w:p>
    <w:p w:rsidR="0066100B" w:rsidRPr="00622C4B" w:rsidRDefault="00D84BC4" w:rsidP="00622C4B">
      <w:pPr>
        <w:pStyle w:val="TOC2"/>
        <w:spacing w:line="380" w:lineRule="atLeast"/>
        <w:rPr>
          <w:sz w:val="24"/>
          <w:szCs w:val="24"/>
          <w:lang w:val="en-US" w:eastAsia="en-US"/>
        </w:rPr>
      </w:pPr>
      <w:hyperlink w:anchor="_Toc343636888" w:history="1">
        <w:r w:rsidR="0066100B" w:rsidRPr="00622C4B">
          <w:rPr>
            <w:rStyle w:val="Hyperlink"/>
            <w:sz w:val="24"/>
            <w:szCs w:val="24"/>
          </w:rPr>
          <w:t>3.3.</w:t>
        </w:r>
        <w:r w:rsidR="0066100B" w:rsidRPr="00622C4B">
          <w:rPr>
            <w:sz w:val="24"/>
            <w:szCs w:val="24"/>
            <w:lang w:val="en-US" w:eastAsia="en-US"/>
          </w:rPr>
          <w:tab/>
        </w:r>
        <w:r w:rsidR="0066100B" w:rsidRPr="00622C4B">
          <w:rPr>
            <w:rStyle w:val="Hyperlink"/>
            <w:sz w:val="24"/>
            <w:szCs w:val="24"/>
          </w:rPr>
          <w:t>Veiksnių, lemiančių pajamų formavimą iš socialinės apsaugos lėšų, įvertinimas</w:t>
        </w:r>
        <w:r w:rsidR="0066100B" w:rsidRPr="00622C4B">
          <w:rPr>
            <w:webHidden/>
            <w:sz w:val="24"/>
            <w:szCs w:val="24"/>
          </w:rPr>
          <w:tab/>
        </w:r>
        <w:r w:rsidRPr="00622C4B">
          <w:rPr>
            <w:webHidden/>
            <w:sz w:val="24"/>
            <w:szCs w:val="24"/>
          </w:rPr>
          <w:fldChar w:fldCharType="begin"/>
        </w:r>
        <w:r w:rsidR="0066100B" w:rsidRPr="00622C4B">
          <w:rPr>
            <w:webHidden/>
            <w:sz w:val="24"/>
            <w:szCs w:val="24"/>
          </w:rPr>
          <w:instrText xml:space="preserve"> PAGEREF _Toc343636888 \h </w:instrText>
        </w:r>
        <w:r w:rsidRPr="00622C4B">
          <w:rPr>
            <w:webHidden/>
            <w:sz w:val="24"/>
            <w:szCs w:val="24"/>
          </w:rPr>
        </w:r>
        <w:r w:rsidRPr="00622C4B">
          <w:rPr>
            <w:webHidden/>
            <w:sz w:val="24"/>
            <w:szCs w:val="24"/>
          </w:rPr>
          <w:fldChar w:fldCharType="separate"/>
        </w:r>
        <w:r w:rsidR="0066100B" w:rsidRPr="00622C4B">
          <w:rPr>
            <w:webHidden/>
            <w:sz w:val="24"/>
            <w:szCs w:val="24"/>
          </w:rPr>
          <w:t>43</w:t>
        </w:r>
        <w:r w:rsidRPr="00622C4B">
          <w:rPr>
            <w:webHidden/>
            <w:sz w:val="24"/>
            <w:szCs w:val="24"/>
          </w:rPr>
          <w:fldChar w:fldCharType="end"/>
        </w:r>
      </w:hyperlink>
    </w:p>
    <w:p w:rsidR="0066100B" w:rsidRPr="00622C4B" w:rsidRDefault="00D84BC4" w:rsidP="00622C4B">
      <w:pPr>
        <w:pStyle w:val="TOC3"/>
        <w:spacing w:line="380" w:lineRule="atLeast"/>
        <w:rPr>
          <w:noProof/>
          <w:sz w:val="24"/>
          <w:szCs w:val="24"/>
          <w:lang w:val="en-US" w:eastAsia="en-US"/>
        </w:rPr>
      </w:pPr>
      <w:hyperlink w:anchor="_Toc343636889" w:history="1">
        <w:r w:rsidR="0066100B" w:rsidRPr="00622C4B">
          <w:rPr>
            <w:rStyle w:val="Hyperlink"/>
            <w:rFonts w:ascii="Times New Roman" w:hAnsi="Times New Roman" w:cs="Times New Roman"/>
            <w:i w:val="0"/>
            <w:noProof/>
            <w:sz w:val="24"/>
            <w:szCs w:val="24"/>
          </w:rPr>
          <w:t>3.3.1.</w:t>
        </w:r>
        <w:r w:rsidR="0066100B" w:rsidRPr="00622C4B">
          <w:rPr>
            <w:noProof/>
            <w:sz w:val="24"/>
            <w:szCs w:val="24"/>
            <w:lang w:val="en-US" w:eastAsia="en-US"/>
          </w:rPr>
          <w:tab/>
        </w:r>
        <w:r w:rsidR="0066100B" w:rsidRPr="00622C4B">
          <w:rPr>
            <w:rStyle w:val="Hyperlink"/>
            <w:rFonts w:ascii="Times New Roman" w:hAnsi="Times New Roman" w:cs="Times New Roman"/>
            <w:noProof/>
            <w:sz w:val="24"/>
            <w:szCs w:val="24"/>
          </w:rPr>
          <w:t>Anketinės apklausos rezultata</w:t>
        </w:r>
        <w:r w:rsidR="0066100B" w:rsidRPr="00622C4B">
          <w:rPr>
            <w:rStyle w:val="Hyperlink"/>
            <w:rFonts w:ascii="Times New Roman" w:hAnsi="Times New Roman" w:cs="Times New Roman"/>
            <w:i w:val="0"/>
            <w:noProof/>
            <w:sz w:val="24"/>
            <w:szCs w:val="24"/>
          </w:rPr>
          <w:t>i</w:t>
        </w:r>
        <w:r w:rsidR="0066100B" w:rsidRPr="00622C4B">
          <w:rPr>
            <w:rFonts w:ascii="Times New Roman" w:hAnsi="Times New Roman" w:cs="Times New Roman"/>
            <w:i w:val="0"/>
            <w:noProof/>
            <w:webHidden/>
            <w:sz w:val="24"/>
            <w:szCs w:val="24"/>
          </w:rPr>
          <w:tab/>
        </w:r>
        <w:r w:rsidRPr="00622C4B">
          <w:rPr>
            <w:rFonts w:ascii="Times New Roman" w:hAnsi="Times New Roman" w:cs="Times New Roman"/>
            <w:i w:val="0"/>
            <w:noProof/>
            <w:webHidden/>
            <w:sz w:val="24"/>
            <w:szCs w:val="24"/>
          </w:rPr>
          <w:fldChar w:fldCharType="begin"/>
        </w:r>
        <w:r w:rsidR="0066100B" w:rsidRPr="00622C4B">
          <w:rPr>
            <w:rFonts w:ascii="Times New Roman" w:hAnsi="Times New Roman" w:cs="Times New Roman"/>
            <w:i w:val="0"/>
            <w:noProof/>
            <w:webHidden/>
            <w:sz w:val="24"/>
            <w:szCs w:val="24"/>
          </w:rPr>
          <w:instrText xml:space="preserve"> PAGEREF _Toc343636889 \h </w:instrText>
        </w:r>
        <w:r w:rsidRPr="00622C4B">
          <w:rPr>
            <w:rFonts w:ascii="Times New Roman" w:hAnsi="Times New Roman" w:cs="Times New Roman"/>
            <w:i w:val="0"/>
            <w:noProof/>
            <w:webHidden/>
            <w:sz w:val="24"/>
            <w:szCs w:val="24"/>
          </w:rPr>
        </w:r>
        <w:r w:rsidRPr="00622C4B">
          <w:rPr>
            <w:rFonts w:ascii="Times New Roman" w:hAnsi="Times New Roman" w:cs="Times New Roman"/>
            <w:i w:val="0"/>
            <w:noProof/>
            <w:webHidden/>
            <w:sz w:val="24"/>
            <w:szCs w:val="24"/>
          </w:rPr>
          <w:fldChar w:fldCharType="separate"/>
        </w:r>
        <w:r w:rsidR="0066100B" w:rsidRPr="00622C4B">
          <w:rPr>
            <w:rFonts w:ascii="Times New Roman" w:hAnsi="Times New Roman" w:cs="Times New Roman"/>
            <w:i w:val="0"/>
            <w:noProof/>
            <w:webHidden/>
            <w:sz w:val="24"/>
            <w:szCs w:val="24"/>
          </w:rPr>
          <w:t>43</w:t>
        </w:r>
        <w:r w:rsidRPr="00622C4B">
          <w:rPr>
            <w:rFonts w:ascii="Times New Roman" w:hAnsi="Times New Roman" w:cs="Times New Roman"/>
            <w:i w:val="0"/>
            <w:noProof/>
            <w:webHidden/>
            <w:sz w:val="24"/>
            <w:szCs w:val="24"/>
          </w:rPr>
          <w:fldChar w:fldCharType="end"/>
        </w:r>
      </w:hyperlink>
    </w:p>
    <w:p w:rsidR="0066100B" w:rsidRPr="00622C4B" w:rsidRDefault="00D84BC4" w:rsidP="00622C4B">
      <w:pPr>
        <w:pStyle w:val="TOC3"/>
        <w:spacing w:line="380" w:lineRule="atLeast"/>
        <w:rPr>
          <w:noProof/>
          <w:sz w:val="24"/>
          <w:szCs w:val="24"/>
          <w:lang w:val="en-US" w:eastAsia="en-US"/>
        </w:rPr>
      </w:pPr>
      <w:hyperlink w:anchor="_Toc343636890" w:history="1">
        <w:r w:rsidR="0066100B" w:rsidRPr="00622C4B">
          <w:rPr>
            <w:rStyle w:val="Hyperlink"/>
            <w:rFonts w:ascii="Times New Roman" w:hAnsi="Times New Roman" w:cs="Times New Roman"/>
            <w:i w:val="0"/>
            <w:noProof/>
            <w:sz w:val="24"/>
            <w:szCs w:val="24"/>
          </w:rPr>
          <w:t>3.3.2.</w:t>
        </w:r>
        <w:r w:rsidR="0066100B" w:rsidRPr="00622C4B">
          <w:rPr>
            <w:noProof/>
            <w:sz w:val="24"/>
            <w:szCs w:val="24"/>
            <w:lang w:val="en-US" w:eastAsia="en-US"/>
          </w:rPr>
          <w:tab/>
        </w:r>
        <w:r w:rsidR="0066100B" w:rsidRPr="00622C4B">
          <w:rPr>
            <w:rStyle w:val="Hyperlink"/>
            <w:rFonts w:ascii="Times New Roman" w:hAnsi="Times New Roman" w:cs="Times New Roman"/>
            <w:noProof/>
            <w:sz w:val="24"/>
            <w:szCs w:val="24"/>
          </w:rPr>
          <w:t>Ekspertinio vertinimo rezultatai</w:t>
        </w:r>
        <w:r w:rsidR="0066100B" w:rsidRPr="00622C4B">
          <w:rPr>
            <w:rFonts w:ascii="Times New Roman" w:hAnsi="Times New Roman" w:cs="Times New Roman"/>
            <w:i w:val="0"/>
            <w:noProof/>
            <w:webHidden/>
            <w:sz w:val="24"/>
            <w:szCs w:val="24"/>
          </w:rPr>
          <w:tab/>
        </w:r>
        <w:r w:rsidRPr="00622C4B">
          <w:rPr>
            <w:rFonts w:ascii="Times New Roman" w:hAnsi="Times New Roman" w:cs="Times New Roman"/>
            <w:i w:val="0"/>
            <w:noProof/>
            <w:webHidden/>
            <w:sz w:val="24"/>
            <w:szCs w:val="24"/>
          </w:rPr>
          <w:fldChar w:fldCharType="begin"/>
        </w:r>
        <w:r w:rsidR="0066100B" w:rsidRPr="00622C4B">
          <w:rPr>
            <w:rFonts w:ascii="Times New Roman" w:hAnsi="Times New Roman" w:cs="Times New Roman"/>
            <w:i w:val="0"/>
            <w:noProof/>
            <w:webHidden/>
            <w:sz w:val="24"/>
            <w:szCs w:val="24"/>
          </w:rPr>
          <w:instrText xml:space="preserve"> PAGEREF _Toc343636890 \h </w:instrText>
        </w:r>
        <w:r w:rsidRPr="00622C4B">
          <w:rPr>
            <w:rFonts w:ascii="Times New Roman" w:hAnsi="Times New Roman" w:cs="Times New Roman"/>
            <w:i w:val="0"/>
            <w:noProof/>
            <w:webHidden/>
            <w:sz w:val="24"/>
            <w:szCs w:val="24"/>
          </w:rPr>
        </w:r>
        <w:r w:rsidRPr="00622C4B">
          <w:rPr>
            <w:rFonts w:ascii="Times New Roman" w:hAnsi="Times New Roman" w:cs="Times New Roman"/>
            <w:i w:val="0"/>
            <w:noProof/>
            <w:webHidden/>
            <w:sz w:val="24"/>
            <w:szCs w:val="24"/>
          </w:rPr>
          <w:fldChar w:fldCharType="separate"/>
        </w:r>
        <w:r w:rsidR="0066100B" w:rsidRPr="00622C4B">
          <w:rPr>
            <w:rFonts w:ascii="Times New Roman" w:hAnsi="Times New Roman" w:cs="Times New Roman"/>
            <w:i w:val="0"/>
            <w:noProof/>
            <w:webHidden/>
            <w:sz w:val="24"/>
            <w:szCs w:val="24"/>
          </w:rPr>
          <w:t>51</w:t>
        </w:r>
        <w:r w:rsidRPr="00622C4B">
          <w:rPr>
            <w:rFonts w:ascii="Times New Roman" w:hAnsi="Times New Roman" w:cs="Times New Roman"/>
            <w:i w:val="0"/>
            <w:noProof/>
            <w:webHidden/>
            <w:sz w:val="24"/>
            <w:szCs w:val="24"/>
          </w:rPr>
          <w:fldChar w:fldCharType="end"/>
        </w:r>
      </w:hyperlink>
    </w:p>
    <w:p w:rsidR="0066100B" w:rsidRPr="00622C4B" w:rsidRDefault="00D84BC4" w:rsidP="00622C4B">
      <w:pPr>
        <w:pStyle w:val="TOC1"/>
        <w:spacing w:line="380" w:lineRule="atLeast"/>
        <w:rPr>
          <w:noProof/>
          <w:sz w:val="24"/>
          <w:szCs w:val="24"/>
          <w:lang w:val="en-US" w:eastAsia="en-US"/>
        </w:rPr>
      </w:pPr>
      <w:hyperlink w:anchor="_Toc343636891" w:history="1">
        <w:r w:rsidR="0066100B" w:rsidRPr="00622C4B">
          <w:rPr>
            <w:rStyle w:val="Hyperlink"/>
            <w:rFonts w:ascii="Times New Roman" w:hAnsi="Times New Roman" w:cs="Times New Roman"/>
            <w:noProof/>
            <w:sz w:val="24"/>
            <w:szCs w:val="24"/>
          </w:rPr>
          <w:t>4.</w:t>
        </w:r>
        <w:r w:rsidR="0066100B" w:rsidRPr="00622C4B">
          <w:rPr>
            <w:noProof/>
            <w:sz w:val="24"/>
            <w:szCs w:val="24"/>
            <w:lang w:val="en-US" w:eastAsia="en-US"/>
          </w:rPr>
          <w:tab/>
        </w:r>
        <w:r w:rsidR="0066100B" w:rsidRPr="00622C4B">
          <w:rPr>
            <w:rStyle w:val="Hyperlink"/>
            <w:rFonts w:ascii="Times New Roman" w:hAnsi="Times New Roman" w:cs="Times New Roman"/>
            <w:noProof/>
            <w:sz w:val="24"/>
            <w:szCs w:val="24"/>
          </w:rPr>
          <w:t>PRIEMONĖS NEDARBO SOCIALINIO DRAUDIMO IŠMOKŲ IR SOCIALINĖS PARAMOS GAVĖJŲ FINANSINEI ELGSENAI GERINTI</w:t>
        </w:r>
        <w:r w:rsidR="0066100B" w:rsidRPr="00622C4B">
          <w:rPr>
            <w:rFonts w:ascii="Times New Roman" w:hAnsi="Times New Roman" w:cs="Times New Roman"/>
            <w:b w:val="0"/>
            <w:noProof/>
            <w:webHidden/>
            <w:sz w:val="24"/>
            <w:szCs w:val="24"/>
          </w:rPr>
          <w:tab/>
        </w:r>
        <w:r w:rsidRPr="00622C4B">
          <w:rPr>
            <w:rFonts w:ascii="Times New Roman" w:hAnsi="Times New Roman" w:cs="Times New Roman"/>
            <w:b w:val="0"/>
            <w:noProof/>
            <w:webHidden/>
            <w:sz w:val="24"/>
            <w:szCs w:val="24"/>
          </w:rPr>
          <w:fldChar w:fldCharType="begin"/>
        </w:r>
        <w:r w:rsidR="0066100B" w:rsidRPr="00622C4B">
          <w:rPr>
            <w:rFonts w:ascii="Times New Roman" w:hAnsi="Times New Roman" w:cs="Times New Roman"/>
            <w:b w:val="0"/>
            <w:noProof/>
            <w:webHidden/>
            <w:sz w:val="24"/>
            <w:szCs w:val="24"/>
          </w:rPr>
          <w:instrText xml:space="preserve"> PAGEREF _Toc343636891 \h </w:instrText>
        </w:r>
        <w:r w:rsidRPr="00622C4B">
          <w:rPr>
            <w:rFonts w:ascii="Times New Roman" w:hAnsi="Times New Roman" w:cs="Times New Roman"/>
            <w:b w:val="0"/>
            <w:noProof/>
            <w:webHidden/>
            <w:sz w:val="24"/>
            <w:szCs w:val="24"/>
          </w:rPr>
        </w:r>
        <w:r w:rsidRPr="00622C4B">
          <w:rPr>
            <w:rFonts w:ascii="Times New Roman" w:hAnsi="Times New Roman" w:cs="Times New Roman"/>
            <w:b w:val="0"/>
            <w:noProof/>
            <w:webHidden/>
            <w:sz w:val="24"/>
            <w:szCs w:val="24"/>
          </w:rPr>
          <w:fldChar w:fldCharType="separate"/>
        </w:r>
        <w:r w:rsidR="0066100B" w:rsidRPr="00622C4B">
          <w:rPr>
            <w:rFonts w:ascii="Times New Roman" w:hAnsi="Times New Roman" w:cs="Times New Roman"/>
            <w:b w:val="0"/>
            <w:noProof/>
            <w:webHidden/>
            <w:sz w:val="24"/>
            <w:szCs w:val="24"/>
          </w:rPr>
          <w:t>59</w:t>
        </w:r>
        <w:r w:rsidRPr="00622C4B">
          <w:rPr>
            <w:rFonts w:ascii="Times New Roman" w:hAnsi="Times New Roman" w:cs="Times New Roman"/>
            <w:b w:val="0"/>
            <w:noProof/>
            <w:webHidden/>
            <w:sz w:val="24"/>
            <w:szCs w:val="24"/>
          </w:rPr>
          <w:fldChar w:fldCharType="end"/>
        </w:r>
      </w:hyperlink>
    </w:p>
    <w:p w:rsidR="0066100B" w:rsidRPr="00622C4B" w:rsidRDefault="00D84BC4" w:rsidP="00622C4B">
      <w:pPr>
        <w:pStyle w:val="TOC2"/>
        <w:spacing w:line="380" w:lineRule="atLeast"/>
        <w:rPr>
          <w:sz w:val="24"/>
          <w:szCs w:val="24"/>
          <w:lang w:val="en-US" w:eastAsia="en-US"/>
        </w:rPr>
      </w:pPr>
      <w:hyperlink w:anchor="_Toc343636892" w:history="1">
        <w:r w:rsidR="0066100B" w:rsidRPr="00622C4B">
          <w:rPr>
            <w:rStyle w:val="Hyperlink"/>
            <w:sz w:val="24"/>
            <w:szCs w:val="24"/>
          </w:rPr>
          <w:t>4.1.</w:t>
        </w:r>
        <w:r w:rsidR="0066100B" w:rsidRPr="00622C4B">
          <w:rPr>
            <w:sz w:val="24"/>
            <w:szCs w:val="24"/>
            <w:lang w:val="en-US" w:eastAsia="en-US"/>
          </w:rPr>
          <w:tab/>
        </w:r>
        <w:r w:rsidR="0066100B" w:rsidRPr="00622C4B">
          <w:rPr>
            <w:rStyle w:val="Hyperlink"/>
            <w:sz w:val="24"/>
            <w:szCs w:val="24"/>
          </w:rPr>
          <w:t>Lietuvos socialinės politikos bruožai, teikiant pagalbą bedarbiams ir skurstantiesiems</w:t>
        </w:r>
        <w:r w:rsidR="0066100B" w:rsidRPr="00622C4B">
          <w:rPr>
            <w:webHidden/>
            <w:sz w:val="24"/>
            <w:szCs w:val="24"/>
          </w:rPr>
          <w:tab/>
        </w:r>
        <w:r w:rsidRPr="00622C4B">
          <w:rPr>
            <w:webHidden/>
            <w:sz w:val="24"/>
            <w:szCs w:val="24"/>
          </w:rPr>
          <w:fldChar w:fldCharType="begin"/>
        </w:r>
        <w:r w:rsidR="0066100B" w:rsidRPr="00622C4B">
          <w:rPr>
            <w:webHidden/>
            <w:sz w:val="24"/>
            <w:szCs w:val="24"/>
          </w:rPr>
          <w:instrText xml:space="preserve"> PAGEREF _Toc343636892 \h </w:instrText>
        </w:r>
        <w:r w:rsidRPr="00622C4B">
          <w:rPr>
            <w:webHidden/>
            <w:sz w:val="24"/>
            <w:szCs w:val="24"/>
          </w:rPr>
        </w:r>
        <w:r w:rsidRPr="00622C4B">
          <w:rPr>
            <w:webHidden/>
            <w:sz w:val="24"/>
            <w:szCs w:val="24"/>
          </w:rPr>
          <w:fldChar w:fldCharType="separate"/>
        </w:r>
        <w:r w:rsidR="0066100B" w:rsidRPr="00622C4B">
          <w:rPr>
            <w:webHidden/>
            <w:sz w:val="24"/>
            <w:szCs w:val="24"/>
          </w:rPr>
          <w:t>59</w:t>
        </w:r>
        <w:r w:rsidRPr="00622C4B">
          <w:rPr>
            <w:webHidden/>
            <w:sz w:val="24"/>
            <w:szCs w:val="24"/>
          </w:rPr>
          <w:fldChar w:fldCharType="end"/>
        </w:r>
      </w:hyperlink>
    </w:p>
    <w:p w:rsidR="0066100B" w:rsidRPr="00622C4B" w:rsidRDefault="00D84BC4" w:rsidP="00622C4B">
      <w:pPr>
        <w:pStyle w:val="TOC2"/>
        <w:spacing w:line="380" w:lineRule="atLeast"/>
        <w:rPr>
          <w:sz w:val="24"/>
          <w:szCs w:val="24"/>
          <w:lang w:val="en-US" w:eastAsia="en-US"/>
        </w:rPr>
      </w:pPr>
      <w:hyperlink w:anchor="_Toc343636893" w:history="1">
        <w:r w:rsidR="0066100B" w:rsidRPr="00622C4B">
          <w:rPr>
            <w:rStyle w:val="Hyperlink"/>
            <w:sz w:val="24"/>
            <w:szCs w:val="24"/>
          </w:rPr>
          <w:t>4.2.</w:t>
        </w:r>
        <w:r w:rsidR="0066100B" w:rsidRPr="00622C4B">
          <w:rPr>
            <w:sz w:val="24"/>
            <w:szCs w:val="24"/>
            <w:lang w:val="en-US" w:eastAsia="en-US"/>
          </w:rPr>
          <w:tab/>
        </w:r>
        <w:r w:rsidR="0066100B" w:rsidRPr="00622C4B">
          <w:rPr>
            <w:rStyle w:val="Hyperlink"/>
            <w:sz w:val="24"/>
            <w:szCs w:val="24"/>
          </w:rPr>
          <w:t>Gerąja praktika paremti sprendimai: priemonių elgsenai gerinti pagrindimas</w:t>
        </w:r>
        <w:r w:rsidR="0066100B" w:rsidRPr="00622C4B">
          <w:rPr>
            <w:webHidden/>
            <w:sz w:val="24"/>
            <w:szCs w:val="24"/>
          </w:rPr>
          <w:tab/>
        </w:r>
        <w:r w:rsidRPr="00622C4B">
          <w:rPr>
            <w:webHidden/>
            <w:sz w:val="24"/>
            <w:szCs w:val="24"/>
          </w:rPr>
          <w:fldChar w:fldCharType="begin"/>
        </w:r>
        <w:r w:rsidR="0066100B" w:rsidRPr="00622C4B">
          <w:rPr>
            <w:webHidden/>
            <w:sz w:val="24"/>
            <w:szCs w:val="24"/>
          </w:rPr>
          <w:instrText xml:space="preserve"> PAGEREF _Toc343636893 \h </w:instrText>
        </w:r>
        <w:r w:rsidRPr="00622C4B">
          <w:rPr>
            <w:webHidden/>
            <w:sz w:val="24"/>
            <w:szCs w:val="24"/>
          </w:rPr>
        </w:r>
        <w:r w:rsidRPr="00622C4B">
          <w:rPr>
            <w:webHidden/>
            <w:sz w:val="24"/>
            <w:szCs w:val="24"/>
          </w:rPr>
          <w:fldChar w:fldCharType="separate"/>
        </w:r>
        <w:r w:rsidR="0066100B" w:rsidRPr="00622C4B">
          <w:rPr>
            <w:webHidden/>
            <w:sz w:val="24"/>
            <w:szCs w:val="24"/>
          </w:rPr>
          <w:t>64</w:t>
        </w:r>
        <w:r w:rsidRPr="00622C4B">
          <w:rPr>
            <w:webHidden/>
            <w:sz w:val="24"/>
            <w:szCs w:val="24"/>
          </w:rPr>
          <w:fldChar w:fldCharType="end"/>
        </w:r>
      </w:hyperlink>
    </w:p>
    <w:p w:rsidR="0066100B" w:rsidRPr="00622C4B" w:rsidRDefault="00D84BC4" w:rsidP="00622C4B">
      <w:pPr>
        <w:pStyle w:val="TOC3"/>
        <w:spacing w:line="380" w:lineRule="atLeast"/>
        <w:rPr>
          <w:noProof/>
          <w:sz w:val="24"/>
          <w:szCs w:val="24"/>
          <w:lang w:val="en-US" w:eastAsia="en-US"/>
        </w:rPr>
      </w:pPr>
      <w:hyperlink w:anchor="_Toc343636894" w:history="1">
        <w:r w:rsidR="0066100B" w:rsidRPr="00622C4B">
          <w:rPr>
            <w:rStyle w:val="Hyperlink"/>
            <w:rFonts w:ascii="Times New Roman" w:hAnsi="Times New Roman" w:cs="Times New Roman"/>
            <w:i w:val="0"/>
            <w:noProof/>
            <w:sz w:val="24"/>
            <w:szCs w:val="24"/>
          </w:rPr>
          <w:t>4.2.1.</w:t>
        </w:r>
        <w:r w:rsidR="0066100B" w:rsidRPr="00622C4B">
          <w:rPr>
            <w:noProof/>
            <w:sz w:val="24"/>
            <w:szCs w:val="24"/>
            <w:lang w:val="en-US" w:eastAsia="en-US"/>
          </w:rPr>
          <w:tab/>
        </w:r>
        <w:r w:rsidR="0066100B" w:rsidRPr="00622C4B">
          <w:rPr>
            <w:rStyle w:val="Hyperlink"/>
            <w:rFonts w:ascii="Times New Roman" w:hAnsi="Times New Roman" w:cs="Times New Roman"/>
            <w:noProof/>
            <w:sz w:val="24"/>
            <w:szCs w:val="24"/>
          </w:rPr>
          <w:t>Finansinės ribos tarp bedarbių ir skurstančiųjų didinimas: papildoma išmoka</w:t>
        </w:r>
        <w:r w:rsidR="0066100B" w:rsidRPr="00622C4B">
          <w:rPr>
            <w:rFonts w:ascii="Times New Roman" w:hAnsi="Times New Roman" w:cs="Times New Roman"/>
            <w:i w:val="0"/>
            <w:noProof/>
            <w:webHidden/>
            <w:sz w:val="24"/>
            <w:szCs w:val="24"/>
          </w:rPr>
          <w:tab/>
        </w:r>
        <w:r w:rsidRPr="00622C4B">
          <w:rPr>
            <w:rFonts w:ascii="Times New Roman" w:hAnsi="Times New Roman" w:cs="Times New Roman"/>
            <w:i w:val="0"/>
            <w:noProof/>
            <w:webHidden/>
            <w:sz w:val="24"/>
            <w:szCs w:val="24"/>
          </w:rPr>
          <w:fldChar w:fldCharType="begin"/>
        </w:r>
        <w:r w:rsidR="0066100B" w:rsidRPr="00622C4B">
          <w:rPr>
            <w:rFonts w:ascii="Times New Roman" w:hAnsi="Times New Roman" w:cs="Times New Roman"/>
            <w:i w:val="0"/>
            <w:noProof/>
            <w:webHidden/>
            <w:sz w:val="24"/>
            <w:szCs w:val="24"/>
          </w:rPr>
          <w:instrText xml:space="preserve"> PAGEREF _Toc343636894 \h </w:instrText>
        </w:r>
        <w:r w:rsidRPr="00622C4B">
          <w:rPr>
            <w:rFonts w:ascii="Times New Roman" w:hAnsi="Times New Roman" w:cs="Times New Roman"/>
            <w:i w:val="0"/>
            <w:noProof/>
            <w:webHidden/>
            <w:sz w:val="24"/>
            <w:szCs w:val="24"/>
          </w:rPr>
        </w:r>
        <w:r w:rsidRPr="00622C4B">
          <w:rPr>
            <w:rFonts w:ascii="Times New Roman" w:hAnsi="Times New Roman" w:cs="Times New Roman"/>
            <w:i w:val="0"/>
            <w:noProof/>
            <w:webHidden/>
            <w:sz w:val="24"/>
            <w:szCs w:val="24"/>
          </w:rPr>
          <w:fldChar w:fldCharType="separate"/>
        </w:r>
        <w:r w:rsidR="0066100B" w:rsidRPr="00622C4B">
          <w:rPr>
            <w:rFonts w:ascii="Times New Roman" w:hAnsi="Times New Roman" w:cs="Times New Roman"/>
            <w:i w:val="0"/>
            <w:noProof/>
            <w:webHidden/>
            <w:sz w:val="24"/>
            <w:szCs w:val="24"/>
          </w:rPr>
          <w:t>64</w:t>
        </w:r>
        <w:r w:rsidRPr="00622C4B">
          <w:rPr>
            <w:rFonts w:ascii="Times New Roman" w:hAnsi="Times New Roman" w:cs="Times New Roman"/>
            <w:i w:val="0"/>
            <w:noProof/>
            <w:webHidden/>
            <w:sz w:val="24"/>
            <w:szCs w:val="24"/>
          </w:rPr>
          <w:fldChar w:fldCharType="end"/>
        </w:r>
      </w:hyperlink>
    </w:p>
    <w:p w:rsidR="0066100B" w:rsidRPr="00622C4B" w:rsidRDefault="00D84BC4" w:rsidP="00622C4B">
      <w:pPr>
        <w:pStyle w:val="TOC3"/>
        <w:spacing w:line="380" w:lineRule="atLeast"/>
        <w:rPr>
          <w:noProof/>
          <w:sz w:val="24"/>
          <w:szCs w:val="24"/>
          <w:lang w:val="en-US" w:eastAsia="en-US"/>
        </w:rPr>
      </w:pPr>
      <w:hyperlink w:anchor="_Toc343636895" w:history="1">
        <w:r w:rsidR="0066100B" w:rsidRPr="00622C4B">
          <w:rPr>
            <w:rStyle w:val="Hyperlink"/>
            <w:rFonts w:ascii="Times New Roman" w:hAnsi="Times New Roman" w:cs="Times New Roman"/>
            <w:i w:val="0"/>
            <w:noProof/>
            <w:sz w:val="24"/>
            <w:szCs w:val="24"/>
          </w:rPr>
          <w:t>4.2.2.</w:t>
        </w:r>
        <w:r w:rsidR="0066100B" w:rsidRPr="00622C4B">
          <w:rPr>
            <w:noProof/>
            <w:sz w:val="24"/>
            <w:szCs w:val="24"/>
            <w:lang w:val="en-US" w:eastAsia="en-US"/>
          </w:rPr>
          <w:tab/>
        </w:r>
        <w:r w:rsidR="0066100B" w:rsidRPr="00622C4B">
          <w:rPr>
            <w:rStyle w:val="Hyperlink"/>
            <w:rFonts w:ascii="Times New Roman" w:hAnsi="Times New Roman" w:cs="Times New Roman"/>
            <w:noProof/>
            <w:sz w:val="24"/>
            <w:szCs w:val="24"/>
          </w:rPr>
          <w:t>Didesnės atsakomybės už priimtų sprendimų ir atliktų neteisėtų veiksmų įtvirtinimas</w:t>
        </w:r>
        <w:r w:rsidR="0066100B" w:rsidRPr="00622C4B">
          <w:rPr>
            <w:rFonts w:ascii="Times New Roman" w:hAnsi="Times New Roman" w:cs="Times New Roman"/>
            <w:i w:val="0"/>
            <w:noProof/>
            <w:webHidden/>
            <w:sz w:val="24"/>
            <w:szCs w:val="24"/>
          </w:rPr>
          <w:tab/>
        </w:r>
        <w:r w:rsidRPr="00622C4B">
          <w:rPr>
            <w:rFonts w:ascii="Times New Roman" w:hAnsi="Times New Roman" w:cs="Times New Roman"/>
            <w:i w:val="0"/>
            <w:noProof/>
            <w:webHidden/>
            <w:sz w:val="24"/>
            <w:szCs w:val="24"/>
          </w:rPr>
          <w:fldChar w:fldCharType="begin"/>
        </w:r>
        <w:r w:rsidR="0066100B" w:rsidRPr="00622C4B">
          <w:rPr>
            <w:rFonts w:ascii="Times New Roman" w:hAnsi="Times New Roman" w:cs="Times New Roman"/>
            <w:i w:val="0"/>
            <w:noProof/>
            <w:webHidden/>
            <w:sz w:val="24"/>
            <w:szCs w:val="24"/>
          </w:rPr>
          <w:instrText xml:space="preserve"> PAGEREF _Toc343636895 \h </w:instrText>
        </w:r>
        <w:r w:rsidRPr="00622C4B">
          <w:rPr>
            <w:rFonts w:ascii="Times New Roman" w:hAnsi="Times New Roman" w:cs="Times New Roman"/>
            <w:i w:val="0"/>
            <w:noProof/>
            <w:webHidden/>
            <w:sz w:val="24"/>
            <w:szCs w:val="24"/>
          </w:rPr>
        </w:r>
        <w:r w:rsidRPr="00622C4B">
          <w:rPr>
            <w:rFonts w:ascii="Times New Roman" w:hAnsi="Times New Roman" w:cs="Times New Roman"/>
            <w:i w:val="0"/>
            <w:noProof/>
            <w:webHidden/>
            <w:sz w:val="24"/>
            <w:szCs w:val="24"/>
          </w:rPr>
          <w:fldChar w:fldCharType="separate"/>
        </w:r>
        <w:r w:rsidR="0066100B" w:rsidRPr="00622C4B">
          <w:rPr>
            <w:rFonts w:ascii="Times New Roman" w:hAnsi="Times New Roman" w:cs="Times New Roman"/>
            <w:i w:val="0"/>
            <w:noProof/>
            <w:webHidden/>
            <w:sz w:val="24"/>
            <w:szCs w:val="24"/>
          </w:rPr>
          <w:t>66</w:t>
        </w:r>
        <w:r w:rsidRPr="00622C4B">
          <w:rPr>
            <w:rFonts w:ascii="Times New Roman" w:hAnsi="Times New Roman" w:cs="Times New Roman"/>
            <w:i w:val="0"/>
            <w:noProof/>
            <w:webHidden/>
            <w:sz w:val="24"/>
            <w:szCs w:val="24"/>
          </w:rPr>
          <w:fldChar w:fldCharType="end"/>
        </w:r>
      </w:hyperlink>
    </w:p>
    <w:p w:rsidR="0066100B" w:rsidRPr="00622C4B" w:rsidRDefault="00D84BC4" w:rsidP="00622C4B">
      <w:pPr>
        <w:pStyle w:val="TOC3"/>
        <w:spacing w:line="380" w:lineRule="atLeast"/>
        <w:rPr>
          <w:noProof/>
          <w:sz w:val="24"/>
          <w:szCs w:val="24"/>
          <w:lang w:val="en-US" w:eastAsia="en-US"/>
        </w:rPr>
      </w:pPr>
      <w:hyperlink w:anchor="_Toc343636896" w:history="1">
        <w:r w:rsidR="0066100B" w:rsidRPr="00622C4B">
          <w:rPr>
            <w:rStyle w:val="Hyperlink"/>
            <w:rFonts w:ascii="Times New Roman" w:hAnsi="Times New Roman" w:cs="Times New Roman"/>
            <w:i w:val="0"/>
            <w:noProof/>
            <w:sz w:val="24"/>
            <w:szCs w:val="24"/>
          </w:rPr>
          <w:t>4.2.3.</w:t>
        </w:r>
        <w:r w:rsidR="0066100B" w:rsidRPr="00622C4B">
          <w:rPr>
            <w:noProof/>
            <w:sz w:val="24"/>
            <w:szCs w:val="24"/>
            <w:lang w:val="en-US" w:eastAsia="en-US"/>
          </w:rPr>
          <w:tab/>
        </w:r>
        <w:r w:rsidR="0066100B" w:rsidRPr="00622C4B">
          <w:rPr>
            <w:rStyle w:val="Hyperlink"/>
            <w:rFonts w:ascii="Times New Roman" w:hAnsi="Times New Roman" w:cs="Times New Roman"/>
            <w:noProof/>
            <w:sz w:val="24"/>
            <w:szCs w:val="24"/>
          </w:rPr>
          <w:t>Priklausomybės nuo piniginės socialinės paramos mažinimas</w:t>
        </w:r>
        <w:r w:rsidR="0066100B" w:rsidRPr="00622C4B">
          <w:rPr>
            <w:rFonts w:ascii="Times New Roman" w:hAnsi="Times New Roman" w:cs="Times New Roman"/>
            <w:i w:val="0"/>
            <w:noProof/>
            <w:webHidden/>
            <w:sz w:val="24"/>
            <w:szCs w:val="24"/>
          </w:rPr>
          <w:tab/>
        </w:r>
        <w:r w:rsidRPr="00622C4B">
          <w:rPr>
            <w:rFonts w:ascii="Times New Roman" w:hAnsi="Times New Roman" w:cs="Times New Roman"/>
            <w:i w:val="0"/>
            <w:noProof/>
            <w:webHidden/>
            <w:sz w:val="24"/>
            <w:szCs w:val="24"/>
          </w:rPr>
          <w:fldChar w:fldCharType="begin"/>
        </w:r>
        <w:r w:rsidR="0066100B" w:rsidRPr="00622C4B">
          <w:rPr>
            <w:rFonts w:ascii="Times New Roman" w:hAnsi="Times New Roman" w:cs="Times New Roman"/>
            <w:i w:val="0"/>
            <w:noProof/>
            <w:webHidden/>
            <w:sz w:val="24"/>
            <w:szCs w:val="24"/>
          </w:rPr>
          <w:instrText xml:space="preserve"> PAGEREF _Toc343636896 \h </w:instrText>
        </w:r>
        <w:r w:rsidRPr="00622C4B">
          <w:rPr>
            <w:rFonts w:ascii="Times New Roman" w:hAnsi="Times New Roman" w:cs="Times New Roman"/>
            <w:i w:val="0"/>
            <w:noProof/>
            <w:webHidden/>
            <w:sz w:val="24"/>
            <w:szCs w:val="24"/>
          </w:rPr>
        </w:r>
        <w:r w:rsidRPr="00622C4B">
          <w:rPr>
            <w:rFonts w:ascii="Times New Roman" w:hAnsi="Times New Roman" w:cs="Times New Roman"/>
            <w:i w:val="0"/>
            <w:noProof/>
            <w:webHidden/>
            <w:sz w:val="24"/>
            <w:szCs w:val="24"/>
          </w:rPr>
          <w:fldChar w:fldCharType="separate"/>
        </w:r>
        <w:r w:rsidR="0066100B" w:rsidRPr="00622C4B">
          <w:rPr>
            <w:rFonts w:ascii="Times New Roman" w:hAnsi="Times New Roman" w:cs="Times New Roman"/>
            <w:i w:val="0"/>
            <w:noProof/>
            <w:webHidden/>
            <w:sz w:val="24"/>
            <w:szCs w:val="24"/>
          </w:rPr>
          <w:t>68</w:t>
        </w:r>
        <w:r w:rsidRPr="00622C4B">
          <w:rPr>
            <w:rFonts w:ascii="Times New Roman" w:hAnsi="Times New Roman" w:cs="Times New Roman"/>
            <w:i w:val="0"/>
            <w:noProof/>
            <w:webHidden/>
            <w:sz w:val="24"/>
            <w:szCs w:val="24"/>
          </w:rPr>
          <w:fldChar w:fldCharType="end"/>
        </w:r>
      </w:hyperlink>
    </w:p>
    <w:p w:rsidR="0066100B" w:rsidRPr="00622C4B" w:rsidRDefault="00D84BC4" w:rsidP="00622C4B">
      <w:pPr>
        <w:pStyle w:val="TOC1"/>
        <w:spacing w:line="380" w:lineRule="atLeast"/>
        <w:rPr>
          <w:noProof/>
          <w:sz w:val="24"/>
          <w:szCs w:val="24"/>
          <w:lang w:val="en-US" w:eastAsia="en-US"/>
        </w:rPr>
      </w:pPr>
      <w:hyperlink w:anchor="_Toc343636897" w:history="1">
        <w:r w:rsidR="0066100B" w:rsidRPr="00622C4B">
          <w:rPr>
            <w:rStyle w:val="Hyperlink"/>
            <w:rFonts w:ascii="Times New Roman" w:hAnsi="Times New Roman" w:cs="Times New Roman"/>
            <w:noProof/>
            <w:sz w:val="24"/>
            <w:szCs w:val="24"/>
          </w:rPr>
          <w:t>IŠVADOS</w:t>
        </w:r>
        <w:r w:rsidR="0066100B" w:rsidRPr="00622C4B">
          <w:rPr>
            <w:rFonts w:ascii="Times New Roman" w:hAnsi="Times New Roman" w:cs="Times New Roman"/>
            <w:b w:val="0"/>
            <w:noProof/>
            <w:webHidden/>
            <w:sz w:val="24"/>
            <w:szCs w:val="24"/>
          </w:rPr>
          <w:tab/>
        </w:r>
        <w:r w:rsidRPr="00622C4B">
          <w:rPr>
            <w:rFonts w:ascii="Times New Roman" w:hAnsi="Times New Roman" w:cs="Times New Roman"/>
            <w:b w:val="0"/>
            <w:noProof/>
            <w:webHidden/>
            <w:sz w:val="24"/>
            <w:szCs w:val="24"/>
          </w:rPr>
          <w:fldChar w:fldCharType="begin"/>
        </w:r>
        <w:r w:rsidR="0066100B" w:rsidRPr="00622C4B">
          <w:rPr>
            <w:rFonts w:ascii="Times New Roman" w:hAnsi="Times New Roman" w:cs="Times New Roman"/>
            <w:b w:val="0"/>
            <w:noProof/>
            <w:webHidden/>
            <w:sz w:val="24"/>
            <w:szCs w:val="24"/>
          </w:rPr>
          <w:instrText xml:space="preserve"> PAGEREF _Toc343636897 \h </w:instrText>
        </w:r>
        <w:r w:rsidRPr="00622C4B">
          <w:rPr>
            <w:rFonts w:ascii="Times New Roman" w:hAnsi="Times New Roman" w:cs="Times New Roman"/>
            <w:b w:val="0"/>
            <w:noProof/>
            <w:webHidden/>
            <w:sz w:val="24"/>
            <w:szCs w:val="24"/>
          </w:rPr>
        </w:r>
        <w:r w:rsidRPr="00622C4B">
          <w:rPr>
            <w:rFonts w:ascii="Times New Roman" w:hAnsi="Times New Roman" w:cs="Times New Roman"/>
            <w:b w:val="0"/>
            <w:noProof/>
            <w:webHidden/>
            <w:sz w:val="24"/>
            <w:szCs w:val="24"/>
          </w:rPr>
          <w:fldChar w:fldCharType="separate"/>
        </w:r>
        <w:r w:rsidR="0066100B" w:rsidRPr="00622C4B">
          <w:rPr>
            <w:rFonts w:ascii="Times New Roman" w:hAnsi="Times New Roman" w:cs="Times New Roman"/>
            <w:b w:val="0"/>
            <w:noProof/>
            <w:webHidden/>
            <w:sz w:val="24"/>
            <w:szCs w:val="24"/>
          </w:rPr>
          <w:t>70</w:t>
        </w:r>
        <w:r w:rsidRPr="00622C4B">
          <w:rPr>
            <w:rFonts w:ascii="Times New Roman" w:hAnsi="Times New Roman" w:cs="Times New Roman"/>
            <w:b w:val="0"/>
            <w:noProof/>
            <w:webHidden/>
            <w:sz w:val="24"/>
            <w:szCs w:val="24"/>
          </w:rPr>
          <w:fldChar w:fldCharType="end"/>
        </w:r>
      </w:hyperlink>
    </w:p>
    <w:p w:rsidR="0066100B" w:rsidRPr="00622C4B" w:rsidRDefault="00D84BC4" w:rsidP="00622C4B">
      <w:pPr>
        <w:pStyle w:val="TOC1"/>
        <w:spacing w:line="380" w:lineRule="atLeast"/>
        <w:rPr>
          <w:noProof/>
          <w:sz w:val="24"/>
          <w:szCs w:val="24"/>
          <w:lang w:val="en-US" w:eastAsia="en-US"/>
        </w:rPr>
      </w:pPr>
      <w:hyperlink w:anchor="_Toc343636898" w:history="1">
        <w:r w:rsidR="0066100B" w:rsidRPr="00622C4B">
          <w:rPr>
            <w:rStyle w:val="Hyperlink"/>
            <w:rFonts w:ascii="Times New Roman" w:hAnsi="Times New Roman" w:cs="Times New Roman"/>
            <w:noProof/>
            <w:sz w:val="24"/>
            <w:szCs w:val="24"/>
          </w:rPr>
          <w:t>LITERATŪRA</w:t>
        </w:r>
        <w:r w:rsidR="0066100B" w:rsidRPr="00622C4B">
          <w:rPr>
            <w:rFonts w:ascii="Times New Roman" w:hAnsi="Times New Roman" w:cs="Times New Roman"/>
            <w:b w:val="0"/>
            <w:noProof/>
            <w:webHidden/>
            <w:sz w:val="24"/>
            <w:szCs w:val="24"/>
          </w:rPr>
          <w:tab/>
        </w:r>
        <w:r w:rsidRPr="00622C4B">
          <w:rPr>
            <w:rFonts w:ascii="Times New Roman" w:hAnsi="Times New Roman" w:cs="Times New Roman"/>
            <w:b w:val="0"/>
            <w:noProof/>
            <w:webHidden/>
            <w:sz w:val="24"/>
            <w:szCs w:val="24"/>
          </w:rPr>
          <w:fldChar w:fldCharType="begin"/>
        </w:r>
        <w:r w:rsidR="0066100B" w:rsidRPr="00622C4B">
          <w:rPr>
            <w:rFonts w:ascii="Times New Roman" w:hAnsi="Times New Roman" w:cs="Times New Roman"/>
            <w:b w:val="0"/>
            <w:noProof/>
            <w:webHidden/>
            <w:sz w:val="24"/>
            <w:szCs w:val="24"/>
          </w:rPr>
          <w:instrText xml:space="preserve"> PAGEREF _Toc343636898 \h </w:instrText>
        </w:r>
        <w:r w:rsidRPr="00622C4B">
          <w:rPr>
            <w:rFonts w:ascii="Times New Roman" w:hAnsi="Times New Roman" w:cs="Times New Roman"/>
            <w:b w:val="0"/>
            <w:noProof/>
            <w:webHidden/>
            <w:sz w:val="24"/>
            <w:szCs w:val="24"/>
          </w:rPr>
        </w:r>
        <w:r w:rsidRPr="00622C4B">
          <w:rPr>
            <w:rFonts w:ascii="Times New Roman" w:hAnsi="Times New Roman" w:cs="Times New Roman"/>
            <w:b w:val="0"/>
            <w:noProof/>
            <w:webHidden/>
            <w:sz w:val="24"/>
            <w:szCs w:val="24"/>
          </w:rPr>
          <w:fldChar w:fldCharType="separate"/>
        </w:r>
        <w:r w:rsidR="0066100B" w:rsidRPr="00622C4B">
          <w:rPr>
            <w:rFonts w:ascii="Times New Roman" w:hAnsi="Times New Roman" w:cs="Times New Roman"/>
            <w:b w:val="0"/>
            <w:noProof/>
            <w:webHidden/>
            <w:sz w:val="24"/>
            <w:szCs w:val="24"/>
          </w:rPr>
          <w:t>73</w:t>
        </w:r>
        <w:r w:rsidRPr="00622C4B">
          <w:rPr>
            <w:rFonts w:ascii="Times New Roman" w:hAnsi="Times New Roman" w:cs="Times New Roman"/>
            <w:b w:val="0"/>
            <w:noProof/>
            <w:webHidden/>
            <w:sz w:val="24"/>
            <w:szCs w:val="24"/>
          </w:rPr>
          <w:fldChar w:fldCharType="end"/>
        </w:r>
      </w:hyperlink>
    </w:p>
    <w:p w:rsidR="00DD5168" w:rsidRPr="00622C4B" w:rsidRDefault="00D84BC4" w:rsidP="00622C4B">
      <w:pPr>
        <w:pStyle w:val="TOC1"/>
        <w:spacing w:line="380" w:lineRule="atLeast"/>
        <w:rPr>
          <w:noProof/>
          <w:sz w:val="24"/>
          <w:szCs w:val="24"/>
          <w:lang w:val="en-US" w:eastAsia="en-US"/>
        </w:rPr>
      </w:pPr>
      <w:r w:rsidRPr="00622C4B">
        <w:rPr>
          <w:sz w:val="24"/>
          <w:szCs w:val="24"/>
        </w:rPr>
        <w:fldChar w:fldCharType="end"/>
      </w:r>
      <w:r w:rsidR="0041342B" w:rsidRPr="00622C4B">
        <w:rPr>
          <w:rStyle w:val="Hyperlink"/>
          <w:rFonts w:ascii="Times New Roman" w:hAnsi="Times New Roman" w:cs="Times New Roman"/>
          <w:noProof/>
          <w:color w:val="auto"/>
          <w:sz w:val="24"/>
          <w:szCs w:val="24"/>
          <w:u w:val="none"/>
        </w:rPr>
        <w:t>ANOTACIJA LIETUVIŲ IR ANGLŲ KALBOMIS</w:t>
      </w:r>
      <w:r w:rsidR="00DD5168" w:rsidRPr="00622C4B">
        <w:rPr>
          <w:rFonts w:ascii="Times New Roman" w:hAnsi="Times New Roman" w:cs="Times New Roman"/>
          <w:b w:val="0"/>
          <w:noProof/>
          <w:webHidden/>
          <w:sz w:val="24"/>
          <w:szCs w:val="24"/>
        </w:rPr>
        <w:tab/>
      </w:r>
      <w:r w:rsidR="0022067A" w:rsidRPr="00622C4B">
        <w:rPr>
          <w:rFonts w:ascii="Times New Roman" w:hAnsi="Times New Roman" w:cs="Times New Roman"/>
          <w:b w:val="0"/>
          <w:noProof/>
          <w:webHidden/>
          <w:sz w:val="24"/>
          <w:szCs w:val="24"/>
        </w:rPr>
        <w:t>80</w:t>
      </w:r>
    </w:p>
    <w:p w:rsidR="0041342B" w:rsidRPr="00622C4B" w:rsidRDefault="006D0767" w:rsidP="00622C4B">
      <w:pPr>
        <w:pStyle w:val="TOC1"/>
        <w:spacing w:line="380" w:lineRule="atLeast"/>
        <w:rPr>
          <w:noProof/>
          <w:sz w:val="24"/>
          <w:szCs w:val="24"/>
          <w:lang w:val="en-US" w:eastAsia="en-US"/>
        </w:rPr>
      </w:pPr>
      <w:r w:rsidRPr="00622C4B">
        <w:rPr>
          <w:rStyle w:val="Hyperlink"/>
          <w:rFonts w:ascii="Times New Roman" w:hAnsi="Times New Roman" w:cs="Times New Roman"/>
          <w:noProof/>
          <w:color w:val="auto"/>
          <w:sz w:val="24"/>
          <w:szCs w:val="24"/>
          <w:u w:val="none"/>
        </w:rPr>
        <w:t>SANTRAUKA LIETUVIŲ KALBA</w:t>
      </w:r>
      <w:r w:rsidR="0041342B" w:rsidRPr="00622C4B">
        <w:rPr>
          <w:rFonts w:ascii="Times New Roman" w:hAnsi="Times New Roman" w:cs="Times New Roman"/>
          <w:b w:val="0"/>
          <w:noProof/>
          <w:webHidden/>
          <w:sz w:val="24"/>
          <w:szCs w:val="24"/>
        </w:rPr>
        <w:tab/>
      </w:r>
      <w:r w:rsidR="0022067A" w:rsidRPr="00622C4B">
        <w:rPr>
          <w:rFonts w:ascii="Times New Roman" w:hAnsi="Times New Roman" w:cs="Times New Roman"/>
          <w:b w:val="0"/>
          <w:noProof/>
          <w:webHidden/>
          <w:sz w:val="24"/>
          <w:szCs w:val="24"/>
        </w:rPr>
        <w:t>81</w:t>
      </w:r>
    </w:p>
    <w:p w:rsidR="00D32A4B" w:rsidRPr="00622C4B" w:rsidRDefault="00D84BC4" w:rsidP="00622C4B">
      <w:pPr>
        <w:pStyle w:val="TOC1"/>
        <w:spacing w:line="380" w:lineRule="atLeast"/>
        <w:rPr>
          <w:noProof/>
          <w:sz w:val="24"/>
          <w:szCs w:val="24"/>
          <w:lang w:val="en-US" w:eastAsia="en-US"/>
        </w:rPr>
      </w:pPr>
      <w:hyperlink w:anchor="_Toc343636898" w:history="1">
        <w:r w:rsidR="006D0767" w:rsidRPr="00622C4B">
          <w:rPr>
            <w:rStyle w:val="Hyperlink"/>
            <w:rFonts w:ascii="Times New Roman" w:hAnsi="Times New Roman" w:cs="Times New Roman"/>
            <w:noProof/>
            <w:color w:val="auto"/>
            <w:sz w:val="24"/>
            <w:szCs w:val="24"/>
            <w:u w:val="none"/>
          </w:rPr>
          <w:t>SANTRAUKA ANGLŲ KALBA</w:t>
        </w:r>
        <w:r w:rsidR="006D0767" w:rsidRPr="00622C4B">
          <w:rPr>
            <w:rFonts w:ascii="Times New Roman" w:hAnsi="Times New Roman" w:cs="Times New Roman"/>
            <w:b w:val="0"/>
            <w:noProof/>
            <w:webHidden/>
            <w:sz w:val="24"/>
            <w:szCs w:val="24"/>
          </w:rPr>
          <w:tab/>
        </w:r>
        <w:r w:rsidR="0022067A" w:rsidRPr="00622C4B">
          <w:rPr>
            <w:rFonts w:ascii="Times New Roman" w:hAnsi="Times New Roman" w:cs="Times New Roman"/>
            <w:b w:val="0"/>
            <w:noProof/>
            <w:webHidden/>
            <w:sz w:val="24"/>
            <w:szCs w:val="24"/>
          </w:rPr>
          <w:t>82</w:t>
        </w:r>
      </w:hyperlink>
    </w:p>
    <w:p w:rsidR="00BC6DB3" w:rsidRDefault="00D84BC4" w:rsidP="00622C4B">
      <w:pPr>
        <w:pStyle w:val="TOC1"/>
        <w:spacing w:line="380" w:lineRule="atLeast"/>
        <w:rPr>
          <w:szCs w:val="24"/>
        </w:rPr>
      </w:pPr>
      <w:hyperlink w:anchor="_Toc343636898" w:history="1">
        <w:r w:rsidR="00F01B02" w:rsidRPr="00622C4B">
          <w:rPr>
            <w:rStyle w:val="Hyperlink"/>
            <w:rFonts w:ascii="Times New Roman" w:hAnsi="Times New Roman" w:cs="Times New Roman"/>
            <w:noProof/>
            <w:color w:val="auto"/>
            <w:sz w:val="24"/>
            <w:szCs w:val="24"/>
            <w:u w:val="none"/>
          </w:rPr>
          <w:t>PRIEDAI</w:t>
        </w:r>
        <w:r w:rsidR="00F01B02" w:rsidRPr="00622C4B">
          <w:rPr>
            <w:rFonts w:ascii="Times New Roman" w:hAnsi="Times New Roman" w:cs="Times New Roman"/>
            <w:b w:val="0"/>
            <w:noProof/>
            <w:webHidden/>
            <w:sz w:val="24"/>
            <w:szCs w:val="24"/>
          </w:rPr>
          <w:tab/>
        </w:r>
        <w:r w:rsidRPr="00622C4B">
          <w:rPr>
            <w:rFonts w:ascii="Times New Roman" w:hAnsi="Times New Roman" w:cs="Times New Roman"/>
            <w:b w:val="0"/>
            <w:noProof/>
            <w:webHidden/>
            <w:sz w:val="24"/>
            <w:szCs w:val="24"/>
          </w:rPr>
          <w:fldChar w:fldCharType="begin"/>
        </w:r>
        <w:r w:rsidR="00F01B02" w:rsidRPr="00622C4B">
          <w:rPr>
            <w:rFonts w:ascii="Times New Roman" w:hAnsi="Times New Roman" w:cs="Times New Roman"/>
            <w:b w:val="0"/>
            <w:noProof/>
            <w:webHidden/>
            <w:sz w:val="24"/>
            <w:szCs w:val="24"/>
          </w:rPr>
          <w:instrText xml:space="preserve"> PAGEREF _Toc343636898 \h </w:instrText>
        </w:r>
        <w:r w:rsidRPr="00622C4B">
          <w:rPr>
            <w:rFonts w:ascii="Times New Roman" w:hAnsi="Times New Roman" w:cs="Times New Roman"/>
            <w:b w:val="0"/>
            <w:noProof/>
            <w:webHidden/>
            <w:sz w:val="24"/>
            <w:szCs w:val="24"/>
          </w:rPr>
        </w:r>
        <w:r w:rsidRPr="00622C4B">
          <w:rPr>
            <w:rFonts w:ascii="Times New Roman" w:hAnsi="Times New Roman" w:cs="Times New Roman"/>
            <w:b w:val="0"/>
            <w:noProof/>
            <w:webHidden/>
            <w:sz w:val="24"/>
            <w:szCs w:val="24"/>
          </w:rPr>
          <w:fldChar w:fldCharType="separate"/>
        </w:r>
        <w:r w:rsidR="00E532AD" w:rsidRPr="00622C4B">
          <w:rPr>
            <w:rFonts w:ascii="Times New Roman" w:hAnsi="Times New Roman" w:cs="Times New Roman"/>
            <w:b w:val="0"/>
            <w:noProof/>
            <w:webHidden/>
            <w:sz w:val="24"/>
            <w:szCs w:val="24"/>
          </w:rPr>
          <w:t>8</w:t>
        </w:r>
        <w:r w:rsidR="00F01B02" w:rsidRPr="00622C4B">
          <w:rPr>
            <w:rFonts w:ascii="Times New Roman" w:hAnsi="Times New Roman" w:cs="Times New Roman"/>
            <w:b w:val="0"/>
            <w:noProof/>
            <w:webHidden/>
            <w:sz w:val="24"/>
            <w:szCs w:val="24"/>
          </w:rPr>
          <w:t>3</w:t>
        </w:r>
        <w:r w:rsidRPr="00622C4B">
          <w:rPr>
            <w:rFonts w:ascii="Times New Roman" w:hAnsi="Times New Roman" w:cs="Times New Roman"/>
            <w:b w:val="0"/>
            <w:noProof/>
            <w:webHidden/>
            <w:sz w:val="24"/>
            <w:szCs w:val="24"/>
          </w:rPr>
          <w:fldChar w:fldCharType="end"/>
        </w:r>
      </w:hyperlink>
      <w:r w:rsidR="00BC6DB3">
        <w:rPr>
          <w:szCs w:val="24"/>
        </w:rPr>
        <w:br w:type="page"/>
      </w:r>
    </w:p>
    <w:p w:rsidR="00472816" w:rsidRPr="00E532AD" w:rsidRDefault="00E532AD" w:rsidP="00B2136D">
      <w:pPr>
        <w:ind w:firstLine="0"/>
        <w:jc w:val="center"/>
        <w:rPr>
          <w:b/>
          <w:sz w:val="26"/>
          <w:szCs w:val="26"/>
        </w:rPr>
      </w:pPr>
      <w:r w:rsidRPr="00E532AD">
        <w:rPr>
          <w:b/>
          <w:sz w:val="26"/>
          <w:szCs w:val="26"/>
        </w:rPr>
        <w:lastRenderedPageBreak/>
        <w:t>LENTELĖS</w:t>
      </w:r>
    </w:p>
    <w:p w:rsidR="00E532AD" w:rsidRPr="00DB1C93" w:rsidRDefault="00A61DCE" w:rsidP="00154441">
      <w:pPr>
        <w:pStyle w:val="TableofFigures"/>
        <w:rPr>
          <w:rFonts w:asciiTheme="minorHAnsi" w:eastAsiaTheme="minorEastAsia" w:hAnsiTheme="minorHAnsi" w:cstheme="minorBidi"/>
          <w:noProof/>
          <w:sz w:val="22"/>
          <w:szCs w:val="22"/>
          <w:lang w:val="en-US"/>
        </w:rPr>
      </w:pPr>
      <w:r w:rsidRPr="00DB1C93">
        <w:t xml:space="preserve">1 </w:t>
      </w:r>
      <w:r w:rsidR="00D84BC4" w:rsidRPr="00DB1C93">
        <w:fldChar w:fldCharType="begin"/>
      </w:r>
      <w:r w:rsidR="00472816" w:rsidRPr="00DB1C93">
        <w:instrText xml:space="preserve"> TOC \h \z \c "lentelė" </w:instrText>
      </w:r>
      <w:r w:rsidR="00D84BC4" w:rsidRPr="00DB1C93">
        <w:fldChar w:fldCharType="separate"/>
      </w:r>
      <w:hyperlink w:anchor="_Toc343638396" w:history="1">
        <w:r w:rsidR="00E532AD" w:rsidRPr="00DB1C93">
          <w:rPr>
            <w:rStyle w:val="Hyperlink"/>
            <w:noProof/>
          </w:rPr>
          <w:t>lentelė</w:t>
        </w:r>
        <w:r w:rsidRPr="00DB1C93">
          <w:rPr>
            <w:rStyle w:val="Hyperlink"/>
            <w:noProof/>
          </w:rPr>
          <w:t>.</w:t>
        </w:r>
        <w:r w:rsidR="00E532AD" w:rsidRPr="00DB1C93">
          <w:rPr>
            <w:rStyle w:val="Hyperlink"/>
            <w:noProof/>
          </w:rPr>
          <w:t xml:space="preserve"> Veiksnių, įtrauktų į vertinimo procesą, reikšmingumo koeficientai (K)</w:t>
        </w:r>
        <w:r w:rsidR="00E532AD" w:rsidRPr="00DB1C93">
          <w:rPr>
            <w:noProof/>
            <w:webHidden/>
          </w:rPr>
          <w:tab/>
        </w:r>
        <w:r w:rsidR="00D84BC4" w:rsidRPr="00DB1C93">
          <w:rPr>
            <w:noProof/>
            <w:webHidden/>
          </w:rPr>
          <w:fldChar w:fldCharType="begin"/>
        </w:r>
        <w:r w:rsidR="00E532AD" w:rsidRPr="00DB1C93">
          <w:rPr>
            <w:noProof/>
            <w:webHidden/>
          </w:rPr>
          <w:instrText xml:space="preserve"> PAGEREF _Toc343638396 \h </w:instrText>
        </w:r>
        <w:r w:rsidR="00D84BC4" w:rsidRPr="00DB1C93">
          <w:rPr>
            <w:noProof/>
            <w:webHidden/>
          </w:rPr>
        </w:r>
        <w:r w:rsidR="00D84BC4" w:rsidRPr="00DB1C93">
          <w:rPr>
            <w:noProof/>
            <w:webHidden/>
          </w:rPr>
          <w:fldChar w:fldCharType="separate"/>
        </w:r>
        <w:r w:rsidR="00E532AD" w:rsidRPr="00DB1C93">
          <w:rPr>
            <w:noProof/>
            <w:webHidden/>
          </w:rPr>
          <w:t>40</w:t>
        </w:r>
        <w:r w:rsidR="00D84BC4" w:rsidRPr="00DB1C93">
          <w:rPr>
            <w:noProof/>
            <w:webHidden/>
          </w:rPr>
          <w:fldChar w:fldCharType="end"/>
        </w:r>
      </w:hyperlink>
    </w:p>
    <w:p w:rsidR="00E532AD" w:rsidRPr="00DB1C93" w:rsidRDefault="00DB7C27" w:rsidP="00154441">
      <w:pPr>
        <w:pStyle w:val="TableofFigures"/>
        <w:rPr>
          <w:rFonts w:asciiTheme="minorHAnsi" w:eastAsiaTheme="minorEastAsia" w:hAnsiTheme="minorHAnsi" w:cstheme="minorBidi"/>
          <w:noProof/>
          <w:sz w:val="22"/>
          <w:szCs w:val="22"/>
          <w:lang w:val="en-US"/>
        </w:rPr>
      </w:pPr>
      <w:r w:rsidRPr="00DB1C93">
        <w:rPr>
          <w:rStyle w:val="Hyperlink"/>
          <w:noProof/>
          <w:color w:val="auto"/>
          <w:u w:val="none"/>
        </w:rPr>
        <w:t xml:space="preserve">2 </w:t>
      </w:r>
      <w:hyperlink w:anchor="_Toc343638397" w:history="1">
        <w:r w:rsidR="00E532AD" w:rsidRPr="00DB1C93">
          <w:rPr>
            <w:rStyle w:val="Hyperlink"/>
            <w:noProof/>
          </w:rPr>
          <w:t>lentelė</w:t>
        </w:r>
        <w:r w:rsidR="00A61DCE" w:rsidRPr="00DB1C93">
          <w:rPr>
            <w:rStyle w:val="Hyperlink"/>
            <w:noProof/>
          </w:rPr>
          <w:t>.</w:t>
        </w:r>
        <w:r w:rsidR="00E532AD" w:rsidRPr="00DB1C93">
          <w:rPr>
            <w:rStyle w:val="Hyperlink"/>
            <w:noProof/>
          </w:rPr>
          <w:t xml:space="preserve"> Ekspertų nuomonė apie racionalaus žmogaus finansinei elgsenai įtaką darančius veiksnius</w:t>
        </w:r>
        <w:r w:rsidR="00E532AD" w:rsidRPr="00DB1C93">
          <w:rPr>
            <w:noProof/>
            <w:webHidden/>
          </w:rPr>
          <w:tab/>
        </w:r>
        <w:r w:rsidR="00D84BC4" w:rsidRPr="00DB1C93">
          <w:rPr>
            <w:noProof/>
            <w:webHidden/>
          </w:rPr>
          <w:fldChar w:fldCharType="begin"/>
        </w:r>
        <w:r w:rsidR="00E532AD" w:rsidRPr="00DB1C93">
          <w:rPr>
            <w:noProof/>
            <w:webHidden/>
          </w:rPr>
          <w:instrText xml:space="preserve"> PAGEREF _Toc343638397 \h </w:instrText>
        </w:r>
        <w:r w:rsidR="00D84BC4" w:rsidRPr="00DB1C93">
          <w:rPr>
            <w:noProof/>
            <w:webHidden/>
          </w:rPr>
        </w:r>
        <w:r w:rsidR="00D84BC4" w:rsidRPr="00DB1C93">
          <w:rPr>
            <w:noProof/>
            <w:webHidden/>
          </w:rPr>
          <w:fldChar w:fldCharType="separate"/>
        </w:r>
        <w:r w:rsidR="00E532AD" w:rsidRPr="00DB1C93">
          <w:rPr>
            <w:noProof/>
            <w:webHidden/>
          </w:rPr>
          <w:t>42</w:t>
        </w:r>
        <w:r w:rsidR="00D84BC4" w:rsidRPr="00DB1C93">
          <w:rPr>
            <w:noProof/>
            <w:webHidden/>
          </w:rPr>
          <w:fldChar w:fldCharType="end"/>
        </w:r>
      </w:hyperlink>
    </w:p>
    <w:p w:rsidR="00E532AD" w:rsidRPr="00DB1C93" w:rsidRDefault="00DB7C27" w:rsidP="00154441">
      <w:pPr>
        <w:pStyle w:val="TableofFigures"/>
        <w:rPr>
          <w:rFonts w:asciiTheme="minorHAnsi" w:eastAsiaTheme="minorEastAsia" w:hAnsiTheme="minorHAnsi" w:cstheme="minorBidi"/>
          <w:noProof/>
          <w:sz w:val="22"/>
          <w:szCs w:val="22"/>
          <w:lang w:val="en-US"/>
        </w:rPr>
      </w:pPr>
      <w:r w:rsidRPr="00DB1C93">
        <w:rPr>
          <w:rStyle w:val="Hyperlink"/>
          <w:noProof/>
          <w:color w:val="auto"/>
          <w:u w:val="none"/>
        </w:rPr>
        <w:t xml:space="preserve">3 </w:t>
      </w:r>
      <w:hyperlink w:anchor="_Toc343638398" w:history="1">
        <w:r w:rsidR="00E532AD" w:rsidRPr="00DB1C93">
          <w:rPr>
            <w:rStyle w:val="Hyperlink"/>
            <w:noProof/>
          </w:rPr>
          <w:t>lentelė</w:t>
        </w:r>
        <w:r w:rsidR="00A61DCE" w:rsidRPr="00DB1C93">
          <w:rPr>
            <w:rStyle w:val="Hyperlink"/>
            <w:noProof/>
          </w:rPr>
          <w:t>.</w:t>
        </w:r>
        <w:r w:rsidR="00E532AD" w:rsidRPr="00DB1C93">
          <w:rPr>
            <w:rStyle w:val="Hyperlink"/>
            <w:noProof/>
          </w:rPr>
          <w:t xml:space="preserve"> Apklausos dalyvių amžiaus kategorijų ir išsilavinimo lygio sąryšis</w:t>
        </w:r>
        <w:r w:rsidR="00E532AD" w:rsidRPr="00DB1C93">
          <w:rPr>
            <w:noProof/>
            <w:webHidden/>
          </w:rPr>
          <w:tab/>
        </w:r>
        <w:r w:rsidR="00D84BC4" w:rsidRPr="00DB1C93">
          <w:rPr>
            <w:noProof/>
            <w:webHidden/>
          </w:rPr>
          <w:fldChar w:fldCharType="begin"/>
        </w:r>
        <w:r w:rsidR="00E532AD" w:rsidRPr="00DB1C93">
          <w:rPr>
            <w:noProof/>
            <w:webHidden/>
          </w:rPr>
          <w:instrText xml:space="preserve"> PAGEREF _Toc343638398 \h </w:instrText>
        </w:r>
        <w:r w:rsidR="00D84BC4" w:rsidRPr="00DB1C93">
          <w:rPr>
            <w:noProof/>
            <w:webHidden/>
          </w:rPr>
        </w:r>
        <w:r w:rsidR="00D84BC4" w:rsidRPr="00DB1C93">
          <w:rPr>
            <w:noProof/>
            <w:webHidden/>
          </w:rPr>
          <w:fldChar w:fldCharType="separate"/>
        </w:r>
        <w:r w:rsidR="00E532AD" w:rsidRPr="00DB1C93">
          <w:rPr>
            <w:noProof/>
            <w:webHidden/>
          </w:rPr>
          <w:t>44</w:t>
        </w:r>
        <w:r w:rsidR="00D84BC4" w:rsidRPr="00DB1C93">
          <w:rPr>
            <w:noProof/>
            <w:webHidden/>
          </w:rPr>
          <w:fldChar w:fldCharType="end"/>
        </w:r>
      </w:hyperlink>
    </w:p>
    <w:p w:rsidR="00E532AD" w:rsidRPr="00DB1C93" w:rsidRDefault="00DB7C27" w:rsidP="00154441">
      <w:pPr>
        <w:pStyle w:val="TableofFigures"/>
        <w:rPr>
          <w:rFonts w:asciiTheme="minorHAnsi" w:eastAsiaTheme="minorEastAsia" w:hAnsiTheme="minorHAnsi" w:cstheme="minorBidi"/>
          <w:noProof/>
          <w:sz w:val="22"/>
          <w:szCs w:val="22"/>
          <w:lang w:val="en-US"/>
        </w:rPr>
      </w:pPr>
      <w:r w:rsidRPr="00DB1C93">
        <w:rPr>
          <w:rStyle w:val="Hyperlink"/>
          <w:noProof/>
          <w:color w:val="auto"/>
          <w:u w:val="none"/>
        </w:rPr>
        <w:t xml:space="preserve">4 </w:t>
      </w:r>
      <w:hyperlink w:anchor="_Toc343638399" w:history="1">
        <w:r w:rsidR="00E532AD" w:rsidRPr="00DB1C93">
          <w:rPr>
            <w:rStyle w:val="Hyperlink"/>
            <w:noProof/>
          </w:rPr>
          <w:t>lentelė</w:t>
        </w:r>
        <w:r w:rsidR="00A61DCE" w:rsidRPr="00DB1C93">
          <w:rPr>
            <w:rStyle w:val="Hyperlink"/>
            <w:noProof/>
          </w:rPr>
          <w:t>.</w:t>
        </w:r>
        <w:r w:rsidR="00E532AD" w:rsidRPr="00DB1C93">
          <w:rPr>
            <w:rStyle w:val="Hyperlink"/>
            <w:noProof/>
          </w:rPr>
          <w:t xml:space="preserve"> Apklausos dalyvių finansinė padėtis: pajamos, tenkančios vienam šeimos nariui</w:t>
        </w:r>
        <w:r w:rsidR="00E532AD" w:rsidRPr="00DB1C93">
          <w:rPr>
            <w:noProof/>
            <w:webHidden/>
          </w:rPr>
          <w:tab/>
        </w:r>
        <w:r w:rsidR="00D84BC4" w:rsidRPr="00DB1C93">
          <w:rPr>
            <w:noProof/>
            <w:webHidden/>
          </w:rPr>
          <w:fldChar w:fldCharType="begin"/>
        </w:r>
        <w:r w:rsidR="00E532AD" w:rsidRPr="00DB1C93">
          <w:rPr>
            <w:noProof/>
            <w:webHidden/>
          </w:rPr>
          <w:instrText xml:space="preserve"> PAGEREF _Toc343638399 \h </w:instrText>
        </w:r>
        <w:r w:rsidR="00D84BC4" w:rsidRPr="00DB1C93">
          <w:rPr>
            <w:noProof/>
            <w:webHidden/>
          </w:rPr>
        </w:r>
        <w:r w:rsidR="00D84BC4" w:rsidRPr="00DB1C93">
          <w:rPr>
            <w:noProof/>
            <w:webHidden/>
          </w:rPr>
          <w:fldChar w:fldCharType="separate"/>
        </w:r>
        <w:r w:rsidR="00E532AD" w:rsidRPr="00DB1C93">
          <w:rPr>
            <w:noProof/>
            <w:webHidden/>
          </w:rPr>
          <w:t>45</w:t>
        </w:r>
        <w:r w:rsidR="00D84BC4" w:rsidRPr="00DB1C93">
          <w:rPr>
            <w:noProof/>
            <w:webHidden/>
          </w:rPr>
          <w:fldChar w:fldCharType="end"/>
        </w:r>
      </w:hyperlink>
    </w:p>
    <w:p w:rsidR="00E532AD" w:rsidRPr="00DB1C93" w:rsidRDefault="00DB7C27" w:rsidP="00154441">
      <w:pPr>
        <w:pStyle w:val="TableofFigures"/>
        <w:rPr>
          <w:rFonts w:asciiTheme="minorHAnsi" w:eastAsiaTheme="minorEastAsia" w:hAnsiTheme="minorHAnsi" w:cstheme="minorBidi"/>
          <w:noProof/>
          <w:sz w:val="22"/>
          <w:szCs w:val="22"/>
          <w:lang w:val="en-US"/>
        </w:rPr>
      </w:pPr>
      <w:r w:rsidRPr="00DB1C93">
        <w:rPr>
          <w:rStyle w:val="Hyperlink"/>
          <w:noProof/>
          <w:color w:val="auto"/>
          <w:u w:val="none"/>
        </w:rPr>
        <w:t xml:space="preserve">5 </w:t>
      </w:r>
      <w:hyperlink w:anchor="_Toc343638400" w:history="1">
        <w:r w:rsidR="00E532AD" w:rsidRPr="00DB1C93">
          <w:rPr>
            <w:rStyle w:val="Hyperlink"/>
            <w:noProof/>
          </w:rPr>
          <w:t>lentelė</w:t>
        </w:r>
        <w:r w:rsidR="00A61DCE" w:rsidRPr="00DB1C93">
          <w:rPr>
            <w:rStyle w:val="Hyperlink"/>
            <w:noProof/>
          </w:rPr>
          <w:t>.</w:t>
        </w:r>
        <w:r w:rsidR="00E532AD" w:rsidRPr="00DB1C93">
          <w:rPr>
            <w:rStyle w:val="Hyperlink"/>
            <w:noProof/>
          </w:rPr>
          <w:t xml:space="preserve"> Apklausos dalyvių nepasitenkinimo socialine apsauga lygio ir darbo stažo sąryšis</w:t>
        </w:r>
        <w:r w:rsidR="00E532AD" w:rsidRPr="00DB1C93">
          <w:rPr>
            <w:noProof/>
            <w:webHidden/>
          </w:rPr>
          <w:tab/>
        </w:r>
        <w:r w:rsidR="00D84BC4" w:rsidRPr="00DB1C93">
          <w:rPr>
            <w:noProof/>
            <w:webHidden/>
          </w:rPr>
          <w:fldChar w:fldCharType="begin"/>
        </w:r>
        <w:r w:rsidR="00E532AD" w:rsidRPr="00DB1C93">
          <w:rPr>
            <w:noProof/>
            <w:webHidden/>
          </w:rPr>
          <w:instrText xml:space="preserve"> PAGEREF _Toc343638400 \h </w:instrText>
        </w:r>
        <w:r w:rsidR="00D84BC4" w:rsidRPr="00DB1C93">
          <w:rPr>
            <w:noProof/>
            <w:webHidden/>
          </w:rPr>
        </w:r>
        <w:r w:rsidR="00D84BC4" w:rsidRPr="00DB1C93">
          <w:rPr>
            <w:noProof/>
            <w:webHidden/>
          </w:rPr>
          <w:fldChar w:fldCharType="separate"/>
        </w:r>
        <w:r w:rsidR="00E532AD" w:rsidRPr="00DB1C93">
          <w:rPr>
            <w:noProof/>
            <w:webHidden/>
          </w:rPr>
          <w:t>45</w:t>
        </w:r>
        <w:r w:rsidR="00D84BC4" w:rsidRPr="00DB1C93">
          <w:rPr>
            <w:noProof/>
            <w:webHidden/>
          </w:rPr>
          <w:fldChar w:fldCharType="end"/>
        </w:r>
      </w:hyperlink>
    </w:p>
    <w:p w:rsidR="00E532AD" w:rsidRPr="00DB1C93" w:rsidRDefault="00DB7C27" w:rsidP="00154441">
      <w:pPr>
        <w:pStyle w:val="TableofFigures"/>
        <w:rPr>
          <w:rFonts w:asciiTheme="minorHAnsi" w:eastAsiaTheme="minorEastAsia" w:hAnsiTheme="minorHAnsi" w:cstheme="minorBidi"/>
          <w:noProof/>
          <w:sz w:val="22"/>
          <w:szCs w:val="22"/>
          <w:lang w:val="en-US"/>
        </w:rPr>
      </w:pPr>
      <w:r w:rsidRPr="00DB1C93">
        <w:rPr>
          <w:rStyle w:val="Hyperlink"/>
          <w:noProof/>
          <w:color w:val="auto"/>
          <w:u w:val="none"/>
        </w:rPr>
        <w:t xml:space="preserve">6 </w:t>
      </w:r>
      <w:hyperlink w:anchor="_Toc343638401" w:history="1">
        <w:r w:rsidR="00E532AD" w:rsidRPr="00DB1C93">
          <w:rPr>
            <w:rStyle w:val="Hyperlink"/>
            <w:noProof/>
          </w:rPr>
          <w:t>lentelė</w:t>
        </w:r>
        <w:r w:rsidR="00A61DCE" w:rsidRPr="00DB1C93">
          <w:rPr>
            <w:rStyle w:val="Hyperlink"/>
            <w:noProof/>
          </w:rPr>
          <w:t>.</w:t>
        </w:r>
        <w:r w:rsidR="00E532AD" w:rsidRPr="00DB1C93">
          <w:rPr>
            <w:rStyle w:val="Hyperlink"/>
            <w:noProof/>
          </w:rPr>
          <w:t xml:space="preserve"> Mentalinių sąskaitų įtaka, priklausomai nuo buvimo socialinių išmokų gavėju laiko</w:t>
        </w:r>
        <w:r w:rsidR="00E532AD" w:rsidRPr="00DB1C93">
          <w:rPr>
            <w:noProof/>
            <w:webHidden/>
          </w:rPr>
          <w:tab/>
        </w:r>
        <w:r w:rsidR="00D84BC4" w:rsidRPr="00DB1C93">
          <w:rPr>
            <w:noProof/>
            <w:webHidden/>
          </w:rPr>
          <w:fldChar w:fldCharType="begin"/>
        </w:r>
        <w:r w:rsidR="00E532AD" w:rsidRPr="00DB1C93">
          <w:rPr>
            <w:noProof/>
            <w:webHidden/>
          </w:rPr>
          <w:instrText xml:space="preserve"> PAGEREF _Toc343638401 \h </w:instrText>
        </w:r>
        <w:r w:rsidR="00D84BC4" w:rsidRPr="00DB1C93">
          <w:rPr>
            <w:noProof/>
            <w:webHidden/>
          </w:rPr>
        </w:r>
        <w:r w:rsidR="00D84BC4" w:rsidRPr="00DB1C93">
          <w:rPr>
            <w:noProof/>
            <w:webHidden/>
          </w:rPr>
          <w:fldChar w:fldCharType="separate"/>
        </w:r>
        <w:r w:rsidR="00E532AD" w:rsidRPr="00DB1C93">
          <w:rPr>
            <w:noProof/>
            <w:webHidden/>
          </w:rPr>
          <w:t>47</w:t>
        </w:r>
        <w:r w:rsidR="00D84BC4" w:rsidRPr="00DB1C93">
          <w:rPr>
            <w:noProof/>
            <w:webHidden/>
          </w:rPr>
          <w:fldChar w:fldCharType="end"/>
        </w:r>
      </w:hyperlink>
    </w:p>
    <w:p w:rsidR="00E532AD" w:rsidRPr="00DB1C93" w:rsidRDefault="00DB7C27" w:rsidP="00154441">
      <w:pPr>
        <w:pStyle w:val="TableofFigures"/>
        <w:rPr>
          <w:rFonts w:asciiTheme="minorHAnsi" w:eastAsiaTheme="minorEastAsia" w:hAnsiTheme="minorHAnsi" w:cstheme="minorBidi"/>
          <w:noProof/>
          <w:sz w:val="22"/>
          <w:szCs w:val="22"/>
          <w:lang w:val="en-US"/>
        </w:rPr>
      </w:pPr>
      <w:r w:rsidRPr="00DB1C93">
        <w:rPr>
          <w:rStyle w:val="Hyperlink"/>
          <w:noProof/>
          <w:color w:val="auto"/>
          <w:u w:val="none"/>
        </w:rPr>
        <w:t xml:space="preserve">7 </w:t>
      </w:r>
      <w:hyperlink w:anchor="_Toc343638402" w:history="1">
        <w:r w:rsidR="00E532AD" w:rsidRPr="00DB1C93">
          <w:rPr>
            <w:rStyle w:val="Hyperlink"/>
            <w:noProof/>
          </w:rPr>
          <w:t>lentelė</w:t>
        </w:r>
        <w:r w:rsidR="00A61DCE" w:rsidRPr="00DB1C93">
          <w:rPr>
            <w:rStyle w:val="Hyperlink"/>
            <w:noProof/>
          </w:rPr>
          <w:t>.</w:t>
        </w:r>
        <w:r w:rsidR="00E532AD" w:rsidRPr="00DB1C93">
          <w:rPr>
            <w:rStyle w:val="Hyperlink"/>
            <w:noProof/>
          </w:rPr>
          <w:t xml:space="preserve"> Amoralaus šeimyniškumo įtaka, priklausomai nuo buvimo socialinių išmokų gavėju laiko</w:t>
        </w:r>
        <w:r w:rsidR="00E532AD" w:rsidRPr="00DB1C93">
          <w:rPr>
            <w:noProof/>
            <w:webHidden/>
          </w:rPr>
          <w:tab/>
        </w:r>
        <w:r w:rsidR="00D84BC4" w:rsidRPr="00DB1C93">
          <w:rPr>
            <w:noProof/>
            <w:webHidden/>
          </w:rPr>
          <w:fldChar w:fldCharType="begin"/>
        </w:r>
        <w:r w:rsidR="00E532AD" w:rsidRPr="00DB1C93">
          <w:rPr>
            <w:noProof/>
            <w:webHidden/>
          </w:rPr>
          <w:instrText xml:space="preserve"> PAGEREF _Toc343638402 \h </w:instrText>
        </w:r>
        <w:r w:rsidR="00D84BC4" w:rsidRPr="00DB1C93">
          <w:rPr>
            <w:noProof/>
            <w:webHidden/>
          </w:rPr>
        </w:r>
        <w:r w:rsidR="00D84BC4" w:rsidRPr="00DB1C93">
          <w:rPr>
            <w:noProof/>
            <w:webHidden/>
          </w:rPr>
          <w:fldChar w:fldCharType="separate"/>
        </w:r>
        <w:r w:rsidR="00E532AD" w:rsidRPr="00DB1C93">
          <w:rPr>
            <w:noProof/>
            <w:webHidden/>
          </w:rPr>
          <w:t>47</w:t>
        </w:r>
        <w:r w:rsidR="00D84BC4" w:rsidRPr="00DB1C93">
          <w:rPr>
            <w:noProof/>
            <w:webHidden/>
          </w:rPr>
          <w:fldChar w:fldCharType="end"/>
        </w:r>
      </w:hyperlink>
    </w:p>
    <w:p w:rsidR="00E532AD" w:rsidRPr="00DB1C93" w:rsidRDefault="00DB7C27" w:rsidP="00154441">
      <w:pPr>
        <w:pStyle w:val="TableofFigures"/>
        <w:rPr>
          <w:rFonts w:asciiTheme="minorHAnsi" w:eastAsiaTheme="minorEastAsia" w:hAnsiTheme="minorHAnsi" w:cstheme="minorBidi"/>
          <w:noProof/>
          <w:sz w:val="22"/>
          <w:szCs w:val="22"/>
          <w:lang w:val="en-US"/>
        </w:rPr>
      </w:pPr>
      <w:r w:rsidRPr="00DB1C93">
        <w:rPr>
          <w:rStyle w:val="Hyperlink"/>
          <w:noProof/>
          <w:color w:val="auto"/>
          <w:u w:val="none"/>
        </w:rPr>
        <w:t xml:space="preserve">8 </w:t>
      </w:r>
      <w:hyperlink w:anchor="_Toc343638403" w:history="1">
        <w:r w:rsidR="00E532AD" w:rsidRPr="00DB1C93">
          <w:rPr>
            <w:rStyle w:val="Hyperlink"/>
            <w:noProof/>
          </w:rPr>
          <w:t>lentelė</w:t>
        </w:r>
        <w:r w:rsidR="00A61DCE" w:rsidRPr="00DB1C93">
          <w:rPr>
            <w:rStyle w:val="Hyperlink"/>
            <w:noProof/>
          </w:rPr>
          <w:t>.</w:t>
        </w:r>
        <w:r w:rsidR="00E532AD" w:rsidRPr="00DB1C93">
          <w:rPr>
            <w:rStyle w:val="Hyperlink"/>
            <w:noProof/>
          </w:rPr>
          <w:t xml:space="preserve"> Išmokos mokėjimo trukmės įtaka, priklausomai nuo buvimo socialinių išmokų gavėju laiko</w:t>
        </w:r>
        <w:r w:rsidR="00E532AD" w:rsidRPr="00DB1C93">
          <w:rPr>
            <w:noProof/>
            <w:webHidden/>
          </w:rPr>
          <w:tab/>
        </w:r>
        <w:r w:rsidR="00D84BC4" w:rsidRPr="00DB1C93">
          <w:rPr>
            <w:noProof/>
            <w:webHidden/>
          </w:rPr>
          <w:fldChar w:fldCharType="begin"/>
        </w:r>
        <w:r w:rsidR="00E532AD" w:rsidRPr="00DB1C93">
          <w:rPr>
            <w:noProof/>
            <w:webHidden/>
          </w:rPr>
          <w:instrText xml:space="preserve"> PAGEREF _Toc343638403 \h </w:instrText>
        </w:r>
        <w:r w:rsidR="00D84BC4" w:rsidRPr="00DB1C93">
          <w:rPr>
            <w:noProof/>
            <w:webHidden/>
          </w:rPr>
        </w:r>
        <w:r w:rsidR="00D84BC4" w:rsidRPr="00DB1C93">
          <w:rPr>
            <w:noProof/>
            <w:webHidden/>
          </w:rPr>
          <w:fldChar w:fldCharType="separate"/>
        </w:r>
        <w:r w:rsidR="00E532AD" w:rsidRPr="00DB1C93">
          <w:rPr>
            <w:noProof/>
            <w:webHidden/>
          </w:rPr>
          <w:t>49</w:t>
        </w:r>
        <w:r w:rsidR="00D84BC4" w:rsidRPr="00DB1C93">
          <w:rPr>
            <w:noProof/>
            <w:webHidden/>
          </w:rPr>
          <w:fldChar w:fldCharType="end"/>
        </w:r>
      </w:hyperlink>
    </w:p>
    <w:p w:rsidR="00E532AD" w:rsidRPr="00DB1C93" w:rsidRDefault="00DB7C27" w:rsidP="00154441">
      <w:pPr>
        <w:pStyle w:val="TableofFigures"/>
        <w:rPr>
          <w:rFonts w:asciiTheme="minorHAnsi" w:eastAsiaTheme="minorEastAsia" w:hAnsiTheme="minorHAnsi" w:cstheme="minorBidi"/>
          <w:noProof/>
          <w:sz w:val="22"/>
          <w:szCs w:val="22"/>
          <w:lang w:val="en-US"/>
        </w:rPr>
      </w:pPr>
      <w:r w:rsidRPr="00DB1C93">
        <w:rPr>
          <w:rStyle w:val="Hyperlink"/>
          <w:noProof/>
          <w:color w:val="auto"/>
          <w:u w:val="none"/>
        </w:rPr>
        <w:t xml:space="preserve">9 </w:t>
      </w:r>
      <w:hyperlink w:anchor="_Toc343638404" w:history="1">
        <w:r w:rsidR="00E532AD" w:rsidRPr="00DB1C93">
          <w:rPr>
            <w:rStyle w:val="Hyperlink"/>
            <w:noProof/>
          </w:rPr>
          <w:t>lentelė</w:t>
        </w:r>
        <w:r w:rsidR="00A61DCE" w:rsidRPr="00DB1C93">
          <w:rPr>
            <w:rStyle w:val="Hyperlink"/>
            <w:noProof/>
          </w:rPr>
          <w:t>.</w:t>
        </w:r>
        <w:r w:rsidR="00E532AD" w:rsidRPr="00DB1C93">
          <w:rPr>
            <w:rStyle w:val="Hyperlink"/>
            <w:noProof/>
          </w:rPr>
          <w:t xml:space="preserve"> Ekspertų vertinimas: pastangų pakeisti savo socialinį statusą nustatymas</w:t>
        </w:r>
        <w:r w:rsidR="00E532AD" w:rsidRPr="00DB1C93">
          <w:rPr>
            <w:noProof/>
            <w:webHidden/>
          </w:rPr>
          <w:tab/>
        </w:r>
        <w:r w:rsidR="00D84BC4" w:rsidRPr="00DB1C93">
          <w:rPr>
            <w:noProof/>
            <w:webHidden/>
          </w:rPr>
          <w:fldChar w:fldCharType="begin"/>
        </w:r>
        <w:r w:rsidR="00E532AD" w:rsidRPr="00DB1C93">
          <w:rPr>
            <w:noProof/>
            <w:webHidden/>
          </w:rPr>
          <w:instrText xml:space="preserve"> PAGEREF _Toc343638404 \h </w:instrText>
        </w:r>
        <w:r w:rsidR="00D84BC4" w:rsidRPr="00DB1C93">
          <w:rPr>
            <w:noProof/>
            <w:webHidden/>
          </w:rPr>
        </w:r>
        <w:r w:rsidR="00D84BC4" w:rsidRPr="00DB1C93">
          <w:rPr>
            <w:noProof/>
            <w:webHidden/>
          </w:rPr>
          <w:fldChar w:fldCharType="separate"/>
        </w:r>
        <w:r w:rsidR="00E532AD" w:rsidRPr="00DB1C93">
          <w:rPr>
            <w:noProof/>
            <w:webHidden/>
          </w:rPr>
          <w:t>57</w:t>
        </w:r>
        <w:r w:rsidR="00D84BC4" w:rsidRPr="00DB1C93">
          <w:rPr>
            <w:noProof/>
            <w:webHidden/>
          </w:rPr>
          <w:fldChar w:fldCharType="end"/>
        </w:r>
      </w:hyperlink>
    </w:p>
    <w:p w:rsidR="00472816" w:rsidRDefault="00D84BC4" w:rsidP="00C70F35">
      <w:r w:rsidRPr="00DB1C93">
        <w:fldChar w:fldCharType="end"/>
      </w:r>
    </w:p>
    <w:p w:rsidR="00BC6DB3" w:rsidRDefault="00BC6DB3" w:rsidP="00472816">
      <w:r>
        <w:br w:type="page"/>
      </w:r>
    </w:p>
    <w:p w:rsidR="00BC6DB3" w:rsidRPr="00CC3AEB" w:rsidRDefault="00CC3AEB" w:rsidP="00CC3AEB">
      <w:pPr>
        <w:ind w:firstLine="0"/>
        <w:jc w:val="center"/>
        <w:rPr>
          <w:b/>
          <w:sz w:val="26"/>
          <w:szCs w:val="26"/>
        </w:rPr>
      </w:pPr>
      <w:r w:rsidRPr="00CC3AEB">
        <w:rPr>
          <w:b/>
          <w:sz w:val="26"/>
          <w:szCs w:val="26"/>
        </w:rPr>
        <w:lastRenderedPageBreak/>
        <w:t>PAVEIKSLAI</w:t>
      </w:r>
    </w:p>
    <w:p w:rsidR="00184964" w:rsidRDefault="00CC3AEB" w:rsidP="00154441">
      <w:pPr>
        <w:pStyle w:val="TableofFigures"/>
        <w:rPr>
          <w:rFonts w:asciiTheme="minorHAnsi" w:eastAsiaTheme="minorEastAsia" w:hAnsiTheme="minorHAnsi" w:cstheme="minorBidi"/>
          <w:noProof/>
          <w:sz w:val="22"/>
          <w:szCs w:val="22"/>
          <w:lang w:val="en-US"/>
        </w:rPr>
      </w:pPr>
      <w:r w:rsidRPr="00CC3AEB">
        <w:t xml:space="preserve">1 </w:t>
      </w:r>
      <w:r w:rsidR="00D84BC4">
        <w:fldChar w:fldCharType="begin"/>
      </w:r>
      <w:r w:rsidR="001F749C">
        <w:instrText xml:space="preserve"> TOC \h \z \c "pav." </w:instrText>
      </w:r>
      <w:r w:rsidR="00D84BC4">
        <w:fldChar w:fldCharType="separate"/>
      </w:r>
      <w:hyperlink w:anchor="_Toc343590398" w:history="1">
        <w:r w:rsidR="00184964" w:rsidRPr="00256C5C">
          <w:rPr>
            <w:rStyle w:val="Hyperlink"/>
            <w:noProof/>
          </w:rPr>
          <w:t>pav. Asmeninių (A) ir valstybės (V) finansų tarpusavio ryšiai, individui priimant sprendimus</w:t>
        </w:r>
        <w:r w:rsidR="00184964">
          <w:rPr>
            <w:noProof/>
            <w:webHidden/>
          </w:rPr>
          <w:tab/>
        </w:r>
        <w:r w:rsidR="00D84BC4">
          <w:rPr>
            <w:noProof/>
            <w:webHidden/>
          </w:rPr>
          <w:fldChar w:fldCharType="begin"/>
        </w:r>
        <w:r w:rsidR="00184964">
          <w:rPr>
            <w:noProof/>
            <w:webHidden/>
          </w:rPr>
          <w:instrText xml:space="preserve"> PAGEREF _Toc343590398 \h </w:instrText>
        </w:r>
        <w:r w:rsidR="00D84BC4">
          <w:rPr>
            <w:noProof/>
            <w:webHidden/>
          </w:rPr>
        </w:r>
        <w:r w:rsidR="00D84BC4">
          <w:rPr>
            <w:noProof/>
            <w:webHidden/>
          </w:rPr>
          <w:fldChar w:fldCharType="separate"/>
        </w:r>
        <w:r w:rsidR="00184964">
          <w:rPr>
            <w:noProof/>
            <w:webHidden/>
          </w:rPr>
          <w:t>13</w:t>
        </w:r>
        <w:r w:rsidR="00D84BC4">
          <w:rPr>
            <w:noProof/>
            <w:webHidden/>
          </w:rPr>
          <w:fldChar w:fldCharType="end"/>
        </w:r>
      </w:hyperlink>
    </w:p>
    <w:p w:rsidR="00184964" w:rsidRDefault="00CC3AEB" w:rsidP="00154441">
      <w:pPr>
        <w:pStyle w:val="TableofFigures"/>
        <w:rPr>
          <w:rFonts w:asciiTheme="minorHAnsi" w:eastAsiaTheme="minorEastAsia" w:hAnsiTheme="minorHAnsi" w:cstheme="minorBidi"/>
          <w:noProof/>
          <w:sz w:val="22"/>
          <w:szCs w:val="22"/>
          <w:lang w:val="en-US"/>
        </w:rPr>
      </w:pPr>
      <w:r w:rsidRPr="00CC3AEB">
        <w:rPr>
          <w:rStyle w:val="Hyperlink"/>
          <w:noProof/>
          <w:color w:val="auto"/>
          <w:u w:val="none"/>
        </w:rPr>
        <w:t xml:space="preserve">2 </w:t>
      </w:r>
      <w:hyperlink w:anchor="_Toc343590399" w:history="1">
        <w:r w:rsidR="00184964" w:rsidRPr="00256C5C">
          <w:rPr>
            <w:rStyle w:val="Hyperlink"/>
            <w:noProof/>
          </w:rPr>
          <w:t>pav. Kognityvinių nukrypimų elgesio šablonai</w:t>
        </w:r>
        <w:r w:rsidR="00184964">
          <w:rPr>
            <w:noProof/>
            <w:webHidden/>
          </w:rPr>
          <w:tab/>
        </w:r>
        <w:r w:rsidR="00D84BC4">
          <w:rPr>
            <w:noProof/>
            <w:webHidden/>
          </w:rPr>
          <w:fldChar w:fldCharType="begin"/>
        </w:r>
        <w:r w:rsidR="00184964">
          <w:rPr>
            <w:noProof/>
            <w:webHidden/>
          </w:rPr>
          <w:instrText xml:space="preserve"> PAGEREF _Toc343590399 \h </w:instrText>
        </w:r>
        <w:r w:rsidR="00D84BC4">
          <w:rPr>
            <w:noProof/>
            <w:webHidden/>
          </w:rPr>
        </w:r>
        <w:r w:rsidR="00D84BC4">
          <w:rPr>
            <w:noProof/>
            <w:webHidden/>
          </w:rPr>
          <w:fldChar w:fldCharType="separate"/>
        </w:r>
        <w:r w:rsidR="00184964">
          <w:rPr>
            <w:noProof/>
            <w:webHidden/>
          </w:rPr>
          <w:t>14</w:t>
        </w:r>
        <w:r w:rsidR="00D84BC4">
          <w:rPr>
            <w:noProof/>
            <w:webHidden/>
          </w:rPr>
          <w:fldChar w:fldCharType="end"/>
        </w:r>
      </w:hyperlink>
    </w:p>
    <w:p w:rsidR="00184964" w:rsidRDefault="00CC3AEB" w:rsidP="00154441">
      <w:pPr>
        <w:pStyle w:val="TableofFigures"/>
        <w:rPr>
          <w:rFonts w:asciiTheme="minorHAnsi" w:eastAsiaTheme="minorEastAsia" w:hAnsiTheme="minorHAnsi" w:cstheme="minorBidi"/>
          <w:noProof/>
          <w:sz w:val="22"/>
          <w:szCs w:val="22"/>
          <w:lang w:val="en-US"/>
        </w:rPr>
      </w:pPr>
      <w:r w:rsidRPr="00CC3AEB">
        <w:rPr>
          <w:rStyle w:val="Hyperlink"/>
          <w:noProof/>
          <w:color w:val="auto"/>
          <w:u w:val="none"/>
        </w:rPr>
        <w:t xml:space="preserve">3 </w:t>
      </w:r>
      <w:hyperlink w:anchor="_Toc343590400" w:history="1">
        <w:r w:rsidR="00184964" w:rsidRPr="00256C5C">
          <w:rPr>
            <w:rStyle w:val="Hyperlink"/>
            <w:noProof/>
          </w:rPr>
          <w:t xml:space="preserve">pav. Socialiniai-demografiniai veiksniai, </w:t>
        </w:r>
        <w:r w:rsidR="001177A6">
          <w:rPr>
            <w:rStyle w:val="Hyperlink"/>
            <w:noProof/>
          </w:rPr>
          <w:t xml:space="preserve">veikiantys finansinę </w:t>
        </w:r>
        <w:r w:rsidR="00184964" w:rsidRPr="00256C5C">
          <w:rPr>
            <w:rStyle w:val="Hyperlink"/>
            <w:noProof/>
          </w:rPr>
          <w:t>elgseną</w:t>
        </w:r>
        <w:r w:rsidR="00184964">
          <w:rPr>
            <w:noProof/>
            <w:webHidden/>
          </w:rPr>
          <w:tab/>
        </w:r>
        <w:r w:rsidR="00D84BC4">
          <w:rPr>
            <w:noProof/>
            <w:webHidden/>
          </w:rPr>
          <w:fldChar w:fldCharType="begin"/>
        </w:r>
        <w:r w:rsidR="00184964">
          <w:rPr>
            <w:noProof/>
            <w:webHidden/>
          </w:rPr>
          <w:instrText xml:space="preserve"> PAGEREF _Toc343590400 \h </w:instrText>
        </w:r>
        <w:r w:rsidR="00D84BC4">
          <w:rPr>
            <w:noProof/>
            <w:webHidden/>
          </w:rPr>
        </w:r>
        <w:r w:rsidR="00D84BC4">
          <w:rPr>
            <w:noProof/>
            <w:webHidden/>
          </w:rPr>
          <w:fldChar w:fldCharType="separate"/>
        </w:r>
        <w:r w:rsidR="00184964">
          <w:rPr>
            <w:noProof/>
            <w:webHidden/>
          </w:rPr>
          <w:t>17</w:t>
        </w:r>
        <w:r w:rsidR="00D84BC4">
          <w:rPr>
            <w:noProof/>
            <w:webHidden/>
          </w:rPr>
          <w:fldChar w:fldCharType="end"/>
        </w:r>
      </w:hyperlink>
    </w:p>
    <w:p w:rsidR="00184964" w:rsidRDefault="00CC3AEB" w:rsidP="00154441">
      <w:pPr>
        <w:pStyle w:val="TableofFigures"/>
        <w:rPr>
          <w:rFonts w:asciiTheme="minorHAnsi" w:eastAsiaTheme="minorEastAsia" w:hAnsiTheme="minorHAnsi" w:cstheme="minorBidi"/>
          <w:noProof/>
          <w:sz w:val="22"/>
          <w:szCs w:val="22"/>
          <w:lang w:val="en-US"/>
        </w:rPr>
      </w:pPr>
      <w:r w:rsidRPr="00CC3AEB">
        <w:rPr>
          <w:rStyle w:val="Hyperlink"/>
          <w:noProof/>
          <w:color w:val="auto"/>
          <w:u w:val="none"/>
        </w:rPr>
        <w:t xml:space="preserve">4 </w:t>
      </w:r>
      <w:hyperlink w:anchor="_Toc343590401" w:history="1">
        <w:r w:rsidR="00184964" w:rsidRPr="00256C5C">
          <w:rPr>
            <w:rStyle w:val="Hyperlink"/>
            <w:noProof/>
          </w:rPr>
          <w:t>pav. Veiksnių rinkinys, lemiantis neracionalią finansinę elgseną</w:t>
        </w:r>
        <w:r w:rsidR="00184964">
          <w:rPr>
            <w:noProof/>
            <w:webHidden/>
          </w:rPr>
          <w:tab/>
        </w:r>
        <w:r w:rsidR="00D84BC4">
          <w:rPr>
            <w:noProof/>
            <w:webHidden/>
          </w:rPr>
          <w:fldChar w:fldCharType="begin"/>
        </w:r>
        <w:r w:rsidR="00184964">
          <w:rPr>
            <w:noProof/>
            <w:webHidden/>
          </w:rPr>
          <w:instrText xml:space="preserve"> PAGEREF _Toc343590401 \h </w:instrText>
        </w:r>
        <w:r w:rsidR="00D84BC4">
          <w:rPr>
            <w:noProof/>
            <w:webHidden/>
          </w:rPr>
        </w:r>
        <w:r w:rsidR="00D84BC4">
          <w:rPr>
            <w:noProof/>
            <w:webHidden/>
          </w:rPr>
          <w:fldChar w:fldCharType="separate"/>
        </w:r>
        <w:r w:rsidR="00184964">
          <w:rPr>
            <w:noProof/>
            <w:webHidden/>
          </w:rPr>
          <w:t>19</w:t>
        </w:r>
        <w:r w:rsidR="00D84BC4">
          <w:rPr>
            <w:noProof/>
            <w:webHidden/>
          </w:rPr>
          <w:fldChar w:fldCharType="end"/>
        </w:r>
      </w:hyperlink>
    </w:p>
    <w:p w:rsidR="00184964" w:rsidRDefault="00CC3AEB" w:rsidP="00154441">
      <w:pPr>
        <w:pStyle w:val="TableofFigures"/>
        <w:rPr>
          <w:rFonts w:asciiTheme="minorHAnsi" w:eastAsiaTheme="minorEastAsia" w:hAnsiTheme="minorHAnsi" w:cstheme="minorBidi"/>
          <w:noProof/>
          <w:sz w:val="22"/>
          <w:szCs w:val="22"/>
          <w:lang w:val="en-US"/>
        </w:rPr>
      </w:pPr>
      <w:r w:rsidRPr="00CC3AEB">
        <w:rPr>
          <w:rStyle w:val="Hyperlink"/>
          <w:noProof/>
          <w:color w:val="auto"/>
          <w:u w:val="none"/>
        </w:rPr>
        <w:t xml:space="preserve">5 </w:t>
      </w:r>
      <w:hyperlink w:anchor="_Toc343590402" w:history="1">
        <w:r w:rsidR="00184964" w:rsidRPr="00256C5C">
          <w:rPr>
            <w:rStyle w:val="Hyperlink"/>
            <w:noProof/>
          </w:rPr>
          <w:t>pav. Pagrindinės netaupymo ir neinvestavimo priežastys</w:t>
        </w:r>
        <w:r w:rsidR="00184964">
          <w:rPr>
            <w:noProof/>
            <w:webHidden/>
          </w:rPr>
          <w:tab/>
        </w:r>
        <w:r w:rsidR="00D84BC4">
          <w:rPr>
            <w:noProof/>
            <w:webHidden/>
          </w:rPr>
          <w:fldChar w:fldCharType="begin"/>
        </w:r>
        <w:r w:rsidR="00184964">
          <w:rPr>
            <w:noProof/>
            <w:webHidden/>
          </w:rPr>
          <w:instrText xml:space="preserve"> PAGEREF _Toc343590402 \h </w:instrText>
        </w:r>
        <w:r w:rsidR="00D84BC4">
          <w:rPr>
            <w:noProof/>
            <w:webHidden/>
          </w:rPr>
        </w:r>
        <w:r w:rsidR="00D84BC4">
          <w:rPr>
            <w:noProof/>
            <w:webHidden/>
          </w:rPr>
          <w:fldChar w:fldCharType="separate"/>
        </w:r>
        <w:r w:rsidR="00184964">
          <w:rPr>
            <w:noProof/>
            <w:webHidden/>
          </w:rPr>
          <w:t>21</w:t>
        </w:r>
        <w:r w:rsidR="00D84BC4">
          <w:rPr>
            <w:noProof/>
            <w:webHidden/>
          </w:rPr>
          <w:fldChar w:fldCharType="end"/>
        </w:r>
      </w:hyperlink>
    </w:p>
    <w:p w:rsidR="00184964" w:rsidRDefault="00CC3AEB" w:rsidP="00154441">
      <w:pPr>
        <w:pStyle w:val="TableofFigures"/>
        <w:rPr>
          <w:rFonts w:asciiTheme="minorHAnsi" w:eastAsiaTheme="minorEastAsia" w:hAnsiTheme="minorHAnsi" w:cstheme="minorBidi"/>
          <w:noProof/>
          <w:sz w:val="22"/>
          <w:szCs w:val="22"/>
          <w:lang w:val="en-US"/>
        </w:rPr>
      </w:pPr>
      <w:r w:rsidRPr="00CC3AEB">
        <w:rPr>
          <w:rStyle w:val="Hyperlink"/>
          <w:noProof/>
          <w:color w:val="auto"/>
          <w:u w:val="none"/>
        </w:rPr>
        <w:t xml:space="preserve">6 </w:t>
      </w:r>
      <w:hyperlink w:anchor="_Toc343590403" w:history="1">
        <w:r w:rsidR="00184964" w:rsidRPr="00256C5C">
          <w:rPr>
            <w:rStyle w:val="Hyperlink"/>
            <w:noProof/>
          </w:rPr>
          <w:t>pav. Skirtingų namų ūkių pajamų struktūra, 2008 m.</w:t>
        </w:r>
        <w:r w:rsidR="00184964">
          <w:rPr>
            <w:noProof/>
            <w:webHidden/>
          </w:rPr>
          <w:tab/>
        </w:r>
        <w:r w:rsidR="00D84BC4">
          <w:rPr>
            <w:noProof/>
            <w:webHidden/>
          </w:rPr>
          <w:fldChar w:fldCharType="begin"/>
        </w:r>
        <w:r w:rsidR="00184964">
          <w:rPr>
            <w:noProof/>
            <w:webHidden/>
          </w:rPr>
          <w:instrText xml:space="preserve"> PAGEREF _Toc343590403 \h </w:instrText>
        </w:r>
        <w:r w:rsidR="00D84BC4">
          <w:rPr>
            <w:noProof/>
            <w:webHidden/>
          </w:rPr>
        </w:r>
        <w:r w:rsidR="00D84BC4">
          <w:rPr>
            <w:noProof/>
            <w:webHidden/>
          </w:rPr>
          <w:fldChar w:fldCharType="separate"/>
        </w:r>
        <w:r w:rsidR="00184964">
          <w:rPr>
            <w:noProof/>
            <w:webHidden/>
          </w:rPr>
          <w:t>22</w:t>
        </w:r>
        <w:r w:rsidR="00D84BC4">
          <w:rPr>
            <w:noProof/>
            <w:webHidden/>
          </w:rPr>
          <w:fldChar w:fldCharType="end"/>
        </w:r>
      </w:hyperlink>
    </w:p>
    <w:p w:rsidR="00184964" w:rsidRDefault="00CC3AEB" w:rsidP="00154441">
      <w:pPr>
        <w:pStyle w:val="TableofFigures"/>
        <w:rPr>
          <w:rFonts w:asciiTheme="minorHAnsi" w:eastAsiaTheme="minorEastAsia" w:hAnsiTheme="minorHAnsi" w:cstheme="minorBidi"/>
          <w:noProof/>
          <w:sz w:val="22"/>
          <w:szCs w:val="22"/>
          <w:lang w:val="en-US"/>
        </w:rPr>
      </w:pPr>
      <w:r w:rsidRPr="00CC3AEB">
        <w:rPr>
          <w:rStyle w:val="Hyperlink"/>
          <w:noProof/>
          <w:color w:val="auto"/>
          <w:u w:val="none"/>
        </w:rPr>
        <w:t xml:space="preserve">7 </w:t>
      </w:r>
      <w:hyperlink w:anchor="_Toc343590404" w:history="1">
        <w:r w:rsidR="00184964" w:rsidRPr="00256C5C">
          <w:rPr>
            <w:rStyle w:val="Hyperlink"/>
            <w:noProof/>
          </w:rPr>
          <w:t>pav. Namų ūkių, turinčių vaikų, pajamų struktūra, 2008 m.</w:t>
        </w:r>
        <w:r w:rsidR="00184964">
          <w:rPr>
            <w:noProof/>
            <w:webHidden/>
          </w:rPr>
          <w:tab/>
        </w:r>
        <w:r w:rsidR="00D84BC4">
          <w:rPr>
            <w:noProof/>
            <w:webHidden/>
          </w:rPr>
          <w:fldChar w:fldCharType="begin"/>
        </w:r>
        <w:r w:rsidR="00184964">
          <w:rPr>
            <w:noProof/>
            <w:webHidden/>
          </w:rPr>
          <w:instrText xml:space="preserve"> PAGEREF _Toc343590404 \h </w:instrText>
        </w:r>
        <w:r w:rsidR="00D84BC4">
          <w:rPr>
            <w:noProof/>
            <w:webHidden/>
          </w:rPr>
        </w:r>
        <w:r w:rsidR="00D84BC4">
          <w:rPr>
            <w:noProof/>
            <w:webHidden/>
          </w:rPr>
          <w:fldChar w:fldCharType="separate"/>
        </w:r>
        <w:r w:rsidR="00184964">
          <w:rPr>
            <w:noProof/>
            <w:webHidden/>
          </w:rPr>
          <w:t>22</w:t>
        </w:r>
        <w:r w:rsidR="00D84BC4">
          <w:rPr>
            <w:noProof/>
            <w:webHidden/>
          </w:rPr>
          <w:fldChar w:fldCharType="end"/>
        </w:r>
      </w:hyperlink>
    </w:p>
    <w:p w:rsidR="00184964" w:rsidRDefault="00CC3AEB" w:rsidP="00154441">
      <w:pPr>
        <w:pStyle w:val="TableofFigures"/>
        <w:rPr>
          <w:rFonts w:asciiTheme="minorHAnsi" w:eastAsiaTheme="minorEastAsia" w:hAnsiTheme="minorHAnsi" w:cstheme="minorBidi"/>
          <w:noProof/>
          <w:sz w:val="22"/>
          <w:szCs w:val="22"/>
          <w:lang w:val="en-US"/>
        </w:rPr>
      </w:pPr>
      <w:r w:rsidRPr="00CC3AEB">
        <w:rPr>
          <w:rStyle w:val="Hyperlink"/>
          <w:noProof/>
          <w:color w:val="auto"/>
          <w:u w:val="none"/>
        </w:rPr>
        <w:t xml:space="preserve">8 </w:t>
      </w:r>
      <w:hyperlink w:anchor="_Toc343590405" w:history="1">
        <w:r w:rsidR="00184964" w:rsidRPr="00256C5C">
          <w:rPr>
            <w:rStyle w:val="Hyperlink"/>
            <w:noProof/>
          </w:rPr>
          <w:t>pav. Sąlyginės nedarbo socialinio draudimo išmokų bei socialinės paramos gavėjų grupės</w:t>
        </w:r>
        <w:r w:rsidR="00184964">
          <w:rPr>
            <w:noProof/>
            <w:webHidden/>
          </w:rPr>
          <w:tab/>
        </w:r>
        <w:r w:rsidR="00D84BC4">
          <w:rPr>
            <w:noProof/>
            <w:webHidden/>
          </w:rPr>
          <w:fldChar w:fldCharType="begin"/>
        </w:r>
        <w:r w:rsidR="00184964">
          <w:rPr>
            <w:noProof/>
            <w:webHidden/>
          </w:rPr>
          <w:instrText xml:space="preserve"> PAGEREF _Toc343590405 \h </w:instrText>
        </w:r>
        <w:r w:rsidR="00D84BC4">
          <w:rPr>
            <w:noProof/>
            <w:webHidden/>
          </w:rPr>
        </w:r>
        <w:r w:rsidR="00D84BC4">
          <w:rPr>
            <w:noProof/>
            <w:webHidden/>
          </w:rPr>
          <w:fldChar w:fldCharType="separate"/>
        </w:r>
        <w:r w:rsidR="00184964">
          <w:rPr>
            <w:noProof/>
            <w:webHidden/>
          </w:rPr>
          <w:t>26</w:t>
        </w:r>
        <w:r w:rsidR="00D84BC4">
          <w:rPr>
            <w:noProof/>
            <w:webHidden/>
          </w:rPr>
          <w:fldChar w:fldCharType="end"/>
        </w:r>
      </w:hyperlink>
    </w:p>
    <w:p w:rsidR="00184964" w:rsidRDefault="00CC3AEB" w:rsidP="00154441">
      <w:pPr>
        <w:pStyle w:val="TableofFigures"/>
        <w:rPr>
          <w:rFonts w:asciiTheme="minorHAnsi" w:eastAsiaTheme="minorEastAsia" w:hAnsiTheme="minorHAnsi" w:cstheme="minorBidi"/>
          <w:noProof/>
          <w:sz w:val="22"/>
          <w:szCs w:val="22"/>
          <w:lang w:val="en-US"/>
        </w:rPr>
      </w:pPr>
      <w:r w:rsidRPr="00CC3AEB">
        <w:rPr>
          <w:rStyle w:val="Hyperlink"/>
          <w:noProof/>
          <w:color w:val="auto"/>
          <w:u w:val="none"/>
        </w:rPr>
        <w:t xml:space="preserve">9 </w:t>
      </w:r>
      <w:hyperlink w:anchor="_Toc343590406" w:history="1">
        <w:r w:rsidR="00184964" w:rsidRPr="00256C5C">
          <w:rPr>
            <w:rStyle w:val="Hyperlink"/>
            <w:noProof/>
          </w:rPr>
          <w:t>pav. Teorinis socialinių išmokų gavėjų finansinės elgsenos vertinimo modelis</w:t>
        </w:r>
        <w:r w:rsidR="00184964">
          <w:rPr>
            <w:noProof/>
            <w:webHidden/>
          </w:rPr>
          <w:tab/>
        </w:r>
        <w:r w:rsidR="00D84BC4">
          <w:rPr>
            <w:noProof/>
            <w:webHidden/>
          </w:rPr>
          <w:fldChar w:fldCharType="begin"/>
        </w:r>
        <w:r w:rsidR="00184964">
          <w:rPr>
            <w:noProof/>
            <w:webHidden/>
          </w:rPr>
          <w:instrText xml:space="preserve"> PAGEREF _Toc343590406 \h </w:instrText>
        </w:r>
        <w:r w:rsidR="00D84BC4">
          <w:rPr>
            <w:noProof/>
            <w:webHidden/>
          </w:rPr>
        </w:r>
        <w:r w:rsidR="00D84BC4">
          <w:rPr>
            <w:noProof/>
            <w:webHidden/>
          </w:rPr>
          <w:fldChar w:fldCharType="separate"/>
        </w:r>
        <w:r w:rsidR="00184964">
          <w:rPr>
            <w:noProof/>
            <w:webHidden/>
          </w:rPr>
          <w:t>35</w:t>
        </w:r>
        <w:r w:rsidR="00D84BC4">
          <w:rPr>
            <w:noProof/>
            <w:webHidden/>
          </w:rPr>
          <w:fldChar w:fldCharType="end"/>
        </w:r>
      </w:hyperlink>
    </w:p>
    <w:p w:rsidR="00184964" w:rsidRDefault="00CC3AEB" w:rsidP="00154441">
      <w:pPr>
        <w:pStyle w:val="TableofFigures"/>
        <w:rPr>
          <w:rFonts w:asciiTheme="minorHAnsi" w:eastAsiaTheme="minorEastAsia" w:hAnsiTheme="minorHAnsi" w:cstheme="minorBidi"/>
          <w:noProof/>
          <w:sz w:val="22"/>
          <w:szCs w:val="22"/>
          <w:lang w:val="en-US"/>
        </w:rPr>
      </w:pPr>
      <w:r w:rsidRPr="009E4834">
        <w:rPr>
          <w:rStyle w:val="Hyperlink"/>
          <w:noProof/>
          <w:color w:val="auto"/>
          <w:u w:val="none"/>
        </w:rPr>
        <w:t xml:space="preserve">10 </w:t>
      </w:r>
      <w:hyperlink w:anchor="_Toc343590407" w:history="1">
        <w:r w:rsidR="00184964" w:rsidRPr="00256C5C">
          <w:rPr>
            <w:rStyle w:val="Hyperlink"/>
            <w:noProof/>
          </w:rPr>
          <w:t xml:space="preserve">pav. Apklausos rezultatai: elgsena </w:t>
        </w:r>
        <w:r w:rsidR="00184964" w:rsidRPr="00256C5C">
          <w:rPr>
            <w:rStyle w:val="Hyperlink"/>
            <w:i/>
            <w:noProof/>
          </w:rPr>
          <w:t>emocinių-psichologinių</w:t>
        </w:r>
        <w:r w:rsidR="00184964" w:rsidRPr="00256C5C">
          <w:rPr>
            <w:rStyle w:val="Hyperlink"/>
            <w:noProof/>
          </w:rPr>
          <w:t xml:space="preserve"> veiksnių atžvilgiu</w:t>
        </w:r>
        <w:r w:rsidR="00184964">
          <w:rPr>
            <w:noProof/>
            <w:webHidden/>
          </w:rPr>
          <w:tab/>
        </w:r>
        <w:r w:rsidR="00D84BC4">
          <w:rPr>
            <w:noProof/>
            <w:webHidden/>
          </w:rPr>
          <w:fldChar w:fldCharType="begin"/>
        </w:r>
        <w:r w:rsidR="00184964">
          <w:rPr>
            <w:noProof/>
            <w:webHidden/>
          </w:rPr>
          <w:instrText xml:space="preserve"> PAGEREF _Toc343590407 \h </w:instrText>
        </w:r>
        <w:r w:rsidR="00D84BC4">
          <w:rPr>
            <w:noProof/>
            <w:webHidden/>
          </w:rPr>
        </w:r>
        <w:r w:rsidR="00D84BC4">
          <w:rPr>
            <w:noProof/>
            <w:webHidden/>
          </w:rPr>
          <w:fldChar w:fldCharType="separate"/>
        </w:r>
        <w:r w:rsidR="00184964">
          <w:rPr>
            <w:noProof/>
            <w:webHidden/>
          </w:rPr>
          <w:t>46</w:t>
        </w:r>
        <w:r w:rsidR="00D84BC4">
          <w:rPr>
            <w:noProof/>
            <w:webHidden/>
          </w:rPr>
          <w:fldChar w:fldCharType="end"/>
        </w:r>
      </w:hyperlink>
    </w:p>
    <w:p w:rsidR="00184964" w:rsidRDefault="009E4834" w:rsidP="00154441">
      <w:pPr>
        <w:pStyle w:val="TableofFigures"/>
        <w:rPr>
          <w:rFonts w:asciiTheme="minorHAnsi" w:eastAsiaTheme="minorEastAsia" w:hAnsiTheme="minorHAnsi" w:cstheme="minorBidi"/>
          <w:noProof/>
          <w:sz w:val="22"/>
          <w:szCs w:val="22"/>
          <w:lang w:val="en-US"/>
        </w:rPr>
      </w:pPr>
      <w:r w:rsidRPr="009E4834">
        <w:rPr>
          <w:rStyle w:val="Hyperlink"/>
          <w:noProof/>
          <w:color w:val="auto"/>
          <w:u w:val="none"/>
        </w:rPr>
        <w:t xml:space="preserve">11 </w:t>
      </w:r>
      <w:hyperlink w:anchor="_Toc343590408" w:history="1">
        <w:r w:rsidR="00184964" w:rsidRPr="00256C5C">
          <w:rPr>
            <w:rStyle w:val="Hyperlink"/>
            <w:noProof/>
          </w:rPr>
          <w:t xml:space="preserve">pav. Apklausos rezultatai: elgsena </w:t>
        </w:r>
        <w:r w:rsidR="00184964" w:rsidRPr="00256C5C">
          <w:rPr>
            <w:rStyle w:val="Hyperlink"/>
            <w:i/>
            <w:noProof/>
          </w:rPr>
          <w:t>socialinių-demografinių</w:t>
        </w:r>
        <w:r w:rsidR="00184964" w:rsidRPr="00256C5C">
          <w:rPr>
            <w:rStyle w:val="Hyperlink"/>
            <w:noProof/>
          </w:rPr>
          <w:t xml:space="preserve"> veiksnių atžvilgiu</w:t>
        </w:r>
        <w:r w:rsidR="00184964">
          <w:rPr>
            <w:noProof/>
            <w:webHidden/>
          </w:rPr>
          <w:tab/>
        </w:r>
        <w:r w:rsidR="00D84BC4">
          <w:rPr>
            <w:noProof/>
            <w:webHidden/>
          </w:rPr>
          <w:fldChar w:fldCharType="begin"/>
        </w:r>
        <w:r w:rsidR="00184964">
          <w:rPr>
            <w:noProof/>
            <w:webHidden/>
          </w:rPr>
          <w:instrText xml:space="preserve"> PAGEREF _Toc343590408 \h </w:instrText>
        </w:r>
        <w:r w:rsidR="00D84BC4">
          <w:rPr>
            <w:noProof/>
            <w:webHidden/>
          </w:rPr>
        </w:r>
        <w:r w:rsidR="00D84BC4">
          <w:rPr>
            <w:noProof/>
            <w:webHidden/>
          </w:rPr>
          <w:fldChar w:fldCharType="separate"/>
        </w:r>
        <w:r w:rsidR="00184964">
          <w:rPr>
            <w:noProof/>
            <w:webHidden/>
          </w:rPr>
          <w:t>48</w:t>
        </w:r>
        <w:r w:rsidR="00D84BC4">
          <w:rPr>
            <w:noProof/>
            <w:webHidden/>
          </w:rPr>
          <w:fldChar w:fldCharType="end"/>
        </w:r>
      </w:hyperlink>
    </w:p>
    <w:p w:rsidR="00184964" w:rsidRDefault="009E4834" w:rsidP="00154441">
      <w:pPr>
        <w:pStyle w:val="TableofFigures"/>
        <w:rPr>
          <w:rFonts w:asciiTheme="minorHAnsi" w:eastAsiaTheme="minorEastAsia" w:hAnsiTheme="minorHAnsi" w:cstheme="minorBidi"/>
          <w:noProof/>
          <w:sz w:val="22"/>
          <w:szCs w:val="22"/>
          <w:lang w:val="en-US"/>
        </w:rPr>
      </w:pPr>
      <w:r w:rsidRPr="009E4834">
        <w:rPr>
          <w:rStyle w:val="Hyperlink"/>
          <w:noProof/>
          <w:color w:val="auto"/>
          <w:u w:val="none"/>
        </w:rPr>
        <w:t xml:space="preserve">12 </w:t>
      </w:r>
      <w:hyperlink w:anchor="_Toc343590409" w:history="1">
        <w:r w:rsidR="00184964" w:rsidRPr="00256C5C">
          <w:rPr>
            <w:rStyle w:val="Hyperlink"/>
            <w:noProof/>
          </w:rPr>
          <w:t xml:space="preserve">pav. Apklausos rezultatai: elgsena </w:t>
        </w:r>
        <w:r w:rsidR="00184964" w:rsidRPr="00256C5C">
          <w:rPr>
            <w:rStyle w:val="Hyperlink"/>
            <w:i/>
            <w:noProof/>
          </w:rPr>
          <w:t>ekonominių veiksnių</w:t>
        </w:r>
        <w:r w:rsidR="00184964" w:rsidRPr="00256C5C">
          <w:rPr>
            <w:rStyle w:val="Hyperlink"/>
            <w:noProof/>
          </w:rPr>
          <w:t xml:space="preserve"> atžvilgiu</w:t>
        </w:r>
        <w:r w:rsidR="00184964">
          <w:rPr>
            <w:noProof/>
            <w:webHidden/>
          </w:rPr>
          <w:tab/>
        </w:r>
        <w:r w:rsidR="00D84BC4">
          <w:rPr>
            <w:noProof/>
            <w:webHidden/>
          </w:rPr>
          <w:fldChar w:fldCharType="begin"/>
        </w:r>
        <w:r w:rsidR="00184964">
          <w:rPr>
            <w:noProof/>
            <w:webHidden/>
          </w:rPr>
          <w:instrText xml:space="preserve"> PAGEREF _Toc343590409 \h </w:instrText>
        </w:r>
        <w:r w:rsidR="00D84BC4">
          <w:rPr>
            <w:noProof/>
            <w:webHidden/>
          </w:rPr>
        </w:r>
        <w:r w:rsidR="00D84BC4">
          <w:rPr>
            <w:noProof/>
            <w:webHidden/>
          </w:rPr>
          <w:fldChar w:fldCharType="separate"/>
        </w:r>
        <w:r w:rsidR="00184964">
          <w:rPr>
            <w:noProof/>
            <w:webHidden/>
          </w:rPr>
          <w:t>49</w:t>
        </w:r>
        <w:r w:rsidR="00D84BC4">
          <w:rPr>
            <w:noProof/>
            <w:webHidden/>
          </w:rPr>
          <w:fldChar w:fldCharType="end"/>
        </w:r>
      </w:hyperlink>
    </w:p>
    <w:p w:rsidR="00184964" w:rsidRDefault="009E4834" w:rsidP="00154441">
      <w:pPr>
        <w:pStyle w:val="TableofFigures"/>
        <w:rPr>
          <w:rFonts w:asciiTheme="minorHAnsi" w:eastAsiaTheme="minorEastAsia" w:hAnsiTheme="minorHAnsi" w:cstheme="minorBidi"/>
          <w:noProof/>
          <w:sz w:val="22"/>
          <w:szCs w:val="22"/>
          <w:lang w:val="en-US"/>
        </w:rPr>
      </w:pPr>
      <w:r w:rsidRPr="009E4834">
        <w:rPr>
          <w:rStyle w:val="Hyperlink"/>
          <w:noProof/>
          <w:color w:val="auto"/>
          <w:u w:val="none"/>
        </w:rPr>
        <w:t xml:space="preserve">13 </w:t>
      </w:r>
      <w:hyperlink w:anchor="_Toc343590410" w:history="1">
        <w:r w:rsidR="00184964" w:rsidRPr="00256C5C">
          <w:rPr>
            <w:rStyle w:val="Hyperlink"/>
            <w:noProof/>
          </w:rPr>
          <w:t xml:space="preserve">pav. Apklausos rezultatai: elgsena </w:t>
        </w:r>
        <w:r w:rsidR="00184964" w:rsidRPr="00256C5C">
          <w:rPr>
            <w:rStyle w:val="Hyperlink"/>
            <w:i/>
            <w:noProof/>
          </w:rPr>
          <w:t>teisinių-politinių veiksnių</w:t>
        </w:r>
        <w:r w:rsidR="00184964" w:rsidRPr="00256C5C">
          <w:rPr>
            <w:rStyle w:val="Hyperlink"/>
            <w:noProof/>
          </w:rPr>
          <w:t xml:space="preserve"> atžvilgiu</w:t>
        </w:r>
        <w:r w:rsidR="00184964">
          <w:rPr>
            <w:noProof/>
            <w:webHidden/>
          </w:rPr>
          <w:tab/>
        </w:r>
        <w:r w:rsidR="00D84BC4">
          <w:rPr>
            <w:noProof/>
            <w:webHidden/>
          </w:rPr>
          <w:fldChar w:fldCharType="begin"/>
        </w:r>
        <w:r w:rsidR="00184964">
          <w:rPr>
            <w:noProof/>
            <w:webHidden/>
          </w:rPr>
          <w:instrText xml:space="preserve"> PAGEREF _Toc343590410 \h </w:instrText>
        </w:r>
        <w:r w:rsidR="00D84BC4">
          <w:rPr>
            <w:noProof/>
            <w:webHidden/>
          </w:rPr>
        </w:r>
        <w:r w:rsidR="00D84BC4">
          <w:rPr>
            <w:noProof/>
            <w:webHidden/>
          </w:rPr>
          <w:fldChar w:fldCharType="separate"/>
        </w:r>
        <w:r w:rsidR="00184964">
          <w:rPr>
            <w:noProof/>
            <w:webHidden/>
          </w:rPr>
          <w:t>50</w:t>
        </w:r>
        <w:r w:rsidR="00D84BC4">
          <w:rPr>
            <w:noProof/>
            <w:webHidden/>
          </w:rPr>
          <w:fldChar w:fldCharType="end"/>
        </w:r>
      </w:hyperlink>
    </w:p>
    <w:p w:rsidR="00184964" w:rsidRDefault="009E4834" w:rsidP="00154441">
      <w:pPr>
        <w:pStyle w:val="TableofFigures"/>
        <w:rPr>
          <w:rFonts w:asciiTheme="minorHAnsi" w:eastAsiaTheme="minorEastAsia" w:hAnsiTheme="minorHAnsi" w:cstheme="minorBidi"/>
          <w:noProof/>
          <w:sz w:val="22"/>
          <w:szCs w:val="22"/>
          <w:lang w:val="en-US"/>
        </w:rPr>
      </w:pPr>
      <w:r w:rsidRPr="009E4834">
        <w:rPr>
          <w:rStyle w:val="Hyperlink"/>
          <w:noProof/>
          <w:color w:val="auto"/>
          <w:u w:val="none"/>
        </w:rPr>
        <w:t xml:space="preserve">14 </w:t>
      </w:r>
      <w:hyperlink w:anchor="_Toc343590411" w:history="1">
        <w:r w:rsidR="00184964" w:rsidRPr="00256C5C">
          <w:rPr>
            <w:rStyle w:val="Hyperlink"/>
            <w:noProof/>
          </w:rPr>
          <w:t>pav. Apklausos rezultatai: bedarbių ir socialinės paramos gavėjų finansinė elgsena</w:t>
        </w:r>
        <w:r w:rsidR="00184964">
          <w:rPr>
            <w:noProof/>
            <w:webHidden/>
          </w:rPr>
          <w:tab/>
        </w:r>
        <w:r w:rsidR="00D84BC4">
          <w:rPr>
            <w:noProof/>
            <w:webHidden/>
          </w:rPr>
          <w:fldChar w:fldCharType="begin"/>
        </w:r>
        <w:r w:rsidR="00184964">
          <w:rPr>
            <w:noProof/>
            <w:webHidden/>
          </w:rPr>
          <w:instrText xml:space="preserve"> PAGEREF _Toc343590411 \h </w:instrText>
        </w:r>
        <w:r w:rsidR="00D84BC4">
          <w:rPr>
            <w:noProof/>
            <w:webHidden/>
          </w:rPr>
        </w:r>
        <w:r w:rsidR="00D84BC4">
          <w:rPr>
            <w:noProof/>
            <w:webHidden/>
          </w:rPr>
          <w:fldChar w:fldCharType="separate"/>
        </w:r>
        <w:r w:rsidR="00184964">
          <w:rPr>
            <w:noProof/>
            <w:webHidden/>
          </w:rPr>
          <w:t>51</w:t>
        </w:r>
        <w:r w:rsidR="00D84BC4">
          <w:rPr>
            <w:noProof/>
            <w:webHidden/>
          </w:rPr>
          <w:fldChar w:fldCharType="end"/>
        </w:r>
      </w:hyperlink>
    </w:p>
    <w:p w:rsidR="00184964" w:rsidRDefault="009E4834" w:rsidP="00154441">
      <w:pPr>
        <w:pStyle w:val="TableofFigures"/>
        <w:rPr>
          <w:rFonts w:asciiTheme="minorHAnsi" w:eastAsiaTheme="minorEastAsia" w:hAnsiTheme="minorHAnsi" w:cstheme="minorBidi"/>
          <w:noProof/>
          <w:sz w:val="22"/>
          <w:szCs w:val="22"/>
          <w:lang w:val="en-US"/>
        </w:rPr>
      </w:pPr>
      <w:r w:rsidRPr="009E4834">
        <w:rPr>
          <w:rStyle w:val="Hyperlink"/>
          <w:noProof/>
          <w:color w:val="auto"/>
          <w:u w:val="none"/>
        </w:rPr>
        <w:t xml:space="preserve">15 </w:t>
      </w:r>
      <w:hyperlink w:anchor="_Toc343590412" w:history="1">
        <w:r w:rsidR="00184964" w:rsidRPr="00256C5C">
          <w:rPr>
            <w:rStyle w:val="Hyperlink"/>
            <w:noProof/>
          </w:rPr>
          <w:t xml:space="preserve">pav. Ekspertų vertinimas: elgsena </w:t>
        </w:r>
        <w:r w:rsidR="00184964" w:rsidRPr="00256C5C">
          <w:rPr>
            <w:rStyle w:val="Hyperlink"/>
            <w:i/>
            <w:noProof/>
          </w:rPr>
          <w:t>emocinių-psichologinių veiksnių</w:t>
        </w:r>
        <w:r w:rsidR="00184964" w:rsidRPr="00256C5C">
          <w:rPr>
            <w:rStyle w:val="Hyperlink"/>
            <w:noProof/>
          </w:rPr>
          <w:t xml:space="preserve"> atžvilgiu</w:t>
        </w:r>
        <w:r w:rsidR="00184964">
          <w:rPr>
            <w:noProof/>
            <w:webHidden/>
          </w:rPr>
          <w:tab/>
        </w:r>
        <w:r w:rsidR="00D84BC4">
          <w:rPr>
            <w:noProof/>
            <w:webHidden/>
          </w:rPr>
          <w:fldChar w:fldCharType="begin"/>
        </w:r>
        <w:r w:rsidR="00184964">
          <w:rPr>
            <w:noProof/>
            <w:webHidden/>
          </w:rPr>
          <w:instrText xml:space="preserve"> PAGEREF _Toc343590412 \h </w:instrText>
        </w:r>
        <w:r w:rsidR="00D84BC4">
          <w:rPr>
            <w:noProof/>
            <w:webHidden/>
          </w:rPr>
        </w:r>
        <w:r w:rsidR="00D84BC4">
          <w:rPr>
            <w:noProof/>
            <w:webHidden/>
          </w:rPr>
          <w:fldChar w:fldCharType="separate"/>
        </w:r>
        <w:r w:rsidR="00184964">
          <w:rPr>
            <w:noProof/>
            <w:webHidden/>
          </w:rPr>
          <w:t>53</w:t>
        </w:r>
        <w:r w:rsidR="00D84BC4">
          <w:rPr>
            <w:noProof/>
            <w:webHidden/>
          </w:rPr>
          <w:fldChar w:fldCharType="end"/>
        </w:r>
      </w:hyperlink>
    </w:p>
    <w:p w:rsidR="00184964" w:rsidRDefault="009E4834" w:rsidP="00154441">
      <w:pPr>
        <w:pStyle w:val="TableofFigures"/>
        <w:rPr>
          <w:rFonts w:asciiTheme="minorHAnsi" w:eastAsiaTheme="minorEastAsia" w:hAnsiTheme="minorHAnsi" w:cstheme="minorBidi"/>
          <w:noProof/>
          <w:sz w:val="22"/>
          <w:szCs w:val="22"/>
          <w:lang w:val="en-US"/>
        </w:rPr>
      </w:pPr>
      <w:r w:rsidRPr="009E4834">
        <w:rPr>
          <w:rStyle w:val="Hyperlink"/>
          <w:noProof/>
          <w:color w:val="auto"/>
          <w:u w:val="none"/>
        </w:rPr>
        <w:t xml:space="preserve">16 </w:t>
      </w:r>
      <w:hyperlink w:anchor="_Toc343590413" w:history="1">
        <w:r w:rsidR="00184964" w:rsidRPr="00256C5C">
          <w:rPr>
            <w:rStyle w:val="Hyperlink"/>
            <w:noProof/>
          </w:rPr>
          <w:t xml:space="preserve">pav. Ekspertų vertinimas: elgsena </w:t>
        </w:r>
        <w:r w:rsidR="00184964" w:rsidRPr="00256C5C">
          <w:rPr>
            <w:rStyle w:val="Hyperlink"/>
            <w:i/>
            <w:noProof/>
          </w:rPr>
          <w:t>socialinių-demografinių veiksnių</w:t>
        </w:r>
        <w:r w:rsidR="00184964" w:rsidRPr="00256C5C">
          <w:rPr>
            <w:rStyle w:val="Hyperlink"/>
            <w:noProof/>
          </w:rPr>
          <w:t xml:space="preserve"> atžvilgiu</w:t>
        </w:r>
        <w:r w:rsidR="00184964">
          <w:rPr>
            <w:noProof/>
            <w:webHidden/>
          </w:rPr>
          <w:tab/>
        </w:r>
        <w:r w:rsidR="00D84BC4">
          <w:rPr>
            <w:noProof/>
            <w:webHidden/>
          </w:rPr>
          <w:fldChar w:fldCharType="begin"/>
        </w:r>
        <w:r w:rsidR="00184964">
          <w:rPr>
            <w:noProof/>
            <w:webHidden/>
          </w:rPr>
          <w:instrText xml:space="preserve"> PAGEREF _Toc343590413 \h </w:instrText>
        </w:r>
        <w:r w:rsidR="00D84BC4">
          <w:rPr>
            <w:noProof/>
            <w:webHidden/>
          </w:rPr>
        </w:r>
        <w:r w:rsidR="00D84BC4">
          <w:rPr>
            <w:noProof/>
            <w:webHidden/>
          </w:rPr>
          <w:fldChar w:fldCharType="separate"/>
        </w:r>
        <w:r w:rsidR="00184964">
          <w:rPr>
            <w:noProof/>
            <w:webHidden/>
          </w:rPr>
          <w:t>54</w:t>
        </w:r>
        <w:r w:rsidR="00D84BC4">
          <w:rPr>
            <w:noProof/>
            <w:webHidden/>
          </w:rPr>
          <w:fldChar w:fldCharType="end"/>
        </w:r>
      </w:hyperlink>
    </w:p>
    <w:p w:rsidR="00184964" w:rsidRDefault="009E4834" w:rsidP="00154441">
      <w:pPr>
        <w:pStyle w:val="TableofFigures"/>
        <w:rPr>
          <w:rFonts w:asciiTheme="minorHAnsi" w:eastAsiaTheme="minorEastAsia" w:hAnsiTheme="minorHAnsi" w:cstheme="minorBidi"/>
          <w:noProof/>
          <w:sz w:val="22"/>
          <w:szCs w:val="22"/>
          <w:lang w:val="en-US"/>
        </w:rPr>
      </w:pPr>
      <w:r w:rsidRPr="009E4834">
        <w:rPr>
          <w:rStyle w:val="Hyperlink"/>
          <w:noProof/>
          <w:color w:val="auto"/>
          <w:u w:val="none"/>
        </w:rPr>
        <w:t xml:space="preserve">17 </w:t>
      </w:r>
      <w:hyperlink w:anchor="_Toc343590414" w:history="1">
        <w:r w:rsidR="00184964" w:rsidRPr="00256C5C">
          <w:rPr>
            <w:rStyle w:val="Hyperlink"/>
            <w:noProof/>
          </w:rPr>
          <w:t xml:space="preserve">pav. Ekspertų vertinimas: elgsena </w:t>
        </w:r>
        <w:r w:rsidR="00184964" w:rsidRPr="00256C5C">
          <w:rPr>
            <w:rStyle w:val="Hyperlink"/>
            <w:i/>
            <w:noProof/>
          </w:rPr>
          <w:t>ekonominių veiksnių</w:t>
        </w:r>
        <w:r w:rsidR="00184964" w:rsidRPr="00256C5C">
          <w:rPr>
            <w:rStyle w:val="Hyperlink"/>
            <w:noProof/>
          </w:rPr>
          <w:t xml:space="preserve"> atžvilgiu</w:t>
        </w:r>
        <w:r w:rsidR="00184964">
          <w:rPr>
            <w:noProof/>
            <w:webHidden/>
          </w:rPr>
          <w:tab/>
        </w:r>
        <w:r w:rsidR="00D84BC4">
          <w:rPr>
            <w:noProof/>
            <w:webHidden/>
          </w:rPr>
          <w:fldChar w:fldCharType="begin"/>
        </w:r>
        <w:r w:rsidR="00184964">
          <w:rPr>
            <w:noProof/>
            <w:webHidden/>
          </w:rPr>
          <w:instrText xml:space="preserve"> PAGEREF _Toc343590414 \h </w:instrText>
        </w:r>
        <w:r w:rsidR="00D84BC4">
          <w:rPr>
            <w:noProof/>
            <w:webHidden/>
          </w:rPr>
        </w:r>
        <w:r w:rsidR="00D84BC4">
          <w:rPr>
            <w:noProof/>
            <w:webHidden/>
          </w:rPr>
          <w:fldChar w:fldCharType="separate"/>
        </w:r>
        <w:r w:rsidR="00184964">
          <w:rPr>
            <w:noProof/>
            <w:webHidden/>
          </w:rPr>
          <w:t>55</w:t>
        </w:r>
        <w:r w:rsidR="00D84BC4">
          <w:rPr>
            <w:noProof/>
            <w:webHidden/>
          </w:rPr>
          <w:fldChar w:fldCharType="end"/>
        </w:r>
      </w:hyperlink>
    </w:p>
    <w:p w:rsidR="00184964" w:rsidRDefault="009E4834" w:rsidP="00154441">
      <w:pPr>
        <w:pStyle w:val="TableofFigures"/>
        <w:rPr>
          <w:rFonts w:asciiTheme="minorHAnsi" w:eastAsiaTheme="minorEastAsia" w:hAnsiTheme="minorHAnsi" w:cstheme="minorBidi"/>
          <w:noProof/>
          <w:sz w:val="22"/>
          <w:szCs w:val="22"/>
          <w:lang w:val="en-US"/>
        </w:rPr>
      </w:pPr>
      <w:r w:rsidRPr="009E4834">
        <w:rPr>
          <w:rStyle w:val="Hyperlink"/>
          <w:noProof/>
          <w:color w:val="auto"/>
          <w:u w:val="none"/>
        </w:rPr>
        <w:t xml:space="preserve">18 </w:t>
      </w:r>
      <w:hyperlink w:anchor="_Toc343590415" w:history="1">
        <w:r w:rsidR="00184964" w:rsidRPr="00256C5C">
          <w:rPr>
            <w:rStyle w:val="Hyperlink"/>
            <w:noProof/>
          </w:rPr>
          <w:t xml:space="preserve">pav. Ekspertų vertinimas: elgsena </w:t>
        </w:r>
        <w:r w:rsidR="00184964" w:rsidRPr="00256C5C">
          <w:rPr>
            <w:rStyle w:val="Hyperlink"/>
            <w:i/>
            <w:noProof/>
          </w:rPr>
          <w:t xml:space="preserve">teisinių-politinių veiksnių </w:t>
        </w:r>
        <w:r w:rsidR="00184964" w:rsidRPr="00256C5C">
          <w:rPr>
            <w:rStyle w:val="Hyperlink"/>
            <w:noProof/>
          </w:rPr>
          <w:t>atžvilgiu</w:t>
        </w:r>
        <w:r w:rsidR="00184964">
          <w:rPr>
            <w:noProof/>
            <w:webHidden/>
          </w:rPr>
          <w:tab/>
        </w:r>
        <w:r w:rsidR="00D84BC4">
          <w:rPr>
            <w:noProof/>
            <w:webHidden/>
          </w:rPr>
          <w:fldChar w:fldCharType="begin"/>
        </w:r>
        <w:r w:rsidR="00184964">
          <w:rPr>
            <w:noProof/>
            <w:webHidden/>
          </w:rPr>
          <w:instrText xml:space="preserve"> PAGEREF _Toc343590415 \h </w:instrText>
        </w:r>
        <w:r w:rsidR="00D84BC4">
          <w:rPr>
            <w:noProof/>
            <w:webHidden/>
          </w:rPr>
        </w:r>
        <w:r w:rsidR="00D84BC4">
          <w:rPr>
            <w:noProof/>
            <w:webHidden/>
          </w:rPr>
          <w:fldChar w:fldCharType="separate"/>
        </w:r>
        <w:r w:rsidR="00184964">
          <w:rPr>
            <w:noProof/>
            <w:webHidden/>
          </w:rPr>
          <w:t>56</w:t>
        </w:r>
        <w:r w:rsidR="00D84BC4">
          <w:rPr>
            <w:noProof/>
            <w:webHidden/>
          </w:rPr>
          <w:fldChar w:fldCharType="end"/>
        </w:r>
      </w:hyperlink>
    </w:p>
    <w:p w:rsidR="00184964" w:rsidRDefault="009E4834" w:rsidP="00154441">
      <w:pPr>
        <w:pStyle w:val="TableofFigures"/>
        <w:rPr>
          <w:rFonts w:asciiTheme="minorHAnsi" w:eastAsiaTheme="minorEastAsia" w:hAnsiTheme="minorHAnsi" w:cstheme="minorBidi"/>
          <w:noProof/>
          <w:sz w:val="22"/>
          <w:szCs w:val="22"/>
          <w:lang w:val="en-US"/>
        </w:rPr>
      </w:pPr>
      <w:r w:rsidRPr="009E4834">
        <w:rPr>
          <w:rStyle w:val="Hyperlink"/>
          <w:noProof/>
          <w:color w:val="auto"/>
          <w:u w:val="none"/>
        </w:rPr>
        <w:t xml:space="preserve">19 </w:t>
      </w:r>
      <w:hyperlink w:anchor="_Toc343590416" w:history="1">
        <w:r w:rsidR="00184964" w:rsidRPr="00256C5C">
          <w:rPr>
            <w:rStyle w:val="Hyperlink"/>
            <w:noProof/>
          </w:rPr>
          <w:t>pav. Ekspertų vertinimas: bedarbių ir socialinės paramos gavėjų finansinė elgsena</w:t>
        </w:r>
        <w:r w:rsidR="00184964">
          <w:rPr>
            <w:noProof/>
            <w:webHidden/>
          </w:rPr>
          <w:tab/>
        </w:r>
        <w:r w:rsidR="00D84BC4">
          <w:rPr>
            <w:noProof/>
            <w:webHidden/>
          </w:rPr>
          <w:fldChar w:fldCharType="begin"/>
        </w:r>
        <w:r w:rsidR="00184964">
          <w:rPr>
            <w:noProof/>
            <w:webHidden/>
          </w:rPr>
          <w:instrText xml:space="preserve"> PAGEREF _Toc343590416 \h </w:instrText>
        </w:r>
        <w:r w:rsidR="00D84BC4">
          <w:rPr>
            <w:noProof/>
            <w:webHidden/>
          </w:rPr>
        </w:r>
        <w:r w:rsidR="00D84BC4">
          <w:rPr>
            <w:noProof/>
            <w:webHidden/>
          </w:rPr>
          <w:fldChar w:fldCharType="separate"/>
        </w:r>
        <w:r w:rsidR="00184964">
          <w:rPr>
            <w:noProof/>
            <w:webHidden/>
          </w:rPr>
          <w:t>56</w:t>
        </w:r>
        <w:r w:rsidR="00D84BC4">
          <w:rPr>
            <w:noProof/>
            <w:webHidden/>
          </w:rPr>
          <w:fldChar w:fldCharType="end"/>
        </w:r>
      </w:hyperlink>
    </w:p>
    <w:p w:rsidR="00B75F94" w:rsidRDefault="00D84BC4" w:rsidP="00CC3AEB">
      <w:pPr>
        <w:ind w:firstLine="0"/>
      </w:pPr>
      <w:r>
        <w:fldChar w:fldCharType="end"/>
      </w:r>
    </w:p>
    <w:p w:rsidR="00B75F94" w:rsidRDefault="00B75F94">
      <w:pPr>
        <w:widowControl/>
        <w:spacing w:after="200" w:line="276" w:lineRule="auto"/>
        <w:ind w:firstLine="0"/>
        <w:contextualSpacing w:val="0"/>
        <w:jc w:val="left"/>
      </w:pPr>
      <w:r>
        <w:br w:type="page"/>
      </w:r>
    </w:p>
    <w:p w:rsidR="00D32A4B" w:rsidRDefault="00D32A4B" w:rsidP="00A42BF4">
      <w:pPr>
        <w:pStyle w:val="Heading1"/>
        <w:numPr>
          <w:ilvl w:val="0"/>
          <w:numId w:val="0"/>
        </w:numPr>
      </w:pPr>
      <w:bookmarkStart w:id="0" w:name="_Toc343636872"/>
      <w:r>
        <w:lastRenderedPageBreak/>
        <w:t>ĮVADAS</w:t>
      </w:r>
      <w:bookmarkEnd w:id="0"/>
    </w:p>
    <w:p w:rsidR="00FD6AD6" w:rsidRPr="0060578B" w:rsidRDefault="00FD6AD6" w:rsidP="007D12E6">
      <w:pPr>
        <w:rPr>
          <w:szCs w:val="24"/>
        </w:rPr>
      </w:pPr>
      <w:r w:rsidRPr="00FD6AD6">
        <w:rPr>
          <w:b/>
          <w:i/>
          <w:szCs w:val="24"/>
        </w:rPr>
        <w:t>Tyrimo aktualumas</w:t>
      </w:r>
      <w:r w:rsidRPr="00FD6AD6">
        <w:rPr>
          <w:szCs w:val="24"/>
        </w:rPr>
        <w:t xml:space="preserve">. </w:t>
      </w:r>
      <w:r w:rsidR="007D12E6" w:rsidRPr="00FD6AD6">
        <w:rPr>
          <w:szCs w:val="24"/>
        </w:rPr>
        <w:t>Per pastarąjį dešimtmetį</w:t>
      </w:r>
      <w:r w:rsidR="00FC5B6F" w:rsidRPr="00FD6AD6">
        <w:rPr>
          <w:szCs w:val="24"/>
        </w:rPr>
        <w:t xml:space="preserve"> gyventojų finansinė elgsena </w:t>
      </w:r>
      <w:r w:rsidR="003776F9">
        <w:rPr>
          <w:szCs w:val="24"/>
        </w:rPr>
        <w:t xml:space="preserve">ir jos </w:t>
      </w:r>
      <w:r w:rsidR="00FC5B6F" w:rsidRPr="00FD6AD6">
        <w:rPr>
          <w:szCs w:val="24"/>
        </w:rPr>
        <w:t>problemos atsidūrė ne vieno mokslinės bendruomenės atstovo akiratyje</w:t>
      </w:r>
      <w:r w:rsidR="007D12E6" w:rsidRPr="00FD6AD6">
        <w:rPr>
          <w:szCs w:val="24"/>
        </w:rPr>
        <w:t xml:space="preserve"> </w:t>
      </w:r>
      <w:r w:rsidR="004B3B01" w:rsidRPr="00FD6AD6">
        <w:rPr>
          <w:szCs w:val="24"/>
        </w:rPr>
        <w:t xml:space="preserve">– </w:t>
      </w:r>
      <w:r w:rsidR="002060E3" w:rsidRPr="00FD6AD6">
        <w:rPr>
          <w:szCs w:val="24"/>
        </w:rPr>
        <w:t xml:space="preserve">tyrimus </w:t>
      </w:r>
      <w:r w:rsidR="007D12E6" w:rsidRPr="00FD6AD6">
        <w:rPr>
          <w:szCs w:val="24"/>
        </w:rPr>
        <w:t xml:space="preserve">gyventojų finansinės elgsenos </w:t>
      </w:r>
      <w:r w:rsidR="002060E3" w:rsidRPr="00FD6AD6">
        <w:rPr>
          <w:szCs w:val="24"/>
        </w:rPr>
        <w:t xml:space="preserve">tema </w:t>
      </w:r>
      <w:r w:rsidR="007D12E6" w:rsidRPr="00FD6AD6">
        <w:rPr>
          <w:szCs w:val="24"/>
        </w:rPr>
        <w:t xml:space="preserve">plėtojo </w:t>
      </w:r>
      <w:r w:rsidR="007F38F6" w:rsidRPr="00FD6AD6">
        <w:rPr>
          <w:szCs w:val="24"/>
        </w:rPr>
        <w:t xml:space="preserve">bei </w:t>
      </w:r>
      <w:r w:rsidR="001A3010">
        <w:rPr>
          <w:szCs w:val="24"/>
        </w:rPr>
        <w:t xml:space="preserve">priežastinių ryšių tarp </w:t>
      </w:r>
      <w:r w:rsidR="00776B45" w:rsidRPr="00FD6AD6">
        <w:rPr>
          <w:szCs w:val="24"/>
        </w:rPr>
        <w:t xml:space="preserve">racionalios </w:t>
      </w:r>
      <w:r w:rsidR="00E52FB4">
        <w:rPr>
          <w:szCs w:val="24"/>
        </w:rPr>
        <w:t xml:space="preserve">ir neracionalios </w:t>
      </w:r>
      <w:r w:rsidR="00776B45" w:rsidRPr="00FD6AD6">
        <w:rPr>
          <w:szCs w:val="24"/>
        </w:rPr>
        <w:t xml:space="preserve">elgsenos </w:t>
      </w:r>
      <w:r w:rsidR="00E52FB4">
        <w:rPr>
          <w:szCs w:val="24"/>
        </w:rPr>
        <w:t xml:space="preserve">ieškojo </w:t>
      </w:r>
      <w:r w:rsidR="007D12E6" w:rsidRPr="00FD6AD6">
        <w:rPr>
          <w:szCs w:val="24"/>
        </w:rPr>
        <w:t>tiek Lietuvos, tiek užsienio š</w:t>
      </w:r>
      <w:r w:rsidR="003776F9">
        <w:rPr>
          <w:szCs w:val="24"/>
        </w:rPr>
        <w:t>alių</w:t>
      </w:r>
      <w:r w:rsidR="007C1A95">
        <w:rPr>
          <w:szCs w:val="24"/>
        </w:rPr>
        <w:t xml:space="preserve"> autoriai</w:t>
      </w:r>
      <w:r w:rsidR="000212EC" w:rsidRPr="00FD6AD6">
        <w:rPr>
          <w:szCs w:val="24"/>
        </w:rPr>
        <w:t>. Tai</w:t>
      </w:r>
      <w:r w:rsidR="00537D18">
        <w:rPr>
          <w:szCs w:val="24"/>
        </w:rPr>
        <w:t xml:space="preserve"> parodo</w:t>
      </w:r>
      <w:r w:rsidR="000212EC" w:rsidRPr="00FD6AD6">
        <w:rPr>
          <w:szCs w:val="24"/>
        </w:rPr>
        <w:t xml:space="preserve">, jog </w:t>
      </w:r>
      <w:r w:rsidR="006A3D95">
        <w:rPr>
          <w:szCs w:val="24"/>
        </w:rPr>
        <w:t xml:space="preserve">individų </w:t>
      </w:r>
      <w:r w:rsidR="000212EC" w:rsidRPr="00FD6AD6">
        <w:rPr>
          <w:szCs w:val="24"/>
        </w:rPr>
        <w:t xml:space="preserve">finansinė elgsena nėra iki galo </w:t>
      </w:r>
      <w:r w:rsidR="00E52FB4">
        <w:rPr>
          <w:szCs w:val="24"/>
        </w:rPr>
        <w:t>išnagrinėta</w:t>
      </w:r>
      <w:r w:rsidR="00537D18">
        <w:rPr>
          <w:szCs w:val="24"/>
        </w:rPr>
        <w:t>s reiškinys</w:t>
      </w:r>
      <w:r w:rsidR="000212EC" w:rsidRPr="00FD6AD6">
        <w:rPr>
          <w:szCs w:val="24"/>
        </w:rPr>
        <w:t>, todėl reikalaujanti</w:t>
      </w:r>
      <w:r w:rsidR="00537D18">
        <w:rPr>
          <w:szCs w:val="24"/>
        </w:rPr>
        <w:t>s</w:t>
      </w:r>
      <w:r w:rsidR="000212EC" w:rsidRPr="00FD6AD6">
        <w:rPr>
          <w:szCs w:val="24"/>
        </w:rPr>
        <w:t xml:space="preserve"> tolimesnių plėtočių</w:t>
      </w:r>
      <w:r w:rsidR="00646A5C" w:rsidRPr="00FD6AD6">
        <w:rPr>
          <w:szCs w:val="24"/>
        </w:rPr>
        <w:t xml:space="preserve"> – tuo labiau, kad ir požiūris į finansinę </w:t>
      </w:r>
      <w:r w:rsidR="00646A5C" w:rsidRPr="004E5CB4">
        <w:rPr>
          <w:szCs w:val="24"/>
        </w:rPr>
        <w:t>elgseną ne taip jau seniai</w:t>
      </w:r>
      <w:r w:rsidR="007D12E6" w:rsidRPr="004E5CB4">
        <w:rPr>
          <w:szCs w:val="24"/>
        </w:rPr>
        <w:t xml:space="preserve"> </w:t>
      </w:r>
      <w:r w:rsidR="00646A5C" w:rsidRPr="004E5CB4">
        <w:rPr>
          <w:szCs w:val="24"/>
        </w:rPr>
        <w:t>yra</w:t>
      </w:r>
      <w:r w:rsidR="00646A5C" w:rsidRPr="00FD6AD6">
        <w:rPr>
          <w:szCs w:val="24"/>
        </w:rPr>
        <w:t xml:space="preserve"> pakitęs</w:t>
      </w:r>
      <w:r w:rsidR="002F52CE" w:rsidRPr="00FD6AD6">
        <w:rPr>
          <w:szCs w:val="24"/>
        </w:rPr>
        <w:t xml:space="preserve">: iki pat 1990-ųjų metų finansinę elgseną suvokiant tik kaip finansų teorijos </w:t>
      </w:r>
      <w:r w:rsidR="002F52CE" w:rsidRPr="0024033A">
        <w:rPr>
          <w:szCs w:val="24"/>
        </w:rPr>
        <w:t>šaką</w:t>
      </w:r>
      <w:r w:rsidR="00CD4B27" w:rsidRPr="0024033A">
        <w:rPr>
          <w:szCs w:val="24"/>
        </w:rPr>
        <w:t>,</w:t>
      </w:r>
      <w:r w:rsidR="0024033A" w:rsidRPr="0024033A">
        <w:rPr>
          <w:szCs w:val="24"/>
        </w:rPr>
        <w:t xml:space="preserve"> vėliau</w:t>
      </w:r>
      <w:r w:rsidR="00CD4B27" w:rsidRPr="0024033A">
        <w:rPr>
          <w:szCs w:val="24"/>
        </w:rPr>
        <w:t xml:space="preserve"> </w:t>
      </w:r>
      <w:r w:rsidR="0024033A" w:rsidRPr="0024033A">
        <w:rPr>
          <w:szCs w:val="24"/>
        </w:rPr>
        <w:t>buvo</w:t>
      </w:r>
      <w:r w:rsidR="00163B9C">
        <w:rPr>
          <w:szCs w:val="24"/>
        </w:rPr>
        <w:t xml:space="preserve"> </w:t>
      </w:r>
      <w:r w:rsidR="0024033A">
        <w:rPr>
          <w:szCs w:val="24"/>
        </w:rPr>
        <w:t>pripažint</w:t>
      </w:r>
      <w:r w:rsidR="00CD4B27" w:rsidRPr="00FD6AD6">
        <w:rPr>
          <w:szCs w:val="24"/>
        </w:rPr>
        <w:t>a, jog ji turi daug b</w:t>
      </w:r>
      <w:r w:rsidR="00CD4B27" w:rsidRPr="0060578B">
        <w:rPr>
          <w:szCs w:val="24"/>
        </w:rPr>
        <w:t>endra tiek su psichologijos, tiek su sociologijos</w:t>
      </w:r>
      <w:r w:rsidR="00DE3322" w:rsidRPr="0060578B">
        <w:rPr>
          <w:szCs w:val="24"/>
        </w:rPr>
        <w:t>, tiek su antropologijos</w:t>
      </w:r>
      <w:r w:rsidRPr="0060578B">
        <w:rPr>
          <w:szCs w:val="24"/>
        </w:rPr>
        <w:t xml:space="preserve"> </w:t>
      </w:r>
      <w:r w:rsidR="0060578B" w:rsidRPr="0060578B">
        <w:rPr>
          <w:szCs w:val="24"/>
        </w:rPr>
        <w:t xml:space="preserve">ar kitų </w:t>
      </w:r>
      <w:r w:rsidRPr="0060578B">
        <w:rPr>
          <w:szCs w:val="24"/>
        </w:rPr>
        <w:t>moksl</w:t>
      </w:r>
      <w:r w:rsidR="003776F9" w:rsidRPr="0060578B">
        <w:rPr>
          <w:szCs w:val="24"/>
        </w:rPr>
        <w:t>ų žiniomis</w:t>
      </w:r>
      <w:r w:rsidRPr="0060578B">
        <w:rPr>
          <w:szCs w:val="24"/>
        </w:rPr>
        <w:t>.</w:t>
      </w:r>
    </w:p>
    <w:p w:rsidR="00273FBF" w:rsidRDefault="00273FBF" w:rsidP="00273FBF">
      <w:pPr>
        <w:rPr>
          <w:szCs w:val="24"/>
        </w:rPr>
      </w:pPr>
      <w:r w:rsidRPr="0060578B">
        <w:rPr>
          <w:szCs w:val="24"/>
        </w:rPr>
        <w:t>Minėtas „pervers</w:t>
      </w:r>
      <w:r w:rsidR="00FB531E">
        <w:rPr>
          <w:szCs w:val="24"/>
        </w:rPr>
        <w:t xml:space="preserve">mas“ leido suvokti, jog </w:t>
      </w:r>
      <w:r w:rsidR="000D116E">
        <w:rPr>
          <w:szCs w:val="24"/>
        </w:rPr>
        <w:t xml:space="preserve">žmogus </w:t>
      </w:r>
      <w:r w:rsidR="00145F28">
        <w:rPr>
          <w:szCs w:val="24"/>
        </w:rPr>
        <w:t>negali būti laikomas racionalia ekonomiška būtybe</w:t>
      </w:r>
      <w:r w:rsidR="000D116E">
        <w:rPr>
          <w:szCs w:val="24"/>
        </w:rPr>
        <w:t xml:space="preserve">, </w:t>
      </w:r>
      <w:r w:rsidR="00624683">
        <w:rPr>
          <w:szCs w:val="24"/>
        </w:rPr>
        <w:t xml:space="preserve">gebančia </w:t>
      </w:r>
      <w:r w:rsidR="00624683" w:rsidRPr="002F4768">
        <w:rPr>
          <w:i/>
          <w:szCs w:val="24"/>
        </w:rPr>
        <w:t>visada</w:t>
      </w:r>
      <w:r w:rsidR="00624683">
        <w:rPr>
          <w:szCs w:val="24"/>
        </w:rPr>
        <w:t xml:space="preserve"> </w:t>
      </w:r>
      <w:r w:rsidR="000D116E">
        <w:rPr>
          <w:szCs w:val="24"/>
        </w:rPr>
        <w:t xml:space="preserve">maksimizuoti </w:t>
      </w:r>
      <w:r w:rsidR="00451CE5">
        <w:rPr>
          <w:szCs w:val="24"/>
        </w:rPr>
        <w:t xml:space="preserve">savo </w:t>
      </w:r>
      <w:r w:rsidR="000D116E">
        <w:rPr>
          <w:szCs w:val="24"/>
        </w:rPr>
        <w:t>gerovę</w:t>
      </w:r>
      <w:r w:rsidR="0043131D">
        <w:rPr>
          <w:szCs w:val="24"/>
        </w:rPr>
        <w:t>,</w:t>
      </w:r>
      <w:r w:rsidR="00696D6E">
        <w:rPr>
          <w:szCs w:val="24"/>
        </w:rPr>
        <w:t xml:space="preserve"> nes jo </w:t>
      </w:r>
      <w:r w:rsidR="00451CE5">
        <w:rPr>
          <w:szCs w:val="24"/>
        </w:rPr>
        <w:t xml:space="preserve">sprendimus </w:t>
      </w:r>
      <w:r w:rsidRPr="0060578B">
        <w:rPr>
          <w:szCs w:val="24"/>
        </w:rPr>
        <w:t xml:space="preserve">lemia ne tik </w:t>
      </w:r>
      <w:r w:rsidR="001D489B">
        <w:rPr>
          <w:szCs w:val="24"/>
        </w:rPr>
        <w:t>ekonominiai, bet ir emociniai</w:t>
      </w:r>
      <w:r w:rsidR="00B27D92">
        <w:rPr>
          <w:szCs w:val="24"/>
        </w:rPr>
        <w:t>-</w:t>
      </w:r>
      <w:r w:rsidRPr="0060578B">
        <w:rPr>
          <w:szCs w:val="24"/>
        </w:rPr>
        <w:t>psichologiniai asp</w:t>
      </w:r>
      <w:r w:rsidR="004B1D0A">
        <w:rPr>
          <w:szCs w:val="24"/>
        </w:rPr>
        <w:t>ektai</w:t>
      </w:r>
      <w:r w:rsidR="00624683">
        <w:rPr>
          <w:szCs w:val="24"/>
        </w:rPr>
        <w:t>, kuri</w:t>
      </w:r>
      <w:r w:rsidR="00160FDA">
        <w:rPr>
          <w:szCs w:val="24"/>
        </w:rPr>
        <w:t>ų pasireiškimas</w:t>
      </w:r>
      <w:r w:rsidR="00DC3DD3">
        <w:rPr>
          <w:szCs w:val="24"/>
        </w:rPr>
        <w:t xml:space="preserve"> nėra </w:t>
      </w:r>
      <w:r w:rsidR="00EB44D3">
        <w:rPr>
          <w:szCs w:val="24"/>
        </w:rPr>
        <w:t>(</w:t>
      </w:r>
      <w:r w:rsidR="00DC3DD3">
        <w:rPr>
          <w:szCs w:val="24"/>
        </w:rPr>
        <w:t>ir negali būti</w:t>
      </w:r>
      <w:r w:rsidR="00EB44D3">
        <w:rPr>
          <w:szCs w:val="24"/>
        </w:rPr>
        <w:t>)</w:t>
      </w:r>
      <w:r w:rsidR="00DC3DD3">
        <w:rPr>
          <w:szCs w:val="24"/>
        </w:rPr>
        <w:t xml:space="preserve"> aiškiai apibrėžtas</w:t>
      </w:r>
      <w:r w:rsidR="00134E7F">
        <w:rPr>
          <w:szCs w:val="24"/>
        </w:rPr>
        <w:t>. T</w:t>
      </w:r>
      <w:r w:rsidRPr="0060578B">
        <w:rPr>
          <w:szCs w:val="24"/>
        </w:rPr>
        <w:t xml:space="preserve">oks požiūris paskatino </w:t>
      </w:r>
      <w:r w:rsidR="00BE7283">
        <w:rPr>
          <w:szCs w:val="24"/>
        </w:rPr>
        <w:t>ir kitaip pažvelgti</w:t>
      </w:r>
      <w:r w:rsidRPr="0060578B">
        <w:rPr>
          <w:szCs w:val="24"/>
        </w:rPr>
        <w:t xml:space="preserve"> į finansinės elgs</w:t>
      </w:r>
      <w:r w:rsidR="00B02CD1">
        <w:rPr>
          <w:szCs w:val="24"/>
        </w:rPr>
        <w:t>enos problemas, kurias pradėta</w:t>
      </w:r>
      <w:r w:rsidRPr="0060578B">
        <w:rPr>
          <w:szCs w:val="24"/>
        </w:rPr>
        <w:t xml:space="preserve"> sieti ne tik su įgūdžių ir žinių, kaip elgtis finansų rinkose, stoka, bet ir su tokiais </w:t>
      </w:r>
      <w:r w:rsidR="00270BBA">
        <w:rPr>
          <w:szCs w:val="24"/>
        </w:rPr>
        <w:t xml:space="preserve">protiniais žmogaus procesais </w:t>
      </w:r>
      <w:r w:rsidR="002D7DE6" w:rsidRPr="0060578B">
        <w:rPr>
          <w:szCs w:val="24"/>
        </w:rPr>
        <w:t xml:space="preserve">kaip </w:t>
      </w:r>
      <w:r w:rsidR="007F378A" w:rsidRPr="0060578B">
        <w:rPr>
          <w:szCs w:val="24"/>
        </w:rPr>
        <w:t>nepagrįstas optimizmo jausmas</w:t>
      </w:r>
      <w:r w:rsidR="007F378A">
        <w:rPr>
          <w:szCs w:val="24"/>
        </w:rPr>
        <w:t>,</w:t>
      </w:r>
      <w:r w:rsidR="007F378A" w:rsidRPr="0060578B">
        <w:rPr>
          <w:szCs w:val="24"/>
        </w:rPr>
        <w:t xml:space="preserve"> </w:t>
      </w:r>
      <w:r w:rsidR="007F378A">
        <w:rPr>
          <w:szCs w:val="24"/>
        </w:rPr>
        <w:t xml:space="preserve">mentalinės sąskaitos, </w:t>
      </w:r>
      <w:r w:rsidR="009833BF">
        <w:rPr>
          <w:szCs w:val="24"/>
        </w:rPr>
        <w:t xml:space="preserve">išankstinis nusiteikimas, </w:t>
      </w:r>
      <w:r w:rsidR="00EB6C41" w:rsidRPr="0060578B">
        <w:rPr>
          <w:szCs w:val="24"/>
        </w:rPr>
        <w:t>perdėta savikliova</w:t>
      </w:r>
      <w:r w:rsidR="00EB6C41">
        <w:rPr>
          <w:szCs w:val="24"/>
        </w:rPr>
        <w:t>, konservatyvumas</w:t>
      </w:r>
      <w:r w:rsidR="007F378A">
        <w:rPr>
          <w:szCs w:val="24"/>
        </w:rPr>
        <w:t xml:space="preserve"> ar</w:t>
      </w:r>
      <w:r w:rsidR="00150527">
        <w:rPr>
          <w:szCs w:val="24"/>
        </w:rPr>
        <w:t xml:space="preserve"> </w:t>
      </w:r>
      <w:r w:rsidRPr="0060578B">
        <w:rPr>
          <w:szCs w:val="24"/>
        </w:rPr>
        <w:t>atsakomybės</w:t>
      </w:r>
      <w:r w:rsidR="007F378A">
        <w:rPr>
          <w:szCs w:val="24"/>
        </w:rPr>
        <w:t xml:space="preserve"> stoka</w:t>
      </w:r>
      <w:r w:rsidR="0071521D">
        <w:rPr>
          <w:szCs w:val="24"/>
        </w:rPr>
        <w:t>.</w:t>
      </w:r>
    </w:p>
    <w:p w:rsidR="00B74EF0" w:rsidRDefault="00F97605" w:rsidP="007D12E6">
      <w:pPr>
        <w:rPr>
          <w:szCs w:val="24"/>
        </w:rPr>
      </w:pPr>
      <w:r w:rsidRPr="00FD6AD6">
        <w:rPr>
          <w:szCs w:val="24"/>
        </w:rPr>
        <w:t xml:space="preserve">Analizuojant </w:t>
      </w:r>
      <w:r w:rsidR="004936F1" w:rsidRPr="00FD6AD6">
        <w:rPr>
          <w:szCs w:val="24"/>
        </w:rPr>
        <w:t xml:space="preserve">per pastarąjį penkmetį </w:t>
      </w:r>
      <w:r w:rsidR="001F1F8E">
        <w:rPr>
          <w:szCs w:val="24"/>
        </w:rPr>
        <w:t xml:space="preserve">Lietuvoje </w:t>
      </w:r>
      <w:r w:rsidR="004936F1" w:rsidRPr="00FD6AD6">
        <w:rPr>
          <w:szCs w:val="24"/>
        </w:rPr>
        <w:t>atliktų tyrimų rezultatus</w:t>
      </w:r>
      <w:r w:rsidR="006E7684" w:rsidRPr="00FD6AD6">
        <w:rPr>
          <w:szCs w:val="24"/>
        </w:rPr>
        <w:t xml:space="preserve"> gyventojų finansinės elgsenos tema</w:t>
      </w:r>
      <w:r w:rsidRPr="00FD6AD6">
        <w:rPr>
          <w:szCs w:val="24"/>
        </w:rPr>
        <w:t>,</w:t>
      </w:r>
      <w:r w:rsidR="00826C7D">
        <w:rPr>
          <w:szCs w:val="24"/>
        </w:rPr>
        <w:t xml:space="preserve"> pastebima</w:t>
      </w:r>
      <w:r w:rsidR="004936F1" w:rsidRPr="00FD6AD6">
        <w:rPr>
          <w:szCs w:val="24"/>
        </w:rPr>
        <w:t xml:space="preserve">, jog </w:t>
      </w:r>
      <w:r w:rsidR="00386967">
        <w:rPr>
          <w:szCs w:val="24"/>
        </w:rPr>
        <w:t>dauguma žmonių negali</w:t>
      </w:r>
      <w:r w:rsidR="00386967" w:rsidRPr="00FD6AD6">
        <w:rPr>
          <w:szCs w:val="24"/>
        </w:rPr>
        <w:t xml:space="preserve"> priimti efektyvių finansinių sprendimų </w:t>
      </w:r>
      <w:r w:rsidR="00B01098">
        <w:rPr>
          <w:szCs w:val="24"/>
        </w:rPr>
        <w:t xml:space="preserve">dėl to, jog </w:t>
      </w:r>
      <w:r w:rsidR="009229CE">
        <w:rPr>
          <w:szCs w:val="24"/>
        </w:rPr>
        <w:t>susiduria su laisvų lėšų</w:t>
      </w:r>
      <w:r w:rsidR="00B04374">
        <w:rPr>
          <w:szCs w:val="24"/>
        </w:rPr>
        <w:t xml:space="preserve"> trūkumu</w:t>
      </w:r>
      <w:r w:rsidR="00B01098">
        <w:rPr>
          <w:szCs w:val="24"/>
        </w:rPr>
        <w:t>.</w:t>
      </w:r>
      <w:r w:rsidR="00501D28">
        <w:rPr>
          <w:szCs w:val="24"/>
        </w:rPr>
        <w:t xml:space="preserve"> </w:t>
      </w:r>
      <w:r w:rsidR="00A572F2">
        <w:rPr>
          <w:szCs w:val="24"/>
        </w:rPr>
        <w:t xml:space="preserve">Nors tai iš </w:t>
      </w:r>
      <w:r w:rsidR="00592B6C">
        <w:rPr>
          <w:szCs w:val="24"/>
        </w:rPr>
        <w:t xml:space="preserve">principo </w:t>
      </w:r>
      <w:r w:rsidR="00A572F2">
        <w:rPr>
          <w:szCs w:val="24"/>
        </w:rPr>
        <w:t>byloja apie asmeninių finansų valdymo problemą, p</w:t>
      </w:r>
      <w:r w:rsidR="00F65291">
        <w:rPr>
          <w:szCs w:val="24"/>
        </w:rPr>
        <w:t>asižiūrėjus</w:t>
      </w:r>
      <w:r w:rsidR="00C55069">
        <w:rPr>
          <w:szCs w:val="24"/>
        </w:rPr>
        <w:t xml:space="preserve"> į </w:t>
      </w:r>
      <w:r w:rsidR="00C55069" w:rsidRPr="003456E8">
        <w:rPr>
          <w:i/>
          <w:szCs w:val="24"/>
        </w:rPr>
        <w:t>statistinio lietuvio</w:t>
      </w:r>
      <w:r w:rsidR="00C55069">
        <w:rPr>
          <w:szCs w:val="24"/>
        </w:rPr>
        <w:t xml:space="preserve"> pajamų struktūrą, </w:t>
      </w:r>
      <w:r w:rsidR="00592B6C" w:rsidRPr="00D87135">
        <w:rPr>
          <w:i/>
          <w:szCs w:val="24"/>
        </w:rPr>
        <w:t xml:space="preserve">kurioje </w:t>
      </w:r>
      <w:r w:rsidR="003456E8">
        <w:rPr>
          <w:i/>
          <w:szCs w:val="24"/>
        </w:rPr>
        <w:t xml:space="preserve">ženklią </w:t>
      </w:r>
      <w:r w:rsidR="00EB44D3">
        <w:rPr>
          <w:i/>
          <w:szCs w:val="24"/>
        </w:rPr>
        <w:t xml:space="preserve">dalį sudaro </w:t>
      </w:r>
      <w:r w:rsidR="000A1AF8" w:rsidRPr="00D87135">
        <w:rPr>
          <w:i/>
          <w:szCs w:val="24"/>
        </w:rPr>
        <w:t>socialinės išmokos</w:t>
      </w:r>
      <w:r w:rsidR="000A1AF8">
        <w:rPr>
          <w:szCs w:val="24"/>
        </w:rPr>
        <w:t xml:space="preserve">, </w:t>
      </w:r>
      <w:r w:rsidR="00C55069">
        <w:rPr>
          <w:szCs w:val="24"/>
        </w:rPr>
        <w:t>tampa</w:t>
      </w:r>
      <w:r w:rsidR="00592B6C">
        <w:rPr>
          <w:szCs w:val="24"/>
        </w:rPr>
        <w:t xml:space="preserve"> akivaizdu, jog</w:t>
      </w:r>
      <w:r w:rsidR="00443480">
        <w:rPr>
          <w:szCs w:val="24"/>
        </w:rPr>
        <w:t xml:space="preserve"> laisvų lėšų </w:t>
      </w:r>
      <w:r w:rsidR="006245B3">
        <w:rPr>
          <w:szCs w:val="24"/>
        </w:rPr>
        <w:t xml:space="preserve">stoka </w:t>
      </w:r>
      <w:r w:rsidR="0008322A">
        <w:rPr>
          <w:szCs w:val="24"/>
        </w:rPr>
        <w:t>yra ne valdymo problema, o</w:t>
      </w:r>
      <w:r w:rsidR="0025751E">
        <w:rPr>
          <w:szCs w:val="24"/>
        </w:rPr>
        <w:t>,</w:t>
      </w:r>
      <w:r w:rsidR="00443480">
        <w:rPr>
          <w:szCs w:val="24"/>
        </w:rPr>
        <w:t xml:space="preserve"> veikiau</w:t>
      </w:r>
      <w:r w:rsidR="0025751E">
        <w:rPr>
          <w:szCs w:val="24"/>
        </w:rPr>
        <w:t>,</w:t>
      </w:r>
      <w:r w:rsidR="00443480">
        <w:rPr>
          <w:szCs w:val="24"/>
        </w:rPr>
        <w:t xml:space="preserve"> </w:t>
      </w:r>
      <w:r w:rsidR="00443480" w:rsidRPr="0025751E">
        <w:rPr>
          <w:i/>
          <w:szCs w:val="24"/>
        </w:rPr>
        <w:t>pasekmė</w:t>
      </w:r>
      <w:r w:rsidR="0008322A">
        <w:rPr>
          <w:szCs w:val="24"/>
        </w:rPr>
        <w:t>, kur</w:t>
      </w:r>
      <w:r w:rsidR="00672395">
        <w:rPr>
          <w:szCs w:val="24"/>
        </w:rPr>
        <w:t>i</w:t>
      </w:r>
      <w:r w:rsidR="001E2425">
        <w:rPr>
          <w:szCs w:val="24"/>
        </w:rPr>
        <w:t xml:space="preserve"> atsiranda dėl </w:t>
      </w:r>
      <w:r w:rsidR="00A369CB">
        <w:rPr>
          <w:szCs w:val="24"/>
        </w:rPr>
        <w:t>to, kad žmogus nenori ekonomiškai mąstyti</w:t>
      </w:r>
      <w:r w:rsidR="00CC24CB">
        <w:rPr>
          <w:szCs w:val="24"/>
        </w:rPr>
        <w:t>, nes</w:t>
      </w:r>
      <w:r w:rsidR="00FA0CB3">
        <w:rPr>
          <w:szCs w:val="24"/>
        </w:rPr>
        <w:t xml:space="preserve"> turi aiškiai išreikštą kryptį</w:t>
      </w:r>
      <w:r w:rsidR="00AA58BF">
        <w:rPr>
          <w:szCs w:val="24"/>
        </w:rPr>
        <w:t>, kuri yra susijusi</w:t>
      </w:r>
      <w:r w:rsidR="00CC24CB">
        <w:rPr>
          <w:szCs w:val="24"/>
        </w:rPr>
        <w:t xml:space="preserve"> su „nemokamos“ gerovės siekimu.</w:t>
      </w:r>
      <w:r w:rsidR="00D47A9A">
        <w:rPr>
          <w:szCs w:val="24"/>
        </w:rPr>
        <w:t xml:space="preserve"> Suvokiant t</w:t>
      </w:r>
      <w:r w:rsidR="00F42E0E">
        <w:rPr>
          <w:szCs w:val="24"/>
        </w:rPr>
        <w:t>okią tiesą</w:t>
      </w:r>
      <w:r w:rsidR="00D47A9A">
        <w:rPr>
          <w:szCs w:val="24"/>
        </w:rPr>
        <w:t xml:space="preserve">, galima išskirti </w:t>
      </w:r>
      <w:r w:rsidR="00CA2D70">
        <w:rPr>
          <w:szCs w:val="24"/>
        </w:rPr>
        <w:t xml:space="preserve">naują gyventojų </w:t>
      </w:r>
      <w:r w:rsidR="00D47A9A">
        <w:rPr>
          <w:szCs w:val="24"/>
        </w:rPr>
        <w:t>„</w:t>
      </w:r>
      <w:r w:rsidR="00CA2D70">
        <w:rPr>
          <w:szCs w:val="24"/>
        </w:rPr>
        <w:t>kategoriją</w:t>
      </w:r>
      <w:r w:rsidR="00D47A9A">
        <w:rPr>
          <w:szCs w:val="24"/>
        </w:rPr>
        <w:t>“</w:t>
      </w:r>
      <w:r w:rsidR="006231CA">
        <w:rPr>
          <w:szCs w:val="24"/>
        </w:rPr>
        <w:t xml:space="preserve">, kurios </w:t>
      </w:r>
      <w:r w:rsidR="006B0842">
        <w:rPr>
          <w:szCs w:val="24"/>
        </w:rPr>
        <w:t xml:space="preserve">finansinė </w:t>
      </w:r>
      <w:r w:rsidR="006231CA">
        <w:rPr>
          <w:szCs w:val="24"/>
        </w:rPr>
        <w:t>elgsena iki šiol</w:t>
      </w:r>
      <w:r w:rsidR="005231E8">
        <w:rPr>
          <w:szCs w:val="24"/>
        </w:rPr>
        <w:t xml:space="preserve"> </w:t>
      </w:r>
      <w:r w:rsidR="00142877">
        <w:rPr>
          <w:szCs w:val="24"/>
        </w:rPr>
        <w:t>mažai buvo nagrinė</w:t>
      </w:r>
      <w:r w:rsidR="00696033">
        <w:rPr>
          <w:szCs w:val="24"/>
        </w:rPr>
        <w:t>ta</w:t>
      </w:r>
      <w:r w:rsidR="00BD4CC8">
        <w:rPr>
          <w:szCs w:val="24"/>
        </w:rPr>
        <w:t>,</w:t>
      </w:r>
      <w:r w:rsidR="00FE7425">
        <w:rPr>
          <w:szCs w:val="24"/>
        </w:rPr>
        <w:t xml:space="preserve"> t. y. įvairių </w:t>
      </w:r>
      <w:r w:rsidR="005A1709">
        <w:rPr>
          <w:szCs w:val="24"/>
        </w:rPr>
        <w:t>socialin</w:t>
      </w:r>
      <w:r w:rsidR="00BD4CC8">
        <w:rPr>
          <w:szCs w:val="24"/>
        </w:rPr>
        <w:t>ių</w:t>
      </w:r>
      <w:r w:rsidR="005A1709">
        <w:rPr>
          <w:szCs w:val="24"/>
        </w:rPr>
        <w:t xml:space="preserve"> </w:t>
      </w:r>
      <w:r w:rsidR="00BD4CC8">
        <w:rPr>
          <w:szCs w:val="24"/>
        </w:rPr>
        <w:t xml:space="preserve">išmokų </w:t>
      </w:r>
      <w:r w:rsidR="006266E2">
        <w:rPr>
          <w:szCs w:val="24"/>
        </w:rPr>
        <w:t>gavėjus</w:t>
      </w:r>
      <w:r w:rsidR="005231E8" w:rsidRPr="00142877">
        <w:rPr>
          <w:szCs w:val="24"/>
        </w:rPr>
        <w:t>,</w:t>
      </w:r>
      <w:r w:rsidR="005231E8">
        <w:rPr>
          <w:szCs w:val="24"/>
        </w:rPr>
        <w:t xml:space="preserve"> kurie </w:t>
      </w:r>
      <w:r w:rsidR="006B0842">
        <w:rPr>
          <w:szCs w:val="24"/>
        </w:rPr>
        <w:t xml:space="preserve">dėl vienokių ar kitokių priežasčių </w:t>
      </w:r>
      <w:r w:rsidR="005231E8" w:rsidRPr="009E06E8">
        <w:rPr>
          <w:i/>
          <w:szCs w:val="24"/>
        </w:rPr>
        <w:t>sąmoningai</w:t>
      </w:r>
      <w:r w:rsidR="005231E8">
        <w:rPr>
          <w:szCs w:val="24"/>
        </w:rPr>
        <w:t xml:space="preserve"> renkasi tapti </w:t>
      </w:r>
      <w:r w:rsidR="003B5248">
        <w:rPr>
          <w:szCs w:val="24"/>
        </w:rPr>
        <w:t>„</w:t>
      </w:r>
      <w:r w:rsidR="00A145DA">
        <w:rPr>
          <w:szCs w:val="24"/>
        </w:rPr>
        <w:t>tautos išlaikytiniais</w:t>
      </w:r>
      <w:r w:rsidR="003B5248">
        <w:rPr>
          <w:szCs w:val="24"/>
        </w:rPr>
        <w:t>“</w:t>
      </w:r>
      <w:r w:rsidR="00690F97">
        <w:rPr>
          <w:szCs w:val="24"/>
        </w:rPr>
        <w:t xml:space="preserve">, </w:t>
      </w:r>
      <w:r w:rsidR="0060189B">
        <w:rPr>
          <w:szCs w:val="24"/>
        </w:rPr>
        <w:t xml:space="preserve">– </w:t>
      </w:r>
      <w:r w:rsidR="00BD4CC8">
        <w:rPr>
          <w:szCs w:val="24"/>
        </w:rPr>
        <w:t>kadangi</w:t>
      </w:r>
      <w:r w:rsidR="00690F97">
        <w:rPr>
          <w:szCs w:val="24"/>
        </w:rPr>
        <w:t xml:space="preserve"> </w:t>
      </w:r>
      <w:r w:rsidR="00AF4F44">
        <w:rPr>
          <w:szCs w:val="24"/>
        </w:rPr>
        <w:t>ne</w:t>
      </w:r>
      <w:r w:rsidR="00FE7425">
        <w:rPr>
          <w:szCs w:val="24"/>
        </w:rPr>
        <w:t>į</w:t>
      </w:r>
      <w:r w:rsidR="00690F97">
        <w:rPr>
          <w:szCs w:val="24"/>
        </w:rPr>
        <w:t xml:space="preserve">deda </w:t>
      </w:r>
      <w:r w:rsidR="00BD4CC8">
        <w:rPr>
          <w:szCs w:val="24"/>
        </w:rPr>
        <w:t xml:space="preserve">jokių </w:t>
      </w:r>
      <w:r w:rsidR="00690F97">
        <w:rPr>
          <w:szCs w:val="24"/>
        </w:rPr>
        <w:t xml:space="preserve">pastangų, kad jų </w:t>
      </w:r>
      <w:r w:rsidR="00BD4CC8">
        <w:rPr>
          <w:szCs w:val="24"/>
        </w:rPr>
        <w:t xml:space="preserve">socialinis </w:t>
      </w:r>
      <w:r w:rsidR="00690F97">
        <w:rPr>
          <w:szCs w:val="24"/>
        </w:rPr>
        <w:t>statusas</w:t>
      </w:r>
      <w:r w:rsidR="00AF4F44">
        <w:rPr>
          <w:szCs w:val="24"/>
        </w:rPr>
        <w:t xml:space="preserve"> pasikeistų.</w:t>
      </w:r>
    </w:p>
    <w:p w:rsidR="007D12E6" w:rsidRDefault="00A145DA" w:rsidP="007D12E6">
      <w:pPr>
        <w:rPr>
          <w:szCs w:val="24"/>
        </w:rPr>
      </w:pPr>
      <w:r>
        <w:rPr>
          <w:szCs w:val="24"/>
        </w:rPr>
        <w:t>Reikėtų</w:t>
      </w:r>
      <w:r w:rsidR="009C6C18">
        <w:rPr>
          <w:szCs w:val="24"/>
        </w:rPr>
        <w:t xml:space="preserve"> akcentuoti</w:t>
      </w:r>
      <w:r>
        <w:rPr>
          <w:szCs w:val="24"/>
        </w:rPr>
        <w:t>, jog</w:t>
      </w:r>
      <w:r w:rsidR="006B0842">
        <w:rPr>
          <w:szCs w:val="24"/>
        </w:rPr>
        <w:t xml:space="preserve"> čia </w:t>
      </w:r>
      <w:r w:rsidR="00860407">
        <w:rPr>
          <w:szCs w:val="24"/>
        </w:rPr>
        <w:t xml:space="preserve">ir </w:t>
      </w:r>
      <w:r w:rsidR="006B0842">
        <w:rPr>
          <w:szCs w:val="24"/>
        </w:rPr>
        <w:t xml:space="preserve">slypi </w:t>
      </w:r>
      <w:r w:rsidR="00117BC4" w:rsidRPr="00117BC4">
        <w:rPr>
          <w:b/>
          <w:i/>
          <w:szCs w:val="24"/>
        </w:rPr>
        <w:t>tyrimo naujumas</w:t>
      </w:r>
      <w:r w:rsidR="00117BC4">
        <w:rPr>
          <w:szCs w:val="24"/>
        </w:rPr>
        <w:t>:</w:t>
      </w:r>
      <w:r w:rsidR="00E83944">
        <w:rPr>
          <w:szCs w:val="24"/>
        </w:rPr>
        <w:t xml:space="preserve"> nors </w:t>
      </w:r>
      <w:r w:rsidR="00291F0F">
        <w:rPr>
          <w:szCs w:val="24"/>
        </w:rPr>
        <w:t>atskirų socialinių</w:t>
      </w:r>
      <w:r w:rsidR="0027118A">
        <w:rPr>
          <w:szCs w:val="24"/>
        </w:rPr>
        <w:t xml:space="preserve"> grupių problematika </w:t>
      </w:r>
      <w:r w:rsidR="00860407">
        <w:rPr>
          <w:szCs w:val="24"/>
        </w:rPr>
        <w:t xml:space="preserve">ir </w:t>
      </w:r>
      <w:r w:rsidR="00721B95">
        <w:rPr>
          <w:szCs w:val="24"/>
        </w:rPr>
        <w:t xml:space="preserve">buvo </w:t>
      </w:r>
      <w:r w:rsidR="00D0453C">
        <w:rPr>
          <w:szCs w:val="24"/>
        </w:rPr>
        <w:t xml:space="preserve">nagrinėta </w:t>
      </w:r>
      <w:r w:rsidR="0005085D">
        <w:rPr>
          <w:szCs w:val="24"/>
        </w:rPr>
        <w:t>kai kurių autorių darbuose</w:t>
      </w:r>
      <w:r w:rsidR="0085607A">
        <w:rPr>
          <w:szCs w:val="24"/>
        </w:rPr>
        <w:t xml:space="preserve">, į </w:t>
      </w:r>
      <w:r w:rsidR="00BB2187">
        <w:rPr>
          <w:szCs w:val="24"/>
        </w:rPr>
        <w:t>tai</w:t>
      </w:r>
      <w:r w:rsidR="00EA62D4">
        <w:rPr>
          <w:szCs w:val="24"/>
        </w:rPr>
        <w:t xml:space="preserve"> </w:t>
      </w:r>
      <w:r w:rsidR="00935E46">
        <w:rPr>
          <w:szCs w:val="24"/>
        </w:rPr>
        <w:t xml:space="preserve">dažniausiai </w:t>
      </w:r>
      <w:r w:rsidR="003C07C3">
        <w:rPr>
          <w:szCs w:val="24"/>
        </w:rPr>
        <w:t xml:space="preserve">buvo </w:t>
      </w:r>
      <w:r w:rsidR="001602C4">
        <w:rPr>
          <w:szCs w:val="24"/>
        </w:rPr>
        <w:t>žvelgiama</w:t>
      </w:r>
      <w:r w:rsidR="0099176D">
        <w:rPr>
          <w:szCs w:val="24"/>
        </w:rPr>
        <w:t xml:space="preserve"> tik kaip </w:t>
      </w:r>
      <w:r w:rsidR="00722621">
        <w:rPr>
          <w:szCs w:val="24"/>
        </w:rPr>
        <w:t>į</w:t>
      </w:r>
      <w:r w:rsidR="00D0453C">
        <w:rPr>
          <w:szCs w:val="24"/>
        </w:rPr>
        <w:t xml:space="preserve"> </w:t>
      </w:r>
      <w:r w:rsidR="00FA27DD">
        <w:rPr>
          <w:szCs w:val="24"/>
        </w:rPr>
        <w:t xml:space="preserve">nedarbo </w:t>
      </w:r>
      <w:r w:rsidR="0008682A">
        <w:rPr>
          <w:szCs w:val="24"/>
        </w:rPr>
        <w:t>ar</w:t>
      </w:r>
      <w:r w:rsidR="00852136">
        <w:rPr>
          <w:szCs w:val="24"/>
        </w:rPr>
        <w:t xml:space="preserve"> </w:t>
      </w:r>
      <w:r w:rsidR="0008682A">
        <w:rPr>
          <w:szCs w:val="24"/>
        </w:rPr>
        <w:t xml:space="preserve">socialinės </w:t>
      </w:r>
      <w:r w:rsidR="00135695">
        <w:rPr>
          <w:szCs w:val="24"/>
        </w:rPr>
        <w:t>politikos</w:t>
      </w:r>
      <w:r w:rsidR="00E95D0A">
        <w:rPr>
          <w:szCs w:val="24"/>
        </w:rPr>
        <w:t xml:space="preserve"> </w:t>
      </w:r>
      <w:r w:rsidR="000B7D5B">
        <w:rPr>
          <w:szCs w:val="24"/>
        </w:rPr>
        <w:t>su</w:t>
      </w:r>
      <w:r w:rsidR="00DD479F">
        <w:rPr>
          <w:szCs w:val="24"/>
        </w:rPr>
        <w:t>kelt</w:t>
      </w:r>
      <w:r w:rsidR="000B7D5B">
        <w:rPr>
          <w:szCs w:val="24"/>
        </w:rPr>
        <w:t xml:space="preserve">us </w:t>
      </w:r>
      <w:r w:rsidR="003A1D24">
        <w:rPr>
          <w:szCs w:val="24"/>
        </w:rPr>
        <w:t>apribojimus</w:t>
      </w:r>
      <w:r w:rsidR="0099176D">
        <w:rPr>
          <w:szCs w:val="24"/>
        </w:rPr>
        <w:t>,</w:t>
      </w:r>
      <w:r w:rsidR="00F86783">
        <w:rPr>
          <w:szCs w:val="24"/>
        </w:rPr>
        <w:t xml:space="preserve"> visiškai </w:t>
      </w:r>
      <w:r w:rsidR="00265E9A">
        <w:rPr>
          <w:szCs w:val="24"/>
        </w:rPr>
        <w:t>ignoruojant</w:t>
      </w:r>
      <w:r w:rsidR="000803DC">
        <w:rPr>
          <w:szCs w:val="24"/>
        </w:rPr>
        <w:t xml:space="preserve"> žmog</w:t>
      </w:r>
      <w:r w:rsidR="00DD479F">
        <w:rPr>
          <w:szCs w:val="24"/>
        </w:rPr>
        <w:t>ų</w:t>
      </w:r>
      <w:r w:rsidR="00935E46">
        <w:rPr>
          <w:szCs w:val="24"/>
        </w:rPr>
        <w:t xml:space="preserve"> </w:t>
      </w:r>
      <w:r w:rsidR="0088059E">
        <w:rPr>
          <w:szCs w:val="24"/>
        </w:rPr>
        <w:t>kaip finan</w:t>
      </w:r>
      <w:r w:rsidR="00E70D6B">
        <w:rPr>
          <w:szCs w:val="24"/>
        </w:rPr>
        <w:t>sinių sprendimų</w:t>
      </w:r>
      <w:r w:rsidR="0088059E">
        <w:rPr>
          <w:szCs w:val="24"/>
        </w:rPr>
        <w:t xml:space="preserve"> priėmėją</w:t>
      </w:r>
      <w:r w:rsidR="00B067F1">
        <w:rPr>
          <w:szCs w:val="24"/>
        </w:rPr>
        <w:t>,</w:t>
      </w:r>
      <w:r w:rsidR="004C58D5">
        <w:rPr>
          <w:szCs w:val="24"/>
        </w:rPr>
        <w:t xml:space="preserve"> </w:t>
      </w:r>
      <w:r w:rsidR="00B067F1">
        <w:rPr>
          <w:szCs w:val="24"/>
        </w:rPr>
        <w:t xml:space="preserve">kuris </w:t>
      </w:r>
      <w:r w:rsidR="00B260DD">
        <w:rPr>
          <w:szCs w:val="24"/>
        </w:rPr>
        <w:t>gali vertinti</w:t>
      </w:r>
      <w:r w:rsidR="00B067F1">
        <w:rPr>
          <w:szCs w:val="24"/>
        </w:rPr>
        <w:t xml:space="preserve"> ir intuityviai palygin</w:t>
      </w:r>
      <w:r w:rsidR="00B260DD">
        <w:rPr>
          <w:szCs w:val="24"/>
        </w:rPr>
        <w:t>ti</w:t>
      </w:r>
      <w:r w:rsidR="006C553E">
        <w:rPr>
          <w:szCs w:val="24"/>
        </w:rPr>
        <w:t>,</w:t>
      </w:r>
      <w:r w:rsidR="00786E01">
        <w:rPr>
          <w:szCs w:val="24"/>
        </w:rPr>
        <w:t xml:space="preserve"> ar galima tikėtis naudos iš socialinės apsaugos</w:t>
      </w:r>
      <w:r w:rsidR="004C58D5">
        <w:rPr>
          <w:szCs w:val="24"/>
        </w:rPr>
        <w:t xml:space="preserve">. </w:t>
      </w:r>
      <w:r w:rsidR="00C82D63">
        <w:rPr>
          <w:szCs w:val="24"/>
        </w:rPr>
        <w:t xml:space="preserve">Kadangi </w:t>
      </w:r>
      <w:r w:rsidR="00210934">
        <w:rPr>
          <w:szCs w:val="24"/>
        </w:rPr>
        <w:t xml:space="preserve">socialinė apsauga </w:t>
      </w:r>
      <w:r w:rsidR="00362C1B">
        <w:rPr>
          <w:szCs w:val="24"/>
        </w:rPr>
        <w:t xml:space="preserve">yra </w:t>
      </w:r>
      <w:r w:rsidR="00136B8A">
        <w:rPr>
          <w:szCs w:val="24"/>
        </w:rPr>
        <w:t>suvokiama</w:t>
      </w:r>
      <w:r w:rsidR="00210934">
        <w:rPr>
          <w:szCs w:val="24"/>
        </w:rPr>
        <w:t xml:space="preserve"> kaip </w:t>
      </w:r>
      <w:r w:rsidR="00210934" w:rsidRPr="00750DD1">
        <w:rPr>
          <w:i/>
          <w:szCs w:val="24"/>
        </w:rPr>
        <w:t>kraštutin</w:t>
      </w:r>
      <w:r w:rsidR="00F4036C" w:rsidRPr="00750DD1">
        <w:rPr>
          <w:i/>
          <w:szCs w:val="24"/>
        </w:rPr>
        <w:t>ė</w:t>
      </w:r>
      <w:r w:rsidR="00161897">
        <w:rPr>
          <w:szCs w:val="24"/>
        </w:rPr>
        <w:t xml:space="preserve"> pajamų </w:t>
      </w:r>
      <w:r w:rsidR="00122507">
        <w:rPr>
          <w:szCs w:val="24"/>
        </w:rPr>
        <w:t xml:space="preserve">gavimo </w:t>
      </w:r>
      <w:r w:rsidR="00F4036C">
        <w:rPr>
          <w:szCs w:val="24"/>
        </w:rPr>
        <w:t>priemonė</w:t>
      </w:r>
      <w:r w:rsidR="00F45001">
        <w:rPr>
          <w:szCs w:val="24"/>
        </w:rPr>
        <w:t xml:space="preserve">, </w:t>
      </w:r>
      <w:r w:rsidR="00002326">
        <w:rPr>
          <w:szCs w:val="24"/>
        </w:rPr>
        <w:t xml:space="preserve">tai </w:t>
      </w:r>
      <w:r w:rsidR="00BD69DF">
        <w:rPr>
          <w:szCs w:val="24"/>
        </w:rPr>
        <w:t>sudar</w:t>
      </w:r>
      <w:r w:rsidR="004F2F34">
        <w:rPr>
          <w:szCs w:val="24"/>
        </w:rPr>
        <w:t>o</w:t>
      </w:r>
      <w:r w:rsidR="00BD69DF">
        <w:rPr>
          <w:szCs w:val="24"/>
        </w:rPr>
        <w:t xml:space="preserve"> sąlygas</w:t>
      </w:r>
      <w:r w:rsidR="00362C1B">
        <w:rPr>
          <w:szCs w:val="24"/>
        </w:rPr>
        <w:t xml:space="preserve"> </w:t>
      </w:r>
      <w:r w:rsidR="00122507">
        <w:rPr>
          <w:szCs w:val="24"/>
        </w:rPr>
        <w:t>formuotis</w:t>
      </w:r>
      <w:r w:rsidR="005C0F75">
        <w:rPr>
          <w:szCs w:val="24"/>
        </w:rPr>
        <w:t xml:space="preserve"> </w:t>
      </w:r>
      <w:r w:rsidR="00136B8A">
        <w:rPr>
          <w:szCs w:val="24"/>
        </w:rPr>
        <w:t>yding</w:t>
      </w:r>
      <w:r w:rsidR="00D72E74">
        <w:rPr>
          <w:szCs w:val="24"/>
        </w:rPr>
        <w:t>a</w:t>
      </w:r>
      <w:r w:rsidR="00002326">
        <w:rPr>
          <w:szCs w:val="24"/>
        </w:rPr>
        <w:t>i</w:t>
      </w:r>
      <w:r w:rsidR="00136B8A">
        <w:rPr>
          <w:szCs w:val="24"/>
        </w:rPr>
        <w:t xml:space="preserve"> mąsty</w:t>
      </w:r>
      <w:r w:rsidR="00406CE0">
        <w:rPr>
          <w:szCs w:val="24"/>
        </w:rPr>
        <w:t>sena</w:t>
      </w:r>
      <w:r w:rsidR="00002326">
        <w:rPr>
          <w:szCs w:val="24"/>
        </w:rPr>
        <w:t>i</w:t>
      </w:r>
      <w:r w:rsidR="00136B8A">
        <w:rPr>
          <w:szCs w:val="24"/>
        </w:rPr>
        <w:t xml:space="preserve">, jog </w:t>
      </w:r>
      <w:r w:rsidR="00953748">
        <w:rPr>
          <w:szCs w:val="24"/>
        </w:rPr>
        <w:t>elgsena socialinės apsaugos srityje</w:t>
      </w:r>
      <w:r w:rsidR="00B40842">
        <w:rPr>
          <w:szCs w:val="24"/>
        </w:rPr>
        <w:t xml:space="preserve"> n</w:t>
      </w:r>
      <w:r w:rsidR="002866B8">
        <w:rPr>
          <w:szCs w:val="24"/>
        </w:rPr>
        <w:t>e</w:t>
      </w:r>
      <w:r w:rsidR="00D72E74">
        <w:rPr>
          <w:szCs w:val="24"/>
        </w:rPr>
        <w:t>gali</w:t>
      </w:r>
      <w:r w:rsidR="002866B8">
        <w:rPr>
          <w:szCs w:val="24"/>
        </w:rPr>
        <w:t xml:space="preserve"> būti </w:t>
      </w:r>
      <w:r w:rsidR="005435FB">
        <w:rPr>
          <w:szCs w:val="24"/>
        </w:rPr>
        <w:t>finansin</w:t>
      </w:r>
      <w:r w:rsidR="00A238F5">
        <w:rPr>
          <w:szCs w:val="24"/>
        </w:rPr>
        <w:t>ė</w:t>
      </w:r>
      <w:r w:rsidR="00586815">
        <w:rPr>
          <w:szCs w:val="24"/>
        </w:rPr>
        <w:t>,</w:t>
      </w:r>
      <w:r w:rsidR="00BD69DF">
        <w:rPr>
          <w:szCs w:val="24"/>
        </w:rPr>
        <w:t xml:space="preserve"> –</w:t>
      </w:r>
      <w:r w:rsidR="003776CB">
        <w:rPr>
          <w:szCs w:val="24"/>
        </w:rPr>
        <w:t xml:space="preserve"> </w:t>
      </w:r>
      <w:r w:rsidR="00BD69DF">
        <w:rPr>
          <w:szCs w:val="24"/>
        </w:rPr>
        <w:t>kadangi</w:t>
      </w:r>
      <w:r w:rsidR="006731EC">
        <w:rPr>
          <w:szCs w:val="24"/>
        </w:rPr>
        <w:t xml:space="preserve"> </w:t>
      </w:r>
      <w:r w:rsidR="00565A62">
        <w:rPr>
          <w:szCs w:val="24"/>
        </w:rPr>
        <w:t>ji</w:t>
      </w:r>
      <w:r w:rsidR="00553515">
        <w:rPr>
          <w:szCs w:val="24"/>
        </w:rPr>
        <w:t xml:space="preserve"> nėra paremta</w:t>
      </w:r>
      <w:r w:rsidR="00362C1B">
        <w:rPr>
          <w:szCs w:val="24"/>
        </w:rPr>
        <w:t xml:space="preserve"> </w:t>
      </w:r>
      <w:r w:rsidR="00362C1B" w:rsidRPr="00362C1B">
        <w:rPr>
          <w:i/>
          <w:szCs w:val="24"/>
        </w:rPr>
        <w:t>laisvu</w:t>
      </w:r>
      <w:r w:rsidR="00593B22">
        <w:rPr>
          <w:szCs w:val="24"/>
        </w:rPr>
        <w:t xml:space="preserve"> </w:t>
      </w:r>
      <w:r w:rsidR="00553515" w:rsidRPr="00593B22">
        <w:rPr>
          <w:i/>
          <w:szCs w:val="24"/>
        </w:rPr>
        <w:t>pasirinkimu</w:t>
      </w:r>
      <w:r w:rsidR="00586815">
        <w:rPr>
          <w:szCs w:val="24"/>
        </w:rPr>
        <w:t xml:space="preserve">. </w:t>
      </w:r>
      <w:r w:rsidR="00DC6E89" w:rsidRPr="000F2BF5">
        <w:rPr>
          <w:szCs w:val="24"/>
        </w:rPr>
        <w:t>T</w:t>
      </w:r>
      <w:r w:rsidR="00D9179D" w:rsidRPr="000F2BF5">
        <w:rPr>
          <w:szCs w:val="24"/>
        </w:rPr>
        <w:t>ačiau,</w:t>
      </w:r>
      <w:r w:rsidR="005D6E3A" w:rsidRPr="000F2BF5">
        <w:rPr>
          <w:szCs w:val="24"/>
        </w:rPr>
        <w:t xml:space="preserve"> mūsų</w:t>
      </w:r>
      <w:r w:rsidR="001642E1">
        <w:rPr>
          <w:szCs w:val="24"/>
        </w:rPr>
        <w:t xml:space="preserve"> požiūriu</w:t>
      </w:r>
      <w:r w:rsidR="005A5A2A" w:rsidRPr="000F2BF5">
        <w:rPr>
          <w:szCs w:val="24"/>
        </w:rPr>
        <w:t xml:space="preserve">, </w:t>
      </w:r>
      <w:r w:rsidR="000F2BF5" w:rsidRPr="000F2BF5">
        <w:rPr>
          <w:szCs w:val="24"/>
        </w:rPr>
        <w:t xml:space="preserve">kai kurie </w:t>
      </w:r>
      <w:r w:rsidR="005A5A2A" w:rsidRPr="000F2BF5">
        <w:rPr>
          <w:szCs w:val="24"/>
        </w:rPr>
        <w:t>socialinių išmokų gavėjai</w:t>
      </w:r>
      <w:r w:rsidR="000E6110" w:rsidRPr="000F2BF5">
        <w:rPr>
          <w:szCs w:val="24"/>
        </w:rPr>
        <w:t xml:space="preserve"> yra </w:t>
      </w:r>
      <w:r w:rsidR="00CD6812">
        <w:rPr>
          <w:szCs w:val="24"/>
        </w:rPr>
        <w:t>lygiai taip pat gerai pa</w:t>
      </w:r>
      <w:r w:rsidR="005D6E3A">
        <w:rPr>
          <w:szCs w:val="24"/>
        </w:rPr>
        <w:t>skaičiuojantys</w:t>
      </w:r>
      <w:r w:rsidR="00CD6812">
        <w:rPr>
          <w:szCs w:val="24"/>
        </w:rPr>
        <w:t xml:space="preserve"> naudą</w:t>
      </w:r>
      <w:r w:rsidR="006E688F">
        <w:rPr>
          <w:szCs w:val="24"/>
        </w:rPr>
        <w:t xml:space="preserve"> kaip ir investicinius sprendimus atliekantys</w:t>
      </w:r>
      <w:r w:rsidR="00126D81">
        <w:rPr>
          <w:szCs w:val="24"/>
        </w:rPr>
        <w:t xml:space="preserve"> individai</w:t>
      </w:r>
      <w:r w:rsidR="00D65F37">
        <w:rPr>
          <w:szCs w:val="24"/>
        </w:rPr>
        <w:t>, todė</w:t>
      </w:r>
      <w:r w:rsidR="00731638">
        <w:rPr>
          <w:szCs w:val="24"/>
        </w:rPr>
        <w:t>l šiame darbe į šiuos žmones</w:t>
      </w:r>
      <w:r w:rsidR="009267CE">
        <w:rPr>
          <w:szCs w:val="24"/>
        </w:rPr>
        <w:t xml:space="preserve"> </w:t>
      </w:r>
      <w:r w:rsidR="00D65F37">
        <w:rPr>
          <w:szCs w:val="24"/>
        </w:rPr>
        <w:t>siūloma pa</w:t>
      </w:r>
      <w:r w:rsidR="00350638">
        <w:rPr>
          <w:szCs w:val="24"/>
        </w:rPr>
        <w:t>si</w:t>
      </w:r>
      <w:r w:rsidR="00D65F37">
        <w:rPr>
          <w:szCs w:val="24"/>
        </w:rPr>
        <w:t>žiūrėti kaip į</w:t>
      </w:r>
      <w:r w:rsidR="00C1566D">
        <w:rPr>
          <w:szCs w:val="24"/>
        </w:rPr>
        <w:t xml:space="preserve"> </w:t>
      </w:r>
      <w:r w:rsidR="00040463">
        <w:rPr>
          <w:szCs w:val="24"/>
        </w:rPr>
        <w:t xml:space="preserve">tokius </w:t>
      </w:r>
      <w:r w:rsidR="00312C0F">
        <w:rPr>
          <w:szCs w:val="24"/>
        </w:rPr>
        <w:t xml:space="preserve">asmenis, kurie </w:t>
      </w:r>
      <w:r w:rsidR="00D01D4E">
        <w:rPr>
          <w:szCs w:val="24"/>
        </w:rPr>
        <w:t xml:space="preserve">strategiją </w:t>
      </w:r>
      <w:r w:rsidR="005F7710">
        <w:rPr>
          <w:szCs w:val="24"/>
        </w:rPr>
        <w:t xml:space="preserve">pajamas </w:t>
      </w:r>
      <w:r w:rsidR="003D1439">
        <w:rPr>
          <w:szCs w:val="24"/>
        </w:rPr>
        <w:t xml:space="preserve">formuoti </w:t>
      </w:r>
      <w:r w:rsidR="005F7710">
        <w:rPr>
          <w:szCs w:val="24"/>
        </w:rPr>
        <w:t>iš socialin</w:t>
      </w:r>
      <w:r w:rsidR="00D01D4E">
        <w:rPr>
          <w:szCs w:val="24"/>
        </w:rPr>
        <w:t xml:space="preserve">ės apsaugos lėšų </w:t>
      </w:r>
      <w:r w:rsidR="007D1327">
        <w:rPr>
          <w:szCs w:val="24"/>
        </w:rPr>
        <w:t xml:space="preserve">pasirenka </w:t>
      </w:r>
      <w:r w:rsidR="00270F37" w:rsidRPr="00312C0F">
        <w:rPr>
          <w:szCs w:val="24"/>
        </w:rPr>
        <w:t>apgalvotai.</w:t>
      </w:r>
    </w:p>
    <w:p w:rsidR="004F2F34" w:rsidRDefault="002360AE" w:rsidP="007D12E6">
      <w:pPr>
        <w:rPr>
          <w:szCs w:val="24"/>
        </w:rPr>
      </w:pPr>
      <w:r>
        <w:rPr>
          <w:szCs w:val="24"/>
        </w:rPr>
        <w:lastRenderedPageBreak/>
        <w:t xml:space="preserve">Suvokiant, jog </w:t>
      </w:r>
      <w:r w:rsidR="000E3CE6" w:rsidRPr="00EF220E">
        <w:rPr>
          <w:i/>
          <w:szCs w:val="24"/>
        </w:rPr>
        <w:t>šių laikų valstybėje</w:t>
      </w:r>
      <w:r w:rsidR="000E3CE6">
        <w:rPr>
          <w:szCs w:val="24"/>
        </w:rPr>
        <w:t xml:space="preserve"> </w:t>
      </w:r>
      <w:r>
        <w:rPr>
          <w:szCs w:val="24"/>
        </w:rPr>
        <w:t>žmogaus vaidmuo</w:t>
      </w:r>
      <w:r w:rsidR="00AC78BC">
        <w:rPr>
          <w:szCs w:val="24"/>
        </w:rPr>
        <w:t xml:space="preserve"> socialinės apsaugos </w:t>
      </w:r>
      <w:r w:rsidR="00CB75D7">
        <w:rPr>
          <w:szCs w:val="24"/>
        </w:rPr>
        <w:t>srityje</w:t>
      </w:r>
      <w:r w:rsidR="00310951">
        <w:rPr>
          <w:szCs w:val="24"/>
        </w:rPr>
        <w:t xml:space="preserve"> turėtų </w:t>
      </w:r>
      <w:r w:rsidR="00715258">
        <w:rPr>
          <w:szCs w:val="24"/>
        </w:rPr>
        <w:t xml:space="preserve">būti </w:t>
      </w:r>
      <w:r w:rsidR="00051A5F" w:rsidRPr="00AC4031">
        <w:rPr>
          <w:i/>
          <w:szCs w:val="24"/>
        </w:rPr>
        <w:t>akt</w:t>
      </w:r>
      <w:r w:rsidR="00715258" w:rsidRPr="00AC4031">
        <w:rPr>
          <w:i/>
          <w:szCs w:val="24"/>
        </w:rPr>
        <w:t>yvus</w:t>
      </w:r>
      <w:r w:rsidR="00715258">
        <w:rPr>
          <w:szCs w:val="24"/>
        </w:rPr>
        <w:t>, t. y.</w:t>
      </w:r>
      <w:r w:rsidR="003C5EAF">
        <w:rPr>
          <w:szCs w:val="24"/>
        </w:rPr>
        <w:t xml:space="preserve"> </w:t>
      </w:r>
      <w:r w:rsidR="002005DA">
        <w:rPr>
          <w:szCs w:val="24"/>
        </w:rPr>
        <w:t>susidūr</w:t>
      </w:r>
      <w:r w:rsidR="00C6659D">
        <w:rPr>
          <w:szCs w:val="24"/>
        </w:rPr>
        <w:t>u</w:t>
      </w:r>
      <w:r w:rsidR="002005DA">
        <w:rPr>
          <w:szCs w:val="24"/>
        </w:rPr>
        <w:t>s su socialine rizika, pirmiausia,</w:t>
      </w:r>
      <w:r w:rsidR="00B249D2">
        <w:rPr>
          <w:szCs w:val="24"/>
        </w:rPr>
        <w:t xml:space="preserve"> </w:t>
      </w:r>
      <w:r w:rsidR="00C6659D">
        <w:rPr>
          <w:szCs w:val="24"/>
        </w:rPr>
        <w:t xml:space="preserve">reiktų ne </w:t>
      </w:r>
      <w:r w:rsidR="00B249D2">
        <w:rPr>
          <w:szCs w:val="24"/>
        </w:rPr>
        <w:t>reikalauti, o</w:t>
      </w:r>
      <w:r w:rsidR="00AC4031">
        <w:rPr>
          <w:szCs w:val="24"/>
        </w:rPr>
        <w:t xml:space="preserve"> </w:t>
      </w:r>
      <w:r w:rsidR="00C6659D">
        <w:rPr>
          <w:szCs w:val="24"/>
        </w:rPr>
        <w:t xml:space="preserve">demonstruoti </w:t>
      </w:r>
      <w:r w:rsidR="00AB7D53">
        <w:rPr>
          <w:szCs w:val="24"/>
        </w:rPr>
        <w:t xml:space="preserve">savo </w:t>
      </w:r>
      <w:r w:rsidR="008F1534">
        <w:rPr>
          <w:szCs w:val="24"/>
        </w:rPr>
        <w:t>gebėjimus</w:t>
      </w:r>
      <w:r w:rsidR="007B208C">
        <w:rPr>
          <w:szCs w:val="24"/>
        </w:rPr>
        <w:t>,</w:t>
      </w:r>
      <w:r w:rsidR="00AB7D53">
        <w:rPr>
          <w:szCs w:val="24"/>
        </w:rPr>
        <w:t xml:space="preserve"> siekiant </w:t>
      </w:r>
      <w:r w:rsidR="00754616">
        <w:rPr>
          <w:szCs w:val="24"/>
        </w:rPr>
        <w:t>susigrąžinti gerovę,</w:t>
      </w:r>
      <w:r w:rsidR="007B208C">
        <w:rPr>
          <w:szCs w:val="24"/>
        </w:rPr>
        <w:t xml:space="preserve"> tampa akivaizdu</w:t>
      </w:r>
      <w:r w:rsidR="00936952">
        <w:rPr>
          <w:szCs w:val="24"/>
        </w:rPr>
        <w:t xml:space="preserve">, jog priešingai besielgiantys asmenys </w:t>
      </w:r>
      <w:r w:rsidR="00754616">
        <w:rPr>
          <w:szCs w:val="24"/>
        </w:rPr>
        <w:t xml:space="preserve">gali tapti </w:t>
      </w:r>
      <w:r w:rsidR="00936952">
        <w:rPr>
          <w:szCs w:val="24"/>
        </w:rPr>
        <w:t xml:space="preserve">potencialiai pavojinga jėga </w:t>
      </w:r>
      <w:r w:rsidR="0009419C">
        <w:rPr>
          <w:szCs w:val="24"/>
        </w:rPr>
        <w:t xml:space="preserve">sau ir </w:t>
      </w:r>
      <w:r w:rsidR="00936952" w:rsidRPr="00677319">
        <w:rPr>
          <w:szCs w:val="24"/>
        </w:rPr>
        <w:t>visuomenei</w:t>
      </w:r>
      <w:r w:rsidR="00DD3B76" w:rsidRPr="00677319">
        <w:rPr>
          <w:szCs w:val="24"/>
        </w:rPr>
        <w:t xml:space="preserve"> </w:t>
      </w:r>
      <w:r w:rsidR="00DD3B76" w:rsidRPr="00677319">
        <w:t xml:space="preserve">(Bitinas, </w:t>
      </w:r>
      <w:proofErr w:type="spellStart"/>
      <w:r w:rsidR="00DD3B76" w:rsidRPr="00677319">
        <w:t>Papirtis</w:t>
      </w:r>
      <w:proofErr w:type="spellEnd"/>
      <w:r w:rsidR="00DD3B76" w:rsidRPr="00677319">
        <w:t xml:space="preserve"> 2010)</w:t>
      </w:r>
      <w:r w:rsidR="00CB75D7" w:rsidRPr="00677319">
        <w:rPr>
          <w:szCs w:val="24"/>
        </w:rPr>
        <w:t>:</w:t>
      </w:r>
      <w:r w:rsidR="00A963FB" w:rsidRPr="00677319">
        <w:rPr>
          <w:szCs w:val="24"/>
        </w:rPr>
        <w:t xml:space="preserve"> pavojinga</w:t>
      </w:r>
      <w:r w:rsidR="00A963FB">
        <w:rPr>
          <w:szCs w:val="24"/>
        </w:rPr>
        <w:t xml:space="preserve"> sau dėl to, kad nedirbantys </w:t>
      </w:r>
      <w:r w:rsidR="00595E4D">
        <w:rPr>
          <w:szCs w:val="24"/>
        </w:rPr>
        <w:t xml:space="preserve">žmonės </w:t>
      </w:r>
      <w:r w:rsidR="00940412">
        <w:rPr>
          <w:szCs w:val="24"/>
        </w:rPr>
        <w:t xml:space="preserve">gali žlugti </w:t>
      </w:r>
      <w:r w:rsidR="00A963FB">
        <w:rPr>
          <w:szCs w:val="24"/>
        </w:rPr>
        <w:t xml:space="preserve"> kaip asmenybės, o visuomenei – kad užkraunama papildoma našta </w:t>
      </w:r>
      <w:r w:rsidR="00A963FB" w:rsidRPr="00677319">
        <w:rPr>
          <w:szCs w:val="24"/>
        </w:rPr>
        <w:t>ekonomikai</w:t>
      </w:r>
      <w:r w:rsidR="00DD3B76" w:rsidRPr="00677319">
        <w:rPr>
          <w:szCs w:val="24"/>
        </w:rPr>
        <w:t xml:space="preserve"> (Tartilas 2005)</w:t>
      </w:r>
      <w:r w:rsidR="00A963FB" w:rsidRPr="00677319">
        <w:rPr>
          <w:szCs w:val="24"/>
        </w:rPr>
        <w:t>.</w:t>
      </w:r>
      <w:r w:rsidR="009167AE" w:rsidRPr="00677319">
        <w:rPr>
          <w:szCs w:val="24"/>
        </w:rPr>
        <w:t xml:space="preserve"> Dėl</w:t>
      </w:r>
      <w:r w:rsidR="009167AE">
        <w:rPr>
          <w:szCs w:val="24"/>
        </w:rPr>
        <w:t xml:space="preserve"> šios priežasties</w:t>
      </w:r>
      <w:r w:rsidR="00931C24">
        <w:rPr>
          <w:szCs w:val="24"/>
        </w:rPr>
        <w:t xml:space="preserve"> finansinės </w:t>
      </w:r>
      <w:r w:rsidR="00A84FC7">
        <w:rPr>
          <w:szCs w:val="24"/>
        </w:rPr>
        <w:t>tok</w:t>
      </w:r>
      <w:r w:rsidR="00931C24">
        <w:rPr>
          <w:szCs w:val="24"/>
        </w:rPr>
        <w:t xml:space="preserve">ių žmonių elgsenos </w:t>
      </w:r>
      <w:r w:rsidR="00F672C2">
        <w:rPr>
          <w:szCs w:val="24"/>
        </w:rPr>
        <w:t>nag</w:t>
      </w:r>
      <w:r w:rsidR="00931C24">
        <w:rPr>
          <w:szCs w:val="24"/>
        </w:rPr>
        <w:t>rinėjimas</w:t>
      </w:r>
      <w:r w:rsidR="009727D3">
        <w:rPr>
          <w:szCs w:val="24"/>
        </w:rPr>
        <w:t xml:space="preserve"> </w:t>
      </w:r>
      <w:r w:rsidR="00D03965">
        <w:rPr>
          <w:szCs w:val="24"/>
        </w:rPr>
        <w:t>tampa</w:t>
      </w:r>
      <w:r w:rsidR="00AE464B">
        <w:rPr>
          <w:szCs w:val="24"/>
        </w:rPr>
        <w:t xml:space="preserve"> jau ne pasirinkimo</w:t>
      </w:r>
      <w:r w:rsidR="00940412">
        <w:rPr>
          <w:szCs w:val="24"/>
        </w:rPr>
        <w:t xml:space="preserve"> </w:t>
      </w:r>
      <w:r w:rsidR="00725ED2">
        <w:rPr>
          <w:szCs w:val="24"/>
        </w:rPr>
        <w:t>teise</w:t>
      </w:r>
      <w:r w:rsidR="00AE464B">
        <w:rPr>
          <w:szCs w:val="24"/>
        </w:rPr>
        <w:t>, o</w:t>
      </w:r>
      <w:r w:rsidR="00552E2C">
        <w:rPr>
          <w:szCs w:val="24"/>
        </w:rPr>
        <w:t xml:space="preserve"> </w:t>
      </w:r>
      <w:r w:rsidR="0078652B">
        <w:rPr>
          <w:szCs w:val="24"/>
        </w:rPr>
        <w:t>būtin</w:t>
      </w:r>
      <w:r w:rsidR="00AE464B">
        <w:rPr>
          <w:szCs w:val="24"/>
        </w:rPr>
        <w:t>ybe</w:t>
      </w:r>
      <w:r w:rsidR="0078652B">
        <w:rPr>
          <w:szCs w:val="24"/>
        </w:rPr>
        <w:t xml:space="preserve"> – ir ypatingai tais atvejais, kuomet</w:t>
      </w:r>
      <w:r w:rsidR="00946FFF">
        <w:rPr>
          <w:szCs w:val="24"/>
        </w:rPr>
        <w:t xml:space="preserve"> </w:t>
      </w:r>
      <w:r w:rsidR="00210DE5">
        <w:rPr>
          <w:szCs w:val="24"/>
        </w:rPr>
        <w:t>socialin</w:t>
      </w:r>
      <w:r w:rsidR="00552E2C">
        <w:rPr>
          <w:szCs w:val="24"/>
        </w:rPr>
        <w:t>ių</w:t>
      </w:r>
      <w:r w:rsidR="00210DE5">
        <w:rPr>
          <w:szCs w:val="24"/>
        </w:rPr>
        <w:t xml:space="preserve"> išmok</w:t>
      </w:r>
      <w:r w:rsidR="00552E2C">
        <w:rPr>
          <w:szCs w:val="24"/>
        </w:rPr>
        <w:t>ų gavėjų</w:t>
      </w:r>
      <w:r w:rsidR="00946FFF">
        <w:rPr>
          <w:szCs w:val="24"/>
        </w:rPr>
        <w:t xml:space="preserve"> skaičius</w:t>
      </w:r>
      <w:r w:rsidR="00BB5608">
        <w:rPr>
          <w:szCs w:val="24"/>
        </w:rPr>
        <w:t xml:space="preserve"> ne mažėja, bet</w:t>
      </w:r>
      <w:r w:rsidR="00946FFF">
        <w:rPr>
          <w:szCs w:val="24"/>
        </w:rPr>
        <w:t xml:space="preserve"> </w:t>
      </w:r>
      <w:r w:rsidR="00180322">
        <w:rPr>
          <w:szCs w:val="24"/>
        </w:rPr>
        <w:t xml:space="preserve">auga </w:t>
      </w:r>
      <w:r w:rsidR="00A04152">
        <w:rPr>
          <w:szCs w:val="24"/>
        </w:rPr>
        <w:t xml:space="preserve">dideliais </w:t>
      </w:r>
      <w:r w:rsidR="00180322">
        <w:rPr>
          <w:szCs w:val="24"/>
        </w:rPr>
        <w:t>tempais.</w:t>
      </w:r>
      <w:r w:rsidR="00946FFF">
        <w:rPr>
          <w:szCs w:val="24"/>
        </w:rPr>
        <w:t xml:space="preserve"> </w:t>
      </w:r>
    </w:p>
    <w:p w:rsidR="00146464" w:rsidRDefault="00040463" w:rsidP="008409FB">
      <w:pPr>
        <w:rPr>
          <w:szCs w:val="24"/>
        </w:rPr>
      </w:pPr>
      <w:r>
        <w:rPr>
          <w:szCs w:val="24"/>
        </w:rPr>
        <w:t>Siekiant</w:t>
      </w:r>
      <w:r w:rsidR="003F2233">
        <w:rPr>
          <w:szCs w:val="24"/>
        </w:rPr>
        <w:t xml:space="preserve"> suprasti</w:t>
      </w:r>
      <w:r w:rsidR="00F97528">
        <w:rPr>
          <w:szCs w:val="24"/>
        </w:rPr>
        <w:t xml:space="preserve">, kas </w:t>
      </w:r>
      <w:r w:rsidR="005B5D40">
        <w:rPr>
          <w:szCs w:val="24"/>
        </w:rPr>
        <w:t>nu</w:t>
      </w:r>
      <w:r w:rsidR="001E3D9C">
        <w:rPr>
          <w:szCs w:val="24"/>
        </w:rPr>
        <w:t xml:space="preserve">lemia </w:t>
      </w:r>
      <w:r w:rsidR="00EF220E">
        <w:rPr>
          <w:szCs w:val="24"/>
        </w:rPr>
        <w:t>aps</w:t>
      </w:r>
      <w:r w:rsidR="001E3D9C">
        <w:rPr>
          <w:szCs w:val="24"/>
        </w:rPr>
        <w:t>isprendimą gyventi iš socialinės apsa</w:t>
      </w:r>
      <w:r w:rsidR="00F27CC8">
        <w:rPr>
          <w:szCs w:val="24"/>
        </w:rPr>
        <w:t xml:space="preserve">ugos lėšų, tikslinga </w:t>
      </w:r>
      <w:r w:rsidR="001E3D9C">
        <w:rPr>
          <w:szCs w:val="24"/>
        </w:rPr>
        <w:t>nagrinėti</w:t>
      </w:r>
      <w:r w:rsidR="00270356">
        <w:rPr>
          <w:szCs w:val="24"/>
        </w:rPr>
        <w:t xml:space="preserve"> finansinei</w:t>
      </w:r>
      <w:r w:rsidR="00F97528">
        <w:rPr>
          <w:szCs w:val="24"/>
        </w:rPr>
        <w:t xml:space="preserve"> elgsenai įtaką</w:t>
      </w:r>
      <w:r w:rsidR="00270356">
        <w:rPr>
          <w:szCs w:val="24"/>
        </w:rPr>
        <w:t xml:space="preserve"> darančius veiksnius, tačiau šioje vietoje</w:t>
      </w:r>
      <w:r w:rsidR="00F97528">
        <w:rPr>
          <w:szCs w:val="24"/>
        </w:rPr>
        <w:t xml:space="preserve"> susiduriama su </w:t>
      </w:r>
      <w:r w:rsidR="00F27CC8" w:rsidRPr="00253A27">
        <w:rPr>
          <w:i/>
          <w:szCs w:val="24"/>
        </w:rPr>
        <w:t xml:space="preserve">metodologine </w:t>
      </w:r>
      <w:r w:rsidR="00F97528" w:rsidRPr="00253A27">
        <w:rPr>
          <w:i/>
          <w:szCs w:val="24"/>
        </w:rPr>
        <w:t>problema</w:t>
      </w:r>
      <w:r w:rsidR="00F97528">
        <w:rPr>
          <w:szCs w:val="24"/>
        </w:rPr>
        <w:t xml:space="preserve">: nors </w:t>
      </w:r>
      <w:r w:rsidR="00F97528" w:rsidRPr="00151A62">
        <w:rPr>
          <w:i/>
          <w:szCs w:val="24"/>
        </w:rPr>
        <w:t>elgsenos</w:t>
      </w:r>
      <w:r w:rsidR="00F97528">
        <w:rPr>
          <w:szCs w:val="24"/>
        </w:rPr>
        <w:t xml:space="preserve"> teorij</w:t>
      </w:r>
      <w:r w:rsidR="00423334">
        <w:rPr>
          <w:szCs w:val="24"/>
        </w:rPr>
        <w:t>os</w:t>
      </w:r>
      <w:r w:rsidR="000A11FF">
        <w:rPr>
          <w:szCs w:val="24"/>
        </w:rPr>
        <w:t xml:space="preserve"> jau senokai taikomos individų finansiniams sprendimams paaiškinti</w:t>
      </w:r>
      <w:r w:rsidR="00B67269">
        <w:rPr>
          <w:szCs w:val="24"/>
        </w:rPr>
        <w:t xml:space="preserve">, iki šiol </w:t>
      </w:r>
      <w:r w:rsidR="00001049">
        <w:rPr>
          <w:szCs w:val="24"/>
        </w:rPr>
        <w:t xml:space="preserve">žmonių </w:t>
      </w:r>
      <w:r w:rsidR="00B67269">
        <w:rPr>
          <w:szCs w:val="24"/>
        </w:rPr>
        <w:t xml:space="preserve">finansinė </w:t>
      </w:r>
      <w:r w:rsidR="00B66A48">
        <w:rPr>
          <w:szCs w:val="24"/>
        </w:rPr>
        <w:t xml:space="preserve">elgsena </w:t>
      </w:r>
      <w:r w:rsidR="00B67269">
        <w:rPr>
          <w:szCs w:val="24"/>
        </w:rPr>
        <w:t>daugiausia</w:t>
      </w:r>
      <w:r w:rsidR="00E0026E">
        <w:rPr>
          <w:szCs w:val="24"/>
        </w:rPr>
        <w:t>i</w:t>
      </w:r>
      <w:r w:rsidR="00423334">
        <w:rPr>
          <w:szCs w:val="24"/>
        </w:rPr>
        <w:t xml:space="preserve"> </w:t>
      </w:r>
      <w:r w:rsidR="000A11FF">
        <w:rPr>
          <w:szCs w:val="24"/>
        </w:rPr>
        <w:t xml:space="preserve">buvo </w:t>
      </w:r>
      <w:r w:rsidR="00423334">
        <w:rPr>
          <w:szCs w:val="24"/>
        </w:rPr>
        <w:t>nagrinėta investicijų valdymo ir taupymo</w:t>
      </w:r>
      <w:r w:rsidR="00052E40">
        <w:rPr>
          <w:szCs w:val="24"/>
        </w:rPr>
        <w:t xml:space="preserve"> srityse</w:t>
      </w:r>
      <w:r w:rsidR="00423334">
        <w:rPr>
          <w:szCs w:val="24"/>
        </w:rPr>
        <w:t xml:space="preserve">, </w:t>
      </w:r>
      <w:r w:rsidR="0059270D">
        <w:rPr>
          <w:szCs w:val="24"/>
        </w:rPr>
        <w:t xml:space="preserve">visiškai </w:t>
      </w:r>
      <w:r w:rsidR="00001049">
        <w:rPr>
          <w:szCs w:val="24"/>
        </w:rPr>
        <w:t>atsiribojant nuo kitų</w:t>
      </w:r>
      <w:r w:rsidR="00DF797D">
        <w:rPr>
          <w:szCs w:val="24"/>
        </w:rPr>
        <w:t xml:space="preserve"> </w:t>
      </w:r>
      <w:r w:rsidR="00001049">
        <w:rPr>
          <w:szCs w:val="24"/>
        </w:rPr>
        <w:t>asmeninių finansų elementų</w:t>
      </w:r>
      <w:r w:rsidR="00E258DE">
        <w:rPr>
          <w:szCs w:val="24"/>
        </w:rPr>
        <w:t>,</w:t>
      </w:r>
      <w:r w:rsidR="007F0115">
        <w:rPr>
          <w:szCs w:val="24"/>
        </w:rPr>
        <w:t xml:space="preserve"> – d</w:t>
      </w:r>
      <w:r w:rsidR="0071100A">
        <w:rPr>
          <w:szCs w:val="24"/>
        </w:rPr>
        <w:t>ėl to</w:t>
      </w:r>
      <w:r w:rsidR="00B93D41">
        <w:rPr>
          <w:szCs w:val="24"/>
        </w:rPr>
        <w:t xml:space="preserve"> </w:t>
      </w:r>
      <w:r w:rsidR="00C8477A">
        <w:rPr>
          <w:szCs w:val="24"/>
        </w:rPr>
        <w:t xml:space="preserve">mokslininkai nėra </w:t>
      </w:r>
      <w:r w:rsidR="005F7EEE" w:rsidRPr="00A37124">
        <w:rPr>
          <w:szCs w:val="24"/>
        </w:rPr>
        <w:t xml:space="preserve">pateikę </w:t>
      </w:r>
      <w:r w:rsidR="00C8477A">
        <w:rPr>
          <w:szCs w:val="24"/>
        </w:rPr>
        <w:t xml:space="preserve">bendros nuomonės, koks </w:t>
      </w:r>
      <w:r w:rsidR="00527B07">
        <w:rPr>
          <w:szCs w:val="24"/>
        </w:rPr>
        <w:t>veiksnių rinkinys</w:t>
      </w:r>
      <w:r w:rsidR="007F0115">
        <w:rPr>
          <w:szCs w:val="24"/>
        </w:rPr>
        <w:t xml:space="preserve"> turėtų </w:t>
      </w:r>
      <w:r w:rsidR="00862CD8">
        <w:rPr>
          <w:szCs w:val="24"/>
        </w:rPr>
        <w:t>daryti</w:t>
      </w:r>
      <w:r w:rsidR="00253A27">
        <w:rPr>
          <w:szCs w:val="24"/>
        </w:rPr>
        <w:t xml:space="preserve"> </w:t>
      </w:r>
      <w:r w:rsidR="003A29D3">
        <w:rPr>
          <w:szCs w:val="24"/>
        </w:rPr>
        <w:t>didžiausią įtaką indi</w:t>
      </w:r>
      <w:r w:rsidR="00862CD8">
        <w:rPr>
          <w:szCs w:val="24"/>
        </w:rPr>
        <w:t>vidų finansiniams sprendimams</w:t>
      </w:r>
      <w:r w:rsidR="003A29D3">
        <w:rPr>
          <w:szCs w:val="24"/>
        </w:rPr>
        <w:t>.</w:t>
      </w:r>
      <w:r w:rsidR="00146464">
        <w:rPr>
          <w:szCs w:val="24"/>
        </w:rPr>
        <w:t xml:space="preserve"> </w:t>
      </w:r>
      <w:r w:rsidR="00914057">
        <w:rPr>
          <w:szCs w:val="24"/>
        </w:rPr>
        <w:t xml:space="preserve">Be to, </w:t>
      </w:r>
      <w:r w:rsidR="00146464">
        <w:rPr>
          <w:szCs w:val="24"/>
        </w:rPr>
        <w:t xml:space="preserve">nepakankamai </w:t>
      </w:r>
      <w:r w:rsidR="006904DE">
        <w:rPr>
          <w:szCs w:val="24"/>
        </w:rPr>
        <w:t>ištirta ir</w:t>
      </w:r>
      <w:r w:rsidR="00EF315E">
        <w:rPr>
          <w:szCs w:val="24"/>
        </w:rPr>
        <w:t>,</w:t>
      </w:r>
      <w:r w:rsidR="006904DE">
        <w:rPr>
          <w:szCs w:val="24"/>
        </w:rPr>
        <w:t xml:space="preserve"> kaip kiekvien</w:t>
      </w:r>
      <w:r w:rsidR="001637E5">
        <w:rPr>
          <w:szCs w:val="24"/>
        </w:rPr>
        <w:t>o</w:t>
      </w:r>
      <w:r w:rsidR="006904DE">
        <w:rPr>
          <w:szCs w:val="24"/>
        </w:rPr>
        <w:t xml:space="preserve"> iš </w:t>
      </w:r>
      <w:r w:rsidR="001637E5">
        <w:rPr>
          <w:szCs w:val="24"/>
        </w:rPr>
        <w:t xml:space="preserve">tų </w:t>
      </w:r>
      <w:r w:rsidR="006904DE">
        <w:rPr>
          <w:szCs w:val="24"/>
        </w:rPr>
        <w:t xml:space="preserve">veiksnių </w:t>
      </w:r>
      <w:r w:rsidR="001637E5">
        <w:rPr>
          <w:szCs w:val="24"/>
        </w:rPr>
        <w:t xml:space="preserve">pasireiškimas </w:t>
      </w:r>
      <w:r w:rsidR="006904DE">
        <w:rPr>
          <w:szCs w:val="24"/>
        </w:rPr>
        <w:t xml:space="preserve">paveikia finansus </w:t>
      </w:r>
      <w:r w:rsidR="006904DE" w:rsidRPr="00EF315E">
        <w:rPr>
          <w:i/>
          <w:szCs w:val="24"/>
        </w:rPr>
        <w:t>plačiąja</w:t>
      </w:r>
      <w:r w:rsidR="006904DE">
        <w:rPr>
          <w:szCs w:val="24"/>
        </w:rPr>
        <w:t xml:space="preserve"> prasme</w:t>
      </w:r>
      <w:r w:rsidR="001637E5">
        <w:rPr>
          <w:szCs w:val="24"/>
        </w:rPr>
        <w:t xml:space="preserve">, t. y. ne tik </w:t>
      </w:r>
      <w:r w:rsidR="0097631E">
        <w:rPr>
          <w:szCs w:val="24"/>
        </w:rPr>
        <w:t>individo, kuris priima sprendimą,</w:t>
      </w:r>
      <w:r w:rsidR="001637E5">
        <w:rPr>
          <w:szCs w:val="24"/>
        </w:rPr>
        <w:t xml:space="preserve"> </w:t>
      </w:r>
      <w:r w:rsidR="001F6D65">
        <w:rPr>
          <w:szCs w:val="24"/>
        </w:rPr>
        <w:t>finansus</w:t>
      </w:r>
      <w:r w:rsidR="00AB2839">
        <w:rPr>
          <w:szCs w:val="24"/>
        </w:rPr>
        <w:t>, bet</w:t>
      </w:r>
      <w:r w:rsidR="001F6D65">
        <w:rPr>
          <w:szCs w:val="24"/>
        </w:rPr>
        <w:t xml:space="preserve"> ir visos valstybės finansus</w:t>
      </w:r>
      <w:r w:rsidR="005836F2">
        <w:rPr>
          <w:szCs w:val="24"/>
        </w:rPr>
        <w:t xml:space="preserve">, kurių tikslas yra </w:t>
      </w:r>
      <w:r w:rsidR="00A943C0">
        <w:rPr>
          <w:szCs w:val="24"/>
        </w:rPr>
        <w:t xml:space="preserve">užtikrinti </w:t>
      </w:r>
      <w:r w:rsidR="005836F2">
        <w:rPr>
          <w:szCs w:val="24"/>
        </w:rPr>
        <w:t xml:space="preserve">visuomenės </w:t>
      </w:r>
      <w:r w:rsidR="00A943C0">
        <w:rPr>
          <w:szCs w:val="24"/>
        </w:rPr>
        <w:t>gerovę.</w:t>
      </w:r>
    </w:p>
    <w:p w:rsidR="007D12E6" w:rsidRDefault="00C4754B" w:rsidP="007D12E6">
      <w:pPr>
        <w:rPr>
          <w:szCs w:val="24"/>
        </w:rPr>
      </w:pPr>
      <w:r>
        <w:rPr>
          <w:szCs w:val="24"/>
        </w:rPr>
        <w:t>Akivaizdu, jog gyventoj</w:t>
      </w:r>
      <w:r w:rsidR="00C24DBD">
        <w:rPr>
          <w:szCs w:val="24"/>
        </w:rPr>
        <w:t>ai</w:t>
      </w:r>
      <w:r>
        <w:rPr>
          <w:szCs w:val="24"/>
        </w:rPr>
        <w:t xml:space="preserve">, </w:t>
      </w:r>
      <w:r w:rsidR="002B55CA">
        <w:rPr>
          <w:szCs w:val="24"/>
        </w:rPr>
        <w:t>darydam</w:t>
      </w:r>
      <w:r w:rsidR="00C24DBD">
        <w:rPr>
          <w:szCs w:val="24"/>
        </w:rPr>
        <w:t>i</w:t>
      </w:r>
      <w:r w:rsidR="002B55CA">
        <w:rPr>
          <w:szCs w:val="24"/>
        </w:rPr>
        <w:t xml:space="preserve"> įtaką </w:t>
      </w:r>
      <w:r w:rsidR="008409FB" w:rsidRPr="00FD6AD6">
        <w:rPr>
          <w:szCs w:val="24"/>
        </w:rPr>
        <w:t xml:space="preserve">valstybės finansams, lemia, koks bus atsakas į </w:t>
      </w:r>
      <w:r w:rsidR="00ED3D3E">
        <w:rPr>
          <w:szCs w:val="24"/>
        </w:rPr>
        <w:t>jų priimt</w:t>
      </w:r>
      <w:r w:rsidR="008409FB" w:rsidRPr="00FD6AD6">
        <w:rPr>
          <w:szCs w:val="24"/>
        </w:rPr>
        <w:t>us sprendimus</w:t>
      </w:r>
      <w:r w:rsidR="00B34B07">
        <w:rPr>
          <w:szCs w:val="24"/>
        </w:rPr>
        <w:t>, todėl</w:t>
      </w:r>
      <w:r w:rsidR="005967EF">
        <w:rPr>
          <w:szCs w:val="24"/>
        </w:rPr>
        <w:t xml:space="preserve"> netinkama</w:t>
      </w:r>
      <w:r w:rsidR="00C03AFE">
        <w:rPr>
          <w:szCs w:val="24"/>
        </w:rPr>
        <w:t xml:space="preserve"> socialinių išmokų gavėjų</w:t>
      </w:r>
      <w:r w:rsidR="005967EF">
        <w:rPr>
          <w:szCs w:val="24"/>
        </w:rPr>
        <w:t xml:space="preserve"> elgsena</w:t>
      </w:r>
      <w:r w:rsidR="00E258DE">
        <w:rPr>
          <w:szCs w:val="24"/>
        </w:rPr>
        <w:t xml:space="preserve"> padeda </w:t>
      </w:r>
      <w:r w:rsidR="00777917">
        <w:rPr>
          <w:szCs w:val="24"/>
        </w:rPr>
        <w:t xml:space="preserve">atsirasti </w:t>
      </w:r>
      <w:r w:rsidR="00E258DE">
        <w:rPr>
          <w:szCs w:val="24"/>
        </w:rPr>
        <w:t xml:space="preserve">kitoms problemoms, kurių </w:t>
      </w:r>
      <w:r w:rsidR="00C24DBD">
        <w:rPr>
          <w:szCs w:val="24"/>
        </w:rPr>
        <w:t xml:space="preserve">poveikį </w:t>
      </w:r>
      <w:r w:rsidR="00777917">
        <w:rPr>
          <w:szCs w:val="24"/>
        </w:rPr>
        <w:t>tiesiogiai ar</w:t>
      </w:r>
      <w:r w:rsidR="0011476E">
        <w:rPr>
          <w:szCs w:val="24"/>
        </w:rPr>
        <w:t>ba</w:t>
      </w:r>
      <w:r w:rsidR="00777917">
        <w:rPr>
          <w:szCs w:val="24"/>
        </w:rPr>
        <w:t xml:space="preserve"> netiesiogiai </w:t>
      </w:r>
      <w:r w:rsidR="00C24DBD">
        <w:rPr>
          <w:szCs w:val="24"/>
        </w:rPr>
        <w:t>paj</w:t>
      </w:r>
      <w:r w:rsidR="006A67FF">
        <w:rPr>
          <w:szCs w:val="24"/>
        </w:rPr>
        <w:t>aučia</w:t>
      </w:r>
      <w:r w:rsidR="00777917">
        <w:rPr>
          <w:szCs w:val="24"/>
        </w:rPr>
        <w:t xml:space="preserve"> kiekvienas</w:t>
      </w:r>
      <w:r w:rsidR="006A67FF">
        <w:rPr>
          <w:szCs w:val="24"/>
        </w:rPr>
        <w:t xml:space="preserve">, – </w:t>
      </w:r>
      <w:r w:rsidR="006A67FF" w:rsidRPr="0011476E">
        <w:rPr>
          <w:i/>
          <w:szCs w:val="24"/>
        </w:rPr>
        <w:t>o tai reiškia ir besielgiantis sąžiningai</w:t>
      </w:r>
      <w:r w:rsidR="0011476E">
        <w:rPr>
          <w:szCs w:val="24"/>
        </w:rPr>
        <w:t xml:space="preserve">, – </w:t>
      </w:r>
      <w:r w:rsidR="00777917">
        <w:rPr>
          <w:szCs w:val="24"/>
        </w:rPr>
        <w:t>pilietis</w:t>
      </w:r>
      <w:r w:rsidR="00802503">
        <w:rPr>
          <w:szCs w:val="24"/>
        </w:rPr>
        <w:t>.</w:t>
      </w:r>
      <w:r w:rsidR="0011476E">
        <w:rPr>
          <w:szCs w:val="24"/>
        </w:rPr>
        <w:t xml:space="preserve"> </w:t>
      </w:r>
      <w:r w:rsidR="005E198A" w:rsidRPr="009F0BAF">
        <w:rPr>
          <w:szCs w:val="24"/>
        </w:rPr>
        <w:t xml:space="preserve">Suvokiant, jog </w:t>
      </w:r>
      <w:r w:rsidR="00D8524A" w:rsidRPr="009F0BAF">
        <w:rPr>
          <w:szCs w:val="24"/>
        </w:rPr>
        <w:t xml:space="preserve">tokia </w:t>
      </w:r>
      <w:r w:rsidR="00A86C03" w:rsidRPr="009F0BAF">
        <w:rPr>
          <w:szCs w:val="24"/>
        </w:rPr>
        <w:t xml:space="preserve">gyventojų </w:t>
      </w:r>
      <w:r w:rsidR="00D8524A" w:rsidRPr="009F0BAF">
        <w:rPr>
          <w:szCs w:val="24"/>
        </w:rPr>
        <w:t>elgsena netur</w:t>
      </w:r>
      <w:r w:rsidR="000B0EE0" w:rsidRPr="009F0BAF">
        <w:rPr>
          <w:szCs w:val="24"/>
        </w:rPr>
        <w:t>ėtų</w:t>
      </w:r>
      <w:r w:rsidR="00D8524A" w:rsidRPr="009F0BAF">
        <w:rPr>
          <w:szCs w:val="24"/>
        </w:rPr>
        <w:t xml:space="preserve"> būti toleruo</w:t>
      </w:r>
      <w:r w:rsidR="00A86C03" w:rsidRPr="009F0BAF">
        <w:rPr>
          <w:szCs w:val="24"/>
        </w:rPr>
        <w:t>jam</w:t>
      </w:r>
      <w:r w:rsidR="000B0EE0" w:rsidRPr="009F0BAF">
        <w:rPr>
          <w:szCs w:val="24"/>
        </w:rPr>
        <w:t>a</w:t>
      </w:r>
      <w:r w:rsidR="008D0651" w:rsidRPr="009F0BAF">
        <w:rPr>
          <w:szCs w:val="24"/>
        </w:rPr>
        <w:t xml:space="preserve">, </w:t>
      </w:r>
      <w:r w:rsidR="00AC685B" w:rsidRPr="009F0BAF">
        <w:rPr>
          <w:szCs w:val="24"/>
        </w:rPr>
        <w:t xml:space="preserve">atsiranda </w:t>
      </w:r>
      <w:r w:rsidR="00702C7B" w:rsidRPr="009F0BAF">
        <w:rPr>
          <w:szCs w:val="24"/>
        </w:rPr>
        <w:t xml:space="preserve">poreikis atlikti </w:t>
      </w:r>
      <w:r w:rsidR="00071A81" w:rsidRPr="009F0BAF">
        <w:rPr>
          <w:szCs w:val="24"/>
        </w:rPr>
        <w:t xml:space="preserve">išsamesnę </w:t>
      </w:r>
      <w:r w:rsidR="00702C7B" w:rsidRPr="009F0BAF">
        <w:rPr>
          <w:szCs w:val="24"/>
        </w:rPr>
        <w:t>šio reiškinio analizę</w:t>
      </w:r>
      <w:r w:rsidR="00071A81" w:rsidRPr="009F0BAF">
        <w:rPr>
          <w:szCs w:val="24"/>
        </w:rPr>
        <w:t xml:space="preserve">, </w:t>
      </w:r>
      <w:r w:rsidR="001706A9" w:rsidRPr="009F0BAF">
        <w:rPr>
          <w:szCs w:val="24"/>
        </w:rPr>
        <w:t xml:space="preserve">pagrįstą ne tik faktų konstatavimu, bet ir priežastinių </w:t>
      </w:r>
      <w:r w:rsidR="00D42ECF" w:rsidRPr="009F0BAF">
        <w:rPr>
          <w:szCs w:val="24"/>
        </w:rPr>
        <w:t>sąsaj</w:t>
      </w:r>
      <w:r w:rsidR="001706A9" w:rsidRPr="009F0BAF">
        <w:rPr>
          <w:szCs w:val="24"/>
        </w:rPr>
        <w:t>ų atskleidimu</w:t>
      </w:r>
      <w:r w:rsidR="00821252" w:rsidRPr="009F0BAF">
        <w:rPr>
          <w:szCs w:val="24"/>
        </w:rPr>
        <w:t>.</w:t>
      </w:r>
      <w:r w:rsidR="002068EF" w:rsidRPr="009F0BAF">
        <w:rPr>
          <w:szCs w:val="24"/>
        </w:rPr>
        <w:t xml:space="preserve"> </w:t>
      </w:r>
      <w:r w:rsidR="00821252" w:rsidRPr="009F0BAF">
        <w:rPr>
          <w:szCs w:val="24"/>
        </w:rPr>
        <w:t>Taigi</w:t>
      </w:r>
      <w:r w:rsidR="002068EF" w:rsidRPr="009F0BAF">
        <w:rPr>
          <w:szCs w:val="24"/>
        </w:rPr>
        <w:t xml:space="preserve"> </w:t>
      </w:r>
      <w:r w:rsidR="0042638D" w:rsidRPr="009F0BAF">
        <w:rPr>
          <w:b/>
          <w:i/>
          <w:szCs w:val="24"/>
        </w:rPr>
        <w:t>tyrimo problemą</w:t>
      </w:r>
      <w:r w:rsidR="00FF24F1">
        <w:rPr>
          <w:szCs w:val="24"/>
        </w:rPr>
        <w:t xml:space="preserve"> galima formuluoti klausim</w:t>
      </w:r>
      <w:r w:rsidR="00BD372E">
        <w:rPr>
          <w:szCs w:val="24"/>
        </w:rPr>
        <w:t>u</w:t>
      </w:r>
      <w:r w:rsidR="0042638D" w:rsidRPr="00CD3828">
        <w:rPr>
          <w:szCs w:val="24"/>
        </w:rPr>
        <w:t xml:space="preserve">: </w:t>
      </w:r>
      <w:r w:rsidR="007D12E6" w:rsidRPr="00CD3828">
        <w:rPr>
          <w:i/>
          <w:szCs w:val="24"/>
        </w:rPr>
        <w:t xml:space="preserve">kaip pagerinti </w:t>
      </w:r>
      <w:r w:rsidR="00BD372E">
        <w:rPr>
          <w:i/>
          <w:szCs w:val="24"/>
        </w:rPr>
        <w:t xml:space="preserve">socialinių išmokų gavėjų </w:t>
      </w:r>
      <w:r w:rsidR="007D12E6" w:rsidRPr="00CD3828">
        <w:rPr>
          <w:i/>
          <w:szCs w:val="24"/>
        </w:rPr>
        <w:t>elgseną</w:t>
      </w:r>
      <w:r w:rsidR="00BD372E">
        <w:rPr>
          <w:i/>
          <w:szCs w:val="24"/>
        </w:rPr>
        <w:t>,</w:t>
      </w:r>
      <w:r w:rsidR="00FF24F1" w:rsidRPr="00CD3828">
        <w:rPr>
          <w:i/>
          <w:szCs w:val="24"/>
        </w:rPr>
        <w:t xml:space="preserve"> </w:t>
      </w:r>
      <w:r w:rsidR="00B94284" w:rsidRPr="00CD3828">
        <w:rPr>
          <w:i/>
          <w:szCs w:val="24"/>
        </w:rPr>
        <w:t>priklausomą nuo</w:t>
      </w:r>
      <w:r w:rsidR="007D12E6" w:rsidRPr="00CD3828">
        <w:rPr>
          <w:i/>
          <w:szCs w:val="24"/>
        </w:rPr>
        <w:t xml:space="preserve"> </w:t>
      </w:r>
      <w:r w:rsidR="00944A71" w:rsidRPr="00CD3828">
        <w:rPr>
          <w:i/>
          <w:szCs w:val="24"/>
        </w:rPr>
        <w:t>socialinės apsaugos</w:t>
      </w:r>
      <w:r w:rsidR="00B94284" w:rsidRPr="00CD3828">
        <w:rPr>
          <w:i/>
          <w:szCs w:val="24"/>
        </w:rPr>
        <w:t xml:space="preserve"> lėšų</w:t>
      </w:r>
      <w:r w:rsidR="007D12E6" w:rsidRPr="00CD3828">
        <w:rPr>
          <w:i/>
          <w:szCs w:val="24"/>
        </w:rPr>
        <w:t>,</w:t>
      </w:r>
      <w:r w:rsidR="00FF24F1" w:rsidRPr="00CD3828">
        <w:rPr>
          <w:i/>
          <w:szCs w:val="24"/>
        </w:rPr>
        <w:t xml:space="preserve"> </w:t>
      </w:r>
      <w:r w:rsidR="00935B17" w:rsidRPr="00CD3828">
        <w:rPr>
          <w:i/>
          <w:szCs w:val="24"/>
        </w:rPr>
        <w:t>kad teigiamą poveikį paj</w:t>
      </w:r>
      <w:r w:rsidR="001412D9" w:rsidRPr="00CD3828">
        <w:rPr>
          <w:i/>
          <w:szCs w:val="24"/>
        </w:rPr>
        <w:t>a</w:t>
      </w:r>
      <w:r w:rsidR="000C2B95" w:rsidRPr="00CD3828">
        <w:rPr>
          <w:i/>
          <w:szCs w:val="24"/>
        </w:rPr>
        <w:t>ustų</w:t>
      </w:r>
      <w:r w:rsidR="00E21EC3" w:rsidRPr="00CD3828">
        <w:rPr>
          <w:i/>
          <w:szCs w:val="24"/>
        </w:rPr>
        <w:t xml:space="preserve"> ne tik</w:t>
      </w:r>
      <w:r w:rsidR="00BD372E">
        <w:rPr>
          <w:i/>
          <w:szCs w:val="24"/>
        </w:rPr>
        <w:t xml:space="preserve"> patys </w:t>
      </w:r>
      <w:r w:rsidR="005E7705">
        <w:rPr>
          <w:i/>
          <w:szCs w:val="24"/>
        </w:rPr>
        <w:t xml:space="preserve">išmokų </w:t>
      </w:r>
      <w:r w:rsidR="00BD372E">
        <w:rPr>
          <w:i/>
          <w:szCs w:val="24"/>
        </w:rPr>
        <w:t>gavėjai</w:t>
      </w:r>
      <w:r w:rsidR="00E21EC3" w:rsidRPr="00CD3828">
        <w:rPr>
          <w:i/>
          <w:szCs w:val="24"/>
        </w:rPr>
        <w:t>, bet</w:t>
      </w:r>
      <w:r w:rsidR="00D270BF" w:rsidRPr="00CD3828">
        <w:rPr>
          <w:i/>
          <w:szCs w:val="24"/>
        </w:rPr>
        <w:t xml:space="preserve"> ir visuomenė</w:t>
      </w:r>
      <w:r w:rsidR="00B90803" w:rsidRPr="00CD3828">
        <w:rPr>
          <w:szCs w:val="24"/>
        </w:rPr>
        <w:t>?</w:t>
      </w:r>
    </w:p>
    <w:p w:rsidR="00247CA6" w:rsidRDefault="00247CA6" w:rsidP="007D12E6">
      <w:pPr>
        <w:rPr>
          <w:szCs w:val="24"/>
        </w:rPr>
      </w:pPr>
      <w:r>
        <w:rPr>
          <w:szCs w:val="24"/>
        </w:rPr>
        <w:t>Siekiant</w:t>
      </w:r>
      <w:r w:rsidR="00403661">
        <w:rPr>
          <w:szCs w:val="24"/>
        </w:rPr>
        <w:t xml:space="preserve"> </w:t>
      </w:r>
      <w:r w:rsidR="00BF5902">
        <w:rPr>
          <w:szCs w:val="24"/>
        </w:rPr>
        <w:t xml:space="preserve">pateikti </w:t>
      </w:r>
      <w:r w:rsidR="00403661">
        <w:rPr>
          <w:szCs w:val="24"/>
        </w:rPr>
        <w:t>atsakymą į šį klausimą</w:t>
      </w:r>
      <w:r>
        <w:rPr>
          <w:szCs w:val="24"/>
        </w:rPr>
        <w:t>, d</w:t>
      </w:r>
      <w:r w:rsidR="00713D6A">
        <w:rPr>
          <w:szCs w:val="24"/>
        </w:rPr>
        <w:t>arbo eigoje bus vertinama Lietuvos</w:t>
      </w:r>
      <w:r w:rsidR="00403661">
        <w:rPr>
          <w:szCs w:val="24"/>
        </w:rPr>
        <w:t xml:space="preserve"> gyventojų</w:t>
      </w:r>
      <w:r w:rsidR="00A50E96">
        <w:rPr>
          <w:szCs w:val="24"/>
        </w:rPr>
        <w:t>, gaunančių nedarbo draudimo</w:t>
      </w:r>
      <w:r w:rsidR="007D6656">
        <w:rPr>
          <w:szCs w:val="24"/>
        </w:rPr>
        <w:t xml:space="preserve"> išmokas ir / ar socialinę paramą</w:t>
      </w:r>
      <w:r w:rsidR="004273C8">
        <w:rPr>
          <w:szCs w:val="24"/>
        </w:rPr>
        <w:t>,</w:t>
      </w:r>
      <w:r w:rsidR="007D6656">
        <w:rPr>
          <w:szCs w:val="24"/>
        </w:rPr>
        <w:t xml:space="preserve"> finansinė elgsena</w:t>
      </w:r>
      <w:r w:rsidR="00BF5902">
        <w:rPr>
          <w:szCs w:val="24"/>
        </w:rPr>
        <w:t xml:space="preserve">, kuriai </w:t>
      </w:r>
      <w:r w:rsidR="004273C8">
        <w:rPr>
          <w:szCs w:val="24"/>
        </w:rPr>
        <w:t xml:space="preserve">suprasti bus sukurtas </w:t>
      </w:r>
      <w:r w:rsidR="004273C8" w:rsidRPr="002D6551">
        <w:rPr>
          <w:b/>
          <w:i/>
          <w:szCs w:val="24"/>
        </w:rPr>
        <w:t>teorinis</w:t>
      </w:r>
      <w:r w:rsidR="00E458D4">
        <w:rPr>
          <w:b/>
          <w:i/>
          <w:szCs w:val="24"/>
        </w:rPr>
        <w:t xml:space="preserve"> gyventojų finansinės elgsenos </w:t>
      </w:r>
      <w:r w:rsidR="004273C8" w:rsidRPr="002D6551">
        <w:rPr>
          <w:b/>
          <w:i/>
          <w:szCs w:val="24"/>
        </w:rPr>
        <w:t>vertinimo modelis</w:t>
      </w:r>
      <w:r w:rsidR="004273C8">
        <w:rPr>
          <w:szCs w:val="24"/>
        </w:rPr>
        <w:t>, pagrįstas įvairių veiksnių įtaka</w:t>
      </w:r>
      <w:r w:rsidR="00C10D3F">
        <w:rPr>
          <w:szCs w:val="24"/>
        </w:rPr>
        <w:t xml:space="preserve"> </w:t>
      </w:r>
      <w:r w:rsidR="00554CD4">
        <w:rPr>
          <w:szCs w:val="24"/>
        </w:rPr>
        <w:t xml:space="preserve">individų </w:t>
      </w:r>
      <w:r w:rsidR="00C10D3F">
        <w:rPr>
          <w:szCs w:val="24"/>
        </w:rPr>
        <w:t>sprendim</w:t>
      </w:r>
      <w:r w:rsidR="00554CD4">
        <w:rPr>
          <w:szCs w:val="24"/>
        </w:rPr>
        <w:t>ams</w:t>
      </w:r>
      <w:r w:rsidR="00C10D3F">
        <w:rPr>
          <w:szCs w:val="24"/>
        </w:rPr>
        <w:t xml:space="preserve"> pajamas </w:t>
      </w:r>
      <w:r w:rsidR="00554CD4">
        <w:rPr>
          <w:szCs w:val="24"/>
        </w:rPr>
        <w:t>formuoti iš socialinės apsaugos lėšų.</w:t>
      </w:r>
      <w:r w:rsidR="001E1A91">
        <w:rPr>
          <w:szCs w:val="24"/>
        </w:rPr>
        <w:t xml:space="preserve"> Gauti rezultatai </w:t>
      </w:r>
      <w:r w:rsidR="00D77B05">
        <w:rPr>
          <w:szCs w:val="24"/>
        </w:rPr>
        <w:t>leis</w:t>
      </w:r>
      <w:r w:rsidR="002D6551">
        <w:rPr>
          <w:szCs w:val="24"/>
        </w:rPr>
        <w:t xml:space="preserve"> atskleisti gyventojų finansinės elgsenos pobūdį</w:t>
      </w:r>
      <w:r w:rsidR="001E1A91">
        <w:rPr>
          <w:szCs w:val="24"/>
        </w:rPr>
        <w:t xml:space="preserve"> ir kartu </w:t>
      </w:r>
      <w:r w:rsidR="00C80509">
        <w:rPr>
          <w:szCs w:val="24"/>
        </w:rPr>
        <w:t xml:space="preserve">padės </w:t>
      </w:r>
      <w:r w:rsidR="001E1A91">
        <w:rPr>
          <w:szCs w:val="24"/>
        </w:rPr>
        <w:t xml:space="preserve">identifikuoti </w:t>
      </w:r>
      <w:r w:rsidR="00C80509">
        <w:rPr>
          <w:szCs w:val="24"/>
        </w:rPr>
        <w:t>probleminius taškus, kuri</w:t>
      </w:r>
      <w:r w:rsidR="00C41A4D">
        <w:rPr>
          <w:szCs w:val="24"/>
        </w:rPr>
        <w:t>ems bus pateikti galim</w:t>
      </w:r>
      <w:r w:rsidR="00E507A0">
        <w:rPr>
          <w:szCs w:val="24"/>
        </w:rPr>
        <w:t>i</w:t>
      </w:r>
      <w:r w:rsidR="00C41A4D">
        <w:rPr>
          <w:szCs w:val="24"/>
        </w:rPr>
        <w:t xml:space="preserve"> sprendi</w:t>
      </w:r>
      <w:r w:rsidR="00E507A0">
        <w:rPr>
          <w:szCs w:val="24"/>
        </w:rPr>
        <w:t>mų variantai</w:t>
      </w:r>
      <w:r w:rsidR="00C80509">
        <w:rPr>
          <w:szCs w:val="24"/>
        </w:rPr>
        <w:t>.</w:t>
      </w:r>
    </w:p>
    <w:p w:rsidR="00E507A0" w:rsidRDefault="00F61DD4" w:rsidP="007D12E6">
      <w:pPr>
        <w:rPr>
          <w:szCs w:val="24"/>
        </w:rPr>
      </w:pPr>
      <w:r>
        <w:rPr>
          <w:szCs w:val="24"/>
        </w:rPr>
        <w:t>Taigi, a</w:t>
      </w:r>
      <w:r w:rsidR="00E507A0">
        <w:rPr>
          <w:szCs w:val="24"/>
        </w:rPr>
        <w:t xml:space="preserve">tliekant tyrimą, bus tikrinamos šios </w:t>
      </w:r>
      <w:r w:rsidR="00E507A0" w:rsidRPr="00BC6C09">
        <w:rPr>
          <w:b/>
          <w:i/>
          <w:szCs w:val="24"/>
        </w:rPr>
        <w:t>hipotezės</w:t>
      </w:r>
      <w:r w:rsidR="00E507A0">
        <w:rPr>
          <w:szCs w:val="24"/>
        </w:rPr>
        <w:t>:</w:t>
      </w:r>
    </w:p>
    <w:p w:rsidR="00BC6C09" w:rsidRPr="00BC6C09" w:rsidRDefault="00BC6C09" w:rsidP="00BC6C09">
      <w:pPr>
        <w:rPr>
          <w:szCs w:val="24"/>
        </w:rPr>
      </w:pPr>
      <w:r w:rsidRPr="00BC6C09">
        <w:rPr>
          <w:b/>
          <w:i/>
          <w:szCs w:val="24"/>
        </w:rPr>
        <w:t>H</w:t>
      </w:r>
      <w:r w:rsidRPr="00BC6C09">
        <w:rPr>
          <w:b/>
          <w:i/>
          <w:szCs w:val="24"/>
          <w:vertAlign w:val="subscript"/>
        </w:rPr>
        <w:t>1</w:t>
      </w:r>
      <w:r>
        <w:rPr>
          <w:szCs w:val="24"/>
        </w:rPr>
        <w:t>:</w:t>
      </w:r>
      <w:r w:rsidR="005C36CB">
        <w:rPr>
          <w:szCs w:val="24"/>
        </w:rPr>
        <w:t> </w:t>
      </w:r>
      <w:r w:rsidR="00B66DF4" w:rsidRPr="003F0839">
        <w:rPr>
          <w:szCs w:val="24"/>
        </w:rPr>
        <w:t>didžioji da</w:t>
      </w:r>
      <w:r w:rsidR="00E142C2" w:rsidRPr="003F0839">
        <w:rPr>
          <w:szCs w:val="24"/>
        </w:rPr>
        <w:t>uguma</w:t>
      </w:r>
      <w:r w:rsidR="00B66DF4" w:rsidRPr="003F0839">
        <w:rPr>
          <w:szCs w:val="24"/>
        </w:rPr>
        <w:t xml:space="preserve"> </w:t>
      </w:r>
      <w:r w:rsidR="00B66DF4" w:rsidRPr="003F0839">
        <w:t xml:space="preserve">bedarbių </w:t>
      </w:r>
      <w:r w:rsidR="00F51F6E">
        <w:t>ir</w:t>
      </w:r>
      <w:r w:rsidRPr="003F0839">
        <w:t xml:space="preserve"> socialinės paramos gavėjų</w:t>
      </w:r>
      <w:r w:rsidR="00FA0EDB" w:rsidRPr="003F0839">
        <w:t xml:space="preserve"> </w:t>
      </w:r>
      <w:r w:rsidRPr="003F0839">
        <w:t>pajamas</w:t>
      </w:r>
      <w:r w:rsidR="00FA0EDB" w:rsidRPr="003F0839">
        <w:t xml:space="preserve"> </w:t>
      </w:r>
      <w:r w:rsidR="00F51F6E">
        <w:t xml:space="preserve">– </w:t>
      </w:r>
      <w:r w:rsidR="00FA0EDB" w:rsidRPr="006F7B97">
        <w:rPr>
          <w:i/>
        </w:rPr>
        <w:t>iš socialinės apsaugos lėšų</w:t>
      </w:r>
      <w:r w:rsidR="00F51F6E">
        <w:t xml:space="preserve"> –</w:t>
      </w:r>
      <w:r w:rsidRPr="003F0839">
        <w:t xml:space="preserve"> formuoja </w:t>
      </w:r>
      <w:r w:rsidR="00E142C2" w:rsidRPr="003F0839">
        <w:t xml:space="preserve">arba </w:t>
      </w:r>
      <w:r w:rsidRPr="003F0839">
        <w:t>nepagrįstai</w:t>
      </w:r>
      <w:r w:rsidR="00E142C2" w:rsidRPr="003F0839">
        <w:t>,</w:t>
      </w:r>
      <w:r w:rsidRPr="003F0839">
        <w:t xml:space="preserve"> </w:t>
      </w:r>
      <w:r w:rsidR="00086339" w:rsidRPr="003F0839">
        <w:t>arba</w:t>
      </w:r>
      <w:r w:rsidRPr="003F0839">
        <w:t xml:space="preserve"> neteisėtai</w:t>
      </w:r>
      <w:r w:rsidR="00E15CA2" w:rsidRPr="003F0839">
        <w:t>, t</w:t>
      </w:r>
      <w:r w:rsidR="007E480D">
        <w:t>o</w:t>
      </w:r>
      <w:r w:rsidR="00EA5AF1" w:rsidRPr="003F0839">
        <w:t>d</w:t>
      </w:r>
      <w:r w:rsidR="007E480D">
        <w:t>ėl</w:t>
      </w:r>
      <w:r w:rsidRPr="003F0839">
        <w:t xml:space="preserve"> </w:t>
      </w:r>
      <w:r w:rsidR="00E15CA2" w:rsidRPr="003F0839">
        <w:t xml:space="preserve">jų </w:t>
      </w:r>
      <w:r w:rsidRPr="003F0839">
        <w:t>finansinė elgsena</w:t>
      </w:r>
      <w:r w:rsidR="00942D02" w:rsidRPr="003F0839">
        <w:t xml:space="preserve"> </w:t>
      </w:r>
      <w:r w:rsidRPr="003F0839">
        <w:t xml:space="preserve">yra </w:t>
      </w:r>
      <w:r w:rsidR="00EA5AF1" w:rsidRPr="003F0839">
        <w:t xml:space="preserve">veikiau </w:t>
      </w:r>
      <w:r w:rsidR="00A07A3D" w:rsidRPr="003F0839">
        <w:t>neracionali</w:t>
      </w:r>
      <w:r w:rsidR="008D6479">
        <w:t xml:space="preserve"> nei</w:t>
      </w:r>
      <w:r w:rsidR="00EA5AF1" w:rsidRPr="003F0839">
        <w:t xml:space="preserve"> racionali</w:t>
      </w:r>
      <w:r w:rsidR="00A07A3D" w:rsidRPr="003F0839">
        <w:t>.</w:t>
      </w:r>
    </w:p>
    <w:p w:rsidR="00E15CA2" w:rsidRPr="00E15CA2" w:rsidRDefault="001D6987" w:rsidP="00E15CA2">
      <w:pPr>
        <w:rPr>
          <w:szCs w:val="24"/>
        </w:rPr>
      </w:pPr>
      <w:r w:rsidRPr="005C36CB">
        <w:rPr>
          <w:b/>
          <w:i/>
          <w:szCs w:val="24"/>
        </w:rPr>
        <w:t>H</w:t>
      </w:r>
      <w:r w:rsidRPr="005C36CB">
        <w:rPr>
          <w:b/>
          <w:i/>
          <w:szCs w:val="24"/>
          <w:vertAlign w:val="subscript"/>
        </w:rPr>
        <w:t>2</w:t>
      </w:r>
      <w:r>
        <w:rPr>
          <w:szCs w:val="24"/>
        </w:rPr>
        <w:t>:</w:t>
      </w:r>
      <w:r w:rsidR="005C36CB">
        <w:rPr>
          <w:szCs w:val="24"/>
        </w:rPr>
        <w:t xml:space="preserve"> </w:t>
      </w:r>
      <w:r w:rsidR="007E480D">
        <w:rPr>
          <w:szCs w:val="24"/>
        </w:rPr>
        <w:t xml:space="preserve">prie </w:t>
      </w:r>
      <w:r w:rsidR="006F06ED" w:rsidRPr="003F0839">
        <w:t>neracionali</w:t>
      </w:r>
      <w:r w:rsidR="00A07A3D" w:rsidRPr="003F0839">
        <w:t>os</w:t>
      </w:r>
      <w:r w:rsidR="00E15CA2" w:rsidRPr="003F0839">
        <w:t xml:space="preserve"> finan</w:t>
      </w:r>
      <w:r w:rsidR="006F06ED" w:rsidRPr="003F0839">
        <w:t>sin</w:t>
      </w:r>
      <w:r w:rsidR="00A07A3D" w:rsidRPr="003F0839">
        <w:t>ės</w:t>
      </w:r>
      <w:r w:rsidR="006037C5">
        <w:t xml:space="preserve"> elgsenos socialinės apsaugos srityje</w:t>
      </w:r>
      <w:r w:rsidR="00E15CA2" w:rsidRPr="003F0839">
        <w:t xml:space="preserve"> </w:t>
      </w:r>
      <w:r w:rsidR="00A07A3D" w:rsidRPr="003F0839">
        <w:t>atsiradim</w:t>
      </w:r>
      <w:r w:rsidR="00B26D51">
        <w:t>o labiausiai</w:t>
      </w:r>
      <w:r w:rsidR="00A07A3D" w:rsidRPr="003F0839">
        <w:t xml:space="preserve"> </w:t>
      </w:r>
      <w:r w:rsidR="00B26D51">
        <w:t xml:space="preserve">prisideda </w:t>
      </w:r>
      <w:r w:rsidR="007E480D">
        <w:t>emociniai-psichologiniai</w:t>
      </w:r>
      <w:r w:rsidR="007833C5">
        <w:t xml:space="preserve"> </w:t>
      </w:r>
      <w:r w:rsidR="00E15CA2" w:rsidRPr="003F0839">
        <w:t>veiksniai</w:t>
      </w:r>
      <w:r w:rsidR="00B26D51">
        <w:t>, t. y. tie</w:t>
      </w:r>
      <w:r w:rsidR="003F0839" w:rsidRPr="003F0839">
        <w:t xml:space="preserve"> veiksniai,</w:t>
      </w:r>
      <w:r w:rsidR="006F06ED" w:rsidRPr="003F0839">
        <w:t xml:space="preserve"> kurie reiškiasi iš žmogaus</w:t>
      </w:r>
      <w:r w:rsidR="00E15CA2" w:rsidRPr="003F0839">
        <w:t xml:space="preserve"> </w:t>
      </w:r>
      <w:r w:rsidR="00B26D51">
        <w:t xml:space="preserve">– </w:t>
      </w:r>
      <w:r w:rsidR="00E15CA2" w:rsidRPr="003F0839">
        <w:t>kaip „klaidų šaltinio“.</w:t>
      </w:r>
    </w:p>
    <w:p w:rsidR="00944A71" w:rsidRPr="00FD6AD6" w:rsidRDefault="007D12E6" w:rsidP="007D12E6">
      <w:pPr>
        <w:rPr>
          <w:szCs w:val="24"/>
        </w:rPr>
      </w:pPr>
      <w:r w:rsidRPr="00FD6AD6">
        <w:rPr>
          <w:b/>
          <w:i/>
          <w:szCs w:val="24"/>
        </w:rPr>
        <w:t>Tyrimo objektas</w:t>
      </w:r>
      <w:r w:rsidRPr="00FD6AD6">
        <w:rPr>
          <w:szCs w:val="24"/>
        </w:rPr>
        <w:t xml:space="preserve">: </w:t>
      </w:r>
      <w:r w:rsidR="00BD17D1">
        <w:rPr>
          <w:szCs w:val="24"/>
        </w:rPr>
        <w:t xml:space="preserve">nedarbo draudimo </w:t>
      </w:r>
      <w:r w:rsidR="004D1E50">
        <w:rPr>
          <w:szCs w:val="24"/>
        </w:rPr>
        <w:t xml:space="preserve">išmokų ir </w:t>
      </w:r>
      <w:r w:rsidR="00BD17D1">
        <w:rPr>
          <w:szCs w:val="24"/>
        </w:rPr>
        <w:t xml:space="preserve">socialinės </w:t>
      </w:r>
      <w:r w:rsidR="004D1E50">
        <w:rPr>
          <w:szCs w:val="24"/>
        </w:rPr>
        <w:t xml:space="preserve">paramos </w:t>
      </w:r>
      <w:r w:rsidR="00BD17D1">
        <w:rPr>
          <w:szCs w:val="24"/>
        </w:rPr>
        <w:t xml:space="preserve">gavėjų </w:t>
      </w:r>
      <w:r w:rsidRPr="00FD6AD6">
        <w:rPr>
          <w:szCs w:val="24"/>
        </w:rPr>
        <w:t>finansinė elgsena</w:t>
      </w:r>
      <w:r w:rsidR="00BD17D1">
        <w:rPr>
          <w:szCs w:val="24"/>
        </w:rPr>
        <w:t>.</w:t>
      </w:r>
    </w:p>
    <w:p w:rsidR="007D12E6" w:rsidRPr="00FD6AD6" w:rsidRDefault="007D12E6" w:rsidP="007D12E6">
      <w:pPr>
        <w:rPr>
          <w:szCs w:val="24"/>
        </w:rPr>
      </w:pPr>
      <w:r w:rsidRPr="00FD6AD6">
        <w:rPr>
          <w:b/>
          <w:i/>
          <w:szCs w:val="24"/>
        </w:rPr>
        <w:lastRenderedPageBreak/>
        <w:t>Tyrimo tikslas</w:t>
      </w:r>
      <w:r w:rsidR="002318B8">
        <w:rPr>
          <w:szCs w:val="24"/>
        </w:rPr>
        <w:t xml:space="preserve">: </w:t>
      </w:r>
      <w:r w:rsidR="00424E4E">
        <w:rPr>
          <w:szCs w:val="24"/>
        </w:rPr>
        <w:t xml:space="preserve">nustačius </w:t>
      </w:r>
      <w:r w:rsidR="003901BB">
        <w:rPr>
          <w:szCs w:val="24"/>
        </w:rPr>
        <w:t>esminius</w:t>
      </w:r>
      <w:r w:rsidR="008D41EC">
        <w:rPr>
          <w:szCs w:val="24"/>
        </w:rPr>
        <w:t>,</w:t>
      </w:r>
      <w:r w:rsidR="003901BB">
        <w:rPr>
          <w:szCs w:val="24"/>
        </w:rPr>
        <w:t xml:space="preserve"> </w:t>
      </w:r>
      <w:r w:rsidR="00E7550E">
        <w:rPr>
          <w:i/>
          <w:szCs w:val="24"/>
        </w:rPr>
        <w:t xml:space="preserve">pasirinkimą </w:t>
      </w:r>
      <w:r w:rsidR="00BC725B">
        <w:rPr>
          <w:szCs w:val="24"/>
        </w:rPr>
        <w:t>gyventi iš</w:t>
      </w:r>
      <w:r w:rsidR="003901BB">
        <w:rPr>
          <w:szCs w:val="24"/>
        </w:rPr>
        <w:t xml:space="preserve"> socialinių išmokų</w:t>
      </w:r>
      <w:r w:rsidR="008D41EC">
        <w:rPr>
          <w:szCs w:val="24"/>
        </w:rPr>
        <w:t xml:space="preserve"> </w:t>
      </w:r>
      <w:r w:rsidR="007C384E">
        <w:rPr>
          <w:szCs w:val="24"/>
        </w:rPr>
        <w:t>lemiančius</w:t>
      </w:r>
      <w:r w:rsidR="008D41EC">
        <w:rPr>
          <w:szCs w:val="24"/>
        </w:rPr>
        <w:t>,</w:t>
      </w:r>
      <w:r w:rsidR="007C384E">
        <w:rPr>
          <w:szCs w:val="24"/>
        </w:rPr>
        <w:t xml:space="preserve"> veiksnius ir </w:t>
      </w:r>
      <w:r w:rsidR="007629CA">
        <w:rPr>
          <w:szCs w:val="24"/>
        </w:rPr>
        <w:t>jų pagrindu</w:t>
      </w:r>
      <w:r w:rsidR="00D308DC">
        <w:rPr>
          <w:szCs w:val="24"/>
        </w:rPr>
        <w:t xml:space="preserve"> </w:t>
      </w:r>
      <w:r w:rsidR="004C06FC">
        <w:rPr>
          <w:szCs w:val="24"/>
        </w:rPr>
        <w:t xml:space="preserve">įvertinus </w:t>
      </w:r>
      <w:r w:rsidR="003901BB">
        <w:rPr>
          <w:szCs w:val="24"/>
        </w:rPr>
        <w:t xml:space="preserve">išmokų </w:t>
      </w:r>
      <w:r w:rsidR="003370F7">
        <w:rPr>
          <w:szCs w:val="24"/>
        </w:rPr>
        <w:t xml:space="preserve">gavėjų </w:t>
      </w:r>
      <w:r w:rsidR="00D308DC">
        <w:rPr>
          <w:szCs w:val="24"/>
        </w:rPr>
        <w:t>elgseną</w:t>
      </w:r>
      <w:r w:rsidR="005B537D">
        <w:rPr>
          <w:szCs w:val="24"/>
        </w:rPr>
        <w:t xml:space="preserve">, </w:t>
      </w:r>
      <w:r w:rsidR="0098781E">
        <w:rPr>
          <w:szCs w:val="24"/>
        </w:rPr>
        <w:t xml:space="preserve">identifikuoti </w:t>
      </w:r>
      <w:r w:rsidR="00182A9E">
        <w:rPr>
          <w:szCs w:val="24"/>
        </w:rPr>
        <w:t xml:space="preserve">priemones, </w:t>
      </w:r>
      <w:r w:rsidR="00FA290C">
        <w:rPr>
          <w:szCs w:val="24"/>
        </w:rPr>
        <w:t>spar</w:t>
      </w:r>
      <w:r w:rsidR="00F02EFE">
        <w:rPr>
          <w:szCs w:val="24"/>
        </w:rPr>
        <w:t xml:space="preserve">tinančias </w:t>
      </w:r>
      <w:r w:rsidR="007629CA">
        <w:rPr>
          <w:szCs w:val="24"/>
        </w:rPr>
        <w:t>grįž</w:t>
      </w:r>
      <w:r w:rsidR="00F02EFE">
        <w:rPr>
          <w:szCs w:val="24"/>
        </w:rPr>
        <w:t>imą</w:t>
      </w:r>
      <w:r w:rsidR="007629CA">
        <w:rPr>
          <w:szCs w:val="24"/>
        </w:rPr>
        <w:t xml:space="preserve"> į darbo rinką.</w:t>
      </w:r>
    </w:p>
    <w:p w:rsidR="007D12E6" w:rsidRDefault="007D12E6" w:rsidP="007D12E6">
      <w:pPr>
        <w:rPr>
          <w:szCs w:val="24"/>
        </w:rPr>
      </w:pPr>
      <w:r w:rsidRPr="00FD6AD6">
        <w:rPr>
          <w:b/>
          <w:i/>
          <w:szCs w:val="24"/>
        </w:rPr>
        <w:t>Uždaviniai</w:t>
      </w:r>
      <w:r w:rsidRPr="00FD6AD6">
        <w:rPr>
          <w:szCs w:val="24"/>
        </w:rPr>
        <w:t>:</w:t>
      </w:r>
    </w:p>
    <w:p w:rsidR="006B0BCA" w:rsidRPr="00FE34C3" w:rsidRDefault="006B0BCA" w:rsidP="00105752">
      <w:pPr>
        <w:pStyle w:val="ListParagraph"/>
        <w:numPr>
          <w:ilvl w:val="0"/>
          <w:numId w:val="19"/>
        </w:numPr>
        <w:ind w:left="810" w:hanging="270"/>
        <w:rPr>
          <w:color w:val="0070C0"/>
          <w:szCs w:val="24"/>
        </w:rPr>
      </w:pPr>
      <w:r w:rsidRPr="000C087E">
        <w:t xml:space="preserve">išanalizuoti </w:t>
      </w:r>
      <w:r w:rsidR="00982B07" w:rsidRPr="000C087E">
        <w:rPr>
          <w:b/>
          <w:i/>
        </w:rPr>
        <w:t>pagrindinius individ</w:t>
      </w:r>
      <w:r w:rsidR="006C4E9A" w:rsidRPr="000C087E">
        <w:rPr>
          <w:b/>
          <w:i/>
        </w:rPr>
        <w:t xml:space="preserve">ų </w:t>
      </w:r>
      <w:r w:rsidRPr="000C087E">
        <w:rPr>
          <w:b/>
          <w:i/>
        </w:rPr>
        <w:t>finansinės elgsenos aspektus</w:t>
      </w:r>
      <w:r w:rsidR="000D079E" w:rsidRPr="000C087E">
        <w:t xml:space="preserve">: </w:t>
      </w:r>
      <w:r w:rsidRPr="000C087E">
        <w:t xml:space="preserve">atskleisti </w:t>
      </w:r>
      <w:r w:rsidR="002E5191" w:rsidRPr="000C087E">
        <w:t>skirtingo</w:t>
      </w:r>
      <w:r w:rsidR="000D079E" w:rsidRPr="000C087E">
        <w:t xml:space="preserve"> šio reiškinio</w:t>
      </w:r>
      <w:r w:rsidR="002E5191" w:rsidRPr="000C087E">
        <w:t xml:space="preserve"> aiškinimo ypatumus</w:t>
      </w:r>
      <w:r w:rsidRPr="000C087E">
        <w:t xml:space="preserve">; </w:t>
      </w:r>
      <w:r w:rsidR="00411FA9" w:rsidRPr="000C087E">
        <w:t>ap</w:t>
      </w:r>
      <w:r w:rsidR="00DD2C1C">
        <w:t>ibūdinus</w:t>
      </w:r>
      <w:r w:rsidR="00184BF7" w:rsidRPr="000C087E">
        <w:t xml:space="preserve"> </w:t>
      </w:r>
      <w:r w:rsidR="009C0A32" w:rsidRPr="000C087E">
        <w:rPr>
          <w:i/>
        </w:rPr>
        <w:t>finansinės</w:t>
      </w:r>
      <w:r w:rsidR="009C0A32" w:rsidRPr="000C087E">
        <w:t xml:space="preserve"> elgsenos turinį </w:t>
      </w:r>
      <w:r w:rsidR="000F0D99">
        <w:t>bei</w:t>
      </w:r>
      <w:r w:rsidR="00982B07" w:rsidRPr="000C087E">
        <w:t xml:space="preserve"> </w:t>
      </w:r>
      <w:r w:rsidR="00E50479" w:rsidRPr="000C087E">
        <w:t xml:space="preserve">asmeninių ir valstybės finansų </w:t>
      </w:r>
      <w:r w:rsidR="000F0D99">
        <w:t>ryšį</w:t>
      </w:r>
      <w:r w:rsidR="00184BF7" w:rsidRPr="000C087E">
        <w:t>,</w:t>
      </w:r>
      <w:r w:rsidR="00184BF7" w:rsidRPr="00FE34C3">
        <w:rPr>
          <w:color w:val="0070C0"/>
        </w:rPr>
        <w:t xml:space="preserve"> </w:t>
      </w:r>
      <w:r w:rsidR="006D39C2" w:rsidRPr="00B703B7">
        <w:t xml:space="preserve">pateikti </w:t>
      </w:r>
      <w:r w:rsidR="00D71E50" w:rsidRPr="00B703B7">
        <w:t>apibendrint</w:t>
      </w:r>
      <w:r w:rsidR="006D39C2" w:rsidRPr="00B703B7">
        <w:t>ą</w:t>
      </w:r>
      <w:r w:rsidR="00D71E50">
        <w:rPr>
          <w:color w:val="0070C0"/>
        </w:rPr>
        <w:t xml:space="preserve"> </w:t>
      </w:r>
      <w:r w:rsidR="007B517E" w:rsidRPr="00AB58DE">
        <w:rPr>
          <w:i/>
        </w:rPr>
        <w:t>racionalios</w:t>
      </w:r>
      <w:r w:rsidR="003074E7">
        <w:t xml:space="preserve"> </w:t>
      </w:r>
      <w:r w:rsidR="007B517E" w:rsidRPr="00B629F2">
        <w:t>finansinės elgsenos</w:t>
      </w:r>
      <w:r w:rsidR="00B703B7">
        <w:t xml:space="preserve"> koncepciją</w:t>
      </w:r>
      <w:r w:rsidR="00B4604A" w:rsidRPr="00B629F2">
        <w:t xml:space="preserve">; </w:t>
      </w:r>
      <w:r w:rsidR="009520B2">
        <w:t xml:space="preserve">išnagrinėti </w:t>
      </w:r>
      <w:r w:rsidR="00B629F2" w:rsidRPr="00B629F2">
        <w:t>veiksnius,</w:t>
      </w:r>
      <w:r w:rsidR="0095070F">
        <w:t xml:space="preserve"> </w:t>
      </w:r>
      <w:r w:rsidR="002F595E">
        <w:t xml:space="preserve">labiausiai </w:t>
      </w:r>
      <w:r w:rsidR="00597F18" w:rsidRPr="00B629F2">
        <w:t>lemia</w:t>
      </w:r>
      <w:r w:rsidR="00B93A28">
        <w:t>nčius</w:t>
      </w:r>
      <w:r w:rsidR="00597F18" w:rsidRPr="00B629F2">
        <w:t xml:space="preserve"> </w:t>
      </w:r>
      <w:r w:rsidR="00B93A28">
        <w:t>neracionalią</w:t>
      </w:r>
      <w:r w:rsidR="004962C4" w:rsidRPr="00B629F2">
        <w:t xml:space="preserve"> </w:t>
      </w:r>
      <w:r w:rsidR="00B93A28">
        <w:t>finansinę elgseną</w:t>
      </w:r>
      <w:r w:rsidRPr="00B629F2">
        <w:t>;</w:t>
      </w:r>
      <w:r w:rsidR="00CD0381" w:rsidRPr="00FE34C3">
        <w:rPr>
          <w:color w:val="0070C0"/>
        </w:rPr>
        <w:t xml:space="preserve"> </w:t>
      </w:r>
      <w:r w:rsidR="00993676" w:rsidRPr="002F0FAE">
        <w:t>apibendrinus per pastarąjį penkmetį</w:t>
      </w:r>
      <w:r w:rsidR="00D15E31" w:rsidRPr="002F0FAE">
        <w:t xml:space="preserve"> </w:t>
      </w:r>
      <w:r w:rsidRPr="002F0FAE">
        <w:t>Lietuvoje atliktų tyrimų</w:t>
      </w:r>
      <w:r w:rsidR="002F595E" w:rsidRPr="002F0FAE">
        <w:t xml:space="preserve"> finansinės elgsenos tema</w:t>
      </w:r>
      <w:r w:rsidRPr="002F0FAE">
        <w:t xml:space="preserve"> rezultatus, </w:t>
      </w:r>
      <w:r w:rsidR="00D4128C" w:rsidRPr="002F0FAE">
        <w:t xml:space="preserve">išskirti </w:t>
      </w:r>
      <w:r w:rsidR="002F595E" w:rsidRPr="002F0FAE">
        <w:t xml:space="preserve">esmines </w:t>
      </w:r>
      <w:r w:rsidR="00D4128C" w:rsidRPr="002F0FAE">
        <w:t xml:space="preserve">problemas </w:t>
      </w:r>
      <w:r w:rsidR="00D4128C" w:rsidRPr="0008222B">
        <w:t>ir susiaurinti tyrimo</w:t>
      </w:r>
      <w:r w:rsidR="0008222B" w:rsidRPr="0008222B">
        <w:t xml:space="preserve"> lauką</w:t>
      </w:r>
      <w:r w:rsidR="000F3103" w:rsidRPr="0008222B">
        <w:t>;</w:t>
      </w:r>
    </w:p>
    <w:p w:rsidR="006D756F" w:rsidRPr="0070231D" w:rsidRDefault="006559EE" w:rsidP="0070231D">
      <w:pPr>
        <w:pStyle w:val="ListParagraph"/>
        <w:numPr>
          <w:ilvl w:val="0"/>
          <w:numId w:val="19"/>
        </w:numPr>
        <w:ind w:left="810" w:hanging="270"/>
        <w:rPr>
          <w:szCs w:val="24"/>
        </w:rPr>
      </w:pPr>
      <w:r>
        <w:rPr>
          <w:szCs w:val="24"/>
        </w:rPr>
        <w:t xml:space="preserve">atskleisti </w:t>
      </w:r>
      <w:r w:rsidR="0068409B">
        <w:rPr>
          <w:b/>
          <w:i/>
          <w:szCs w:val="24"/>
        </w:rPr>
        <w:t xml:space="preserve">individų </w:t>
      </w:r>
      <w:r w:rsidR="0039245C" w:rsidRPr="009320FA">
        <w:rPr>
          <w:b/>
          <w:i/>
          <w:szCs w:val="24"/>
        </w:rPr>
        <w:t xml:space="preserve">finansinės elgsenos </w:t>
      </w:r>
      <w:r w:rsidR="009320FA" w:rsidRPr="009320FA">
        <w:rPr>
          <w:b/>
          <w:i/>
          <w:szCs w:val="24"/>
        </w:rPr>
        <w:t xml:space="preserve">ypatumus </w:t>
      </w:r>
      <w:r w:rsidR="0039245C" w:rsidRPr="009320FA">
        <w:rPr>
          <w:b/>
          <w:i/>
          <w:szCs w:val="24"/>
        </w:rPr>
        <w:t>socialinės apsaugos srityje</w:t>
      </w:r>
      <w:r w:rsidR="0039245C">
        <w:rPr>
          <w:szCs w:val="24"/>
        </w:rPr>
        <w:t>:</w:t>
      </w:r>
      <w:r w:rsidR="009320FA">
        <w:rPr>
          <w:szCs w:val="24"/>
        </w:rPr>
        <w:t xml:space="preserve"> </w:t>
      </w:r>
      <w:r w:rsidR="0068409B">
        <w:rPr>
          <w:szCs w:val="24"/>
        </w:rPr>
        <w:t xml:space="preserve">aptarti </w:t>
      </w:r>
      <w:r w:rsidR="006D5AF3">
        <w:rPr>
          <w:szCs w:val="24"/>
        </w:rPr>
        <w:t>žmogaus</w:t>
      </w:r>
      <w:r w:rsidR="0068409B">
        <w:rPr>
          <w:szCs w:val="24"/>
        </w:rPr>
        <w:t xml:space="preserve">, </w:t>
      </w:r>
      <w:r w:rsidR="004A547B">
        <w:rPr>
          <w:szCs w:val="24"/>
        </w:rPr>
        <w:t>–</w:t>
      </w:r>
      <w:r w:rsidR="0068409B" w:rsidRPr="004A547B">
        <w:rPr>
          <w:i/>
          <w:szCs w:val="24"/>
        </w:rPr>
        <w:t xml:space="preserve">kaip </w:t>
      </w:r>
      <w:r w:rsidR="00A33A1B" w:rsidRPr="004A547B">
        <w:rPr>
          <w:i/>
          <w:szCs w:val="24"/>
        </w:rPr>
        <w:t xml:space="preserve">socialinių </w:t>
      </w:r>
      <w:r w:rsidR="0068409B" w:rsidRPr="004A547B">
        <w:rPr>
          <w:i/>
          <w:szCs w:val="24"/>
        </w:rPr>
        <w:t>išmokų gavėjo</w:t>
      </w:r>
      <w:r w:rsidR="0068409B">
        <w:rPr>
          <w:szCs w:val="24"/>
        </w:rPr>
        <w:t xml:space="preserve">, </w:t>
      </w:r>
      <w:r w:rsidR="004A547B">
        <w:rPr>
          <w:szCs w:val="24"/>
        </w:rPr>
        <w:t xml:space="preserve">– </w:t>
      </w:r>
      <w:r w:rsidR="0068409B">
        <w:rPr>
          <w:szCs w:val="24"/>
        </w:rPr>
        <w:t>vaidmenį socialinės apsaugos sistemoje</w:t>
      </w:r>
      <w:r w:rsidR="001715B1">
        <w:rPr>
          <w:szCs w:val="24"/>
        </w:rPr>
        <w:t>;</w:t>
      </w:r>
      <w:r w:rsidR="00595F5C">
        <w:rPr>
          <w:szCs w:val="24"/>
        </w:rPr>
        <w:t xml:space="preserve"> </w:t>
      </w:r>
      <w:r w:rsidR="00986500">
        <w:rPr>
          <w:szCs w:val="24"/>
        </w:rPr>
        <w:t>su</w:t>
      </w:r>
      <w:r w:rsidR="00BB2B58">
        <w:rPr>
          <w:szCs w:val="24"/>
        </w:rPr>
        <w:t>klasifikuoti</w:t>
      </w:r>
      <w:r w:rsidR="00986500">
        <w:rPr>
          <w:szCs w:val="24"/>
        </w:rPr>
        <w:t xml:space="preserve"> socialinių išmokų gavėjus</w:t>
      </w:r>
      <w:r w:rsidR="0070231D">
        <w:rPr>
          <w:szCs w:val="24"/>
        </w:rPr>
        <w:t xml:space="preserve"> pagal pasirinktus požymius </w:t>
      </w:r>
      <w:r w:rsidR="0065302D">
        <w:rPr>
          <w:szCs w:val="24"/>
        </w:rPr>
        <w:t>bei</w:t>
      </w:r>
      <w:r w:rsidR="0070231D">
        <w:rPr>
          <w:szCs w:val="24"/>
        </w:rPr>
        <w:t xml:space="preserve"> </w:t>
      </w:r>
      <w:r w:rsidR="0015635B" w:rsidRPr="0070231D">
        <w:rPr>
          <w:szCs w:val="24"/>
        </w:rPr>
        <w:t xml:space="preserve">nustatyti veiksnius, darančius įtaką </w:t>
      </w:r>
      <w:r w:rsidR="00E31D2C" w:rsidRPr="0070231D">
        <w:rPr>
          <w:szCs w:val="24"/>
        </w:rPr>
        <w:t>jų</w:t>
      </w:r>
      <w:r w:rsidR="0065302D">
        <w:rPr>
          <w:szCs w:val="24"/>
        </w:rPr>
        <w:t xml:space="preserve"> elgsenai</w:t>
      </w:r>
      <w:r w:rsidR="00504891" w:rsidRPr="0070231D">
        <w:rPr>
          <w:szCs w:val="24"/>
        </w:rPr>
        <w:t>;</w:t>
      </w:r>
    </w:p>
    <w:p w:rsidR="006D756F" w:rsidRPr="006D756F" w:rsidRDefault="006D756F" w:rsidP="006D756F">
      <w:pPr>
        <w:pStyle w:val="ListParagraph"/>
        <w:numPr>
          <w:ilvl w:val="0"/>
          <w:numId w:val="19"/>
        </w:numPr>
        <w:ind w:left="810" w:hanging="270"/>
        <w:rPr>
          <w:szCs w:val="24"/>
        </w:rPr>
      </w:pPr>
      <w:r>
        <w:t xml:space="preserve">remiantis mokslinių </w:t>
      </w:r>
      <w:r w:rsidR="00916A02">
        <w:t xml:space="preserve">šaltinių </w:t>
      </w:r>
      <w:r>
        <w:t xml:space="preserve">analize, </w:t>
      </w:r>
      <w:r w:rsidRPr="005910C1">
        <w:rPr>
          <w:b/>
          <w:i/>
        </w:rPr>
        <w:t>sukurti gyventojų finansinės elgsenos įvertinimo metodiką</w:t>
      </w:r>
      <w:r>
        <w:t xml:space="preserve">, skirtą </w:t>
      </w:r>
      <w:r w:rsidR="00C83E39">
        <w:t xml:space="preserve">socialinių išmokų </w:t>
      </w:r>
      <w:r w:rsidR="005910C1">
        <w:t xml:space="preserve">gavėjų sprendimams suprasti ir pagrindinėms problemoms identifikuoti; </w:t>
      </w:r>
    </w:p>
    <w:p w:rsidR="00504891" w:rsidRPr="006B0BCA" w:rsidRDefault="00216F61" w:rsidP="00105752">
      <w:pPr>
        <w:pStyle w:val="ListParagraph"/>
        <w:numPr>
          <w:ilvl w:val="0"/>
          <w:numId w:val="19"/>
        </w:numPr>
        <w:ind w:left="810" w:hanging="270"/>
        <w:rPr>
          <w:szCs w:val="24"/>
        </w:rPr>
      </w:pPr>
      <w:r>
        <w:rPr>
          <w:szCs w:val="24"/>
        </w:rPr>
        <w:t xml:space="preserve">įvertinus </w:t>
      </w:r>
      <w:r w:rsidR="00117404">
        <w:rPr>
          <w:szCs w:val="24"/>
        </w:rPr>
        <w:t>Lietuvos žmoni</w:t>
      </w:r>
      <w:r w:rsidR="002B3C32">
        <w:rPr>
          <w:szCs w:val="24"/>
        </w:rPr>
        <w:t>ų</w:t>
      </w:r>
      <w:r w:rsidR="00117404">
        <w:rPr>
          <w:szCs w:val="24"/>
        </w:rPr>
        <w:t>, gaunančių nedarbo draudimo išmokas ir / ar socialinę paramą, elgseną</w:t>
      </w:r>
      <w:r w:rsidR="00621FF4">
        <w:rPr>
          <w:szCs w:val="24"/>
        </w:rPr>
        <w:t xml:space="preserve">, </w:t>
      </w:r>
      <w:r w:rsidR="00B82378" w:rsidRPr="00E315BC">
        <w:rPr>
          <w:b/>
          <w:i/>
          <w:szCs w:val="24"/>
        </w:rPr>
        <w:t>a</w:t>
      </w:r>
      <w:r w:rsidR="00BD71CB" w:rsidRPr="00E315BC">
        <w:rPr>
          <w:b/>
          <w:i/>
          <w:szCs w:val="24"/>
        </w:rPr>
        <w:t xml:space="preserve">tskleisti vyraujančias tendencijas </w:t>
      </w:r>
      <w:r w:rsidR="00B82378" w:rsidRPr="00E315BC">
        <w:rPr>
          <w:b/>
          <w:i/>
          <w:szCs w:val="24"/>
        </w:rPr>
        <w:t>i</w:t>
      </w:r>
      <w:r w:rsidR="00E315BC" w:rsidRPr="00E315BC">
        <w:rPr>
          <w:b/>
          <w:i/>
          <w:szCs w:val="24"/>
        </w:rPr>
        <w:t>r</w:t>
      </w:r>
      <w:r w:rsidR="00B82378">
        <w:rPr>
          <w:szCs w:val="24"/>
        </w:rPr>
        <w:t xml:space="preserve"> </w:t>
      </w:r>
      <w:r w:rsidR="00B82378" w:rsidRPr="00DC129D">
        <w:rPr>
          <w:b/>
          <w:i/>
          <w:szCs w:val="24"/>
        </w:rPr>
        <w:t xml:space="preserve">pateikti </w:t>
      </w:r>
      <w:r w:rsidR="00B82378">
        <w:rPr>
          <w:b/>
          <w:i/>
          <w:szCs w:val="24"/>
        </w:rPr>
        <w:t>sprendimus identifikuotoms</w:t>
      </w:r>
      <w:r w:rsidR="00E452E2">
        <w:rPr>
          <w:b/>
          <w:i/>
          <w:szCs w:val="24"/>
        </w:rPr>
        <w:t xml:space="preserve"> problem</w:t>
      </w:r>
      <w:r w:rsidR="00B82378">
        <w:rPr>
          <w:b/>
          <w:i/>
          <w:szCs w:val="24"/>
        </w:rPr>
        <w:t>om</w:t>
      </w:r>
      <w:r w:rsidR="00E452E2">
        <w:rPr>
          <w:b/>
          <w:i/>
          <w:szCs w:val="24"/>
        </w:rPr>
        <w:t>s</w:t>
      </w:r>
      <w:r w:rsidR="00E452E2" w:rsidRPr="00DC129D">
        <w:rPr>
          <w:b/>
          <w:i/>
          <w:szCs w:val="24"/>
        </w:rPr>
        <w:t xml:space="preserve"> </w:t>
      </w:r>
      <w:r w:rsidR="000F2B3C" w:rsidRPr="00DC129D">
        <w:rPr>
          <w:b/>
          <w:i/>
          <w:szCs w:val="24"/>
        </w:rPr>
        <w:t>spręsti</w:t>
      </w:r>
      <w:r w:rsidR="00DC129D">
        <w:rPr>
          <w:szCs w:val="24"/>
        </w:rPr>
        <w:t>.</w:t>
      </w:r>
    </w:p>
    <w:p w:rsidR="007D12E6" w:rsidRPr="00FD6AD6" w:rsidRDefault="007D12E6" w:rsidP="007D12E6">
      <w:pPr>
        <w:rPr>
          <w:szCs w:val="24"/>
        </w:rPr>
      </w:pPr>
      <w:r w:rsidRPr="00FD6AD6">
        <w:rPr>
          <w:b/>
          <w:i/>
          <w:szCs w:val="24"/>
        </w:rPr>
        <w:t>Tyrimo metodai</w:t>
      </w:r>
      <w:r w:rsidRPr="00FD6AD6">
        <w:rPr>
          <w:szCs w:val="24"/>
        </w:rPr>
        <w:t>:</w:t>
      </w:r>
    </w:p>
    <w:p w:rsidR="007D12E6" w:rsidRPr="00FD6AD6" w:rsidRDefault="007D12E6" w:rsidP="007D12E6">
      <w:pPr>
        <w:pStyle w:val="ListParagraph"/>
        <w:numPr>
          <w:ilvl w:val="0"/>
          <w:numId w:val="18"/>
        </w:numPr>
        <w:ind w:left="810" w:hanging="277"/>
        <w:rPr>
          <w:szCs w:val="24"/>
        </w:rPr>
      </w:pPr>
      <w:r w:rsidRPr="00FD6AD6">
        <w:rPr>
          <w:szCs w:val="24"/>
        </w:rPr>
        <w:t>sisteminė, lyginamoji mokslinės literatūros analizė;</w:t>
      </w:r>
    </w:p>
    <w:p w:rsidR="007D12E6" w:rsidRDefault="007D12E6" w:rsidP="007D12E6">
      <w:pPr>
        <w:pStyle w:val="ListParagraph"/>
        <w:numPr>
          <w:ilvl w:val="0"/>
          <w:numId w:val="18"/>
        </w:numPr>
        <w:ind w:left="810" w:hanging="277"/>
        <w:rPr>
          <w:szCs w:val="24"/>
        </w:rPr>
      </w:pPr>
      <w:r w:rsidRPr="00FD6AD6">
        <w:rPr>
          <w:szCs w:val="24"/>
        </w:rPr>
        <w:t>atliktų tyrimų apibendrinančioji analizė;</w:t>
      </w:r>
    </w:p>
    <w:p w:rsidR="003513EF" w:rsidRPr="005A64A5" w:rsidRDefault="005A64A5" w:rsidP="005A64A5">
      <w:pPr>
        <w:pStyle w:val="ListParagraph"/>
        <w:numPr>
          <w:ilvl w:val="0"/>
          <w:numId w:val="18"/>
        </w:numPr>
        <w:ind w:left="810" w:hanging="277"/>
        <w:rPr>
          <w:szCs w:val="24"/>
        </w:rPr>
      </w:pPr>
      <w:r>
        <w:rPr>
          <w:szCs w:val="24"/>
        </w:rPr>
        <w:t xml:space="preserve">teisinių dokumentų ir </w:t>
      </w:r>
      <w:r w:rsidR="003513EF" w:rsidRPr="005A64A5">
        <w:rPr>
          <w:szCs w:val="24"/>
        </w:rPr>
        <w:t>statistinių duomenų analizė;</w:t>
      </w:r>
    </w:p>
    <w:p w:rsidR="004D1E50" w:rsidRDefault="004D1E50" w:rsidP="007D12E6">
      <w:pPr>
        <w:pStyle w:val="ListParagraph"/>
        <w:numPr>
          <w:ilvl w:val="0"/>
          <w:numId w:val="18"/>
        </w:numPr>
        <w:ind w:left="810" w:hanging="277"/>
        <w:rPr>
          <w:szCs w:val="24"/>
        </w:rPr>
      </w:pPr>
      <w:r>
        <w:rPr>
          <w:szCs w:val="24"/>
        </w:rPr>
        <w:t>anketinė apklausa</w:t>
      </w:r>
      <w:r w:rsidR="003513EF">
        <w:rPr>
          <w:szCs w:val="24"/>
        </w:rPr>
        <w:t xml:space="preserve"> (bedarbių ir socialinės paramos gavėjų elgsenai įvertinti)</w:t>
      </w:r>
      <w:r>
        <w:rPr>
          <w:szCs w:val="24"/>
        </w:rPr>
        <w:t>;</w:t>
      </w:r>
    </w:p>
    <w:p w:rsidR="007D12E6" w:rsidRPr="005C6B33" w:rsidRDefault="003513EF" w:rsidP="007D12E6">
      <w:pPr>
        <w:pStyle w:val="ListParagraph"/>
        <w:numPr>
          <w:ilvl w:val="0"/>
          <w:numId w:val="18"/>
        </w:numPr>
        <w:ind w:left="810" w:hanging="277"/>
        <w:rPr>
          <w:szCs w:val="24"/>
        </w:rPr>
      </w:pPr>
      <w:r w:rsidRPr="005C6B33">
        <w:rPr>
          <w:szCs w:val="24"/>
        </w:rPr>
        <w:t xml:space="preserve">ekspertinis vertinimas </w:t>
      </w:r>
      <w:r w:rsidR="007D12E6" w:rsidRPr="005C6B33">
        <w:rPr>
          <w:szCs w:val="24"/>
        </w:rPr>
        <w:t>su ekspertų nuomonių suderinamumo</w:t>
      </w:r>
      <w:r w:rsidR="00B3012E" w:rsidRPr="005C6B33">
        <w:rPr>
          <w:szCs w:val="24"/>
        </w:rPr>
        <w:t xml:space="preserve"> </w:t>
      </w:r>
      <w:r w:rsidRPr="005C6B33">
        <w:rPr>
          <w:szCs w:val="24"/>
        </w:rPr>
        <w:t>pa</w:t>
      </w:r>
      <w:r w:rsidR="00B3012E" w:rsidRPr="005C6B33">
        <w:rPr>
          <w:szCs w:val="24"/>
        </w:rPr>
        <w:t>tikrinimu</w:t>
      </w:r>
      <w:r w:rsidR="00464E2F" w:rsidRPr="005C6B33">
        <w:rPr>
          <w:szCs w:val="24"/>
        </w:rPr>
        <w:t xml:space="preserve"> (rezultatams</w:t>
      </w:r>
      <w:r w:rsidR="00FE34C3" w:rsidRPr="005C6B33">
        <w:rPr>
          <w:szCs w:val="24"/>
        </w:rPr>
        <w:t xml:space="preserve"> palyginti</w:t>
      </w:r>
      <w:r w:rsidR="00464E2F" w:rsidRPr="005C6B33">
        <w:rPr>
          <w:szCs w:val="24"/>
        </w:rPr>
        <w:t>)</w:t>
      </w:r>
      <w:r w:rsidR="007D12E6" w:rsidRPr="005C6B33">
        <w:rPr>
          <w:szCs w:val="24"/>
        </w:rPr>
        <w:t>;</w:t>
      </w:r>
    </w:p>
    <w:p w:rsidR="00024097" w:rsidRPr="00B80A41" w:rsidRDefault="00464E2F" w:rsidP="007D12E6">
      <w:pPr>
        <w:pStyle w:val="ListParagraph"/>
        <w:numPr>
          <w:ilvl w:val="0"/>
          <w:numId w:val="18"/>
        </w:numPr>
        <w:ind w:left="810" w:hanging="277"/>
        <w:rPr>
          <w:szCs w:val="24"/>
        </w:rPr>
      </w:pPr>
      <w:r w:rsidRPr="00B80A41">
        <w:rPr>
          <w:szCs w:val="24"/>
        </w:rPr>
        <w:t>statistikos paketas „</w:t>
      </w:r>
      <w:r w:rsidRPr="00B80A41">
        <w:rPr>
          <w:szCs w:val="24"/>
          <w:lang w:val="en-US"/>
        </w:rPr>
        <w:t>SPSS</w:t>
      </w:r>
      <w:r w:rsidR="00780A9A" w:rsidRPr="00B80A41">
        <w:rPr>
          <w:szCs w:val="24"/>
          <w:lang w:val="en-US"/>
        </w:rPr>
        <w:t xml:space="preserve"> Statistics 17.0</w:t>
      </w:r>
      <w:r w:rsidRPr="00B80A41">
        <w:rPr>
          <w:szCs w:val="24"/>
        </w:rPr>
        <w:t>“</w:t>
      </w:r>
      <w:r w:rsidR="00024097" w:rsidRPr="00B80A41">
        <w:rPr>
          <w:szCs w:val="24"/>
        </w:rPr>
        <w:t xml:space="preserve">, </w:t>
      </w:r>
      <w:r w:rsidR="00B80A41" w:rsidRPr="00B80A41">
        <w:rPr>
          <w:szCs w:val="24"/>
        </w:rPr>
        <w:t>programa „</w:t>
      </w:r>
      <w:r w:rsidR="0007348C" w:rsidRPr="00B80A41">
        <w:rPr>
          <w:szCs w:val="24"/>
        </w:rPr>
        <w:t xml:space="preserve">Microsoft </w:t>
      </w:r>
      <w:r w:rsidR="00024097" w:rsidRPr="00B80A41">
        <w:rPr>
          <w:szCs w:val="24"/>
        </w:rPr>
        <w:t>Excel</w:t>
      </w:r>
      <w:r w:rsidR="00B80A41" w:rsidRPr="00B80A41">
        <w:rPr>
          <w:szCs w:val="24"/>
        </w:rPr>
        <w:t>“</w:t>
      </w:r>
      <w:r w:rsidRPr="00B80A41">
        <w:rPr>
          <w:szCs w:val="24"/>
        </w:rPr>
        <w:t xml:space="preserve"> (duomenims apdoroti).</w:t>
      </w:r>
    </w:p>
    <w:p w:rsidR="007D12E6" w:rsidRPr="00FD6AD6" w:rsidRDefault="007D12E6" w:rsidP="007D12E6">
      <w:pPr>
        <w:pStyle w:val="ListParagraph"/>
        <w:numPr>
          <w:ilvl w:val="0"/>
          <w:numId w:val="18"/>
        </w:numPr>
        <w:ind w:left="810" w:hanging="277"/>
        <w:rPr>
          <w:szCs w:val="24"/>
        </w:rPr>
      </w:pPr>
      <w:r w:rsidRPr="00FD6AD6">
        <w:rPr>
          <w:szCs w:val="24"/>
        </w:rPr>
        <w:t>grafinis duomenų vaizdavimo metodas.</w:t>
      </w:r>
    </w:p>
    <w:p w:rsidR="00D32A4B" w:rsidRDefault="00BC725B" w:rsidP="00987509">
      <w:r w:rsidRPr="00BC725B">
        <w:rPr>
          <w:b/>
          <w:i/>
        </w:rPr>
        <w:t>Darbo struktūra</w:t>
      </w:r>
      <w:r w:rsidR="00C41CB2">
        <w:t xml:space="preserve">. </w:t>
      </w:r>
      <w:r w:rsidR="008F1E0D" w:rsidRPr="00462E2C">
        <w:rPr>
          <w:i/>
        </w:rPr>
        <w:t>Pirmojoje darbo dalyje</w:t>
      </w:r>
      <w:r w:rsidR="008F1E0D" w:rsidRPr="00462E2C">
        <w:t xml:space="preserve"> atskleidžiamas individų finansinės elgsenos, kaip reiškinio, sudėtingumas; darant</w:t>
      </w:r>
      <w:r w:rsidR="00B80A41">
        <w:t xml:space="preserve"> prielaidą</w:t>
      </w:r>
      <w:r w:rsidR="008F1E0D" w:rsidRPr="00462E2C">
        <w:t xml:space="preserve">, jog finansinės elgsenos turinys </w:t>
      </w:r>
      <w:r w:rsidR="00762A5C">
        <w:t xml:space="preserve">dar </w:t>
      </w:r>
      <w:r w:rsidR="008F1E0D" w:rsidRPr="00462E2C">
        <w:t>nėra</w:t>
      </w:r>
      <w:r w:rsidR="00EF3027">
        <w:t xml:space="preserve"> iki galo</w:t>
      </w:r>
      <w:r w:rsidR="008F1E0D" w:rsidRPr="00462E2C">
        <w:t xml:space="preserve"> susiformavęs, </w:t>
      </w:r>
      <w:r w:rsidR="00B80A41" w:rsidRPr="00762A5C">
        <w:t>pateikiamas</w:t>
      </w:r>
      <w:r w:rsidR="00B80A41">
        <w:rPr>
          <w:color w:val="0070C0"/>
        </w:rPr>
        <w:t xml:space="preserve"> </w:t>
      </w:r>
      <w:r w:rsidR="00356600" w:rsidRPr="00356600">
        <w:t xml:space="preserve">į </w:t>
      </w:r>
      <w:r w:rsidR="00356600">
        <w:t>šio darbo „rėmus“</w:t>
      </w:r>
      <w:r w:rsidR="008F1E0D" w:rsidRPr="00462E2C">
        <w:t xml:space="preserve"> </w:t>
      </w:r>
      <w:r w:rsidR="00356600">
        <w:t xml:space="preserve">telpantis individų </w:t>
      </w:r>
      <w:r w:rsidR="008F1E0D" w:rsidRPr="00462E2C">
        <w:t>finansinės el</w:t>
      </w:r>
      <w:r w:rsidR="00762A5C">
        <w:t>gsenos apibrėžimas, kuriuo vadovaujamasi</w:t>
      </w:r>
      <w:r w:rsidR="008F1E0D" w:rsidRPr="00462E2C">
        <w:t xml:space="preserve">, nagrinėjant </w:t>
      </w:r>
      <w:r w:rsidR="00AA1FD8">
        <w:t>individ</w:t>
      </w:r>
      <w:r w:rsidR="00332AEC">
        <w:t xml:space="preserve">ų </w:t>
      </w:r>
      <w:r w:rsidR="008F1E0D" w:rsidRPr="00462E2C">
        <w:t xml:space="preserve">elgseną socialinės apsaugos srityje; </w:t>
      </w:r>
      <w:r w:rsidR="00A95089">
        <w:t xml:space="preserve">aptariamas </w:t>
      </w:r>
      <w:r w:rsidR="008F1E0D">
        <w:t>žmogaus</w:t>
      </w:r>
      <w:r w:rsidR="00266AF6">
        <w:t xml:space="preserve"> </w:t>
      </w:r>
      <w:r w:rsidR="008F1E0D" w:rsidRPr="00462E2C">
        <w:t>vaidmu</w:t>
      </w:r>
      <w:r w:rsidR="00C90910">
        <w:t>o socialinės apsaugos</w:t>
      </w:r>
      <w:r w:rsidR="00027001">
        <w:t xml:space="preserve"> sistemoje</w:t>
      </w:r>
      <w:r w:rsidR="00266AF6">
        <w:t>;</w:t>
      </w:r>
      <w:r w:rsidR="005A518E">
        <w:t xml:space="preserve"> </w:t>
      </w:r>
      <w:r w:rsidR="00A95089">
        <w:t>suskirsčius socialinių išmokų gavėjus į grupes</w:t>
      </w:r>
      <w:r w:rsidR="000827EB">
        <w:t xml:space="preserve"> pagal pasirinktu</w:t>
      </w:r>
      <w:r w:rsidR="005E1C13">
        <w:t>s požymius, aptariami</w:t>
      </w:r>
      <w:r w:rsidR="00A6190E">
        <w:t xml:space="preserve"> </w:t>
      </w:r>
      <w:r w:rsidR="00B76938">
        <w:t xml:space="preserve">esminiai </w:t>
      </w:r>
      <w:r w:rsidR="00A6190E">
        <w:t>jų elgsenai įtaką darantys veiksniai.</w:t>
      </w:r>
      <w:r w:rsidR="002E2709">
        <w:t xml:space="preserve"> </w:t>
      </w:r>
      <w:r w:rsidR="009653EA">
        <w:t xml:space="preserve">Darant išvadą, jog </w:t>
      </w:r>
      <w:r w:rsidR="004A25A5">
        <w:t>literatūroje</w:t>
      </w:r>
      <w:r w:rsidR="00B76938">
        <w:t xml:space="preserve"> nėra</w:t>
      </w:r>
      <w:r w:rsidR="002B3965">
        <w:t xml:space="preserve"> </w:t>
      </w:r>
      <w:proofErr w:type="spellStart"/>
      <w:r w:rsidR="004A25A5">
        <w:t>metodologiškai</w:t>
      </w:r>
      <w:proofErr w:type="spellEnd"/>
      <w:r w:rsidR="004A25A5">
        <w:t xml:space="preserve"> pagrįstų modelių, kuriais būtų</w:t>
      </w:r>
      <w:r w:rsidR="00C5441E">
        <w:t xml:space="preserve"> galima remtis, vertinant </w:t>
      </w:r>
      <w:r w:rsidR="00412663">
        <w:t>individ</w:t>
      </w:r>
      <w:r w:rsidR="00B76938">
        <w:t xml:space="preserve">ų </w:t>
      </w:r>
      <w:r w:rsidR="00C5441E">
        <w:t xml:space="preserve">finansinę elgseną, </w:t>
      </w:r>
      <w:r w:rsidR="002B3965" w:rsidRPr="002B3965">
        <w:rPr>
          <w:i/>
        </w:rPr>
        <w:t>antrojoje darbo dalyje</w:t>
      </w:r>
      <w:r w:rsidR="002B3965">
        <w:t xml:space="preserve"> su</w:t>
      </w:r>
      <w:r w:rsidR="00B76938">
        <w:t>kuri</w:t>
      </w:r>
      <w:r w:rsidR="002B3965">
        <w:t>amas finansin</w:t>
      </w:r>
      <w:r w:rsidR="00BD7FFE">
        <w:t>ės elgsenos</w:t>
      </w:r>
      <w:r w:rsidR="000F3AFB">
        <w:t xml:space="preserve"> vertinimo modelis</w:t>
      </w:r>
      <w:r w:rsidR="00556A8D">
        <w:t>, kuris</w:t>
      </w:r>
      <w:r w:rsidR="00B96517">
        <w:t xml:space="preserve"> tampa pagrindu, vertinant bedarbių ir socialinės</w:t>
      </w:r>
      <w:r w:rsidR="00F22857">
        <w:t xml:space="preserve"> paramos gavėjų elgseną. </w:t>
      </w:r>
      <w:r w:rsidR="00F22857" w:rsidRPr="005F6B0B">
        <w:rPr>
          <w:i/>
        </w:rPr>
        <w:t>Trečioji darbo dalis</w:t>
      </w:r>
      <w:r w:rsidR="00F22857">
        <w:t xml:space="preserve"> baigiama</w:t>
      </w:r>
      <w:r w:rsidR="005F6B0B">
        <w:t xml:space="preserve"> problemų identifikavimu, kurioms</w:t>
      </w:r>
      <w:r w:rsidR="005317D4">
        <w:t xml:space="preserve"> spręsti</w:t>
      </w:r>
      <w:r w:rsidR="005F6B0B">
        <w:t xml:space="preserve"> </w:t>
      </w:r>
      <w:r w:rsidR="005F6B0B" w:rsidRPr="005317D4">
        <w:rPr>
          <w:i/>
        </w:rPr>
        <w:t>ketvirtojoje dalyje</w:t>
      </w:r>
      <w:r w:rsidR="005F6B0B">
        <w:t xml:space="preserve"> pateikiami</w:t>
      </w:r>
      <w:r w:rsidR="00BB61D5">
        <w:t xml:space="preserve"> pasiūlymai</w:t>
      </w:r>
      <w:r w:rsidR="005F6B0B">
        <w:t>.</w:t>
      </w:r>
      <w:r w:rsidR="00D32A4B">
        <w:br w:type="page"/>
      </w:r>
    </w:p>
    <w:p w:rsidR="00D32A4B" w:rsidRPr="004D2919" w:rsidRDefault="00D32A4B" w:rsidP="00FC2F0C">
      <w:pPr>
        <w:pStyle w:val="Heading1"/>
      </w:pPr>
      <w:bookmarkStart w:id="1" w:name="_Toc343636873"/>
      <w:r w:rsidRPr="004D2919">
        <w:lastRenderedPageBreak/>
        <w:t xml:space="preserve">TEORINIAI </w:t>
      </w:r>
      <w:r w:rsidR="00866070" w:rsidRPr="004D2919">
        <w:t>GYVENTOJŲ FINANSINĖS ELGSENOS ASPEKTAI</w:t>
      </w:r>
      <w:bookmarkEnd w:id="1"/>
    </w:p>
    <w:p w:rsidR="00820EA1" w:rsidRDefault="00EA0EA9" w:rsidP="00573B45">
      <w:r w:rsidRPr="001E228D">
        <w:t xml:space="preserve">Vystantis </w:t>
      </w:r>
      <w:proofErr w:type="spellStart"/>
      <w:r w:rsidRPr="001E228D">
        <w:t>makroekonomkai</w:t>
      </w:r>
      <w:proofErr w:type="spellEnd"/>
      <w:r w:rsidRPr="001E228D">
        <w:t xml:space="preserve"> kaip mokslui, ekonomistų požiūris į vartotojo finansinę elgseną, t. y. vartojimą, taupymą ir investavimą, </w:t>
      </w:r>
      <w:r w:rsidRPr="00677319">
        <w:t>keitėsi (</w:t>
      </w:r>
      <w:proofErr w:type="spellStart"/>
      <w:r w:rsidR="00081734" w:rsidRPr="00677319">
        <w:t>Jurevičienė</w:t>
      </w:r>
      <w:proofErr w:type="spellEnd"/>
      <w:r w:rsidR="00081734" w:rsidRPr="00677319">
        <w:t xml:space="preserve">, </w:t>
      </w:r>
      <w:proofErr w:type="spellStart"/>
      <w:r w:rsidR="00081734" w:rsidRPr="00677319">
        <w:t>Gausienė</w:t>
      </w:r>
      <w:proofErr w:type="spellEnd"/>
      <w:r w:rsidRPr="00677319">
        <w:t xml:space="preserve"> </w:t>
      </w:r>
      <w:r w:rsidR="00573B45" w:rsidRPr="00677319">
        <w:t>2010)</w:t>
      </w:r>
      <w:r w:rsidR="002B2230" w:rsidRPr="00677319">
        <w:t>,</w:t>
      </w:r>
      <w:r w:rsidR="002B2230">
        <w:t xml:space="preserve"> todėl tai galėtų</w:t>
      </w:r>
      <w:r w:rsidR="00573B45" w:rsidRPr="001E228D">
        <w:t xml:space="preserve"> būti</w:t>
      </w:r>
      <w:r w:rsidR="004D54C9">
        <w:t xml:space="preserve"> pagrindinė</w:t>
      </w:r>
      <w:r w:rsidR="00573B45" w:rsidRPr="001E228D">
        <w:t xml:space="preserve"> priežastis, kodėl </w:t>
      </w:r>
      <w:r w:rsidR="003C72C1">
        <w:t xml:space="preserve">pasaulio </w:t>
      </w:r>
      <w:r w:rsidR="00573B45" w:rsidRPr="001E228D">
        <w:t>m</w:t>
      </w:r>
      <w:r w:rsidR="00F37986" w:rsidRPr="001E228D">
        <w:t>okslinė bendruomenė iki šiol</w:t>
      </w:r>
      <w:r w:rsidR="00D225E6">
        <w:t xml:space="preserve"> </w:t>
      </w:r>
      <w:r w:rsidR="003C72C1">
        <w:t xml:space="preserve">dar </w:t>
      </w:r>
      <w:r w:rsidR="00D225E6">
        <w:t>nepateikė visuotinai pripažint</w:t>
      </w:r>
      <w:r w:rsidR="00573B45" w:rsidRPr="001E228D">
        <w:t xml:space="preserve">o ir nekintančio </w:t>
      </w:r>
      <w:r w:rsidR="008012AE" w:rsidRPr="001E228D">
        <w:t>gyv</w:t>
      </w:r>
      <w:r w:rsidR="005F3F4D" w:rsidRPr="001E228D">
        <w:t>entoj</w:t>
      </w:r>
      <w:r w:rsidR="00573B45" w:rsidRPr="001E228D">
        <w:t>ų finan</w:t>
      </w:r>
      <w:r w:rsidR="00B15CEF" w:rsidRPr="001E228D">
        <w:t>sinės elgsenos apibrėžimo</w:t>
      </w:r>
      <w:r w:rsidR="00606ACF" w:rsidRPr="001E228D">
        <w:t xml:space="preserve"> –</w:t>
      </w:r>
      <w:r w:rsidR="00DD04A6">
        <w:t xml:space="preserve"> </w:t>
      </w:r>
      <w:r w:rsidR="00606ACF" w:rsidRPr="001E228D">
        <w:t>finansin</w:t>
      </w:r>
      <w:r w:rsidR="00020401" w:rsidRPr="001E228D">
        <w:t>ė</w:t>
      </w:r>
      <w:r w:rsidR="00606ACF" w:rsidRPr="001E228D">
        <w:t xml:space="preserve"> elgsen</w:t>
      </w:r>
      <w:r w:rsidR="00020401" w:rsidRPr="001E228D">
        <w:t>a</w:t>
      </w:r>
      <w:r w:rsidR="009F5D02" w:rsidRPr="001E228D">
        <w:t>, kaip reiškinys,</w:t>
      </w:r>
      <w:r w:rsidR="00020401" w:rsidRPr="001E228D">
        <w:t xml:space="preserve"> </w:t>
      </w:r>
      <w:r w:rsidR="00932FE4">
        <w:t xml:space="preserve">vis </w:t>
      </w:r>
      <w:r w:rsidR="00C93267" w:rsidRPr="001E228D">
        <w:t>dar</w:t>
      </w:r>
      <w:r w:rsidR="003A6E51" w:rsidRPr="001E228D">
        <w:t xml:space="preserve"> </w:t>
      </w:r>
      <w:r w:rsidR="00DD04A6">
        <w:t>form</w:t>
      </w:r>
      <w:r w:rsidR="003C72C1">
        <w:t>uojasi</w:t>
      </w:r>
      <w:r w:rsidR="00DD04A6">
        <w:t xml:space="preserve"> </w:t>
      </w:r>
      <w:r w:rsidR="00C93267" w:rsidRPr="001E228D">
        <w:t>turi</w:t>
      </w:r>
      <w:r w:rsidR="005F3F4D" w:rsidRPr="001E228D">
        <w:t>nio</w:t>
      </w:r>
      <w:r w:rsidR="00B7116C" w:rsidRPr="001E228D">
        <w:t xml:space="preserve"> prasme</w:t>
      </w:r>
      <w:r w:rsidR="009D7D61" w:rsidRPr="001E228D">
        <w:t xml:space="preserve"> (nėra iki galo aišku, k</w:t>
      </w:r>
      <w:r w:rsidR="002735AB">
        <w:t>ą reik</w:t>
      </w:r>
      <w:r w:rsidR="00352F07" w:rsidRPr="001E228D">
        <w:t>tų laikyti</w:t>
      </w:r>
      <w:r w:rsidR="009D7D61" w:rsidRPr="001E228D">
        <w:t xml:space="preserve"> </w:t>
      </w:r>
      <w:r w:rsidR="009D7D61" w:rsidRPr="0091573B">
        <w:rPr>
          <w:i/>
        </w:rPr>
        <w:t>finansine</w:t>
      </w:r>
      <w:r w:rsidR="009D7D61" w:rsidRPr="001E228D">
        <w:t xml:space="preserve"> elgsena)</w:t>
      </w:r>
      <w:r w:rsidR="004D17CF" w:rsidRPr="001E228D">
        <w:t xml:space="preserve">, </w:t>
      </w:r>
      <w:r w:rsidR="00E76845" w:rsidRPr="001E228D">
        <w:t xml:space="preserve">todėl </w:t>
      </w:r>
      <w:r w:rsidR="00C93267" w:rsidRPr="001E228D">
        <w:t>yra</w:t>
      </w:r>
      <w:r w:rsidR="00E76845" w:rsidRPr="001E228D">
        <w:t xml:space="preserve"> </w:t>
      </w:r>
      <w:r w:rsidR="005A2E25" w:rsidRPr="001E228D">
        <w:t>sunkiai įspraudžiama</w:t>
      </w:r>
      <w:r w:rsidR="004E75C3" w:rsidRPr="001E228D">
        <w:t>s</w:t>
      </w:r>
      <w:r w:rsidR="00EC0B04" w:rsidRPr="001E228D">
        <w:t xml:space="preserve"> į </w:t>
      </w:r>
      <w:r w:rsidR="002735AB">
        <w:t>„</w:t>
      </w:r>
      <w:r w:rsidR="00EC0B04" w:rsidRPr="001E228D">
        <w:t>rėmus</w:t>
      </w:r>
      <w:r w:rsidR="002735AB">
        <w:t>“</w:t>
      </w:r>
      <w:r w:rsidR="007B23A3" w:rsidRPr="001E228D">
        <w:t>.</w:t>
      </w:r>
    </w:p>
    <w:p w:rsidR="00125B08" w:rsidRPr="001E228D" w:rsidRDefault="00096FAE" w:rsidP="00573B45">
      <w:r w:rsidRPr="001E228D">
        <w:t>Nors š</w:t>
      </w:r>
      <w:r w:rsidR="00E6325D" w:rsidRPr="001E228D">
        <w:t xml:space="preserve">iuo metu </w:t>
      </w:r>
      <w:r w:rsidR="004E7D31" w:rsidRPr="001E228D">
        <w:t>neabejojam</w:t>
      </w:r>
      <w:r w:rsidR="00592EA3" w:rsidRPr="001E228D">
        <w:t>a</w:t>
      </w:r>
      <w:r w:rsidR="00F92C0E" w:rsidRPr="001E228D">
        <w:t xml:space="preserve">, </w:t>
      </w:r>
      <w:r w:rsidR="00BD3EC2" w:rsidRPr="001E228D">
        <w:t>jog</w:t>
      </w:r>
      <w:r w:rsidR="00F92C0E" w:rsidRPr="001E228D">
        <w:t xml:space="preserve"> finansinei elgsenai įtaką daro</w:t>
      </w:r>
      <w:r w:rsidR="000307A4" w:rsidRPr="001E228D">
        <w:t xml:space="preserve"> daug</w:t>
      </w:r>
      <w:r w:rsidR="00F02A85">
        <w:t xml:space="preserve"> ir</w:t>
      </w:r>
      <w:r w:rsidR="00F37986" w:rsidRPr="001E228D">
        <w:t xml:space="preserve"> </w:t>
      </w:r>
      <w:r w:rsidR="00F92C0E" w:rsidRPr="001E228D">
        <w:t>įvairių veiksnių</w:t>
      </w:r>
      <w:r w:rsidR="00604C71" w:rsidRPr="001E228D">
        <w:t>,</w:t>
      </w:r>
      <w:r w:rsidR="00ED7BB6" w:rsidRPr="001E228D">
        <w:t xml:space="preserve"> </w:t>
      </w:r>
      <w:r w:rsidR="00604C71" w:rsidRPr="001E228D">
        <w:t>tai</w:t>
      </w:r>
      <w:r w:rsidR="000669A5">
        <w:t>,</w:t>
      </w:r>
      <w:r w:rsidR="00604C71" w:rsidRPr="001E228D">
        <w:t xml:space="preserve"> </w:t>
      </w:r>
      <w:r w:rsidR="0017417E" w:rsidRPr="001E228D">
        <w:t>veikiau</w:t>
      </w:r>
      <w:r w:rsidR="000669A5">
        <w:t>,</w:t>
      </w:r>
      <w:r w:rsidR="00604C71" w:rsidRPr="001E228D">
        <w:t xml:space="preserve"> padeda įsitikinti </w:t>
      </w:r>
      <w:r w:rsidR="002E5401">
        <w:t xml:space="preserve">šio </w:t>
      </w:r>
      <w:r w:rsidR="00604C71" w:rsidRPr="001E228D">
        <w:t xml:space="preserve">reiškinio </w:t>
      </w:r>
      <w:r w:rsidR="002A1C27" w:rsidRPr="001E228D">
        <w:t>įvairiapusiškumu</w:t>
      </w:r>
      <w:r w:rsidR="000669A5">
        <w:t xml:space="preserve"> nei</w:t>
      </w:r>
      <w:r w:rsidR="00604C71" w:rsidRPr="001E228D">
        <w:t xml:space="preserve"> </w:t>
      </w:r>
      <w:r w:rsidR="009F072D" w:rsidRPr="001E228D">
        <w:t>apibrėžt</w:t>
      </w:r>
      <w:r w:rsidR="000C3B34" w:rsidRPr="001E228D">
        <w:t xml:space="preserve">i </w:t>
      </w:r>
      <w:r w:rsidR="001C3D6C">
        <w:t xml:space="preserve">šio </w:t>
      </w:r>
      <w:r w:rsidR="00521815" w:rsidRPr="001E228D">
        <w:t xml:space="preserve">reiškinio </w:t>
      </w:r>
      <w:r w:rsidR="00DB6BF7">
        <w:t>(</w:t>
      </w:r>
      <w:r w:rsidR="00521815" w:rsidRPr="001E228D">
        <w:t>poveikio lauko</w:t>
      </w:r>
      <w:r w:rsidR="00DB6BF7">
        <w:t>)</w:t>
      </w:r>
      <w:r w:rsidR="00521815" w:rsidRPr="001E228D">
        <w:t xml:space="preserve"> ribas</w:t>
      </w:r>
      <w:r w:rsidR="0017417E" w:rsidRPr="001E228D">
        <w:t>, v</w:t>
      </w:r>
      <w:r w:rsidR="00C67663" w:rsidRPr="001E228D">
        <w:t xml:space="preserve">adinasi, </w:t>
      </w:r>
      <w:r w:rsidR="002E0D22" w:rsidRPr="001E228D">
        <w:t xml:space="preserve">norint </w:t>
      </w:r>
      <w:r w:rsidR="00B94EEB" w:rsidRPr="001E228D">
        <w:t>suvokti</w:t>
      </w:r>
      <w:r w:rsidR="005F0E76" w:rsidRPr="001E228D">
        <w:t xml:space="preserve">, kas </w:t>
      </w:r>
      <w:r w:rsidR="00FD3BF7" w:rsidRPr="001E228D">
        <w:t>iš tiesų</w:t>
      </w:r>
      <w:r w:rsidR="00134382" w:rsidRPr="001E228D">
        <w:t xml:space="preserve"> </w:t>
      </w:r>
      <w:r w:rsidR="005F0E76" w:rsidRPr="001E228D">
        <w:t xml:space="preserve">yra </w:t>
      </w:r>
      <w:r w:rsidR="008E47A7" w:rsidRPr="001E228D">
        <w:t xml:space="preserve">gyventojų </w:t>
      </w:r>
      <w:r w:rsidR="005F0E76" w:rsidRPr="001E228D">
        <w:t>finansinė elgsena</w:t>
      </w:r>
      <w:r w:rsidR="001E1576" w:rsidRPr="001E228D">
        <w:t xml:space="preserve"> </w:t>
      </w:r>
      <w:r w:rsidR="006D77F5" w:rsidRPr="001E228D">
        <w:t>bei kam ir</w:t>
      </w:r>
      <w:r w:rsidR="001E1576" w:rsidRPr="001E228D">
        <w:t xml:space="preserve"> kokią įtaką ji daro</w:t>
      </w:r>
      <w:r w:rsidR="006D77F5" w:rsidRPr="001E228D">
        <w:t>, reikšdama</w:t>
      </w:r>
      <w:r w:rsidR="006B2C28" w:rsidRPr="001E228D">
        <w:t>si</w:t>
      </w:r>
      <w:r w:rsidR="006D77F5" w:rsidRPr="001E228D">
        <w:t xml:space="preserve"> kaip tokia</w:t>
      </w:r>
      <w:r w:rsidR="00171478" w:rsidRPr="001E228D">
        <w:t>,</w:t>
      </w:r>
      <w:r w:rsidR="001E1576" w:rsidRPr="001E228D">
        <w:t xml:space="preserve"> </w:t>
      </w:r>
      <w:r w:rsidR="00AB7D96" w:rsidRPr="001E228D">
        <w:t xml:space="preserve">nepakanka </w:t>
      </w:r>
      <w:r w:rsidR="00EE0487" w:rsidRPr="001E228D">
        <w:t>gvilden</w:t>
      </w:r>
      <w:r w:rsidR="00AB7D96" w:rsidRPr="001E228D">
        <w:t xml:space="preserve">ti </w:t>
      </w:r>
      <w:r w:rsidR="00B51357">
        <w:t xml:space="preserve">tik </w:t>
      </w:r>
      <w:r w:rsidR="00AB7D96" w:rsidRPr="001E228D">
        <w:t>tam tikr</w:t>
      </w:r>
      <w:r w:rsidR="00B51357">
        <w:t>ų</w:t>
      </w:r>
      <w:r w:rsidR="00AB7D96" w:rsidRPr="001E228D">
        <w:t xml:space="preserve"> aspekt</w:t>
      </w:r>
      <w:r w:rsidR="00B51357">
        <w:t>ų</w:t>
      </w:r>
      <w:r w:rsidR="008C4F06">
        <w:t xml:space="preserve"> – </w:t>
      </w:r>
      <w:r w:rsidR="003023BF">
        <w:t xml:space="preserve">tam </w:t>
      </w:r>
      <w:r w:rsidR="008C4F06">
        <w:t xml:space="preserve">reikia </w:t>
      </w:r>
      <w:r w:rsidR="008E47A7" w:rsidRPr="001E228D">
        <w:t>atlikti</w:t>
      </w:r>
      <w:r w:rsidR="001D1673" w:rsidRPr="001E228D">
        <w:t xml:space="preserve"> </w:t>
      </w:r>
      <w:r w:rsidR="00FD3BF7" w:rsidRPr="001E228D">
        <w:t>visapusišk</w:t>
      </w:r>
      <w:r w:rsidR="00E61C03" w:rsidRPr="001E228D">
        <w:t xml:space="preserve">ą </w:t>
      </w:r>
      <w:r w:rsidR="00EE0487" w:rsidRPr="001E228D">
        <w:t xml:space="preserve">šio reiškinio </w:t>
      </w:r>
      <w:r w:rsidR="00E61C03" w:rsidRPr="001E228D">
        <w:t>analizę</w:t>
      </w:r>
      <w:r w:rsidR="00794C71">
        <w:t>.</w:t>
      </w:r>
    </w:p>
    <w:p w:rsidR="0001441A" w:rsidRPr="00FB0ED6" w:rsidRDefault="00981504" w:rsidP="00E9562A">
      <w:pPr>
        <w:pStyle w:val="Heading2"/>
      </w:pPr>
      <w:bookmarkStart w:id="2" w:name="_Toc343636874"/>
      <w:r w:rsidRPr="00FB0ED6">
        <w:t>Gyventojų finansinės elgsenos, kaip reiškinio, ypatumai</w:t>
      </w:r>
      <w:bookmarkEnd w:id="2"/>
    </w:p>
    <w:p w:rsidR="00412B40" w:rsidRDefault="00AA550B" w:rsidP="00981504">
      <w:r>
        <w:t>T</w:t>
      </w:r>
      <w:r w:rsidR="00B06CD9">
        <w:t xml:space="preserve">erminas </w:t>
      </w:r>
      <w:r w:rsidR="00A47176" w:rsidRPr="00A47176">
        <w:rPr>
          <w:i/>
        </w:rPr>
        <w:t>gyventojų</w:t>
      </w:r>
      <w:r w:rsidR="00A47176">
        <w:t xml:space="preserve"> </w:t>
      </w:r>
      <w:r w:rsidR="00B06CD9" w:rsidRPr="009C1605">
        <w:rPr>
          <w:i/>
        </w:rPr>
        <w:t>finansinė elgsena</w:t>
      </w:r>
      <w:r w:rsidR="00B06CD9">
        <w:t xml:space="preserve"> apibūdina pakankamai sudėtingą reiškinį</w:t>
      </w:r>
      <w:r w:rsidR="00964B40">
        <w:t>, todė</w:t>
      </w:r>
      <w:r w:rsidR="00E949CA">
        <w:t>l</w:t>
      </w:r>
      <w:r w:rsidR="00E949CA" w:rsidRPr="00677319">
        <w:t xml:space="preserve">, </w:t>
      </w:r>
      <w:proofErr w:type="spellStart"/>
      <w:r w:rsidR="00E949CA" w:rsidRPr="00677319">
        <w:t>Fuller</w:t>
      </w:r>
      <w:proofErr w:type="spellEnd"/>
      <w:r w:rsidR="00E949CA" w:rsidRPr="00677319">
        <w:t xml:space="preserve"> (2000)</w:t>
      </w:r>
      <w:r w:rsidR="00E949CA">
        <w:t xml:space="preserve"> manymu</w:t>
      </w:r>
      <w:r w:rsidR="005B2788">
        <w:t xml:space="preserve">, </w:t>
      </w:r>
      <w:r w:rsidR="00511369">
        <w:t>natūralu, jog</w:t>
      </w:r>
      <w:r w:rsidR="005B2788">
        <w:t xml:space="preserve"> egzistuoja </w:t>
      </w:r>
      <w:r w:rsidR="007E2ADA">
        <w:t>daug</w:t>
      </w:r>
      <w:r w:rsidR="005B2788">
        <w:t xml:space="preserve"> jo aiškinimo </w:t>
      </w:r>
      <w:r w:rsidR="005B2788" w:rsidRPr="00E41AC1">
        <w:t>variant</w:t>
      </w:r>
      <w:r w:rsidR="007E2ADA">
        <w:t>ų</w:t>
      </w:r>
      <w:r w:rsidR="00EB7493">
        <w:t xml:space="preserve">. </w:t>
      </w:r>
      <w:r w:rsidR="00A148F7">
        <w:t>Nors šio argumento pagrįstumu būtų sunku suabejoti, m</w:t>
      </w:r>
      <w:r w:rsidR="00B006F2">
        <w:t>ūsų suvokimu,</w:t>
      </w:r>
      <w:r w:rsidR="00412DAF">
        <w:t xml:space="preserve"> tai nėra vienintelė priežastis, kodėl</w:t>
      </w:r>
      <w:r w:rsidR="00B006F2">
        <w:t xml:space="preserve"> </w:t>
      </w:r>
      <w:r w:rsidR="0018189A">
        <w:t xml:space="preserve">to paties </w:t>
      </w:r>
      <w:r w:rsidR="00A20E30">
        <w:t>termin</w:t>
      </w:r>
      <w:r w:rsidR="0018189A">
        <w:t xml:space="preserve">o </w:t>
      </w:r>
      <w:r w:rsidR="00B006F2">
        <w:t>a</w:t>
      </w:r>
      <w:r w:rsidR="007A5B21">
        <w:t xml:space="preserve">iškinimas </w:t>
      </w:r>
      <w:r w:rsidR="006D239C">
        <w:t>skir</w:t>
      </w:r>
      <w:r w:rsidR="00E949CA">
        <w:t>iasi</w:t>
      </w:r>
      <w:r w:rsidR="00A20E30">
        <w:t xml:space="preserve"> –</w:t>
      </w:r>
      <w:r w:rsidR="00A148F7">
        <w:t xml:space="preserve"> mat, </w:t>
      </w:r>
      <w:r w:rsidR="00735006">
        <w:t xml:space="preserve">terminas </w:t>
      </w:r>
      <w:r w:rsidR="003157CD">
        <w:t xml:space="preserve">savyje </w:t>
      </w:r>
      <w:r w:rsidR="00926E9F">
        <w:t>talpina net keletą</w:t>
      </w:r>
      <w:r w:rsidR="00A04752">
        <w:t xml:space="preserve"> </w:t>
      </w:r>
      <w:r w:rsidR="00F96938">
        <w:t>sąvokų</w:t>
      </w:r>
      <w:r w:rsidR="00B006F2">
        <w:t>,</w:t>
      </w:r>
      <w:r w:rsidR="006015AB">
        <w:t xml:space="preserve"> kurias</w:t>
      </w:r>
      <w:r w:rsidR="00B006F2">
        <w:t xml:space="preserve"> </w:t>
      </w:r>
      <w:r w:rsidR="004D01CF">
        <w:t>skirtingai interpretuojant</w:t>
      </w:r>
      <w:r w:rsidR="00760971">
        <w:t>,</w:t>
      </w:r>
      <w:r w:rsidR="00605DAB">
        <w:t xml:space="preserve"> gaunama</w:t>
      </w:r>
      <w:r w:rsidR="00EE12A2">
        <w:t xml:space="preserve"> </w:t>
      </w:r>
      <w:r w:rsidR="00605DAB">
        <w:t xml:space="preserve">skirtinga </w:t>
      </w:r>
      <w:r w:rsidR="00926E9F" w:rsidRPr="006F4F43">
        <w:t>išeiga</w:t>
      </w:r>
      <w:r w:rsidR="00822F10" w:rsidRPr="006F4F43">
        <w:t xml:space="preserve">. Taigi atsiranda poreikis </w:t>
      </w:r>
      <w:r w:rsidR="00773E06" w:rsidRPr="006F4F43">
        <w:t xml:space="preserve">nuo visumos pereiti prie </w:t>
      </w:r>
      <w:r w:rsidR="003D01FF" w:rsidRPr="006F4F43">
        <w:t xml:space="preserve">atskirų </w:t>
      </w:r>
      <w:r w:rsidR="00773E06" w:rsidRPr="006F4F43">
        <w:t xml:space="preserve">jos dalių, t. y. </w:t>
      </w:r>
      <w:r w:rsidR="006F4F43" w:rsidRPr="006F4F43">
        <w:t xml:space="preserve">išskaidyti terminą į atskiras </w:t>
      </w:r>
      <w:r w:rsidR="00773E06" w:rsidRPr="006F4F43">
        <w:t>sąvokas</w:t>
      </w:r>
      <w:r w:rsidR="00960D0F" w:rsidRPr="006F4F43">
        <w:t>.</w:t>
      </w:r>
    </w:p>
    <w:p w:rsidR="003D01FF" w:rsidRPr="00677319" w:rsidRDefault="0027379F" w:rsidP="00981504">
      <w:r w:rsidRPr="00677319">
        <w:t>Dabartinės lietuvių kalbos žodyne (2000</w:t>
      </w:r>
      <w:r w:rsidR="00677319" w:rsidRPr="00677319">
        <w:t>)</w:t>
      </w:r>
      <w:r w:rsidR="00682FFF">
        <w:t xml:space="preserve"> </w:t>
      </w:r>
      <w:r w:rsidR="00682FFF" w:rsidRPr="00634001">
        <w:rPr>
          <w:b/>
          <w:i/>
        </w:rPr>
        <w:t>elgsena</w:t>
      </w:r>
      <w:r w:rsidR="00682FFF">
        <w:t xml:space="preserve"> yra apibūdinama kaip gyvenimo ir veikimo būdas, elgimasis</w:t>
      </w:r>
      <w:r w:rsidR="006013FE">
        <w:t>, t. y. kaip tam tik</w:t>
      </w:r>
      <w:r w:rsidR="00512ED1">
        <w:t xml:space="preserve">ram asmeniui būdingas elgesys. Nors elgsena </w:t>
      </w:r>
      <w:r w:rsidR="00C11C75">
        <w:t xml:space="preserve">ir </w:t>
      </w:r>
      <w:r w:rsidR="00512ED1">
        <w:t>nėra detalizuojama</w:t>
      </w:r>
      <w:r w:rsidR="00A169C3">
        <w:t>, iš pateiktų</w:t>
      </w:r>
      <w:r w:rsidR="00C11C75">
        <w:t xml:space="preserve"> pavyzdžių </w:t>
      </w:r>
      <w:r w:rsidR="00010D91">
        <w:t>(</w:t>
      </w:r>
      <w:r w:rsidR="00010D91" w:rsidRPr="00DC27D4">
        <w:rPr>
          <w:i/>
        </w:rPr>
        <w:t>mandagiai elgtis</w:t>
      </w:r>
      <w:r w:rsidR="00010D91">
        <w:t xml:space="preserve">) </w:t>
      </w:r>
      <w:r w:rsidR="00C11C75">
        <w:t>suprantama</w:t>
      </w:r>
      <w:r w:rsidR="008B238F">
        <w:t xml:space="preserve">, jog </w:t>
      </w:r>
      <w:r w:rsidR="008C3F9D">
        <w:t xml:space="preserve">elgsenos prigimtis yra </w:t>
      </w:r>
      <w:r w:rsidR="008C3F9D" w:rsidRPr="00B875FD">
        <w:rPr>
          <w:i/>
        </w:rPr>
        <w:t>pozityvi</w:t>
      </w:r>
      <w:r w:rsidR="00C6698A">
        <w:t xml:space="preserve">, kas </w:t>
      </w:r>
      <w:r w:rsidR="008A2C08">
        <w:t xml:space="preserve">reiškia, jog žmogus </w:t>
      </w:r>
      <w:r w:rsidR="00F55450">
        <w:t>turi elgtis</w:t>
      </w:r>
      <w:r w:rsidR="008A2C08">
        <w:t xml:space="preserve"> teising</w:t>
      </w:r>
      <w:r w:rsidR="00F55450">
        <w:t>ai</w:t>
      </w:r>
      <w:r w:rsidR="005575EA">
        <w:t xml:space="preserve"> – </w:t>
      </w:r>
      <w:r w:rsidR="005575EA" w:rsidRPr="00677319">
        <w:t>taip, kaip priimta visuomenės</w:t>
      </w:r>
      <w:r w:rsidR="00F55450" w:rsidRPr="00677319">
        <w:t>.</w:t>
      </w:r>
      <w:r w:rsidR="00D164F4" w:rsidRPr="00677319">
        <w:t xml:space="preserve"> </w:t>
      </w:r>
      <w:r w:rsidR="001A7473" w:rsidRPr="00677319">
        <w:t>Geros manieros yra išskiriamos ir kitų kalbų žodynuose, tačiau reikėtų pastebėti</w:t>
      </w:r>
      <w:r w:rsidR="00FC7183" w:rsidRPr="00677319">
        <w:t xml:space="preserve">, jog ten </w:t>
      </w:r>
      <w:r w:rsidR="00672828" w:rsidRPr="00677319">
        <w:t xml:space="preserve">terminas yra aiškinamas </w:t>
      </w:r>
      <w:r w:rsidR="00742327" w:rsidRPr="00677319">
        <w:t>kiek</w:t>
      </w:r>
      <w:r w:rsidR="00FC7183" w:rsidRPr="00677319">
        <w:t xml:space="preserve"> </w:t>
      </w:r>
      <w:r w:rsidR="00672828" w:rsidRPr="00677319">
        <w:t>plačiau</w:t>
      </w:r>
      <w:r w:rsidR="00007D9B" w:rsidRPr="00677319">
        <w:t xml:space="preserve">, </w:t>
      </w:r>
      <w:r w:rsidR="00F915B9" w:rsidRPr="00677319">
        <w:t xml:space="preserve">t. y. </w:t>
      </w:r>
      <w:r w:rsidR="00DF32E9" w:rsidRPr="00677319">
        <w:t xml:space="preserve">kaip </w:t>
      </w:r>
      <w:r w:rsidR="00F915B9" w:rsidRPr="00677319">
        <w:t>žmogaus</w:t>
      </w:r>
      <w:r w:rsidR="00E51999" w:rsidRPr="00677319">
        <w:t xml:space="preserve"> reakcija</w:t>
      </w:r>
      <w:r w:rsidR="00F915B9" w:rsidRPr="00677319">
        <w:rPr>
          <w:i/>
        </w:rPr>
        <w:t xml:space="preserve"> į </w:t>
      </w:r>
      <w:r w:rsidR="00A04C90" w:rsidRPr="00677319">
        <w:rPr>
          <w:i/>
        </w:rPr>
        <w:t xml:space="preserve">įvairius </w:t>
      </w:r>
      <w:r w:rsidR="00F915B9" w:rsidRPr="00677319">
        <w:rPr>
          <w:i/>
        </w:rPr>
        <w:t>dirgiklius</w:t>
      </w:r>
      <w:r w:rsidR="00066427" w:rsidRPr="00677319">
        <w:rPr>
          <w:i/>
        </w:rPr>
        <w:t xml:space="preserve"> </w:t>
      </w:r>
      <w:r w:rsidR="00066427" w:rsidRPr="00677319">
        <w:t>(</w:t>
      </w:r>
      <w:proofErr w:type="spellStart"/>
      <w:r w:rsidR="00066427" w:rsidRPr="00677319">
        <w:t>The</w:t>
      </w:r>
      <w:proofErr w:type="spellEnd"/>
      <w:r w:rsidR="00066427" w:rsidRPr="00677319">
        <w:t xml:space="preserve"> </w:t>
      </w:r>
      <w:proofErr w:type="spellStart"/>
      <w:r w:rsidR="00066427" w:rsidRPr="00677319">
        <w:t>Oxford</w:t>
      </w:r>
      <w:proofErr w:type="spellEnd"/>
      <w:r w:rsidR="00066427" w:rsidRPr="00677319">
        <w:t xml:space="preserve"> </w:t>
      </w:r>
      <w:proofErr w:type="spellStart"/>
      <w:r w:rsidR="00066427" w:rsidRPr="00677319">
        <w:t>English</w:t>
      </w:r>
      <w:proofErr w:type="spellEnd"/>
      <w:r w:rsidR="00066427" w:rsidRPr="00677319">
        <w:t xml:space="preserve"> </w:t>
      </w:r>
      <w:proofErr w:type="spellStart"/>
      <w:r w:rsidR="00066427" w:rsidRPr="00677319">
        <w:t>Reference</w:t>
      </w:r>
      <w:proofErr w:type="spellEnd"/>
      <w:r w:rsidR="00066427" w:rsidRPr="00677319">
        <w:t xml:space="preserve"> </w:t>
      </w:r>
      <w:proofErr w:type="spellStart"/>
      <w:r w:rsidR="00066427" w:rsidRPr="00677319">
        <w:t>Dictionary</w:t>
      </w:r>
      <w:proofErr w:type="spellEnd"/>
      <w:r w:rsidR="00066427" w:rsidRPr="00677319">
        <w:t xml:space="preserve"> 2002)</w:t>
      </w:r>
      <w:r w:rsidR="00C92843" w:rsidRPr="00677319">
        <w:t xml:space="preserve"> ar</w:t>
      </w:r>
      <w:r w:rsidR="007D2315" w:rsidRPr="00677319">
        <w:t>ba</w:t>
      </w:r>
      <w:r w:rsidR="00DF32E9" w:rsidRPr="00677319">
        <w:t xml:space="preserve"> </w:t>
      </w:r>
      <w:r w:rsidR="00BF1360" w:rsidRPr="00677319">
        <w:rPr>
          <w:i/>
        </w:rPr>
        <w:t>pakitusiu</w:t>
      </w:r>
      <w:r w:rsidR="004A26BA" w:rsidRPr="00677319">
        <w:rPr>
          <w:i/>
        </w:rPr>
        <w:t>s aplink</w:t>
      </w:r>
      <w:r w:rsidR="00BF1360" w:rsidRPr="00677319">
        <w:rPr>
          <w:i/>
        </w:rPr>
        <w:t xml:space="preserve">os </w:t>
      </w:r>
      <w:r w:rsidR="00BB7B26" w:rsidRPr="00677319">
        <w:rPr>
          <w:i/>
        </w:rPr>
        <w:t xml:space="preserve">veiksnius </w:t>
      </w:r>
      <w:r w:rsidR="0047140E" w:rsidRPr="00677319">
        <w:t>(</w:t>
      </w:r>
      <w:proofErr w:type="spellStart"/>
      <w:r w:rsidR="00AF0B4D" w:rsidRPr="00677319">
        <w:t>The</w:t>
      </w:r>
      <w:proofErr w:type="spellEnd"/>
      <w:r w:rsidR="00AF0B4D" w:rsidRPr="00677319">
        <w:t xml:space="preserve"> </w:t>
      </w:r>
      <w:proofErr w:type="spellStart"/>
      <w:r w:rsidR="00AF0B4D" w:rsidRPr="00677319">
        <w:t>New</w:t>
      </w:r>
      <w:proofErr w:type="spellEnd"/>
      <w:r w:rsidR="00AF0B4D" w:rsidRPr="00677319">
        <w:t xml:space="preserve"> </w:t>
      </w:r>
      <w:proofErr w:type="spellStart"/>
      <w:r w:rsidR="00AF0B4D" w:rsidRPr="00677319">
        <w:t>Oxford</w:t>
      </w:r>
      <w:proofErr w:type="spellEnd"/>
      <w:r w:rsidR="00AF0B4D" w:rsidRPr="00677319">
        <w:t xml:space="preserve"> </w:t>
      </w:r>
      <w:proofErr w:type="spellStart"/>
      <w:r w:rsidR="00AF0B4D" w:rsidRPr="00677319">
        <w:t>D</w:t>
      </w:r>
      <w:r w:rsidR="0047140E" w:rsidRPr="00677319">
        <w:t>ictionary</w:t>
      </w:r>
      <w:proofErr w:type="spellEnd"/>
      <w:r w:rsidR="0047140E" w:rsidRPr="00677319">
        <w:t xml:space="preserve"> </w:t>
      </w:r>
      <w:proofErr w:type="spellStart"/>
      <w:r w:rsidR="0047140E" w:rsidRPr="00677319">
        <w:t>of</w:t>
      </w:r>
      <w:proofErr w:type="spellEnd"/>
      <w:r w:rsidR="0047140E" w:rsidRPr="00677319">
        <w:t xml:space="preserve"> </w:t>
      </w:r>
      <w:proofErr w:type="spellStart"/>
      <w:r w:rsidR="0047140E" w:rsidRPr="00677319">
        <w:t>English</w:t>
      </w:r>
      <w:proofErr w:type="spellEnd"/>
      <w:r w:rsidR="00AF0B4D" w:rsidRPr="00677319">
        <w:t xml:space="preserve"> 2001)</w:t>
      </w:r>
      <w:r w:rsidR="001A76C4" w:rsidRPr="00677319">
        <w:t xml:space="preserve">, ignoruojant </w:t>
      </w:r>
      <w:r w:rsidR="000754AE" w:rsidRPr="00677319">
        <w:t xml:space="preserve">(arba ne) </w:t>
      </w:r>
      <w:r w:rsidR="001A76C4" w:rsidRPr="00677319">
        <w:t>jausm</w:t>
      </w:r>
      <w:r w:rsidR="009C33EE" w:rsidRPr="00677319">
        <w:t xml:space="preserve">ų </w:t>
      </w:r>
      <w:r w:rsidR="008E4756" w:rsidRPr="00677319">
        <w:t xml:space="preserve">daromą </w:t>
      </w:r>
      <w:r w:rsidR="000754AE" w:rsidRPr="00677319">
        <w:t>įtaką</w:t>
      </w:r>
      <w:r w:rsidR="009C33EE" w:rsidRPr="00677319">
        <w:t xml:space="preserve">, t. y. elgseną suvokiant kaip </w:t>
      </w:r>
      <w:r w:rsidR="002B0C46" w:rsidRPr="00677319">
        <w:t xml:space="preserve">atsaką, priklausomą </w:t>
      </w:r>
      <w:r w:rsidR="00FF4299" w:rsidRPr="00677319">
        <w:t xml:space="preserve">(arba </w:t>
      </w:r>
      <w:r w:rsidR="007F5ECA" w:rsidRPr="00677319">
        <w:t>ne</w:t>
      </w:r>
      <w:r w:rsidR="00FF4299" w:rsidRPr="00677319">
        <w:t xml:space="preserve">priklausomą) </w:t>
      </w:r>
      <w:r w:rsidR="00331E69" w:rsidRPr="00677319">
        <w:t xml:space="preserve">nuo </w:t>
      </w:r>
      <w:r w:rsidR="00F54194" w:rsidRPr="00677319">
        <w:t xml:space="preserve">paties </w:t>
      </w:r>
      <w:r w:rsidR="00FF4299" w:rsidRPr="00677319">
        <w:t>asmen</w:t>
      </w:r>
      <w:r w:rsidR="00331E69" w:rsidRPr="00677319">
        <w:t>s</w:t>
      </w:r>
      <w:r w:rsidR="00C92843" w:rsidRPr="00677319">
        <w:t>.</w:t>
      </w:r>
      <w:r w:rsidR="00E51999" w:rsidRPr="00677319">
        <w:t xml:space="preserve"> Tai reiškia, jo</w:t>
      </w:r>
      <w:r w:rsidR="0067341E" w:rsidRPr="00677319">
        <w:t xml:space="preserve">g </w:t>
      </w:r>
      <w:r w:rsidR="007D2315" w:rsidRPr="00677319">
        <w:t>individas gali elgtis</w:t>
      </w:r>
      <w:r w:rsidR="007A3411" w:rsidRPr="00677319">
        <w:t xml:space="preserve"> tiek sąmoningai, tiek</w:t>
      </w:r>
      <w:r w:rsidR="00941AEA" w:rsidRPr="00677319">
        <w:t xml:space="preserve"> ir</w:t>
      </w:r>
      <w:r w:rsidR="0055418B" w:rsidRPr="00677319">
        <w:t xml:space="preserve"> </w:t>
      </w:r>
      <w:r w:rsidR="007A3411" w:rsidRPr="00677319">
        <w:t>nesąmoningai</w:t>
      </w:r>
      <w:r w:rsidR="00295268" w:rsidRPr="00677319">
        <w:t>, n</w:t>
      </w:r>
      <w:r w:rsidR="0055418B" w:rsidRPr="00677319">
        <w:t>epaisant to, jog</w:t>
      </w:r>
      <w:r w:rsidR="00295268" w:rsidRPr="00677319">
        <w:t xml:space="preserve"> paklusn</w:t>
      </w:r>
      <w:r w:rsidR="0055418B" w:rsidRPr="00677319">
        <w:t>iam</w:t>
      </w:r>
      <w:r w:rsidR="00295268" w:rsidRPr="00677319">
        <w:t xml:space="preserve"> </w:t>
      </w:r>
      <w:r w:rsidR="000F22D2" w:rsidRPr="00677319">
        <w:t xml:space="preserve">ar teisingam </w:t>
      </w:r>
      <w:r w:rsidR="00295268" w:rsidRPr="00677319">
        <w:t>elges</w:t>
      </w:r>
      <w:r w:rsidR="0055418B" w:rsidRPr="00677319">
        <w:t>iui</w:t>
      </w:r>
      <w:r w:rsidR="00295268" w:rsidRPr="00677319">
        <w:t xml:space="preserve"> </w:t>
      </w:r>
      <w:r w:rsidR="0055418B" w:rsidRPr="00677319">
        <w:t>teikiamas prioritetas.</w:t>
      </w:r>
    </w:p>
    <w:p w:rsidR="00866070" w:rsidRPr="00677319" w:rsidRDefault="00DC63B6" w:rsidP="000C2778">
      <w:r w:rsidRPr="00677319">
        <w:t>Reik</w:t>
      </w:r>
      <w:r w:rsidR="008505F2" w:rsidRPr="00677319">
        <w:t>ė</w:t>
      </w:r>
      <w:r w:rsidRPr="00677319">
        <w:t>tų</w:t>
      </w:r>
      <w:r w:rsidR="00D3267E" w:rsidRPr="00677319">
        <w:t xml:space="preserve"> pa</w:t>
      </w:r>
      <w:r w:rsidR="00EA63FF" w:rsidRPr="00677319">
        <w:t>minė</w:t>
      </w:r>
      <w:r w:rsidR="00D3267E" w:rsidRPr="00677319">
        <w:t>ti</w:t>
      </w:r>
      <w:r w:rsidRPr="00677319">
        <w:t xml:space="preserve">, </w:t>
      </w:r>
      <w:r w:rsidR="008505F2" w:rsidRPr="00677319">
        <w:t xml:space="preserve">jog, </w:t>
      </w:r>
      <w:r w:rsidR="006B6EEC" w:rsidRPr="00677319">
        <w:t xml:space="preserve">nagrinėjant </w:t>
      </w:r>
      <w:r w:rsidR="008505F2" w:rsidRPr="00677319">
        <w:t xml:space="preserve">atsakus į įvairius dirgiklius, </w:t>
      </w:r>
      <w:r w:rsidRPr="00677319">
        <w:t>sąmoningum</w:t>
      </w:r>
      <w:r w:rsidR="001E1978" w:rsidRPr="00677319">
        <w:t>o</w:t>
      </w:r>
      <w:r w:rsidR="008505F2" w:rsidRPr="00677319">
        <w:t xml:space="preserve">, t. y. gebėjimo </w:t>
      </w:r>
      <w:r w:rsidR="008505F2" w:rsidRPr="00677319">
        <w:rPr>
          <w:i/>
        </w:rPr>
        <w:t>kritiškai</w:t>
      </w:r>
      <w:r w:rsidR="008505F2" w:rsidRPr="00677319">
        <w:t xml:space="preserve"> vertinti reiškinius</w:t>
      </w:r>
      <w:r w:rsidR="006B6EEC" w:rsidRPr="00677319">
        <w:t xml:space="preserve"> (Terminų žodynas 2012)</w:t>
      </w:r>
      <w:r w:rsidR="008505F2" w:rsidRPr="00677319">
        <w:t>,</w:t>
      </w:r>
      <w:r w:rsidR="001E1978" w:rsidRPr="00677319">
        <w:t xml:space="preserve"> lygį</w:t>
      </w:r>
      <w:r w:rsidRPr="00677319">
        <w:t xml:space="preserve"> </w:t>
      </w:r>
      <w:r w:rsidR="00DD17C2" w:rsidRPr="00677319">
        <w:t xml:space="preserve">nėra lengva </w:t>
      </w:r>
      <w:r w:rsidRPr="00677319">
        <w:t xml:space="preserve">nustatyti, kadangi </w:t>
      </w:r>
      <w:r w:rsidR="00B118C6" w:rsidRPr="00677319">
        <w:t>tiek</w:t>
      </w:r>
      <w:r w:rsidR="00AD3325" w:rsidRPr="00677319">
        <w:t xml:space="preserve"> dirgikliai</w:t>
      </w:r>
      <w:r w:rsidR="00B118C6" w:rsidRPr="00677319">
        <w:t>, tiek sąlygos</w:t>
      </w:r>
      <w:r w:rsidR="00AD3325" w:rsidRPr="00677319">
        <w:t xml:space="preserve"> gali būti</w:t>
      </w:r>
      <w:r w:rsidR="00C77CD4" w:rsidRPr="00677319">
        <w:t xml:space="preserve"> skirtingi</w:t>
      </w:r>
      <w:r w:rsidR="00CD3A7C" w:rsidRPr="00677319">
        <w:t>, pavyzdžiui:</w:t>
      </w:r>
      <w:r w:rsidR="0088314A" w:rsidRPr="00677319">
        <w:t xml:space="preserve"> </w:t>
      </w:r>
      <w:r w:rsidR="005466A3" w:rsidRPr="00677319">
        <w:t xml:space="preserve">ar </w:t>
      </w:r>
      <w:r w:rsidR="003752D7" w:rsidRPr="00677319">
        <w:t>reakciją į staigiai krentančias akcijų kainas</w:t>
      </w:r>
      <w:r w:rsidR="00D7698A" w:rsidRPr="00677319">
        <w:t xml:space="preserve">, esant </w:t>
      </w:r>
      <w:r w:rsidR="00006328" w:rsidRPr="00677319">
        <w:t>emoci</w:t>
      </w:r>
      <w:r w:rsidR="0052340C" w:rsidRPr="00677319">
        <w:t>jų</w:t>
      </w:r>
      <w:r w:rsidR="00387FFB" w:rsidRPr="00677319">
        <w:t xml:space="preserve"> </w:t>
      </w:r>
      <w:r w:rsidR="00D7698A" w:rsidRPr="00677319">
        <w:t>antplūdžiui</w:t>
      </w:r>
      <w:r w:rsidR="00A63596" w:rsidRPr="00677319">
        <w:t>,</w:t>
      </w:r>
      <w:r w:rsidR="005466A3" w:rsidRPr="00677319">
        <w:t xml:space="preserve"> reikėtų laikyti sąmoninga</w:t>
      </w:r>
      <w:r w:rsidR="00713FCC" w:rsidRPr="00677319">
        <w:t xml:space="preserve"> veikla</w:t>
      </w:r>
      <w:r w:rsidR="00175DB2" w:rsidRPr="00677319">
        <w:t xml:space="preserve">? </w:t>
      </w:r>
      <w:r w:rsidR="00071D83" w:rsidRPr="00677319">
        <w:t>O</w:t>
      </w:r>
      <w:r w:rsidR="00175DB2" w:rsidRPr="00677319">
        <w:t xml:space="preserve"> </w:t>
      </w:r>
      <w:r w:rsidR="00B9267C" w:rsidRPr="00677319">
        <w:t xml:space="preserve">kaip </w:t>
      </w:r>
      <w:r w:rsidR="002F0DD9" w:rsidRPr="00677319">
        <w:t>keistų</w:t>
      </w:r>
      <w:r w:rsidR="00FD2046" w:rsidRPr="00677319">
        <w:t>si</w:t>
      </w:r>
      <w:r w:rsidR="00071D83" w:rsidRPr="00677319">
        <w:t xml:space="preserve"> požiūris</w:t>
      </w:r>
      <w:r w:rsidR="00B9267C" w:rsidRPr="00677319">
        <w:t>, jei</w:t>
      </w:r>
      <w:r w:rsidR="00071D83" w:rsidRPr="00677319">
        <w:t>gu</w:t>
      </w:r>
      <w:r w:rsidR="0052340C" w:rsidRPr="00677319">
        <w:t xml:space="preserve"> </w:t>
      </w:r>
      <w:r w:rsidR="00A63596" w:rsidRPr="00677319">
        <w:t xml:space="preserve">žmogus </w:t>
      </w:r>
      <w:r w:rsidR="00E81B5D" w:rsidRPr="00677319">
        <w:t>sureaguotų po to</w:t>
      </w:r>
      <w:r w:rsidR="00627BEE" w:rsidRPr="00677319">
        <w:t xml:space="preserve">, </w:t>
      </w:r>
      <w:r w:rsidR="00E81B5D" w:rsidRPr="00677319">
        <w:t xml:space="preserve">kai </w:t>
      </w:r>
      <w:r w:rsidR="00A63596" w:rsidRPr="00677319">
        <w:t>suvok</w:t>
      </w:r>
      <w:r w:rsidR="00E81B5D" w:rsidRPr="00677319">
        <w:t>tų</w:t>
      </w:r>
      <w:r w:rsidR="00837115" w:rsidRPr="00677319">
        <w:t xml:space="preserve">, jog </w:t>
      </w:r>
      <w:r w:rsidR="00084969" w:rsidRPr="00677319">
        <w:t>yra veikiamas</w:t>
      </w:r>
      <w:r w:rsidR="00837115" w:rsidRPr="00677319">
        <w:t xml:space="preserve"> </w:t>
      </w:r>
      <w:r w:rsidR="00E10C38" w:rsidRPr="00677319">
        <w:t>emocijų</w:t>
      </w:r>
      <w:r w:rsidR="005F0675" w:rsidRPr="00677319">
        <w:t xml:space="preserve">, nors </w:t>
      </w:r>
      <w:r w:rsidR="00EC04B4" w:rsidRPr="00677319">
        <w:t>jos</w:t>
      </w:r>
      <w:r w:rsidR="00E81B5D" w:rsidRPr="00677319">
        <w:t xml:space="preserve"> </w:t>
      </w:r>
      <w:r w:rsidR="00E135DA" w:rsidRPr="00677319">
        <w:t xml:space="preserve">ir </w:t>
      </w:r>
      <w:r w:rsidR="00E81B5D" w:rsidRPr="00677319">
        <w:t xml:space="preserve">nebūtų </w:t>
      </w:r>
      <w:r w:rsidR="00E10C38" w:rsidRPr="00677319">
        <w:t>išnyk</w:t>
      </w:r>
      <w:r w:rsidR="00EC04B4" w:rsidRPr="00677319">
        <w:t>usio</w:t>
      </w:r>
      <w:r w:rsidR="00E10C38" w:rsidRPr="00677319">
        <w:t>s</w:t>
      </w:r>
      <w:r w:rsidR="009636D9" w:rsidRPr="00677319">
        <w:t>?</w:t>
      </w:r>
      <w:r w:rsidR="00E10C38" w:rsidRPr="00677319">
        <w:t xml:space="preserve"> </w:t>
      </w:r>
      <w:r w:rsidR="00543344" w:rsidRPr="00677319">
        <w:t xml:space="preserve">Akivaizdu, jog </w:t>
      </w:r>
      <w:r w:rsidR="00F57D9B" w:rsidRPr="00677319">
        <w:t>p</w:t>
      </w:r>
      <w:r w:rsidR="00FC0859" w:rsidRPr="00677319">
        <w:t>s</w:t>
      </w:r>
      <w:r w:rsidR="00F57D9B" w:rsidRPr="00677319">
        <w:t>ichologin</w:t>
      </w:r>
      <w:r w:rsidR="00CF7866" w:rsidRPr="00677319">
        <w:t xml:space="preserve">ių </w:t>
      </w:r>
      <w:r w:rsidR="002E262E" w:rsidRPr="00677319">
        <w:t>veiksnių egzistavimas</w:t>
      </w:r>
      <w:r w:rsidR="007C51BD" w:rsidRPr="00677319">
        <w:t xml:space="preserve"> </w:t>
      </w:r>
      <w:r w:rsidR="00120E00" w:rsidRPr="00677319">
        <w:t xml:space="preserve">elgseną </w:t>
      </w:r>
      <w:r w:rsidR="001552BC" w:rsidRPr="00677319">
        <w:t>pa</w:t>
      </w:r>
      <w:r w:rsidR="00E26E2A" w:rsidRPr="00677319">
        <w:t xml:space="preserve">daro </w:t>
      </w:r>
      <w:r w:rsidR="001552BC" w:rsidRPr="00677319">
        <w:t xml:space="preserve">daug </w:t>
      </w:r>
      <w:r w:rsidR="00120E00" w:rsidRPr="00677319">
        <w:t xml:space="preserve">sunkiau suvokiamu </w:t>
      </w:r>
      <w:r w:rsidR="005F0675" w:rsidRPr="00677319">
        <w:t>reiškiniu</w:t>
      </w:r>
      <w:r w:rsidR="001376C7" w:rsidRPr="00677319">
        <w:t xml:space="preserve">, todėl ne veltui </w:t>
      </w:r>
      <w:r w:rsidR="000C33D3" w:rsidRPr="00677319">
        <w:t xml:space="preserve">žmonių </w:t>
      </w:r>
      <w:r w:rsidR="00FC343C" w:rsidRPr="00677319">
        <w:t xml:space="preserve">elgsenai </w:t>
      </w:r>
      <w:r w:rsidR="00CF388A" w:rsidRPr="00677319">
        <w:t xml:space="preserve">visuomenėje </w:t>
      </w:r>
      <w:r w:rsidR="00CF112E" w:rsidRPr="00677319">
        <w:t>su</w:t>
      </w:r>
      <w:r w:rsidR="00973E98" w:rsidRPr="00677319">
        <w:t>pras</w:t>
      </w:r>
      <w:r w:rsidR="002A29F1" w:rsidRPr="00677319">
        <w:t xml:space="preserve">ti </w:t>
      </w:r>
      <w:r w:rsidR="002F6DD5" w:rsidRPr="00677319">
        <w:t xml:space="preserve">ir tirti </w:t>
      </w:r>
      <w:r w:rsidR="00DB0B7E" w:rsidRPr="00677319">
        <w:t>pasitelkiamas atskiras, t.</w:t>
      </w:r>
      <w:r w:rsidR="002F6DD5" w:rsidRPr="00677319">
        <w:t> </w:t>
      </w:r>
      <w:r w:rsidR="00DB0B7E" w:rsidRPr="00677319">
        <w:t xml:space="preserve">y. </w:t>
      </w:r>
      <w:r w:rsidR="00826DE7" w:rsidRPr="00677319">
        <w:rPr>
          <w:i/>
        </w:rPr>
        <w:t>elgsenos</w:t>
      </w:r>
      <w:r w:rsidR="009C64D7" w:rsidRPr="00677319">
        <w:t>,</w:t>
      </w:r>
      <w:r w:rsidR="00826DE7" w:rsidRPr="00677319">
        <w:rPr>
          <w:i/>
        </w:rPr>
        <w:t xml:space="preserve"> mokslas</w:t>
      </w:r>
      <w:r w:rsidR="00550F49" w:rsidRPr="00677319">
        <w:t xml:space="preserve"> </w:t>
      </w:r>
      <w:r w:rsidR="000413F3" w:rsidRPr="00677319">
        <w:t xml:space="preserve"> (</w:t>
      </w:r>
      <w:proofErr w:type="spellStart"/>
      <w:r w:rsidR="000413F3" w:rsidRPr="00677319">
        <w:t>Webster's</w:t>
      </w:r>
      <w:proofErr w:type="spellEnd"/>
      <w:r w:rsidR="000413F3" w:rsidRPr="00677319">
        <w:t xml:space="preserve"> </w:t>
      </w:r>
      <w:proofErr w:type="spellStart"/>
      <w:r w:rsidR="000413F3" w:rsidRPr="00677319">
        <w:t>Third</w:t>
      </w:r>
      <w:proofErr w:type="spellEnd"/>
      <w:r w:rsidR="000413F3" w:rsidRPr="00677319">
        <w:t xml:space="preserve"> </w:t>
      </w:r>
      <w:proofErr w:type="spellStart"/>
      <w:r w:rsidR="0099509B" w:rsidRPr="00677319">
        <w:t>N</w:t>
      </w:r>
      <w:r w:rsidR="000413F3" w:rsidRPr="00677319">
        <w:t>ew</w:t>
      </w:r>
      <w:proofErr w:type="spellEnd"/>
      <w:r w:rsidR="0099509B" w:rsidRPr="00677319">
        <w:t xml:space="preserve"> </w:t>
      </w:r>
      <w:proofErr w:type="spellStart"/>
      <w:r w:rsidR="0099509B" w:rsidRPr="00677319">
        <w:t>International</w:t>
      </w:r>
      <w:proofErr w:type="spellEnd"/>
      <w:r w:rsidR="0099509B" w:rsidRPr="00677319">
        <w:t xml:space="preserve"> </w:t>
      </w:r>
      <w:proofErr w:type="spellStart"/>
      <w:r w:rsidR="0099509B" w:rsidRPr="00677319">
        <w:t>Dictionary</w:t>
      </w:r>
      <w:proofErr w:type="spellEnd"/>
      <w:r w:rsidR="0099509B" w:rsidRPr="00677319">
        <w:t xml:space="preserve"> </w:t>
      </w:r>
      <w:r w:rsidR="00704E03" w:rsidRPr="00677319">
        <w:t>1993</w:t>
      </w:r>
      <w:r w:rsidR="008A26ED" w:rsidRPr="00677319">
        <w:t>)</w:t>
      </w:r>
      <w:r w:rsidR="00713FCC" w:rsidRPr="00677319">
        <w:t>.</w:t>
      </w:r>
    </w:p>
    <w:p w:rsidR="00C140FD" w:rsidRDefault="005F487C" w:rsidP="000C2778">
      <w:r w:rsidRPr="00BD2485">
        <w:lastRenderedPageBreak/>
        <w:t>Kadangi e</w:t>
      </w:r>
      <w:r w:rsidR="00237448" w:rsidRPr="00BD2485">
        <w:t>lgsenos mokslas</w:t>
      </w:r>
      <w:r w:rsidR="00A35BDA" w:rsidRPr="00BD2485">
        <w:t xml:space="preserve"> </w:t>
      </w:r>
      <w:r w:rsidR="00C140FD">
        <w:t xml:space="preserve">yra </w:t>
      </w:r>
      <w:r w:rsidR="00BD2485">
        <w:t xml:space="preserve">paremtas </w:t>
      </w:r>
      <w:r w:rsidR="00A35BDA" w:rsidRPr="00BD2485">
        <w:t>tiek psichologijos, tiek sociologijos, tiek</w:t>
      </w:r>
      <w:r w:rsidR="00BD2485" w:rsidRPr="00BD2485">
        <w:t xml:space="preserve"> </w:t>
      </w:r>
      <w:r w:rsidR="00C140FD">
        <w:t xml:space="preserve">ir </w:t>
      </w:r>
      <w:r w:rsidR="00BD2485" w:rsidRPr="00BD2485">
        <w:t>antropologijos mokslų žini</w:t>
      </w:r>
      <w:r w:rsidR="002B3040">
        <w:t>omis</w:t>
      </w:r>
      <w:r w:rsidR="003B7522" w:rsidRPr="00BD2485">
        <w:t>,</w:t>
      </w:r>
      <w:r w:rsidR="003B7522">
        <w:t xml:space="preserve"> nenuostabu, jog </w:t>
      </w:r>
      <w:r>
        <w:t xml:space="preserve">jis </w:t>
      </w:r>
      <w:r w:rsidR="003B7522">
        <w:t>gali geriau paaiškinti</w:t>
      </w:r>
      <w:r w:rsidR="00CD60BA">
        <w:t xml:space="preserve"> </w:t>
      </w:r>
      <w:r w:rsidR="0015799A">
        <w:t xml:space="preserve">ir </w:t>
      </w:r>
      <w:r w:rsidR="00AC7ED7">
        <w:t xml:space="preserve">individų finansinę elgseną, t. y. </w:t>
      </w:r>
      <w:r w:rsidR="00CD60BA">
        <w:t>elgseną finansų srityje</w:t>
      </w:r>
      <w:r w:rsidR="00B6432E">
        <w:t>, tačiau prieš tai reikėtų ap</w:t>
      </w:r>
      <w:r w:rsidR="0015799A">
        <w:t>i</w:t>
      </w:r>
      <w:r w:rsidR="00B6432E">
        <w:t xml:space="preserve">brėžti, kas </w:t>
      </w:r>
      <w:r w:rsidR="00AD5CED">
        <w:t xml:space="preserve">yra laikytina </w:t>
      </w:r>
      <w:r w:rsidR="007D425A" w:rsidRPr="007D425A">
        <w:rPr>
          <w:i/>
        </w:rPr>
        <w:t>finansine</w:t>
      </w:r>
      <w:r w:rsidR="005C53F3">
        <w:rPr>
          <w:i/>
        </w:rPr>
        <w:t>,</w:t>
      </w:r>
      <w:r w:rsidR="007D425A">
        <w:t xml:space="preserve"> arba konkrečiau</w:t>
      </w:r>
      <w:r w:rsidR="00243507">
        <w:t>,</w:t>
      </w:r>
      <w:r w:rsidR="007D425A">
        <w:t xml:space="preserve"> – </w:t>
      </w:r>
      <w:r w:rsidR="00AD5CED">
        <w:t>finansais</w:t>
      </w:r>
      <w:r w:rsidR="00E10D6B">
        <w:t>.</w:t>
      </w:r>
    </w:p>
    <w:p w:rsidR="00A20582" w:rsidRDefault="005C53F3" w:rsidP="000C2778">
      <w:r w:rsidRPr="005C53F3">
        <w:t>Dažnas iš mūsų finansus tapatina su pinigais, ir nors toks suvokimas nėra absoliučiai klaidingas, finansus</w:t>
      </w:r>
      <w:r w:rsidR="0010716E">
        <w:t xml:space="preserve"> </w:t>
      </w:r>
      <w:r w:rsidRPr="005C53F3">
        <w:t>reikėtų suvokti</w:t>
      </w:r>
      <w:r w:rsidR="00F240FB">
        <w:t xml:space="preserve"> šiek tiek</w:t>
      </w:r>
      <w:r w:rsidRPr="005C53F3">
        <w:t xml:space="preserve"> plačiau nei </w:t>
      </w:r>
      <w:r w:rsidR="0001485A">
        <w:t xml:space="preserve">universali mainų priemonė, </w:t>
      </w:r>
      <w:r w:rsidR="00C327F0">
        <w:t xml:space="preserve">kuri </w:t>
      </w:r>
      <w:r w:rsidRPr="005C53F3">
        <w:t>leidžia tam tikrą pinigų ki</w:t>
      </w:r>
      <w:r w:rsidR="006B44AD">
        <w:t xml:space="preserve">ekį </w:t>
      </w:r>
      <w:r w:rsidR="00BE601C">
        <w:t>iš</w:t>
      </w:r>
      <w:r w:rsidR="006B44AD">
        <w:t>keisti į tam tikrą pr</w:t>
      </w:r>
      <w:r w:rsidR="008E557A">
        <w:t>eki</w:t>
      </w:r>
      <w:r w:rsidR="006B44AD">
        <w:t>ų</w:t>
      </w:r>
      <w:r w:rsidR="0001485A">
        <w:t xml:space="preserve"> kiekį. Tai galėtų būti </w:t>
      </w:r>
      <w:r w:rsidR="00BD1C63">
        <w:t xml:space="preserve">aiškinama </w:t>
      </w:r>
      <w:r w:rsidRPr="005C53F3">
        <w:t>tuo, jog pinigai patys savaime egzistuoti negali</w:t>
      </w:r>
      <w:r w:rsidR="00536DF8">
        <w:t>:</w:t>
      </w:r>
      <w:r w:rsidR="00BA4DC7">
        <w:t xml:space="preserve"> tam, kad jie būtų, reikia tam tikrų sąlygų</w:t>
      </w:r>
      <w:r w:rsidR="00BE601C">
        <w:t xml:space="preserve"> (turi</w:t>
      </w:r>
      <w:r w:rsidRPr="005C53F3">
        <w:t xml:space="preserve"> egzistuot</w:t>
      </w:r>
      <w:r w:rsidR="00BA4DC7">
        <w:t>i mainai) ir mechanizmų</w:t>
      </w:r>
      <w:r w:rsidR="00536DF8">
        <w:t>. V</w:t>
      </w:r>
      <w:r w:rsidR="00502226">
        <w:t>adinasi, finans</w:t>
      </w:r>
      <w:r w:rsidR="00854D0B">
        <w:t>us reiktų su</w:t>
      </w:r>
      <w:r w:rsidR="004C79A4">
        <w:t>pras</w:t>
      </w:r>
      <w:r w:rsidR="00854D0B">
        <w:t xml:space="preserve">ti ne </w:t>
      </w:r>
      <w:r w:rsidR="004C79A4">
        <w:t xml:space="preserve">kaip </w:t>
      </w:r>
      <w:r w:rsidR="00421008">
        <w:t>materialų objektą</w:t>
      </w:r>
      <w:r w:rsidR="008B3D4C">
        <w:t xml:space="preserve"> (</w:t>
      </w:r>
      <w:r w:rsidR="00880E5B">
        <w:t xml:space="preserve">priemonę mainams </w:t>
      </w:r>
      <w:r w:rsidR="004517FB">
        <w:t>į</w:t>
      </w:r>
      <w:r w:rsidR="00F65543">
        <w:t>v</w:t>
      </w:r>
      <w:r w:rsidR="008B3D4C">
        <w:t xml:space="preserve">ykti), </w:t>
      </w:r>
      <w:r w:rsidR="00854D0B">
        <w:t xml:space="preserve">o </w:t>
      </w:r>
      <w:r w:rsidR="00527D56">
        <w:t xml:space="preserve">kaip </w:t>
      </w:r>
      <w:r w:rsidR="008B3D4C">
        <w:t>jo</w:t>
      </w:r>
      <w:r w:rsidRPr="005C53F3">
        <w:t xml:space="preserve"> </w:t>
      </w:r>
      <w:r w:rsidR="005E660D">
        <w:t>„</w:t>
      </w:r>
      <w:r w:rsidRPr="005C53F3">
        <w:t>gavimo, paskirstymo, kaupimo, investavimo i</w:t>
      </w:r>
      <w:r w:rsidR="0085014B">
        <w:t xml:space="preserve">r kontrolės </w:t>
      </w:r>
      <w:r w:rsidR="0085014B" w:rsidRPr="00677319">
        <w:t>sistemą</w:t>
      </w:r>
      <w:r w:rsidR="00066134" w:rsidRPr="00677319">
        <w:t>“</w:t>
      </w:r>
      <w:r w:rsidR="0085014B" w:rsidRPr="00677319">
        <w:t xml:space="preserve"> (Černius</w:t>
      </w:r>
      <w:r w:rsidRPr="00677319">
        <w:t xml:space="preserve"> 2011</w:t>
      </w:r>
      <w:r w:rsidR="00366585" w:rsidRPr="00677319">
        <w:t>, p. 68</w:t>
      </w:r>
      <w:r w:rsidR="00C509C3" w:rsidRPr="00677319">
        <w:t>). Tokiu</w:t>
      </w:r>
      <w:r w:rsidR="00C509C3">
        <w:t xml:space="preserve"> būdu</w:t>
      </w:r>
      <w:r w:rsidR="00AA7653">
        <w:t xml:space="preserve"> </w:t>
      </w:r>
      <w:r w:rsidR="00504DF5">
        <w:t xml:space="preserve">žodis </w:t>
      </w:r>
      <w:r w:rsidR="00AA7653">
        <w:t>„</w:t>
      </w:r>
      <w:r w:rsidR="00504DF5" w:rsidRPr="00AA7653">
        <w:t>finansinė</w:t>
      </w:r>
      <w:r w:rsidR="00AA7653">
        <w:t>“</w:t>
      </w:r>
      <w:r w:rsidR="00504DF5">
        <w:t xml:space="preserve"> įgyja kitą prasmę</w:t>
      </w:r>
      <w:r w:rsidR="00880E5B">
        <w:t xml:space="preserve">, </w:t>
      </w:r>
      <w:r w:rsidR="00AA7653">
        <w:t xml:space="preserve">nes </w:t>
      </w:r>
      <w:r w:rsidR="00B02041">
        <w:t>turi</w:t>
      </w:r>
      <w:r w:rsidR="00217FA7">
        <w:t xml:space="preserve"> būti </w:t>
      </w:r>
      <w:r w:rsidR="00E364CD">
        <w:t xml:space="preserve">siejamas ne </w:t>
      </w:r>
      <w:r w:rsidR="00217FA7">
        <w:t xml:space="preserve">tik </w:t>
      </w:r>
      <w:r w:rsidR="00E364CD">
        <w:t xml:space="preserve">su </w:t>
      </w:r>
      <w:r w:rsidR="00163A93">
        <w:t>p</w:t>
      </w:r>
      <w:r w:rsidR="00980C7B">
        <w:t>inigais</w:t>
      </w:r>
      <w:r w:rsidR="00296B61">
        <w:t>, bet</w:t>
      </w:r>
      <w:r w:rsidR="00E364CD">
        <w:t xml:space="preserve"> su absoliučiai visais procesais, vykstančiais</w:t>
      </w:r>
      <w:r w:rsidR="00FB23BA">
        <w:t xml:space="preserve"> dėl jų ir su jais.</w:t>
      </w:r>
    </w:p>
    <w:p w:rsidR="00E02572" w:rsidRDefault="00B45BA5" w:rsidP="000C2778">
      <w:r>
        <w:t xml:space="preserve">Bandant apjungti šias sąvokas, tampa akivaizdu, jog </w:t>
      </w:r>
      <w:r w:rsidRPr="00C455A5">
        <w:rPr>
          <w:i/>
        </w:rPr>
        <w:t>tiesiog</w:t>
      </w:r>
      <w:r>
        <w:t xml:space="preserve"> elgsena ir </w:t>
      </w:r>
      <w:r w:rsidRPr="00C455A5">
        <w:rPr>
          <w:i/>
        </w:rPr>
        <w:t>finansinė</w:t>
      </w:r>
      <w:r>
        <w:t xml:space="preserve"> elgsena</w:t>
      </w:r>
      <w:r w:rsidR="00C455A5">
        <w:t xml:space="preserve"> nėra tolygūs dalykai, </w:t>
      </w:r>
      <w:r w:rsidR="00C347FD">
        <w:t>nes</w:t>
      </w:r>
      <w:r w:rsidR="009627A9">
        <w:t xml:space="preserve"> žodis „</w:t>
      </w:r>
      <w:r w:rsidR="009627A9" w:rsidRPr="009627A9">
        <w:t>finansinė</w:t>
      </w:r>
      <w:r w:rsidR="009627A9">
        <w:t>“</w:t>
      </w:r>
      <w:r w:rsidR="00C455A5">
        <w:t xml:space="preserve"> elgsenai suteikia</w:t>
      </w:r>
      <w:r w:rsidR="000D0F74">
        <w:t xml:space="preserve"> </w:t>
      </w:r>
      <w:r w:rsidR="00C347FD">
        <w:t xml:space="preserve">kiek </w:t>
      </w:r>
      <w:r w:rsidR="00C455A5">
        <w:t xml:space="preserve">kitokį atspalvį: jei </w:t>
      </w:r>
      <w:r w:rsidR="00170E43">
        <w:t>elgsena suvokiama</w:t>
      </w:r>
      <w:r w:rsidR="00E560FB">
        <w:t xml:space="preserve"> </w:t>
      </w:r>
      <w:r w:rsidR="00170E43">
        <w:t xml:space="preserve">kaip </w:t>
      </w:r>
      <w:r w:rsidR="00B86DFA">
        <w:t xml:space="preserve">tam tikras </w:t>
      </w:r>
      <w:r w:rsidR="00170E43">
        <w:t xml:space="preserve">atsakas į </w:t>
      </w:r>
      <w:r w:rsidR="00EF0BF1">
        <w:t>įvairius</w:t>
      </w:r>
      <w:r w:rsidR="009A7752">
        <w:t xml:space="preserve"> dirgiklius</w:t>
      </w:r>
      <w:r w:rsidR="00B86DFA">
        <w:t xml:space="preserve">, tai </w:t>
      </w:r>
      <w:r w:rsidR="00B86DFA" w:rsidRPr="00634001">
        <w:rPr>
          <w:b/>
          <w:i/>
        </w:rPr>
        <w:t>finansinė elgsena</w:t>
      </w:r>
      <w:r w:rsidR="00E33409">
        <w:t xml:space="preserve"> tur</w:t>
      </w:r>
      <w:r w:rsidR="00E560FB">
        <w:t>ėtų</w:t>
      </w:r>
      <w:r w:rsidR="00E33409">
        <w:t xml:space="preserve"> būti siejama su </w:t>
      </w:r>
      <w:r w:rsidR="00D318AF">
        <w:t xml:space="preserve">apgalvota, </w:t>
      </w:r>
      <w:r w:rsidR="00EF0BF1">
        <w:t>pa</w:t>
      </w:r>
      <w:r w:rsidR="00094C50">
        <w:t xml:space="preserve">matuota ir </w:t>
      </w:r>
      <w:r w:rsidR="00D318AF">
        <w:t xml:space="preserve">atsakinga </w:t>
      </w:r>
      <w:r w:rsidR="009A7752">
        <w:t>reakcija</w:t>
      </w:r>
      <w:r w:rsidR="00D318AF">
        <w:t xml:space="preserve"> į</w:t>
      </w:r>
      <w:r w:rsidR="00E62E5C">
        <w:t xml:space="preserve"> </w:t>
      </w:r>
      <w:r w:rsidR="009E66C6">
        <w:t>pakitusią situaciją</w:t>
      </w:r>
      <w:r w:rsidR="006B68A4">
        <w:t xml:space="preserve">, </w:t>
      </w:r>
      <w:r w:rsidR="00FD3109">
        <w:t>kadangi</w:t>
      </w:r>
      <w:r w:rsidR="00607F97">
        <w:t xml:space="preserve"> </w:t>
      </w:r>
      <w:r w:rsidR="008B168B">
        <w:t>finansai</w:t>
      </w:r>
      <w:r w:rsidR="00787472">
        <w:t xml:space="preserve"> </w:t>
      </w:r>
      <w:r w:rsidR="008755FF">
        <w:t xml:space="preserve">iš žmogaus </w:t>
      </w:r>
      <w:r w:rsidR="00787472">
        <w:t>reikalauja valdymo, o ne chaotišk</w:t>
      </w:r>
      <w:r w:rsidR="006B68A4">
        <w:t>ų</w:t>
      </w:r>
      <w:r w:rsidR="00787472">
        <w:t xml:space="preserve"> </w:t>
      </w:r>
      <w:r w:rsidR="006B68A4">
        <w:t>sprendimų</w:t>
      </w:r>
      <w:r w:rsidR="00787472">
        <w:t>.</w:t>
      </w:r>
    </w:p>
    <w:p w:rsidR="00003FEE" w:rsidRDefault="004246AF" w:rsidP="000C2778">
      <w:r>
        <w:t xml:space="preserve">Nors toks </w:t>
      </w:r>
      <w:r w:rsidR="001C276E">
        <w:t>sąvokos iš</w:t>
      </w:r>
      <w:r>
        <w:t>aiškinimas</w:t>
      </w:r>
      <w:r w:rsidR="00376AF7">
        <w:t xml:space="preserve"> </w:t>
      </w:r>
      <w:r w:rsidR="001C276E">
        <w:t>pakankamai tiksli</w:t>
      </w:r>
      <w:r w:rsidR="00376AF7">
        <w:t xml:space="preserve">ai </w:t>
      </w:r>
      <w:r w:rsidR="0075436C">
        <w:t>atspindi finansinės elgsenos</w:t>
      </w:r>
      <w:r w:rsidR="00CB4278">
        <w:t xml:space="preserve"> esmę, jis ignoruoja žmog</w:t>
      </w:r>
      <w:r w:rsidR="00D64231">
        <w:t>ų</w:t>
      </w:r>
      <w:r w:rsidR="00CB4278">
        <w:t xml:space="preserve"> kaip „klaidų šaltinį“</w:t>
      </w:r>
      <w:r w:rsidR="00EB23E3">
        <w:t>, todėl</w:t>
      </w:r>
      <w:r w:rsidR="00A26994">
        <w:t xml:space="preserve">, kalbant apie </w:t>
      </w:r>
      <w:r w:rsidR="00647B90" w:rsidRPr="00634001">
        <w:rPr>
          <w:b/>
          <w:i/>
        </w:rPr>
        <w:t>individ</w:t>
      </w:r>
      <w:r w:rsidR="00A26994" w:rsidRPr="00634001">
        <w:rPr>
          <w:b/>
          <w:i/>
        </w:rPr>
        <w:t>ų finansinę elgseną</w:t>
      </w:r>
      <w:r w:rsidR="00A26994">
        <w:t>,</w:t>
      </w:r>
      <w:r w:rsidR="00EB23E3">
        <w:t xml:space="preserve"> </w:t>
      </w:r>
      <w:r w:rsidR="00634001">
        <w:t>reik</w:t>
      </w:r>
      <w:r w:rsidR="001C276E">
        <w:t xml:space="preserve">tų </w:t>
      </w:r>
      <w:r w:rsidR="000E7DF6">
        <w:t>aptarti, k</w:t>
      </w:r>
      <w:r w:rsidR="00D64231">
        <w:t>aip</w:t>
      </w:r>
      <w:r w:rsidR="000E7DF6">
        <w:t xml:space="preserve"> </w:t>
      </w:r>
      <w:r w:rsidR="00D64231">
        <w:t>šio termino reikšmę keičia</w:t>
      </w:r>
      <w:r w:rsidR="00647B90">
        <w:t xml:space="preserve"> </w:t>
      </w:r>
      <w:r w:rsidR="00647B90" w:rsidRPr="008C17E9">
        <w:rPr>
          <w:i/>
        </w:rPr>
        <w:t>žmogiškasis veiksnys</w:t>
      </w:r>
      <w:r w:rsidR="00647B90">
        <w:t>.</w:t>
      </w:r>
      <w:r w:rsidR="00B43313">
        <w:t xml:space="preserve"> Žmo</w:t>
      </w:r>
      <w:r w:rsidR="004C1372">
        <w:t>gus</w:t>
      </w:r>
      <w:r w:rsidR="00B43313">
        <w:t>, kaip žinia, gali būti labai įvair</w:t>
      </w:r>
      <w:r w:rsidR="004C1372">
        <w:t>u</w:t>
      </w:r>
      <w:r w:rsidR="00B43313">
        <w:t>s</w:t>
      </w:r>
      <w:r w:rsidR="00AB22E4">
        <w:t>, ir nors šiandien dėl to jau nekyla abejonių, ekonomikos moksl</w:t>
      </w:r>
      <w:r w:rsidR="00030364">
        <w:t>uose</w:t>
      </w:r>
      <w:r w:rsidR="004C1372">
        <w:t xml:space="preserve"> iki pat </w:t>
      </w:r>
      <w:r w:rsidR="00242D5B">
        <w:t>19</w:t>
      </w:r>
      <w:r w:rsidR="00753DBB">
        <w:t>9</w:t>
      </w:r>
      <w:r w:rsidR="00242D5B">
        <w:t>0-ųjų metų</w:t>
      </w:r>
      <w:r w:rsidR="00CF259F">
        <w:t xml:space="preserve"> </w:t>
      </w:r>
      <w:r w:rsidR="00C73E6B">
        <w:t xml:space="preserve">jis buvo </w:t>
      </w:r>
      <w:r w:rsidR="00C73E6B" w:rsidRPr="00677319">
        <w:t xml:space="preserve">idealizuojamas </w:t>
      </w:r>
      <w:r w:rsidR="00CF259F" w:rsidRPr="00677319">
        <w:t>(</w:t>
      </w:r>
      <w:proofErr w:type="spellStart"/>
      <w:r w:rsidR="00CF259F" w:rsidRPr="00677319">
        <w:t>Schinckus</w:t>
      </w:r>
      <w:proofErr w:type="spellEnd"/>
      <w:r w:rsidR="00CF259F" w:rsidRPr="00677319">
        <w:t xml:space="preserve"> 2011)</w:t>
      </w:r>
      <w:r w:rsidR="00242D5B" w:rsidRPr="00677319">
        <w:t>, t. y.</w:t>
      </w:r>
      <w:r w:rsidR="00BA54E2" w:rsidRPr="00677319">
        <w:t xml:space="preserve"> </w:t>
      </w:r>
      <w:r w:rsidR="00030364" w:rsidRPr="00677319">
        <w:t>laik</w:t>
      </w:r>
      <w:r w:rsidR="00B60D3B" w:rsidRPr="00677319">
        <w:t>yt</w:t>
      </w:r>
      <w:r w:rsidR="00030364" w:rsidRPr="00677319">
        <w:t xml:space="preserve">as </w:t>
      </w:r>
      <w:r w:rsidR="00374B0B" w:rsidRPr="00677319">
        <w:t xml:space="preserve">racionalia ekonomiška būtybe (lot. </w:t>
      </w:r>
      <w:r w:rsidR="00374B0B" w:rsidRPr="00677319">
        <w:rPr>
          <w:i/>
          <w:lang w:val="la-Latn"/>
        </w:rPr>
        <w:t>homo economicus</w:t>
      </w:r>
      <w:r w:rsidR="00374B0B" w:rsidRPr="00677319">
        <w:t>)</w:t>
      </w:r>
      <w:r w:rsidR="00803292" w:rsidRPr="00677319">
        <w:t>, gebančia</w:t>
      </w:r>
      <w:r w:rsidR="00E02572" w:rsidRPr="00677319">
        <w:t xml:space="preserve"> maksimizuoti </w:t>
      </w:r>
      <w:r w:rsidR="008C7857" w:rsidRPr="00677319">
        <w:t xml:space="preserve">savo </w:t>
      </w:r>
      <w:r w:rsidR="00550F49" w:rsidRPr="00677319">
        <w:t>gerovę</w:t>
      </w:r>
      <w:r w:rsidR="001454F1" w:rsidRPr="00677319">
        <w:t xml:space="preserve"> dėl </w:t>
      </w:r>
      <w:r w:rsidR="005A1AD7" w:rsidRPr="00677319">
        <w:t>trijų</w:t>
      </w:r>
      <w:r w:rsidR="00F57ECC" w:rsidRPr="00677319">
        <w:t xml:space="preserve"> esminių</w:t>
      </w:r>
      <w:r w:rsidR="001454F1" w:rsidRPr="00677319">
        <w:t xml:space="preserve"> dalykų: 1) tobulo savanaudiškumo; 2) tobulo racionalumo; 3) tobulos </w:t>
      </w:r>
      <w:r w:rsidR="00005024" w:rsidRPr="00677319">
        <w:t>informacijos.</w:t>
      </w:r>
      <w:r w:rsidR="00F57ECC" w:rsidRPr="00677319">
        <w:t xml:space="preserve"> </w:t>
      </w:r>
      <w:r w:rsidR="0063251F" w:rsidRPr="00677319">
        <w:t>„</w:t>
      </w:r>
      <w:r w:rsidR="00F57ECC" w:rsidRPr="00677319">
        <w:t xml:space="preserve">Visi finansų elgsenos šalininkai sutartinai teigia, kad tai buvo didžiausia </w:t>
      </w:r>
      <w:proofErr w:type="spellStart"/>
      <w:r w:rsidR="00F57ECC" w:rsidRPr="00677319">
        <w:t>neoklasikų</w:t>
      </w:r>
      <w:proofErr w:type="spellEnd"/>
      <w:r w:rsidR="00F57ECC" w:rsidRPr="00677319">
        <w:t xml:space="preserve"> </w:t>
      </w:r>
      <w:r w:rsidR="00423626" w:rsidRPr="00677319">
        <w:t xml:space="preserve">klaida, nes būtent </w:t>
      </w:r>
      <w:r w:rsidR="00423626" w:rsidRPr="00677319">
        <w:rPr>
          <w:i/>
          <w:lang w:val="la-Latn"/>
        </w:rPr>
        <w:t>homo economicus</w:t>
      </w:r>
      <w:r w:rsidR="00423626" w:rsidRPr="00677319">
        <w:t xml:space="preserve"> buvo tas asmuo, kuris ignoravo labai svarbius žmogaus psichologijos aspektus</w:t>
      </w:r>
      <w:r w:rsidR="00B60D3B" w:rsidRPr="00677319">
        <w:t xml:space="preserve"> (</w:t>
      </w:r>
      <w:r w:rsidR="003F6D88" w:rsidRPr="00677319">
        <w:t xml:space="preserve">t. y. praktiškai </w:t>
      </w:r>
      <w:r w:rsidR="00B60D3B" w:rsidRPr="00677319">
        <w:t>buvo utopija)</w:t>
      </w:r>
      <w:r w:rsidR="00CC677C" w:rsidRPr="00677319">
        <w:t xml:space="preserve"> ir atitiko tik labai supaprastintą žmogaus elgsenos modelį</w:t>
      </w:r>
      <w:r w:rsidR="0063251F" w:rsidRPr="00677319">
        <w:t>“</w:t>
      </w:r>
      <w:r w:rsidR="00CC0769" w:rsidRPr="00677319">
        <w:t xml:space="preserve"> (</w:t>
      </w:r>
      <w:proofErr w:type="spellStart"/>
      <w:r w:rsidR="00CC0769" w:rsidRPr="00677319">
        <w:t>Bikas</w:t>
      </w:r>
      <w:proofErr w:type="spellEnd"/>
      <w:r w:rsidR="00CC0769" w:rsidRPr="00677319">
        <w:t>, Kavaliauskas 2010</w:t>
      </w:r>
      <w:r w:rsidR="0063251F" w:rsidRPr="00677319">
        <w:t>, p.</w:t>
      </w:r>
      <w:r w:rsidR="0063251F">
        <w:rPr>
          <w:color w:val="FF0000"/>
        </w:rPr>
        <w:t xml:space="preserve"> </w:t>
      </w:r>
      <w:r w:rsidR="0063251F" w:rsidRPr="00677319">
        <w:t>372</w:t>
      </w:r>
      <w:r w:rsidR="00CC0769" w:rsidRPr="00677319">
        <w:t>).</w:t>
      </w:r>
      <w:r w:rsidR="0002306F" w:rsidRPr="00677319">
        <w:t xml:space="preserve"> Tai leidžia</w:t>
      </w:r>
      <w:r w:rsidR="0002306F">
        <w:t xml:space="preserve"> </w:t>
      </w:r>
      <w:r w:rsidR="00B56B4E">
        <w:t>tvirtinti</w:t>
      </w:r>
      <w:r w:rsidR="009F1CA6">
        <w:t xml:space="preserve">, </w:t>
      </w:r>
      <w:r w:rsidR="00090622">
        <w:t xml:space="preserve">jog </w:t>
      </w:r>
      <w:r w:rsidR="00B56B4E">
        <w:t xml:space="preserve">individų </w:t>
      </w:r>
      <w:r w:rsidR="007D4D70">
        <w:t xml:space="preserve">finansinė </w:t>
      </w:r>
      <w:r w:rsidR="007D4D70" w:rsidRPr="00FE296B">
        <w:t xml:space="preserve">elgsena </w:t>
      </w:r>
      <w:r w:rsidR="00B56B4E" w:rsidRPr="00FE296B">
        <w:t xml:space="preserve">yra labai </w:t>
      </w:r>
      <w:r w:rsidR="00324169" w:rsidRPr="00FE296B">
        <w:t>priklauso</w:t>
      </w:r>
      <w:r w:rsidR="00B56B4E" w:rsidRPr="00FE296B">
        <w:t>ma nuo psichologinių vyksm</w:t>
      </w:r>
      <w:r w:rsidR="00324169" w:rsidRPr="00FE296B">
        <w:t>ų</w:t>
      </w:r>
      <w:r w:rsidR="006B5418" w:rsidRPr="00FE296B">
        <w:t>,</w:t>
      </w:r>
      <w:r w:rsidR="006B5418">
        <w:t xml:space="preserve"> todėl</w:t>
      </w:r>
      <w:r w:rsidR="00397D1E">
        <w:t xml:space="preserve"> finansinė</w:t>
      </w:r>
      <w:r w:rsidR="006B5418">
        <w:t xml:space="preserve"> elgsena, t. y. </w:t>
      </w:r>
      <w:r w:rsidR="006B5418" w:rsidRPr="00C608EB">
        <w:t xml:space="preserve">atsakas </w:t>
      </w:r>
      <w:r w:rsidR="00284F71" w:rsidRPr="00C608EB">
        <w:t>į</w:t>
      </w:r>
      <w:r w:rsidR="0036558C">
        <w:t xml:space="preserve"> pakitusią finansų situaciją</w:t>
      </w:r>
      <w:r w:rsidR="00284F71" w:rsidRPr="00C608EB">
        <w:t>,</w:t>
      </w:r>
      <w:r w:rsidR="00284F71">
        <w:t xml:space="preserve"> </w:t>
      </w:r>
      <w:r w:rsidR="00284F71" w:rsidRPr="006F4931">
        <w:t>gali būti tiek racionali, tiek ir neracionali</w:t>
      </w:r>
      <w:r w:rsidR="00397D1E" w:rsidRPr="006F4931">
        <w:t>.</w:t>
      </w:r>
    </w:p>
    <w:p w:rsidR="00907EA7" w:rsidRDefault="00FA72D0" w:rsidP="000C2778">
      <w:r>
        <w:t>Pripažinus</w:t>
      </w:r>
      <w:r w:rsidR="00F60DD1">
        <w:t xml:space="preserve"> tai</w:t>
      </w:r>
      <w:r>
        <w:t xml:space="preserve">, jog žmogaus psichologija </w:t>
      </w:r>
      <w:r w:rsidR="00C71F42">
        <w:t xml:space="preserve">daro itin didelę (ar net lemiamą) įtaką </w:t>
      </w:r>
      <w:r w:rsidR="00F60DD1">
        <w:t>finansinių sprendimų priėmimo eigoje, finansin</w:t>
      </w:r>
      <w:r w:rsidR="0004006A">
        <w:t>ę</w:t>
      </w:r>
      <w:r w:rsidR="00F60DD1">
        <w:t xml:space="preserve"> elgsen</w:t>
      </w:r>
      <w:r w:rsidR="0004006A">
        <w:t xml:space="preserve">ą </w:t>
      </w:r>
      <w:r w:rsidR="0055694E">
        <w:t xml:space="preserve">pradėta sieti </w:t>
      </w:r>
      <w:r w:rsidR="0004006A">
        <w:t xml:space="preserve">ne su </w:t>
      </w:r>
      <w:r w:rsidR="000A35AA">
        <w:t xml:space="preserve">atitinkamu </w:t>
      </w:r>
      <w:r w:rsidR="0004006A">
        <w:t xml:space="preserve">veikimo būdu, o </w:t>
      </w:r>
      <w:r w:rsidR="0089781B">
        <w:t>su mokslu</w:t>
      </w:r>
      <w:r w:rsidR="00C244B2">
        <w:t xml:space="preserve"> ar tam tikrais jų deriniais</w:t>
      </w:r>
      <w:r w:rsidR="008D02EB">
        <w:t>, tad</w:t>
      </w:r>
      <w:r w:rsidR="00891D5E">
        <w:t xml:space="preserve"> šiandien galima išskirti </w:t>
      </w:r>
      <w:r w:rsidR="000B7E99" w:rsidRPr="00677319">
        <w:t xml:space="preserve">tokius </w:t>
      </w:r>
      <w:r w:rsidR="00891D5E" w:rsidRPr="00677319">
        <w:t>požiūri</w:t>
      </w:r>
      <w:r w:rsidR="000B7E99" w:rsidRPr="00677319">
        <w:t>us</w:t>
      </w:r>
      <w:r w:rsidR="00891D5E" w:rsidRPr="00677319">
        <w:t xml:space="preserve"> į </w:t>
      </w:r>
      <w:r w:rsidR="008D02EB" w:rsidRPr="00677319">
        <w:t xml:space="preserve">individų </w:t>
      </w:r>
      <w:r w:rsidR="008250B2" w:rsidRPr="00677319">
        <w:t>finansinę elgseną</w:t>
      </w:r>
      <w:r w:rsidR="00A936D9" w:rsidRPr="00677319">
        <w:t>:</w:t>
      </w:r>
      <w:r w:rsidR="00D57A5F" w:rsidRPr="00677319">
        <w:t xml:space="preserve"> 1) </w:t>
      </w:r>
      <w:r w:rsidR="00F00893" w:rsidRPr="00677319">
        <w:t>psichologija, kuri paskatina finansinių sprendimų įgyvendinimą (</w:t>
      </w:r>
      <w:proofErr w:type="spellStart"/>
      <w:r w:rsidR="00F00893" w:rsidRPr="00677319">
        <w:t>Jurevičienė</w:t>
      </w:r>
      <w:proofErr w:type="spellEnd"/>
      <w:r w:rsidR="005E3CCD" w:rsidRPr="00677319">
        <w:t xml:space="preserve">, </w:t>
      </w:r>
      <w:proofErr w:type="spellStart"/>
      <w:r w:rsidR="005E3CCD" w:rsidRPr="00677319">
        <w:t>Gausienė</w:t>
      </w:r>
      <w:proofErr w:type="spellEnd"/>
      <w:r w:rsidR="00F00893" w:rsidRPr="00677319">
        <w:t xml:space="preserve"> 2010</w:t>
      </w:r>
      <w:r w:rsidR="00077E1F" w:rsidRPr="00677319">
        <w:t xml:space="preserve">; </w:t>
      </w:r>
      <w:proofErr w:type="spellStart"/>
      <w:r w:rsidR="0009137A" w:rsidRPr="00677319">
        <w:t>Singh</w:t>
      </w:r>
      <w:proofErr w:type="spellEnd"/>
      <w:r w:rsidR="0009137A" w:rsidRPr="00677319">
        <w:t xml:space="preserve"> 2010</w:t>
      </w:r>
      <w:r w:rsidR="00F00893" w:rsidRPr="00677319">
        <w:t>); 2) </w:t>
      </w:r>
      <w:r w:rsidR="0084535C" w:rsidRPr="00677319">
        <w:t xml:space="preserve">ekonomikos ir finansų </w:t>
      </w:r>
      <w:r w:rsidR="00D57A5F" w:rsidRPr="00677319">
        <w:t>mokslų</w:t>
      </w:r>
      <w:r w:rsidR="00125BAA" w:rsidRPr="00677319">
        <w:t xml:space="preserve"> sąveikos su </w:t>
      </w:r>
      <w:r w:rsidR="00E208D4" w:rsidRPr="00677319">
        <w:t xml:space="preserve">sprendimų </w:t>
      </w:r>
      <w:r w:rsidR="00A96E3C" w:rsidRPr="00677319">
        <w:t>priėmimo</w:t>
      </w:r>
      <w:r w:rsidR="000829A9" w:rsidRPr="00677319">
        <w:t xml:space="preserve"> </w:t>
      </w:r>
      <w:r w:rsidR="00E208D4" w:rsidRPr="00677319">
        <w:t xml:space="preserve">ir </w:t>
      </w:r>
      <w:r w:rsidR="00125BAA" w:rsidRPr="00677319">
        <w:t xml:space="preserve">psichologijos </w:t>
      </w:r>
      <w:r w:rsidR="00E208D4" w:rsidRPr="00677319">
        <w:t>mokslais</w:t>
      </w:r>
      <w:r w:rsidR="00125BAA" w:rsidRPr="00677319">
        <w:t xml:space="preserve"> rezultatas</w:t>
      </w:r>
      <w:r w:rsidR="00E208D4" w:rsidRPr="00677319">
        <w:t xml:space="preserve"> (</w:t>
      </w:r>
      <w:proofErr w:type="spellStart"/>
      <w:r w:rsidR="00A6191D" w:rsidRPr="00677319">
        <w:t>Schinckus</w:t>
      </w:r>
      <w:proofErr w:type="spellEnd"/>
      <w:r w:rsidR="00A6191D" w:rsidRPr="00677319">
        <w:t xml:space="preserve"> 2011; </w:t>
      </w:r>
      <w:r w:rsidR="002936E0" w:rsidRPr="00677319">
        <w:t xml:space="preserve">Dedu </w:t>
      </w:r>
      <w:r w:rsidR="002936E0" w:rsidRPr="00677319">
        <w:rPr>
          <w:i/>
        </w:rPr>
        <w:t>et al</w:t>
      </w:r>
      <w:r w:rsidR="002936E0" w:rsidRPr="00677319">
        <w:t>. 2011</w:t>
      </w:r>
      <w:r w:rsidR="00E27B56" w:rsidRPr="00677319">
        <w:t xml:space="preserve">); </w:t>
      </w:r>
      <w:r w:rsidR="00077E1F" w:rsidRPr="00677319">
        <w:t>3</w:t>
      </w:r>
      <w:r w:rsidR="00E27B56" w:rsidRPr="00677319">
        <w:t>) </w:t>
      </w:r>
      <w:r w:rsidR="006A2F07" w:rsidRPr="00677319">
        <w:t>moksl</w:t>
      </w:r>
      <w:r w:rsidR="003B4CEA" w:rsidRPr="00677319">
        <w:t>o šaka</w:t>
      </w:r>
      <w:r w:rsidR="006A2F07" w:rsidRPr="00677319">
        <w:t xml:space="preserve">, </w:t>
      </w:r>
      <w:r w:rsidR="00BC617B" w:rsidRPr="00677319">
        <w:t xml:space="preserve">mėginanti </w:t>
      </w:r>
      <w:r w:rsidR="003B4CEA" w:rsidRPr="00677319">
        <w:t>paaiškinti</w:t>
      </w:r>
      <w:r w:rsidR="00907EA7" w:rsidRPr="00677319">
        <w:t xml:space="preserve"> finansų rinkų anomalijas</w:t>
      </w:r>
      <w:r w:rsidR="00612698" w:rsidRPr="00677319">
        <w:t xml:space="preserve"> (</w:t>
      </w:r>
      <w:proofErr w:type="spellStart"/>
      <w:r w:rsidR="00612698" w:rsidRPr="00677319">
        <w:t>Chitra</w:t>
      </w:r>
      <w:proofErr w:type="spellEnd"/>
      <w:r w:rsidR="004E3BF1" w:rsidRPr="00677319">
        <w:t xml:space="preserve">, </w:t>
      </w:r>
      <w:proofErr w:type="spellStart"/>
      <w:r w:rsidR="004E3BF1" w:rsidRPr="00677319">
        <w:t>Sreedevi</w:t>
      </w:r>
      <w:proofErr w:type="spellEnd"/>
      <w:r w:rsidR="004E3BF1" w:rsidRPr="00677319">
        <w:t xml:space="preserve"> 2011; </w:t>
      </w:r>
      <w:proofErr w:type="spellStart"/>
      <w:r w:rsidR="00612698" w:rsidRPr="00677319">
        <w:t>Qawi</w:t>
      </w:r>
      <w:proofErr w:type="spellEnd"/>
      <w:r w:rsidR="00612698" w:rsidRPr="00677319">
        <w:t xml:space="preserve"> 2010</w:t>
      </w:r>
      <w:r w:rsidR="00A62CE8" w:rsidRPr="00677319">
        <w:t>;</w:t>
      </w:r>
      <w:r w:rsidR="00477815" w:rsidRPr="00677319">
        <w:t>)</w:t>
      </w:r>
      <w:r w:rsidR="00612698" w:rsidRPr="00677319">
        <w:t>;</w:t>
      </w:r>
      <w:r w:rsidR="00477815" w:rsidRPr="00677319">
        <w:t xml:space="preserve"> 4) </w:t>
      </w:r>
      <w:r w:rsidR="00FB3058" w:rsidRPr="00677319">
        <w:t>mokslas,</w:t>
      </w:r>
      <w:r w:rsidR="00CB60E6" w:rsidRPr="00677319">
        <w:t xml:space="preserve"> tiriantis</w:t>
      </w:r>
      <w:r w:rsidR="00457626" w:rsidRPr="00677319">
        <w:t xml:space="preserve"> </w:t>
      </w:r>
      <w:r w:rsidR="003B4CEA" w:rsidRPr="00677319">
        <w:t>investuotojų</w:t>
      </w:r>
      <w:r w:rsidR="009C25CF" w:rsidRPr="00677319">
        <w:t xml:space="preserve"> [atskir</w:t>
      </w:r>
      <w:r w:rsidR="00AE6409" w:rsidRPr="00677319">
        <w:t xml:space="preserve">os </w:t>
      </w:r>
      <w:r w:rsidR="009C25CF" w:rsidRPr="00677319">
        <w:t>i</w:t>
      </w:r>
      <w:r w:rsidR="00AE6409" w:rsidRPr="00677319">
        <w:t>ndivid</w:t>
      </w:r>
      <w:r w:rsidR="009C25CF" w:rsidRPr="00677319">
        <w:t>ų</w:t>
      </w:r>
      <w:r w:rsidR="009E0F76" w:rsidRPr="00677319">
        <w:t xml:space="preserve"> grupės</w:t>
      </w:r>
      <w:r w:rsidR="009C25CF" w:rsidRPr="00677319">
        <w:t>]</w:t>
      </w:r>
      <w:r w:rsidR="003B4CEA" w:rsidRPr="00677319">
        <w:t xml:space="preserve"> elgseną </w:t>
      </w:r>
      <w:r w:rsidR="005D7D44" w:rsidRPr="00677319">
        <w:t>ir bandantis paaiškinti ne</w:t>
      </w:r>
      <w:r w:rsidR="00FB21D8" w:rsidRPr="00677319">
        <w:t>r</w:t>
      </w:r>
      <w:r w:rsidR="0006601E" w:rsidRPr="00677319">
        <w:t>acionali</w:t>
      </w:r>
      <w:r w:rsidR="007F6CD6" w:rsidRPr="00677319">
        <w:t>os</w:t>
      </w:r>
      <w:r w:rsidR="0006601E" w:rsidRPr="00677319">
        <w:t xml:space="preserve"> </w:t>
      </w:r>
      <w:r w:rsidR="009A4D5B" w:rsidRPr="00677319">
        <w:t>elgsen</w:t>
      </w:r>
      <w:r w:rsidR="007F6CD6" w:rsidRPr="00677319">
        <w:t xml:space="preserve">os </w:t>
      </w:r>
      <w:r w:rsidR="00A62CE8" w:rsidRPr="00677319">
        <w:t xml:space="preserve">priežastis </w:t>
      </w:r>
      <w:r w:rsidR="009A4D5B" w:rsidRPr="00677319">
        <w:t>(</w:t>
      </w:r>
      <w:proofErr w:type="spellStart"/>
      <w:r w:rsidR="00983492" w:rsidRPr="00677319">
        <w:t>Bikas</w:t>
      </w:r>
      <w:proofErr w:type="spellEnd"/>
      <w:r w:rsidR="00983492" w:rsidRPr="00677319">
        <w:t xml:space="preserve">, Kavaliauskas 2010; </w:t>
      </w:r>
      <w:r w:rsidR="00B82E8A" w:rsidRPr="00677319">
        <w:t xml:space="preserve">Lee at al. 2013; </w:t>
      </w:r>
      <w:proofErr w:type="spellStart"/>
      <w:r w:rsidR="00686FDF" w:rsidRPr="00677319">
        <w:t>Chitra</w:t>
      </w:r>
      <w:proofErr w:type="spellEnd"/>
      <w:r w:rsidR="00686FDF" w:rsidRPr="00677319">
        <w:t xml:space="preserve">, </w:t>
      </w:r>
      <w:proofErr w:type="spellStart"/>
      <w:r w:rsidR="00686FDF" w:rsidRPr="00677319">
        <w:t>Sreedevi</w:t>
      </w:r>
      <w:proofErr w:type="spellEnd"/>
      <w:r w:rsidR="00686FDF" w:rsidRPr="00677319">
        <w:t xml:space="preserve"> 2011</w:t>
      </w:r>
      <w:r w:rsidR="0006601E" w:rsidRPr="00677319">
        <w:t>)</w:t>
      </w:r>
      <w:r w:rsidR="007A699C" w:rsidRPr="00677319">
        <w:t>.</w:t>
      </w:r>
    </w:p>
    <w:p w:rsidR="009512D9" w:rsidRDefault="009E0F76" w:rsidP="000C2778">
      <w:r>
        <w:lastRenderedPageBreak/>
        <w:t>Kaip matome</w:t>
      </w:r>
      <w:r w:rsidR="00CA3D50">
        <w:t>, gyventojų</w:t>
      </w:r>
      <w:r w:rsidR="00766F99">
        <w:t xml:space="preserve"> finansinės elgsenos apibrėžimai</w:t>
      </w:r>
      <w:r w:rsidR="00B341F8">
        <w:t xml:space="preserve"> autorių</w:t>
      </w:r>
      <w:r w:rsidR="00CA3D50">
        <w:t xml:space="preserve"> yra pateik</w:t>
      </w:r>
      <w:r w:rsidR="00766F99">
        <w:t>iamai</w:t>
      </w:r>
      <w:r>
        <w:t xml:space="preserve"> labai apibendrint</w:t>
      </w:r>
      <w:r w:rsidR="008C7833">
        <w:t>i, todėl tampa sunku su</w:t>
      </w:r>
      <w:r w:rsidR="003807BC">
        <w:t>pras</w:t>
      </w:r>
      <w:r w:rsidR="008C7833">
        <w:t xml:space="preserve">ti, ką </w:t>
      </w:r>
      <w:r w:rsidR="00F7651A">
        <w:t xml:space="preserve">iš tiesų </w:t>
      </w:r>
      <w:r w:rsidR="008C7833">
        <w:t>reikėtų laikyti</w:t>
      </w:r>
      <w:r w:rsidR="00F7651A">
        <w:t xml:space="preserve"> </w:t>
      </w:r>
      <w:r w:rsidR="00F7651A" w:rsidRPr="003807BC">
        <w:rPr>
          <w:i/>
        </w:rPr>
        <w:t>finansine</w:t>
      </w:r>
      <w:r w:rsidR="00F7651A">
        <w:t xml:space="preserve"> elgsena</w:t>
      </w:r>
      <w:r w:rsidR="00FE05AD">
        <w:t xml:space="preserve"> –</w:t>
      </w:r>
      <w:r w:rsidR="00627208">
        <w:t xml:space="preserve"> žvelgiant į ją ne kaip į mokslą, o kaip </w:t>
      </w:r>
      <w:r w:rsidR="005604D9">
        <w:t xml:space="preserve">į </w:t>
      </w:r>
      <w:r w:rsidR="00627208">
        <w:t>tam tikrų</w:t>
      </w:r>
      <w:r w:rsidR="003807BC">
        <w:t xml:space="preserve"> </w:t>
      </w:r>
      <w:r w:rsidR="00022763">
        <w:t>veiksmų</w:t>
      </w:r>
      <w:r w:rsidR="00BE7400">
        <w:t>, susijusių su finansais,</w:t>
      </w:r>
      <w:r w:rsidR="00022763">
        <w:t xml:space="preserve"> atlikimo</w:t>
      </w:r>
      <w:r w:rsidR="00627208">
        <w:t xml:space="preserve"> procesą.</w:t>
      </w:r>
      <w:r w:rsidR="00E7007E">
        <w:t xml:space="preserve"> </w:t>
      </w:r>
      <w:r w:rsidR="007C2EEE">
        <w:t xml:space="preserve">Mūsų </w:t>
      </w:r>
      <w:r w:rsidR="002C6CA9">
        <w:t>nuomone</w:t>
      </w:r>
      <w:r w:rsidR="00BD4141">
        <w:t xml:space="preserve">, nusakant, kas daro įtaką </w:t>
      </w:r>
      <w:r w:rsidR="007267E0">
        <w:t>individ</w:t>
      </w:r>
      <w:r w:rsidR="00A5775F">
        <w:t xml:space="preserve">ų </w:t>
      </w:r>
      <w:r w:rsidR="00BD4141">
        <w:t>finansinei elgsenai</w:t>
      </w:r>
      <w:r w:rsidR="00FE05AD">
        <w:t xml:space="preserve">, </w:t>
      </w:r>
      <w:r w:rsidR="00501E9C">
        <w:t>parodomas tik</w:t>
      </w:r>
      <w:r w:rsidR="00954DA8">
        <w:t xml:space="preserve"> finansinės</w:t>
      </w:r>
      <w:r w:rsidR="00501E9C">
        <w:t xml:space="preserve"> elgsenos, kaip reiškinio, sudėtingumas, tačiau</w:t>
      </w:r>
      <w:r w:rsidR="002C6CA9">
        <w:t xml:space="preserve"> </w:t>
      </w:r>
      <w:r w:rsidR="003A4CEE">
        <w:t xml:space="preserve">iš to </w:t>
      </w:r>
      <w:r w:rsidR="00A51C99">
        <w:t>vis</w:t>
      </w:r>
      <w:r w:rsidR="00C143A2">
        <w:t>iškai</w:t>
      </w:r>
      <w:r w:rsidR="00A51C99">
        <w:t xml:space="preserve"> </w:t>
      </w:r>
      <w:r w:rsidR="00451379">
        <w:t>n</w:t>
      </w:r>
      <w:r w:rsidR="00C143A2">
        <w:t>ėr</w:t>
      </w:r>
      <w:r w:rsidR="003A4CEE">
        <w:t>a</w:t>
      </w:r>
      <w:r w:rsidR="002771F3">
        <w:t xml:space="preserve"> aišku</w:t>
      </w:r>
      <w:r w:rsidR="003A4CEE">
        <w:t xml:space="preserve">, koks yra finansinės elgsenos turinys, </w:t>
      </w:r>
      <w:r w:rsidR="007827A9">
        <w:t>pavyzdžiui</w:t>
      </w:r>
      <w:r w:rsidR="00B84122">
        <w:t>:</w:t>
      </w:r>
      <w:r w:rsidR="007827A9">
        <w:t xml:space="preserve"> </w:t>
      </w:r>
      <w:r w:rsidR="00A903C6">
        <w:t xml:space="preserve">ar </w:t>
      </w:r>
      <w:r w:rsidR="000F4B5C">
        <w:t>elgseną</w:t>
      </w:r>
      <w:r w:rsidR="00EB176B">
        <w:t xml:space="preserve"> reik</w:t>
      </w:r>
      <w:r w:rsidR="00A51C99">
        <w:t>ė</w:t>
      </w:r>
      <w:r w:rsidR="002B2E4B">
        <w:t>tų</w:t>
      </w:r>
      <w:r w:rsidR="00EB176B">
        <w:t xml:space="preserve"> laikyti finansine,</w:t>
      </w:r>
      <w:r w:rsidR="006A470E">
        <w:t xml:space="preserve"> </w:t>
      </w:r>
      <w:r w:rsidR="00A51C99">
        <w:t xml:space="preserve">ar nefinansine, </w:t>
      </w:r>
      <w:r w:rsidR="006A470E">
        <w:t>jei</w:t>
      </w:r>
      <w:r w:rsidR="004D574B">
        <w:t>gu</w:t>
      </w:r>
      <w:r w:rsidR="006A470E">
        <w:t xml:space="preserve"> sprendimai</w:t>
      </w:r>
      <w:r w:rsidR="00516C9F">
        <w:t xml:space="preserve"> dėl vartojimo</w:t>
      </w:r>
      <w:r w:rsidR="00737A8E">
        <w:t xml:space="preserve"> </w:t>
      </w:r>
      <w:r w:rsidR="00A725FA">
        <w:t xml:space="preserve">ir jo masto </w:t>
      </w:r>
      <w:r w:rsidR="00D77C42">
        <w:t xml:space="preserve">(tarkim, elektros, degalų) </w:t>
      </w:r>
      <w:r w:rsidR="00531514">
        <w:t>yra priimami</w:t>
      </w:r>
      <w:r w:rsidR="00F23744">
        <w:t xml:space="preserve">, kažkam </w:t>
      </w:r>
      <w:r w:rsidR="00E36CF0">
        <w:t xml:space="preserve">žmogumi </w:t>
      </w:r>
      <w:r w:rsidR="00F23744">
        <w:t>manipuliuojant, tačiau</w:t>
      </w:r>
      <w:r w:rsidR="00531514">
        <w:t xml:space="preserve"> </w:t>
      </w:r>
      <w:r w:rsidR="00993E37">
        <w:t>„</w:t>
      </w:r>
      <w:r w:rsidR="00501A23">
        <w:t>sveiku</w:t>
      </w:r>
      <w:r w:rsidR="00993E37">
        <w:t>“</w:t>
      </w:r>
      <w:r w:rsidR="00501A23">
        <w:t xml:space="preserve"> </w:t>
      </w:r>
      <w:r w:rsidR="00531514">
        <w:t>protu</w:t>
      </w:r>
      <w:r w:rsidR="00871B3A">
        <w:t xml:space="preserve">? </w:t>
      </w:r>
      <w:r w:rsidR="007B2A60">
        <w:t>O</w:t>
      </w:r>
      <w:r w:rsidR="00871B3A">
        <w:t xml:space="preserve"> kaip būtų su </w:t>
      </w:r>
      <w:r w:rsidR="0007757E">
        <w:t>sprendimais</w:t>
      </w:r>
      <w:r w:rsidR="00F332AA">
        <w:t xml:space="preserve"> gyventi iš socialinių</w:t>
      </w:r>
      <w:r w:rsidR="00A11AB1">
        <w:t xml:space="preserve"> išmokų</w:t>
      </w:r>
      <w:r w:rsidR="00F332AA">
        <w:t>:</w:t>
      </w:r>
      <w:r w:rsidR="0007757E">
        <w:t xml:space="preserve"> ar tai būtų finansinė</w:t>
      </w:r>
      <w:r w:rsidR="00AA3D24">
        <w:t>,</w:t>
      </w:r>
      <w:r w:rsidR="0007757E">
        <w:t xml:space="preserve"> </w:t>
      </w:r>
      <w:r w:rsidR="007B2A60">
        <w:t xml:space="preserve">ar nefinansinė </w:t>
      </w:r>
      <w:r w:rsidR="0007757E">
        <w:t>elgsena</w:t>
      </w:r>
      <w:r w:rsidR="007B2A60">
        <w:t xml:space="preserve">, </w:t>
      </w:r>
      <w:r w:rsidR="007B2A60" w:rsidRPr="000D31DB">
        <w:rPr>
          <w:i/>
        </w:rPr>
        <w:t xml:space="preserve">jei </w:t>
      </w:r>
      <w:r w:rsidR="00AC3F93" w:rsidRPr="000D31DB">
        <w:rPr>
          <w:i/>
        </w:rPr>
        <w:t xml:space="preserve">šitaip gyventi </w:t>
      </w:r>
      <w:r w:rsidR="00852153" w:rsidRPr="000D31DB">
        <w:rPr>
          <w:i/>
        </w:rPr>
        <w:t>skatina</w:t>
      </w:r>
      <w:r w:rsidR="00852153">
        <w:t xml:space="preserve"> (arba ne) </w:t>
      </w:r>
      <w:r w:rsidR="00AA3D24" w:rsidRPr="000D31DB">
        <w:rPr>
          <w:i/>
        </w:rPr>
        <w:t>bloga ekonominė padėtis</w:t>
      </w:r>
      <w:r w:rsidR="00AA3D24">
        <w:t>?</w:t>
      </w:r>
    </w:p>
    <w:p w:rsidR="008D0BCC" w:rsidRDefault="00D531EE" w:rsidP="000C2778">
      <w:r>
        <w:t>Bandant atsakyti į šiuos klausimus</w:t>
      </w:r>
      <w:r w:rsidR="00F74C42">
        <w:t>, supaprastinto požiūrio į finansinę elgseną jau ne</w:t>
      </w:r>
      <w:r w:rsidR="00B84122">
        <w:t>pakan</w:t>
      </w:r>
      <w:r w:rsidR="00F74C42">
        <w:t>ka, todėl atsiranda būtinybė</w:t>
      </w:r>
      <w:r w:rsidR="00602FEB">
        <w:t xml:space="preserve"> sugrįžti prie sąvokų išaiškinimo.</w:t>
      </w:r>
      <w:r w:rsidR="009D488E">
        <w:t xml:space="preserve"> Kaip jau minėta, elgsena finans</w:t>
      </w:r>
      <w:r w:rsidR="00181B7E">
        <w:t>ų srityje</w:t>
      </w:r>
      <w:r w:rsidR="009D488E">
        <w:t xml:space="preserve"> </w:t>
      </w:r>
      <w:r w:rsidR="0046493B">
        <w:t>gali atsirasti, reaguojant į situacijos pasikeitimus, susijusius</w:t>
      </w:r>
      <w:r w:rsidR="00071EBA">
        <w:t xml:space="preserve"> </w:t>
      </w:r>
      <w:r w:rsidR="00AF25B2">
        <w:t xml:space="preserve">su </w:t>
      </w:r>
      <w:r w:rsidR="00C63A91">
        <w:t xml:space="preserve">pinigais </w:t>
      </w:r>
      <w:r w:rsidR="00071EBA">
        <w:t>i</w:t>
      </w:r>
      <w:r w:rsidR="00C63A91">
        <w:t>r</w:t>
      </w:r>
      <w:r w:rsidR="00071EBA">
        <w:t xml:space="preserve"> visais procesais, vykstančiais </w:t>
      </w:r>
      <w:r w:rsidR="000D31DB">
        <w:t xml:space="preserve">dėl jų ir </w:t>
      </w:r>
      <w:r w:rsidR="00AF25B2">
        <w:t xml:space="preserve">su jais, vadinasi, </w:t>
      </w:r>
      <w:r w:rsidR="00C42EED">
        <w:t>į akiratį patenka</w:t>
      </w:r>
      <w:r w:rsidR="00104F28">
        <w:t xml:space="preserve"> toks elgesys</w:t>
      </w:r>
      <w:r w:rsidR="00061665">
        <w:t xml:space="preserve"> arba tokia reakcija</w:t>
      </w:r>
      <w:r w:rsidR="00104F28">
        <w:t>, kuri</w:t>
      </w:r>
      <w:r w:rsidR="0006752D">
        <w:t xml:space="preserve"> daro įtaką finansams</w:t>
      </w:r>
      <w:r w:rsidR="00592E29">
        <w:t xml:space="preserve"> plačiąja prasme</w:t>
      </w:r>
      <w:r w:rsidR="005F0905">
        <w:t>, t. y. tiek atskiro žmogaus, tiek jų grupės, tiek ir visos valstybės.</w:t>
      </w:r>
      <w:r w:rsidR="00BA7C13">
        <w:t xml:space="preserve"> Kadangi atsakas į dirgiklius gali būti</w:t>
      </w:r>
      <w:r w:rsidR="00192407">
        <w:t xml:space="preserve"> </w:t>
      </w:r>
      <w:r w:rsidR="00B37464">
        <w:t>paremtas</w:t>
      </w:r>
      <w:r w:rsidR="00862031">
        <w:t xml:space="preserve"> kritiniu</w:t>
      </w:r>
      <w:r w:rsidR="00B43965">
        <w:t xml:space="preserve"> mąstymu</w:t>
      </w:r>
      <w:r w:rsidR="00816515">
        <w:t xml:space="preserve"> </w:t>
      </w:r>
      <w:r w:rsidR="000063CE">
        <w:t>arba</w:t>
      </w:r>
      <w:r w:rsidR="00192407">
        <w:t xml:space="preserve"> </w:t>
      </w:r>
      <w:r w:rsidR="00295C87">
        <w:t xml:space="preserve">nulemtas įvairių </w:t>
      </w:r>
      <w:r w:rsidR="00B37464" w:rsidRPr="00295C87">
        <w:t>emocij</w:t>
      </w:r>
      <w:r w:rsidR="00295C87" w:rsidRPr="00295C87">
        <w:t>ų</w:t>
      </w:r>
      <w:r w:rsidR="00EF6577" w:rsidRPr="005C23E6">
        <w:rPr>
          <w:color w:val="0070C0"/>
        </w:rPr>
        <w:t xml:space="preserve"> </w:t>
      </w:r>
      <w:r w:rsidR="00EF6577">
        <w:t>(</w:t>
      </w:r>
      <w:r w:rsidR="000517A8">
        <w:t xml:space="preserve">kas </w:t>
      </w:r>
      <w:r w:rsidR="000B6DAA">
        <w:t xml:space="preserve">buvo </w:t>
      </w:r>
      <w:r w:rsidR="000517A8">
        <w:t xml:space="preserve">pavadinta sąmoningu </w:t>
      </w:r>
      <w:r w:rsidR="00EF6577">
        <w:t>ir</w:t>
      </w:r>
      <w:r w:rsidR="000517A8">
        <w:t xml:space="preserve"> nesąmoningu elgesiu</w:t>
      </w:r>
      <w:r w:rsidR="00EF6577">
        <w:t>)</w:t>
      </w:r>
      <w:r w:rsidR="000517A8">
        <w:t>,</w:t>
      </w:r>
      <w:r w:rsidR="00D2677A">
        <w:t xml:space="preserve"> </w:t>
      </w:r>
      <w:r w:rsidR="002104D9">
        <w:t>sprendžiant, kas turėtų patekti į gyventojų finansinės elgsenos</w:t>
      </w:r>
      <w:r w:rsidR="00C36CBE">
        <w:t xml:space="preserve"> turinį</w:t>
      </w:r>
      <w:r w:rsidR="002104D9">
        <w:t xml:space="preserve">, </w:t>
      </w:r>
      <w:r w:rsidR="00C36CBE">
        <w:t xml:space="preserve">labai </w:t>
      </w:r>
      <w:r w:rsidR="002104D9">
        <w:t>svarbu</w:t>
      </w:r>
      <w:r w:rsidR="00C36CBE">
        <w:t xml:space="preserve"> nustatyti, </w:t>
      </w:r>
      <w:r w:rsidR="00190D51">
        <w:t xml:space="preserve">ar finansuose </w:t>
      </w:r>
      <w:r w:rsidR="00F44C63">
        <w:t xml:space="preserve">yra įmanoma – ir ar </w:t>
      </w:r>
      <w:r w:rsidR="0027570F">
        <w:t>turėtų būti toleruojama</w:t>
      </w:r>
      <w:r w:rsidR="00F44C63">
        <w:t xml:space="preserve"> –</w:t>
      </w:r>
      <w:r w:rsidR="0027570F">
        <w:t xml:space="preserve"> </w:t>
      </w:r>
      <w:r w:rsidR="00190D51">
        <w:t>nesąmoninga</w:t>
      </w:r>
      <w:r w:rsidR="008B6B38">
        <w:t xml:space="preserve"> </w:t>
      </w:r>
      <w:r w:rsidR="00E5699A">
        <w:t>reakcija</w:t>
      </w:r>
      <w:r w:rsidR="0042733F">
        <w:t>, jei</w:t>
      </w:r>
      <w:r w:rsidR="008A11D4">
        <w:t>gu</w:t>
      </w:r>
      <w:r w:rsidR="00440CEA">
        <w:t xml:space="preserve"> finansai reikalauja valdymo.</w:t>
      </w:r>
      <w:r w:rsidR="00120C09">
        <w:t xml:space="preserve"> </w:t>
      </w:r>
      <w:r w:rsidR="00DA65C1">
        <w:t xml:space="preserve">Čia būtų galima pasiremti </w:t>
      </w:r>
      <w:r w:rsidR="00DA65C1" w:rsidRPr="00677319">
        <w:t xml:space="preserve">mokslininkų </w:t>
      </w:r>
      <w:r w:rsidR="00B0679B" w:rsidRPr="00677319">
        <w:t>(</w:t>
      </w:r>
      <w:proofErr w:type="spellStart"/>
      <w:r w:rsidR="00B0679B" w:rsidRPr="00677319">
        <w:t>Jordan</w:t>
      </w:r>
      <w:proofErr w:type="spellEnd"/>
      <w:r w:rsidR="00B0679B" w:rsidRPr="00677319">
        <w:t xml:space="preserve">, </w:t>
      </w:r>
      <w:proofErr w:type="spellStart"/>
      <w:r w:rsidR="00B0679B" w:rsidRPr="00677319">
        <w:t>Lennick</w:t>
      </w:r>
      <w:proofErr w:type="spellEnd"/>
      <w:r w:rsidR="00B0679B" w:rsidRPr="00677319">
        <w:t xml:space="preserve"> 2010) </w:t>
      </w:r>
      <w:r w:rsidR="00DA65C1" w:rsidRPr="00677319">
        <w:t>a</w:t>
      </w:r>
      <w:r w:rsidR="008A11D4" w:rsidRPr="00677319">
        <w:t>tliktais</w:t>
      </w:r>
      <w:r w:rsidR="008A11D4">
        <w:t xml:space="preserve"> tyrimais, kurie </w:t>
      </w:r>
      <w:r w:rsidR="005E5B34">
        <w:t>nustatė</w:t>
      </w:r>
      <w:r w:rsidR="008A11D4">
        <w:t xml:space="preserve">, jog, </w:t>
      </w:r>
      <w:r w:rsidR="00120C09">
        <w:t xml:space="preserve">esant </w:t>
      </w:r>
      <w:r w:rsidR="00120C09" w:rsidRPr="00B05F3D">
        <w:t>emociniam šokui,</w:t>
      </w:r>
      <w:r w:rsidR="00120C09">
        <w:t xml:space="preserve"> svarbiausi</w:t>
      </w:r>
      <w:r w:rsidR="008D0BCC">
        <w:t>a</w:t>
      </w:r>
      <w:r w:rsidR="00D56C93">
        <w:t xml:space="preserve"> smegenų dalis, </w:t>
      </w:r>
      <w:r w:rsidR="005E5B34">
        <w:rPr>
          <w:i/>
        </w:rPr>
        <w:t xml:space="preserve">lemianti </w:t>
      </w:r>
      <w:r w:rsidR="00D56C93" w:rsidRPr="00F22F00">
        <w:rPr>
          <w:i/>
        </w:rPr>
        <w:t>racionalų mąstymą</w:t>
      </w:r>
      <w:r w:rsidR="003C13AE">
        <w:t>, yra „išjungiama“,</w:t>
      </w:r>
      <w:r w:rsidR="00BC6BC6">
        <w:t xml:space="preserve"> </w:t>
      </w:r>
      <w:r w:rsidR="003C13AE">
        <w:t xml:space="preserve">todėl </w:t>
      </w:r>
      <w:r w:rsidR="006D71DE">
        <w:t xml:space="preserve">žmogus </w:t>
      </w:r>
      <w:r w:rsidR="00EF6577">
        <w:t xml:space="preserve">finansinį </w:t>
      </w:r>
      <w:r w:rsidR="003C13AE">
        <w:t>sprendim</w:t>
      </w:r>
      <w:r w:rsidR="006D71DE">
        <w:t>ą</w:t>
      </w:r>
      <w:r w:rsidR="00BC6BC6">
        <w:t xml:space="preserve"> priim</w:t>
      </w:r>
      <w:r w:rsidR="006D71DE">
        <w:t>a</w:t>
      </w:r>
      <w:r w:rsidR="00BC6BC6">
        <w:t xml:space="preserve"> </w:t>
      </w:r>
      <w:r w:rsidR="00BC6BC6" w:rsidRPr="00673243">
        <w:rPr>
          <w:i/>
        </w:rPr>
        <w:t>nevalingai</w:t>
      </w:r>
      <w:r w:rsidR="006D71DE">
        <w:t>.</w:t>
      </w:r>
      <w:r w:rsidR="006163BF">
        <w:t xml:space="preserve"> Mūsų many</w:t>
      </w:r>
      <w:r w:rsidR="00CC3E0D">
        <w:t>mu, būtent tokia reakcija</w:t>
      </w:r>
      <w:r w:rsidR="003C13AE">
        <w:t xml:space="preserve"> </w:t>
      </w:r>
      <w:r w:rsidR="003539D4">
        <w:t xml:space="preserve">neturėtų pakliūti </w:t>
      </w:r>
      <w:r w:rsidR="005B1629">
        <w:t xml:space="preserve">į </w:t>
      </w:r>
      <w:r w:rsidR="005B1629" w:rsidRPr="00CE7994">
        <w:rPr>
          <w:i/>
        </w:rPr>
        <w:t>finansinės elgsenos</w:t>
      </w:r>
      <w:r w:rsidR="005B1629">
        <w:t xml:space="preserve"> sąvoką</w:t>
      </w:r>
      <w:r w:rsidR="003C2818">
        <w:t xml:space="preserve"> (</w:t>
      </w:r>
      <w:r w:rsidR="002C7875">
        <w:t xml:space="preserve">teisėje tai būtų panašu į </w:t>
      </w:r>
      <w:r w:rsidR="00B5668E" w:rsidRPr="00B5668E">
        <w:rPr>
          <w:i/>
        </w:rPr>
        <w:t>afekto</w:t>
      </w:r>
      <w:r w:rsidR="00B5668E">
        <w:t xml:space="preserve"> būseną</w:t>
      </w:r>
      <w:r w:rsidR="003C2818">
        <w:t>)</w:t>
      </w:r>
      <w:r w:rsidR="005B1629">
        <w:t>, nors kaip elgsena apskritai turėtų būti pripažinta.</w:t>
      </w:r>
    </w:p>
    <w:p w:rsidR="00D84539" w:rsidRDefault="00781D5A" w:rsidP="000C2778">
      <w:r>
        <w:t xml:space="preserve">Apibendrinant, </w:t>
      </w:r>
      <w:r w:rsidR="00017524">
        <w:t xml:space="preserve">reikėtų </w:t>
      </w:r>
      <w:r w:rsidR="000859C0">
        <w:t>pasaky</w:t>
      </w:r>
      <w:r w:rsidR="004A5114">
        <w:t>ti</w:t>
      </w:r>
      <w:r w:rsidR="00692647">
        <w:t xml:space="preserve">, jog </w:t>
      </w:r>
      <w:r w:rsidR="00471848">
        <w:t>apibrėžti finansinę elgseną</w:t>
      </w:r>
      <w:r w:rsidR="0054251F">
        <w:t xml:space="preserve"> yra sudėtinga, </w:t>
      </w:r>
      <w:r w:rsidR="00EE7899">
        <w:t>kadangi</w:t>
      </w:r>
      <w:r w:rsidR="0054251F">
        <w:t xml:space="preserve"> </w:t>
      </w:r>
      <w:r w:rsidR="009F3A39">
        <w:t xml:space="preserve">tiek žmogus, tiek jį supantis pasaulis yra </w:t>
      </w:r>
      <w:r w:rsidR="00AA37C2">
        <w:t>labai</w:t>
      </w:r>
      <w:r w:rsidR="009F3A39">
        <w:t xml:space="preserve"> komplikuot</w:t>
      </w:r>
      <w:r w:rsidR="00AA37C2">
        <w:t xml:space="preserve">i. Nagrinėjant finansinės elgsenos </w:t>
      </w:r>
      <w:r w:rsidR="003D59AC">
        <w:t>termin</w:t>
      </w:r>
      <w:r w:rsidR="00AA37C2">
        <w:t>ą,</w:t>
      </w:r>
      <w:r w:rsidR="003D59AC">
        <w:t xml:space="preserve"> geriausiu atveju galima išsamprotauti, kas neturėtų tilpti į šios sąvokos</w:t>
      </w:r>
      <w:r w:rsidR="00EE3EF2">
        <w:t xml:space="preserve"> ribas, </w:t>
      </w:r>
      <w:r w:rsidR="009C6EEA">
        <w:t xml:space="preserve">bet ne pateikti </w:t>
      </w:r>
      <w:r w:rsidR="004A5114">
        <w:t>universal</w:t>
      </w:r>
      <w:r w:rsidR="000135C1">
        <w:t>ų</w:t>
      </w:r>
      <w:r w:rsidR="004A5114">
        <w:t xml:space="preserve"> apibrėžim</w:t>
      </w:r>
      <w:r w:rsidR="000135C1">
        <w:t>ą</w:t>
      </w:r>
      <w:r w:rsidR="009C6EEA">
        <w:t xml:space="preserve">, kuris būtų </w:t>
      </w:r>
      <w:r w:rsidR="001016B1">
        <w:t xml:space="preserve">pritaikomas </w:t>
      </w:r>
      <w:r w:rsidR="009C6EEA">
        <w:t>visose situacijose</w:t>
      </w:r>
      <w:r w:rsidR="004A5114">
        <w:t>.</w:t>
      </w:r>
      <w:r w:rsidR="00E839C7">
        <w:t xml:space="preserve"> Darytina išvada</w:t>
      </w:r>
      <w:r w:rsidR="00D4586F">
        <w:t xml:space="preserve">, </w:t>
      </w:r>
      <w:r w:rsidR="00E839C7">
        <w:t>jog</w:t>
      </w:r>
      <w:r w:rsidR="00965655">
        <w:t xml:space="preserve"> mokslininkai</w:t>
      </w:r>
      <w:r w:rsidR="00D4586F">
        <w:t xml:space="preserve"> sąmoningai vengia </w:t>
      </w:r>
      <w:r w:rsidR="00965655">
        <w:t>detalizuo</w:t>
      </w:r>
      <w:r w:rsidR="001C57BC">
        <w:t xml:space="preserve">ti, ką reikėtų laikyti </w:t>
      </w:r>
      <w:r w:rsidR="001C57BC" w:rsidRPr="009166CA">
        <w:rPr>
          <w:i/>
        </w:rPr>
        <w:t>finansine</w:t>
      </w:r>
      <w:r w:rsidR="001C57BC">
        <w:t xml:space="preserve"> elgsena</w:t>
      </w:r>
      <w:r w:rsidR="005525AA">
        <w:t>, nes</w:t>
      </w:r>
      <w:r w:rsidR="00965655">
        <w:t xml:space="preserve"> </w:t>
      </w:r>
      <w:r w:rsidR="00465B36">
        <w:t xml:space="preserve">tikrovės </w:t>
      </w:r>
      <w:r w:rsidR="00641C31">
        <w:t>„</w:t>
      </w:r>
      <w:r w:rsidR="00446ECD">
        <w:t>perkėlimas</w:t>
      </w:r>
      <w:r w:rsidR="00641C31">
        <w:t>“</w:t>
      </w:r>
      <w:r w:rsidR="00446ECD">
        <w:t xml:space="preserve"> į teorinę plotmę </w:t>
      </w:r>
      <w:r w:rsidR="00C45B3A">
        <w:t xml:space="preserve">tampa </w:t>
      </w:r>
      <w:r w:rsidR="0055492C">
        <w:t xml:space="preserve">lengvai </w:t>
      </w:r>
      <w:r w:rsidR="00693959">
        <w:t>kritikuotin</w:t>
      </w:r>
      <w:r w:rsidR="00446ECD">
        <w:t>as.</w:t>
      </w:r>
    </w:p>
    <w:p w:rsidR="00192A53" w:rsidRPr="001B17C7" w:rsidRDefault="007645AD" w:rsidP="000C2778">
      <w:pPr>
        <w:rPr>
          <w:b/>
          <w:i/>
        </w:rPr>
      </w:pPr>
      <w:r>
        <w:t>Tačiau, s</w:t>
      </w:r>
      <w:r w:rsidR="00767B62">
        <w:t>uvok</w:t>
      </w:r>
      <w:r w:rsidR="00496007">
        <w:t>iant</w:t>
      </w:r>
      <w:r w:rsidR="00F10C34">
        <w:t xml:space="preserve">, jog </w:t>
      </w:r>
      <w:r w:rsidR="00671988">
        <w:t xml:space="preserve">toliau </w:t>
      </w:r>
      <w:r w:rsidR="00F10C34">
        <w:t xml:space="preserve">reiškinį </w:t>
      </w:r>
      <w:r w:rsidR="00496007">
        <w:t xml:space="preserve">tikslinga </w:t>
      </w:r>
      <w:r w:rsidR="00C97481">
        <w:t xml:space="preserve">nagrinėti tik </w:t>
      </w:r>
      <w:r w:rsidR="00496007">
        <w:t>tokiu</w:t>
      </w:r>
      <w:r w:rsidR="00F40D4E">
        <w:t xml:space="preserve"> atveju</w:t>
      </w:r>
      <w:r w:rsidR="00C36674">
        <w:t xml:space="preserve">, kai </w:t>
      </w:r>
      <w:r w:rsidR="00671988">
        <w:t xml:space="preserve">yra </w:t>
      </w:r>
      <w:r w:rsidR="001D1FCA">
        <w:t xml:space="preserve">aiškiai </w:t>
      </w:r>
      <w:r w:rsidR="009D0775">
        <w:t>žinomos</w:t>
      </w:r>
      <w:r w:rsidR="00496007">
        <w:t xml:space="preserve"> </w:t>
      </w:r>
      <w:r w:rsidR="00671988">
        <w:t xml:space="preserve">jo </w:t>
      </w:r>
      <w:r w:rsidR="00F40D4E">
        <w:t>ribos</w:t>
      </w:r>
      <w:r w:rsidR="00671988">
        <w:t>,</w:t>
      </w:r>
      <w:r w:rsidR="00BA04C2">
        <w:t xml:space="preserve"> </w:t>
      </w:r>
      <w:r w:rsidR="00C97481">
        <w:t>tampa akivaizdu</w:t>
      </w:r>
      <w:r w:rsidR="00767B62">
        <w:t xml:space="preserve">, kad </w:t>
      </w:r>
      <w:r w:rsidR="00704993">
        <w:t>finansinę elgsen</w:t>
      </w:r>
      <w:r w:rsidR="008B7F0E">
        <w:t>ą</w:t>
      </w:r>
      <w:r w:rsidR="00704993">
        <w:t xml:space="preserve"> </w:t>
      </w:r>
      <w:r w:rsidR="001D1FCA">
        <w:t xml:space="preserve">vis dėlto </w:t>
      </w:r>
      <w:r w:rsidR="008F4EF6">
        <w:t xml:space="preserve">būtų korektiška </w:t>
      </w:r>
      <w:r w:rsidR="00BE2C41">
        <w:t>apibrėžti</w:t>
      </w:r>
      <w:r w:rsidR="004A4E84">
        <w:t xml:space="preserve">, todėl </w:t>
      </w:r>
      <w:r w:rsidR="00FF7FB6">
        <w:t xml:space="preserve">šio darbo tikslais </w:t>
      </w:r>
      <w:r w:rsidR="004A4E84" w:rsidRPr="001B17C7">
        <w:rPr>
          <w:b/>
          <w:i/>
        </w:rPr>
        <w:t>gyventojų finansine elgsena</w:t>
      </w:r>
      <w:r w:rsidR="005501ED" w:rsidRPr="001B17C7">
        <w:rPr>
          <w:b/>
          <w:i/>
        </w:rPr>
        <w:t xml:space="preserve"> siūlytume </w:t>
      </w:r>
      <w:r w:rsidR="008B7F0E" w:rsidRPr="001B17C7">
        <w:rPr>
          <w:b/>
          <w:i/>
        </w:rPr>
        <w:t xml:space="preserve">laikyti tokius atsakus – </w:t>
      </w:r>
      <w:r w:rsidR="00AD6E7C" w:rsidRPr="001B17C7">
        <w:rPr>
          <w:b/>
          <w:i/>
        </w:rPr>
        <w:t>veiksmus ir sprendimus</w:t>
      </w:r>
      <w:r w:rsidR="003348B2" w:rsidRPr="001B17C7">
        <w:rPr>
          <w:b/>
          <w:i/>
        </w:rPr>
        <w:t xml:space="preserve"> –</w:t>
      </w:r>
      <w:r w:rsidR="001D72FE" w:rsidRPr="001B17C7">
        <w:rPr>
          <w:b/>
          <w:i/>
        </w:rPr>
        <w:t xml:space="preserve"> į </w:t>
      </w:r>
      <w:r w:rsidR="00726BBD" w:rsidRPr="001B17C7">
        <w:rPr>
          <w:b/>
          <w:i/>
        </w:rPr>
        <w:t>išorinius dirgiklius</w:t>
      </w:r>
      <w:r w:rsidR="008123A0">
        <w:rPr>
          <w:b/>
          <w:i/>
        </w:rPr>
        <w:t xml:space="preserve"> ar pakitusią finansinę situaciją</w:t>
      </w:r>
      <w:r w:rsidR="00071CB0" w:rsidRPr="001B17C7">
        <w:rPr>
          <w:b/>
          <w:i/>
        </w:rPr>
        <w:t>,</w:t>
      </w:r>
      <w:r w:rsidR="00AD6E7C" w:rsidRPr="001B17C7">
        <w:rPr>
          <w:b/>
          <w:i/>
        </w:rPr>
        <w:t xml:space="preserve"> </w:t>
      </w:r>
      <w:r w:rsidR="00B55320" w:rsidRPr="001B17C7">
        <w:rPr>
          <w:b/>
          <w:i/>
        </w:rPr>
        <w:t>kurie:</w:t>
      </w:r>
    </w:p>
    <w:p w:rsidR="00192A53" w:rsidRPr="00E603D1" w:rsidRDefault="00B55320" w:rsidP="000C2778">
      <w:pPr>
        <w:rPr>
          <w:b/>
          <w:i/>
        </w:rPr>
      </w:pPr>
      <w:r w:rsidRPr="00E603D1">
        <w:rPr>
          <w:b/>
          <w:i/>
        </w:rPr>
        <w:t>1</w:t>
      </w:r>
      <w:r w:rsidR="005713D9" w:rsidRPr="00E603D1">
        <w:rPr>
          <w:b/>
          <w:i/>
        </w:rPr>
        <w:t>)</w:t>
      </w:r>
      <w:r w:rsidR="003348B2" w:rsidRPr="00E603D1">
        <w:rPr>
          <w:b/>
          <w:i/>
        </w:rPr>
        <w:t> </w:t>
      </w:r>
      <w:r w:rsidR="00710FD6" w:rsidRPr="00E603D1">
        <w:rPr>
          <w:b/>
          <w:i/>
        </w:rPr>
        <w:t xml:space="preserve">yra </w:t>
      </w:r>
      <w:r w:rsidR="00000545" w:rsidRPr="00E603D1">
        <w:rPr>
          <w:b/>
          <w:i/>
        </w:rPr>
        <w:t>susij</w:t>
      </w:r>
      <w:r w:rsidRPr="00E603D1">
        <w:rPr>
          <w:b/>
          <w:i/>
        </w:rPr>
        <w:t>ę su</w:t>
      </w:r>
      <w:r w:rsidR="00000545" w:rsidRPr="00E603D1">
        <w:rPr>
          <w:b/>
          <w:i/>
        </w:rPr>
        <w:t xml:space="preserve"> </w:t>
      </w:r>
      <w:r w:rsidR="00A15987" w:rsidRPr="00E603D1">
        <w:rPr>
          <w:b/>
          <w:i/>
        </w:rPr>
        <w:t>pinig</w:t>
      </w:r>
      <w:r w:rsidR="00D84539" w:rsidRPr="00E603D1">
        <w:rPr>
          <w:b/>
          <w:i/>
        </w:rPr>
        <w:t>ais ir</w:t>
      </w:r>
      <w:r w:rsidR="009E0797" w:rsidRPr="00E603D1">
        <w:rPr>
          <w:b/>
          <w:i/>
        </w:rPr>
        <w:t xml:space="preserve"> piniginiais</w:t>
      </w:r>
      <w:r w:rsidR="00A15987" w:rsidRPr="00E603D1">
        <w:rPr>
          <w:b/>
          <w:i/>
        </w:rPr>
        <w:t xml:space="preserve"> procesais</w:t>
      </w:r>
      <w:r w:rsidR="00EB46BC" w:rsidRPr="00E603D1">
        <w:rPr>
          <w:b/>
          <w:i/>
        </w:rPr>
        <w:t xml:space="preserve">; </w:t>
      </w:r>
      <w:r w:rsidR="00710FD6" w:rsidRPr="00E603D1">
        <w:rPr>
          <w:b/>
          <w:i/>
        </w:rPr>
        <w:t>i</w:t>
      </w:r>
      <w:r w:rsidR="00192A53" w:rsidRPr="00E603D1">
        <w:rPr>
          <w:b/>
          <w:i/>
        </w:rPr>
        <w:t>r</w:t>
      </w:r>
    </w:p>
    <w:p w:rsidR="000D6CAB" w:rsidRDefault="00B55320" w:rsidP="000C2778">
      <w:r w:rsidRPr="00E603D1">
        <w:rPr>
          <w:b/>
          <w:i/>
        </w:rPr>
        <w:t>2</w:t>
      </w:r>
      <w:r w:rsidR="00192A53" w:rsidRPr="00E603D1">
        <w:rPr>
          <w:b/>
          <w:i/>
        </w:rPr>
        <w:t>) </w:t>
      </w:r>
      <w:r w:rsidR="00AD6E7C" w:rsidRPr="00E603D1">
        <w:rPr>
          <w:b/>
          <w:i/>
        </w:rPr>
        <w:t xml:space="preserve">yra paremti žmogaus </w:t>
      </w:r>
      <w:r w:rsidR="001D144A" w:rsidRPr="00E603D1">
        <w:rPr>
          <w:b/>
          <w:i/>
        </w:rPr>
        <w:t>apsisprendimu</w:t>
      </w:r>
      <w:r w:rsidR="004B21BE">
        <w:t>,</w:t>
      </w:r>
      <w:r w:rsidR="005713D9">
        <w:t xml:space="preserve"> –</w:t>
      </w:r>
      <w:r w:rsidR="005C1BA4">
        <w:t xml:space="preserve"> net jei</w:t>
      </w:r>
      <w:r w:rsidR="000E7366">
        <w:t>gu</w:t>
      </w:r>
      <w:r w:rsidR="000D6CAB">
        <w:t xml:space="preserve"> šiais sprendimais </w:t>
      </w:r>
      <w:r w:rsidR="00E603D1">
        <w:t xml:space="preserve">yra </w:t>
      </w:r>
      <w:r w:rsidR="002F7E24" w:rsidRPr="00B34DF8">
        <w:t>manipuliuojama</w:t>
      </w:r>
      <w:r w:rsidR="00D02FCF" w:rsidRPr="00B34DF8">
        <w:t xml:space="preserve"> iš išorės.</w:t>
      </w:r>
    </w:p>
    <w:p w:rsidR="00D84539" w:rsidRPr="003D3F53" w:rsidRDefault="00D65A21" w:rsidP="000C2778">
      <w:r w:rsidRPr="003D3F53">
        <w:t>Tai reiškia, jog</w:t>
      </w:r>
      <w:r w:rsidR="00437CB4" w:rsidRPr="003D3F53">
        <w:t xml:space="preserve"> </w:t>
      </w:r>
      <w:r w:rsidR="001B3F38" w:rsidRPr="003D3F53">
        <w:t xml:space="preserve">į </w:t>
      </w:r>
      <w:r w:rsidR="000859C0" w:rsidRPr="003D3F53">
        <w:t xml:space="preserve">finansinės </w:t>
      </w:r>
      <w:r w:rsidR="001B3F38" w:rsidRPr="003D3F53">
        <w:t xml:space="preserve">elgsenos </w:t>
      </w:r>
      <w:r w:rsidR="005C4D2D" w:rsidRPr="003D3F53">
        <w:t xml:space="preserve">sąvoką </w:t>
      </w:r>
      <w:r w:rsidR="004B21BE">
        <w:t>reiktų įtraukti</w:t>
      </w:r>
      <w:r w:rsidR="00063B65" w:rsidRPr="003D3F53">
        <w:t xml:space="preserve"> vis</w:t>
      </w:r>
      <w:r w:rsidR="004B21BE">
        <w:t>ką</w:t>
      </w:r>
      <w:r w:rsidR="00120AEC" w:rsidRPr="003D3F53">
        <w:t>, kas priklauso nuo žmogau</w:t>
      </w:r>
      <w:r w:rsidR="001222AA" w:rsidRPr="003D3F53">
        <w:t>s</w:t>
      </w:r>
      <w:r w:rsidR="003D3F53" w:rsidRPr="003D3F53">
        <w:t xml:space="preserve"> valios </w:t>
      </w:r>
      <w:r w:rsidR="00920B03" w:rsidRPr="003D3F53">
        <w:t>– tiek</w:t>
      </w:r>
      <w:r w:rsidR="00134097" w:rsidRPr="003D3F53">
        <w:t xml:space="preserve"> racio</w:t>
      </w:r>
      <w:r w:rsidR="00120AEC" w:rsidRPr="003D3F53">
        <w:t>nalius</w:t>
      </w:r>
      <w:r w:rsidR="00920B03" w:rsidRPr="003D3F53">
        <w:t>,</w:t>
      </w:r>
      <w:r w:rsidR="00134097" w:rsidRPr="003D3F53">
        <w:t xml:space="preserve"> </w:t>
      </w:r>
      <w:r w:rsidR="00920B03" w:rsidRPr="003D3F53">
        <w:t>tiek</w:t>
      </w:r>
      <w:r w:rsidR="00120AEC" w:rsidRPr="003D3F53">
        <w:t xml:space="preserve"> </w:t>
      </w:r>
      <w:r w:rsidR="00F96D6B">
        <w:t xml:space="preserve">ir </w:t>
      </w:r>
      <w:r w:rsidR="00120AEC" w:rsidRPr="003D3F53">
        <w:t>neracionalius</w:t>
      </w:r>
      <w:r w:rsidR="00920B03" w:rsidRPr="003D3F53">
        <w:t xml:space="preserve"> </w:t>
      </w:r>
      <w:r w:rsidR="00120AEC" w:rsidRPr="003D3F53">
        <w:t>sprendimus</w:t>
      </w:r>
      <w:r w:rsidR="005F58DC" w:rsidRPr="003D3F53">
        <w:t xml:space="preserve">, </w:t>
      </w:r>
      <w:r w:rsidR="003D3F53" w:rsidRPr="003D3F53">
        <w:rPr>
          <w:i/>
        </w:rPr>
        <w:t xml:space="preserve">tačiau </w:t>
      </w:r>
      <w:r w:rsidR="00120AEC" w:rsidRPr="003D3F53">
        <w:rPr>
          <w:i/>
        </w:rPr>
        <w:t>priimtus</w:t>
      </w:r>
      <w:r w:rsidR="00D26B3D" w:rsidRPr="003D3F53">
        <w:rPr>
          <w:i/>
        </w:rPr>
        <w:t xml:space="preserve"> pačiam</w:t>
      </w:r>
      <w:r w:rsidR="00FA63FA" w:rsidRPr="003D3F53">
        <w:rPr>
          <w:i/>
        </w:rPr>
        <w:t xml:space="preserve"> žmogui žinomais </w:t>
      </w:r>
      <w:r w:rsidR="005F58DC" w:rsidRPr="003D3F53">
        <w:rPr>
          <w:i/>
        </w:rPr>
        <w:t>pagrind</w:t>
      </w:r>
      <w:r w:rsidR="008240A1" w:rsidRPr="003D3F53">
        <w:rPr>
          <w:i/>
        </w:rPr>
        <w:t>ais</w:t>
      </w:r>
      <w:r w:rsidR="008240A1" w:rsidRPr="003D3F53">
        <w:t>.</w:t>
      </w:r>
    </w:p>
    <w:p w:rsidR="00D84539" w:rsidRDefault="00AB123C" w:rsidP="00404939">
      <w:pPr>
        <w:pStyle w:val="Heading3"/>
      </w:pPr>
      <w:bookmarkStart w:id="3" w:name="_Toc343636875"/>
      <w:r>
        <w:lastRenderedPageBreak/>
        <w:t>Racionali</w:t>
      </w:r>
      <w:r w:rsidR="00944018">
        <w:t>os</w:t>
      </w:r>
      <w:r>
        <w:t xml:space="preserve"> finansinė</w:t>
      </w:r>
      <w:r w:rsidR="00944018">
        <w:t>s</w:t>
      </w:r>
      <w:r>
        <w:t xml:space="preserve"> elgsen</w:t>
      </w:r>
      <w:r w:rsidR="00944018">
        <w:t>os koncepcija</w:t>
      </w:r>
      <w:bookmarkEnd w:id="3"/>
    </w:p>
    <w:p w:rsidR="0020075A" w:rsidRDefault="00E72201" w:rsidP="000C2778">
      <w:r>
        <w:t>Su</w:t>
      </w:r>
      <w:r w:rsidR="00932DA5">
        <w:t>vokiant</w:t>
      </w:r>
      <w:r>
        <w:t xml:space="preserve">, jog </w:t>
      </w:r>
      <w:r w:rsidR="00A81EA0">
        <w:t xml:space="preserve">individų </w:t>
      </w:r>
      <w:r>
        <w:t xml:space="preserve">finansinė elgsena yra </w:t>
      </w:r>
      <w:r w:rsidR="00A81EA0">
        <w:t>„</w:t>
      </w:r>
      <w:r w:rsidR="001E5739" w:rsidRPr="001E5739">
        <w:t xml:space="preserve">sudėtingas, </w:t>
      </w:r>
      <w:proofErr w:type="spellStart"/>
      <w:r w:rsidR="001E5739" w:rsidRPr="001E5739">
        <w:t>daugiafak</w:t>
      </w:r>
      <w:r>
        <w:t>torinis</w:t>
      </w:r>
      <w:proofErr w:type="spellEnd"/>
      <w:r>
        <w:t xml:space="preserve"> ir dinamiškas reiškinys</w:t>
      </w:r>
      <w:r w:rsidR="00A81EA0">
        <w:t>“</w:t>
      </w:r>
      <w:r w:rsidR="001E5739" w:rsidRPr="001E5739">
        <w:t xml:space="preserve"> </w:t>
      </w:r>
      <w:r w:rsidR="001E5739" w:rsidRPr="00677319">
        <w:t>(Rakauskienė</w:t>
      </w:r>
      <w:r w:rsidR="008543FB" w:rsidRPr="00677319">
        <w:t>,</w:t>
      </w:r>
      <w:r w:rsidR="001E5739" w:rsidRPr="00677319">
        <w:t xml:space="preserve"> </w:t>
      </w:r>
      <w:proofErr w:type="spellStart"/>
      <w:r w:rsidR="008543FB" w:rsidRPr="00677319">
        <w:t>Bikas</w:t>
      </w:r>
      <w:proofErr w:type="spellEnd"/>
      <w:r w:rsidR="008543FB" w:rsidRPr="00677319">
        <w:t xml:space="preserve"> </w:t>
      </w:r>
      <w:r w:rsidR="001E5739" w:rsidRPr="00677319">
        <w:t>2007</w:t>
      </w:r>
      <w:r w:rsidR="00990DB9" w:rsidRPr="00677319">
        <w:t>, p. 127</w:t>
      </w:r>
      <w:r w:rsidR="001E5739" w:rsidRPr="00677319">
        <w:t>),</w:t>
      </w:r>
      <w:r w:rsidR="001E5739" w:rsidRPr="00C214E1">
        <w:t xml:space="preserve"> </w:t>
      </w:r>
      <w:r w:rsidR="001D420F" w:rsidRPr="00C214E1">
        <w:t xml:space="preserve">kuriam suprasti būtinas sisteminis mąstymas, </w:t>
      </w:r>
      <w:r w:rsidR="001D420F">
        <w:t>tampa</w:t>
      </w:r>
      <w:r w:rsidR="00990DB9">
        <w:t xml:space="preserve"> aišku</w:t>
      </w:r>
      <w:r w:rsidR="001D420F">
        <w:t xml:space="preserve">, jog, </w:t>
      </w:r>
      <w:r w:rsidR="00990DB9">
        <w:t xml:space="preserve">norint </w:t>
      </w:r>
      <w:r w:rsidR="008106D4">
        <w:t xml:space="preserve">visapusiškai </w:t>
      </w:r>
      <w:r w:rsidR="001E5739" w:rsidRPr="001E5739">
        <w:t>atskleisti</w:t>
      </w:r>
      <w:r w:rsidR="0013328A">
        <w:t xml:space="preserve"> individų finansinės elgsenos</w:t>
      </w:r>
      <w:r w:rsidR="008106D4">
        <w:t xml:space="preserve"> ypatumus</w:t>
      </w:r>
      <w:r w:rsidR="00301A3D">
        <w:t>,</w:t>
      </w:r>
      <w:r w:rsidR="001E1AB8">
        <w:t xml:space="preserve"> reiki</w:t>
      </w:r>
      <w:r w:rsidR="009572C0">
        <w:t>a</w:t>
      </w:r>
      <w:r w:rsidR="001E5739" w:rsidRPr="001E5739">
        <w:t xml:space="preserve"> </w:t>
      </w:r>
      <w:r w:rsidR="00D226EA">
        <w:t>supras</w:t>
      </w:r>
      <w:r w:rsidR="00444DFF">
        <w:t>ti</w:t>
      </w:r>
      <w:r w:rsidR="001E5739" w:rsidRPr="001E5739">
        <w:t xml:space="preserve"> </w:t>
      </w:r>
      <w:r w:rsidR="00E81B42">
        <w:t xml:space="preserve">skirtumus tarp </w:t>
      </w:r>
      <w:r w:rsidR="009572C0">
        <w:t xml:space="preserve">racionalios </w:t>
      </w:r>
      <w:r w:rsidR="002A08E6">
        <w:t xml:space="preserve">ir neracionalios </w:t>
      </w:r>
      <w:r w:rsidR="009572C0">
        <w:t>finansinės elgsenos</w:t>
      </w:r>
      <w:r w:rsidR="00E81B42">
        <w:t>.</w:t>
      </w:r>
      <w:r w:rsidR="001E5739" w:rsidRPr="001E5739">
        <w:t xml:space="preserve"> </w:t>
      </w:r>
      <w:r w:rsidR="00E81B42">
        <w:t>T</w:t>
      </w:r>
      <w:r w:rsidR="00974058">
        <w:t>a</w:t>
      </w:r>
      <w:r w:rsidR="00484300">
        <w:t xml:space="preserve">igi atsiranda poreikis </w:t>
      </w:r>
      <w:r w:rsidR="00DB348E">
        <w:t xml:space="preserve">panagrinėti </w:t>
      </w:r>
      <w:r w:rsidR="001F3F11" w:rsidRPr="006C5E2B">
        <w:rPr>
          <w:i/>
        </w:rPr>
        <w:t>asmeninių finansų</w:t>
      </w:r>
      <w:r w:rsidR="00C30497">
        <w:t xml:space="preserve"> </w:t>
      </w:r>
      <w:r w:rsidR="00C30497" w:rsidRPr="003D3290">
        <w:t>terminą</w:t>
      </w:r>
      <w:r w:rsidR="00C30497">
        <w:t xml:space="preserve"> </w:t>
      </w:r>
      <w:r w:rsidR="00250BCC" w:rsidRPr="006C5E2B">
        <w:t xml:space="preserve">– </w:t>
      </w:r>
      <w:r w:rsidR="00852526">
        <w:t>tok</w:t>
      </w:r>
      <w:r w:rsidR="00C30497">
        <w:t>ią koncepciją</w:t>
      </w:r>
      <w:r w:rsidR="00EE6170" w:rsidRPr="006C5E2B">
        <w:t>,</w:t>
      </w:r>
      <w:r w:rsidR="00EE6170">
        <w:t xml:space="preserve"> kuri</w:t>
      </w:r>
      <w:r w:rsidR="00C30497">
        <w:t>, ap</w:t>
      </w:r>
      <w:r w:rsidR="0056721B">
        <w:t>rėpdama</w:t>
      </w:r>
      <w:r w:rsidR="00EE6170">
        <w:t xml:space="preserve"> </w:t>
      </w:r>
      <w:r w:rsidR="006937A9">
        <w:t xml:space="preserve">keletą </w:t>
      </w:r>
      <w:r w:rsidR="00EE6170">
        <w:t>tarpusavyje susijusi</w:t>
      </w:r>
      <w:r w:rsidR="006937A9">
        <w:t>ų</w:t>
      </w:r>
      <w:r w:rsidR="00EE6170">
        <w:t xml:space="preserve"> element</w:t>
      </w:r>
      <w:r w:rsidR="006937A9">
        <w:t>ų</w:t>
      </w:r>
      <w:r w:rsidR="00852526">
        <w:t xml:space="preserve">, </w:t>
      </w:r>
      <w:r w:rsidR="0056721B">
        <w:t>parodo</w:t>
      </w:r>
      <w:r w:rsidR="001E5739" w:rsidRPr="001E5739">
        <w:t xml:space="preserve">, kokių finansinių </w:t>
      </w:r>
      <w:r w:rsidR="00301A3D">
        <w:t>sprendimų priėmimo eigoje</w:t>
      </w:r>
      <w:r w:rsidR="008106D4">
        <w:t>,</w:t>
      </w:r>
      <w:r w:rsidR="00301A3D">
        <w:t xml:space="preserve"> </w:t>
      </w:r>
      <w:r w:rsidR="003D3290">
        <w:t xml:space="preserve">– </w:t>
      </w:r>
      <w:r w:rsidR="001E5739" w:rsidRPr="003D3290">
        <w:rPr>
          <w:i/>
        </w:rPr>
        <w:t>kaip atsakas į</w:t>
      </w:r>
      <w:r w:rsidR="00301A3D" w:rsidRPr="003D3290">
        <w:rPr>
          <w:i/>
        </w:rPr>
        <w:t xml:space="preserve"> pakitusius aplinkos</w:t>
      </w:r>
      <w:r w:rsidR="003D3290">
        <w:rPr>
          <w:i/>
        </w:rPr>
        <w:t xml:space="preserve"> veiksnius</w:t>
      </w:r>
      <w:r w:rsidR="008106D4">
        <w:t>,</w:t>
      </w:r>
      <w:r w:rsidR="001E5739" w:rsidRPr="001E5739">
        <w:t xml:space="preserve"> </w:t>
      </w:r>
      <w:r w:rsidR="003D3290">
        <w:t xml:space="preserve">– </w:t>
      </w:r>
      <w:r w:rsidR="001E5739" w:rsidRPr="001E5739">
        <w:t xml:space="preserve">pasireiškia </w:t>
      </w:r>
      <w:r w:rsidR="00484300">
        <w:t xml:space="preserve">gyventojų </w:t>
      </w:r>
      <w:r w:rsidR="001E5739" w:rsidRPr="001E5739">
        <w:t>finansinė elgsena.</w:t>
      </w:r>
    </w:p>
    <w:p w:rsidR="007121D4" w:rsidRDefault="007121D4" w:rsidP="000C2778">
      <w:r w:rsidRPr="00261B02">
        <w:t xml:space="preserve">Kalbant apie </w:t>
      </w:r>
      <w:r w:rsidR="000250B2" w:rsidRPr="00261B02">
        <w:rPr>
          <w:b/>
          <w:i/>
        </w:rPr>
        <w:t>a</w:t>
      </w:r>
      <w:r w:rsidR="00506225" w:rsidRPr="00261B02">
        <w:rPr>
          <w:b/>
          <w:i/>
        </w:rPr>
        <w:t>smeninius</w:t>
      </w:r>
      <w:r w:rsidR="000250B2" w:rsidRPr="00261B02">
        <w:rPr>
          <w:b/>
          <w:i/>
        </w:rPr>
        <w:t xml:space="preserve"> finans</w:t>
      </w:r>
      <w:r w:rsidR="00506225" w:rsidRPr="00261B02">
        <w:rPr>
          <w:b/>
          <w:i/>
        </w:rPr>
        <w:t>us</w:t>
      </w:r>
      <w:r w:rsidR="00C1437D">
        <w:t>, reikėtų</w:t>
      </w:r>
      <w:r w:rsidR="00E93B2D">
        <w:t xml:space="preserve"> pasakyti</w:t>
      </w:r>
      <w:r w:rsidR="00C1437D">
        <w:t xml:space="preserve">, jog </w:t>
      </w:r>
      <w:r w:rsidR="00273351">
        <w:t xml:space="preserve">tai yra kompleksinė kategorija, pasižyminti ne kuria nors viena, o keletu savybių, </w:t>
      </w:r>
      <w:r w:rsidR="00BE1FF9">
        <w:t>todėl</w:t>
      </w:r>
      <w:r w:rsidR="007A37D4">
        <w:t xml:space="preserve"> šis terminas nėra</w:t>
      </w:r>
      <w:r w:rsidR="00C1437D">
        <w:t xml:space="preserve"> tra</w:t>
      </w:r>
      <w:r w:rsidR="007A37D4">
        <w:t>ktuojamas</w:t>
      </w:r>
      <w:r w:rsidR="00784178">
        <w:t xml:space="preserve"> vienareikšmiai</w:t>
      </w:r>
      <w:r w:rsidR="007A37D4">
        <w:t>.</w:t>
      </w:r>
      <w:r w:rsidR="00BE1FF9">
        <w:t xml:space="preserve"> </w:t>
      </w:r>
      <w:r w:rsidR="009530E2">
        <w:t xml:space="preserve">Vis dėlto, tam tikrų </w:t>
      </w:r>
      <w:r w:rsidR="009530E2" w:rsidRPr="009A3C9B">
        <w:rPr>
          <w:i/>
        </w:rPr>
        <w:t>dėsningumų</w:t>
      </w:r>
      <w:r w:rsidR="009530E2">
        <w:t xml:space="preserve"> </w:t>
      </w:r>
      <w:r w:rsidR="006406C1">
        <w:t xml:space="preserve">skirtingų </w:t>
      </w:r>
      <w:r w:rsidR="00916B5D">
        <w:t>mokslininkų</w:t>
      </w:r>
      <w:r w:rsidR="00BB6C85">
        <w:t xml:space="preserve"> darbuose</w:t>
      </w:r>
      <w:r w:rsidR="009530E2">
        <w:t xml:space="preserve"> galima įžvelgti</w:t>
      </w:r>
      <w:r w:rsidR="006406C1">
        <w:t>: 1) bazinis asmeninių finansų</w:t>
      </w:r>
      <w:r w:rsidR="00CC6BC2">
        <w:t xml:space="preserve"> elementas yra pinigai</w:t>
      </w:r>
      <w:r w:rsidR="00916B5D">
        <w:t>, kurie</w:t>
      </w:r>
      <w:r w:rsidR="00720A25">
        <w:t xml:space="preserve"> nuolat juda;</w:t>
      </w:r>
      <w:r w:rsidR="00916B5D">
        <w:t xml:space="preserve"> </w:t>
      </w:r>
      <w:r w:rsidR="00142E0C">
        <w:t xml:space="preserve">dėl ko </w:t>
      </w:r>
      <w:r w:rsidR="00916B5D">
        <w:t>2) </w:t>
      </w:r>
      <w:r w:rsidR="00BB6C85">
        <w:t xml:space="preserve">visada </w:t>
      </w:r>
      <w:r w:rsidR="003A5F21">
        <w:t>atsiranda santykių su įvairiais ekonominiais subjektais.</w:t>
      </w:r>
      <w:r w:rsidR="001D4FB4">
        <w:t xml:space="preserve"> Tai leidžia</w:t>
      </w:r>
      <w:r w:rsidR="00C109C4">
        <w:t xml:space="preserve"> manyti</w:t>
      </w:r>
      <w:r w:rsidR="001D4FB4">
        <w:t xml:space="preserve">, jog </w:t>
      </w:r>
      <w:r w:rsidRPr="00261B02">
        <w:t>asmeniniai finansai tur</w:t>
      </w:r>
      <w:r w:rsidR="00A5399B" w:rsidRPr="00261B02">
        <w:t>ėtų</w:t>
      </w:r>
      <w:r w:rsidR="0041512A" w:rsidRPr="00261B02">
        <w:t xml:space="preserve"> būti suvokiami kaip </w:t>
      </w:r>
      <w:r w:rsidR="00A5399B" w:rsidRPr="00261B02">
        <w:t xml:space="preserve">tam tikrų </w:t>
      </w:r>
      <w:r w:rsidRPr="00261B02">
        <w:t xml:space="preserve">procesų, susijusių su pinigų judėjimu, visuma, kuriai būtinas ne atsitiktinis, o </w:t>
      </w:r>
      <w:r w:rsidR="0002384E" w:rsidRPr="009A3C9B">
        <w:rPr>
          <w:i/>
        </w:rPr>
        <w:t>kontroliuo</w:t>
      </w:r>
      <w:r w:rsidR="00F821BC" w:rsidRPr="009A3C9B">
        <w:rPr>
          <w:i/>
        </w:rPr>
        <w:t>tin</w:t>
      </w:r>
      <w:r w:rsidR="0002384E" w:rsidRPr="009A3C9B">
        <w:rPr>
          <w:i/>
        </w:rPr>
        <w:t>as</w:t>
      </w:r>
      <w:r w:rsidR="00CA3085">
        <w:t xml:space="preserve"> valdymas,</w:t>
      </w:r>
      <w:r w:rsidR="00C109C4">
        <w:t xml:space="preserve"> </w:t>
      </w:r>
      <w:r w:rsidR="0002384E" w:rsidRPr="00261B02">
        <w:t xml:space="preserve">paremtas siekiu </w:t>
      </w:r>
      <w:r w:rsidR="00F821BC" w:rsidRPr="00261B02">
        <w:t>„</w:t>
      </w:r>
      <w:r w:rsidRPr="00261B02">
        <w:t>visada turėti pakankamai pinigų: šiuo metu, net</w:t>
      </w:r>
      <w:r w:rsidR="0002384E" w:rsidRPr="00261B02">
        <w:t xml:space="preserve">olimoje ir tolimesnėje </w:t>
      </w:r>
      <w:r w:rsidR="0002384E" w:rsidRPr="00677319">
        <w:t>ateityje</w:t>
      </w:r>
      <w:r w:rsidR="00F821BC" w:rsidRPr="00677319">
        <w:t>“</w:t>
      </w:r>
      <w:r w:rsidRPr="00677319">
        <w:t xml:space="preserve"> (</w:t>
      </w:r>
      <w:proofErr w:type="spellStart"/>
      <w:r w:rsidRPr="00677319">
        <w:t>Jurevičienė</w:t>
      </w:r>
      <w:proofErr w:type="spellEnd"/>
      <w:r w:rsidR="00A840E4" w:rsidRPr="00677319">
        <w:t xml:space="preserve">, </w:t>
      </w:r>
      <w:proofErr w:type="spellStart"/>
      <w:r w:rsidR="00A840E4" w:rsidRPr="00677319">
        <w:t>Gausienė</w:t>
      </w:r>
      <w:proofErr w:type="spellEnd"/>
      <w:r w:rsidRPr="00677319">
        <w:t xml:space="preserve"> 2010</w:t>
      </w:r>
      <w:r w:rsidR="00CA3085" w:rsidRPr="00677319">
        <w:t>, p. 224</w:t>
      </w:r>
      <w:r w:rsidRPr="00677319">
        <w:t>).</w:t>
      </w:r>
    </w:p>
    <w:p w:rsidR="00A97DA6" w:rsidRDefault="00EF3702" w:rsidP="000C2778">
      <w:r>
        <w:t xml:space="preserve">Žinant, </w:t>
      </w:r>
      <w:r w:rsidR="00527C6E">
        <w:t xml:space="preserve">jog </w:t>
      </w:r>
      <w:r w:rsidR="0027367F">
        <w:t xml:space="preserve">asmeninių finansų tikslas yra </w:t>
      </w:r>
      <w:r w:rsidR="0027367F" w:rsidRPr="0027367F">
        <w:rPr>
          <w:i/>
        </w:rPr>
        <w:t xml:space="preserve">finansinė </w:t>
      </w:r>
      <w:r w:rsidR="0027367F" w:rsidRPr="00677319">
        <w:rPr>
          <w:i/>
        </w:rPr>
        <w:t>laisvė</w:t>
      </w:r>
      <w:r w:rsidR="0027367F" w:rsidRPr="00677319">
        <w:t xml:space="preserve"> (Černius 2011), galima</w:t>
      </w:r>
      <w:r w:rsidR="0027367F">
        <w:t xml:space="preserve"> teigti, jog žmogaus sprendimai</w:t>
      </w:r>
      <w:r w:rsidR="006B708F">
        <w:t xml:space="preserve"> turi</w:t>
      </w:r>
      <w:r w:rsidR="0013292D">
        <w:t xml:space="preserve"> būtų tokie</w:t>
      </w:r>
      <w:r w:rsidR="002D6E71">
        <w:t>, kad</w:t>
      </w:r>
      <w:r w:rsidR="0013292D">
        <w:t xml:space="preserve"> iš </w:t>
      </w:r>
      <w:r w:rsidR="00692F25">
        <w:t xml:space="preserve">asmeninių finansų </w:t>
      </w:r>
      <w:r w:rsidR="0013292D">
        <w:t>sistemos niek</w:t>
      </w:r>
      <w:r w:rsidR="00692F25">
        <w:t>ada</w:t>
      </w:r>
      <w:r w:rsidR="00682722">
        <w:t xml:space="preserve"> </w:t>
      </w:r>
      <w:r w:rsidR="006B708F" w:rsidRPr="006B708F">
        <w:t>„</w:t>
      </w:r>
      <w:r w:rsidR="0013292D" w:rsidRPr="006B708F">
        <w:t>neišeitų</w:t>
      </w:r>
      <w:r w:rsidR="006B708F" w:rsidRPr="006B708F">
        <w:t>“</w:t>
      </w:r>
      <w:r w:rsidR="0013292D">
        <w:t xml:space="preserve"> daugiau nei </w:t>
      </w:r>
      <w:r w:rsidR="006B708F" w:rsidRPr="006B708F">
        <w:t>„</w:t>
      </w:r>
      <w:r w:rsidR="0013292D" w:rsidRPr="006B708F">
        <w:t>įėjo</w:t>
      </w:r>
      <w:r w:rsidR="006B708F" w:rsidRPr="006B708F">
        <w:t>“</w:t>
      </w:r>
      <w:r w:rsidR="00851898">
        <w:t>,</w:t>
      </w:r>
      <w:r w:rsidR="00682722">
        <w:t xml:space="preserve"> todėl</w:t>
      </w:r>
      <w:r w:rsidR="00DB6C92">
        <w:t xml:space="preserve"> </w:t>
      </w:r>
      <w:r w:rsidR="003A44F9" w:rsidRPr="003A44F9">
        <w:rPr>
          <w:i/>
        </w:rPr>
        <w:t xml:space="preserve">racionaliai </w:t>
      </w:r>
      <w:r w:rsidR="00E400C6" w:rsidRPr="003A44F9">
        <w:rPr>
          <w:i/>
        </w:rPr>
        <w:t>mąstanti būtybė turėtų valdyti savo finansus</w:t>
      </w:r>
      <w:r w:rsidR="00E400C6" w:rsidRPr="00157993">
        <w:t>.</w:t>
      </w:r>
      <w:r w:rsidR="0025650E">
        <w:t xml:space="preserve"> </w:t>
      </w:r>
      <w:r w:rsidR="003728AC" w:rsidRPr="00677319">
        <w:t>Anot</w:t>
      </w:r>
      <w:r w:rsidR="0025650E" w:rsidRPr="00677319">
        <w:t xml:space="preserve"> </w:t>
      </w:r>
      <w:proofErr w:type="spellStart"/>
      <w:r w:rsidR="007C52A6" w:rsidRPr="00677319">
        <w:t>Jurevičienės</w:t>
      </w:r>
      <w:proofErr w:type="spellEnd"/>
      <w:r w:rsidR="007C52A6" w:rsidRPr="00677319">
        <w:t xml:space="preserve">, </w:t>
      </w:r>
      <w:proofErr w:type="spellStart"/>
      <w:r w:rsidR="007C52A6" w:rsidRPr="00677319">
        <w:t>Gausienės</w:t>
      </w:r>
      <w:proofErr w:type="spellEnd"/>
      <w:r w:rsidR="003728AC" w:rsidRPr="00677319">
        <w:t xml:space="preserve"> </w:t>
      </w:r>
      <w:r w:rsidR="0025650E" w:rsidRPr="00677319">
        <w:t>(2010),</w:t>
      </w:r>
      <w:r w:rsidR="0025650E">
        <w:t xml:space="preserve"> </w:t>
      </w:r>
      <w:r w:rsidR="0025650E" w:rsidRPr="007C52A6">
        <w:rPr>
          <w:b/>
          <w:i/>
        </w:rPr>
        <w:t xml:space="preserve">asmeninių finansų valdymą </w:t>
      </w:r>
      <w:r w:rsidR="00050228" w:rsidRPr="007C52A6">
        <w:rPr>
          <w:b/>
          <w:i/>
        </w:rPr>
        <w:t>turinio požiūriu</w:t>
      </w:r>
      <w:r w:rsidR="009A31EE" w:rsidRPr="007C52A6">
        <w:rPr>
          <w:b/>
          <w:i/>
        </w:rPr>
        <w:t xml:space="preserve"> </w:t>
      </w:r>
      <w:r w:rsidR="008B583E">
        <w:t>galima su</w:t>
      </w:r>
      <w:r w:rsidR="00BA2FE5">
        <w:t>s</w:t>
      </w:r>
      <w:r w:rsidR="00943216">
        <w:t>kirstyti į</w:t>
      </w:r>
      <w:r w:rsidR="0025650E" w:rsidRPr="0025650E">
        <w:t>: išlaidų val</w:t>
      </w:r>
      <w:r w:rsidR="00692F25">
        <w:t>dymą</w:t>
      </w:r>
      <w:r w:rsidR="009A31EE">
        <w:t>;</w:t>
      </w:r>
      <w:r w:rsidR="00851898">
        <w:t xml:space="preserve"> rizikos valdymą</w:t>
      </w:r>
      <w:r w:rsidR="009A31EE">
        <w:t>; įsipareigojimų valdymą;</w:t>
      </w:r>
      <w:r w:rsidR="0025650E" w:rsidRPr="0025650E">
        <w:t xml:space="preserve"> pensijų plan</w:t>
      </w:r>
      <w:r w:rsidR="007B2FA4">
        <w:t>avimą</w:t>
      </w:r>
      <w:r w:rsidR="009A31EE">
        <w:t>;</w:t>
      </w:r>
      <w:r w:rsidR="0025650E" w:rsidRPr="0025650E">
        <w:t xml:space="preserve"> mokesčių </w:t>
      </w:r>
      <w:r w:rsidR="0025650E" w:rsidRPr="00677319">
        <w:t>valdymą, turto valdymą</w:t>
      </w:r>
      <w:r w:rsidR="007B1160" w:rsidRPr="00677319">
        <w:t>;</w:t>
      </w:r>
      <w:r w:rsidR="0025650E" w:rsidRPr="00677319">
        <w:t xml:space="preserve"> pajamų didinimą. Kitų autorių</w:t>
      </w:r>
      <w:r w:rsidR="009555BA" w:rsidRPr="00677319">
        <w:t xml:space="preserve"> nuomone</w:t>
      </w:r>
      <w:r w:rsidR="0025650E" w:rsidRPr="00677319">
        <w:t>,</w:t>
      </w:r>
      <w:r w:rsidR="009679E8" w:rsidRPr="00677319">
        <w:t xml:space="preserve"> </w:t>
      </w:r>
      <w:r w:rsidR="002E3212" w:rsidRPr="00677319">
        <w:t xml:space="preserve">labai </w:t>
      </w:r>
      <w:r w:rsidR="009679E8" w:rsidRPr="00677319">
        <w:t xml:space="preserve">svarbu </w:t>
      </w:r>
      <w:r w:rsidR="002E3212" w:rsidRPr="00677319">
        <w:t xml:space="preserve">yra </w:t>
      </w:r>
      <w:r w:rsidR="009679E8" w:rsidRPr="00677319">
        <w:t xml:space="preserve">planuoti vartojimą </w:t>
      </w:r>
      <w:r w:rsidR="007B1160" w:rsidRPr="00677319">
        <w:t>i</w:t>
      </w:r>
      <w:r w:rsidR="009679E8" w:rsidRPr="00677319">
        <w:t>r</w:t>
      </w:r>
      <w:r w:rsidR="0025650E" w:rsidRPr="00677319">
        <w:t xml:space="preserve"> karjerą (</w:t>
      </w:r>
      <w:proofErr w:type="spellStart"/>
      <w:r w:rsidR="00FD38A4" w:rsidRPr="00677319">
        <w:t>Jurevičienė</w:t>
      </w:r>
      <w:proofErr w:type="spellEnd"/>
      <w:r w:rsidR="00FD38A4" w:rsidRPr="00677319">
        <w:t xml:space="preserve">, </w:t>
      </w:r>
      <w:proofErr w:type="spellStart"/>
      <w:r w:rsidR="00FD38A4" w:rsidRPr="00677319">
        <w:t>Klimavičienė</w:t>
      </w:r>
      <w:proofErr w:type="spellEnd"/>
      <w:r w:rsidR="0025650E" w:rsidRPr="00677319">
        <w:t xml:space="preserve"> 2008), o </w:t>
      </w:r>
      <w:proofErr w:type="spellStart"/>
      <w:r w:rsidR="0025650E" w:rsidRPr="00677319">
        <w:t>Bikas</w:t>
      </w:r>
      <w:proofErr w:type="spellEnd"/>
      <w:r w:rsidR="0025650E" w:rsidRPr="00677319">
        <w:t xml:space="preserve"> (2003)</w:t>
      </w:r>
      <w:r w:rsidR="007B2FA4" w:rsidRPr="00677319">
        <w:t>, be viso to,</w:t>
      </w:r>
      <w:r w:rsidR="0025650E" w:rsidRPr="00677319">
        <w:t xml:space="preserve"> </w:t>
      </w:r>
      <w:r w:rsidR="00001E1D" w:rsidRPr="00677319">
        <w:t xml:space="preserve">dar </w:t>
      </w:r>
      <w:r w:rsidR="002E3212" w:rsidRPr="00677319">
        <w:t>nurodo</w:t>
      </w:r>
      <w:r w:rsidR="00610674" w:rsidRPr="00677319">
        <w:t xml:space="preserve"> </w:t>
      </w:r>
      <w:r w:rsidR="0025650E" w:rsidRPr="00677319">
        <w:t>pave</w:t>
      </w:r>
      <w:r w:rsidR="006829EB" w:rsidRPr="00677319">
        <w:t>ldimo turto planavimą. N</w:t>
      </w:r>
      <w:r w:rsidR="0025650E" w:rsidRPr="00677319">
        <w:t>epaisant to, jog vieninga klasifikac</w:t>
      </w:r>
      <w:r w:rsidR="006F28AD" w:rsidRPr="00677319">
        <w:t>ija neegzistuoja, akivaizdu</w:t>
      </w:r>
      <w:r w:rsidR="002E3212" w:rsidRPr="00677319">
        <w:t xml:space="preserve"> yra</w:t>
      </w:r>
      <w:r w:rsidR="006F28AD" w:rsidRPr="00677319">
        <w:t xml:space="preserve"> </w:t>
      </w:r>
      <w:r w:rsidR="008B583E" w:rsidRPr="00677319">
        <w:t>viena –</w:t>
      </w:r>
      <w:r w:rsidR="006228FF" w:rsidRPr="00677319">
        <w:t xml:space="preserve"> </w:t>
      </w:r>
      <w:r w:rsidR="00C51463" w:rsidRPr="00677319">
        <w:t>sprendimai tur</w:t>
      </w:r>
      <w:r w:rsidR="002921DD" w:rsidRPr="00677319">
        <w:t>ėtų</w:t>
      </w:r>
      <w:r w:rsidR="00C51463" w:rsidRPr="00677319">
        <w:t xml:space="preserve"> būti paremti</w:t>
      </w:r>
      <w:r w:rsidR="001C102B" w:rsidRPr="00677319">
        <w:t xml:space="preserve"> </w:t>
      </w:r>
      <w:r w:rsidR="007378D3" w:rsidRPr="00677319">
        <w:t xml:space="preserve">ne norais, </w:t>
      </w:r>
      <w:r w:rsidR="00701293" w:rsidRPr="00677319">
        <w:t>bet</w:t>
      </w:r>
      <w:r w:rsidR="00226B31" w:rsidRPr="00677319">
        <w:t xml:space="preserve"> poreikiais</w:t>
      </w:r>
      <w:r w:rsidR="00701293" w:rsidRPr="00677319">
        <w:t xml:space="preserve"> (</w:t>
      </w:r>
      <w:proofErr w:type="spellStart"/>
      <w:r w:rsidR="00701293" w:rsidRPr="00677319">
        <w:t>Jurevičienė</w:t>
      </w:r>
      <w:proofErr w:type="spellEnd"/>
      <w:r w:rsidR="009C01BC" w:rsidRPr="00677319">
        <w:t>,</w:t>
      </w:r>
      <w:r w:rsidR="00701293" w:rsidRPr="00677319">
        <w:t xml:space="preserve"> </w:t>
      </w:r>
      <w:proofErr w:type="spellStart"/>
      <w:r w:rsidR="009C01BC" w:rsidRPr="00677319">
        <w:t>Gausienė</w:t>
      </w:r>
      <w:proofErr w:type="spellEnd"/>
      <w:r w:rsidR="009C01BC" w:rsidRPr="00677319">
        <w:t xml:space="preserve"> </w:t>
      </w:r>
      <w:r w:rsidR="00701293" w:rsidRPr="00677319">
        <w:t>2010)</w:t>
      </w:r>
      <w:r w:rsidR="00226B31" w:rsidRPr="00677319">
        <w:t xml:space="preserve">, </w:t>
      </w:r>
      <w:r w:rsidR="00FD38A4" w:rsidRPr="00677319">
        <w:t>o</w:t>
      </w:r>
      <w:r w:rsidR="00226B31" w:rsidRPr="00677319">
        <w:t xml:space="preserve"> prioritetas </w:t>
      </w:r>
      <w:r w:rsidR="00AA249F" w:rsidRPr="00677319">
        <w:t xml:space="preserve">turėtų būti </w:t>
      </w:r>
      <w:r w:rsidR="00226B31" w:rsidRPr="00677319">
        <w:t>teikiamas</w:t>
      </w:r>
      <w:r w:rsidR="002E3212" w:rsidRPr="00677319">
        <w:t xml:space="preserve"> </w:t>
      </w:r>
      <w:r w:rsidR="009B4B96" w:rsidRPr="00677319">
        <w:t>„</w:t>
      </w:r>
      <w:r w:rsidR="001462C5" w:rsidRPr="00677319">
        <w:t>atėjimo</w:t>
      </w:r>
      <w:r w:rsidR="009B4B96" w:rsidRPr="00677319">
        <w:t>“</w:t>
      </w:r>
      <w:r w:rsidR="001462C5" w:rsidRPr="00677319">
        <w:t xml:space="preserve"> </w:t>
      </w:r>
      <w:r w:rsidR="009B4B96" w:rsidRPr="00677319">
        <w:t>(Černius 2011</w:t>
      </w:r>
      <w:r w:rsidR="00B0650D" w:rsidRPr="00677319">
        <w:t>, p. 69</w:t>
      </w:r>
      <w:r w:rsidR="009B4B96" w:rsidRPr="00677319">
        <w:t xml:space="preserve">) </w:t>
      </w:r>
      <w:r w:rsidR="001462C5" w:rsidRPr="00677319">
        <w:t>į pensiją</w:t>
      </w:r>
      <w:r w:rsidR="00226B31" w:rsidRPr="00677319">
        <w:t xml:space="preserve"> planavimui</w:t>
      </w:r>
      <w:r w:rsidR="007B2FA4" w:rsidRPr="00677319">
        <w:t>, kitaip tariant</w:t>
      </w:r>
      <w:r w:rsidR="0025335A" w:rsidRPr="00677319">
        <w:t>,</w:t>
      </w:r>
      <w:r w:rsidR="00B0650D" w:rsidRPr="00677319">
        <w:t xml:space="preserve"> – </w:t>
      </w:r>
      <w:r w:rsidR="004112F4" w:rsidRPr="00677319">
        <w:rPr>
          <w:i/>
        </w:rPr>
        <w:t>racional</w:t>
      </w:r>
      <w:r w:rsidR="009B4B96" w:rsidRPr="00677319">
        <w:rPr>
          <w:i/>
        </w:rPr>
        <w:t xml:space="preserve">i elgsena </w:t>
      </w:r>
      <w:r w:rsidR="000A4936" w:rsidRPr="00677319">
        <w:rPr>
          <w:i/>
        </w:rPr>
        <w:t xml:space="preserve">siejama su </w:t>
      </w:r>
      <w:r w:rsidR="00E71C1F" w:rsidRPr="00677319">
        <w:rPr>
          <w:i/>
        </w:rPr>
        <w:t>„</w:t>
      </w:r>
      <w:r w:rsidR="000A4936" w:rsidRPr="00677319">
        <w:rPr>
          <w:i/>
        </w:rPr>
        <w:t>sveik</w:t>
      </w:r>
      <w:r w:rsidR="00E71C1F" w:rsidRPr="00677319">
        <w:rPr>
          <w:i/>
        </w:rPr>
        <w:t>u“</w:t>
      </w:r>
      <w:r w:rsidR="000A4936" w:rsidRPr="00677319">
        <w:rPr>
          <w:i/>
        </w:rPr>
        <w:t xml:space="preserve"> </w:t>
      </w:r>
      <w:r w:rsidR="004112F4" w:rsidRPr="00677319">
        <w:rPr>
          <w:i/>
        </w:rPr>
        <w:t>protu</w:t>
      </w:r>
      <w:r w:rsidR="00157993" w:rsidRPr="00677319">
        <w:rPr>
          <w:i/>
        </w:rPr>
        <w:t>, tikslingai ir tinkamai</w:t>
      </w:r>
      <w:r w:rsidR="00281E9C" w:rsidRPr="00677319">
        <w:rPr>
          <w:i/>
        </w:rPr>
        <w:t xml:space="preserve"> priimtais</w:t>
      </w:r>
      <w:r w:rsidR="00157993" w:rsidRPr="00677319">
        <w:rPr>
          <w:i/>
        </w:rPr>
        <w:t xml:space="preserve"> sprendimais</w:t>
      </w:r>
      <w:r w:rsidR="00281E9C" w:rsidRPr="00677319">
        <w:t xml:space="preserve"> (Terminų žodynas 2012)</w:t>
      </w:r>
      <w:r w:rsidR="00A97DA6" w:rsidRPr="00677319">
        <w:t>.</w:t>
      </w:r>
    </w:p>
    <w:p w:rsidR="00991E87" w:rsidRDefault="00C93EC7" w:rsidP="000C2778">
      <w:r>
        <w:t xml:space="preserve">Bandant </w:t>
      </w:r>
      <w:r w:rsidR="00A478C1">
        <w:t>į</w:t>
      </w:r>
      <w:r w:rsidR="003A40F5">
        <w:t xml:space="preserve"> </w:t>
      </w:r>
      <w:r w:rsidR="0020461E">
        <w:t xml:space="preserve">finansinės elgsenos </w:t>
      </w:r>
      <w:r w:rsidR="00A478C1" w:rsidRPr="00961ADD">
        <w:t>racionalum</w:t>
      </w:r>
      <w:r w:rsidR="00217ECD">
        <w:t>ą</w:t>
      </w:r>
      <w:r w:rsidR="00A478C1">
        <w:t xml:space="preserve"> </w:t>
      </w:r>
      <w:r w:rsidR="0020461E">
        <w:t>pa</w:t>
      </w:r>
      <w:r>
        <w:t xml:space="preserve">žvelgti giliau, derėtų prisiminti, jog asmeniniai finansai yra sudėtinė </w:t>
      </w:r>
      <w:r w:rsidRPr="008A2FA3">
        <w:t>valstybės finansų</w:t>
      </w:r>
      <w:r>
        <w:t xml:space="preserve"> dalis</w:t>
      </w:r>
      <w:r w:rsidR="0028444F">
        <w:t xml:space="preserve">, </w:t>
      </w:r>
      <w:r w:rsidR="008F4256">
        <w:t>kas</w:t>
      </w:r>
      <w:r w:rsidR="000A6B10">
        <w:t xml:space="preserve"> byloja</w:t>
      </w:r>
      <w:r w:rsidR="0020461E">
        <w:t>, jog</w:t>
      </w:r>
      <w:r w:rsidR="005E7ED9">
        <w:t xml:space="preserve"> </w:t>
      </w:r>
      <w:r w:rsidR="0047220B">
        <w:t>racionalios finansinės elgsenos</w:t>
      </w:r>
      <w:r w:rsidR="005E7ED9">
        <w:t xml:space="preserve"> </w:t>
      </w:r>
      <w:r w:rsidR="00FD4487">
        <w:t xml:space="preserve">sampratai </w:t>
      </w:r>
      <w:r w:rsidR="005E7ED9">
        <w:t>įtak</w:t>
      </w:r>
      <w:r w:rsidR="00C14FE2">
        <w:t>ą</w:t>
      </w:r>
      <w:r w:rsidR="005E7ED9">
        <w:t xml:space="preserve"> </w:t>
      </w:r>
      <w:r w:rsidR="00C14FE2">
        <w:t xml:space="preserve">daro </w:t>
      </w:r>
      <w:r w:rsidR="008F4256">
        <w:t xml:space="preserve">ne tik tai, kaip apibrėžiama </w:t>
      </w:r>
      <w:r w:rsidR="00C85640">
        <w:t xml:space="preserve">pati </w:t>
      </w:r>
      <w:r w:rsidR="00164D5F">
        <w:t>„</w:t>
      </w:r>
      <w:r w:rsidR="008F4256">
        <w:t>racionalum</w:t>
      </w:r>
      <w:r w:rsidR="00E57632">
        <w:t>o</w:t>
      </w:r>
      <w:r w:rsidR="00164D5F">
        <w:t>“ sąvoka</w:t>
      </w:r>
      <w:r w:rsidR="008F4256">
        <w:t xml:space="preserve">, bet </w:t>
      </w:r>
      <w:r w:rsidR="00C14FE2">
        <w:t xml:space="preserve">ir </w:t>
      </w:r>
      <w:r w:rsidR="00A3414F">
        <w:t xml:space="preserve">tai, kaip </w:t>
      </w:r>
      <w:r w:rsidR="001D5B82">
        <w:t xml:space="preserve">suvokiami ir </w:t>
      </w:r>
      <w:r w:rsidR="00E57632">
        <w:t xml:space="preserve">interpretuojami </w:t>
      </w:r>
      <w:r w:rsidR="00EF4242">
        <w:t xml:space="preserve">asmeninių </w:t>
      </w:r>
      <w:r w:rsidR="00EF4242" w:rsidRPr="00097A17">
        <w:t>finansų be</w:t>
      </w:r>
      <w:r w:rsidR="00E62F1C" w:rsidRPr="00097A17">
        <w:t>i valstybės finansų</w:t>
      </w:r>
      <w:r w:rsidR="003A40F5" w:rsidRPr="00097A17">
        <w:t xml:space="preserve"> tarpusavio</w:t>
      </w:r>
      <w:r w:rsidR="0020461E" w:rsidRPr="00097A17">
        <w:t xml:space="preserve"> ryš</w:t>
      </w:r>
      <w:r w:rsidR="00E62F1C" w:rsidRPr="00097A17">
        <w:t>iai</w:t>
      </w:r>
      <w:r w:rsidR="00F266B7" w:rsidRPr="00097A17">
        <w:t>.</w:t>
      </w:r>
      <w:r w:rsidR="00164D5F" w:rsidRPr="00097A17">
        <w:t xml:space="preserve"> </w:t>
      </w:r>
      <w:r w:rsidR="001750EA" w:rsidRPr="00097A17">
        <w:t xml:space="preserve">Kadangi asmeninių finansų tikslas </w:t>
      </w:r>
      <w:r w:rsidR="00E62D7E" w:rsidRPr="00097A17">
        <w:t>yra pasiekti finansinę laisvę</w:t>
      </w:r>
      <w:r w:rsidR="001750EA" w:rsidRPr="00097A17">
        <w:t>, o valstybės finansų –</w:t>
      </w:r>
      <w:r w:rsidR="00D6127A" w:rsidRPr="00097A17">
        <w:rPr>
          <w:i/>
        </w:rPr>
        <w:t xml:space="preserve"> tautos </w:t>
      </w:r>
      <w:r w:rsidR="001750EA" w:rsidRPr="00097A17">
        <w:rPr>
          <w:i/>
        </w:rPr>
        <w:t>gerov</w:t>
      </w:r>
      <w:r w:rsidR="00E62D7E" w:rsidRPr="00097A17">
        <w:rPr>
          <w:i/>
        </w:rPr>
        <w:t>ę</w:t>
      </w:r>
      <w:r w:rsidR="001750EA" w:rsidRPr="00097A17">
        <w:t xml:space="preserve"> (Černius 2012) arba, k</w:t>
      </w:r>
      <w:r w:rsidR="000566E5" w:rsidRPr="00097A17">
        <w:t>aip</w:t>
      </w:r>
      <w:r w:rsidR="00C8151A" w:rsidRPr="00097A17">
        <w:t xml:space="preserve"> </w:t>
      </w:r>
      <w:r w:rsidR="00670F30" w:rsidRPr="00097A17">
        <w:t>numatyt</w:t>
      </w:r>
      <w:r w:rsidR="00164E5A" w:rsidRPr="00097A17">
        <w:t>a</w:t>
      </w:r>
      <w:r w:rsidR="00EA3F18" w:rsidRPr="00097A17">
        <w:t xml:space="preserve"> </w:t>
      </w:r>
      <w:r w:rsidR="00D037F2" w:rsidRPr="00097A17">
        <w:t>B</w:t>
      </w:r>
      <w:r w:rsidR="00EA3F18" w:rsidRPr="00097A17">
        <w:t>iudžeto sandaros įstatyme</w:t>
      </w:r>
      <w:r w:rsidR="00452D67" w:rsidRPr="00097A17">
        <w:t xml:space="preserve"> (1990)</w:t>
      </w:r>
      <w:r w:rsidR="00EA3F18" w:rsidRPr="00097A17">
        <w:t>:</w:t>
      </w:r>
      <w:r w:rsidR="00164E5A" w:rsidRPr="00097A17">
        <w:t xml:space="preserve"> </w:t>
      </w:r>
      <w:r w:rsidR="007A4387" w:rsidRPr="00097A17">
        <w:t>„siekti ilgalaikės, visapu</w:t>
      </w:r>
      <w:r w:rsidR="002A681F" w:rsidRPr="00097A17">
        <w:t xml:space="preserve">siškos ekonominės ir socialinės Lietuvos Respublikos </w:t>
      </w:r>
      <w:r w:rsidR="007A4387" w:rsidRPr="00097A17">
        <w:t>piliečių gerovės“</w:t>
      </w:r>
      <w:r w:rsidR="00C506B9" w:rsidRPr="00097A17">
        <w:t xml:space="preserve"> (1</w:t>
      </w:r>
      <w:r w:rsidR="00E62E1B" w:rsidRPr="00097A17">
        <w:t xml:space="preserve"> </w:t>
      </w:r>
      <w:r w:rsidR="00C506B9" w:rsidRPr="00097A17">
        <w:t>straipsnis)</w:t>
      </w:r>
      <w:r w:rsidR="007A4387" w:rsidRPr="00097A17">
        <w:t xml:space="preserve">, </w:t>
      </w:r>
      <w:r w:rsidR="002A681F" w:rsidRPr="00097A17">
        <w:t>tampa</w:t>
      </w:r>
      <w:r w:rsidR="00904E06">
        <w:t xml:space="preserve"> aišku</w:t>
      </w:r>
      <w:r w:rsidR="00E00183">
        <w:t xml:space="preserve">, jog </w:t>
      </w:r>
      <w:r w:rsidR="00E00183" w:rsidRPr="0098223A">
        <w:rPr>
          <w:i/>
        </w:rPr>
        <w:t>racionali</w:t>
      </w:r>
      <w:r w:rsidR="00301985">
        <w:rPr>
          <w:i/>
        </w:rPr>
        <w:t xml:space="preserve"> individų</w:t>
      </w:r>
      <w:r w:rsidR="00E00183" w:rsidRPr="0098223A">
        <w:rPr>
          <w:i/>
        </w:rPr>
        <w:t xml:space="preserve"> finansinė elgsena </w:t>
      </w:r>
      <w:r w:rsidR="00255DC1" w:rsidRPr="0098223A">
        <w:rPr>
          <w:i/>
        </w:rPr>
        <w:t>turėtų būti paremta tokiais sprendimais</w:t>
      </w:r>
      <w:r w:rsidR="0016395B" w:rsidRPr="0098223A">
        <w:rPr>
          <w:i/>
        </w:rPr>
        <w:t>, kurie būtų naudingi</w:t>
      </w:r>
      <w:r w:rsidR="00F436B8" w:rsidRPr="0098223A">
        <w:rPr>
          <w:i/>
        </w:rPr>
        <w:t xml:space="preserve"> ne tik juos priėmusiam</w:t>
      </w:r>
      <w:r w:rsidR="00904E06">
        <w:rPr>
          <w:i/>
        </w:rPr>
        <w:t xml:space="preserve"> asmeniui</w:t>
      </w:r>
      <w:r w:rsidR="00F436B8" w:rsidRPr="0098223A">
        <w:rPr>
          <w:i/>
        </w:rPr>
        <w:t xml:space="preserve">, bet ir </w:t>
      </w:r>
      <w:r w:rsidR="00E04775" w:rsidRPr="0098223A">
        <w:rPr>
          <w:i/>
        </w:rPr>
        <w:t>tam tikra prasme</w:t>
      </w:r>
      <w:r w:rsidR="00F436B8" w:rsidRPr="0098223A">
        <w:rPr>
          <w:i/>
        </w:rPr>
        <w:t xml:space="preserve"> </w:t>
      </w:r>
      <w:r w:rsidR="00904E06">
        <w:rPr>
          <w:i/>
        </w:rPr>
        <w:t>naudingi</w:t>
      </w:r>
      <w:r w:rsidR="00555D34" w:rsidRPr="0098223A">
        <w:rPr>
          <w:i/>
        </w:rPr>
        <w:t xml:space="preserve"> </w:t>
      </w:r>
      <w:r w:rsidR="00F436B8" w:rsidRPr="0098223A">
        <w:rPr>
          <w:i/>
        </w:rPr>
        <w:t>valstybei</w:t>
      </w:r>
      <w:r w:rsidR="00E04775" w:rsidRPr="0098223A">
        <w:t xml:space="preserve"> </w:t>
      </w:r>
      <w:r w:rsidR="00E04775">
        <w:t xml:space="preserve">– tada finansinė laisvė, kuri yra viena iš </w:t>
      </w:r>
      <w:r w:rsidR="00E04775" w:rsidRPr="00D6127A">
        <w:t>gerovės</w:t>
      </w:r>
      <w:r w:rsidR="00E00B82">
        <w:t xml:space="preserve"> sud</w:t>
      </w:r>
      <w:r w:rsidR="00301985">
        <w:t>edamųjų</w:t>
      </w:r>
      <w:r w:rsidR="00E04775">
        <w:t xml:space="preserve"> dalių, turėtų atsirasti </w:t>
      </w:r>
      <w:r w:rsidR="00D6127A">
        <w:t xml:space="preserve">per </w:t>
      </w:r>
      <w:r w:rsidR="00E12B25" w:rsidRPr="00527F25">
        <w:t>grįžtam</w:t>
      </w:r>
      <w:r w:rsidR="00D6127A" w:rsidRPr="00527F25">
        <w:t>ąjį</w:t>
      </w:r>
      <w:r w:rsidR="00E12B25" w:rsidRPr="00527F25">
        <w:t xml:space="preserve"> ryš</w:t>
      </w:r>
      <w:r w:rsidR="00D6127A" w:rsidRPr="00527F25">
        <w:t>į</w:t>
      </w:r>
      <w:r w:rsidR="00E00B82" w:rsidRPr="00527F25">
        <w:t xml:space="preserve"> (žr. 1 pav.)</w:t>
      </w:r>
      <w:r w:rsidR="00E04775" w:rsidRPr="00527F25">
        <w:t>.</w:t>
      </w:r>
    </w:p>
    <w:p w:rsidR="00D1120C" w:rsidRDefault="00D84BC4" w:rsidP="003838A8">
      <w:pPr>
        <w:spacing w:after="0" w:line="240" w:lineRule="auto"/>
        <w:ind w:firstLine="0"/>
        <w:jc w:val="center"/>
      </w:pPr>
      <w:r>
        <w:pict>
          <v:group id="_x0000_s1395" editas="canvas" style="width:511.4pt;height:155.75pt;mso-position-horizontal-relative:char;mso-position-vertical-relative:line" coordorigin="2841,1443" coordsize="7180,218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94" type="#_x0000_t75" style="position:absolute;left:2841;top:1443;width:7180;height:2188" o:preferrelative="f">
              <v:fill o:detectmouseclick="t"/>
              <v:path o:extrusionok="t" o:connecttype="none"/>
              <o:lock v:ext="edit" text="t"/>
            </v:shape>
            <v:rect id="_x0000_s1562" style="position:absolute;left:3862;top:3236;width:1317;height:111"/>
            <v:rect id="_x0000_s1523" style="position:absolute;left:2841;top:1443;width:7180;height:2188" strokecolor="black [3213]" strokeweight="2p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_x0000_s1491" type="#_x0000_t58" style="position:absolute;left:5351;top:1507;width:1934;height:1459" fillcolor="yellow" strokecolor="black [3213]" strokeweight="1.5pt">
              <v:textbox style="mso-next-textbox:#_x0000_s1491" inset=",.72pt,,.72pt">
                <w:txbxContent>
                  <w:p w:rsidR="00B2438E" w:rsidRPr="006A5CD4" w:rsidRDefault="00B2438E" w:rsidP="0070768A">
                    <w:pPr>
                      <w:spacing w:after="0" w:line="240" w:lineRule="auto"/>
                      <w:ind w:firstLine="0"/>
                      <w:jc w:val="center"/>
                      <w:rPr>
                        <w:sz w:val="16"/>
                        <w:szCs w:val="16"/>
                      </w:rPr>
                    </w:pPr>
                  </w:p>
                </w:txbxContent>
              </v:textbox>
            </v:shape>
            <v:oval id="_x0000_s1453" style="position:absolute;left:2993;top:2340;width:848;height:861" fillcolor="#daeef3 [664]" strokecolor="#92cddc [1944]" strokeweight="3pt"/>
            <v:oval id="_x0000_s1451" style="position:absolute;left:3207;top:2559;width:428;height:434" fillcolor="#92cddc [1944]" strokecolor="#b6dde8 [1304]" strokeweight="2pt">
              <v:textbox style="mso-next-textbox:#_x0000_s1451">
                <w:txbxContent>
                  <w:p w:rsidR="00B2438E" w:rsidRPr="00FE13B4" w:rsidRDefault="00B2438E" w:rsidP="0070768A">
                    <w:pPr>
                      <w:spacing w:before="20" w:after="0" w:line="240" w:lineRule="auto"/>
                      <w:ind w:firstLine="0"/>
                      <w:jc w:val="center"/>
                      <w:rPr>
                        <w:b/>
                        <w:sz w:val="28"/>
                        <w:szCs w:val="28"/>
                      </w:rPr>
                    </w:pPr>
                    <w:r>
                      <w:rPr>
                        <w:b/>
                        <w:sz w:val="28"/>
                        <w:szCs w:val="28"/>
                      </w:rPr>
                      <w:t>A</w:t>
                    </w:r>
                  </w:p>
                </w:txbxContent>
              </v:textbox>
            </v:oval>
            <v:shapetype id="_x0000_t32" coordsize="21600,21600" o:spt="32" o:oned="t" path="m,l21600,21600e" filled="f">
              <v:path arrowok="t" fillok="f" o:connecttype="none"/>
              <o:lock v:ext="edit" shapetype="t"/>
            </v:shapetype>
            <v:shape id="_x0000_s1454" type="#_x0000_t32" style="position:absolute;left:3417;top:2319;width:4;height:226;flip:x y" o:connectortype="straight" strokecolor="black [3213]" strokeweight="1.5pt">
              <v:stroke endarrow="block"/>
            </v:shape>
            <v:shape id="_x0000_s1456" type="#_x0000_t32" style="position:absolute;left:3417;top:3007;width:4;height:215;flip:x" o:connectortype="straight" strokecolor="black [3213]" strokeweight="1.5pt">
              <v:stroke dashstyle="1 1" endarrow="block"/>
            </v:shape>
            <v:rect id="_x0000_s1509" style="position:absolute;left:3572;top:1978;width:1769;height:362" stroked="f">
              <v:textbox style="mso-next-textbox:#_x0000_s1509">
                <w:txbxContent>
                  <w:p w:rsidR="00B2438E" w:rsidRPr="009F53A8" w:rsidRDefault="00B2438E" w:rsidP="0070768A">
                    <w:pPr>
                      <w:spacing w:before="40" w:after="0" w:line="240" w:lineRule="auto"/>
                      <w:ind w:firstLine="0"/>
                      <w:jc w:val="center"/>
                      <w:rPr>
                        <w:b/>
                        <w:i/>
                        <w:sz w:val="18"/>
                        <w:szCs w:val="18"/>
                      </w:rPr>
                    </w:pPr>
                    <w:r>
                      <w:rPr>
                        <w:b/>
                        <w:i/>
                        <w:sz w:val="18"/>
                        <w:szCs w:val="18"/>
                      </w:rPr>
                      <w:t xml:space="preserve"> </w:t>
                    </w:r>
                    <w:r w:rsidRPr="009F53A8">
                      <w:rPr>
                        <w:b/>
                        <w:i/>
                        <w:sz w:val="18"/>
                        <w:szCs w:val="18"/>
                      </w:rPr>
                      <w:t>Tinkami sprendimai</w:t>
                    </w:r>
                  </w:p>
                </w:txbxContent>
              </v:textbox>
            </v:rect>
            <v:rect id="_x0000_s1513" style="position:absolute;left:5815;top:1791;width:1017;height:192" fillcolor="yellow" stroked="f">
              <v:textbox style="mso-next-textbox:#_x0000_s1513" inset=",.72pt,,.72pt">
                <w:txbxContent>
                  <w:p w:rsidR="00B2438E" w:rsidRPr="003D4157" w:rsidRDefault="00B2438E" w:rsidP="0070768A">
                    <w:pPr>
                      <w:spacing w:after="0" w:line="240" w:lineRule="auto"/>
                      <w:ind w:firstLine="0"/>
                      <w:jc w:val="center"/>
                      <w:rPr>
                        <w:b/>
                        <w:sz w:val="20"/>
                      </w:rPr>
                    </w:pPr>
                    <w:r w:rsidRPr="003D4157">
                      <w:rPr>
                        <w:b/>
                        <w:sz w:val="20"/>
                      </w:rPr>
                      <w:t>TIKSLAS</w:t>
                    </w:r>
                  </w:p>
                </w:txbxContent>
              </v:textbox>
            </v:rect>
            <v:rect id="_x0000_s1514" style="position:absolute;left:3780;top:3096;width:1421;height:196" stroked="f">
              <v:textbox style="mso-next-textbox:#_x0000_s1514" inset=",1.44pt,,1.44pt">
                <w:txbxContent>
                  <w:p w:rsidR="00B2438E" w:rsidRPr="009F53A8" w:rsidRDefault="00B2438E" w:rsidP="0070768A">
                    <w:pPr>
                      <w:spacing w:after="0" w:line="240" w:lineRule="auto"/>
                      <w:ind w:firstLine="0"/>
                      <w:jc w:val="center"/>
                      <w:rPr>
                        <w:b/>
                        <w:i/>
                        <w:sz w:val="18"/>
                        <w:szCs w:val="18"/>
                      </w:rPr>
                    </w:pPr>
                    <w:r w:rsidRPr="009F53A8">
                      <w:rPr>
                        <w:b/>
                        <w:i/>
                        <w:sz w:val="18"/>
                        <w:szCs w:val="18"/>
                      </w:rPr>
                      <w:t>Netinkami sprendimai</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515" type="#_x0000_t67" style="position:absolute;left:5671;top:2589;width:370;height:377" fillcolor="#daeef3 [664]" strokecolor="black [3213]" strokeweight="1pt">
              <v:stroke dashstyle="dash"/>
              <v:textbox style="layout-flow:vertical-ideographic"/>
            </v:shape>
            <v:shape id="_x0000_s1516" type="#_x0000_t67" style="position:absolute;left:6626;top:2589;width:358;height:377" fillcolor="#daeef3 [664]" strokecolor="black [3213]" strokeweight="1pt">
              <v:stroke dashstyle="dash"/>
              <v:textbox style="layout-flow:vertical-ideographic"/>
            </v:shape>
            <v:shape id="_x0000_s1517" type="#_x0000_t32" style="position:absolute;left:3118;top:2445;width:151;height:163" o:connectortype="straight" strokecolor="#92cddc [1944]" strokeweight="1.5pt">
              <v:stroke endarrow="block"/>
            </v:shape>
            <v:shape id="_x0000_s1518" type="#_x0000_t32" style="position:absolute;left:3572;top:2445;width:145;height:163;flip:x" o:connectortype="straight" strokecolor="#92cddc [1944]" strokeweight="1.5pt">
              <v:stroke endarrow="block"/>
            </v:shape>
            <v:shape id="_x0000_s1519" type="#_x0000_t32" style="position:absolute;left:3649;top:2771;width:213;height:5;flip:y" o:connectortype="straight" strokeweight="1.5pt">
              <v:stroke dashstyle="1 1" endarrow="block"/>
            </v:shape>
            <v:shape id="_x0000_s1520" type="#_x0000_t32" style="position:absolute;left:2972;top:2771;width:221;height:5;flip:x y" o:connectortype="straight" strokeweight="1.5pt">
              <v:stroke endarrow="block"/>
            </v:shape>
            <v:shape id="_x0000_s1521" type="#_x0000_t32" style="position:absolute;left:3118;top:2944;width:151;height:152;flip:y" o:connectortype="straight" strokecolor="#92cddc [1944]" strokeweight="1.5pt">
              <v:stroke dashstyle="1 1" endarrow="block"/>
            </v:shape>
            <v:shape id="_x0000_s1522" type="#_x0000_t32" style="position:absolute;left:3572;top:2944;width:145;height:152;flip:x y" o:connectortype="straight" strokecolor="#92cddc [1944]" strokeweight="1.5pt">
              <v:stroke dashstyle="1 1" endarrow="block"/>
            </v:shape>
            <v:rect id="_x0000_s1524" style="position:absolute;left:7697;top:1507;width:2239;height:2052" strokecolor="black [3213]" strokeweight="1.5pt"/>
            <v:rect id="_x0000_s1464" style="position:absolute;left:5498;top:1983;width:1658;height:534" fillcolor="#daeef3 [664]" strokecolor="#92cddc [1944]" strokeweight="2pt">
              <v:textbox style="mso-next-textbox:#_x0000_s1464" inset=",1.44pt,,1.44pt">
                <w:txbxContent>
                  <w:p w:rsidR="00B2438E" w:rsidRPr="002738D9" w:rsidRDefault="00B2438E" w:rsidP="0070768A">
                    <w:pPr>
                      <w:spacing w:after="0" w:line="240" w:lineRule="auto"/>
                      <w:ind w:left="-86" w:right="-158" w:firstLine="0"/>
                      <w:jc w:val="center"/>
                      <w:rPr>
                        <w:b/>
                        <w:sz w:val="18"/>
                        <w:szCs w:val="18"/>
                      </w:rPr>
                    </w:pPr>
                    <w:r w:rsidRPr="002738D9">
                      <w:rPr>
                        <w:b/>
                        <w:sz w:val="18"/>
                        <w:szCs w:val="18"/>
                      </w:rPr>
                      <w:t>TAUTOS GEROVĖ</w:t>
                    </w:r>
                  </w:p>
                </w:txbxContent>
              </v:textbox>
            </v:rect>
            <v:rect id="_x0000_s1459" style="position:absolute;left:5749;top:2208;width:1186;height:219" fillcolor="#92cddc [1944]" strokecolor="#b6dde8 [1304]" strokeweight="2pt">
              <v:textbox style="mso-next-textbox:#_x0000_s1459" inset=",.72pt,,.72pt">
                <w:txbxContent>
                  <w:p w:rsidR="00B2438E" w:rsidRPr="000F6467" w:rsidRDefault="00B2438E" w:rsidP="0070768A">
                    <w:pPr>
                      <w:spacing w:after="0" w:line="240" w:lineRule="auto"/>
                      <w:ind w:left="-86" w:right="-72" w:firstLine="0"/>
                      <w:jc w:val="center"/>
                      <w:rPr>
                        <w:b/>
                        <w:sz w:val="18"/>
                        <w:szCs w:val="18"/>
                      </w:rPr>
                    </w:pPr>
                    <w:r w:rsidRPr="000F6467">
                      <w:rPr>
                        <w:b/>
                        <w:sz w:val="18"/>
                        <w:szCs w:val="18"/>
                      </w:rPr>
                      <w:t>Finansinė laisvė</w:t>
                    </w:r>
                  </w:p>
                </w:txbxContent>
              </v:textbox>
            </v:rect>
            <v:shapetype id="_x0000_t33" coordsize="21600,21600" o:spt="33" o:oned="t" path="m,l21600,r,21600e" filled="f">
              <v:stroke joinstyle="miter"/>
              <v:path arrowok="t" fillok="f" o:connecttype="none"/>
              <o:lock v:ext="edit" shapetype="t"/>
            </v:shapetype>
            <v:shape id="_x0000_s1534" type="#_x0000_t33" style="position:absolute;left:4338;top:1316;width:82;height:1924;rotation:270" o:connectortype="elbow" adj="-417046,-18928,-417046" strokeweight="1.5pt">
              <v:stroke endarrow="block"/>
            </v:shape>
            <v:rect id="_x0000_s1536" style="position:absolute;left:5484;top:3024;width:1658;height:535" fillcolor="#daeef3 [664]" strokecolor="#92cddc [1944]" strokeweight="2pt">
              <v:stroke dashstyle="dash"/>
              <v:textbox style="mso-next-textbox:#_x0000_s1536" inset=",1.44pt,,1.44pt">
                <w:txbxContent>
                  <w:p w:rsidR="00B2438E" w:rsidRPr="002738D9" w:rsidRDefault="00B2438E" w:rsidP="0070768A">
                    <w:pPr>
                      <w:spacing w:after="0" w:line="240" w:lineRule="auto"/>
                      <w:ind w:left="-86" w:right="-158" w:firstLine="0"/>
                      <w:jc w:val="center"/>
                      <w:rPr>
                        <w:b/>
                        <w:sz w:val="18"/>
                        <w:szCs w:val="18"/>
                      </w:rPr>
                    </w:pPr>
                    <w:r w:rsidRPr="002738D9">
                      <w:rPr>
                        <w:b/>
                        <w:sz w:val="18"/>
                        <w:szCs w:val="18"/>
                      </w:rPr>
                      <w:t xml:space="preserve">TAUTOS </w:t>
                    </w:r>
                    <w:r w:rsidRPr="008A1ABF">
                      <w:rPr>
                        <w:b/>
                        <w:color w:val="FF0000"/>
                        <w:sz w:val="18"/>
                        <w:szCs w:val="18"/>
                      </w:rPr>
                      <w:t>NE</w:t>
                    </w:r>
                    <w:r w:rsidRPr="002738D9">
                      <w:rPr>
                        <w:b/>
                        <w:sz w:val="18"/>
                        <w:szCs w:val="18"/>
                      </w:rPr>
                      <w:t>GEROVĖ</w:t>
                    </w:r>
                  </w:p>
                </w:txbxContent>
              </v:textbox>
            </v:rect>
            <v:rect id="_x0000_s1537" style="position:absolute;left:5749;top:3231;width:1158;height:217" fillcolor="#92cddc [1944]" strokecolor="#b6dde8 [1304]" strokeweight="2pt">
              <v:textbox style="mso-next-textbox:#_x0000_s1537" inset=",.72pt,,.72pt">
                <w:txbxContent>
                  <w:p w:rsidR="00B2438E" w:rsidRPr="000F6467" w:rsidRDefault="00B2438E" w:rsidP="0070768A">
                    <w:pPr>
                      <w:spacing w:after="0" w:line="240" w:lineRule="auto"/>
                      <w:ind w:left="-86" w:right="-72" w:firstLine="0"/>
                      <w:jc w:val="center"/>
                      <w:rPr>
                        <w:b/>
                        <w:sz w:val="18"/>
                        <w:szCs w:val="18"/>
                      </w:rPr>
                    </w:pPr>
                    <w:r w:rsidRPr="000F6467">
                      <w:rPr>
                        <w:b/>
                        <w:sz w:val="18"/>
                        <w:szCs w:val="18"/>
                      </w:rPr>
                      <w:t xml:space="preserve">Finansinė </w:t>
                    </w:r>
                    <w:r w:rsidRPr="008A1ABF">
                      <w:rPr>
                        <w:b/>
                        <w:color w:val="FF0000"/>
                        <w:sz w:val="18"/>
                        <w:szCs w:val="18"/>
                      </w:rPr>
                      <w:t>ne</w:t>
                    </w:r>
                    <w:r w:rsidRPr="000F6467">
                      <w:rPr>
                        <w:b/>
                        <w:sz w:val="18"/>
                        <w:szCs w:val="18"/>
                      </w:rPr>
                      <w:t>laisvė</w:t>
                    </w:r>
                  </w:p>
                </w:txbxContent>
              </v:textbox>
            </v:rect>
            <v:shape id="_x0000_s1538" type="#_x0000_t33" style="position:absolute;left:4409;top:2230;width:70;height:2053;rotation:90;flip:x" o:connectortype="elbow" adj="-492873,27236,-492873" strokeweight="1.5pt">
              <v:stroke dashstyle="1 1" endarrow="block"/>
            </v:shape>
            <v:rect id="_x0000_s1540" style="position:absolute;left:7789;top:1568;width:2071;height:287" stroked="f">
              <v:textbox style="mso-next-textbox:#_x0000_s1540">
                <w:txbxContent>
                  <w:p w:rsidR="00B2438E" w:rsidRPr="00597C08" w:rsidRDefault="00B2438E" w:rsidP="0070768A">
                    <w:pPr>
                      <w:spacing w:after="0" w:line="240" w:lineRule="auto"/>
                      <w:ind w:firstLine="0"/>
                      <w:jc w:val="center"/>
                      <w:rPr>
                        <w:b/>
                        <w:sz w:val="18"/>
                        <w:szCs w:val="18"/>
                        <w:u w:val="single"/>
                      </w:rPr>
                    </w:pPr>
                    <w:r w:rsidRPr="00597C08">
                      <w:rPr>
                        <w:b/>
                        <w:sz w:val="18"/>
                        <w:szCs w:val="18"/>
                        <w:u w:val="single"/>
                      </w:rPr>
                      <w:t>SUTARTINIAI ŽENKLAI</w:t>
                    </w:r>
                    <w:r>
                      <w:rPr>
                        <w:b/>
                        <w:sz w:val="18"/>
                        <w:szCs w:val="18"/>
                        <w:u w:val="single"/>
                      </w:rPr>
                      <w:t>:</w:t>
                    </w:r>
                  </w:p>
                </w:txbxContent>
              </v:textbox>
            </v:rect>
            <v:rect id="_x0000_s1541" style="position:absolute;left:7790;top:1859;width:319;height:352" stroked="f"/>
            <v:shape id="_x0000_s1542" type="#_x0000_t32" style="position:absolute;left:7790;top:2035;width:319;height:1" o:connectortype="straight" strokeweight="1.5pt">
              <v:stroke endarrow="block"/>
            </v:shape>
            <v:rect id="_x0000_s1543" style="position:absolute;left:7790;top:2259;width:319;height:353" stroked="f"/>
            <v:shape id="_x0000_s1544" type="#_x0000_t32" style="position:absolute;left:7790;top:2431;width:319;height:5" o:connectortype="straight" strokeweight="1.5pt">
              <v:stroke dashstyle="1 1" endarrow="block"/>
            </v:shape>
            <v:rect id="_x0000_s1547" style="position:absolute;left:7790;top:2664;width:319;height:347" stroked="f"/>
            <v:shape id="_x0000_s1549" type="#_x0000_t32" style="position:absolute;left:7790;top:2837;width:319;height:1;flip:x" o:connectortype="straight" strokecolor="#92cddc [1944]" strokeweight="1.5pt">
              <v:stroke endarrow="block"/>
            </v:shape>
            <v:rect id="_x0000_s1551" style="position:absolute;left:8172;top:1859;width:1688;height:352" stroked="f">
              <v:textbox style="mso-next-textbox:#_x0000_s1551" inset="1.44pt,1.44pt,1.44pt,1.44pt">
                <w:txbxContent>
                  <w:p w:rsidR="00B2438E" w:rsidRPr="007E6CD5" w:rsidRDefault="00B2438E" w:rsidP="0070768A">
                    <w:pPr>
                      <w:spacing w:after="0" w:line="240" w:lineRule="auto"/>
                      <w:ind w:firstLine="0"/>
                      <w:jc w:val="left"/>
                      <w:rPr>
                        <w:sz w:val="18"/>
                        <w:szCs w:val="18"/>
                      </w:rPr>
                    </w:pPr>
                    <w:r>
                      <w:rPr>
                        <w:sz w:val="18"/>
                        <w:szCs w:val="18"/>
                      </w:rPr>
                      <w:t>Individo atsakas (teigiamas) į pakitusias aplinkybes</w:t>
                    </w:r>
                  </w:p>
                </w:txbxContent>
              </v:textbox>
            </v:rect>
            <v:rect id="_x0000_s1552" style="position:absolute;left:8172;top:2259;width:1688;height:353" stroked="f">
              <v:textbox style="mso-next-textbox:#_x0000_s1552" inset="1.44pt,1.44pt,1.44pt,1.44pt">
                <w:txbxContent>
                  <w:p w:rsidR="00B2438E" w:rsidRPr="007E6CD5" w:rsidRDefault="00B2438E" w:rsidP="0070768A">
                    <w:pPr>
                      <w:spacing w:after="0" w:line="240" w:lineRule="auto"/>
                      <w:ind w:firstLine="0"/>
                      <w:jc w:val="left"/>
                      <w:rPr>
                        <w:sz w:val="18"/>
                        <w:szCs w:val="18"/>
                      </w:rPr>
                    </w:pPr>
                    <w:r>
                      <w:rPr>
                        <w:sz w:val="18"/>
                        <w:szCs w:val="18"/>
                      </w:rPr>
                      <w:t>Individo atsakas (neigiamas) į pakitusias aplinkybes</w:t>
                    </w:r>
                  </w:p>
                </w:txbxContent>
              </v:textbox>
            </v:rect>
            <v:rect id="_x0000_s1553" style="position:absolute;left:8172;top:2658;width:1690;height:353" stroked="f">
              <v:textbox style="mso-next-textbox:#_x0000_s1553" inset="1.44pt,1.44pt,1.44pt,1.44pt">
                <w:txbxContent>
                  <w:p w:rsidR="00B2438E" w:rsidRPr="007E6CD5" w:rsidRDefault="00B2438E" w:rsidP="0070768A">
                    <w:pPr>
                      <w:spacing w:after="0" w:line="240" w:lineRule="auto"/>
                      <w:ind w:firstLine="0"/>
                      <w:jc w:val="left"/>
                      <w:rPr>
                        <w:sz w:val="18"/>
                        <w:szCs w:val="18"/>
                      </w:rPr>
                    </w:pPr>
                    <w:r>
                      <w:rPr>
                        <w:sz w:val="18"/>
                        <w:szCs w:val="18"/>
                      </w:rPr>
                      <w:t>Valstybės atsakas (teigiamas) į individo priimtus sprendimus</w:t>
                    </w:r>
                  </w:p>
                </w:txbxContent>
              </v:textbox>
            </v:rect>
            <v:rect id="_x0000_s1554" style="position:absolute;left:7789;top:3103;width:320;height:345" stroked="f"/>
            <v:shape id="_x0000_s1555" type="#_x0000_t32" style="position:absolute;left:7789;top:3274;width:320;height:2;flip:x" o:connectortype="straight" strokecolor="#92cddc [1944]" strokeweight="1.5pt">
              <v:stroke dashstyle="1 1" endarrow="block"/>
            </v:shape>
            <v:rect id="_x0000_s1556" style="position:absolute;left:8171;top:3096;width:1689;height:352" stroked="f">
              <v:textbox style="mso-next-textbox:#_x0000_s1556" inset="1.44pt,1.44pt,1.44pt,1.44pt">
                <w:txbxContent>
                  <w:p w:rsidR="00B2438E" w:rsidRPr="007E6CD5" w:rsidRDefault="00B2438E" w:rsidP="0070768A">
                    <w:pPr>
                      <w:spacing w:after="0" w:line="240" w:lineRule="auto"/>
                      <w:ind w:firstLine="0"/>
                      <w:jc w:val="left"/>
                      <w:rPr>
                        <w:sz w:val="18"/>
                        <w:szCs w:val="18"/>
                      </w:rPr>
                    </w:pPr>
                    <w:r>
                      <w:rPr>
                        <w:sz w:val="18"/>
                        <w:szCs w:val="18"/>
                      </w:rPr>
                      <w:t>Valstybės atsakas (neigiamas) į individo priimtus sprendimus</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558" type="#_x0000_t34" style="position:absolute;left:2972;top:2237;width:2369;height:534;rotation:180;flip:x" o:connectortype="elbow" adj="-487,-86514,10403" strokeweight="1.5pt">
              <v:stroke endarrow="block"/>
            </v:shape>
            <v:shape id="_x0000_s1565" type="#_x0000_t32" style="position:absolute;left:3862;top:2771;width:1;height:521;flip:x" o:connectortype="straight" strokeweight="1.5pt">
              <v:stroke dashstyle="1 1"/>
            </v:shape>
            <v:rect id="_x0000_s1567" style="position:absolute;left:2895;top:3103;width:223;height:248" stroked="f">
              <v:textbox style="mso-next-textbox:#_x0000_s1567" inset="1.44pt,1.44pt,1.44pt,1.44pt">
                <w:txbxContent>
                  <w:p w:rsidR="00B2438E" w:rsidRPr="00EB3666" w:rsidRDefault="00B2438E" w:rsidP="0070768A">
                    <w:pPr>
                      <w:spacing w:after="0" w:line="240" w:lineRule="auto"/>
                      <w:ind w:firstLine="0"/>
                      <w:rPr>
                        <w:b/>
                        <w:sz w:val="28"/>
                        <w:szCs w:val="28"/>
                      </w:rPr>
                    </w:pPr>
                    <w:r w:rsidRPr="00EB3666">
                      <w:rPr>
                        <w:b/>
                        <w:sz w:val="28"/>
                        <w:szCs w:val="28"/>
                      </w:rPr>
                      <w:t>V</w:t>
                    </w:r>
                  </w:p>
                </w:txbxContent>
              </v:textbox>
            </v:rect>
            <v:rect id="_x0000_s1570" style="position:absolute;left:3780;top:2268;width:223;height:249" stroked="f">
              <v:textbox style="mso-next-textbox:#_x0000_s1570" inset=".72pt,1.44pt,1.44pt,1.44pt">
                <w:txbxContent>
                  <w:p w:rsidR="00B2438E" w:rsidRPr="00EB3666" w:rsidRDefault="00B2438E" w:rsidP="0070768A">
                    <w:pPr>
                      <w:spacing w:after="0" w:line="240" w:lineRule="auto"/>
                      <w:ind w:firstLine="0"/>
                      <w:rPr>
                        <w:b/>
                        <w:sz w:val="28"/>
                        <w:szCs w:val="28"/>
                      </w:rPr>
                    </w:pPr>
                    <w:r w:rsidRPr="00EB3666">
                      <w:rPr>
                        <w:b/>
                        <w:sz w:val="28"/>
                        <w:szCs w:val="28"/>
                      </w:rPr>
                      <w:t>V</w:t>
                    </w:r>
                  </w:p>
                </w:txbxContent>
              </v:textbox>
            </v:rect>
            <w10:wrap type="none"/>
            <w10:anchorlock/>
          </v:group>
        </w:pict>
      </w:r>
    </w:p>
    <w:p w:rsidR="00A03F8A" w:rsidRPr="00A03F8A" w:rsidRDefault="00A03F8A" w:rsidP="00A03F8A">
      <w:pPr>
        <w:spacing w:after="0" w:line="240" w:lineRule="auto"/>
        <w:rPr>
          <w:sz w:val="20"/>
        </w:rPr>
      </w:pPr>
      <w:r w:rsidRPr="00A03F8A">
        <w:rPr>
          <w:b/>
          <w:sz w:val="20"/>
        </w:rPr>
        <w:t>Šaltinis</w:t>
      </w:r>
      <w:r w:rsidRPr="00A03F8A">
        <w:rPr>
          <w:sz w:val="20"/>
        </w:rPr>
        <w:t>: sudaryta šio darbo autorės</w:t>
      </w:r>
      <w:r w:rsidR="004D1FB9">
        <w:rPr>
          <w:sz w:val="20"/>
        </w:rPr>
        <w:t>, remiantis mokslinių šaltinių analize</w:t>
      </w:r>
    </w:p>
    <w:bookmarkStart w:id="4" w:name="_Toc343590398"/>
    <w:p w:rsidR="00422F2A" w:rsidRDefault="00D84BC4" w:rsidP="00886347">
      <w:pPr>
        <w:pStyle w:val="Caption"/>
      </w:pPr>
      <w:r w:rsidRPr="00E5157B">
        <w:rPr>
          <w:b w:val="0"/>
        </w:rPr>
        <w:fldChar w:fldCharType="begin"/>
      </w:r>
      <w:r w:rsidR="00527F25" w:rsidRPr="00E5157B">
        <w:rPr>
          <w:b w:val="0"/>
        </w:rPr>
        <w:instrText xml:space="preserve"> SEQ pav. \* ARABIC </w:instrText>
      </w:r>
      <w:r w:rsidRPr="00E5157B">
        <w:rPr>
          <w:b w:val="0"/>
        </w:rPr>
        <w:fldChar w:fldCharType="separate"/>
      </w:r>
      <w:r w:rsidR="00527F25" w:rsidRPr="00E5157B">
        <w:rPr>
          <w:b w:val="0"/>
        </w:rPr>
        <w:t>1</w:t>
      </w:r>
      <w:r w:rsidRPr="00E5157B">
        <w:rPr>
          <w:b w:val="0"/>
        </w:rPr>
        <w:fldChar w:fldCharType="end"/>
      </w:r>
      <w:r w:rsidR="00527F25" w:rsidRPr="00E5157B">
        <w:rPr>
          <w:b w:val="0"/>
        </w:rPr>
        <w:t> </w:t>
      </w:r>
      <w:r w:rsidR="004E61BB" w:rsidRPr="00E5157B">
        <w:rPr>
          <w:b w:val="0"/>
        </w:rPr>
        <w:t>pav.</w:t>
      </w:r>
      <w:r w:rsidR="004E61BB" w:rsidRPr="004E61BB">
        <w:rPr>
          <w:color w:val="FF0000"/>
        </w:rPr>
        <w:t xml:space="preserve"> </w:t>
      </w:r>
      <w:r w:rsidR="005F16E4">
        <w:t xml:space="preserve">Asmeninių </w:t>
      </w:r>
      <w:r w:rsidR="00897A49">
        <w:t>(A)</w:t>
      </w:r>
      <w:r w:rsidR="005F16E4">
        <w:t xml:space="preserve"> ir valstybės </w:t>
      </w:r>
      <w:r w:rsidR="00716415">
        <w:t xml:space="preserve">(V) </w:t>
      </w:r>
      <w:r w:rsidR="005F16E4">
        <w:t>finansų</w:t>
      </w:r>
      <w:r w:rsidR="00897A49">
        <w:t xml:space="preserve"> </w:t>
      </w:r>
      <w:r w:rsidR="005F16E4">
        <w:t>tarpusavio ryšiai</w:t>
      </w:r>
      <w:r w:rsidR="006B1357">
        <w:t>, individui priimant sprendimus</w:t>
      </w:r>
      <w:bookmarkEnd w:id="4"/>
    </w:p>
    <w:p w:rsidR="00B034E8" w:rsidRPr="00097A17" w:rsidRDefault="00384E9E" w:rsidP="000C2778">
      <w:r>
        <w:t xml:space="preserve">Efektyviam grįžtamajam ryšiui </w:t>
      </w:r>
      <w:r w:rsidR="004A03FD">
        <w:t>užtikrin</w:t>
      </w:r>
      <w:r w:rsidR="00667179">
        <w:t xml:space="preserve">ti </w:t>
      </w:r>
      <w:r w:rsidR="00AD4D17">
        <w:t xml:space="preserve">reikalingas </w:t>
      </w:r>
      <w:r w:rsidR="004A03FD">
        <w:t xml:space="preserve">glaudus </w:t>
      </w:r>
      <w:r w:rsidR="00AD4D17">
        <w:t xml:space="preserve">bendradarbiavimas, o tai reiškia, jog </w:t>
      </w:r>
      <w:r w:rsidR="00F36890">
        <w:t>abu subjektai</w:t>
      </w:r>
      <w:r w:rsidR="00511A42">
        <w:t xml:space="preserve"> – </w:t>
      </w:r>
      <w:r w:rsidR="00F36890">
        <w:t>tiek valstybė, tiek ir jos piliečiai</w:t>
      </w:r>
      <w:r w:rsidR="00511A42">
        <w:t xml:space="preserve"> –</w:t>
      </w:r>
      <w:r w:rsidR="00F36890">
        <w:t xml:space="preserve"> turėtų būti laikomi lygiaverčiais socialiniais partneriais</w:t>
      </w:r>
      <w:r w:rsidR="00511A42">
        <w:t xml:space="preserve">, adekvačiai suvokiančiais </w:t>
      </w:r>
      <w:r w:rsidR="00511A42" w:rsidRPr="00097A17">
        <w:t>situaciją ir dėl to gebančiais</w:t>
      </w:r>
      <w:r w:rsidR="001B7C63" w:rsidRPr="00097A17">
        <w:t xml:space="preserve"> </w:t>
      </w:r>
      <w:r w:rsidR="00511A42" w:rsidRPr="00097A17">
        <w:rPr>
          <w:i/>
        </w:rPr>
        <w:t>priimti</w:t>
      </w:r>
      <w:r w:rsidR="00511A42" w:rsidRPr="00097A17">
        <w:t xml:space="preserve"> </w:t>
      </w:r>
      <w:r w:rsidR="009F2DD9" w:rsidRPr="00097A17">
        <w:t>efektyvius</w:t>
      </w:r>
      <w:r w:rsidR="00D20085" w:rsidRPr="00097A17">
        <w:t xml:space="preserve"> finansinius sprendimus ir</w:t>
      </w:r>
      <w:r w:rsidR="00F6673E" w:rsidRPr="00097A17">
        <w:t xml:space="preserve"> </w:t>
      </w:r>
      <w:r w:rsidR="00F6673E" w:rsidRPr="00097A17">
        <w:rPr>
          <w:i/>
        </w:rPr>
        <w:t>atsakyti</w:t>
      </w:r>
      <w:r w:rsidR="0067205A" w:rsidRPr="00097A17">
        <w:t xml:space="preserve"> </w:t>
      </w:r>
      <w:r w:rsidR="00D20085" w:rsidRPr="00097A17">
        <w:t xml:space="preserve">už </w:t>
      </w:r>
      <w:r w:rsidR="00671426" w:rsidRPr="00097A17">
        <w:t xml:space="preserve">priimtų </w:t>
      </w:r>
      <w:r w:rsidR="009A7DD5" w:rsidRPr="00097A17">
        <w:t>sprendimų pasekmes</w:t>
      </w:r>
      <w:r w:rsidR="00FB7CAF" w:rsidRPr="00097A17">
        <w:t xml:space="preserve"> (Černius 2012)</w:t>
      </w:r>
      <w:r w:rsidR="00E54323" w:rsidRPr="00097A17">
        <w:t>. K</w:t>
      </w:r>
      <w:r w:rsidR="00D20085" w:rsidRPr="00097A17">
        <w:t>itaip</w:t>
      </w:r>
      <w:r w:rsidR="005019E2" w:rsidRPr="00097A17">
        <w:t xml:space="preserve"> tariant</w:t>
      </w:r>
      <w:r w:rsidR="00D40038" w:rsidRPr="00097A17">
        <w:t xml:space="preserve">, </w:t>
      </w:r>
      <w:r w:rsidR="00E54323" w:rsidRPr="00097A17">
        <w:t xml:space="preserve">– </w:t>
      </w:r>
      <w:r w:rsidR="00BC67C4" w:rsidRPr="00097A17">
        <w:t xml:space="preserve">piliečiai, </w:t>
      </w:r>
      <w:r w:rsidR="002F638D" w:rsidRPr="00097A17">
        <w:t xml:space="preserve">pinigus </w:t>
      </w:r>
      <w:r w:rsidR="00BC67C4" w:rsidRPr="00097A17">
        <w:t xml:space="preserve">praradę dėl </w:t>
      </w:r>
      <w:r w:rsidR="004C0E32" w:rsidRPr="00097A17">
        <w:rPr>
          <w:i/>
        </w:rPr>
        <w:t>savo</w:t>
      </w:r>
      <w:r w:rsidR="002F638D" w:rsidRPr="00097A17">
        <w:t xml:space="preserve"> kaltės</w:t>
      </w:r>
      <w:r w:rsidR="00041550" w:rsidRPr="00097A17">
        <w:t>, neturėtų reikalauti kompensacijų iš</w:t>
      </w:r>
      <w:r w:rsidR="00FE46E8" w:rsidRPr="00097A17">
        <w:t xml:space="preserve"> valstybės, nes </w:t>
      </w:r>
      <w:r w:rsidR="00C43629" w:rsidRPr="00097A17">
        <w:t xml:space="preserve">ji </w:t>
      </w:r>
      <w:r w:rsidR="00B77DB5" w:rsidRPr="00097A17">
        <w:t>„</w:t>
      </w:r>
      <w:r w:rsidR="008E772A" w:rsidRPr="00097A17">
        <w:t xml:space="preserve">nėra atskirai nuo visuomenės egzistuojanti </w:t>
      </w:r>
      <w:r w:rsidR="00CF40DF" w:rsidRPr="00097A17">
        <w:rPr>
          <w:i/>
        </w:rPr>
        <w:t>geravalė</w:t>
      </w:r>
      <w:r w:rsidR="00FE46E8" w:rsidRPr="00097A17">
        <w:t xml:space="preserve">, kuri </w:t>
      </w:r>
      <w:r w:rsidR="004B2D82" w:rsidRPr="00097A17">
        <w:t xml:space="preserve">(...) </w:t>
      </w:r>
      <w:r w:rsidR="00FE46E8" w:rsidRPr="00097A17">
        <w:t xml:space="preserve">atlygina visas </w:t>
      </w:r>
      <w:r w:rsidR="001B0261" w:rsidRPr="00097A17">
        <w:t xml:space="preserve">[mūsų] </w:t>
      </w:r>
      <w:r w:rsidR="00FE46E8" w:rsidRPr="00097A17">
        <w:t>nesėkmes</w:t>
      </w:r>
      <w:r w:rsidR="004B2D82" w:rsidRPr="00097A17">
        <w:t>“</w:t>
      </w:r>
      <w:r w:rsidR="00E375B8" w:rsidRPr="00097A17">
        <w:t xml:space="preserve"> (cit. pagal</w:t>
      </w:r>
      <w:r w:rsidR="003C002A" w:rsidRPr="00097A17">
        <w:t xml:space="preserve"> Bieliauskait</w:t>
      </w:r>
      <w:r w:rsidR="00E00351" w:rsidRPr="00097A17">
        <w:t>ę</w:t>
      </w:r>
      <w:r w:rsidR="00EB2B35" w:rsidRPr="00097A17">
        <w:t xml:space="preserve"> 2009</w:t>
      </w:r>
      <w:r w:rsidR="002E3212" w:rsidRPr="00097A17">
        <w:t xml:space="preserve">, </w:t>
      </w:r>
      <w:r w:rsidR="001B0261" w:rsidRPr="00097A17">
        <w:t>p. 84</w:t>
      </w:r>
      <w:r w:rsidR="003C002A" w:rsidRPr="00097A17">
        <w:t>)</w:t>
      </w:r>
      <w:r w:rsidR="00E54323" w:rsidRPr="00097A17">
        <w:t>, o</w:t>
      </w:r>
      <w:r w:rsidR="00E54323">
        <w:t xml:space="preserve"> v</w:t>
      </w:r>
      <w:r w:rsidR="00E375B8">
        <w:t>alstybė</w:t>
      </w:r>
      <w:r w:rsidR="00041550">
        <w:t xml:space="preserve"> savo ruožtu</w:t>
      </w:r>
      <w:r w:rsidR="004C0E32">
        <w:t xml:space="preserve"> neturėtų elgtis taip, kad </w:t>
      </w:r>
      <w:r w:rsidR="00FE46E8">
        <w:t xml:space="preserve">žmonės </w:t>
      </w:r>
      <w:r w:rsidR="006065DD">
        <w:t>praras</w:t>
      </w:r>
      <w:r w:rsidR="004C0E32">
        <w:t>tų pasi</w:t>
      </w:r>
      <w:r w:rsidR="006065DD">
        <w:t>rinkimo galimybę</w:t>
      </w:r>
      <w:r w:rsidR="00141B65">
        <w:t>, t. y. valstybė</w:t>
      </w:r>
      <w:r w:rsidR="00EC66A4">
        <w:t xml:space="preserve"> turėtų būti </w:t>
      </w:r>
      <w:r w:rsidR="00EC66A4" w:rsidRPr="00DC6A41">
        <w:rPr>
          <w:i/>
        </w:rPr>
        <w:t>suinteresuota</w:t>
      </w:r>
      <w:r w:rsidR="00854A7D">
        <w:t>, kad jos piliečiai būtų turtingi</w:t>
      </w:r>
      <w:r w:rsidR="008A0309">
        <w:t xml:space="preserve"> bei</w:t>
      </w:r>
      <w:r w:rsidR="001C15BE">
        <w:t xml:space="preserve"> </w:t>
      </w:r>
      <w:r w:rsidR="00A559D7">
        <w:t xml:space="preserve">gebantys </w:t>
      </w:r>
      <w:r w:rsidR="004F5F66">
        <w:t xml:space="preserve">deramai tvarkyti </w:t>
      </w:r>
      <w:r w:rsidR="009D2879">
        <w:t xml:space="preserve">savo </w:t>
      </w:r>
      <w:r w:rsidR="004F5F66">
        <w:t>finansus</w:t>
      </w:r>
      <w:r w:rsidR="00CB4738">
        <w:t xml:space="preserve">, </w:t>
      </w:r>
      <w:r w:rsidR="00BF4544">
        <w:t>ir dėl to</w:t>
      </w:r>
      <w:r w:rsidR="004F5F66">
        <w:t xml:space="preserve"> turėtų</w:t>
      </w:r>
      <w:r w:rsidR="00634A4E">
        <w:t xml:space="preserve"> </w:t>
      </w:r>
      <w:r w:rsidR="00634A4E" w:rsidRPr="00DC6A41">
        <w:rPr>
          <w:i/>
        </w:rPr>
        <w:t>užtikrinti</w:t>
      </w:r>
      <w:r w:rsidR="00634A4E">
        <w:t xml:space="preserve"> </w:t>
      </w:r>
      <w:r w:rsidR="00162233">
        <w:t>įvairių</w:t>
      </w:r>
      <w:r w:rsidR="00B034E8">
        <w:t xml:space="preserve"> prie</w:t>
      </w:r>
      <w:r w:rsidR="000E233C">
        <w:t>monių i</w:t>
      </w:r>
      <w:r w:rsidR="008A0309">
        <w:t>r</w:t>
      </w:r>
      <w:r w:rsidR="002D54C4">
        <w:t xml:space="preserve"> apsaugos mechanizmų </w:t>
      </w:r>
      <w:r w:rsidR="00A148BC" w:rsidRPr="00097A17">
        <w:t>funkcionav</w:t>
      </w:r>
      <w:r w:rsidR="006F4A72" w:rsidRPr="00097A17">
        <w:t>i</w:t>
      </w:r>
      <w:r w:rsidR="00B034E8" w:rsidRPr="00097A17">
        <w:t>mą</w:t>
      </w:r>
      <w:r w:rsidR="00AD6A93" w:rsidRPr="00097A17">
        <w:t xml:space="preserve"> – </w:t>
      </w:r>
      <w:r w:rsidR="00203A11" w:rsidRPr="00097A17">
        <w:t>tačiau</w:t>
      </w:r>
      <w:r w:rsidR="006C558D" w:rsidRPr="00097A17">
        <w:t xml:space="preserve"> tik</w:t>
      </w:r>
      <w:r w:rsidR="003008DF" w:rsidRPr="00097A17">
        <w:t xml:space="preserve"> </w:t>
      </w:r>
      <w:r w:rsidR="00460AAF" w:rsidRPr="00097A17">
        <w:t>tiek</w:t>
      </w:r>
      <w:r w:rsidR="00AD6A93" w:rsidRPr="00097A17">
        <w:t>, kiek pati gauna iš visuomenės</w:t>
      </w:r>
      <w:r w:rsidR="004C0E32" w:rsidRPr="00097A17">
        <w:t>.</w:t>
      </w:r>
    </w:p>
    <w:p w:rsidR="0066478F" w:rsidRDefault="00C6239D" w:rsidP="000C2778">
      <w:r w:rsidRPr="00097A17">
        <w:t xml:space="preserve">Nors socialinės partnerystės idėja </w:t>
      </w:r>
      <w:r w:rsidR="00483977" w:rsidRPr="00097A17">
        <w:t xml:space="preserve">ir </w:t>
      </w:r>
      <w:r w:rsidRPr="00097A17">
        <w:t>nėra nauja</w:t>
      </w:r>
      <w:r w:rsidR="005A6827" w:rsidRPr="00097A17">
        <w:t xml:space="preserve"> (apie tai užsimena </w:t>
      </w:r>
      <w:proofErr w:type="spellStart"/>
      <w:r w:rsidR="00320BF5" w:rsidRPr="00097A17">
        <w:t>Bastiat</w:t>
      </w:r>
      <w:proofErr w:type="spellEnd"/>
      <w:r w:rsidR="00320BF5" w:rsidRPr="00097A17">
        <w:t xml:space="preserve"> 1992; </w:t>
      </w:r>
      <w:r w:rsidR="005A6827" w:rsidRPr="00097A17">
        <w:t xml:space="preserve">Gylys 2003; </w:t>
      </w:r>
      <w:proofErr w:type="spellStart"/>
      <w:r w:rsidR="005438C1" w:rsidRPr="00097A17">
        <w:t>Hillman</w:t>
      </w:r>
      <w:proofErr w:type="spellEnd"/>
      <w:r w:rsidR="00943AF7" w:rsidRPr="00097A17">
        <w:t xml:space="preserve"> 2009; </w:t>
      </w:r>
      <w:proofErr w:type="spellStart"/>
      <w:r w:rsidR="005A6827" w:rsidRPr="00097A17">
        <w:t>Stiglitz</w:t>
      </w:r>
      <w:proofErr w:type="spellEnd"/>
      <w:r w:rsidR="005A6827" w:rsidRPr="00097A17">
        <w:t xml:space="preserve"> 2011</w:t>
      </w:r>
      <w:r w:rsidR="00BB1449" w:rsidRPr="00097A17">
        <w:t xml:space="preserve">; </w:t>
      </w:r>
      <w:proofErr w:type="spellStart"/>
      <w:r w:rsidR="00BB1449" w:rsidRPr="00097A17">
        <w:t>App</w:t>
      </w:r>
      <w:r w:rsidR="00456221" w:rsidRPr="00097A17">
        <w:t>leyard</w:t>
      </w:r>
      <w:proofErr w:type="spellEnd"/>
      <w:r w:rsidR="00456221" w:rsidRPr="00097A17">
        <w:t xml:space="preserve"> 2011</w:t>
      </w:r>
      <w:r w:rsidR="00943AF7" w:rsidRPr="00097A17">
        <w:t xml:space="preserve"> ir kiti</w:t>
      </w:r>
      <w:r w:rsidR="005438C1" w:rsidRPr="00097A17">
        <w:t>)</w:t>
      </w:r>
      <w:r w:rsidRPr="00097A17">
        <w:t>, panašu</w:t>
      </w:r>
      <w:r w:rsidR="00416573" w:rsidRPr="00097A17">
        <w:t xml:space="preserve">, </w:t>
      </w:r>
      <w:r w:rsidR="005438C1" w:rsidRPr="00097A17">
        <w:t xml:space="preserve">jog </w:t>
      </w:r>
      <w:r w:rsidR="00943AF7" w:rsidRPr="00097A17">
        <w:t xml:space="preserve">realybėje </w:t>
      </w:r>
      <w:r w:rsidR="00456221" w:rsidRPr="00097A17">
        <w:t xml:space="preserve">tokia partnerystė </w:t>
      </w:r>
      <w:r w:rsidR="00943AF7" w:rsidRPr="00097A17">
        <w:t>nefunkcionuoja</w:t>
      </w:r>
      <w:r w:rsidR="006D599E" w:rsidRPr="00097A17">
        <w:t xml:space="preserve"> (bent jau Lietuvoje)</w:t>
      </w:r>
      <w:r w:rsidR="00943AF7" w:rsidRPr="00097A17">
        <w:t>, todėl</w:t>
      </w:r>
      <w:r w:rsidR="00483977" w:rsidRPr="00097A17">
        <w:t>, galima</w:t>
      </w:r>
      <w:r w:rsidR="003F4687" w:rsidRPr="00097A17">
        <w:t xml:space="preserve"> daryti prielaidą</w:t>
      </w:r>
      <w:r w:rsidR="00483977" w:rsidRPr="00097A17">
        <w:t xml:space="preserve">, </w:t>
      </w:r>
      <w:r w:rsidR="00121D83" w:rsidRPr="00097A17">
        <w:t>kad</w:t>
      </w:r>
      <w:r w:rsidR="00483977" w:rsidRPr="00097A17">
        <w:t xml:space="preserve"> tai yra viena iš priežasčių, </w:t>
      </w:r>
      <w:r w:rsidR="00994F6D" w:rsidRPr="00097A17">
        <w:t xml:space="preserve">kodėl </w:t>
      </w:r>
      <w:r w:rsidR="00E562B2" w:rsidRPr="00097A17">
        <w:t xml:space="preserve">neužtikrinama </w:t>
      </w:r>
      <w:r w:rsidR="00471050" w:rsidRPr="00097A17">
        <w:t>socialinė</w:t>
      </w:r>
      <w:r w:rsidR="003F4687" w:rsidRPr="00097A17">
        <w:t xml:space="preserve"> ir </w:t>
      </w:r>
      <w:r w:rsidR="00471050" w:rsidRPr="00097A17">
        <w:t>ekonominė gerovė</w:t>
      </w:r>
      <w:r w:rsidR="005279CD" w:rsidRPr="00097A17">
        <w:t xml:space="preserve">: nesant bendram </w:t>
      </w:r>
      <w:r w:rsidR="000F1D67" w:rsidRPr="00097A17">
        <w:t>valstybės</w:t>
      </w:r>
      <w:r w:rsidR="000F1D67">
        <w:t xml:space="preserve"> ir jos piliečių </w:t>
      </w:r>
      <w:r w:rsidR="005279CD">
        <w:t>tikslui, pradedama veikti</w:t>
      </w:r>
      <w:r w:rsidR="00285B80">
        <w:t xml:space="preserve"> </w:t>
      </w:r>
      <w:r w:rsidR="005279CD">
        <w:t xml:space="preserve">dėl </w:t>
      </w:r>
      <w:r w:rsidR="00EF5CA6">
        <w:t xml:space="preserve">savų </w:t>
      </w:r>
      <w:r w:rsidR="00285B80">
        <w:t>interesų</w:t>
      </w:r>
      <w:r w:rsidR="00A37FC9">
        <w:t>, todėl susidaro tokia situacija</w:t>
      </w:r>
      <w:r w:rsidR="00A96E28">
        <w:t>, ka</w:t>
      </w:r>
      <w:r w:rsidR="00F428C4">
        <w:t>i</w:t>
      </w:r>
      <w:r w:rsidR="004D2B5B">
        <w:t xml:space="preserve"> piliečiai</w:t>
      </w:r>
      <w:r w:rsidR="000F1D67">
        <w:t>,</w:t>
      </w:r>
      <w:r w:rsidR="004253C2">
        <w:t xml:space="preserve"> kenk</w:t>
      </w:r>
      <w:r w:rsidR="000F1D67">
        <w:t>dami</w:t>
      </w:r>
      <w:r w:rsidR="004253C2">
        <w:t xml:space="preserve"> </w:t>
      </w:r>
      <w:r w:rsidR="004F4105">
        <w:t xml:space="preserve">savo </w:t>
      </w:r>
      <w:r w:rsidR="004253C2">
        <w:t>valstybei</w:t>
      </w:r>
      <w:r w:rsidR="004F4CF7">
        <w:t xml:space="preserve"> (</w:t>
      </w:r>
      <w:r w:rsidR="00806B6F">
        <w:t xml:space="preserve">pavyzdžiui, </w:t>
      </w:r>
      <w:r w:rsidR="004D2B5B">
        <w:t>nemokėdami mokesčių</w:t>
      </w:r>
      <w:r w:rsidR="000F1D67">
        <w:t>)</w:t>
      </w:r>
      <w:r w:rsidR="002748B2">
        <w:t xml:space="preserve">, pakenkia patys </w:t>
      </w:r>
      <w:r w:rsidR="002748B2" w:rsidRPr="000825F3">
        <w:t>sau</w:t>
      </w:r>
      <w:r w:rsidR="00324042" w:rsidRPr="000825F3">
        <w:t xml:space="preserve"> (žr. 1 pav.) –</w:t>
      </w:r>
      <w:r w:rsidR="00324042">
        <w:t xml:space="preserve"> nes</w:t>
      </w:r>
      <w:r w:rsidR="000475CF">
        <w:t xml:space="preserve"> valstybė</w:t>
      </w:r>
      <w:r w:rsidR="00F212B1">
        <w:t xml:space="preserve"> reaguoja į </w:t>
      </w:r>
      <w:r w:rsidR="00324042">
        <w:t xml:space="preserve">žmonių </w:t>
      </w:r>
      <w:r w:rsidR="00A33433">
        <w:t xml:space="preserve">atliktus sprendimus </w:t>
      </w:r>
      <w:r w:rsidR="00F62F7C">
        <w:t>(</w:t>
      </w:r>
      <w:r w:rsidR="00806B6F">
        <w:t>pavyzdžiui,</w:t>
      </w:r>
      <w:r w:rsidR="0066478F">
        <w:t xml:space="preserve"> </w:t>
      </w:r>
      <w:r w:rsidR="00433F7D">
        <w:t>atlieka biudžeto išlaidų „karpymą“</w:t>
      </w:r>
      <w:r w:rsidR="0066478F">
        <w:t>,</w:t>
      </w:r>
      <w:r w:rsidR="00433F7D">
        <w:t xml:space="preserve"> kurio</w:t>
      </w:r>
      <w:r w:rsidR="00F9151F">
        <w:t xml:space="preserve"> poveikį </w:t>
      </w:r>
      <w:r w:rsidR="007416F0">
        <w:t xml:space="preserve">– </w:t>
      </w:r>
      <w:r w:rsidR="00F9151F" w:rsidRPr="007416F0">
        <w:rPr>
          <w:i/>
        </w:rPr>
        <w:t>tiesiogiai ar netiesiogiai</w:t>
      </w:r>
      <w:r w:rsidR="00F9151F">
        <w:t xml:space="preserve"> </w:t>
      </w:r>
      <w:r w:rsidR="007416F0">
        <w:t xml:space="preserve">– </w:t>
      </w:r>
      <w:r w:rsidR="00F9151F">
        <w:t>pajaučia kiekvienas</w:t>
      </w:r>
      <w:r w:rsidR="00E80155">
        <w:t xml:space="preserve"> </w:t>
      </w:r>
      <w:r w:rsidR="00BC2F03">
        <w:t xml:space="preserve">šalies </w:t>
      </w:r>
      <w:r w:rsidR="00E80155">
        <w:t>pilietis</w:t>
      </w:r>
      <w:r w:rsidR="00BE3EA0">
        <w:t>)</w:t>
      </w:r>
      <w:r w:rsidR="0066478F">
        <w:t>.</w:t>
      </w:r>
    </w:p>
    <w:p w:rsidR="005F184C" w:rsidRPr="00D12683" w:rsidRDefault="00E80155" w:rsidP="005F184C">
      <w:pPr>
        <w:rPr>
          <w:b/>
          <w:i/>
        </w:rPr>
      </w:pPr>
      <w:r>
        <w:t>Apibendrinant, r</w:t>
      </w:r>
      <w:r w:rsidR="00524B5C">
        <w:t>eikėtų pasaky</w:t>
      </w:r>
      <w:r w:rsidR="00AD2A4A">
        <w:t>ti</w:t>
      </w:r>
      <w:r w:rsidR="00DB3831">
        <w:t>, jog „individas, visuomenė ir valstybė yra susaistyti interesais, kurie yra nukreipti</w:t>
      </w:r>
      <w:r w:rsidR="00DF43FD">
        <w:t xml:space="preserve"> vieni į kitus, glaudžiai</w:t>
      </w:r>
      <w:r w:rsidR="003D30B8">
        <w:t xml:space="preserve"> susiję ir vieni kitus lemia</w:t>
      </w:r>
      <w:r w:rsidR="00394883" w:rsidRPr="00097A17">
        <w:t>“ (</w:t>
      </w:r>
      <w:proofErr w:type="spellStart"/>
      <w:r w:rsidR="00394883" w:rsidRPr="00097A17">
        <w:t>Trumpulis</w:t>
      </w:r>
      <w:proofErr w:type="spellEnd"/>
      <w:r w:rsidR="00394883" w:rsidRPr="00097A17">
        <w:t xml:space="preserve"> 2010</w:t>
      </w:r>
      <w:r w:rsidR="00217372" w:rsidRPr="00097A17">
        <w:t xml:space="preserve">, p. </w:t>
      </w:r>
      <w:r w:rsidR="0028249A" w:rsidRPr="00097A17">
        <w:t>129</w:t>
      </w:r>
      <w:r w:rsidR="00394883" w:rsidRPr="00097A17">
        <w:t xml:space="preserve">), </w:t>
      </w:r>
      <w:r w:rsidR="0028249A" w:rsidRPr="00097A17">
        <w:t>t</w:t>
      </w:r>
      <w:r w:rsidR="003D30B8" w:rsidRPr="00097A17">
        <w:t>odėl</w:t>
      </w:r>
      <w:r w:rsidR="000E38CD">
        <w:t>,</w:t>
      </w:r>
      <w:r w:rsidR="008E0C8D">
        <w:t xml:space="preserve"> </w:t>
      </w:r>
      <w:r w:rsidR="00F17A55">
        <w:t>priim</w:t>
      </w:r>
      <w:r w:rsidR="00CA450A">
        <w:t>ant</w:t>
      </w:r>
      <w:r w:rsidR="00F17A55">
        <w:t xml:space="preserve"> neracional</w:t>
      </w:r>
      <w:r w:rsidR="001401E5">
        <w:t>ų</w:t>
      </w:r>
      <w:r w:rsidR="00F17A55">
        <w:t xml:space="preserve"> sprendim</w:t>
      </w:r>
      <w:r w:rsidR="001401E5">
        <w:t>ą</w:t>
      </w:r>
      <w:r w:rsidR="00D57525">
        <w:t xml:space="preserve"> </w:t>
      </w:r>
      <w:r w:rsidR="00A43874">
        <w:t>(</w:t>
      </w:r>
      <w:r w:rsidR="00D57525">
        <w:t>valstybės atžvilgiu</w:t>
      </w:r>
      <w:r w:rsidR="00A43874">
        <w:t>)</w:t>
      </w:r>
      <w:r w:rsidR="00F17A55">
        <w:t>,</w:t>
      </w:r>
      <w:r w:rsidR="00D57525">
        <w:t xml:space="preserve"> </w:t>
      </w:r>
      <w:r w:rsidR="001401E5">
        <w:t xml:space="preserve">vėliau </w:t>
      </w:r>
      <w:r w:rsidR="00D57525">
        <w:t>gali</w:t>
      </w:r>
      <w:r w:rsidR="00CA450A">
        <w:t>ma</w:t>
      </w:r>
      <w:r w:rsidR="00D57525">
        <w:t xml:space="preserve"> paj</w:t>
      </w:r>
      <w:r w:rsidR="002E051B">
        <w:t>a</w:t>
      </w:r>
      <w:r w:rsidR="00D57525">
        <w:t xml:space="preserve">usti </w:t>
      </w:r>
      <w:r w:rsidR="00D21718">
        <w:t>didesnę</w:t>
      </w:r>
      <w:r w:rsidR="00F17A55">
        <w:t xml:space="preserve"> neigiamą </w:t>
      </w:r>
      <w:r w:rsidR="00D21718">
        <w:t>įtaką</w:t>
      </w:r>
      <w:r w:rsidR="000E38CD">
        <w:t xml:space="preserve"> savo asmeninių finansų sistemai</w:t>
      </w:r>
      <w:r w:rsidR="00D57525">
        <w:t xml:space="preserve">. </w:t>
      </w:r>
      <w:r w:rsidR="00D21718">
        <w:t>Vadinasi,</w:t>
      </w:r>
      <w:r w:rsidR="00A43874">
        <w:t xml:space="preserve"> </w:t>
      </w:r>
      <w:r w:rsidR="00A43874" w:rsidRPr="00D12683">
        <w:rPr>
          <w:b/>
          <w:i/>
        </w:rPr>
        <w:t>racionali</w:t>
      </w:r>
      <w:r w:rsidR="00053AC4">
        <w:rPr>
          <w:b/>
          <w:i/>
        </w:rPr>
        <w:t>a</w:t>
      </w:r>
      <w:r w:rsidR="00A43874" w:rsidRPr="00D12683">
        <w:rPr>
          <w:b/>
          <w:i/>
        </w:rPr>
        <w:t xml:space="preserve"> </w:t>
      </w:r>
      <w:r w:rsidR="00B04ED3">
        <w:rPr>
          <w:b/>
          <w:i/>
        </w:rPr>
        <w:t xml:space="preserve">individų </w:t>
      </w:r>
      <w:r w:rsidR="00A43874" w:rsidRPr="00D12683">
        <w:rPr>
          <w:b/>
          <w:i/>
        </w:rPr>
        <w:t>finansin</w:t>
      </w:r>
      <w:r w:rsidR="00053AC4">
        <w:rPr>
          <w:b/>
          <w:i/>
        </w:rPr>
        <w:t>e</w:t>
      </w:r>
      <w:r w:rsidR="00A43874" w:rsidRPr="00D12683">
        <w:rPr>
          <w:b/>
          <w:i/>
        </w:rPr>
        <w:t xml:space="preserve"> elgsena </w:t>
      </w:r>
      <w:r w:rsidR="00053AC4">
        <w:rPr>
          <w:b/>
          <w:i/>
        </w:rPr>
        <w:t>reik</w:t>
      </w:r>
      <w:r w:rsidR="00592967">
        <w:rPr>
          <w:b/>
          <w:i/>
        </w:rPr>
        <w:t>ė</w:t>
      </w:r>
      <w:r w:rsidR="00053AC4">
        <w:rPr>
          <w:b/>
          <w:i/>
        </w:rPr>
        <w:t>tų laikyti</w:t>
      </w:r>
      <w:r w:rsidR="003750F0" w:rsidRPr="00D12683">
        <w:rPr>
          <w:b/>
          <w:i/>
        </w:rPr>
        <w:t xml:space="preserve"> </w:t>
      </w:r>
      <w:r w:rsidR="00053AC4">
        <w:rPr>
          <w:b/>
          <w:i/>
        </w:rPr>
        <w:t>pamatuotus</w:t>
      </w:r>
      <w:r w:rsidR="00CE70EF">
        <w:rPr>
          <w:b/>
          <w:i/>
        </w:rPr>
        <w:t xml:space="preserve"> ir</w:t>
      </w:r>
      <w:r w:rsidR="00053AC4">
        <w:rPr>
          <w:b/>
          <w:i/>
        </w:rPr>
        <w:t xml:space="preserve"> efekty</w:t>
      </w:r>
      <w:r w:rsidR="00D12683">
        <w:rPr>
          <w:b/>
          <w:i/>
        </w:rPr>
        <w:t>v</w:t>
      </w:r>
      <w:r w:rsidR="00053AC4">
        <w:rPr>
          <w:b/>
          <w:i/>
        </w:rPr>
        <w:t>i</w:t>
      </w:r>
      <w:r w:rsidR="00D12683">
        <w:rPr>
          <w:b/>
          <w:i/>
        </w:rPr>
        <w:t>us</w:t>
      </w:r>
      <w:r w:rsidR="003750F0" w:rsidRPr="00D12683">
        <w:rPr>
          <w:b/>
          <w:i/>
        </w:rPr>
        <w:t xml:space="preserve"> </w:t>
      </w:r>
      <w:r w:rsidR="005F184C" w:rsidRPr="00D12683">
        <w:rPr>
          <w:b/>
          <w:i/>
        </w:rPr>
        <w:t>atsak</w:t>
      </w:r>
      <w:r w:rsidR="00053AC4">
        <w:rPr>
          <w:b/>
          <w:i/>
        </w:rPr>
        <w:t>u</w:t>
      </w:r>
      <w:r w:rsidR="005F184C" w:rsidRPr="00D12683">
        <w:rPr>
          <w:b/>
          <w:i/>
        </w:rPr>
        <w:t>s – veiksm</w:t>
      </w:r>
      <w:r w:rsidR="00EB52B1">
        <w:rPr>
          <w:b/>
          <w:i/>
        </w:rPr>
        <w:t>us</w:t>
      </w:r>
      <w:r w:rsidR="005F184C" w:rsidRPr="00D12683">
        <w:rPr>
          <w:b/>
          <w:i/>
        </w:rPr>
        <w:t xml:space="preserve"> ir sprendim</w:t>
      </w:r>
      <w:r w:rsidR="00EB52B1">
        <w:rPr>
          <w:b/>
          <w:i/>
        </w:rPr>
        <w:t>us</w:t>
      </w:r>
      <w:r w:rsidR="005F184C" w:rsidRPr="00D12683">
        <w:rPr>
          <w:b/>
          <w:i/>
        </w:rPr>
        <w:t xml:space="preserve"> –</w:t>
      </w:r>
      <w:r w:rsidR="003750F0" w:rsidRPr="00D12683">
        <w:rPr>
          <w:b/>
          <w:i/>
        </w:rPr>
        <w:t xml:space="preserve"> </w:t>
      </w:r>
      <w:r w:rsidR="005F184C" w:rsidRPr="00D12683">
        <w:rPr>
          <w:b/>
          <w:i/>
        </w:rPr>
        <w:t>į išorinius dirgiklius ar pakitusią finansų situaciją, kurie:</w:t>
      </w:r>
    </w:p>
    <w:p w:rsidR="005F184C" w:rsidRPr="00D12683" w:rsidRDefault="005F184C" w:rsidP="005F184C">
      <w:pPr>
        <w:rPr>
          <w:b/>
          <w:i/>
        </w:rPr>
      </w:pPr>
      <w:r w:rsidRPr="00D12683">
        <w:rPr>
          <w:b/>
          <w:i/>
        </w:rPr>
        <w:t>1) yra susiję su pinigais ir piniginiais procesais</w:t>
      </w:r>
      <w:r w:rsidR="00CE70EF">
        <w:rPr>
          <w:b/>
          <w:i/>
        </w:rPr>
        <w:t xml:space="preserve"> </w:t>
      </w:r>
      <w:r w:rsidR="00CE70EF" w:rsidRPr="00FB2305">
        <w:t>(</w:t>
      </w:r>
      <w:r w:rsidR="00CE70EF" w:rsidRPr="00CE70EF">
        <w:rPr>
          <w:i/>
        </w:rPr>
        <w:t>finansinė</w:t>
      </w:r>
      <w:r w:rsidR="00BF646A">
        <w:rPr>
          <w:i/>
        </w:rPr>
        <w:t xml:space="preserve"> elgsena</w:t>
      </w:r>
      <w:r w:rsidR="00CE70EF" w:rsidRPr="00FB2305">
        <w:t>)</w:t>
      </w:r>
      <w:r w:rsidRPr="00FB2305">
        <w:t>;</w:t>
      </w:r>
      <w:r w:rsidRPr="00CE70EF">
        <w:rPr>
          <w:i/>
        </w:rPr>
        <w:t xml:space="preserve"> </w:t>
      </w:r>
      <w:r w:rsidRPr="00D12683">
        <w:rPr>
          <w:b/>
          <w:i/>
        </w:rPr>
        <w:t>ir</w:t>
      </w:r>
    </w:p>
    <w:p w:rsidR="00501D51" w:rsidRDefault="005F184C" w:rsidP="005F184C">
      <w:pPr>
        <w:rPr>
          <w:b/>
          <w:i/>
        </w:rPr>
      </w:pPr>
      <w:r w:rsidRPr="00D12683">
        <w:rPr>
          <w:b/>
          <w:i/>
        </w:rPr>
        <w:t>2) yra paremti žmogaus apsisprendimu</w:t>
      </w:r>
      <w:r w:rsidR="00FB2305">
        <w:t xml:space="preserve"> (</w:t>
      </w:r>
      <w:r w:rsidR="00492403">
        <w:rPr>
          <w:i/>
        </w:rPr>
        <w:t>finansinė elgsena</w:t>
      </w:r>
      <w:r w:rsidR="00FB2305">
        <w:t>)</w:t>
      </w:r>
      <w:r w:rsidR="00EB52B1" w:rsidRPr="00FB2305">
        <w:t>;</w:t>
      </w:r>
      <w:r w:rsidR="00EB52B1" w:rsidRPr="00FB2305">
        <w:rPr>
          <w:b/>
        </w:rPr>
        <w:t xml:space="preserve"> </w:t>
      </w:r>
      <w:r w:rsidR="00EB52B1">
        <w:rPr>
          <w:b/>
          <w:i/>
        </w:rPr>
        <w:t>ir</w:t>
      </w:r>
    </w:p>
    <w:p w:rsidR="00EB52B1" w:rsidRPr="00CE70EF" w:rsidRDefault="00D25FCB" w:rsidP="005F184C">
      <w:r>
        <w:rPr>
          <w:b/>
          <w:i/>
        </w:rPr>
        <w:t>3) </w:t>
      </w:r>
      <w:r w:rsidR="00EB52B1" w:rsidRPr="00AA74A2">
        <w:rPr>
          <w:b/>
          <w:i/>
          <w:u w:val="single"/>
        </w:rPr>
        <w:t>yra</w:t>
      </w:r>
      <w:r w:rsidR="0042376D" w:rsidRPr="00AA74A2">
        <w:rPr>
          <w:b/>
          <w:i/>
          <w:u w:val="single"/>
        </w:rPr>
        <w:t xml:space="preserve"> naudingi žmogui, tačiau</w:t>
      </w:r>
      <w:r w:rsidR="00EB52B1" w:rsidRPr="00AA74A2">
        <w:rPr>
          <w:b/>
          <w:i/>
          <w:u w:val="single"/>
        </w:rPr>
        <w:t xml:space="preserve"> nekenkiantys valstyb</w:t>
      </w:r>
      <w:r w:rsidR="0042376D" w:rsidRPr="00AA74A2">
        <w:rPr>
          <w:b/>
          <w:i/>
          <w:u w:val="single"/>
        </w:rPr>
        <w:t>ei</w:t>
      </w:r>
      <w:r w:rsidR="0042376D">
        <w:rPr>
          <w:b/>
          <w:i/>
        </w:rPr>
        <w:t xml:space="preserve"> </w:t>
      </w:r>
      <w:r w:rsidR="00CE70EF">
        <w:t>(</w:t>
      </w:r>
      <w:r w:rsidR="00CE70EF" w:rsidRPr="00CE70EF">
        <w:rPr>
          <w:i/>
        </w:rPr>
        <w:t>racionali</w:t>
      </w:r>
      <w:r w:rsidR="00786B48">
        <w:rPr>
          <w:i/>
        </w:rPr>
        <w:t xml:space="preserve"> finansinė elgsena</w:t>
      </w:r>
      <w:r w:rsidR="00CE70EF">
        <w:t>).</w:t>
      </w:r>
    </w:p>
    <w:p w:rsidR="000C5A4B" w:rsidRDefault="00872A4B" w:rsidP="00404939">
      <w:pPr>
        <w:pStyle w:val="Heading3"/>
      </w:pPr>
      <w:bookmarkStart w:id="5" w:name="_Toc343636876"/>
      <w:r>
        <w:lastRenderedPageBreak/>
        <w:t xml:space="preserve">Veiksniai, lemiantys </w:t>
      </w:r>
      <w:r w:rsidRPr="00366116">
        <w:t>neracionalią</w:t>
      </w:r>
      <w:r>
        <w:t xml:space="preserve"> finansinę elgseną</w:t>
      </w:r>
      <w:bookmarkEnd w:id="5"/>
    </w:p>
    <w:p w:rsidR="005E3E7B" w:rsidRDefault="005E3E7B" w:rsidP="005E3E7B">
      <w:r w:rsidRPr="00A8717E">
        <w:t xml:space="preserve">Atkreiptinas dėmesys, jog </w:t>
      </w:r>
      <w:r w:rsidR="00A53AEF">
        <w:t xml:space="preserve">gyventojų </w:t>
      </w:r>
      <w:r w:rsidR="005477D1" w:rsidRPr="00A8717E">
        <w:t>finansinės elgsenos</w:t>
      </w:r>
      <w:r w:rsidR="00366116">
        <w:t xml:space="preserve"> priežasty</w:t>
      </w:r>
      <w:r w:rsidR="005477D1" w:rsidRPr="00A8717E">
        <w:t xml:space="preserve">s </w:t>
      </w:r>
      <w:r w:rsidR="00CF627A">
        <w:t>mokslinės bendruomenės atstovų</w:t>
      </w:r>
      <w:r w:rsidR="00366116">
        <w:t xml:space="preserve"> </w:t>
      </w:r>
      <w:r w:rsidRPr="00A8717E">
        <w:t xml:space="preserve">dažniausiai </w:t>
      </w:r>
      <w:r w:rsidR="00CF627A">
        <w:t xml:space="preserve">yra </w:t>
      </w:r>
      <w:r w:rsidRPr="00A8717E">
        <w:t>nagrinėjam</w:t>
      </w:r>
      <w:r w:rsidR="005477D1" w:rsidRPr="00A8717E">
        <w:t>os</w:t>
      </w:r>
      <w:r w:rsidRPr="00A8717E">
        <w:t xml:space="preserve"> inv</w:t>
      </w:r>
      <w:r w:rsidRPr="00097A17">
        <w:t xml:space="preserve">esticinių sprendimų (Akram </w:t>
      </w:r>
      <w:r w:rsidRPr="00097A17">
        <w:rPr>
          <w:i/>
        </w:rPr>
        <w:t>et al</w:t>
      </w:r>
      <w:r w:rsidRPr="00097A17">
        <w:t xml:space="preserve">. 2011; </w:t>
      </w:r>
      <w:proofErr w:type="spellStart"/>
      <w:r w:rsidRPr="00097A17">
        <w:t>Bikas</w:t>
      </w:r>
      <w:proofErr w:type="spellEnd"/>
      <w:r w:rsidRPr="00097A17">
        <w:t xml:space="preserve">, Kavaliauskas 2010; </w:t>
      </w:r>
      <w:proofErr w:type="spellStart"/>
      <w:r w:rsidRPr="00097A17">
        <w:t>Butt</w:t>
      </w:r>
      <w:proofErr w:type="spellEnd"/>
      <w:r w:rsidRPr="00097A17">
        <w:t xml:space="preserve"> </w:t>
      </w:r>
      <w:r w:rsidRPr="00097A17">
        <w:rPr>
          <w:i/>
        </w:rPr>
        <w:t>et al</w:t>
      </w:r>
      <w:r w:rsidRPr="00097A17">
        <w:t xml:space="preserve">. 2011; Dedu </w:t>
      </w:r>
      <w:r w:rsidRPr="00097A17">
        <w:rPr>
          <w:i/>
        </w:rPr>
        <w:t>et al</w:t>
      </w:r>
      <w:r w:rsidRPr="00097A17">
        <w:t xml:space="preserve">. 2011; </w:t>
      </w:r>
      <w:proofErr w:type="spellStart"/>
      <w:r w:rsidR="0087434E" w:rsidRPr="00097A17">
        <w:t>Graham</w:t>
      </w:r>
      <w:proofErr w:type="spellEnd"/>
      <w:r w:rsidR="0087434E" w:rsidRPr="00097A17">
        <w:t xml:space="preserve"> </w:t>
      </w:r>
      <w:r w:rsidR="0087434E" w:rsidRPr="00097A17">
        <w:rPr>
          <w:i/>
        </w:rPr>
        <w:t>et al</w:t>
      </w:r>
      <w:r w:rsidR="0087434E" w:rsidRPr="00097A17">
        <w:t xml:space="preserve">. 2009; </w:t>
      </w:r>
      <w:proofErr w:type="spellStart"/>
      <w:r w:rsidR="001F52DB" w:rsidRPr="00097A17">
        <w:t>Jurevičienė</w:t>
      </w:r>
      <w:proofErr w:type="spellEnd"/>
      <w:r w:rsidR="001F52DB" w:rsidRPr="00097A17">
        <w:t xml:space="preserve">, </w:t>
      </w:r>
      <w:proofErr w:type="spellStart"/>
      <w:r w:rsidR="001F52DB" w:rsidRPr="00097A17">
        <w:t>Gausienė</w:t>
      </w:r>
      <w:proofErr w:type="spellEnd"/>
      <w:r w:rsidR="001F52DB" w:rsidRPr="00097A17">
        <w:t xml:space="preserve"> </w:t>
      </w:r>
      <w:r w:rsidRPr="00097A17">
        <w:t xml:space="preserve">2010; </w:t>
      </w:r>
      <w:proofErr w:type="spellStart"/>
      <w:r w:rsidR="00146743" w:rsidRPr="00097A17">
        <w:t>Levišauskaitė</w:t>
      </w:r>
      <w:proofErr w:type="spellEnd"/>
      <w:r w:rsidR="00146743" w:rsidRPr="00097A17">
        <w:t xml:space="preserve">, </w:t>
      </w:r>
      <w:proofErr w:type="spellStart"/>
      <w:r w:rsidR="00146743" w:rsidRPr="00097A17">
        <w:t>Kartašova</w:t>
      </w:r>
      <w:proofErr w:type="spellEnd"/>
      <w:r w:rsidRPr="00097A17">
        <w:t xml:space="preserve"> 2011</w:t>
      </w:r>
      <w:r w:rsidR="00AD6C14" w:rsidRPr="00097A17">
        <w:t xml:space="preserve">; </w:t>
      </w:r>
      <w:proofErr w:type="spellStart"/>
      <w:r w:rsidR="00AD6C14" w:rsidRPr="00097A17">
        <w:t>Mittal</w:t>
      </w:r>
      <w:proofErr w:type="spellEnd"/>
      <w:r w:rsidR="00AD6C14" w:rsidRPr="00097A17">
        <w:t xml:space="preserve">, </w:t>
      </w:r>
      <w:proofErr w:type="spellStart"/>
      <w:r w:rsidR="00AD6C14" w:rsidRPr="00097A17">
        <w:t>Vy</w:t>
      </w:r>
      <w:r w:rsidR="00386BE8" w:rsidRPr="00097A17">
        <w:t>as</w:t>
      </w:r>
      <w:proofErr w:type="spellEnd"/>
      <w:r w:rsidR="00386BE8" w:rsidRPr="00097A17">
        <w:t xml:space="preserve"> 2011; </w:t>
      </w:r>
      <w:proofErr w:type="spellStart"/>
      <w:r w:rsidR="00386BE8" w:rsidRPr="00097A17">
        <w:t>Pompian</w:t>
      </w:r>
      <w:proofErr w:type="spellEnd"/>
      <w:r w:rsidR="00386BE8" w:rsidRPr="00097A17">
        <w:t xml:space="preserve"> 2006</w:t>
      </w:r>
      <w:r w:rsidR="00D2563D" w:rsidRPr="00097A17">
        <w:t xml:space="preserve"> ir kt.</w:t>
      </w:r>
      <w:r w:rsidR="00195442" w:rsidRPr="00097A17">
        <w:t xml:space="preserve">) </w:t>
      </w:r>
      <w:r w:rsidR="00BC0FA0" w:rsidRPr="00097A17">
        <w:t xml:space="preserve">ir, </w:t>
      </w:r>
      <w:r w:rsidR="00A32A7D" w:rsidRPr="00097A17">
        <w:t>kartkartėmis</w:t>
      </w:r>
      <w:r w:rsidR="00BC0FA0" w:rsidRPr="00097A17">
        <w:t>,</w:t>
      </w:r>
      <w:r w:rsidR="00275CE6" w:rsidRPr="00097A17">
        <w:t xml:space="preserve"> </w:t>
      </w:r>
      <w:r w:rsidRPr="00097A17">
        <w:t xml:space="preserve">taupymo </w:t>
      </w:r>
      <w:r w:rsidR="004D385E" w:rsidRPr="00097A17">
        <w:t xml:space="preserve">lygiu </w:t>
      </w:r>
      <w:r w:rsidRPr="00097A17">
        <w:t>(Rakauskienė</w:t>
      </w:r>
      <w:r w:rsidR="005F2A0C" w:rsidRPr="00097A17">
        <w:t>,</w:t>
      </w:r>
      <w:r w:rsidRPr="00097A17">
        <w:t xml:space="preserve"> </w:t>
      </w:r>
      <w:proofErr w:type="spellStart"/>
      <w:r w:rsidR="005F2A0C" w:rsidRPr="00097A17">
        <w:t>Bikas</w:t>
      </w:r>
      <w:proofErr w:type="spellEnd"/>
      <w:r w:rsidR="005F2A0C" w:rsidRPr="00097A17">
        <w:t xml:space="preserve"> </w:t>
      </w:r>
      <w:r w:rsidRPr="00097A17">
        <w:t xml:space="preserve">2007; </w:t>
      </w:r>
      <w:proofErr w:type="spellStart"/>
      <w:r w:rsidR="001F52DB" w:rsidRPr="00097A17">
        <w:t>Jurevičienė</w:t>
      </w:r>
      <w:proofErr w:type="spellEnd"/>
      <w:r w:rsidR="001F52DB" w:rsidRPr="00097A17">
        <w:t xml:space="preserve">, </w:t>
      </w:r>
      <w:proofErr w:type="spellStart"/>
      <w:r w:rsidR="001F52DB" w:rsidRPr="00097A17">
        <w:t>Gausienė</w:t>
      </w:r>
      <w:proofErr w:type="spellEnd"/>
      <w:r w:rsidRPr="00097A17">
        <w:t xml:space="preserve"> 2010</w:t>
      </w:r>
      <w:r w:rsidR="009C5CA6" w:rsidRPr="00097A17">
        <w:t xml:space="preserve">), </w:t>
      </w:r>
      <w:r w:rsidRPr="00097A17">
        <w:t xml:space="preserve">visiškai </w:t>
      </w:r>
      <w:r w:rsidR="00F571F7">
        <w:t>atsiribojant nuo kitų</w:t>
      </w:r>
      <w:r>
        <w:t xml:space="preserve"> asme</w:t>
      </w:r>
      <w:r w:rsidR="00AB21A0">
        <w:t>ninių finansų sistemos elementų</w:t>
      </w:r>
      <w:r w:rsidR="00972C68">
        <w:t xml:space="preserve">, </w:t>
      </w:r>
      <w:r w:rsidR="00A32A7D">
        <w:t xml:space="preserve">– </w:t>
      </w:r>
      <w:r w:rsidR="00972C68">
        <w:t>t</w:t>
      </w:r>
      <w:r w:rsidR="0075124F">
        <w:t>odėl</w:t>
      </w:r>
      <w:r>
        <w:t xml:space="preserve"> pasig</w:t>
      </w:r>
      <w:r w:rsidR="006C03F3">
        <w:t>endama sisteminio požiūrio</w:t>
      </w:r>
      <w:r>
        <w:t xml:space="preserve">, kas </w:t>
      </w:r>
      <w:r w:rsidR="0075124F">
        <w:t xml:space="preserve">apskritai </w:t>
      </w:r>
      <w:r>
        <w:t>lemia neracionali</w:t>
      </w:r>
      <w:r w:rsidR="00D2563D">
        <w:t>o</w:t>
      </w:r>
      <w:r w:rsidR="006C03F3">
        <w:t>s</w:t>
      </w:r>
      <w:r>
        <w:t xml:space="preserve"> elgsen</w:t>
      </w:r>
      <w:r w:rsidR="00972C68">
        <w:t>os atsiradimą</w:t>
      </w:r>
      <w:r>
        <w:t xml:space="preserve"> finansų srityje. </w:t>
      </w:r>
      <w:r w:rsidR="00832B95">
        <w:t>Tai leidžia</w:t>
      </w:r>
      <w:r w:rsidR="006C03F3">
        <w:t xml:space="preserve"> manyti</w:t>
      </w:r>
      <w:r>
        <w:t xml:space="preserve">, jog neracionali </w:t>
      </w:r>
      <w:r w:rsidR="00EA5D3E">
        <w:t>žmoni</w:t>
      </w:r>
      <w:r w:rsidR="00573D4C">
        <w:t xml:space="preserve">ų </w:t>
      </w:r>
      <w:r>
        <w:t>finansinė elgsena</w:t>
      </w:r>
      <w:r w:rsidR="00774743">
        <w:t xml:space="preserve"> nėra visapusiškai</w:t>
      </w:r>
      <w:r w:rsidR="00595A29">
        <w:t xml:space="preserve"> išanalizuota</w:t>
      </w:r>
      <w:r w:rsidR="00774743">
        <w:t>,</w:t>
      </w:r>
      <w:r w:rsidR="0075124F">
        <w:t xml:space="preserve"> </w:t>
      </w:r>
      <w:r>
        <w:t xml:space="preserve">todėl reikalaujanti tolimesnių plėtočių – </w:t>
      </w:r>
      <w:r w:rsidR="0075124F">
        <w:t xml:space="preserve">ir </w:t>
      </w:r>
      <w:r>
        <w:t xml:space="preserve">ypatingai tose srityse, kurios </w:t>
      </w:r>
      <w:r w:rsidR="005B7B42">
        <w:t xml:space="preserve">autorių </w:t>
      </w:r>
      <w:r w:rsidR="00E217D5">
        <w:t xml:space="preserve">buvo mažiausiai tirtos ar visai </w:t>
      </w:r>
      <w:r w:rsidR="00595A29">
        <w:t>nenagrinėtos.</w:t>
      </w:r>
    </w:p>
    <w:p w:rsidR="000759F2" w:rsidRPr="00097A17" w:rsidRDefault="0087706C" w:rsidP="000759F2">
      <w:r>
        <w:t xml:space="preserve">Kalbant apie </w:t>
      </w:r>
      <w:r w:rsidRPr="005B7B42">
        <w:rPr>
          <w:i/>
        </w:rPr>
        <w:t>neracionalią</w:t>
      </w:r>
      <w:r w:rsidR="005B7B42">
        <w:t xml:space="preserve"> finansinę elgseną, reik</w:t>
      </w:r>
      <w:r>
        <w:t xml:space="preserve">tų akcentuoti, jog ji atsiranda tada, kai žmogiškasis veiksnys pasireiškia kaip </w:t>
      </w:r>
      <w:r w:rsidR="00441922">
        <w:t xml:space="preserve">„klaidų šaltinis“, t. y. kai žmogaus reakcija nukrypsta nuo visuotinai </w:t>
      </w:r>
      <w:r w:rsidR="00A343C8">
        <w:t>priimtinų normų</w:t>
      </w:r>
      <w:r w:rsidR="00095A10">
        <w:t>, ir dėl to</w:t>
      </w:r>
      <w:r w:rsidR="009D152F">
        <w:t xml:space="preserve"> priimami </w:t>
      </w:r>
      <w:r w:rsidR="00095A10" w:rsidRPr="00C335D5">
        <w:rPr>
          <w:i/>
        </w:rPr>
        <w:t>netinkami</w:t>
      </w:r>
      <w:r w:rsidR="00095A10">
        <w:t xml:space="preserve">, </w:t>
      </w:r>
      <w:r w:rsidR="004C45DF" w:rsidRPr="00C335D5">
        <w:rPr>
          <w:i/>
        </w:rPr>
        <w:t>nepamatuoti</w:t>
      </w:r>
      <w:r w:rsidR="006F7C73">
        <w:t>,</w:t>
      </w:r>
      <w:r w:rsidR="004C45DF">
        <w:t xml:space="preserve"> </w:t>
      </w:r>
      <w:r w:rsidR="004C45DF" w:rsidRPr="00C335D5">
        <w:rPr>
          <w:i/>
        </w:rPr>
        <w:t>neefektyvūs</w:t>
      </w:r>
      <w:r w:rsidR="00861F40">
        <w:t>,</w:t>
      </w:r>
      <w:r w:rsidR="009D152F">
        <w:t xml:space="preserve"> </w:t>
      </w:r>
      <w:r w:rsidR="00861F40">
        <w:t>o</w:t>
      </w:r>
      <w:r w:rsidR="003C3679">
        <w:t>,</w:t>
      </w:r>
      <w:r w:rsidR="00433616">
        <w:t xml:space="preserve"> kartkartėmis</w:t>
      </w:r>
      <w:r w:rsidR="003C3679">
        <w:t>,</w:t>
      </w:r>
      <w:r w:rsidR="00433616">
        <w:t xml:space="preserve"> </w:t>
      </w:r>
      <w:r w:rsidR="00861F40">
        <w:t xml:space="preserve">– ir </w:t>
      </w:r>
      <w:r w:rsidR="00861F40" w:rsidRPr="00861F40">
        <w:rPr>
          <w:i/>
        </w:rPr>
        <w:t>netikslingi</w:t>
      </w:r>
      <w:r w:rsidR="00861F40">
        <w:t xml:space="preserve"> </w:t>
      </w:r>
      <w:r w:rsidR="00C105CD">
        <w:t xml:space="preserve">finansiniai </w:t>
      </w:r>
      <w:r w:rsidR="009D152F">
        <w:t>sprendimai</w:t>
      </w:r>
      <w:r w:rsidR="0039168E">
        <w:t>,</w:t>
      </w:r>
      <w:r w:rsidR="00861F40">
        <w:t xml:space="preserve"> </w:t>
      </w:r>
      <w:r w:rsidR="00CE26C2">
        <w:t>kurie</w:t>
      </w:r>
      <w:r w:rsidR="001B719B">
        <w:t xml:space="preserve"> realizuojami</w:t>
      </w:r>
      <w:r w:rsidR="00861F40">
        <w:t xml:space="preserve">, </w:t>
      </w:r>
      <w:r w:rsidR="00F56718">
        <w:t xml:space="preserve">gerai </w:t>
      </w:r>
      <w:r w:rsidR="00861F40">
        <w:t>nesuvokiant savo veiksmų prasmės</w:t>
      </w:r>
      <w:r w:rsidR="009D152F">
        <w:t>.</w:t>
      </w:r>
      <w:r w:rsidR="00C105CD">
        <w:t xml:space="preserve"> Dėl to, nagrinėjant neracionalios </w:t>
      </w:r>
      <w:r w:rsidR="00774743">
        <w:t xml:space="preserve">finansinės </w:t>
      </w:r>
      <w:r w:rsidR="00C105CD">
        <w:t>elgsenos priežastis,</w:t>
      </w:r>
      <w:r w:rsidR="00D1267B">
        <w:t xml:space="preserve"> </w:t>
      </w:r>
      <w:r w:rsidR="009418A1">
        <w:t xml:space="preserve">dažniausiai </w:t>
      </w:r>
      <w:r w:rsidR="008C63E0">
        <w:t xml:space="preserve">yra </w:t>
      </w:r>
      <w:r w:rsidR="00D1267B">
        <w:t xml:space="preserve">pasitelkiamos elgsenos teorijos, kurios </w:t>
      </w:r>
      <w:r w:rsidR="007171A4">
        <w:t>parodo</w:t>
      </w:r>
      <w:r w:rsidR="00D1267B">
        <w:t xml:space="preserve">, jog </w:t>
      </w:r>
      <w:r w:rsidR="007171A4">
        <w:t>„</w:t>
      </w:r>
      <w:r w:rsidR="000C092B">
        <w:t>žmo</w:t>
      </w:r>
      <w:r w:rsidR="00586F79">
        <w:t>nių elgsena nėra visada paremta matematika</w:t>
      </w:r>
      <w:r w:rsidR="00586F79" w:rsidRPr="00097A17">
        <w:t>, tikimybių teorija, šaltakraujiškumu</w:t>
      </w:r>
      <w:r w:rsidR="007171A4" w:rsidRPr="00097A17">
        <w:t>“</w:t>
      </w:r>
      <w:r w:rsidR="002870AA" w:rsidRPr="00097A17">
        <w:t xml:space="preserve"> (</w:t>
      </w:r>
      <w:proofErr w:type="spellStart"/>
      <w:r w:rsidR="002870AA" w:rsidRPr="00097A17">
        <w:t>Bikas</w:t>
      </w:r>
      <w:proofErr w:type="spellEnd"/>
      <w:r w:rsidR="002870AA" w:rsidRPr="00097A17">
        <w:t>, Kavaliauskas 2010</w:t>
      </w:r>
      <w:r w:rsidR="00C87328" w:rsidRPr="00097A17">
        <w:t>, p. 371</w:t>
      </w:r>
      <w:r w:rsidR="002870AA" w:rsidRPr="00097A17">
        <w:t>)</w:t>
      </w:r>
      <w:r w:rsidR="00095A10" w:rsidRPr="00097A17">
        <w:t xml:space="preserve">, kitaip </w:t>
      </w:r>
      <w:r w:rsidR="00BF4999" w:rsidRPr="00097A17">
        <w:t>tariant</w:t>
      </w:r>
      <w:r w:rsidR="005057D4" w:rsidRPr="00097A17">
        <w:t>,</w:t>
      </w:r>
      <w:r w:rsidR="00BF4999" w:rsidRPr="00097A17">
        <w:t xml:space="preserve"> – </w:t>
      </w:r>
      <w:r w:rsidR="009418A1" w:rsidRPr="00097A17">
        <w:t xml:space="preserve">yra </w:t>
      </w:r>
      <w:r w:rsidR="00BF4999" w:rsidRPr="00097A17">
        <w:t>analizuojami tie</w:t>
      </w:r>
      <w:r w:rsidR="00197127" w:rsidRPr="00097A17">
        <w:t xml:space="preserve"> veiksniai</w:t>
      </w:r>
      <w:r w:rsidR="007301CF" w:rsidRPr="00097A17">
        <w:t xml:space="preserve">, </w:t>
      </w:r>
      <w:r w:rsidR="00BF4999" w:rsidRPr="00097A17">
        <w:t>kurie daro</w:t>
      </w:r>
      <w:r w:rsidR="007301CF" w:rsidRPr="00097A17">
        <w:t xml:space="preserve"> įtaką atskiro žmogaus sprendimams.</w:t>
      </w:r>
    </w:p>
    <w:p w:rsidR="00F03A05" w:rsidRDefault="008850C7" w:rsidP="00706B8E">
      <w:r w:rsidRPr="00097A17">
        <w:t>„</w:t>
      </w:r>
      <w:r w:rsidR="003E040D" w:rsidRPr="00097A17">
        <w:t>D</w:t>
      </w:r>
      <w:r w:rsidR="00932F2D" w:rsidRPr="00097A17">
        <w:t>aug</w:t>
      </w:r>
      <w:r w:rsidR="00AA1405" w:rsidRPr="00097A17">
        <w:t>elis</w:t>
      </w:r>
      <w:r w:rsidR="00932F2D" w:rsidRPr="00097A17">
        <w:t xml:space="preserve"> šiuolaikinių finans</w:t>
      </w:r>
      <w:r w:rsidR="003E040D" w:rsidRPr="00097A17">
        <w:t>ų</w:t>
      </w:r>
      <w:r w:rsidR="00243008" w:rsidRPr="00097A17">
        <w:t xml:space="preserve"> elgsenos</w:t>
      </w:r>
      <w:r w:rsidR="00243008">
        <w:t xml:space="preserve"> mokslininkų bei</w:t>
      </w:r>
      <w:r w:rsidR="00932F2D">
        <w:t xml:space="preserve"> tyrinėtojų</w:t>
      </w:r>
      <w:r w:rsidR="00243008">
        <w:t xml:space="preserve"> sutartinai</w:t>
      </w:r>
      <w:r w:rsidR="00466701">
        <w:t xml:space="preserve"> tvirtina</w:t>
      </w:r>
      <w:r w:rsidR="00243008">
        <w:t>, jog</w:t>
      </w:r>
      <w:r w:rsidR="00932F2D">
        <w:t xml:space="preserve"> finans</w:t>
      </w:r>
      <w:r w:rsidR="003E040D">
        <w:t>inės</w:t>
      </w:r>
      <w:r w:rsidR="00932F2D">
        <w:t xml:space="preserve"> elgsenos mokslo šaknys slypi kognityvinė</w:t>
      </w:r>
      <w:r w:rsidR="00CE5385">
        <w:t>je</w:t>
      </w:r>
      <w:r w:rsidR="00932F2D">
        <w:t xml:space="preserve"> </w:t>
      </w:r>
      <w:r w:rsidR="00932F2D" w:rsidRPr="00097A17">
        <w:t>psichologijo</w:t>
      </w:r>
      <w:r w:rsidR="00CE5385" w:rsidRPr="00097A17">
        <w:t>je</w:t>
      </w:r>
      <w:r w:rsidR="00CE5385" w:rsidRPr="00097A17">
        <w:rPr>
          <w:rStyle w:val="FootnoteReference"/>
        </w:rPr>
        <w:footnoteReference w:id="1"/>
      </w:r>
      <w:r w:rsidR="00095003" w:rsidRPr="00097A17">
        <w:t>“</w:t>
      </w:r>
      <w:r w:rsidR="00CE5385" w:rsidRPr="00097A17">
        <w:t xml:space="preserve"> </w:t>
      </w:r>
      <w:r w:rsidR="00AA1405" w:rsidRPr="00097A17">
        <w:t>(</w:t>
      </w:r>
      <w:r w:rsidR="009E73CB" w:rsidRPr="00097A17">
        <w:rPr>
          <w:i/>
          <w:lang w:val="la-Latn"/>
        </w:rPr>
        <w:t>Ibid</w:t>
      </w:r>
      <w:r w:rsidR="00AA1405" w:rsidRPr="00097A17">
        <w:t>),</w:t>
      </w:r>
      <w:r w:rsidR="00AA1405">
        <w:t xml:space="preserve"> </w:t>
      </w:r>
      <w:r w:rsidR="003E040D">
        <w:t>todėl</w:t>
      </w:r>
      <w:r w:rsidR="001D0E5F">
        <w:t>, band</w:t>
      </w:r>
      <w:r w:rsidR="00AC200A">
        <w:t>ant nustatyti neracionalios finansinės elgsenos priežastis,</w:t>
      </w:r>
      <w:r w:rsidR="003E040D">
        <w:t xml:space="preserve"> </w:t>
      </w:r>
      <w:r w:rsidR="00797521">
        <w:t xml:space="preserve">dažniausiai </w:t>
      </w:r>
      <w:r w:rsidR="005D54C5">
        <w:t>yra</w:t>
      </w:r>
      <w:r w:rsidR="001208D5">
        <w:t xml:space="preserve"> </w:t>
      </w:r>
      <w:r w:rsidR="005477D1">
        <w:t>nagrinė</w:t>
      </w:r>
      <w:r w:rsidR="00822B4C">
        <w:t>j</w:t>
      </w:r>
      <w:r w:rsidR="005901DD">
        <w:t xml:space="preserve">ami </w:t>
      </w:r>
      <w:r w:rsidR="00633760" w:rsidRPr="00DF41FC">
        <w:rPr>
          <w:b/>
          <w:i/>
          <w:u w:val="single"/>
        </w:rPr>
        <w:t>kognityviniai nu</w:t>
      </w:r>
      <w:r w:rsidR="005901DD" w:rsidRPr="00DF41FC">
        <w:rPr>
          <w:b/>
          <w:i/>
          <w:u w:val="single"/>
        </w:rPr>
        <w:t>kryp</w:t>
      </w:r>
      <w:r w:rsidR="009D7651" w:rsidRPr="00DF41FC">
        <w:rPr>
          <w:b/>
          <w:i/>
          <w:u w:val="single"/>
        </w:rPr>
        <w:t>imai</w:t>
      </w:r>
      <w:r w:rsidR="005901DD">
        <w:t xml:space="preserve">, t. y. </w:t>
      </w:r>
      <w:r w:rsidR="005901DD" w:rsidRPr="009D7651">
        <w:rPr>
          <w:i/>
        </w:rPr>
        <w:t>veiksniai</w:t>
      </w:r>
      <w:r w:rsidR="00C400C4" w:rsidRPr="009D7651">
        <w:rPr>
          <w:i/>
        </w:rPr>
        <w:t xml:space="preserve"> </w:t>
      </w:r>
      <w:r w:rsidR="00633760" w:rsidRPr="00186665">
        <w:t>(</w:t>
      </w:r>
      <w:r w:rsidR="005D54C5">
        <w:t xml:space="preserve">arba </w:t>
      </w:r>
      <w:r w:rsidR="0006005A" w:rsidRPr="00186665">
        <w:t>šablonai</w:t>
      </w:r>
      <w:r w:rsidR="00633760" w:rsidRPr="00186665">
        <w:t>)</w:t>
      </w:r>
      <w:r w:rsidR="005901DD" w:rsidRPr="009D7651">
        <w:rPr>
          <w:i/>
        </w:rPr>
        <w:t>, susiję su protiniais žmogaus procesais</w:t>
      </w:r>
      <w:r w:rsidR="00DF40D1">
        <w:t xml:space="preserve">. </w:t>
      </w:r>
      <w:r w:rsidR="008C1E48">
        <w:t>Ž</w:t>
      </w:r>
      <w:r w:rsidR="008C1E48" w:rsidRPr="00E36B94">
        <w:t>mogus</w:t>
      </w:r>
      <w:r w:rsidR="008C1E48">
        <w:t xml:space="preserve">, </w:t>
      </w:r>
      <w:r w:rsidR="008C1E48" w:rsidRPr="00097A17">
        <w:t>r</w:t>
      </w:r>
      <w:r w:rsidR="00DF40D1" w:rsidRPr="00097A17">
        <w:t>emiantis</w:t>
      </w:r>
      <w:r w:rsidR="0033713C" w:rsidRPr="00097A17">
        <w:t xml:space="preserve"> </w:t>
      </w:r>
      <w:proofErr w:type="spellStart"/>
      <w:r w:rsidR="00DF40D1" w:rsidRPr="00097A17">
        <w:t>Jurevičiene</w:t>
      </w:r>
      <w:proofErr w:type="spellEnd"/>
      <w:r w:rsidR="00186665" w:rsidRPr="00097A17">
        <w:t xml:space="preserve">, </w:t>
      </w:r>
      <w:proofErr w:type="spellStart"/>
      <w:r w:rsidR="00DF40D1" w:rsidRPr="00097A17">
        <w:t>Gausiene</w:t>
      </w:r>
      <w:proofErr w:type="spellEnd"/>
      <w:r w:rsidR="005D1D25" w:rsidRPr="00097A17">
        <w:t xml:space="preserve"> </w:t>
      </w:r>
      <w:r w:rsidR="00803A9A" w:rsidRPr="00097A17">
        <w:t>(2010),</w:t>
      </w:r>
      <w:r w:rsidR="002F7A54" w:rsidRPr="00097A17">
        <w:t xml:space="preserve"> siekia </w:t>
      </w:r>
      <w:r w:rsidR="001208D5" w:rsidRPr="00097A17">
        <w:t>„</w:t>
      </w:r>
      <w:r w:rsidR="002F7A54" w:rsidRPr="00097A17">
        <w:t>viską supaprastinti tam</w:t>
      </w:r>
      <w:r w:rsidR="00AE2C53" w:rsidRPr="00097A17">
        <w:t>, kad būtų lengviau suprasti ir susidaryti tinkamą nuomonę</w:t>
      </w:r>
      <w:r w:rsidR="00A42B33" w:rsidRPr="00097A17">
        <w:t xml:space="preserve">. Dėl </w:t>
      </w:r>
      <w:r w:rsidR="005412FD" w:rsidRPr="00097A17">
        <w:t>to,</w:t>
      </w:r>
      <w:r w:rsidR="00A42B33" w:rsidRPr="00097A17">
        <w:t xml:space="preserve"> </w:t>
      </w:r>
      <w:r w:rsidR="008C1E48" w:rsidRPr="00097A17">
        <w:t xml:space="preserve">individo </w:t>
      </w:r>
      <w:r w:rsidR="005F627A" w:rsidRPr="00097A17">
        <w:t>elgesį</w:t>
      </w:r>
      <w:r w:rsidR="005D1D25" w:rsidRPr="00097A17">
        <w:t xml:space="preserve"> </w:t>
      </w:r>
      <w:r w:rsidR="0014361A" w:rsidRPr="00097A17">
        <w:t xml:space="preserve">(...) </w:t>
      </w:r>
      <w:r w:rsidR="005F627A" w:rsidRPr="00097A17">
        <w:t xml:space="preserve">lemia jo </w:t>
      </w:r>
      <w:r w:rsidR="005F627A" w:rsidRPr="00097A17">
        <w:rPr>
          <w:i/>
        </w:rPr>
        <w:t>praeitis, aplinkybės ir visi kiti veiksniai</w:t>
      </w:r>
      <w:r w:rsidR="005F627A" w:rsidRPr="00097A17">
        <w:t>, kurie nėra racionalūs</w:t>
      </w:r>
      <w:r w:rsidR="0014361A" w:rsidRPr="00097A17">
        <w:t>“</w:t>
      </w:r>
      <w:r w:rsidR="005D54C5" w:rsidRPr="00097A17">
        <w:t xml:space="preserve"> (p. 225)</w:t>
      </w:r>
      <w:r w:rsidR="0033713C" w:rsidRPr="00097A17">
        <w:t xml:space="preserve">, </w:t>
      </w:r>
      <w:r w:rsidR="00906739" w:rsidRPr="00097A17">
        <w:t>t.</w:t>
      </w:r>
      <w:r w:rsidR="00906739">
        <w:t xml:space="preserve"> y. </w:t>
      </w:r>
      <w:r w:rsidR="002C16BB">
        <w:t xml:space="preserve">veiksniai, kurie nėra paremti </w:t>
      </w:r>
      <w:r w:rsidR="00F45053">
        <w:t>logika ar tvirt</w:t>
      </w:r>
      <w:r w:rsidR="005412FD">
        <w:t xml:space="preserve">ais argumentais </w:t>
      </w:r>
      <w:r w:rsidR="005D1D25">
        <w:t xml:space="preserve">– </w:t>
      </w:r>
      <w:r w:rsidR="00EB2E65">
        <w:t>būtent apie tai</w:t>
      </w:r>
      <w:r w:rsidR="0083744D">
        <w:t xml:space="preserve"> </w:t>
      </w:r>
      <w:r w:rsidR="008D6692">
        <w:t xml:space="preserve">ir byloja </w:t>
      </w:r>
      <w:r w:rsidR="00EB2E65">
        <w:t xml:space="preserve">kognityviniai </w:t>
      </w:r>
      <w:r w:rsidR="008D6692" w:rsidRPr="000825F3">
        <w:t>nu</w:t>
      </w:r>
      <w:r w:rsidR="00F45053" w:rsidRPr="000825F3">
        <w:t>krypimai</w:t>
      </w:r>
      <w:r w:rsidR="008D6692" w:rsidRPr="000825F3">
        <w:t xml:space="preserve"> </w:t>
      </w:r>
      <w:r w:rsidR="0025643F" w:rsidRPr="000825F3">
        <w:t>(</w:t>
      </w:r>
      <w:r w:rsidR="00690B5D" w:rsidRPr="000825F3">
        <w:t>žr. 2</w:t>
      </w:r>
      <w:r w:rsidR="0025643F" w:rsidRPr="000825F3">
        <w:t> pav.)</w:t>
      </w:r>
      <w:r w:rsidR="002A342C" w:rsidRPr="000825F3">
        <w:t>.</w:t>
      </w:r>
    </w:p>
    <w:p w:rsidR="00705026" w:rsidRPr="00462E2C" w:rsidRDefault="00D84BC4" w:rsidP="009E6C01">
      <w:pPr>
        <w:spacing w:after="120" w:line="240" w:lineRule="auto"/>
        <w:ind w:firstLine="0"/>
        <w:contextualSpacing w:val="0"/>
        <w:jc w:val="center"/>
      </w:pPr>
      <w:r>
        <w:pict>
          <v:group id="_x0000_s1571" editas="canvas" style="width:512.65pt;height:129.15pt;mso-position-horizontal-relative:char;mso-position-vertical-relative:line" coordorigin="2468,6839" coordsize="7198,1814">
            <o:lock v:ext="edit" aspectratio="t"/>
            <v:shape id="_x0000_s1572" type="#_x0000_t75" style="position:absolute;left:2468;top:6839;width:7198;height:1814" o:preferrelative="f">
              <v:fill o:detectmouseclick="t"/>
              <v:path o:extrusionok="t" o:connecttype="none"/>
              <o:lock v:ext="edit" text="t"/>
            </v:shape>
            <v:shape id="_x0000_s1581" type="#_x0000_t32" style="position:absolute;left:5346;top:8011;width:1027;height:124" o:connectortype="straight" strokecolor="#92cddc [1944]" strokeweight="1.5pt"/>
            <v:shape id="_x0000_s1582" type="#_x0000_t32" style="position:absolute;left:5346;top:7371;width:1027;height:130;flip:y" o:connectortype="straight" strokecolor="#92cddc [1944]" strokeweight="1.5pt"/>
            <v:shape id="_x0000_s1584" type="#_x0000_t32" style="position:absolute;left:4321;top:7361;width:1025;height:140;flip:x y" o:connectortype="straight" strokecolor="#92cddc [1944]" strokeweight="1.5pt"/>
            <v:shape id="_x0000_s1585" type="#_x0000_t32" style="position:absolute;left:4321;top:8011;width:1025;height:124;flip:x" o:connectortype="straight" strokecolor="#92cddc [1944]" strokeweight="1.5pt"/>
            <v:shape id="_x0000_s1587" type="#_x0000_t32" style="position:absolute;left:7924;top:7756;width:215;height:4" o:connectortype="straight" strokecolor="#92cddc [1944]">
              <v:stroke dashstyle="longDash"/>
            </v:shape>
            <v:shape id="_x0000_s1589" type="#_x0000_t32" style="position:absolute;left:7924;top:7434;width:192;height:322;flip:y" o:connectortype="straight" strokecolor="#92cddc [1944]">
              <v:stroke dashstyle="longDash"/>
            </v:shape>
            <v:shape id="_x0000_s1591" type="#_x0000_t32" style="position:absolute;left:7924;top:7756;width:192;height:319" o:connectortype="straight" strokecolor="#92cddc [1944]">
              <v:stroke dashstyle="longDash"/>
            </v:shape>
            <v:shape id="_x0000_s1592" type="#_x0000_t32" style="position:absolute;left:6295;top:7756;width:168;height:1" o:connectortype="straight" strokecolor="#92cddc [1944]" strokeweight="1.5pt"/>
            <v:shape id="_x0000_s1593" type="#_x0000_t32" style="position:absolute;left:4231;top:7756;width:166;height:1;flip:x" o:connectortype="straight" strokecolor="#92cddc [1944]" strokeweight="1.5pt"/>
            <v:oval id="_x0000_s1576" style="position:absolute;left:3368;top:6917;width:1907;height:434" fillcolor="#b6dde8 [1304]" strokecolor="#92cddc [1944]" strokeweight="1.5pt">
              <v:shadow on="t"/>
              <v:textbox style="mso-next-textbox:#_x0000_s1576" inset=".72pt,.72pt,.72pt,.72pt">
                <w:txbxContent>
                  <w:p w:rsidR="00B2438E" w:rsidRPr="00A56F31" w:rsidRDefault="00B2438E" w:rsidP="00705026">
                    <w:pPr>
                      <w:spacing w:after="0" w:line="240" w:lineRule="auto"/>
                      <w:ind w:firstLine="0"/>
                      <w:jc w:val="center"/>
                      <w:rPr>
                        <w:b/>
                        <w:sz w:val="18"/>
                        <w:szCs w:val="18"/>
                      </w:rPr>
                    </w:pPr>
                    <w:r w:rsidRPr="00A56F31">
                      <w:rPr>
                        <w:b/>
                        <w:sz w:val="18"/>
                        <w:szCs w:val="18"/>
                      </w:rPr>
                      <w:t>Mentalinė apskaita</w:t>
                    </w:r>
                  </w:p>
                  <w:p w:rsidR="00B2438E" w:rsidRPr="00DA325A" w:rsidRDefault="00B2438E" w:rsidP="00705026">
                    <w:pPr>
                      <w:spacing w:after="0" w:line="240" w:lineRule="auto"/>
                      <w:ind w:firstLine="0"/>
                      <w:jc w:val="center"/>
                      <w:rPr>
                        <w:sz w:val="16"/>
                        <w:szCs w:val="16"/>
                      </w:rPr>
                    </w:pPr>
                    <w:r w:rsidRPr="00DA325A">
                      <w:rPr>
                        <w:sz w:val="16"/>
                        <w:szCs w:val="16"/>
                      </w:rPr>
                      <w:t>(</w:t>
                    </w:r>
                    <w:r w:rsidRPr="00DA325A">
                      <w:rPr>
                        <w:i/>
                        <w:sz w:val="16"/>
                        <w:szCs w:val="16"/>
                        <w:lang w:val="en-US"/>
                      </w:rPr>
                      <w:t>Mental Accounting</w:t>
                    </w:r>
                    <w:r w:rsidRPr="00DA325A">
                      <w:rPr>
                        <w:sz w:val="16"/>
                        <w:szCs w:val="16"/>
                      </w:rPr>
                      <w:t>)</w:t>
                    </w:r>
                  </w:p>
                </w:txbxContent>
              </v:textbox>
            </v:oval>
            <v:oval id="_x0000_s1575" style="position:absolute;left:5428;top:6927;width:1889;height:434" fillcolor="#b6dde8 [1304]" strokecolor="#92cddc [1944]" strokeweight="1.5pt">
              <v:shadow on="t"/>
              <v:textbox style="mso-next-textbox:#_x0000_s1575" inset=".72pt,.72pt,.72pt,.72pt">
                <w:txbxContent>
                  <w:p w:rsidR="00B2438E" w:rsidRPr="00683D48" w:rsidRDefault="00B2438E" w:rsidP="00705026">
                    <w:pPr>
                      <w:spacing w:after="0" w:line="240" w:lineRule="auto"/>
                      <w:ind w:firstLine="0"/>
                      <w:jc w:val="center"/>
                      <w:rPr>
                        <w:b/>
                        <w:sz w:val="18"/>
                        <w:szCs w:val="18"/>
                      </w:rPr>
                    </w:pPr>
                    <w:r w:rsidRPr="00683D48">
                      <w:rPr>
                        <w:b/>
                        <w:sz w:val="18"/>
                        <w:szCs w:val="18"/>
                      </w:rPr>
                      <w:t>Perdėta savikliova</w:t>
                    </w:r>
                  </w:p>
                  <w:p w:rsidR="00B2438E" w:rsidRPr="00DA325A" w:rsidRDefault="00B2438E" w:rsidP="00705026">
                    <w:pPr>
                      <w:spacing w:after="0" w:line="240" w:lineRule="auto"/>
                      <w:ind w:firstLine="0"/>
                      <w:jc w:val="center"/>
                      <w:rPr>
                        <w:sz w:val="16"/>
                        <w:szCs w:val="16"/>
                      </w:rPr>
                    </w:pPr>
                    <w:r w:rsidRPr="00DA325A">
                      <w:rPr>
                        <w:sz w:val="16"/>
                        <w:szCs w:val="16"/>
                      </w:rPr>
                      <w:t>(</w:t>
                    </w:r>
                    <w:r w:rsidRPr="00DA325A">
                      <w:rPr>
                        <w:i/>
                        <w:sz w:val="16"/>
                        <w:szCs w:val="16"/>
                        <w:lang w:val="en-US"/>
                      </w:rPr>
                      <w:t>Overconfidence</w:t>
                    </w:r>
                    <w:r w:rsidRPr="00DA325A">
                      <w:rPr>
                        <w:sz w:val="16"/>
                        <w:szCs w:val="16"/>
                      </w:rPr>
                      <w:t>)</w:t>
                    </w:r>
                  </w:p>
                </w:txbxContent>
              </v:textbox>
            </v:oval>
            <v:oval id="_x0000_s1574" style="position:absolute;left:2769;top:7501;width:1451;height:510" fillcolor="#b6dde8 [1304]" strokecolor="#92cddc [1944]" strokeweight="1.5pt">
              <v:shadow on="t"/>
              <v:textbox style="mso-next-textbox:#_x0000_s1574" inset=".72pt,.72pt,.72pt,.72pt">
                <w:txbxContent>
                  <w:p w:rsidR="00B2438E" w:rsidRPr="00A56F31" w:rsidRDefault="00B2438E" w:rsidP="00705026">
                    <w:pPr>
                      <w:spacing w:after="0" w:line="240" w:lineRule="auto"/>
                      <w:ind w:firstLine="0"/>
                      <w:jc w:val="center"/>
                      <w:rPr>
                        <w:b/>
                        <w:sz w:val="18"/>
                        <w:szCs w:val="18"/>
                      </w:rPr>
                    </w:pPr>
                    <w:r w:rsidRPr="00A56F31">
                      <w:rPr>
                        <w:b/>
                        <w:sz w:val="18"/>
                        <w:szCs w:val="18"/>
                      </w:rPr>
                      <w:t>Šablonai</w:t>
                    </w:r>
                  </w:p>
                  <w:p w:rsidR="00B2438E" w:rsidRPr="00DA325A" w:rsidRDefault="00B2438E" w:rsidP="00705026">
                    <w:pPr>
                      <w:spacing w:after="0" w:line="240" w:lineRule="auto"/>
                      <w:ind w:firstLine="0"/>
                      <w:jc w:val="center"/>
                      <w:rPr>
                        <w:sz w:val="16"/>
                        <w:szCs w:val="16"/>
                      </w:rPr>
                    </w:pPr>
                    <w:r w:rsidRPr="00DA325A">
                      <w:rPr>
                        <w:sz w:val="16"/>
                        <w:szCs w:val="16"/>
                      </w:rPr>
                      <w:t>(</w:t>
                    </w:r>
                    <w:r w:rsidRPr="00DA325A">
                      <w:rPr>
                        <w:i/>
                        <w:sz w:val="16"/>
                        <w:szCs w:val="16"/>
                        <w:lang w:val="en-US"/>
                      </w:rPr>
                      <w:t>Framing</w:t>
                    </w:r>
                    <w:r w:rsidRPr="00DA325A">
                      <w:rPr>
                        <w:sz w:val="16"/>
                        <w:szCs w:val="16"/>
                      </w:rPr>
                      <w:t>)</w:t>
                    </w:r>
                  </w:p>
                </w:txbxContent>
              </v:textbox>
            </v:oval>
            <v:oval id="_x0000_s1577" style="position:absolute;left:6473;top:7501;width:1441;height:510" fillcolor="#b6dde8 [1304]" strokecolor="#92cddc [1944]" strokeweight="1.5pt">
              <v:shadow on="t"/>
              <v:textbox style="mso-next-textbox:#_x0000_s1577" inset=".72pt,.72pt,.72pt,.72pt">
                <w:txbxContent>
                  <w:p w:rsidR="00B2438E" w:rsidRPr="00683D48" w:rsidRDefault="00B2438E" w:rsidP="00705026">
                    <w:pPr>
                      <w:spacing w:after="0" w:line="240" w:lineRule="auto"/>
                      <w:ind w:firstLine="0"/>
                      <w:jc w:val="center"/>
                      <w:rPr>
                        <w:b/>
                        <w:sz w:val="18"/>
                        <w:szCs w:val="18"/>
                      </w:rPr>
                    </w:pPr>
                    <w:proofErr w:type="spellStart"/>
                    <w:r w:rsidRPr="00683D48">
                      <w:rPr>
                        <w:b/>
                        <w:sz w:val="18"/>
                        <w:szCs w:val="18"/>
                      </w:rPr>
                      <w:t>Euristika</w:t>
                    </w:r>
                    <w:proofErr w:type="spellEnd"/>
                  </w:p>
                  <w:p w:rsidR="00B2438E" w:rsidRPr="00DA325A" w:rsidRDefault="00B2438E" w:rsidP="00705026">
                    <w:pPr>
                      <w:spacing w:after="0" w:line="240" w:lineRule="auto"/>
                      <w:ind w:firstLine="0"/>
                      <w:jc w:val="center"/>
                      <w:rPr>
                        <w:sz w:val="16"/>
                        <w:szCs w:val="16"/>
                      </w:rPr>
                    </w:pPr>
                    <w:r w:rsidRPr="00DA325A">
                      <w:rPr>
                        <w:sz w:val="16"/>
                        <w:szCs w:val="16"/>
                      </w:rPr>
                      <w:t>(</w:t>
                    </w:r>
                    <w:r w:rsidRPr="00DA325A">
                      <w:rPr>
                        <w:i/>
                        <w:sz w:val="16"/>
                        <w:szCs w:val="16"/>
                        <w:lang w:val="en-US"/>
                      </w:rPr>
                      <w:t>Heuristics</w:t>
                    </w:r>
                    <w:r w:rsidRPr="00DA325A">
                      <w:rPr>
                        <w:sz w:val="16"/>
                        <w:szCs w:val="16"/>
                      </w:rPr>
                      <w:t>)</w:t>
                    </w:r>
                  </w:p>
                </w:txbxContent>
              </v:textbox>
            </v:oval>
            <v:oval id="_x0000_s1578" style="position:absolute;left:3368;top:8145;width:1907;height:444" fillcolor="#b6dde8 [1304]" strokecolor="#92cddc [1944]" strokeweight="1.5pt">
              <v:shadow on="t"/>
              <v:textbox style="mso-next-textbox:#_x0000_s1578" inset=".72pt,.72pt,.72pt,.72pt">
                <w:txbxContent>
                  <w:p w:rsidR="00B2438E" w:rsidRPr="00A56F31" w:rsidRDefault="00B2438E" w:rsidP="00705026">
                    <w:pPr>
                      <w:spacing w:after="0" w:line="240" w:lineRule="auto"/>
                      <w:ind w:firstLine="0"/>
                      <w:jc w:val="center"/>
                      <w:rPr>
                        <w:b/>
                        <w:sz w:val="18"/>
                        <w:szCs w:val="18"/>
                      </w:rPr>
                    </w:pPr>
                    <w:r w:rsidRPr="00A56F31">
                      <w:rPr>
                        <w:b/>
                        <w:sz w:val="18"/>
                        <w:szCs w:val="18"/>
                      </w:rPr>
                      <w:t>Konservatyvumas</w:t>
                    </w:r>
                  </w:p>
                  <w:p w:rsidR="00B2438E" w:rsidRPr="00DA325A" w:rsidRDefault="00B2438E" w:rsidP="00705026">
                    <w:pPr>
                      <w:spacing w:after="0" w:line="240" w:lineRule="auto"/>
                      <w:ind w:firstLine="0"/>
                      <w:jc w:val="center"/>
                      <w:rPr>
                        <w:sz w:val="16"/>
                        <w:szCs w:val="16"/>
                      </w:rPr>
                    </w:pPr>
                    <w:r w:rsidRPr="00DA325A">
                      <w:rPr>
                        <w:sz w:val="16"/>
                        <w:szCs w:val="16"/>
                      </w:rPr>
                      <w:t>(</w:t>
                    </w:r>
                    <w:r w:rsidRPr="00DA325A">
                      <w:rPr>
                        <w:i/>
                        <w:sz w:val="16"/>
                        <w:szCs w:val="16"/>
                        <w:lang w:val="en-US"/>
                      </w:rPr>
                      <w:t>Conservatism</w:t>
                    </w:r>
                    <w:r w:rsidRPr="00DA325A">
                      <w:rPr>
                        <w:sz w:val="16"/>
                        <w:szCs w:val="16"/>
                      </w:rPr>
                      <w:t>)</w:t>
                    </w:r>
                  </w:p>
                </w:txbxContent>
              </v:textbox>
            </v:oval>
            <v:oval id="_x0000_s1579" style="position:absolute;left:5428;top:8145;width:1889;height:449" fillcolor="#b6dde8 [1304]" strokecolor="#92cddc [1944]" strokeweight="1.5pt">
              <v:shadow on="t"/>
              <v:textbox style="mso-next-textbox:#_x0000_s1579" inset=".72pt,.72pt,.72pt,.72pt">
                <w:txbxContent>
                  <w:p w:rsidR="00B2438E" w:rsidRPr="00CB4597" w:rsidRDefault="00B2438E" w:rsidP="00705026">
                    <w:pPr>
                      <w:spacing w:after="0" w:line="240" w:lineRule="auto"/>
                      <w:ind w:firstLine="0"/>
                      <w:jc w:val="center"/>
                      <w:rPr>
                        <w:b/>
                        <w:sz w:val="18"/>
                        <w:szCs w:val="18"/>
                      </w:rPr>
                    </w:pPr>
                    <w:r w:rsidRPr="00CB4597">
                      <w:rPr>
                        <w:b/>
                        <w:sz w:val="18"/>
                        <w:szCs w:val="18"/>
                      </w:rPr>
                      <w:t>Išankstinis nusiteikimas</w:t>
                    </w:r>
                  </w:p>
                  <w:p w:rsidR="00B2438E" w:rsidRPr="00022548" w:rsidRDefault="00B2438E" w:rsidP="00705026">
                    <w:pPr>
                      <w:spacing w:after="0" w:line="240" w:lineRule="auto"/>
                      <w:ind w:firstLine="0"/>
                      <w:jc w:val="center"/>
                      <w:rPr>
                        <w:sz w:val="16"/>
                        <w:szCs w:val="16"/>
                      </w:rPr>
                    </w:pPr>
                    <w:r w:rsidRPr="00022548">
                      <w:rPr>
                        <w:sz w:val="16"/>
                        <w:szCs w:val="16"/>
                      </w:rPr>
                      <w:t>(</w:t>
                    </w:r>
                    <w:r w:rsidRPr="00022548">
                      <w:rPr>
                        <w:i/>
                        <w:sz w:val="16"/>
                        <w:szCs w:val="16"/>
                        <w:lang w:val="en-US"/>
                      </w:rPr>
                      <w:t>Disposition Effect</w:t>
                    </w:r>
                    <w:r w:rsidRPr="00022548">
                      <w:rPr>
                        <w:sz w:val="16"/>
                        <w:szCs w:val="16"/>
                      </w:rPr>
                      <w:t>)</w:t>
                    </w:r>
                  </w:p>
                </w:txbxContent>
              </v:textbox>
            </v:oval>
            <v:roundrect id="_x0000_s1588" style="position:absolute;left:7386;top:6917;width:1460;height:517" arcsize="10923f" fillcolor="#daeef3 [664]" stroked="f" strokecolor="#b6dde8 [1304]" strokeweight="1.5pt">
              <v:stroke dashstyle="longDash"/>
              <v:imagedata embosscolor="shadow add(51)"/>
              <v:shadow on="t" type="emboss" color="lineOrFill darken(153)" color2="shadow add(102)" offset="1pt,1pt"/>
              <v:textbox style="mso-next-textbox:#_x0000_s1588" inset=".72pt,.72pt,.72pt,.72pt">
                <w:txbxContent>
                  <w:p w:rsidR="00B2438E" w:rsidRDefault="00B2438E" w:rsidP="00705026">
                    <w:pPr>
                      <w:spacing w:before="40" w:after="0" w:line="240" w:lineRule="auto"/>
                      <w:ind w:firstLine="0"/>
                      <w:jc w:val="center"/>
                      <w:rPr>
                        <w:b/>
                        <w:sz w:val="16"/>
                        <w:szCs w:val="16"/>
                      </w:rPr>
                    </w:pPr>
                    <w:r w:rsidRPr="009D769E">
                      <w:rPr>
                        <w:b/>
                        <w:sz w:val="16"/>
                        <w:szCs w:val="16"/>
                      </w:rPr>
                      <w:t xml:space="preserve">Reprezentatyvumo </w:t>
                    </w:r>
                    <w:proofErr w:type="spellStart"/>
                    <w:r w:rsidRPr="009D769E">
                      <w:rPr>
                        <w:b/>
                        <w:sz w:val="16"/>
                        <w:szCs w:val="16"/>
                      </w:rPr>
                      <w:t>euristika</w:t>
                    </w:r>
                    <w:proofErr w:type="spellEnd"/>
                  </w:p>
                  <w:p w:rsidR="00B2438E" w:rsidRPr="009D769E" w:rsidRDefault="00B2438E" w:rsidP="00705026">
                    <w:pPr>
                      <w:spacing w:before="40" w:after="0" w:line="240" w:lineRule="auto"/>
                      <w:ind w:firstLine="0"/>
                      <w:jc w:val="center"/>
                      <w:rPr>
                        <w:sz w:val="16"/>
                        <w:szCs w:val="16"/>
                      </w:rPr>
                    </w:pPr>
                    <w:r>
                      <w:rPr>
                        <w:sz w:val="16"/>
                        <w:szCs w:val="16"/>
                      </w:rPr>
                      <w:t>(</w:t>
                    </w:r>
                    <w:r w:rsidRPr="00170DC7">
                      <w:rPr>
                        <w:i/>
                        <w:sz w:val="16"/>
                        <w:szCs w:val="16"/>
                        <w:lang w:val="en-US"/>
                      </w:rPr>
                      <w:t>Representativeness Heuristics</w:t>
                    </w:r>
                    <w:r>
                      <w:rPr>
                        <w:sz w:val="16"/>
                        <w:szCs w:val="16"/>
                      </w:rPr>
                      <w:t>)</w:t>
                    </w:r>
                  </w:p>
                </w:txbxContent>
              </v:textbox>
            </v:roundrect>
            <v:roundrect id="_x0000_s1586" style="position:absolute;left:8139;top:7501;width:1462;height:518" arcsize="10923f" fillcolor="#daeef3 [664]" stroked="f" strokecolor="#b6dde8 [1304]" strokeweight="1.5pt">
              <v:stroke dashstyle="longDash"/>
              <v:imagedata embosscolor="shadow add(51)"/>
              <v:shadow on="t" type="emboss" color="lineOrFill darken(153)" color2="shadow add(102)" offset="1pt,1pt"/>
              <v:textbox style="mso-next-textbox:#_x0000_s1586" inset=".72pt,.72pt,.72pt,.72pt">
                <w:txbxContent>
                  <w:p w:rsidR="00B2438E" w:rsidRDefault="00B2438E" w:rsidP="00EC4BC1">
                    <w:pPr>
                      <w:spacing w:before="120" w:after="0" w:line="240" w:lineRule="auto"/>
                      <w:ind w:firstLine="0"/>
                      <w:jc w:val="center"/>
                      <w:rPr>
                        <w:b/>
                        <w:sz w:val="16"/>
                        <w:szCs w:val="16"/>
                      </w:rPr>
                    </w:pPr>
                    <w:proofErr w:type="spellStart"/>
                    <w:r>
                      <w:rPr>
                        <w:b/>
                        <w:sz w:val="16"/>
                        <w:szCs w:val="16"/>
                      </w:rPr>
                      <w:t>Pasiekiamumo</w:t>
                    </w:r>
                    <w:r w:rsidRPr="009D769E">
                      <w:rPr>
                        <w:b/>
                        <w:sz w:val="16"/>
                        <w:szCs w:val="16"/>
                      </w:rPr>
                      <w:t>euristika</w:t>
                    </w:r>
                    <w:proofErr w:type="spellEnd"/>
                  </w:p>
                  <w:p w:rsidR="00B2438E" w:rsidRPr="009D769E" w:rsidRDefault="00B2438E" w:rsidP="00EC4BC1">
                    <w:pPr>
                      <w:spacing w:before="120" w:after="0" w:line="240" w:lineRule="auto"/>
                      <w:ind w:firstLine="0"/>
                      <w:jc w:val="center"/>
                      <w:rPr>
                        <w:sz w:val="16"/>
                        <w:szCs w:val="16"/>
                      </w:rPr>
                    </w:pPr>
                    <w:r>
                      <w:rPr>
                        <w:sz w:val="16"/>
                        <w:szCs w:val="16"/>
                      </w:rPr>
                      <w:t>(</w:t>
                    </w:r>
                    <w:r>
                      <w:rPr>
                        <w:i/>
                        <w:sz w:val="16"/>
                        <w:szCs w:val="16"/>
                        <w:lang w:val="en-US"/>
                      </w:rPr>
                      <w:t xml:space="preserve">Availability </w:t>
                    </w:r>
                    <w:r w:rsidRPr="00170DC7">
                      <w:rPr>
                        <w:i/>
                        <w:sz w:val="16"/>
                        <w:szCs w:val="16"/>
                        <w:lang w:val="en-US"/>
                      </w:rPr>
                      <w:t>Heuristics</w:t>
                    </w:r>
                    <w:r>
                      <w:rPr>
                        <w:sz w:val="16"/>
                        <w:szCs w:val="16"/>
                      </w:rPr>
                      <w:t>)</w:t>
                    </w:r>
                  </w:p>
                </w:txbxContent>
              </v:textbox>
            </v:roundrect>
            <v:roundrect id="_x0000_s1590" style="position:absolute;left:7386;top:8075;width:1460;height:504" arcsize="10923f" fillcolor="#daeef3 [664]" stroked="f" strokecolor="#b6dde8 [1304]" strokeweight="1.5pt">
              <v:stroke dashstyle="longDash"/>
              <v:imagedata embosscolor="shadow add(51)"/>
              <v:shadow on="t" type="emboss" color="lineOrFill darken(153)" color2="shadow add(102)" offset="1pt,1pt"/>
              <v:textbox style="mso-next-textbox:#_x0000_s1590" inset=".72pt,.72pt,.72pt,.72pt">
                <w:txbxContent>
                  <w:p w:rsidR="00B2438E" w:rsidRDefault="00B2438E" w:rsidP="00EC4BC1">
                    <w:pPr>
                      <w:spacing w:before="120" w:after="0" w:line="240" w:lineRule="auto"/>
                      <w:ind w:firstLine="0"/>
                      <w:jc w:val="center"/>
                      <w:rPr>
                        <w:b/>
                        <w:sz w:val="16"/>
                        <w:szCs w:val="16"/>
                      </w:rPr>
                    </w:pPr>
                    <w:r>
                      <w:rPr>
                        <w:b/>
                        <w:sz w:val="16"/>
                        <w:szCs w:val="16"/>
                      </w:rPr>
                      <w:t xml:space="preserve">Inkaro </w:t>
                    </w:r>
                    <w:proofErr w:type="spellStart"/>
                    <w:r w:rsidRPr="009D769E">
                      <w:rPr>
                        <w:b/>
                        <w:sz w:val="16"/>
                        <w:szCs w:val="16"/>
                      </w:rPr>
                      <w:t>euristika</w:t>
                    </w:r>
                    <w:proofErr w:type="spellEnd"/>
                  </w:p>
                  <w:p w:rsidR="00B2438E" w:rsidRPr="009D769E" w:rsidRDefault="00B2438E" w:rsidP="00EC4BC1">
                    <w:pPr>
                      <w:spacing w:before="120" w:after="0" w:line="240" w:lineRule="auto"/>
                      <w:ind w:firstLine="0"/>
                      <w:jc w:val="center"/>
                      <w:rPr>
                        <w:sz w:val="16"/>
                        <w:szCs w:val="16"/>
                      </w:rPr>
                    </w:pPr>
                    <w:r>
                      <w:rPr>
                        <w:sz w:val="16"/>
                        <w:szCs w:val="16"/>
                      </w:rPr>
                      <w:t>(</w:t>
                    </w:r>
                    <w:r>
                      <w:rPr>
                        <w:i/>
                        <w:sz w:val="16"/>
                        <w:szCs w:val="16"/>
                        <w:lang w:val="en-US"/>
                      </w:rPr>
                      <w:t xml:space="preserve">Anchoring </w:t>
                    </w:r>
                    <w:r w:rsidRPr="00170DC7">
                      <w:rPr>
                        <w:i/>
                        <w:sz w:val="16"/>
                        <w:szCs w:val="16"/>
                        <w:lang w:val="en-US"/>
                      </w:rPr>
                      <w:t>Heuristics</w:t>
                    </w:r>
                    <w:r>
                      <w:rPr>
                        <w:sz w:val="16"/>
                        <w:szCs w:val="16"/>
                      </w:rPr>
                      <w:t>)</w:t>
                    </w:r>
                  </w:p>
                </w:txbxContent>
              </v:textbox>
            </v:round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573" type="#_x0000_t176" style="position:absolute;left:4411;top:7515;width:1870;height:482" fillcolor="#92cddc [1944]" strokecolor="#31849b [2408]" strokeweight="2pt">
              <v:textbox style="mso-next-textbox:#_x0000_s1573">
                <w:txbxContent>
                  <w:p w:rsidR="00B2438E" w:rsidRDefault="00B2438E" w:rsidP="00705026">
                    <w:pPr>
                      <w:spacing w:after="0" w:line="240" w:lineRule="auto"/>
                      <w:ind w:firstLine="0"/>
                      <w:jc w:val="center"/>
                      <w:rPr>
                        <w:b/>
                        <w:sz w:val="20"/>
                      </w:rPr>
                    </w:pPr>
                    <w:r>
                      <w:rPr>
                        <w:b/>
                        <w:sz w:val="20"/>
                      </w:rPr>
                      <w:t>Kognityviniai nukrypimai</w:t>
                    </w:r>
                  </w:p>
                  <w:p w:rsidR="00B2438E" w:rsidRPr="001F53D1" w:rsidRDefault="00B2438E" w:rsidP="00705026">
                    <w:pPr>
                      <w:spacing w:before="20" w:after="0" w:line="240" w:lineRule="auto"/>
                      <w:ind w:firstLine="0"/>
                      <w:jc w:val="center"/>
                      <w:rPr>
                        <w:sz w:val="20"/>
                      </w:rPr>
                    </w:pPr>
                    <w:r w:rsidRPr="001F53D1">
                      <w:rPr>
                        <w:sz w:val="20"/>
                      </w:rPr>
                      <w:t>(</w:t>
                    </w:r>
                    <w:r w:rsidRPr="001F53D1">
                      <w:rPr>
                        <w:i/>
                        <w:sz w:val="20"/>
                        <w:lang w:val="en-US"/>
                      </w:rPr>
                      <w:t>Cognitive Biases</w:t>
                    </w:r>
                    <w:r w:rsidRPr="001F53D1">
                      <w:rPr>
                        <w:sz w:val="20"/>
                      </w:rPr>
                      <w:t>)</w:t>
                    </w:r>
                  </w:p>
                </w:txbxContent>
              </v:textbox>
            </v:shape>
            <w10:wrap type="none"/>
            <w10:anchorlock/>
          </v:group>
        </w:pict>
      </w:r>
    </w:p>
    <w:p w:rsidR="006232AD" w:rsidRPr="006232AD" w:rsidRDefault="006232AD" w:rsidP="006232AD">
      <w:pPr>
        <w:spacing w:after="0" w:line="240" w:lineRule="auto"/>
        <w:rPr>
          <w:sz w:val="20"/>
        </w:rPr>
      </w:pPr>
      <w:r w:rsidRPr="006232AD">
        <w:rPr>
          <w:b/>
          <w:sz w:val="20"/>
        </w:rPr>
        <w:t>Šaltinis</w:t>
      </w:r>
      <w:r w:rsidRPr="006232AD">
        <w:rPr>
          <w:sz w:val="20"/>
        </w:rPr>
        <w:t>:</w:t>
      </w:r>
      <w:r w:rsidRPr="009B1E7B">
        <w:rPr>
          <w:sz w:val="20"/>
        </w:rPr>
        <w:t xml:space="preserve"> </w:t>
      </w:r>
      <w:proofErr w:type="spellStart"/>
      <w:r w:rsidR="00EC3A79" w:rsidRPr="009B1E7B">
        <w:rPr>
          <w:sz w:val="20"/>
        </w:rPr>
        <w:t>Jurevičienė</w:t>
      </w:r>
      <w:proofErr w:type="spellEnd"/>
      <w:r w:rsidR="00EC3A79" w:rsidRPr="009B1E7B">
        <w:rPr>
          <w:sz w:val="20"/>
        </w:rPr>
        <w:t xml:space="preserve">, </w:t>
      </w:r>
      <w:proofErr w:type="spellStart"/>
      <w:r w:rsidR="00EC3A79" w:rsidRPr="009B1E7B">
        <w:rPr>
          <w:sz w:val="20"/>
        </w:rPr>
        <w:t>Gausienė</w:t>
      </w:r>
      <w:proofErr w:type="spellEnd"/>
      <w:r w:rsidRPr="009B1E7B">
        <w:rPr>
          <w:sz w:val="20"/>
        </w:rPr>
        <w:t xml:space="preserve"> (2010)</w:t>
      </w:r>
    </w:p>
    <w:bookmarkStart w:id="6" w:name="_Toc343590399"/>
    <w:p w:rsidR="00705026" w:rsidRPr="00462E2C" w:rsidRDefault="00D84BC4" w:rsidP="00886347">
      <w:pPr>
        <w:pStyle w:val="Caption"/>
      </w:pPr>
      <w:r w:rsidRPr="00E5157B">
        <w:rPr>
          <w:b w:val="0"/>
        </w:rPr>
        <w:fldChar w:fldCharType="begin"/>
      </w:r>
      <w:r w:rsidR="000825F3" w:rsidRPr="00E5157B">
        <w:rPr>
          <w:b w:val="0"/>
        </w:rPr>
        <w:instrText xml:space="preserve"> SEQ pav. \* ARABIC </w:instrText>
      </w:r>
      <w:r w:rsidRPr="00E5157B">
        <w:rPr>
          <w:b w:val="0"/>
        </w:rPr>
        <w:fldChar w:fldCharType="separate"/>
      </w:r>
      <w:r w:rsidR="000825F3" w:rsidRPr="00E5157B">
        <w:rPr>
          <w:b w:val="0"/>
        </w:rPr>
        <w:t>2</w:t>
      </w:r>
      <w:r w:rsidRPr="00E5157B">
        <w:rPr>
          <w:b w:val="0"/>
        </w:rPr>
        <w:fldChar w:fldCharType="end"/>
      </w:r>
      <w:r w:rsidR="000825F3" w:rsidRPr="00E5157B">
        <w:rPr>
          <w:b w:val="0"/>
        </w:rPr>
        <w:t xml:space="preserve"> </w:t>
      </w:r>
      <w:r w:rsidR="009E6C01" w:rsidRPr="00E5157B">
        <w:rPr>
          <w:b w:val="0"/>
        </w:rPr>
        <w:t>pav.</w:t>
      </w:r>
      <w:r w:rsidR="009E6C01" w:rsidRPr="009E6C01">
        <w:rPr>
          <w:color w:val="FF0000"/>
        </w:rPr>
        <w:t xml:space="preserve"> </w:t>
      </w:r>
      <w:r w:rsidR="00705026" w:rsidRPr="00462E2C">
        <w:t>Kognityvinių nukrypimų elgesio šablonai</w:t>
      </w:r>
      <w:bookmarkEnd w:id="6"/>
    </w:p>
    <w:p w:rsidR="00D47B5C" w:rsidRDefault="006F7E27" w:rsidP="00D47B5C">
      <w:proofErr w:type="spellStart"/>
      <w:r w:rsidRPr="009B1E7B">
        <w:lastRenderedPageBreak/>
        <w:t>Jurevičienės</w:t>
      </w:r>
      <w:proofErr w:type="spellEnd"/>
      <w:r w:rsidRPr="009B1E7B">
        <w:t xml:space="preserve">, </w:t>
      </w:r>
      <w:proofErr w:type="spellStart"/>
      <w:r w:rsidRPr="009B1E7B">
        <w:t>Gausienės</w:t>
      </w:r>
      <w:proofErr w:type="spellEnd"/>
      <w:r w:rsidRPr="009B1E7B">
        <w:t xml:space="preserve"> (2010) atlikta </w:t>
      </w:r>
      <w:r w:rsidR="00707D24" w:rsidRPr="009B1E7B">
        <w:t xml:space="preserve">kognityvinių nukrypimų </w:t>
      </w:r>
      <w:r w:rsidRPr="009B1E7B">
        <w:t>studija</w:t>
      </w:r>
      <w:r w:rsidR="00022548" w:rsidRPr="009B1E7B">
        <w:t xml:space="preserve"> parodo</w:t>
      </w:r>
      <w:r w:rsidR="00707D24" w:rsidRPr="009B1E7B">
        <w:t xml:space="preserve">, jog </w:t>
      </w:r>
      <w:r w:rsidR="00E50A78" w:rsidRPr="009B1E7B">
        <w:t>yra</w:t>
      </w:r>
      <w:r w:rsidR="00951D65" w:rsidRPr="009B1E7B">
        <w:t xml:space="preserve"> labai</w:t>
      </w:r>
      <w:r w:rsidR="00E50A78" w:rsidRPr="009B1E7B">
        <w:t xml:space="preserve"> </w:t>
      </w:r>
      <w:r w:rsidR="006A1964" w:rsidRPr="009B1E7B">
        <w:t xml:space="preserve">įvairių </w:t>
      </w:r>
      <w:r w:rsidR="00E50A78" w:rsidRPr="009B1E7B">
        <w:t>kognity</w:t>
      </w:r>
      <w:r w:rsidR="005A12A5" w:rsidRPr="009B1E7B">
        <w:t>vinių</w:t>
      </w:r>
      <w:r w:rsidR="0060065E" w:rsidRPr="009B1E7B">
        <w:t xml:space="preserve"> nuokrypių, kurie lemia neracionalios elgsenos atsiradimą</w:t>
      </w:r>
      <w:r w:rsidR="00E21B34" w:rsidRPr="009B1E7B">
        <w:t xml:space="preserve">: </w:t>
      </w:r>
      <w:proofErr w:type="spellStart"/>
      <w:r w:rsidR="00E21B34" w:rsidRPr="009B1E7B">
        <w:rPr>
          <w:i/>
        </w:rPr>
        <w:t>euristika</w:t>
      </w:r>
      <w:proofErr w:type="spellEnd"/>
      <w:r w:rsidR="00A47601" w:rsidRPr="009B1E7B">
        <w:t>;</w:t>
      </w:r>
      <w:r w:rsidR="00E21B34" w:rsidRPr="009B1E7B">
        <w:t xml:space="preserve"> </w:t>
      </w:r>
      <w:r w:rsidR="00E21B34" w:rsidRPr="009B1E7B">
        <w:rPr>
          <w:i/>
        </w:rPr>
        <w:t>išankstinis nusiteikimas</w:t>
      </w:r>
      <w:r w:rsidR="00A47601" w:rsidRPr="009B1E7B">
        <w:t>;</w:t>
      </w:r>
      <w:r w:rsidR="00E21B34" w:rsidRPr="009B1E7B">
        <w:t xml:space="preserve"> </w:t>
      </w:r>
      <w:r w:rsidR="00E21B34" w:rsidRPr="009B1E7B">
        <w:rPr>
          <w:i/>
        </w:rPr>
        <w:t>konservatyvumas</w:t>
      </w:r>
      <w:r w:rsidR="00A47601" w:rsidRPr="009B1E7B">
        <w:t>;</w:t>
      </w:r>
      <w:r w:rsidR="00E21B34" w:rsidRPr="009B1E7B">
        <w:t xml:space="preserve"> </w:t>
      </w:r>
      <w:r w:rsidR="00E21B34" w:rsidRPr="009B1E7B">
        <w:rPr>
          <w:i/>
        </w:rPr>
        <w:t>šablonai</w:t>
      </w:r>
      <w:r w:rsidR="00A47601" w:rsidRPr="009B1E7B">
        <w:t>;</w:t>
      </w:r>
      <w:r w:rsidR="00E21B34" w:rsidRPr="009B1E7B">
        <w:t xml:space="preserve"> </w:t>
      </w:r>
      <w:r w:rsidR="00E21B34" w:rsidRPr="009B1E7B">
        <w:rPr>
          <w:i/>
        </w:rPr>
        <w:t>mentalinė apskaita</w:t>
      </w:r>
      <w:r w:rsidR="00A47601" w:rsidRPr="009B1E7B">
        <w:t>;</w:t>
      </w:r>
      <w:r w:rsidR="00E21B34" w:rsidRPr="009B1E7B">
        <w:t xml:space="preserve"> </w:t>
      </w:r>
      <w:r w:rsidR="00E21B34" w:rsidRPr="009B1E7B">
        <w:rPr>
          <w:i/>
        </w:rPr>
        <w:t>perdėta savikliova</w:t>
      </w:r>
      <w:r w:rsidR="00A47601" w:rsidRPr="009B1E7B">
        <w:t>. Atkreiptinas dėmesys, jog</w:t>
      </w:r>
      <w:r w:rsidR="003661B0" w:rsidRPr="009B1E7B">
        <w:t xml:space="preserve"> </w:t>
      </w:r>
      <w:r w:rsidR="00883EC8" w:rsidRPr="009B1E7B">
        <w:t xml:space="preserve">kiti autoriai </w:t>
      </w:r>
      <w:r w:rsidR="006A1964" w:rsidRPr="009B1E7B">
        <w:t>(</w:t>
      </w:r>
      <w:proofErr w:type="spellStart"/>
      <w:r w:rsidR="00D85392" w:rsidRPr="009B1E7B">
        <w:t>Biais</w:t>
      </w:r>
      <w:proofErr w:type="spellEnd"/>
      <w:r w:rsidR="00D85392" w:rsidRPr="009B1E7B">
        <w:t xml:space="preserve">, </w:t>
      </w:r>
      <w:proofErr w:type="spellStart"/>
      <w:r w:rsidR="00D85392" w:rsidRPr="009B1E7B">
        <w:t>Weber</w:t>
      </w:r>
      <w:proofErr w:type="spellEnd"/>
      <w:r w:rsidR="00D85392" w:rsidRPr="009B1E7B">
        <w:t xml:space="preserve"> 2009; </w:t>
      </w:r>
      <w:proofErr w:type="spellStart"/>
      <w:r w:rsidR="0049541A" w:rsidRPr="009B1E7B">
        <w:t>Doukas</w:t>
      </w:r>
      <w:proofErr w:type="spellEnd"/>
      <w:r w:rsidR="0049541A" w:rsidRPr="009B1E7B">
        <w:t xml:space="preserve">, </w:t>
      </w:r>
      <w:proofErr w:type="spellStart"/>
      <w:r w:rsidR="0049541A" w:rsidRPr="009B1E7B">
        <w:t>Petmezas</w:t>
      </w:r>
      <w:proofErr w:type="spellEnd"/>
      <w:r w:rsidR="0049541A" w:rsidRPr="009B1E7B">
        <w:t xml:space="preserve"> 2007; </w:t>
      </w:r>
      <w:proofErr w:type="spellStart"/>
      <w:r w:rsidR="00470051" w:rsidRPr="009B1E7B">
        <w:t>Graham</w:t>
      </w:r>
      <w:proofErr w:type="spellEnd"/>
      <w:r w:rsidR="00470051" w:rsidRPr="009B1E7B">
        <w:t xml:space="preserve"> </w:t>
      </w:r>
      <w:r w:rsidR="00470051" w:rsidRPr="009B1E7B">
        <w:rPr>
          <w:i/>
        </w:rPr>
        <w:t>et al</w:t>
      </w:r>
      <w:r w:rsidR="00470051" w:rsidRPr="009B1E7B">
        <w:t xml:space="preserve">. 2009; </w:t>
      </w:r>
      <w:proofErr w:type="spellStart"/>
      <w:r w:rsidR="002B7C60" w:rsidRPr="009B1E7B">
        <w:t>Hon-Snir,</w:t>
      </w:r>
      <w:proofErr w:type="spellEnd"/>
      <w:r w:rsidR="002B7C60" w:rsidRPr="009B1E7B">
        <w:t xml:space="preserve"> </w:t>
      </w:r>
      <w:proofErr w:type="spellStart"/>
      <w:r w:rsidR="002B7C60" w:rsidRPr="009B1E7B">
        <w:t>Kudryavtsev</w:t>
      </w:r>
      <w:proofErr w:type="spellEnd"/>
      <w:r w:rsidR="002B7C60" w:rsidRPr="009B1E7B">
        <w:t xml:space="preserve"> 2012; </w:t>
      </w:r>
      <w:proofErr w:type="spellStart"/>
      <w:r w:rsidR="00F23CD9" w:rsidRPr="009B1E7B">
        <w:t>Pompian</w:t>
      </w:r>
      <w:proofErr w:type="spellEnd"/>
      <w:r w:rsidR="00F23CD9" w:rsidRPr="009B1E7B">
        <w:t xml:space="preserve"> 2006) </w:t>
      </w:r>
      <w:r w:rsidR="003661B0" w:rsidRPr="009B1E7B">
        <w:t xml:space="preserve">analizuoja </w:t>
      </w:r>
      <w:r w:rsidR="00CA6B73" w:rsidRPr="009B1E7B">
        <w:t>vis</w:t>
      </w:r>
      <w:r w:rsidR="009D5168" w:rsidRPr="009B1E7B">
        <w:t>išk</w:t>
      </w:r>
      <w:r w:rsidR="00CA6B73" w:rsidRPr="009B1E7B">
        <w:t>ai</w:t>
      </w:r>
      <w:r w:rsidR="00883EC8" w:rsidRPr="009B1E7B">
        <w:t xml:space="preserve"> kitus </w:t>
      </w:r>
      <w:r w:rsidR="003661B0" w:rsidRPr="009B1E7B">
        <w:t>nuokrypius nuo racionalios elgsenos</w:t>
      </w:r>
      <w:r w:rsidR="000064DC" w:rsidRPr="009B1E7B">
        <w:t xml:space="preserve"> arba pateikia </w:t>
      </w:r>
      <w:r w:rsidR="007F5D01" w:rsidRPr="009B1E7B">
        <w:t xml:space="preserve">kardinaliai </w:t>
      </w:r>
      <w:r w:rsidR="000064DC" w:rsidRPr="009B1E7B">
        <w:t>kitokią jų klasifikaciją</w:t>
      </w:r>
      <w:r w:rsidR="00D7486F" w:rsidRPr="009B1E7B">
        <w:t>.</w:t>
      </w:r>
      <w:r w:rsidR="00123109" w:rsidRPr="009B1E7B">
        <w:t xml:space="preserve"> </w:t>
      </w:r>
      <w:r w:rsidR="00D7486F" w:rsidRPr="009B1E7B">
        <w:t>T</w:t>
      </w:r>
      <w:r w:rsidR="00123109" w:rsidRPr="009B1E7B">
        <w:t>aip yra dėl to, kad</w:t>
      </w:r>
      <w:r w:rsidR="003661B0" w:rsidRPr="009B1E7B">
        <w:t xml:space="preserve"> šiai dienai</w:t>
      </w:r>
      <w:r w:rsidR="00D7486F" w:rsidRPr="009B1E7B">
        <w:t xml:space="preserve"> nuokrypių nuo racionalios elgsenos</w:t>
      </w:r>
      <w:r w:rsidR="003661B0" w:rsidRPr="009B1E7B">
        <w:t xml:space="preserve"> </w:t>
      </w:r>
      <w:r w:rsidR="00E83FB3" w:rsidRPr="009B1E7B">
        <w:t xml:space="preserve">yra </w:t>
      </w:r>
      <w:r w:rsidR="003661B0" w:rsidRPr="009B1E7B">
        <w:t xml:space="preserve">priskaičiuojama </w:t>
      </w:r>
      <w:r w:rsidR="00594DCF" w:rsidRPr="009B1E7B">
        <w:t>iki</w:t>
      </w:r>
      <w:r w:rsidR="00377608" w:rsidRPr="009B1E7B">
        <w:t xml:space="preserve"> 50 (</w:t>
      </w:r>
      <w:proofErr w:type="spellStart"/>
      <w:r w:rsidR="00377608" w:rsidRPr="009B1E7B">
        <w:t>Bikas</w:t>
      </w:r>
      <w:proofErr w:type="spellEnd"/>
      <w:r w:rsidR="00377608" w:rsidRPr="009B1E7B">
        <w:t>, Kavaliauskas 2010)</w:t>
      </w:r>
      <w:r w:rsidR="00123109" w:rsidRPr="009B1E7B">
        <w:t>,</w:t>
      </w:r>
      <w:r w:rsidR="00FD0361" w:rsidRPr="009B1E7B">
        <w:t xml:space="preserve"> </w:t>
      </w:r>
      <w:r w:rsidR="007E0817" w:rsidRPr="009B1E7B">
        <w:t>todėl</w:t>
      </w:r>
      <w:r w:rsidR="007E0817">
        <w:t xml:space="preserve">, esant skirtingoms situacijoms, </w:t>
      </w:r>
      <w:r w:rsidR="00C779E2">
        <w:t>gvildenami</w:t>
      </w:r>
      <w:r w:rsidR="0065585D">
        <w:t xml:space="preserve"> vis</w:t>
      </w:r>
      <w:r w:rsidR="00C779E2">
        <w:t xml:space="preserve"> </w:t>
      </w:r>
      <w:r w:rsidR="009D2F42">
        <w:t>kiti aspektai</w:t>
      </w:r>
      <w:r w:rsidR="0089733B">
        <w:t xml:space="preserve"> – plečiamos reiškinio ribos</w:t>
      </w:r>
      <w:r w:rsidR="00E26D38">
        <w:t>.</w:t>
      </w:r>
      <w:r w:rsidR="00D74A07">
        <w:t xml:space="preserve"> </w:t>
      </w:r>
      <w:r w:rsidR="00E66DFA">
        <w:t xml:space="preserve">Taigi atsiranda poreikis panagrinėti </w:t>
      </w:r>
      <w:r w:rsidR="0072403D" w:rsidRPr="00B0318D">
        <w:rPr>
          <w:i/>
        </w:rPr>
        <w:t xml:space="preserve">būdingiausius </w:t>
      </w:r>
      <w:r w:rsidR="00D77B33" w:rsidRPr="00B0318D">
        <w:rPr>
          <w:i/>
        </w:rPr>
        <w:t>nuokrypius</w:t>
      </w:r>
      <w:r w:rsidR="00D77B33">
        <w:t xml:space="preserve"> nuo racionalios elgsenos.</w:t>
      </w:r>
    </w:p>
    <w:p w:rsidR="00620474" w:rsidRPr="009B1E7B" w:rsidRDefault="00D77B33" w:rsidP="00D47B5C">
      <w:proofErr w:type="spellStart"/>
      <w:r w:rsidRPr="00D77B33">
        <w:rPr>
          <w:b/>
          <w:i/>
        </w:rPr>
        <w:t>Euristika</w:t>
      </w:r>
      <w:proofErr w:type="spellEnd"/>
      <w:r w:rsidR="00EC4C7D">
        <w:t>. L</w:t>
      </w:r>
      <w:r w:rsidR="00AA590E" w:rsidRPr="00636314">
        <w:t xml:space="preserve">iteratūroje </w:t>
      </w:r>
      <w:r w:rsidR="00EC4C7D">
        <w:t xml:space="preserve">paprastai </w:t>
      </w:r>
      <w:r w:rsidR="00AA590E" w:rsidRPr="00636314">
        <w:t xml:space="preserve">išskiriamos </w:t>
      </w:r>
      <w:r w:rsidR="005C01B6">
        <w:t xml:space="preserve">trys </w:t>
      </w:r>
      <w:proofErr w:type="spellStart"/>
      <w:r w:rsidR="005C01B6" w:rsidRPr="00636314">
        <w:t>euristikos</w:t>
      </w:r>
      <w:proofErr w:type="spellEnd"/>
      <w:r w:rsidR="005C01B6" w:rsidRPr="00636314">
        <w:t xml:space="preserve"> rūšys</w:t>
      </w:r>
      <w:r w:rsidR="005C01B6">
        <w:t>:</w:t>
      </w:r>
      <w:r w:rsidR="005C01B6" w:rsidRPr="00934792">
        <w:t xml:space="preserve"> </w:t>
      </w:r>
      <w:r w:rsidR="00541A42" w:rsidRPr="00934792">
        <w:t>reprezentatyvumo</w:t>
      </w:r>
      <w:r w:rsidR="0059659E" w:rsidRPr="00636314">
        <w:t>, pasiekiamumo</w:t>
      </w:r>
      <w:r w:rsidR="005C01B6">
        <w:t xml:space="preserve"> ir </w:t>
      </w:r>
      <w:r w:rsidR="0059659E" w:rsidRPr="00636314">
        <w:t>inkaro.</w:t>
      </w:r>
      <w:r w:rsidR="00AA590E">
        <w:t xml:space="preserve"> </w:t>
      </w:r>
      <w:r w:rsidR="00B65F3F" w:rsidRPr="00B65F3F">
        <w:rPr>
          <w:i/>
        </w:rPr>
        <w:t xml:space="preserve">Reprezentatyvumo </w:t>
      </w:r>
      <w:proofErr w:type="spellStart"/>
      <w:r w:rsidR="00B65F3F" w:rsidRPr="00B65F3F">
        <w:rPr>
          <w:i/>
        </w:rPr>
        <w:t>euristika</w:t>
      </w:r>
      <w:proofErr w:type="spellEnd"/>
      <w:r w:rsidR="001D3DAA">
        <w:t xml:space="preserve"> yra susijusi </w:t>
      </w:r>
      <w:r w:rsidR="001D3DAA" w:rsidRPr="009B1E7B">
        <w:t>su tuo</w:t>
      </w:r>
      <w:r w:rsidR="0061747E" w:rsidRPr="009B1E7B">
        <w:t>, jog žmonės neapibrėžtumą sąmonės lygiu</w:t>
      </w:r>
      <w:r w:rsidR="00562BFF" w:rsidRPr="009B1E7B">
        <w:t xml:space="preserve"> dažnai pakeičia </w:t>
      </w:r>
      <w:r w:rsidR="00ED5014" w:rsidRPr="009B1E7B">
        <w:t xml:space="preserve">konkrečiu </w:t>
      </w:r>
      <w:r w:rsidR="00562BFF" w:rsidRPr="009B1E7B">
        <w:t>reprezen</w:t>
      </w:r>
      <w:r w:rsidR="003D08BA" w:rsidRPr="009B1E7B">
        <w:t>tatyviu elem</w:t>
      </w:r>
      <w:r w:rsidR="000D0CB9" w:rsidRPr="009B1E7B">
        <w:t>entu</w:t>
      </w:r>
      <w:r w:rsidR="00277AAB" w:rsidRPr="009B1E7B">
        <w:t>.</w:t>
      </w:r>
      <w:r w:rsidR="001542C3" w:rsidRPr="009B1E7B">
        <w:t xml:space="preserve"> Be to,</w:t>
      </w:r>
      <w:r w:rsidR="00E9479A" w:rsidRPr="009B1E7B">
        <w:t xml:space="preserve"> </w:t>
      </w:r>
      <w:proofErr w:type="spellStart"/>
      <w:r w:rsidR="00E9479A" w:rsidRPr="009B1E7B">
        <w:t>Jurevičienės</w:t>
      </w:r>
      <w:proofErr w:type="spellEnd"/>
      <w:r w:rsidR="00E9479A" w:rsidRPr="009B1E7B">
        <w:t xml:space="preserve">, </w:t>
      </w:r>
      <w:proofErr w:type="spellStart"/>
      <w:r w:rsidR="00E9479A" w:rsidRPr="009B1E7B">
        <w:t>Gausienės</w:t>
      </w:r>
      <w:proofErr w:type="spellEnd"/>
      <w:r w:rsidR="00E9479A" w:rsidRPr="009B1E7B">
        <w:t xml:space="preserve"> </w:t>
      </w:r>
      <w:r w:rsidR="00581D59" w:rsidRPr="009B1E7B">
        <w:t xml:space="preserve">(2010) </w:t>
      </w:r>
      <w:r w:rsidR="00E9479A" w:rsidRPr="009B1E7B">
        <w:t>teigimu,</w:t>
      </w:r>
      <w:r w:rsidR="001542C3" w:rsidRPr="009B1E7B">
        <w:t xml:space="preserve"> žmonės</w:t>
      </w:r>
      <w:r w:rsidR="00027808" w:rsidRPr="009B1E7B">
        <w:t xml:space="preserve"> </w:t>
      </w:r>
      <w:r w:rsidR="001542C3" w:rsidRPr="009B1E7B">
        <w:t xml:space="preserve">linkę </w:t>
      </w:r>
      <w:r w:rsidR="00027808" w:rsidRPr="009B1E7B">
        <w:t>pervertinti dabartį</w:t>
      </w:r>
      <w:r w:rsidR="000D0CB9" w:rsidRPr="009B1E7B">
        <w:t xml:space="preserve"> ir</w:t>
      </w:r>
      <w:r w:rsidR="00027808" w:rsidRPr="009B1E7B">
        <w:t xml:space="preserve"> </w:t>
      </w:r>
      <w:r w:rsidR="001542C3" w:rsidRPr="009B1E7B">
        <w:t>nepakankamai įvertinti ilgalaikes tend</w:t>
      </w:r>
      <w:r w:rsidR="00027808" w:rsidRPr="009B1E7B">
        <w:t>encijas</w:t>
      </w:r>
      <w:r w:rsidR="00060D01" w:rsidRPr="009B1E7B">
        <w:t>.</w:t>
      </w:r>
      <w:r w:rsidR="006F7497" w:rsidRPr="009B1E7B">
        <w:t xml:space="preserve"> </w:t>
      </w:r>
      <w:proofErr w:type="spellStart"/>
      <w:r w:rsidR="006F7497" w:rsidRPr="009B1E7B">
        <w:t>Ritter</w:t>
      </w:r>
      <w:proofErr w:type="spellEnd"/>
      <w:r w:rsidR="006F7497" w:rsidRPr="009B1E7B">
        <w:t xml:space="preserve"> (2003)</w:t>
      </w:r>
      <w:r w:rsidR="00632302" w:rsidRPr="009B1E7B">
        <w:t xml:space="preserve"> pastarąjį veiksnį</w:t>
      </w:r>
      <w:r w:rsidR="00E72808" w:rsidRPr="009B1E7B">
        <w:t xml:space="preserve"> sieja su „</w:t>
      </w:r>
      <w:r w:rsidR="006F7497" w:rsidRPr="009B1E7B">
        <w:t>mažų skaičių taisykle</w:t>
      </w:r>
      <w:r w:rsidR="00E72808" w:rsidRPr="009B1E7B">
        <w:t>“</w:t>
      </w:r>
      <w:r w:rsidR="00F71591" w:rsidRPr="009B1E7B">
        <w:t>,</w:t>
      </w:r>
      <w:r w:rsidR="006B5750" w:rsidRPr="009B1E7B">
        <w:t xml:space="preserve"> </w:t>
      </w:r>
      <w:r w:rsidR="00F14695" w:rsidRPr="009B1E7B">
        <w:t>pateikdamas tokį pavyzdį:</w:t>
      </w:r>
      <w:r w:rsidR="006B5750" w:rsidRPr="009B1E7B">
        <w:t xml:space="preserve"> </w:t>
      </w:r>
      <w:r w:rsidR="00F71591" w:rsidRPr="009B1E7B">
        <w:t>akcijų grąža</w:t>
      </w:r>
      <w:r w:rsidR="006B5750" w:rsidRPr="009B1E7B">
        <w:t>i ilgą laiką es</w:t>
      </w:r>
      <w:r w:rsidR="00F71591" w:rsidRPr="009B1E7B">
        <w:t>a</w:t>
      </w:r>
      <w:r w:rsidR="006B5750" w:rsidRPr="009B1E7B">
        <w:t>nt didelei</w:t>
      </w:r>
      <w:r w:rsidR="00F71591" w:rsidRPr="009B1E7B">
        <w:t xml:space="preserve">, </w:t>
      </w:r>
      <w:r w:rsidR="00602BE3" w:rsidRPr="009B1E7B">
        <w:t xml:space="preserve">dauguma </w:t>
      </w:r>
      <w:r w:rsidR="00F71591" w:rsidRPr="009B1E7B">
        <w:t>žmon</w:t>
      </w:r>
      <w:r w:rsidR="00602BE3" w:rsidRPr="009B1E7B">
        <w:t>ių</w:t>
      </w:r>
      <w:r w:rsidR="00F71591" w:rsidRPr="009B1E7B">
        <w:t xml:space="preserve"> </w:t>
      </w:r>
      <w:r w:rsidR="00CF61A5" w:rsidRPr="009B1E7B">
        <w:t>praded</w:t>
      </w:r>
      <w:r w:rsidR="00F71591" w:rsidRPr="009B1E7B">
        <w:t>a tikėti, jog</w:t>
      </w:r>
      <w:r w:rsidR="00CF61A5" w:rsidRPr="009B1E7B">
        <w:t xml:space="preserve"> </w:t>
      </w:r>
      <w:r w:rsidR="00602BE3" w:rsidRPr="009B1E7B">
        <w:t>tai yra normalu.</w:t>
      </w:r>
      <w:r w:rsidR="00F14695" w:rsidRPr="009B1E7B">
        <w:t xml:space="preserve"> </w:t>
      </w:r>
      <w:r w:rsidR="00A112FD" w:rsidRPr="009B1E7B">
        <w:rPr>
          <w:i/>
        </w:rPr>
        <w:t>P</w:t>
      </w:r>
      <w:r w:rsidR="00636314" w:rsidRPr="009B1E7B">
        <w:rPr>
          <w:i/>
        </w:rPr>
        <w:t xml:space="preserve">asiekiamumo </w:t>
      </w:r>
      <w:proofErr w:type="spellStart"/>
      <w:r w:rsidR="00934792" w:rsidRPr="009B1E7B">
        <w:rPr>
          <w:i/>
        </w:rPr>
        <w:t>euristika</w:t>
      </w:r>
      <w:proofErr w:type="spellEnd"/>
      <w:r w:rsidR="00A112FD" w:rsidRPr="009B1E7B">
        <w:t xml:space="preserve"> siejama su tuo, jog</w:t>
      </w:r>
      <w:r w:rsidR="00FF2F80" w:rsidRPr="009B1E7B">
        <w:t xml:space="preserve"> </w:t>
      </w:r>
      <w:r w:rsidR="00E84A03" w:rsidRPr="009B1E7B">
        <w:t>žmonės</w:t>
      </w:r>
      <w:r w:rsidR="00FF2F80" w:rsidRPr="009B1E7B">
        <w:t xml:space="preserve"> yra</w:t>
      </w:r>
      <w:r w:rsidR="00E84A03" w:rsidRPr="009B1E7B">
        <w:t xml:space="preserve"> linkę </w:t>
      </w:r>
      <w:r w:rsidR="00C938AE" w:rsidRPr="009B1E7B">
        <w:t xml:space="preserve">suteikti didesnį svorį </w:t>
      </w:r>
      <w:r w:rsidR="00B65F3F" w:rsidRPr="009B1E7B">
        <w:t xml:space="preserve">tiems </w:t>
      </w:r>
      <w:r w:rsidR="000B02C7" w:rsidRPr="009B1E7B">
        <w:t xml:space="preserve">įvykiams </w:t>
      </w:r>
      <w:r w:rsidR="00071857" w:rsidRPr="009B1E7B">
        <w:t>i</w:t>
      </w:r>
      <w:r w:rsidR="000B02C7" w:rsidRPr="009B1E7B">
        <w:t xml:space="preserve">r </w:t>
      </w:r>
      <w:r w:rsidR="00853212" w:rsidRPr="009B1E7B">
        <w:t xml:space="preserve">tokiai </w:t>
      </w:r>
      <w:r w:rsidR="00E84A03" w:rsidRPr="009B1E7B">
        <w:t>informacij</w:t>
      </w:r>
      <w:r w:rsidR="000B02C7" w:rsidRPr="009B1E7B">
        <w:t>ai</w:t>
      </w:r>
      <w:r w:rsidR="00071857" w:rsidRPr="009B1E7B">
        <w:t>, kuri</w:t>
      </w:r>
      <w:r w:rsidR="00B47148" w:rsidRPr="009B1E7B">
        <w:t>e</w:t>
      </w:r>
      <w:r w:rsidR="00071857" w:rsidRPr="009B1E7B">
        <w:t xml:space="preserve"> dažniau pasikartoja</w:t>
      </w:r>
      <w:r w:rsidR="00550E8F" w:rsidRPr="009B1E7B">
        <w:t>,</w:t>
      </w:r>
      <w:r w:rsidR="00CA76BB" w:rsidRPr="009B1E7B">
        <w:t xml:space="preserve"> </w:t>
      </w:r>
      <w:r w:rsidR="00461C77" w:rsidRPr="009B1E7B">
        <w:t>bei</w:t>
      </w:r>
      <w:r w:rsidR="00550E8F" w:rsidRPr="009B1E7B">
        <w:t xml:space="preserve"> toms </w:t>
      </w:r>
      <w:r w:rsidR="00556FA9" w:rsidRPr="009B1E7B">
        <w:t>situacijoms</w:t>
      </w:r>
      <w:r w:rsidR="00550E8F" w:rsidRPr="009B1E7B">
        <w:t>,</w:t>
      </w:r>
      <w:r w:rsidR="00CA76BB" w:rsidRPr="009B1E7B">
        <w:t xml:space="preserve"> kuri</w:t>
      </w:r>
      <w:r w:rsidR="00550E8F" w:rsidRPr="009B1E7B">
        <w:t xml:space="preserve">os įvyksta </w:t>
      </w:r>
      <w:r w:rsidR="00F72DC3" w:rsidRPr="009B1E7B">
        <w:t xml:space="preserve">jų </w:t>
      </w:r>
      <w:r w:rsidR="00550E8F" w:rsidRPr="009B1E7B">
        <w:t>artimie</w:t>
      </w:r>
      <w:r w:rsidR="00864322" w:rsidRPr="009B1E7B">
        <w:t>sie</w:t>
      </w:r>
      <w:r w:rsidR="00550E8F" w:rsidRPr="009B1E7B">
        <w:t xml:space="preserve">ms </w:t>
      </w:r>
      <w:r w:rsidR="00071857" w:rsidRPr="009B1E7B">
        <w:t xml:space="preserve">(Lee </w:t>
      </w:r>
      <w:r w:rsidR="0021058F" w:rsidRPr="009B1E7B">
        <w:rPr>
          <w:i/>
        </w:rPr>
        <w:t>e</w:t>
      </w:r>
      <w:r w:rsidR="00071857" w:rsidRPr="009B1E7B">
        <w:rPr>
          <w:i/>
        </w:rPr>
        <w:t>t al</w:t>
      </w:r>
      <w:r w:rsidR="00550E8F" w:rsidRPr="009B1E7B">
        <w:t>.</w:t>
      </w:r>
      <w:r w:rsidR="00F72DC3" w:rsidRPr="009B1E7B">
        <w:t xml:space="preserve"> </w:t>
      </w:r>
      <w:r w:rsidR="005F419E" w:rsidRPr="009B1E7B">
        <w:t>2013).</w:t>
      </w:r>
      <w:r w:rsidR="00804248" w:rsidRPr="009B1E7B">
        <w:t xml:space="preserve"> Tai būtų galima prilyginti </w:t>
      </w:r>
      <w:r w:rsidR="00804248" w:rsidRPr="009B1E7B">
        <w:rPr>
          <w:i/>
        </w:rPr>
        <w:t>grupiniam mąstymui</w:t>
      </w:r>
      <w:r w:rsidR="00AE5CC2" w:rsidRPr="009B1E7B">
        <w:t xml:space="preserve">, kurį </w:t>
      </w:r>
      <w:r w:rsidR="00864322" w:rsidRPr="009B1E7B">
        <w:t xml:space="preserve">analizuoja </w:t>
      </w:r>
      <w:r w:rsidR="00F44FED" w:rsidRPr="009B1E7B">
        <w:t xml:space="preserve">Dedu </w:t>
      </w:r>
      <w:r w:rsidR="00F44FED" w:rsidRPr="009B1E7B">
        <w:rPr>
          <w:i/>
        </w:rPr>
        <w:t>et al</w:t>
      </w:r>
      <w:r w:rsidR="00F44FED" w:rsidRPr="009B1E7B">
        <w:t>. (2011)</w:t>
      </w:r>
      <w:r w:rsidR="008E61FB" w:rsidRPr="009B1E7B">
        <w:t>. Šių autorių</w:t>
      </w:r>
      <w:r w:rsidR="009B2C8E" w:rsidRPr="009B1E7B">
        <w:t xml:space="preserve"> </w:t>
      </w:r>
      <w:r w:rsidR="00383CED" w:rsidRPr="009B1E7B">
        <w:t>teigi</w:t>
      </w:r>
      <w:r w:rsidR="00F14695" w:rsidRPr="009B1E7B">
        <w:t>mu, žmonės</w:t>
      </w:r>
      <w:r w:rsidR="00556FA9" w:rsidRPr="009B1E7B">
        <w:t xml:space="preserve"> </w:t>
      </w:r>
      <w:r w:rsidR="009B2C8E" w:rsidRPr="009B1E7B">
        <w:t xml:space="preserve">yra </w:t>
      </w:r>
      <w:r w:rsidR="00383CED" w:rsidRPr="009B1E7B">
        <w:t xml:space="preserve">įpratę </w:t>
      </w:r>
      <w:r w:rsidR="00556FA9" w:rsidRPr="009B1E7B">
        <w:t>mėgdžioti</w:t>
      </w:r>
      <w:r w:rsidR="001E0613" w:rsidRPr="009B1E7B">
        <w:t xml:space="preserve"> kitų </w:t>
      </w:r>
      <w:r w:rsidR="00935480" w:rsidRPr="009B1E7B">
        <w:t>asmen</w:t>
      </w:r>
      <w:r w:rsidR="001E0613" w:rsidRPr="009B1E7B">
        <w:t>ų poelgius</w:t>
      </w:r>
      <w:r w:rsidR="008E61FB" w:rsidRPr="009B1E7B">
        <w:t xml:space="preserve">, </w:t>
      </w:r>
      <w:r w:rsidR="00B47148" w:rsidRPr="009B1E7B">
        <w:t>to</w:t>
      </w:r>
      <w:r w:rsidR="008E61FB" w:rsidRPr="009B1E7B">
        <w:t>dėl</w:t>
      </w:r>
      <w:r w:rsidR="00B47148" w:rsidRPr="009B1E7B">
        <w:t xml:space="preserve"> </w:t>
      </w:r>
      <w:r w:rsidR="00B860B3" w:rsidRPr="009B1E7B">
        <w:t xml:space="preserve">dažnai </w:t>
      </w:r>
      <w:r w:rsidR="008E61FB" w:rsidRPr="009B1E7B">
        <w:t>priima netinkamus sprendimus</w:t>
      </w:r>
      <w:r w:rsidR="001E0613" w:rsidRPr="009B1E7B">
        <w:t>.</w:t>
      </w:r>
      <w:r w:rsidR="00A30CA3" w:rsidRPr="009B1E7B">
        <w:t xml:space="preserve"> Remiantis</w:t>
      </w:r>
      <w:r w:rsidR="00B8406A" w:rsidRPr="009B1E7B">
        <w:t xml:space="preserve"> </w:t>
      </w:r>
      <w:proofErr w:type="spellStart"/>
      <w:r w:rsidR="00A30CA3" w:rsidRPr="009B1E7B">
        <w:t>Jurevičiene</w:t>
      </w:r>
      <w:proofErr w:type="spellEnd"/>
      <w:r w:rsidR="00B8406A" w:rsidRPr="009B1E7B">
        <w:t xml:space="preserve">, </w:t>
      </w:r>
      <w:proofErr w:type="spellStart"/>
      <w:r w:rsidR="00B8406A" w:rsidRPr="009B1E7B">
        <w:t>Gausien</w:t>
      </w:r>
      <w:r w:rsidR="00A30CA3" w:rsidRPr="009B1E7B">
        <w:t>e</w:t>
      </w:r>
      <w:proofErr w:type="spellEnd"/>
      <w:r w:rsidR="00B8406A" w:rsidRPr="009B1E7B">
        <w:t xml:space="preserve"> (2010), </w:t>
      </w:r>
      <w:r w:rsidR="00B8406A" w:rsidRPr="009B1E7B">
        <w:rPr>
          <w:i/>
        </w:rPr>
        <w:t>i</w:t>
      </w:r>
      <w:r w:rsidR="00A66B2B" w:rsidRPr="009B1E7B">
        <w:rPr>
          <w:i/>
        </w:rPr>
        <w:t xml:space="preserve">nkaro </w:t>
      </w:r>
      <w:proofErr w:type="spellStart"/>
      <w:r w:rsidR="00A66B2B" w:rsidRPr="009B1E7B">
        <w:rPr>
          <w:i/>
        </w:rPr>
        <w:t>euristika</w:t>
      </w:r>
      <w:proofErr w:type="spellEnd"/>
      <w:r w:rsidR="00A66B2B" w:rsidRPr="009B1E7B">
        <w:t xml:space="preserve"> yra susijusi su sprendimo priėmimo procesu, ku</w:t>
      </w:r>
      <w:r w:rsidR="00853212" w:rsidRPr="009B1E7B">
        <w:t>riam didelę įtaką</w:t>
      </w:r>
      <w:r w:rsidR="00075ECC" w:rsidRPr="009B1E7B">
        <w:t xml:space="preserve"> daro </w:t>
      </w:r>
      <w:r w:rsidR="009D4F6B" w:rsidRPr="009B1E7B">
        <w:t>„</w:t>
      </w:r>
      <w:r w:rsidR="00075ECC" w:rsidRPr="009B1E7B">
        <w:t>anksčiau išgirsta informacija</w:t>
      </w:r>
      <w:r w:rsidR="009D4F6B" w:rsidRPr="009B1E7B">
        <w:t xml:space="preserve">, patirtis ir </w:t>
      </w:r>
      <w:r w:rsidR="00CD399A" w:rsidRPr="009B1E7B">
        <w:t>įvykiai</w:t>
      </w:r>
      <w:r w:rsidR="009D4F6B" w:rsidRPr="009B1E7B">
        <w:t>“ (p. 226)</w:t>
      </w:r>
      <w:r w:rsidR="00CD399A" w:rsidRPr="009B1E7B">
        <w:t xml:space="preserve">. </w:t>
      </w:r>
      <w:proofErr w:type="spellStart"/>
      <w:r w:rsidR="00CD399A" w:rsidRPr="009B1E7B">
        <w:t>Pompian</w:t>
      </w:r>
      <w:proofErr w:type="spellEnd"/>
      <w:r w:rsidR="00CD399A" w:rsidRPr="009B1E7B">
        <w:t xml:space="preserve"> (2006) tai prilygina įsivaizduojamai</w:t>
      </w:r>
      <w:r w:rsidR="00EC4C7D" w:rsidRPr="009B1E7B">
        <w:t xml:space="preserve"> </w:t>
      </w:r>
      <w:r w:rsidR="00EC4C7D" w:rsidRPr="009B1E7B">
        <w:rPr>
          <w:i/>
        </w:rPr>
        <w:t>pradinei</w:t>
      </w:r>
      <w:r w:rsidR="00EC4C7D" w:rsidRPr="009B1E7B">
        <w:t xml:space="preserve"> reikšmei, prie kurios derinami sprendimai.</w:t>
      </w:r>
    </w:p>
    <w:p w:rsidR="00935480" w:rsidRPr="009B1E7B" w:rsidRDefault="00940DE9" w:rsidP="00D47B5C">
      <w:r w:rsidRPr="009B1E7B">
        <w:t>Apibendrinant, reikėtų akcentuoti</w:t>
      </w:r>
      <w:r w:rsidR="00FD1E5F" w:rsidRPr="009B1E7B">
        <w:t xml:space="preserve">, jog </w:t>
      </w:r>
      <w:r w:rsidR="009544E1" w:rsidRPr="009B1E7B">
        <w:t>„</w:t>
      </w:r>
      <w:r w:rsidR="00FD1E5F" w:rsidRPr="009B1E7B">
        <w:t>v</w:t>
      </w:r>
      <w:r w:rsidR="00EC4C7D" w:rsidRPr="009B1E7B">
        <w:t xml:space="preserve">ienas </w:t>
      </w:r>
      <w:r w:rsidR="00620474" w:rsidRPr="009B1E7B">
        <w:t xml:space="preserve">iš </w:t>
      </w:r>
      <w:r w:rsidR="00EC4C7D" w:rsidRPr="009B1E7B">
        <w:t xml:space="preserve">pagrindinių </w:t>
      </w:r>
      <w:proofErr w:type="spellStart"/>
      <w:r w:rsidR="00EC4C7D" w:rsidRPr="009B1E7B">
        <w:t>euristikos</w:t>
      </w:r>
      <w:proofErr w:type="spellEnd"/>
      <w:r w:rsidR="00EC4C7D" w:rsidRPr="009B1E7B">
        <w:t xml:space="preserve"> nagrinėjamų aspektų yra tas, kad </w:t>
      </w:r>
      <w:r w:rsidR="005F0396" w:rsidRPr="009B1E7B">
        <w:t xml:space="preserve">žmogus </w:t>
      </w:r>
      <w:r w:rsidR="00EC4C7D" w:rsidRPr="009B1E7B">
        <w:t xml:space="preserve">visus įvykius ir tikimybes </w:t>
      </w:r>
      <w:r w:rsidR="009544E1" w:rsidRPr="009B1E7B">
        <w:t>vertina</w:t>
      </w:r>
      <w:r w:rsidR="003E79E8" w:rsidRPr="009B1E7B">
        <w:t xml:space="preserve"> </w:t>
      </w:r>
      <w:r w:rsidR="00EC4C7D" w:rsidRPr="009B1E7B">
        <w:t>subjektyviai</w:t>
      </w:r>
      <w:r w:rsidR="00F8544A" w:rsidRPr="009B1E7B">
        <w:t>“</w:t>
      </w:r>
      <w:r w:rsidR="00EC4C7D" w:rsidRPr="009B1E7B">
        <w:t xml:space="preserve"> (</w:t>
      </w:r>
      <w:proofErr w:type="spellStart"/>
      <w:r w:rsidR="00EC4C7D" w:rsidRPr="009B1E7B">
        <w:t>Jurevičienė</w:t>
      </w:r>
      <w:proofErr w:type="spellEnd"/>
      <w:r w:rsidR="00620474" w:rsidRPr="009B1E7B">
        <w:t>,</w:t>
      </w:r>
      <w:r w:rsidR="00EC4C7D" w:rsidRPr="009B1E7B">
        <w:t xml:space="preserve"> </w:t>
      </w:r>
      <w:proofErr w:type="spellStart"/>
      <w:r w:rsidR="00620474" w:rsidRPr="009B1E7B">
        <w:t>Gausienė</w:t>
      </w:r>
      <w:proofErr w:type="spellEnd"/>
      <w:r w:rsidR="00620474" w:rsidRPr="009B1E7B">
        <w:t xml:space="preserve"> </w:t>
      </w:r>
      <w:r w:rsidR="00EC4C7D" w:rsidRPr="009B1E7B">
        <w:t>2010</w:t>
      </w:r>
      <w:r w:rsidR="00F8544A" w:rsidRPr="009B1E7B">
        <w:t>, p. 226</w:t>
      </w:r>
      <w:r w:rsidR="00620474" w:rsidRPr="009B1E7B">
        <w:t xml:space="preserve">), </w:t>
      </w:r>
      <w:r w:rsidR="00DE3FF5" w:rsidRPr="009B1E7B">
        <w:t>todėl</w:t>
      </w:r>
      <w:r w:rsidR="00EC4C7D" w:rsidRPr="009B1E7B">
        <w:t xml:space="preserve"> </w:t>
      </w:r>
      <w:r w:rsidR="005F0396" w:rsidRPr="009B1E7B">
        <w:t>labai dažnai</w:t>
      </w:r>
      <w:r w:rsidR="00EC4C7D" w:rsidRPr="009B1E7B">
        <w:t xml:space="preserve"> pernelyg jautriai </w:t>
      </w:r>
      <w:r w:rsidR="009C51DF" w:rsidRPr="009B1E7B">
        <w:t>(</w:t>
      </w:r>
      <w:r w:rsidR="003B047F" w:rsidRPr="009B1E7B">
        <w:t xml:space="preserve">todėl ir </w:t>
      </w:r>
      <w:r w:rsidR="009C51DF" w:rsidRPr="009B1E7B">
        <w:t>netinkamai</w:t>
      </w:r>
      <w:r w:rsidR="00DE3FF5" w:rsidRPr="009B1E7B">
        <w:rPr>
          <w:lang w:val="en-US"/>
        </w:rPr>
        <w:t>!</w:t>
      </w:r>
      <w:r w:rsidR="009C51DF" w:rsidRPr="009B1E7B">
        <w:t xml:space="preserve">) </w:t>
      </w:r>
      <w:r w:rsidR="00EC4C7D" w:rsidRPr="009B1E7B">
        <w:t xml:space="preserve">reaguoja į </w:t>
      </w:r>
      <w:r w:rsidR="003B047F" w:rsidRPr="009B1E7B">
        <w:t xml:space="preserve">bet kokius </w:t>
      </w:r>
      <w:r w:rsidR="00EC4C7D" w:rsidRPr="009B1E7B">
        <w:t>pa</w:t>
      </w:r>
      <w:r w:rsidR="00FD1E5F" w:rsidRPr="009B1E7B">
        <w:t>si</w:t>
      </w:r>
      <w:r w:rsidR="00EC4C7D" w:rsidRPr="009B1E7B">
        <w:t>k</w:t>
      </w:r>
      <w:r w:rsidR="00FD1E5F" w:rsidRPr="009B1E7B">
        <w:t>e</w:t>
      </w:r>
      <w:r w:rsidR="00EC4C7D" w:rsidRPr="009B1E7B">
        <w:t>itimus (</w:t>
      </w:r>
      <w:proofErr w:type="spellStart"/>
      <w:r w:rsidR="00EC4C7D" w:rsidRPr="009B1E7B">
        <w:t>Butt</w:t>
      </w:r>
      <w:proofErr w:type="spellEnd"/>
      <w:r w:rsidR="00EC4C7D" w:rsidRPr="009B1E7B">
        <w:t xml:space="preserve"> </w:t>
      </w:r>
      <w:r w:rsidR="00EC4C7D" w:rsidRPr="009B1E7B">
        <w:rPr>
          <w:i/>
        </w:rPr>
        <w:t>et al</w:t>
      </w:r>
      <w:r w:rsidR="00EC4C7D" w:rsidRPr="009B1E7B">
        <w:t>. 2011).</w:t>
      </w:r>
    </w:p>
    <w:p w:rsidR="002C2743" w:rsidRPr="007A0723" w:rsidRDefault="002C2743" w:rsidP="00D47B5C">
      <w:r w:rsidRPr="002C2743">
        <w:rPr>
          <w:b/>
          <w:i/>
        </w:rPr>
        <w:t>Išankstinis nusiteikimas</w:t>
      </w:r>
      <w:r>
        <w:t xml:space="preserve">. </w:t>
      </w:r>
      <w:r w:rsidR="00152EDC">
        <w:t xml:space="preserve">Išankstinis nusiteikimas yra susijęs su </w:t>
      </w:r>
      <w:r w:rsidR="00B96100">
        <w:t xml:space="preserve">žmogaus polinkiu </w:t>
      </w:r>
      <w:r w:rsidR="00152EDC">
        <w:t>neįvert</w:t>
      </w:r>
      <w:r w:rsidR="00B96100">
        <w:t>inti galimų nuostolių, tačiau</w:t>
      </w:r>
      <w:r w:rsidR="008A6648">
        <w:t xml:space="preserve"> įsitikinti pelnu, kitaip tariant</w:t>
      </w:r>
      <w:r w:rsidR="00517028">
        <w:t>, –</w:t>
      </w:r>
      <w:r w:rsidR="008A6648">
        <w:t xml:space="preserve"> </w:t>
      </w:r>
      <w:r w:rsidR="008A6648" w:rsidRPr="009B1E7B">
        <w:t xml:space="preserve">žmonės </w:t>
      </w:r>
      <w:r w:rsidR="00252334" w:rsidRPr="009B1E7B">
        <w:t xml:space="preserve">labiau nori </w:t>
      </w:r>
      <w:r w:rsidR="00B35B25" w:rsidRPr="009B1E7B">
        <w:t>teigiam</w:t>
      </w:r>
      <w:r w:rsidR="00F43679" w:rsidRPr="009B1E7B">
        <w:t>o</w:t>
      </w:r>
      <w:r w:rsidR="00B35B25" w:rsidRPr="009B1E7B">
        <w:t xml:space="preserve"> nei neigiam</w:t>
      </w:r>
      <w:r w:rsidR="00F43679" w:rsidRPr="009B1E7B">
        <w:t>o</w:t>
      </w:r>
      <w:r w:rsidR="00B35B25" w:rsidRPr="009B1E7B">
        <w:t xml:space="preserve"> rezultat</w:t>
      </w:r>
      <w:r w:rsidR="00F43679" w:rsidRPr="009B1E7B">
        <w:t>o</w:t>
      </w:r>
      <w:r w:rsidR="00252334" w:rsidRPr="009B1E7B">
        <w:t xml:space="preserve">, </w:t>
      </w:r>
      <w:r w:rsidR="00B35B25" w:rsidRPr="009B1E7B">
        <w:t xml:space="preserve">todėl </w:t>
      </w:r>
      <w:r w:rsidR="00957202" w:rsidRPr="009B1E7B">
        <w:t xml:space="preserve">vengia pripažinti nuostolius, kurie atsirastų, jeigu </w:t>
      </w:r>
      <w:r w:rsidR="00D6703F" w:rsidRPr="009B1E7B">
        <w:t xml:space="preserve">turtas, kurio vertė yra sumažėjusi, </w:t>
      </w:r>
      <w:r w:rsidR="00957202" w:rsidRPr="009B1E7B">
        <w:t>būtų parduotas (</w:t>
      </w:r>
      <w:proofErr w:type="spellStart"/>
      <w:r w:rsidR="00957202" w:rsidRPr="009B1E7B">
        <w:t>Ritter</w:t>
      </w:r>
      <w:proofErr w:type="spellEnd"/>
      <w:r w:rsidR="00561970" w:rsidRPr="009B1E7B">
        <w:t xml:space="preserve"> 2003).</w:t>
      </w:r>
      <w:r w:rsidR="00F96CBC" w:rsidRPr="009B1E7B">
        <w:t xml:space="preserve"> </w:t>
      </w:r>
      <w:r w:rsidR="00F43679" w:rsidRPr="009B1E7B">
        <w:t xml:space="preserve">Iš tokio pasakymo labai sunku suvokti, kas – teigiamas ar neigiamas rezultatas – daro didesnę </w:t>
      </w:r>
      <w:r w:rsidR="00F51000" w:rsidRPr="009B1E7B">
        <w:t xml:space="preserve">įtaką sprendimui, todėl šioje vietoje galima pasinaudoti </w:t>
      </w:r>
      <w:proofErr w:type="spellStart"/>
      <w:r w:rsidR="00F96CBC" w:rsidRPr="009B1E7B">
        <w:t>Pompian</w:t>
      </w:r>
      <w:proofErr w:type="spellEnd"/>
      <w:r w:rsidR="00F96CBC" w:rsidRPr="009B1E7B">
        <w:t xml:space="preserve"> (2006)</w:t>
      </w:r>
      <w:r w:rsidR="00F717AC" w:rsidRPr="009B1E7B">
        <w:t xml:space="preserve"> atliktu tyrimu, kuriuo</w:t>
      </w:r>
      <w:r w:rsidR="00F51000" w:rsidRPr="009B1E7B">
        <w:t xml:space="preserve"> </w:t>
      </w:r>
      <w:r w:rsidR="00F717AC" w:rsidRPr="009B1E7B">
        <w:t>buvo nustatyta</w:t>
      </w:r>
      <w:r w:rsidR="00F51000" w:rsidRPr="009B1E7B">
        <w:t>,</w:t>
      </w:r>
      <w:r w:rsidR="001B649A" w:rsidRPr="009B1E7B">
        <w:t xml:space="preserve"> jog žmogui [investuotojui] </w:t>
      </w:r>
      <w:r w:rsidR="003E6466" w:rsidRPr="009B1E7B">
        <w:t>„</w:t>
      </w:r>
      <w:r w:rsidR="001B649A" w:rsidRPr="009B1E7B">
        <w:t>dides</w:t>
      </w:r>
      <w:r w:rsidR="00C35F5F" w:rsidRPr="009B1E7B">
        <w:t>nį emocinį poveikį daro to</w:t>
      </w:r>
      <w:r w:rsidR="00DB2844" w:rsidRPr="009B1E7B">
        <w:t>kio paties dydžio nuostolis negu</w:t>
      </w:r>
      <w:r w:rsidR="00706E18" w:rsidRPr="009B1E7B">
        <w:t xml:space="preserve"> tokio</w:t>
      </w:r>
      <w:r w:rsidR="00C35F5F" w:rsidRPr="009B1E7B">
        <w:t xml:space="preserve"> paties dydžio</w:t>
      </w:r>
      <w:r w:rsidR="00CA2C6F" w:rsidRPr="009B1E7B">
        <w:t xml:space="preserve"> </w:t>
      </w:r>
      <w:r w:rsidR="00C35F5F" w:rsidRPr="009B1E7B">
        <w:t>pelnas, nors iš esmės racionaliam asmeniui</w:t>
      </w:r>
      <w:r w:rsidR="003E6466" w:rsidRPr="009B1E7B">
        <w:t>,</w:t>
      </w:r>
      <w:r w:rsidR="00FF0E17" w:rsidRPr="009B1E7B">
        <w:t xml:space="preserve"> </w:t>
      </w:r>
      <w:proofErr w:type="spellStart"/>
      <w:r w:rsidR="00FF0E17" w:rsidRPr="009B1E7B">
        <w:rPr>
          <w:i/>
        </w:rPr>
        <w:t>homo</w:t>
      </w:r>
      <w:proofErr w:type="spellEnd"/>
      <w:r w:rsidR="00FF0E17" w:rsidRPr="009B1E7B">
        <w:rPr>
          <w:i/>
        </w:rPr>
        <w:t xml:space="preserve"> </w:t>
      </w:r>
      <w:proofErr w:type="spellStart"/>
      <w:r w:rsidR="00FF0E17" w:rsidRPr="009B1E7B">
        <w:rPr>
          <w:i/>
        </w:rPr>
        <w:t>economicus</w:t>
      </w:r>
      <w:proofErr w:type="spellEnd"/>
      <w:r w:rsidR="003E6466" w:rsidRPr="009B1E7B">
        <w:t>,</w:t>
      </w:r>
      <w:r w:rsidR="00C35F5F" w:rsidRPr="009B1E7B">
        <w:t xml:space="preserve"> </w:t>
      </w:r>
      <w:r w:rsidR="00CA2C6F" w:rsidRPr="009B1E7B">
        <w:t>vertė tame tašk</w:t>
      </w:r>
      <w:r w:rsidR="003E6466" w:rsidRPr="009B1E7B">
        <w:t xml:space="preserve">e turėtų būti viena ir ta pati, </w:t>
      </w:r>
      <w:r w:rsidR="00CA2C6F" w:rsidRPr="009B1E7B">
        <w:t>tik skirtingo ženklo (</w:t>
      </w:r>
      <w:r w:rsidR="00E00351" w:rsidRPr="009B1E7B">
        <w:t xml:space="preserve">cit. pagal </w:t>
      </w:r>
      <w:proofErr w:type="spellStart"/>
      <w:r w:rsidR="00E00351" w:rsidRPr="009B1E7B">
        <w:t>Biką</w:t>
      </w:r>
      <w:proofErr w:type="spellEnd"/>
      <w:r w:rsidR="00E00351" w:rsidRPr="009B1E7B">
        <w:t>, Kavaliauską</w:t>
      </w:r>
      <w:r w:rsidR="00CA2C6F" w:rsidRPr="009B1E7B">
        <w:t xml:space="preserve"> 2010</w:t>
      </w:r>
      <w:r w:rsidR="003E6466" w:rsidRPr="009B1E7B">
        <w:t>, p. 373</w:t>
      </w:r>
      <w:r w:rsidR="00CA2C6F" w:rsidRPr="009B1E7B">
        <w:t>).</w:t>
      </w:r>
      <w:r w:rsidR="00D13F75" w:rsidRPr="009B1E7B">
        <w:t xml:space="preserve"> </w:t>
      </w:r>
      <w:r w:rsidR="009D2950" w:rsidRPr="009B1E7B">
        <w:t>Apibendrinant</w:t>
      </w:r>
      <w:r w:rsidR="009D2950">
        <w:t xml:space="preserve">, galima konstatuoti, jog, esant blogai situacijai, </w:t>
      </w:r>
      <w:r w:rsidR="00CE79E1">
        <w:t>žmonės yra linkę dar labiau bloginti</w:t>
      </w:r>
      <w:r w:rsidR="00140B0F">
        <w:t xml:space="preserve"> savo padėtį</w:t>
      </w:r>
      <w:r w:rsidR="00CE79E1">
        <w:t xml:space="preserve">, </w:t>
      </w:r>
      <w:r w:rsidR="000976CC">
        <w:t xml:space="preserve">nes </w:t>
      </w:r>
      <w:r w:rsidR="005C45F2">
        <w:t xml:space="preserve">naudos vaikymasis </w:t>
      </w:r>
      <w:r w:rsidR="006B4B7B">
        <w:t xml:space="preserve">„ne laiku ir ne vietoje“ </w:t>
      </w:r>
      <w:r w:rsidR="00EB6E1C">
        <w:t xml:space="preserve">ateityje tampa </w:t>
      </w:r>
      <w:r w:rsidR="006B4B7B">
        <w:t>rimtesnių problemų priežastimi</w:t>
      </w:r>
      <w:r w:rsidR="00EB6E1C">
        <w:t xml:space="preserve"> –</w:t>
      </w:r>
      <w:r w:rsidR="007A0723">
        <w:t xml:space="preserve"> ir tai galioja ne tik investicijų srityje</w:t>
      </w:r>
      <w:r w:rsidR="007A0723" w:rsidRPr="00E3712F">
        <w:t>!</w:t>
      </w:r>
    </w:p>
    <w:p w:rsidR="004D02FB" w:rsidRDefault="009060FA" w:rsidP="00D47B5C">
      <w:r w:rsidRPr="009060FA">
        <w:rPr>
          <w:b/>
          <w:i/>
        </w:rPr>
        <w:lastRenderedPageBreak/>
        <w:t>Konservatyvumas</w:t>
      </w:r>
      <w:r>
        <w:t>.</w:t>
      </w:r>
      <w:r w:rsidR="00567B30">
        <w:t xml:space="preserve"> Konservatyvumą galima būtų apibūdinti kaip reiškinį, kada žmonės</w:t>
      </w:r>
      <w:r w:rsidR="00A40FEB">
        <w:t>, gavę naujos informacijos,</w:t>
      </w:r>
      <w:r w:rsidR="00567B30">
        <w:t xml:space="preserve"> tik iš dalies</w:t>
      </w:r>
      <w:r w:rsidR="00A40FEB">
        <w:t xml:space="preserve"> keičia </w:t>
      </w:r>
      <w:r w:rsidR="00523050">
        <w:t xml:space="preserve">savo </w:t>
      </w:r>
      <w:r w:rsidR="00A40FEB">
        <w:t>įsitikinimus</w:t>
      </w:r>
      <w:r w:rsidR="002648DF">
        <w:t>, kitaip tariant</w:t>
      </w:r>
      <w:r w:rsidR="00841665">
        <w:t>,</w:t>
      </w:r>
      <w:r w:rsidR="002648DF">
        <w:t xml:space="preserve"> –</w:t>
      </w:r>
      <w:r w:rsidR="0041416F">
        <w:t xml:space="preserve"> veikia per lėtai, kad suspėtų </w:t>
      </w:r>
      <w:r w:rsidR="0041416F" w:rsidRPr="00852E00">
        <w:rPr>
          <w:i/>
        </w:rPr>
        <w:t>atnaujinti</w:t>
      </w:r>
      <w:r w:rsidR="0041416F">
        <w:t xml:space="preserve"> savo </w:t>
      </w:r>
      <w:r w:rsidR="0041416F" w:rsidRPr="009B1E7B">
        <w:t>požiūrį (</w:t>
      </w:r>
      <w:r w:rsidR="00841665" w:rsidRPr="009B1E7B">
        <w:t xml:space="preserve">Lee </w:t>
      </w:r>
      <w:r w:rsidR="00841665" w:rsidRPr="009B1E7B">
        <w:rPr>
          <w:i/>
        </w:rPr>
        <w:t>et al</w:t>
      </w:r>
      <w:r w:rsidR="0041416F" w:rsidRPr="009B1E7B">
        <w:t xml:space="preserve">. </w:t>
      </w:r>
      <w:r w:rsidR="00841665" w:rsidRPr="009B1E7B">
        <w:t>2013)</w:t>
      </w:r>
      <w:r w:rsidR="002648DF" w:rsidRPr="009B1E7B">
        <w:t>.</w:t>
      </w:r>
      <w:r w:rsidR="007E4001" w:rsidRPr="009B1E7B">
        <w:t xml:space="preserve"> </w:t>
      </w:r>
      <w:r w:rsidR="004E319A" w:rsidRPr="009B1E7B">
        <w:t xml:space="preserve">Apie tai kalba ir </w:t>
      </w:r>
      <w:proofErr w:type="spellStart"/>
      <w:r w:rsidR="004E319A" w:rsidRPr="009B1E7B">
        <w:t>Pompian</w:t>
      </w:r>
      <w:proofErr w:type="spellEnd"/>
      <w:r w:rsidR="004E319A" w:rsidRPr="009B1E7B">
        <w:t xml:space="preserve"> (2006), kuris nurodo, jog </w:t>
      </w:r>
      <w:r w:rsidR="00B6190E" w:rsidRPr="009B1E7B">
        <w:t>žmonės yra linkę</w:t>
      </w:r>
      <w:r w:rsidR="004E319A" w:rsidRPr="009B1E7B">
        <w:t xml:space="preserve"> tvirtai laikytis </w:t>
      </w:r>
      <w:r w:rsidR="00021ABA" w:rsidRPr="009B1E7B">
        <w:t xml:space="preserve">savo nuomonės, </w:t>
      </w:r>
      <w:r w:rsidR="008B550C" w:rsidRPr="009B1E7B">
        <w:t>nekreipia</w:t>
      </w:r>
      <w:r w:rsidR="00592762" w:rsidRPr="009B1E7B">
        <w:t>nt</w:t>
      </w:r>
      <w:r w:rsidR="008B550C" w:rsidRPr="009B1E7B">
        <w:t xml:space="preserve"> dėmesio į nauj</w:t>
      </w:r>
      <w:r w:rsidR="002F004F" w:rsidRPr="009B1E7B">
        <w:t>us</w:t>
      </w:r>
      <w:r w:rsidR="00D57BBE" w:rsidRPr="009B1E7B">
        <w:t xml:space="preserve"> </w:t>
      </w:r>
      <w:r w:rsidR="00021ABA" w:rsidRPr="009B1E7B">
        <w:t>fakt</w:t>
      </w:r>
      <w:r w:rsidR="00D57BBE" w:rsidRPr="009B1E7B">
        <w:t>us</w:t>
      </w:r>
      <w:r w:rsidR="008D0B09" w:rsidRPr="009B1E7B">
        <w:t>. Reik</w:t>
      </w:r>
      <w:r w:rsidR="004E319A" w:rsidRPr="009B1E7B">
        <w:t>tų</w:t>
      </w:r>
      <w:r w:rsidR="007252CF" w:rsidRPr="009B1E7B">
        <w:t xml:space="preserve"> akcentuoti</w:t>
      </w:r>
      <w:r w:rsidR="004E319A" w:rsidRPr="009B1E7B">
        <w:t xml:space="preserve">, jog konservatyvumas gali </w:t>
      </w:r>
      <w:r w:rsidR="008D0B09" w:rsidRPr="009B1E7B">
        <w:t xml:space="preserve">ne tik pakenkti elgsenai, bet ir </w:t>
      </w:r>
      <w:r w:rsidR="00561244" w:rsidRPr="009B1E7B">
        <w:t xml:space="preserve">tapti </w:t>
      </w:r>
      <w:r w:rsidR="00AC2709" w:rsidRPr="009B1E7B">
        <w:rPr>
          <w:i/>
        </w:rPr>
        <w:t>nesugebėjimo</w:t>
      </w:r>
      <w:r w:rsidR="00E56C83" w:rsidRPr="009B1E7B">
        <w:rPr>
          <w:i/>
        </w:rPr>
        <w:t xml:space="preserve"> vertin</w:t>
      </w:r>
      <w:r w:rsidR="00DB6A2E" w:rsidRPr="009B1E7B">
        <w:rPr>
          <w:i/>
        </w:rPr>
        <w:t>ti</w:t>
      </w:r>
      <w:r w:rsidR="00143404" w:rsidRPr="009B1E7B">
        <w:t xml:space="preserve"> priežastimi. </w:t>
      </w:r>
      <w:r w:rsidR="00607A32" w:rsidRPr="009B1E7B">
        <w:t xml:space="preserve">Tai </w:t>
      </w:r>
      <w:r w:rsidR="007D62DE" w:rsidRPr="009B1E7B">
        <w:t xml:space="preserve">įžvelgia </w:t>
      </w:r>
      <w:proofErr w:type="spellStart"/>
      <w:r w:rsidR="007D62DE" w:rsidRPr="009B1E7B">
        <w:t>Biais</w:t>
      </w:r>
      <w:proofErr w:type="spellEnd"/>
      <w:r w:rsidR="007D62DE" w:rsidRPr="009B1E7B">
        <w:t xml:space="preserve">, </w:t>
      </w:r>
      <w:proofErr w:type="spellStart"/>
      <w:r w:rsidR="007D62DE" w:rsidRPr="009B1E7B">
        <w:t>Weber</w:t>
      </w:r>
      <w:proofErr w:type="spellEnd"/>
      <w:r w:rsidR="007D62DE" w:rsidRPr="009B1E7B">
        <w:t xml:space="preserve"> (2009),</w:t>
      </w:r>
      <w:r w:rsidR="007C4D75" w:rsidRPr="009B1E7B">
        <w:t xml:space="preserve"> kurie tvirtina</w:t>
      </w:r>
      <w:r w:rsidR="000D19FC" w:rsidRPr="009B1E7B">
        <w:t>, jog</w:t>
      </w:r>
      <w:r w:rsidR="00143404" w:rsidRPr="009B1E7B">
        <w:t xml:space="preserve">: </w:t>
      </w:r>
      <w:r w:rsidR="00AB4124" w:rsidRPr="009B1E7B">
        <w:t>suvok</w:t>
      </w:r>
      <w:r w:rsidR="005D20EF" w:rsidRPr="009B1E7B">
        <w:t>u</w:t>
      </w:r>
      <w:r w:rsidR="000D19FC" w:rsidRPr="009B1E7B">
        <w:t>s, kad</w:t>
      </w:r>
      <w:r w:rsidR="001375CE" w:rsidRPr="009B1E7B">
        <w:t xml:space="preserve"> p</w:t>
      </w:r>
      <w:r w:rsidR="00B8385D" w:rsidRPr="009B1E7B">
        <w:t>riešingi veiksmai būtų užtikrinę</w:t>
      </w:r>
      <w:r w:rsidR="00662DF0" w:rsidRPr="009B1E7B">
        <w:t xml:space="preserve"> </w:t>
      </w:r>
      <w:r w:rsidR="001375CE" w:rsidRPr="009B1E7B">
        <w:t>geresnį rezultatą</w:t>
      </w:r>
      <w:r w:rsidR="00143404" w:rsidRPr="009B1E7B">
        <w:t xml:space="preserve">, </w:t>
      </w:r>
      <w:r w:rsidR="00162B10" w:rsidRPr="009B1E7B">
        <w:t xml:space="preserve">kitą kartą sprendimus </w:t>
      </w:r>
      <w:r w:rsidR="00E56C83" w:rsidRPr="009B1E7B">
        <w:t xml:space="preserve">jau </w:t>
      </w:r>
      <w:r w:rsidR="00162B10" w:rsidRPr="009B1E7B">
        <w:t xml:space="preserve">bandoma grįsti </w:t>
      </w:r>
      <w:r w:rsidR="00A1686F" w:rsidRPr="009B1E7B">
        <w:t xml:space="preserve">naujai gauta informacija </w:t>
      </w:r>
      <w:r w:rsidR="00BA7308" w:rsidRPr="009B1E7B">
        <w:t xml:space="preserve">– </w:t>
      </w:r>
      <w:r w:rsidR="00A1686F" w:rsidRPr="009B1E7B">
        <w:t xml:space="preserve">nepaisant to, </w:t>
      </w:r>
      <w:r w:rsidR="00281F45" w:rsidRPr="009B1E7B">
        <w:t>kad</w:t>
      </w:r>
      <w:r w:rsidR="00A1686F" w:rsidRPr="009B1E7B">
        <w:t xml:space="preserve"> ji </w:t>
      </w:r>
      <w:r w:rsidR="0003733B" w:rsidRPr="009B1E7B">
        <w:t xml:space="preserve">nėra </w:t>
      </w:r>
      <w:r w:rsidR="00281F45" w:rsidRPr="009B1E7B">
        <w:t xml:space="preserve">adekvati </w:t>
      </w:r>
      <w:r w:rsidR="00817B90" w:rsidRPr="009B1E7B">
        <w:t xml:space="preserve">pirminiams </w:t>
      </w:r>
      <w:r w:rsidR="00281F45" w:rsidRPr="009B1E7B">
        <w:t>lūkesčiams</w:t>
      </w:r>
      <w:r w:rsidR="007D12E5" w:rsidRPr="009B1E7B">
        <w:t>.</w:t>
      </w:r>
    </w:p>
    <w:p w:rsidR="0075496D" w:rsidRPr="009B1E7B" w:rsidRDefault="004E488B" w:rsidP="00D47B5C">
      <w:r w:rsidRPr="009B1E7B">
        <w:rPr>
          <w:b/>
          <w:i/>
        </w:rPr>
        <w:t>Šablonai</w:t>
      </w:r>
      <w:r w:rsidR="00BD4DB0" w:rsidRPr="009B1E7B">
        <w:t>. Š</w:t>
      </w:r>
      <w:r w:rsidR="007B260C" w:rsidRPr="009B1E7B">
        <w:t>ablon</w:t>
      </w:r>
      <w:r w:rsidR="00BD4DB0" w:rsidRPr="009B1E7B">
        <w:t>ai</w:t>
      </w:r>
      <w:r w:rsidR="009A40EE" w:rsidRPr="009B1E7B">
        <w:t xml:space="preserve"> </w:t>
      </w:r>
      <w:r w:rsidR="00BD4DB0" w:rsidRPr="009B1E7B">
        <w:t xml:space="preserve">gali būti </w:t>
      </w:r>
      <w:r w:rsidR="000D19FC" w:rsidRPr="009B1E7B">
        <w:t xml:space="preserve">suvokiami </w:t>
      </w:r>
      <w:r w:rsidR="00BD4DB0" w:rsidRPr="009B1E7B">
        <w:t>kaip tam tikra istorinių duomenų ir stereotipų</w:t>
      </w:r>
      <w:r w:rsidR="00526E97" w:rsidRPr="009B1E7B">
        <w:t xml:space="preserve"> </w:t>
      </w:r>
      <w:r w:rsidR="00E36C95" w:rsidRPr="009B1E7B">
        <w:t>„</w:t>
      </w:r>
      <w:r w:rsidR="00526E97" w:rsidRPr="009B1E7B">
        <w:t>schema</w:t>
      </w:r>
      <w:r w:rsidR="00E36C95" w:rsidRPr="009B1E7B">
        <w:t>“</w:t>
      </w:r>
      <w:r w:rsidR="00526E97" w:rsidRPr="009B1E7B">
        <w:t>, kuri</w:t>
      </w:r>
      <w:r w:rsidR="00A56843" w:rsidRPr="009B1E7B">
        <w:t xml:space="preserve"> pritaikoma</w:t>
      </w:r>
      <w:r w:rsidR="00D975D0" w:rsidRPr="009B1E7B">
        <w:t>,</w:t>
      </w:r>
      <w:r w:rsidR="00936E4C" w:rsidRPr="009B1E7B">
        <w:t xml:space="preserve"> </w:t>
      </w:r>
      <w:r w:rsidR="00E3702A" w:rsidRPr="009B1E7B">
        <w:t>nori</w:t>
      </w:r>
      <w:r w:rsidR="00A56843" w:rsidRPr="009B1E7B">
        <w:t xml:space="preserve">nt </w:t>
      </w:r>
      <w:r w:rsidR="000D19FC" w:rsidRPr="009B1E7B">
        <w:t xml:space="preserve">suprasti </w:t>
      </w:r>
      <w:r w:rsidR="006206C2" w:rsidRPr="009B1E7B">
        <w:t xml:space="preserve">reiškinius, kad būtų galima į </w:t>
      </w:r>
      <w:r w:rsidR="00A56843" w:rsidRPr="009B1E7B">
        <w:t xml:space="preserve">juos </w:t>
      </w:r>
      <w:r w:rsidR="000456A2" w:rsidRPr="009B1E7B">
        <w:t>su</w:t>
      </w:r>
      <w:r w:rsidR="00936E4C" w:rsidRPr="009B1E7B">
        <w:t>reaguo</w:t>
      </w:r>
      <w:r w:rsidR="00D975D0" w:rsidRPr="009B1E7B">
        <w:t>ti</w:t>
      </w:r>
      <w:r w:rsidR="00A8478F" w:rsidRPr="009B1E7B">
        <w:t xml:space="preserve"> (</w:t>
      </w:r>
      <w:proofErr w:type="spellStart"/>
      <w:r w:rsidR="00A8478F" w:rsidRPr="009B1E7B">
        <w:t>Jurevičienė</w:t>
      </w:r>
      <w:proofErr w:type="spellEnd"/>
      <w:r w:rsidR="00A8478F" w:rsidRPr="009B1E7B">
        <w:t xml:space="preserve">, </w:t>
      </w:r>
      <w:proofErr w:type="spellStart"/>
      <w:r w:rsidR="00A8478F" w:rsidRPr="009B1E7B">
        <w:t>Gausienė</w:t>
      </w:r>
      <w:proofErr w:type="spellEnd"/>
      <w:r w:rsidR="00A8478F" w:rsidRPr="009B1E7B">
        <w:t xml:space="preserve"> 2010)</w:t>
      </w:r>
      <w:r w:rsidR="00936E4C" w:rsidRPr="009B1E7B">
        <w:t>.</w:t>
      </w:r>
      <w:r w:rsidR="000167D2" w:rsidRPr="009B1E7B">
        <w:t xml:space="preserve"> Tai reiškia, kad </w:t>
      </w:r>
      <w:r w:rsidR="00B578A8" w:rsidRPr="009B1E7B">
        <w:t>žmogus</w:t>
      </w:r>
      <w:r w:rsidR="00465003" w:rsidRPr="009B1E7B">
        <w:t xml:space="preserve">, </w:t>
      </w:r>
      <w:r w:rsidR="00965396" w:rsidRPr="009B1E7B">
        <w:t xml:space="preserve">kuriam būdingas </w:t>
      </w:r>
      <w:r w:rsidR="00FB4D52" w:rsidRPr="009B1E7B">
        <w:t>ši</w:t>
      </w:r>
      <w:r w:rsidR="00E3702A" w:rsidRPr="009B1E7B">
        <w:t>s</w:t>
      </w:r>
      <w:r w:rsidR="00965396" w:rsidRPr="009B1E7B">
        <w:t xml:space="preserve"> nuokrypis, </w:t>
      </w:r>
      <w:r w:rsidR="00C5470C" w:rsidRPr="009B1E7B">
        <w:t>sprendimą</w:t>
      </w:r>
      <w:r w:rsidR="00A066B9" w:rsidRPr="009B1E7B">
        <w:t xml:space="preserve"> </w:t>
      </w:r>
      <w:r w:rsidR="00FB4D52" w:rsidRPr="009B1E7B">
        <w:t>grindžia jam žinomu</w:t>
      </w:r>
      <w:r w:rsidR="00890A8E" w:rsidRPr="009B1E7B">
        <w:t xml:space="preserve"> </w:t>
      </w:r>
      <w:r w:rsidR="00A066B9" w:rsidRPr="009B1E7B">
        <w:rPr>
          <w:i/>
        </w:rPr>
        <w:t>pavyzd</w:t>
      </w:r>
      <w:r w:rsidR="00FB4D52" w:rsidRPr="009B1E7B">
        <w:rPr>
          <w:i/>
        </w:rPr>
        <w:t>žiu</w:t>
      </w:r>
      <w:r w:rsidR="009E37A4" w:rsidRPr="009B1E7B">
        <w:t>,</w:t>
      </w:r>
      <w:r w:rsidR="00572840" w:rsidRPr="009B1E7B">
        <w:t xml:space="preserve"> arba, kaip teigia</w:t>
      </w:r>
      <w:r w:rsidR="00EB72DC" w:rsidRPr="009B1E7B">
        <w:t xml:space="preserve"> </w:t>
      </w:r>
      <w:proofErr w:type="spellStart"/>
      <w:r w:rsidR="00EB72DC" w:rsidRPr="009B1E7B">
        <w:t>Pompian</w:t>
      </w:r>
      <w:proofErr w:type="spellEnd"/>
      <w:r w:rsidR="00EB72DC" w:rsidRPr="009B1E7B">
        <w:t xml:space="preserve"> (2006), </w:t>
      </w:r>
      <w:r w:rsidR="00D45065" w:rsidRPr="009B1E7B">
        <w:t xml:space="preserve">sprendimą </w:t>
      </w:r>
      <w:r w:rsidR="00EB72DC" w:rsidRPr="009B1E7B">
        <w:t xml:space="preserve">priima pagal tai, kokia situacija konkrečiu </w:t>
      </w:r>
      <w:r w:rsidR="00EF3212" w:rsidRPr="009B1E7B">
        <w:t>metu yra parodoma.</w:t>
      </w:r>
      <w:r w:rsidR="00572840" w:rsidRPr="009B1E7B">
        <w:t xml:space="preserve"> </w:t>
      </w:r>
      <w:r w:rsidR="00A15B82" w:rsidRPr="009B1E7B">
        <w:t xml:space="preserve">Panašiai kalba ir </w:t>
      </w:r>
      <w:r w:rsidR="00AA59E8" w:rsidRPr="009B1E7B">
        <w:t xml:space="preserve">Lee </w:t>
      </w:r>
      <w:r w:rsidR="00AA59E8" w:rsidRPr="009B1E7B">
        <w:rPr>
          <w:i/>
        </w:rPr>
        <w:t>et al</w:t>
      </w:r>
      <w:r w:rsidR="00AA59E8" w:rsidRPr="009B1E7B">
        <w:t>. (2013),</w:t>
      </w:r>
      <w:r w:rsidR="00C36D9A" w:rsidRPr="009B1E7B">
        <w:t xml:space="preserve"> </w:t>
      </w:r>
      <w:r w:rsidR="00A15B82" w:rsidRPr="009B1E7B">
        <w:t>kuri</w:t>
      </w:r>
      <w:r w:rsidR="00627C58" w:rsidRPr="009B1E7B">
        <w:t>e</w:t>
      </w:r>
      <w:r w:rsidR="00A15B82" w:rsidRPr="009B1E7B">
        <w:t xml:space="preserve"> sprendimų priėmimą sieja su tuo</w:t>
      </w:r>
      <w:r w:rsidR="00C36D9A" w:rsidRPr="009B1E7B">
        <w:t xml:space="preserve">, </w:t>
      </w:r>
      <w:r w:rsidR="00424BF1" w:rsidRPr="009B1E7B">
        <w:t xml:space="preserve">kokia </w:t>
      </w:r>
      <w:r w:rsidR="00424BF1" w:rsidRPr="009B1E7B">
        <w:rPr>
          <w:i/>
        </w:rPr>
        <w:t>forma</w:t>
      </w:r>
      <w:r w:rsidR="00424BF1" w:rsidRPr="009B1E7B">
        <w:t xml:space="preserve"> </w:t>
      </w:r>
      <w:r w:rsidR="00605F56" w:rsidRPr="009B1E7B">
        <w:t xml:space="preserve">yra </w:t>
      </w:r>
      <w:r w:rsidR="00424BF1" w:rsidRPr="009B1E7B">
        <w:t>pateikiama</w:t>
      </w:r>
      <w:r w:rsidR="00A8478F" w:rsidRPr="009B1E7B">
        <w:t xml:space="preserve"> informacija.</w:t>
      </w:r>
    </w:p>
    <w:p w:rsidR="008C7BD0" w:rsidRPr="009B1E7B" w:rsidRDefault="00C93100" w:rsidP="00D47B5C">
      <w:r w:rsidRPr="009B1E7B">
        <w:rPr>
          <w:b/>
          <w:i/>
        </w:rPr>
        <w:t>Mentalinė apskaita</w:t>
      </w:r>
      <w:r w:rsidRPr="009B1E7B">
        <w:t xml:space="preserve">. </w:t>
      </w:r>
      <w:proofErr w:type="spellStart"/>
      <w:r w:rsidR="00B54599" w:rsidRPr="009B1E7B">
        <w:t>Ritter</w:t>
      </w:r>
      <w:proofErr w:type="spellEnd"/>
      <w:r w:rsidR="00B54599" w:rsidRPr="009B1E7B">
        <w:t xml:space="preserve"> (2003) </w:t>
      </w:r>
      <w:r w:rsidR="00CC5E77" w:rsidRPr="009B1E7B">
        <w:t>many</w:t>
      </w:r>
      <w:r w:rsidR="00B54599" w:rsidRPr="009B1E7B">
        <w:t xml:space="preserve">mu, </w:t>
      </w:r>
      <w:r w:rsidR="00853EC3" w:rsidRPr="009B1E7B">
        <w:t xml:space="preserve">žmonės dažnai atsietai vertina </w:t>
      </w:r>
      <w:r w:rsidR="00CC5E77" w:rsidRPr="009B1E7B">
        <w:t>klausi</w:t>
      </w:r>
      <w:r w:rsidR="00853EC3" w:rsidRPr="009B1E7B">
        <w:t>mus, kurie turėtų būti susiję</w:t>
      </w:r>
      <w:r w:rsidR="00CC5E77" w:rsidRPr="009B1E7B">
        <w:t>, ir dėl to priima netinkamus sprendimus</w:t>
      </w:r>
      <w:r w:rsidR="00185A09" w:rsidRPr="009B1E7B">
        <w:t xml:space="preserve">. </w:t>
      </w:r>
      <w:r w:rsidR="00ED7462" w:rsidRPr="009B1E7B">
        <w:t>Tok</w:t>
      </w:r>
      <w:r w:rsidR="00185A09" w:rsidRPr="009B1E7B">
        <w:t xml:space="preserve">į teiginį jis grindžia paprastu pavyzdžiu: </w:t>
      </w:r>
      <w:r w:rsidR="00ED7462" w:rsidRPr="009B1E7B">
        <w:t>dauguma namų ūki</w:t>
      </w:r>
      <w:r w:rsidR="000F551C" w:rsidRPr="009B1E7B">
        <w:t>ų</w:t>
      </w:r>
      <w:r w:rsidR="00ED7462" w:rsidRPr="009B1E7B">
        <w:t xml:space="preserve"> turi </w:t>
      </w:r>
      <w:r w:rsidR="000F551C" w:rsidRPr="009B1E7B">
        <w:t>atskirus biudžetus maistui ir pasilinksminim</w:t>
      </w:r>
      <w:r w:rsidR="00704E61" w:rsidRPr="009B1E7B">
        <w:t>ams</w:t>
      </w:r>
      <w:r w:rsidR="008B26DD" w:rsidRPr="009B1E7B">
        <w:t xml:space="preserve">, </w:t>
      </w:r>
      <w:r w:rsidR="002E7B0F" w:rsidRPr="009B1E7B">
        <w:t>tačiau,</w:t>
      </w:r>
      <w:r w:rsidR="00704E61" w:rsidRPr="009B1E7B">
        <w:t xml:space="preserve"> nepaisant to, kad</w:t>
      </w:r>
      <w:r w:rsidR="002E7B0F" w:rsidRPr="009B1E7B">
        <w:t xml:space="preserve"> abu biudžetai </w:t>
      </w:r>
      <w:r w:rsidR="00704E61" w:rsidRPr="009B1E7B">
        <w:t xml:space="preserve">yra </w:t>
      </w:r>
      <w:r w:rsidR="002E7B0F" w:rsidRPr="009B1E7B">
        <w:t xml:space="preserve">skirti </w:t>
      </w:r>
      <w:r w:rsidR="00D05B2F" w:rsidRPr="009B1E7B">
        <w:t xml:space="preserve">kone </w:t>
      </w:r>
      <w:r w:rsidR="002E7B0F" w:rsidRPr="009B1E7B">
        <w:t>tam pačiam tikslui</w:t>
      </w:r>
      <w:r w:rsidR="008B26DD" w:rsidRPr="009B1E7B">
        <w:t>, vakarieniaudami namuose</w:t>
      </w:r>
      <w:r w:rsidR="00294893" w:rsidRPr="009B1E7B">
        <w:t>,</w:t>
      </w:r>
      <w:r w:rsidR="00704E61" w:rsidRPr="009B1E7B">
        <w:t xml:space="preserve"> jie</w:t>
      </w:r>
      <w:r w:rsidR="00294893" w:rsidRPr="009B1E7B">
        <w:t xml:space="preserve"> linkę</w:t>
      </w:r>
      <w:r w:rsidR="004C6134" w:rsidRPr="009B1E7B">
        <w:t xml:space="preserve"> </w:t>
      </w:r>
      <w:r w:rsidR="00E315C7" w:rsidRPr="009B1E7B">
        <w:t>išleisti mažiau</w:t>
      </w:r>
      <w:r w:rsidR="00704E61" w:rsidRPr="009B1E7B">
        <w:t xml:space="preserve"> pinigų, nei </w:t>
      </w:r>
      <w:r w:rsidR="002E39F7" w:rsidRPr="009B1E7B">
        <w:t>darydami tą patį restoran</w:t>
      </w:r>
      <w:r w:rsidR="00D05B2F" w:rsidRPr="009B1E7B">
        <w:t>e</w:t>
      </w:r>
      <w:r w:rsidR="000F5712" w:rsidRPr="009B1E7B">
        <w:t xml:space="preserve">. </w:t>
      </w:r>
      <w:r w:rsidR="003E15E9" w:rsidRPr="009B1E7B">
        <w:t>Iš tokio</w:t>
      </w:r>
      <w:r w:rsidR="00446C80" w:rsidRPr="009B1E7B">
        <w:t xml:space="preserve"> pavyzdžio</w:t>
      </w:r>
      <w:r w:rsidR="008A1FDB" w:rsidRPr="009B1E7B">
        <w:t xml:space="preserve"> suvokiama</w:t>
      </w:r>
      <w:r w:rsidR="00446C80" w:rsidRPr="009B1E7B">
        <w:t>, jog žmogus</w:t>
      </w:r>
      <w:r w:rsidR="000F5712" w:rsidRPr="009B1E7B">
        <w:t xml:space="preserve">, grupuodamas turtą į </w:t>
      </w:r>
      <w:r w:rsidR="00FA47AE" w:rsidRPr="009B1E7B">
        <w:t>mintyse esančias</w:t>
      </w:r>
      <w:r w:rsidR="008A1FDB" w:rsidRPr="009B1E7B">
        <w:t xml:space="preserve"> </w:t>
      </w:r>
      <w:r w:rsidR="00FA47AE" w:rsidRPr="009B1E7B">
        <w:t>sąskaitas</w:t>
      </w:r>
      <w:r w:rsidR="008A1FDB" w:rsidRPr="009B1E7B">
        <w:t xml:space="preserve">, praranda gebėjimą įvertinti </w:t>
      </w:r>
      <w:r w:rsidR="005D61E2" w:rsidRPr="009B1E7B">
        <w:t xml:space="preserve">suminį </w:t>
      </w:r>
      <w:r w:rsidR="008A1FDB" w:rsidRPr="009B1E7B">
        <w:t>ekonomin</w:t>
      </w:r>
      <w:r w:rsidR="005D61E2" w:rsidRPr="009B1E7B">
        <w:t>į</w:t>
      </w:r>
      <w:r w:rsidR="008A1FDB" w:rsidRPr="009B1E7B">
        <w:t xml:space="preserve"> rezultat</w:t>
      </w:r>
      <w:r w:rsidR="005D61E2" w:rsidRPr="009B1E7B">
        <w:t>ą, ir dė</w:t>
      </w:r>
      <w:r w:rsidR="000B041D" w:rsidRPr="009B1E7B">
        <w:t>l to pasielgia netinkamai, t. y.</w:t>
      </w:r>
      <w:r w:rsidR="005D61E2" w:rsidRPr="009B1E7B">
        <w:t xml:space="preserve"> neracionaliai.</w:t>
      </w:r>
    </w:p>
    <w:p w:rsidR="002A2169" w:rsidRPr="009B1E7B" w:rsidRDefault="00733D06" w:rsidP="00D47B5C">
      <w:r w:rsidRPr="009B1E7B">
        <w:rPr>
          <w:b/>
          <w:i/>
        </w:rPr>
        <w:t>Perdėta savikliova</w:t>
      </w:r>
      <w:r w:rsidRPr="009B1E7B">
        <w:t>.</w:t>
      </w:r>
      <w:r w:rsidR="00DF3CBC" w:rsidRPr="009B1E7B">
        <w:t xml:space="preserve"> Šio veiksnio įtaką įžvelgia </w:t>
      </w:r>
      <w:r w:rsidR="00F1695E" w:rsidRPr="009B1E7B">
        <w:t xml:space="preserve">turbūt </w:t>
      </w:r>
      <w:r w:rsidR="00DF3CBC" w:rsidRPr="009B1E7B">
        <w:t xml:space="preserve">kiekvienas elgseną nagrinėjęs autorius, todėl, galima teigti, jog perdėta </w:t>
      </w:r>
      <w:r w:rsidR="009E566A" w:rsidRPr="009B1E7B">
        <w:t>savikliova</w:t>
      </w:r>
      <w:r w:rsidR="00DF3CBC" w:rsidRPr="009B1E7B">
        <w:t xml:space="preserve">, </w:t>
      </w:r>
      <w:r w:rsidR="009E566A" w:rsidRPr="009B1E7B">
        <w:t xml:space="preserve">kaip </w:t>
      </w:r>
      <w:r w:rsidR="002228A4" w:rsidRPr="009B1E7B">
        <w:t>lemiant</w:t>
      </w:r>
      <w:r w:rsidR="009E566A" w:rsidRPr="009B1E7B">
        <w:t>i</w:t>
      </w:r>
      <w:r w:rsidR="00DF3CBC" w:rsidRPr="009B1E7B">
        <w:t xml:space="preserve"> neracionali</w:t>
      </w:r>
      <w:r w:rsidR="002228A4" w:rsidRPr="009B1E7B">
        <w:t>ą</w:t>
      </w:r>
      <w:r w:rsidR="00DF3CBC" w:rsidRPr="009B1E7B">
        <w:t xml:space="preserve"> elgsen</w:t>
      </w:r>
      <w:r w:rsidR="002228A4" w:rsidRPr="009B1E7B">
        <w:t>ą</w:t>
      </w:r>
      <w:r w:rsidR="00DF3CBC" w:rsidRPr="009B1E7B">
        <w:t xml:space="preserve">, yra </w:t>
      </w:r>
      <w:r w:rsidR="00D3393E" w:rsidRPr="009B1E7B">
        <w:t xml:space="preserve">itin </w:t>
      </w:r>
      <w:r w:rsidR="00DF3CBC" w:rsidRPr="009B1E7B">
        <w:t>būdingas</w:t>
      </w:r>
      <w:r w:rsidR="00D3393E" w:rsidRPr="009B1E7B">
        <w:t xml:space="preserve"> asmens bruožas.</w:t>
      </w:r>
      <w:r w:rsidR="002228A4" w:rsidRPr="009B1E7B">
        <w:t xml:space="preserve"> </w:t>
      </w:r>
      <w:r w:rsidR="00D06E70" w:rsidRPr="009B1E7B">
        <w:t>D</w:t>
      </w:r>
      <w:r w:rsidR="00F1695E" w:rsidRPr="009B1E7B">
        <w:t xml:space="preserve">auguma autorių </w:t>
      </w:r>
      <w:r w:rsidR="005D619C" w:rsidRPr="009B1E7B">
        <w:t>šį nuokrypį apibūdin</w:t>
      </w:r>
      <w:r w:rsidR="00F1695E" w:rsidRPr="009B1E7B">
        <w:t>a</w:t>
      </w:r>
      <w:r w:rsidR="001A2AED" w:rsidRPr="009B1E7B">
        <w:t xml:space="preserve"> kaip tendencij</w:t>
      </w:r>
      <w:r w:rsidR="005D619C" w:rsidRPr="009B1E7B">
        <w:t>ą būti pernelyg</w:t>
      </w:r>
      <w:r w:rsidR="009E5FEC" w:rsidRPr="009B1E7B">
        <w:t xml:space="preserve"> saugiam, darant sprendimus, t.</w:t>
      </w:r>
      <w:r w:rsidR="007955F5" w:rsidRPr="009B1E7B">
        <w:t> </w:t>
      </w:r>
      <w:r w:rsidR="009E5FEC" w:rsidRPr="009B1E7B">
        <w:t xml:space="preserve">y. pernelyg pasitikėti savo </w:t>
      </w:r>
      <w:r w:rsidR="009E5FEC" w:rsidRPr="009B1E7B">
        <w:rPr>
          <w:i/>
        </w:rPr>
        <w:t>prognozavimo gebėjimais</w:t>
      </w:r>
      <w:r w:rsidR="00F1695E" w:rsidRPr="009B1E7B">
        <w:t xml:space="preserve">, </w:t>
      </w:r>
      <w:r w:rsidR="00DF7A63" w:rsidRPr="009B1E7B">
        <w:t xml:space="preserve">deja, </w:t>
      </w:r>
      <w:r w:rsidR="00E66A4B" w:rsidRPr="009B1E7B">
        <w:t xml:space="preserve">[beveik] </w:t>
      </w:r>
      <w:r w:rsidR="00120706" w:rsidRPr="009B1E7B">
        <w:t>nė vienas jų nenurodo</w:t>
      </w:r>
      <w:r w:rsidR="00DF7A63" w:rsidRPr="009B1E7B">
        <w:t xml:space="preserve"> priežasti</w:t>
      </w:r>
      <w:r w:rsidR="002A3312" w:rsidRPr="009B1E7B">
        <w:t>e</w:t>
      </w:r>
      <w:r w:rsidR="0008688A" w:rsidRPr="009B1E7B">
        <w:t>s</w:t>
      </w:r>
      <w:r w:rsidR="001C25B8" w:rsidRPr="009B1E7B">
        <w:t xml:space="preserve">, </w:t>
      </w:r>
      <w:r w:rsidR="00B91A85" w:rsidRPr="009B1E7B">
        <w:t xml:space="preserve">kaip </w:t>
      </w:r>
      <w:r w:rsidR="001C25B8" w:rsidRPr="009B1E7B">
        <w:t>išsiugdo</w:t>
      </w:r>
      <w:r w:rsidR="00B91A85" w:rsidRPr="009B1E7B">
        <w:t>ma</w:t>
      </w:r>
      <w:r w:rsidR="00120706" w:rsidRPr="009B1E7B">
        <w:t xml:space="preserve"> </w:t>
      </w:r>
      <w:r w:rsidR="002A3312" w:rsidRPr="009B1E7B">
        <w:t>ši</w:t>
      </w:r>
      <w:r w:rsidR="00B91A85" w:rsidRPr="009B1E7B">
        <w:t xml:space="preserve"> savybė</w:t>
      </w:r>
      <w:r w:rsidR="00A27B91" w:rsidRPr="009B1E7B">
        <w:t>.</w:t>
      </w:r>
      <w:r w:rsidR="00083280" w:rsidRPr="009B1E7B">
        <w:t xml:space="preserve"> </w:t>
      </w:r>
      <w:r w:rsidR="00D06E70" w:rsidRPr="009B1E7B">
        <w:t>Reikėtų</w:t>
      </w:r>
      <w:r w:rsidR="00C7429D" w:rsidRPr="009B1E7B">
        <w:t xml:space="preserve"> akcentuoti</w:t>
      </w:r>
      <w:r w:rsidR="00D06E70" w:rsidRPr="009B1E7B">
        <w:t>, jog a</w:t>
      </w:r>
      <w:r w:rsidR="00686AAB" w:rsidRPr="009B1E7B">
        <w:t xml:space="preserve">tsakymą </w:t>
      </w:r>
      <w:r w:rsidR="00120706" w:rsidRPr="009B1E7B">
        <w:t xml:space="preserve">iš dalies </w:t>
      </w:r>
      <w:r w:rsidR="000966BB" w:rsidRPr="009B1E7B">
        <w:t>pateikė</w:t>
      </w:r>
      <w:r w:rsidR="00686AAB" w:rsidRPr="009B1E7B">
        <w:t xml:space="preserve"> </w:t>
      </w:r>
      <w:proofErr w:type="spellStart"/>
      <w:r w:rsidR="00535C8C" w:rsidRPr="009B1E7B">
        <w:t>Kartašova</w:t>
      </w:r>
      <w:proofErr w:type="spellEnd"/>
      <w:r w:rsidR="00535C8C" w:rsidRPr="009B1E7B">
        <w:t>,</w:t>
      </w:r>
      <w:r w:rsidR="00686AAB" w:rsidRPr="009B1E7B">
        <w:t xml:space="preserve"> </w:t>
      </w:r>
      <w:proofErr w:type="spellStart"/>
      <w:r w:rsidR="00686AAB" w:rsidRPr="009B1E7B">
        <w:t>Levišauskaitė</w:t>
      </w:r>
      <w:proofErr w:type="spellEnd"/>
      <w:r w:rsidR="00686AAB" w:rsidRPr="009B1E7B">
        <w:t xml:space="preserve"> (2012), kurios</w:t>
      </w:r>
      <w:r w:rsidR="0004113D" w:rsidRPr="009B1E7B">
        <w:t xml:space="preserve"> savo tyrimais pagrindė</w:t>
      </w:r>
      <w:r w:rsidR="00666F2E" w:rsidRPr="009B1E7B">
        <w:t>, jog per</w:t>
      </w:r>
      <w:r w:rsidR="00A53D8B" w:rsidRPr="009B1E7B">
        <w:t>dėta</w:t>
      </w:r>
      <w:r w:rsidR="0004113D" w:rsidRPr="009B1E7B">
        <w:t>s pasitikėjimas</w:t>
      </w:r>
      <w:r w:rsidR="00666F2E" w:rsidRPr="009B1E7B">
        <w:t xml:space="preserve"> savimi gali </w:t>
      </w:r>
      <w:r w:rsidR="0004113D" w:rsidRPr="009B1E7B">
        <w:t xml:space="preserve">atsirasti dėl </w:t>
      </w:r>
      <w:r w:rsidR="00666F2E" w:rsidRPr="009B1E7B">
        <w:t>turim</w:t>
      </w:r>
      <w:r w:rsidR="0004113D" w:rsidRPr="009B1E7B">
        <w:t>os</w:t>
      </w:r>
      <w:r w:rsidR="00666F2E" w:rsidRPr="009B1E7B">
        <w:t xml:space="preserve"> informacij</w:t>
      </w:r>
      <w:r w:rsidR="0004113D" w:rsidRPr="009B1E7B">
        <w:t>os</w:t>
      </w:r>
      <w:r w:rsidR="00494605" w:rsidRPr="009B1E7B">
        <w:t xml:space="preserve"> </w:t>
      </w:r>
      <w:r w:rsidR="005D5343" w:rsidRPr="009B1E7B">
        <w:t>tikslumo</w:t>
      </w:r>
      <w:r w:rsidR="000075E5" w:rsidRPr="009B1E7B">
        <w:t xml:space="preserve">, </w:t>
      </w:r>
      <w:r w:rsidR="002A3312" w:rsidRPr="009B1E7B">
        <w:t>pervertint</w:t>
      </w:r>
      <w:r w:rsidR="005D5343" w:rsidRPr="009B1E7B">
        <w:t>os</w:t>
      </w:r>
      <w:r w:rsidR="002A3312" w:rsidRPr="009B1E7B">
        <w:t xml:space="preserve"> </w:t>
      </w:r>
      <w:r w:rsidR="005D5343" w:rsidRPr="009B1E7B">
        <w:t>kompetencijos</w:t>
      </w:r>
      <w:r w:rsidR="000075E5" w:rsidRPr="009B1E7B">
        <w:t xml:space="preserve"> </w:t>
      </w:r>
      <w:r w:rsidR="005D5343" w:rsidRPr="009B1E7B">
        <w:t>i</w:t>
      </w:r>
      <w:r w:rsidR="002267E2" w:rsidRPr="009B1E7B">
        <w:t>r</w:t>
      </w:r>
      <w:r w:rsidR="005D5343" w:rsidRPr="009B1E7B">
        <w:t xml:space="preserve"> </w:t>
      </w:r>
      <w:r w:rsidR="000075E5" w:rsidRPr="009B1E7B">
        <w:t>patirti</w:t>
      </w:r>
      <w:r w:rsidR="005D5343" w:rsidRPr="009B1E7B">
        <w:t>e</w:t>
      </w:r>
      <w:r w:rsidR="000075E5" w:rsidRPr="009B1E7B">
        <w:t>s</w:t>
      </w:r>
      <w:r w:rsidR="002267E2" w:rsidRPr="009B1E7B">
        <w:t xml:space="preserve"> konkrečioje srityje</w:t>
      </w:r>
      <w:r w:rsidR="001D134F" w:rsidRPr="009B1E7B">
        <w:t>, kuri</w:t>
      </w:r>
      <w:r w:rsidR="006F6804" w:rsidRPr="009B1E7B">
        <w:t xml:space="preserve"> yra susijusi</w:t>
      </w:r>
      <w:r w:rsidR="001D134F" w:rsidRPr="009B1E7B">
        <w:t xml:space="preserve"> su </w:t>
      </w:r>
      <w:r w:rsidR="005D5343" w:rsidRPr="009B1E7B">
        <w:t xml:space="preserve">individo </w:t>
      </w:r>
      <w:r w:rsidR="00D3271A" w:rsidRPr="009B1E7B">
        <w:t>amžiumi.</w:t>
      </w:r>
    </w:p>
    <w:p w:rsidR="00750339" w:rsidRPr="009B1E7B" w:rsidRDefault="004D1DF7" w:rsidP="00D47B5C">
      <w:r w:rsidRPr="009B1E7B">
        <w:t xml:space="preserve">Reikėtų atkreipti dėmesį, jog </w:t>
      </w:r>
      <w:proofErr w:type="spellStart"/>
      <w:r w:rsidR="001F1FD2" w:rsidRPr="009B1E7B">
        <w:t>Doukas</w:t>
      </w:r>
      <w:proofErr w:type="spellEnd"/>
      <w:r w:rsidR="001F1FD2" w:rsidRPr="009B1E7B">
        <w:t xml:space="preserve">, </w:t>
      </w:r>
      <w:proofErr w:type="spellStart"/>
      <w:r w:rsidR="001F1FD2" w:rsidRPr="009B1E7B">
        <w:t>Petmezas</w:t>
      </w:r>
      <w:proofErr w:type="spellEnd"/>
      <w:r w:rsidR="001F1FD2" w:rsidRPr="009B1E7B">
        <w:t xml:space="preserve"> (2007) </w:t>
      </w:r>
      <w:r w:rsidR="00064D84" w:rsidRPr="009B1E7B">
        <w:t>nagrinėj</w:t>
      </w:r>
      <w:r w:rsidR="00A90CF9" w:rsidRPr="009B1E7B">
        <w:t>o</w:t>
      </w:r>
      <w:r w:rsidR="00064D84" w:rsidRPr="009B1E7B">
        <w:t xml:space="preserve"> </w:t>
      </w:r>
      <w:r w:rsidR="001F1FD2" w:rsidRPr="009B1E7B">
        <w:t xml:space="preserve">labai panašų į perdėtą </w:t>
      </w:r>
      <w:r w:rsidR="00054214" w:rsidRPr="009B1E7B">
        <w:t xml:space="preserve">savikliovą </w:t>
      </w:r>
      <w:r w:rsidR="001F1FD2" w:rsidRPr="009B1E7B">
        <w:t>nuokrypį</w:t>
      </w:r>
      <w:r w:rsidR="00054214" w:rsidRPr="009B1E7B">
        <w:t>, kur</w:t>
      </w:r>
      <w:r w:rsidR="00A90CF9" w:rsidRPr="009B1E7B">
        <w:t>į apibūdino</w:t>
      </w:r>
      <w:r w:rsidR="008845BD" w:rsidRPr="009B1E7B">
        <w:t xml:space="preserve"> kaip </w:t>
      </w:r>
      <w:r w:rsidR="008845BD" w:rsidRPr="009B1E7B">
        <w:rPr>
          <w:i/>
        </w:rPr>
        <w:t>polinkį</w:t>
      </w:r>
      <w:r w:rsidR="00064D84" w:rsidRPr="009B1E7B">
        <w:rPr>
          <w:i/>
        </w:rPr>
        <w:t xml:space="preserve"> gerus </w:t>
      </w:r>
      <w:r w:rsidR="00BD10B8" w:rsidRPr="009B1E7B">
        <w:rPr>
          <w:i/>
        </w:rPr>
        <w:t xml:space="preserve">sprendimus </w:t>
      </w:r>
      <w:r w:rsidR="00064D84" w:rsidRPr="009B1E7B">
        <w:rPr>
          <w:i/>
        </w:rPr>
        <w:t xml:space="preserve">priskirti </w:t>
      </w:r>
      <w:r w:rsidR="00BD10B8" w:rsidRPr="009B1E7B">
        <w:rPr>
          <w:i/>
        </w:rPr>
        <w:t xml:space="preserve">savo talentui, o blogus – </w:t>
      </w:r>
      <w:r w:rsidR="00E6335C" w:rsidRPr="009B1E7B">
        <w:rPr>
          <w:i/>
        </w:rPr>
        <w:t>aplinkybėms, kurių nebuvo galima kontroliuoti</w:t>
      </w:r>
      <w:r w:rsidR="00E6335C" w:rsidRPr="009B1E7B">
        <w:t>.</w:t>
      </w:r>
      <w:r w:rsidR="005F3BA4" w:rsidRPr="009B1E7B">
        <w:t xml:space="preserve"> </w:t>
      </w:r>
      <w:r w:rsidR="00BD57F7" w:rsidRPr="009B1E7B">
        <w:t xml:space="preserve">Tai reiškia, jog </w:t>
      </w:r>
      <w:r w:rsidR="004C6317" w:rsidRPr="009B1E7B">
        <w:t>žmonės</w:t>
      </w:r>
      <w:r w:rsidR="00BC4DE9" w:rsidRPr="009B1E7B">
        <w:t xml:space="preserve"> </w:t>
      </w:r>
      <w:r w:rsidR="00362865" w:rsidRPr="009B1E7B">
        <w:t>nėra linkę pripažinti savo klaid</w:t>
      </w:r>
      <w:r w:rsidR="00661782" w:rsidRPr="009B1E7B">
        <w:t>ų</w:t>
      </w:r>
      <w:r w:rsidR="00362865" w:rsidRPr="009B1E7B">
        <w:t xml:space="preserve">, </w:t>
      </w:r>
      <w:r w:rsidR="00B44B47" w:rsidRPr="009B1E7B">
        <w:t>nes</w:t>
      </w:r>
      <w:r w:rsidR="00362865" w:rsidRPr="009B1E7B">
        <w:t xml:space="preserve"> save laiko protingesniais</w:t>
      </w:r>
      <w:r w:rsidR="00567021" w:rsidRPr="009B1E7B">
        <w:t>,</w:t>
      </w:r>
      <w:r w:rsidR="00362865" w:rsidRPr="009B1E7B">
        <w:t xml:space="preserve"> nei </w:t>
      </w:r>
      <w:r w:rsidR="00B44B47" w:rsidRPr="009B1E7B">
        <w:t xml:space="preserve">tokie </w:t>
      </w:r>
      <w:r w:rsidR="00362865" w:rsidRPr="009B1E7B">
        <w:t xml:space="preserve">yra iš tikro. Panašiai kalba ir </w:t>
      </w:r>
      <w:proofErr w:type="spellStart"/>
      <w:r w:rsidR="00362865" w:rsidRPr="009B1E7B">
        <w:t>Graham</w:t>
      </w:r>
      <w:proofErr w:type="spellEnd"/>
      <w:r w:rsidR="00362865" w:rsidRPr="009B1E7B">
        <w:t xml:space="preserve"> </w:t>
      </w:r>
      <w:r w:rsidR="00362865" w:rsidRPr="009B1E7B">
        <w:rPr>
          <w:i/>
        </w:rPr>
        <w:t>et al</w:t>
      </w:r>
      <w:r w:rsidR="00362865" w:rsidRPr="009B1E7B">
        <w:t>. (2009), kurie teigia, jog</w:t>
      </w:r>
      <w:r w:rsidR="00B44B47" w:rsidRPr="009B1E7B">
        <w:t xml:space="preserve"> žmonės,</w:t>
      </w:r>
      <w:r w:rsidR="00362865" w:rsidRPr="009B1E7B">
        <w:t xml:space="preserve"> </w:t>
      </w:r>
      <w:r w:rsidR="001A5811" w:rsidRPr="009B1E7B">
        <w:t xml:space="preserve">save laikantys labiau išprususiais, </w:t>
      </w:r>
      <w:r w:rsidR="00567021" w:rsidRPr="009B1E7B">
        <w:t xml:space="preserve">mėgsta daugiau </w:t>
      </w:r>
      <w:r w:rsidR="001A5811" w:rsidRPr="009B1E7B">
        <w:t xml:space="preserve">rizikuoti, </w:t>
      </w:r>
      <w:r w:rsidR="00D45065" w:rsidRPr="009B1E7B">
        <w:t xml:space="preserve">– </w:t>
      </w:r>
      <w:r w:rsidR="001A5811" w:rsidRPr="009B1E7B">
        <w:t xml:space="preserve">todėl </w:t>
      </w:r>
      <w:r w:rsidR="0042185B" w:rsidRPr="009B1E7B">
        <w:t xml:space="preserve">ir </w:t>
      </w:r>
      <w:r w:rsidR="00BE4A2A" w:rsidRPr="009B1E7B">
        <w:t xml:space="preserve">dažniau </w:t>
      </w:r>
      <w:r w:rsidR="001A5811" w:rsidRPr="009B1E7B">
        <w:t>priima netinkamus sprendimus</w:t>
      </w:r>
      <w:r w:rsidR="000966BB" w:rsidRPr="009B1E7B">
        <w:t>.</w:t>
      </w:r>
      <w:r w:rsidR="00362865" w:rsidRPr="009B1E7B">
        <w:t xml:space="preserve"> </w:t>
      </w:r>
    </w:p>
    <w:p w:rsidR="00C70A38" w:rsidRDefault="00F050A5" w:rsidP="00D47B5C">
      <w:r>
        <w:t>Apibendrinant</w:t>
      </w:r>
      <w:r w:rsidR="00DD6186">
        <w:t xml:space="preserve"> veiksnius</w:t>
      </w:r>
      <w:r>
        <w:t xml:space="preserve">, </w:t>
      </w:r>
      <w:r w:rsidR="00DD6186">
        <w:t xml:space="preserve">susijusius su protiniais žmogaus procesais, </w:t>
      </w:r>
      <w:r>
        <w:t>galima teigti, jog</w:t>
      </w:r>
      <w:r w:rsidR="004405B6">
        <w:t xml:space="preserve"> jų įtaka</w:t>
      </w:r>
      <w:r w:rsidR="00DD3D00">
        <w:t xml:space="preserve"> </w:t>
      </w:r>
      <w:r w:rsidR="005451CB">
        <w:t>didžia dalimi priklauso nuo žmogaus</w:t>
      </w:r>
      <w:r w:rsidR="0042185B">
        <w:t xml:space="preserve"> –</w:t>
      </w:r>
      <w:r w:rsidR="00BA4CA6">
        <w:t xml:space="preserve"> </w:t>
      </w:r>
      <w:r w:rsidR="00BA4CA6" w:rsidRPr="001860F6">
        <w:rPr>
          <w:i/>
        </w:rPr>
        <w:t>kaip asmenybės</w:t>
      </w:r>
      <w:r w:rsidR="00767F85">
        <w:t>,</w:t>
      </w:r>
      <w:r w:rsidR="005451CB">
        <w:t xml:space="preserve"> todėl </w:t>
      </w:r>
      <w:r w:rsidR="009E7054">
        <w:t>atsiranda poreikis panagrinėti</w:t>
      </w:r>
      <w:r w:rsidR="00A360D5">
        <w:t xml:space="preserve"> kitą veiksnių grupę, </w:t>
      </w:r>
      <w:r w:rsidR="00767F85">
        <w:t xml:space="preserve">kuri </w:t>
      </w:r>
      <w:r w:rsidR="0042185B">
        <w:t xml:space="preserve">taip pat </w:t>
      </w:r>
      <w:r w:rsidR="000A15F5">
        <w:t>prisideda pri</w:t>
      </w:r>
      <w:r w:rsidR="0042185B">
        <w:t xml:space="preserve">e neracionalios </w:t>
      </w:r>
      <w:r w:rsidR="000A15F5">
        <w:t xml:space="preserve">elgsenos atsiradimo, </w:t>
      </w:r>
      <w:r w:rsidR="00A360D5">
        <w:t>t. y.</w:t>
      </w:r>
      <w:r w:rsidR="009E7054">
        <w:t xml:space="preserve"> socialini</w:t>
      </w:r>
      <w:r w:rsidR="00A360D5">
        <w:t>us</w:t>
      </w:r>
      <w:r w:rsidR="009E7054">
        <w:t>-demografini</w:t>
      </w:r>
      <w:r w:rsidR="00A360D5">
        <w:t>us</w:t>
      </w:r>
      <w:r w:rsidR="009E7054">
        <w:t xml:space="preserve"> veiksni</w:t>
      </w:r>
      <w:r w:rsidR="00A360D5">
        <w:t>us.</w:t>
      </w:r>
    </w:p>
    <w:p w:rsidR="00B752B8" w:rsidRDefault="00FC0738" w:rsidP="00D47B5C">
      <w:r>
        <w:lastRenderedPageBreak/>
        <w:t xml:space="preserve">Atkreiptinas dėmesys, jog stiprią </w:t>
      </w:r>
      <w:r w:rsidRPr="00C239B3">
        <w:rPr>
          <w:b/>
          <w:i/>
          <w:u w:val="single"/>
        </w:rPr>
        <w:t>socialinių-demografinių</w:t>
      </w:r>
      <w:r w:rsidR="00C239B3" w:rsidRPr="00C239B3">
        <w:rPr>
          <w:b/>
          <w:i/>
          <w:u w:val="single"/>
        </w:rPr>
        <w:t xml:space="preserve"> </w:t>
      </w:r>
      <w:r w:rsidRPr="00C239B3">
        <w:rPr>
          <w:b/>
          <w:i/>
          <w:u w:val="single"/>
        </w:rPr>
        <w:t>veiksnių</w:t>
      </w:r>
      <w:r>
        <w:t xml:space="preserve"> įtaką</w:t>
      </w:r>
      <w:r w:rsidR="00C239B3">
        <w:t xml:space="preserve"> įžvelgia taupymo elgseną nagrinėję autoriai</w:t>
      </w:r>
      <w:r w:rsidR="001966B0">
        <w:t xml:space="preserve">, kurie dažniausiai </w:t>
      </w:r>
      <w:r w:rsidR="00D8759B">
        <w:t xml:space="preserve">nurodo </w:t>
      </w:r>
      <w:r w:rsidR="001966B0">
        <w:t xml:space="preserve">tokius </w:t>
      </w:r>
      <w:r w:rsidR="001966B0" w:rsidRPr="000825F3">
        <w:t>veiksnius</w:t>
      </w:r>
      <w:r w:rsidR="00CC074E" w:rsidRPr="000825F3">
        <w:t xml:space="preserve"> (žr. 3 pav.)</w:t>
      </w:r>
      <w:r w:rsidR="001966B0" w:rsidRPr="000825F3">
        <w:t>:</w:t>
      </w:r>
      <w:r w:rsidR="001966B0" w:rsidRPr="00A2590A">
        <w:t xml:space="preserve"> </w:t>
      </w:r>
      <w:r w:rsidR="00CC074E" w:rsidRPr="00A2590A">
        <w:rPr>
          <w:i/>
        </w:rPr>
        <w:t>materialinį statusą</w:t>
      </w:r>
      <w:r w:rsidR="00CC074E" w:rsidRPr="00A2590A">
        <w:t xml:space="preserve">; </w:t>
      </w:r>
      <w:r w:rsidR="001966B0" w:rsidRPr="00A2590A">
        <w:rPr>
          <w:i/>
        </w:rPr>
        <w:t>išsilavinimą</w:t>
      </w:r>
      <w:r w:rsidR="00D8759B" w:rsidRPr="00A2590A">
        <w:t>;</w:t>
      </w:r>
      <w:r w:rsidR="001966B0" w:rsidRPr="00A2590A">
        <w:t xml:space="preserve"> </w:t>
      </w:r>
      <w:r w:rsidR="00D96232" w:rsidRPr="00A2590A">
        <w:rPr>
          <w:i/>
        </w:rPr>
        <w:t>profesiją</w:t>
      </w:r>
      <w:r w:rsidR="00D96232" w:rsidRPr="00A2590A">
        <w:t xml:space="preserve">; </w:t>
      </w:r>
      <w:r w:rsidR="001966B0" w:rsidRPr="00A2590A">
        <w:rPr>
          <w:i/>
        </w:rPr>
        <w:t>gyvenimo stilių</w:t>
      </w:r>
      <w:r w:rsidR="00D8759B" w:rsidRPr="00A2590A">
        <w:t xml:space="preserve">; </w:t>
      </w:r>
      <w:r w:rsidR="00CC074E" w:rsidRPr="00A2590A">
        <w:rPr>
          <w:i/>
        </w:rPr>
        <w:t>amžių</w:t>
      </w:r>
      <w:r w:rsidR="00CC074E" w:rsidRPr="00A2590A">
        <w:t xml:space="preserve">; </w:t>
      </w:r>
      <w:r w:rsidR="00CC074E" w:rsidRPr="00A2590A">
        <w:rPr>
          <w:i/>
        </w:rPr>
        <w:t>lytį</w:t>
      </w:r>
      <w:r w:rsidR="00CC074E" w:rsidRPr="00A2590A">
        <w:t xml:space="preserve">; </w:t>
      </w:r>
      <w:r w:rsidR="00840A37" w:rsidRPr="00A2590A">
        <w:rPr>
          <w:i/>
        </w:rPr>
        <w:t>kultūrą</w:t>
      </w:r>
      <w:r w:rsidR="00840A37" w:rsidRPr="00A2590A">
        <w:t xml:space="preserve">; </w:t>
      </w:r>
      <w:r w:rsidR="00840A37" w:rsidRPr="00A2590A">
        <w:rPr>
          <w:i/>
        </w:rPr>
        <w:t>religiją</w:t>
      </w:r>
      <w:r w:rsidR="00840A37" w:rsidRPr="00A2590A">
        <w:t xml:space="preserve">; </w:t>
      </w:r>
      <w:r w:rsidR="00BF42AC">
        <w:rPr>
          <w:i/>
        </w:rPr>
        <w:t>priklausy</w:t>
      </w:r>
      <w:r w:rsidR="00840A37">
        <w:rPr>
          <w:i/>
        </w:rPr>
        <w:t xml:space="preserve">mą </w:t>
      </w:r>
      <w:r w:rsidR="00F9006A" w:rsidRPr="00A2590A">
        <w:rPr>
          <w:i/>
        </w:rPr>
        <w:t>socialinei grupei</w:t>
      </w:r>
      <w:r w:rsidR="00F9006A" w:rsidRPr="00A2590A">
        <w:t xml:space="preserve">; </w:t>
      </w:r>
      <w:r w:rsidR="00DB19C6" w:rsidRPr="00A2590A">
        <w:t xml:space="preserve">bei </w:t>
      </w:r>
      <w:r w:rsidR="00DB19C6" w:rsidRPr="00A2590A">
        <w:rPr>
          <w:i/>
        </w:rPr>
        <w:t>šeimos sudėtį</w:t>
      </w:r>
      <w:r w:rsidR="00DB19C6" w:rsidRPr="00A2590A">
        <w:t>.</w:t>
      </w:r>
      <w:r w:rsidR="00A33629">
        <w:t xml:space="preserve"> Išskirtų veiksnių sąrašas nėra baigtinis, be to</w:t>
      </w:r>
      <w:r w:rsidR="00B66DF3">
        <w:t xml:space="preserve">, jie ne visada tampa neracionalios elgsenos priežastimi – kai kurie </w:t>
      </w:r>
      <w:r w:rsidR="001860F6">
        <w:t xml:space="preserve">iš </w:t>
      </w:r>
      <w:r w:rsidR="00B66DF3">
        <w:t>jų</w:t>
      </w:r>
      <w:r w:rsidR="0072643E">
        <w:t xml:space="preserve"> gali lemti </w:t>
      </w:r>
      <w:r w:rsidR="00846661">
        <w:t>ir</w:t>
      </w:r>
      <w:r w:rsidR="00E51FD0">
        <w:t xml:space="preserve"> efektyvių sprendimų priėmimą</w:t>
      </w:r>
      <w:r w:rsidR="001860F6">
        <w:t xml:space="preserve">, </w:t>
      </w:r>
      <w:r w:rsidR="0072643E">
        <w:t>priklausomai nuo</w:t>
      </w:r>
      <w:r w:rsidR="00846661">
        <w:t xml:space="preserve"> to, kokios </w:t>
      </w:r>
      <w:r w:rsidR="001B3F26">
        <w:t xml:space="preserve">susidaro </w:t>
      </w:r>
      <w:r w:rsidR="00846661">
        <w:t>aplinkybės</w:t>
      </w:r>
      <w:r w:rsidR="0072643E">
        <w:t>.</w:t>
      </w:r>
    </w:p>
    <w:p w:rsidR="00BF1EEF" w:rsidRDefault="00D84BC4" w:rsidP="004D7602">
      <w:pPr>
        <w:spacing w:after="0" w:line="240" w:lineRule="auto"/>
        <w:ind w:firstLine="0"/>
        <w:contextualSpacing w:val="0"/>
        <w:jc w:val="center"/>
      </w:pPr>
      <w:r>
        <w:pict>
          <v:group id="_x0000_s1648" editas="canvas" style="width:378.1pt;height:177.25pt;mso-position-horizontal-relative:char;mso-position-vertical-relative:line" coordorigin="3496,1287" coordsize="5309,2490">
            <o:lock v:ext="edit" aspectratio="t"/>
            <v:shape id="_x0000_s1649" type="#_x0000_t75" style="position:absolute;left:3496;top:1287;width:5309;height:2490" o:preferrelative="f">
              <v:fill o:detectmouseclick="t"/>
              <v:path o:extrusionok="t" o:connecttype="none"/>
              <o:lock v:ext="edit" text="t"/>
            </v:shape>
            <v:roundrect id="_x0000_s1650" style="position:absolute;left:6254;top:1287;width:2551;height:2431" arcsize="10923f" fillcolor="#daeef3 [664]" strokecolor="black [3213]" strokeweight="1.25pt">
              <v:shadow on="t"/>
            </v:roundrect>
            <v:roundrect id="_x0000_s1651" style="position:absolute;left:3567;top:1287;width:2568;height:2431" arcsize="10923f" fillcolor="#daeef3 [664]" strokecolor="black [3213]" strokeweight="1.25pt">
              <v:shadow on="t"/>
            </v:roundrect>
            <v:roundrect id="_x0000_s1652" style="position:absolute;left:5435;top:2175;width:1482;height:658" arcsize="10923f" fillcolor="#92cddc [1944]" strokecolor="black [3213]" strokeweight="2pt">
              <v:textbox style="mso-next-textbox:#_x0000_s1652" inset=".72pt,.72pt,.72pt,.72pt">
                <w:txbxContent>
                  <w:p w:rsidR="00B2438E" w:rsidRPr="00122851" w:rsidRDefault="00B2438E" w:rsidP="00BF1EEF">
                    <w:pPr>
                      <w:spacing w:before="40" w:after="0" w:line="240" w:lineRule="auto"/>
                      <w:ind w:firstLine="0"/>
                      <w:jc w:val="center"/>
                      <w:rPr>
                        <w:b/>
                        <w:sz w:val="20"/>
                      </w:rPr>
                    </w:pPr>
                    <w:r w:rsidRPr="00122851">
                      <w:rPr>
                        <w:b/>
                        <w:sz w:val="20"/>
                      </w:rPr>
                      <w:t>Socialiniai-demografiniai veiksniai</w:t>
                    </w:r>
                  </w:p>
                </w:txbxContent>
              </v:textbox>
            </v:roundrect>
            <v:oval id="_x0000_s1654" style="position:absolute;left:7537;top:2909;width:1123;height:696" fillcolor="white [3212]" strokecolor="#92cddc [1944]" strokeweight="1.5pt">
              <v:textbox style="mso-next-textbox:#_x0000_s1654" inset=".72pt,.72pt,.72pt,.72pt">
                <w:txbxContent>
                  <w:p w:rsidR="00B2438E" w:rsidRPr="006E123D" w:rsidRDefault="00B2438E" w:rsidP="00BF1EEF">
                    <w:pPr>
                      <w:spacing w:before="120" w:after="0" w:line="240" w:lineRule="auto"/>
                      <w:ind w:firstLine="0"/>
                      <w:jc w:val="center"/>
                      <w:rPr>
                        <w:b/>
                        <w:sz w:val="18"/>
                        <w:szCs w:val="18"/>
                      </w:rPr>
                    </w:pPr>
                    <w:r>
                      <w:rPr>
                        <w:b/>
                        <w:sz w:val="18"/>
                        <w:szCs w:val="18"/>
                      </w:rPr>
                      <w:t>Šeimos sudėtis</w:t>
                    </w:r>
                  </w:p>
                </w:txbxContent>
              </v:textbox>
            </v:oval>
            <v:shape id="_x0000_s1656" type="#_x0000_t32" style="position:absolute;left:5012;top:2504;width:409;height:2;flip:y" o:connectortype="straight" strokecolor="#92cddc [1944]" strokeweight="1.5pt"/>
            <v:oval id="_x0000_s1657" style="position:absolute;left:7334;top:2175;width:1126;height:663" fillcolor="white [3212]" strokecolor="#92cddc [1944]" strokeweight="1.5pt">
              <v:textbox style="mso-next-textbox:#_x0000_s1657" inset=".72pt,.72pt,.72pt,.72pt">
                <w:txbxContent>
                  <w:p w:rsidR="00B2438E" w:rsidRPr="006E123D" w:rsidRDefault="00B2438E" w:rsidP="00BF1EEF">
                    <w:pPr>
                      <w:spacing w:before="120" w:after="0" w:line="240" w:lineRule="auto"/>
                      <w:ind w:firstLine="0"/>
                      <w:jc w:val="center"/>
                      <w:rPr>
                        <w:b/>
                        <w:sz w:val="18"/>
                        <w:szCs w:val="18"/>
                      </w:rPr>
                    </w:pPr>
                    <w:r>
                      <w:rPr>
                        <w:b/>
                        <w:sz w:val="18"/>
                        <w:szCs w:val="18"/>
                      </w:rPr>
                      <w:t>Amžius ir lytis</w:t>
                    </w:r>
                  </w:p>
                </w:txbxContent>
              </v:textbox>
            </v:oval>
            <v:shape id="_x0000_s1658" type="#_x0000_t32" style="position:absolute;left:6931;top:2504;width:393;height:2;flip:x y" o:connectortype="straight" strokecolor="#92cddc [1944]" strokeweight="1.5pt"/>
            <v:shape id="_x0000_s1661" type="#_x0000_t32" style="position:absolute;left:4658;top:2014;width:763;height:490;flip:x y" o:connectortype="straight" strokecolor="#92cddc [1944]" strokeweight="1.5pt"/>
            <v:shape id="_x0000_s1662" type="#_x0000_t32" style="position:absolute;left:4658;top:2504;width:763;height:502;flip:x" o:connectortype="straight" strokecolor="#92cddc [1944]" strokeweight="1.5pt"/>
            <v:shape id="_x0000_s1663" type="#_x0000_t32" style="position:absolute;left:4833;top:3260;width:71;height:1" o:connectortype="straight" strokecolor="#92cddc [1944]" strokeweight="1.5pt"/>
            <v:oval id="_x0000_s1664" style="position:absolute;left:6320;top:1429;width:1121;height:673" fillcolor="white [3212]" strokecolor="#92cddc [1944]" strokeweight="1.5pt">
              <v:textbox style="mso-next-textbox:#_x0000_s1664" inset=".72pt,.72pt,.72pt,.72pt">
                <w:txbxContent>
                  <w:p w:rsidR="00B2438E" w:rsidRPr="006E123D" w:rsidRDefault="00B2438E" w:rsidP="00BF1EEF">
                    <w:pPr>
                      <w:spacing w:before="180" w:after="0" w:line="240" w:lineRule="auto"/>
                      <w:ind w:firstLine="0"/>
                      <w:jc w:val="center"/>
                      <w:rPr>
                        <w:b/>
                        <w:sz w:val="18"/>
                        <w:szCs w:val="18"/>
                      </w:rPr>
                    </w:pPr>
                    <w:r>
                      <w:rPr>
                        <w:b/>
                        <w:sz w:val="18"/>
                        <w:szCs w:val="18"/>
                      </w:rPr>
                      <w:t>Išsilavinimas</w:t>
                    </w:r>
                  </w:p>
                </w:txbxContent>
              </v:textbox>
            </v:oval>
            <v:oval id="_x0000_s1665" style="position:absolute;left:7537;top:1429;width:1123;height:673" fillcolor="white [3212]" strokecolor="#92cddc [1944]" strokeweight="1.5pt">
              <v:textbox style="mso-next-textbox:#_x0000_s1665" inset=".72pt,.72pt,.72pt,.72pt">
                <w:txbxContent>
                  <w:p w:rsidR="00B2438E" w:rsidRPr="006E123D" w:rsidRDefault="00B2438E" w:rsidP="00BF1EEF">
                    <w:pPr>
                      <w:spacing w:before="180" w:after="0" w:line="240" w:lineRule="auto"/>
                      <w:ind w:firstLine="0"/>
                      <w:jc w:val="center"/>
                      <w:rPr>
                        <w:b/>
                        <w:sz w:val="18"/>
                        <w:szCs w:val="18"/>
                      </w:rPr>
                    </w:pPr>
                    <w:r>
                      <w:rPr>
                        <w:b/>
                        <w:sz w:val="18"/>
                        <w:szCs w:val="18"/>
                      </w:rPr>
                      <w:t>Profesija</w:t>
                    </w:r>
                  </w:p>
                </w:txbxContent>
              </v:textbox>
            </v:oval>
            <v:shape id="_x0000_s1667" type="#_x0000_t32" style="position:absolute;left:6931;top:2014;width:770;height:490;flip:y" o:connectortype="straight" strokecolor="#92cddc [1944]" strokeweight="1.5pt"/>
            <v:shape id="_x0000_s1668" type="#_x0000_t32" style="position:absolute;left:6931;top:2504;width:770;height:496" o:connectortype="straight" strokecolor="#92cddc [1944]" strokeweight="1.5pt"/>
            <v:shape id="_x0000_s1669" type="#_x0000_t32" style="position:absolute;left:7451;top:1765;width:76;height:1;flip:x" o:connectortype="straight" strokecolor="#92cddc [1944]" strokeweight="1.5pt"/>
            <v:oval id="_x0000_s1653" style="position:absolute;left:3699;top:1428;width:1123;height:674" fillcolor="white [3212]" strokecolor="#92cddc [1944]" strokeweight="1.5pt">
              <v:textbox style="mso-next-textbox:#_x0000_s1653" inset=".72pt,.72pt,.72pt,.72pt">
                <w:txbxContent>
                  <w:p w:rsidR="00B2438E" w:rsidRPr="006E123D" w:rsidRDefault="00B2438E" w:rsidP="00BF1EEF">
                    <w:pPr>
                      <w:spacing w:before="120" w:after="0" w:line="240" w:lineRule="auto"/>
                      <w:ind w:firstLine="0"/>
                      <w:jc w:val="center"/>
                      <w:rPr>
                        <w:b/>
                        <w:sz w:val="18"/>
                        <w:szCs w:val="18"/>
                      </w:rPr>
                    </w:pPr>
                    <w:r w:rsidRPr="006E123D">
                      <w:rPr>
                        <w:b/>
                        <w:sz w:val="18"/>
                        <w:szCs w:val="18"/>
                      </w:rPr>
                      <w:t>Materialinis statusas</w:t>
                    </w:r>
                  </w:p>
                </w:txbxContent>
              </v:textbox>
            </v:oval>
            <v:oval id="_x0000_s1655" style="position:absolute;left:3876;top:2175;width:1125;height:662" fillcolor="white [3212]" strokecolor="#92cddc [1944]" strokeweight="1.5pt">
              <v:textbox style="mso-next-textbox:#_x0000_s1655" inset=".72pt,.72pt,.72pt,.72pt">
                <w:txbxContent>
                  <w:p w:rsidR="00B2438E" w:rsidRPr="006E123D" w:rsidRDefault="00B2438E" w:rsidP="00BF1EEF">
                    <w:pPr>
                      <w:spacing w:before="120" w:after="0" w:line="240" w:lineRule="auto"/>
                      <w:ind w:firstLine="0"/>
                      <w:jc w:val="center"/>
                      <w:rPr>
                        <w:b/>
                        <w:sz w:val="18"/>
                        <w:szCs w:val="18"/>
                      </w:rPr>
                    </w:pPr>
                    <w:r>
                      <w:rPr>
                        <w:b/>
                        <w:sz w:val="18"/>
                        <w:szCs w:val="18"/>
                      </w:rPr>
                      <w:t>Gyvenimo stilius</w:t>
                    </w:r>
                  </w:p>
                </w:txbxContent>
              </v:textbox>
            </v:oval>
            <v:oval id="_x0000_s1659" style="position:absolute;left:3699;top:2915;width:1123;height:690" fillcolor="white [3212]" strokecolor="#92cddc [1944]" strokeweight="1.5pt">
              <v:textbox style="mso-next-textbox:#_x0000_s1659" inset=".72pt,.72pt,.72pt,.72pt">
                <w:txbxContent>
                  <w:p w:rsidR="00B2438E" w:rsidRPr="006E123D" w:rsidRDefault="00B2438E" w:rsidP="00F07102">
                    <w:pPr>
                      <w:spacing w:before="20" w:after="0" w:line="240" w:lineRule="auto"/>
                      <w:ind w:firstLine="0"/>
                      <w:jc w:val="center"/>
                      <w:rPr>
                        <w:b/>
                        <w:sz w:val="18"/>
                        <w:szCs w:val="18"/>
                      </w:rPr>
                    </w:pPr>
                    <w:r>
                      <w:rPr>
                        <w:b/>
                        <w:sz w:val="18"/>
                        <w:szCs w:val="18"/>
                      </w:rPr>
                      <w:t>Kultūrinis-religinis pagrindas</w:t>
                    </w:r>
                  </w:p>
                </w:txbxContent>
              </v:textbox>
            </v:oval>
            <v:oval id="_x0000_s1660" style="position:absolute;left:4915;top:2915;width:1124;height:690" fillcolor="white [3212]" strokecolor="#92cddc [1944]" strokeweight="1.5pt">
              <v:textbox style="mso-next-textbox:#_x0000_s1660" inset=".72pt,.72pt,.72pt,.72pt">
                <w:txbxContent>
                  <w:p w:rsidR="00B2438E" w:rsidRPr="006E123D" w:rsidRDefault="00B2438E" w:rsidP="00361014">
                    <w:pPr>
                      <w:spacing w:before="20" w:after="0" w:line="240" w:lineRule="auto"/>
                      <w:ind w:firstLine="0"/>
                      <w:jc w:val="center"/>
                      <w:rPr>
                        <w:b/>
                        <w:sz w:val="18"/>
                        <w:szCs w:val="18"/>
                      </w:rPr>
                    </w:pPr>
                    <w:r>
                      <w:rPr>
                        <w:b/>
                        <w:sz w:val="18"/>
                        <w:szCs w:val="18"/>
                      </w:rPr>
                      <w:t xml:space="preserve">Priklausymas socialinei grupei </w:t>
                    </w:r>
                  </w:p>
                </w:txbxContent>
              </v:textbox>
            </v:oval>
            <w10:wrap type="none"/>
            <w10:anchorlock/>
          </v:group>
        </w:pict>
      </w:r>
    </w:p>
    <w:p w:rsidR="004D7602" w:rsidRPr="004D7602" w:rsidRDefault="004D7602" w:rsidP="004D7602">
      <w:pPr>
        <w:spacing w:after="0" w:line="240" w:lineRule="auto"/>
        <w:rPr>
          <w:sz w:val="20"/>
        </w:rPr>
      </w:pPr>
      <w:r w:rsidRPr="004D7602">
        <w:rPr>
          <w:b/>
          <w:sz w:val="20"/>
        </w:rPr>
        <w:t>Šaltinis</w:t>
      </w:r>
      <w:r w:rsidRPr="004D7602">
        <w:rPr>
          <w:sz w:val="20"/>
        </w:rPr>
        <w:t>: sudaryta šio darbo autorės</w:t>
      </w:r>
      <w:r w:rsidR="004D1FB9">
        <w:rPr>
          <w:sz w:val="20"/>
        </w:rPr>
        <w:t>, remiantis mokslinių šaltinių analize</w:t>
      </w:r>
    </w:p>
    <w:bookmarkStart w:id="7" w:name="_Toc343590400"/>
    <w:p w:rsidR="00BF1EEF" w:rsidRPr="00411DC7" w:rsidRDefault="00D84BC4" w:rsidP="00886347">
      <w:pPr>
        <w:pStyle w:val="Caption"/>
      </w:pPr>
      <w:r w:rsidRPr="00E67399">
        <w:rPr>
          <w:b w:val="0"/>
        </w:rPr>
        <w:fldChar w:fldCharType="begin"/>
      </w:r>
      <w:r w:rsidR="000825F3" w:rsidRPr="00E67399">
        <w:rPr>
          <w:b w:val="0"/>
        </w:rPr>
        <w:instrText xml:space="preserve"> SEQ pav. \* ARABIC </w:instrText>
      </w:r>
      <w:r w:rsidRPr="00E67399">
        <w:rPr>
          <w:b w:val="0"/>
        </w:rPr>
        <w:fldChar w:fldCharType="separate"/>
      </w:r>
      <w:r w:rsidR="000825F3" w:rsidRPr="00E67399">
        <w:rPr>
          <w:b w:val="0"/>
        </w:rPr>
        <w:t>3</w:t>
      </w:r>
      <w:r w:rsidRPr="00E67399">
        <w:rPr>
          <w:b w:val="0"/>
        </w:rPr>
        <w:fldChar w:fldCharType="end"/>
      </w:r>
      <w:r w:rsidR="000825F3" w:rsidRPr="00E67399">
        <w:rPr>
          <w:b w:val="0"/>
        </w:rPr>
        <w:t xml:space="preserve"> </w:t>
      </w:r>
      <w:r w:rsidR="007F589D" w:rsidRPr="00E67399">
        <w:rPr>
          <w:b w:val="0"/>
        </w:rPr>
        <w:t>pav.</w:t>
      </w:r>
      <w:r w:rsidR="007F589D" w:rsidRPr="007F589D">
        <w:rPr>
          <w:color w:val="FF0000"/>
        </w:rPr>
        <w:t xml:space="preserve"> </w:t>
      </w:r>
      <w:r w:rsidR="00BF1EEF" w:rsidRPr="00411DC7">
        <w:t xml:space="preserve">Socialiniai-demografiniai veiksniai, </w:t>
      </w:r>
      <w:r w:rsidR="001177A6">
        <w:t xml:space="preserve">veikiantys </w:t>
      </w:r>
      <w:r w:rsidR="00BF1EEF" w:rsidRPr="00411DC7">
        <w:t>finansinę elgseną</w:t>
      </w:r>
      <w:bookmarkEnd w:id="7"/>
    </w:p>
    <w:p w:rsidR="0093697D" w:rsidRPr="009B1E7B" w:rsidRDefault="00840A37" w:rsidP="00840A37">
      <w:r w:rsidRPr="009B1E7B">
        <w:rPr>
          <w:b/>
          <w:i/>
        </w:rPr>
        <w:t>Materialinis statusas</w:t>
      </w:r>
      <w:r w:rsidRPr="009B1E7B">
        <w:t xml:space="preserve">. Materialinis statusas byloja apie žmogaus finansinę gerovę, t. y. apie turimo turto ir pajamų kiekį, kuris leidžia </w:t>
      </w:r>
      <w:r w:rsidR="003F3C8E" w:rsidRPr="009B1E7B">
        <w:t xml:space="preserve">vienaip ar kitaip elgtis </w:t>
      </w:r>
      <w:r w:rsidRPr="009B1E7B">
        <w:t xml:space="preserve">įvairiose situacijose. Į šį veiksnį galima pažvelgti dvejopai: 1) kokia yra </w:t>
      </w:r>
      <w:r w:rsidRPr="009B1E7B">
        <w:rPr>
          <w:i/>
        </w:rPr>
        <w:t>reali</w:t>
      </w:r>
      <w:r w:rsidRPr="009B1E7B">
        <w:t xml:space="preserve"> žmogaus materialinė padėtis; ir 2) kaip </w:t>
      </w:r>
      <w:r w:rsidR="0093697D" w:rsidRPr="009B1E7B">
        <w:t xml:space="preserve">ją </w:t>
      </w:r>
      <w:r w:rsidRPr="009B1E7B">
        <w:t>su</w:t>
      </w:r>
      <w:r w:rsidRPr="009B1E7B">
        <w:rPr>
          <w:i/>
        </w:rPr>
        <w:t>vokia pats žmogus</w:t>
      </w:r>
      <w:r w:rsidRPr="009B1E7B">
        <w:t>. Panašu, jog neracionalumo požiūriu pavojingesnė yra antroji situacija, nes, netinkamai įvertinus savo finansinę padėtį, gali būti priimti blogi sprendimai.</w:t>
      </w:r>
      <w:r w:rsidR="003712F1" w:rsidRPr="009B1E7B">
        <w:t xml:space="preserve"> Apie t</w:t>
      </w:r>
      <w:r w:rsidR="009F1CE5" w:rsidRPr="009B1E7B">
        <w:t>ai byloja ir atlikti tyrimai:</w:t>
      </w:r>
      <w:r w:rsidRPr="009B1E7B">
        <w:t xml:space="preserve"> žmonės vengia planuoti </w:t>
      </w:r>
      <w:r w:rsidR="007D37CB" w:rsidRPr="009B1E7B">
        <w:t xml:space="preserve">savo </w:t>
      </w:r>
      <w:r w:rsidRPr="009B1E7B">
        <w:t>finansus</w:t>
      </w:r>
      <w:r w:rsidR="00993F66" w:rsidRPr="009B1E7B">
        <w:t xml:space="preserve">, </w:t>
      </w:r>
      <w:r w:rsidR="00E96A66" w:rsidRPr="009B1E7B">
        <w:t>nes</w:t>
      </w:r>
      <w:r w:rsidR="0058640F" w:rsidRPr="009B1E7B">
        <w:t xml:space="preserve"> yra įsitikinę</w:t>
      </w:r>
      <w:r w:rsidRPr="009B1E7B">
        <w:t xml:space="preserve">, jog pinigų turi </w:t>
      </w:r>
      <w:r w:rsidR="0058640F" w:rsidRPr="009B1E7B">
        <w:t xml:space="preserve">arba </w:t>
      </w:r>
      <w:r w:rsidRPr="009B1E7B">
        <w:t>per mažai</w:t>
      </w:r>
      <w:r w:rsidR="0058640F" w:rsidRPr="009B1E7B">
        <w:t>,</w:t>
      </w:r>
      <w:r w:rsidRPr="009B1E7B">
        <w:t xml:space="preserve"> arba</w:t>
      </w:r>
      <w:r w:rsidR="00FB21B9" w:rsidRPr="009B1E7B">
        <w:t xml:space="preserve"> </w:t>
      </w:r>
      <w:r w:rsidRPr="009B1E7B">
        <w:t>per daug (</w:t>
      </w:r>
      <w:proofErr w:type="spellStart"/>
      <w:r w:rsidR="00637CB5" w:rsidRPr="009B1E7B">
        <w:t>Klimavičienė</w:t>
      </w:r>
      <w:proofErr w:type="spellEnd"/>
      <w:r w:rsidR="00637CB5" w:rsidRPr="009B1E7B">
        <w:t xml:space="preserve">, </w:t>
      </w:r>
      <w:proofErr w:type="spellStart"/>
      <w:r w:rsidR="0093697D" w:rsidRPr="009B1E7B">
        <w:t>Jurevičien</w:t>
      </w:r>
      <w:r w:rsidR="00FB0D9F" w:rsidRPr="009B1E7B">
        <w:t>ė</w:t>
      </w:r>
      <w:proofErr w:type="spellEnd"/>
      <w:r w:rsidR="0093697D" w:rsidRPr="009B1E7B">
        <w:t xml:space="preserve"> </w:t>
      </w:r>
      <w:r w:rsidRPr="009B1E7B">
        <w:t>2007).</w:t>
      </w:r>
      <w:r w:rsidR="00E467CD" w:rsidRPr="009B1E7B">
        <w:t xml:space="preserve"> </w:t>
      </w:r>
      <w:r w:rsidR="008934C6" w:rsidRPr="009B1E7B">
        <w:t xml:space="preserve">Taip pat reiktų </w:t>
      </w:r>
      <w:r w:rsidR="0099380A" w:rsidRPr="009B1E7B">
        <w:t>pasakyti, jog egzistuoja su tu</w:t>
      </w:r>
      <w:r w:rsidR="00BD3B9B" w:rsidRPr="009B1E7B">
        <w:t>rtu</w:t>
      </w:r>
      <w:r w:rsidR="0099380A" w:rsidRPr="009B1E7B">
        <w:t xml:space="preserve"> susijęs nuokrypis, kuris </w:t>
      </w:r>
      <w:r w:rsidR="007F18EA" w:rsidRPr="009B1E7B">
        <w:t>reiškia, jog žmogus</w:t>
      </w:r>
      <w:r w:rsidR="003B0695" w:rsidRPr="009B1E7B">
        <w:t xml:space="preserve"> </w:t>
      </w:r>
      <w:r w:rsidR="008934C6" w:rsidRPr="009B1E7B">
        <w:t xml:space="preserve">vertingesniu </w:t>
      </w:r>
      <w:r w:rsidR="001A5A7A" w:rsidRPr="009B1E7B">
        <w:t xml:space="preserve">yra </w:t>
      </w:r>
      <w:r w:rsidR="00BD3B9B" w:rsidRPr="009B1E7B">
        <w:t xml:space="preserve">linkęs </w:t>
      </w:r>
      <w:r w:rsidR="003B0695" w:rsidRPr="009B1E7B">
        <w:t xml:space="preserve">laikyti tą turtą, kuris jam priklauso </w:t>
      </w:r>
      <w:r w:rsidR="00BD3B9B" w:rsidRPr="009B1E7B">
        <w:t xml:space="preserve">(Lee </w:t>
      </w:r>
      <w:r w:rsidR="00BD3B9B" w:rsidRPr="009B1E7B">
        <w:rPr>
          <w:i/>
        </w:rPr>
        <w:t>et al</w:t>
      </w:r>
      <w:r w:rsidR="00BD3B9B" w:rsidRPr="009B1E7B">
        <w:t>. 2013)</w:t>
      </w:r>
      <w:r w:rsidR="001A5A7A" w:rsidRPr="009B1E7B">
        <w:t xml:space="preserve"> –</w:t>
      </w:r>
      <w:r w:rsidR="002804E8" w:rsidRPr="009B1E7B">
        <w:t xml:space="preserve"> </w:t>
      </w:r>
      <w:r w:rsidR="00FB0D9F" w:rsidRPr="009B1E7B">
        <w:t>nors</w:t>
      </w:r>
      <w:r w:rsidR="002804E8" w:rsidRPr="009B1E7B">
        <w:t xml:space="preserve"> </w:t>
      </w:r>
      <w:r w:rsidR="008934C6" w:rsidRPr="009B1E7B">
        <w:t>raciona</w:t>
      </w:r>
      <w:r w:rsidR="000A74F6" w:rsidRPr="009B1E7B">
        <w:t>liam žmogui vertė turėtų būti tokia</w:t>
      </w:r>
      <w:r w:rsidR="008934C6" w:rsidRPr="009B1E7B">
        <w:t xml:space="preserve"> pati</w:t>
      </w:r>
      <w:r w:rsidR="00BD3B9B" w:rsidRPr="009B1E7B">
        <w:t>.</w:t>
      </w:r>
    </w:p>
    <w:p w:rsidR="006D7501" w:rsidRPr="009B1E7B" w:rsidRDefault="00C24552" w:rsidP="00D47B5C">
      <w:r w:rsidRPr="009B1E7B">
        <w:rPr>
          <w:b/>
          <w:i/>
        </w:rPr>
        <w:t>Išsilavinimas, profesija</w:t>
      </w:r>
      <w:r w:rsidRPr="009B1E7B">
        <w:t xml:space="preserve">. </w:t>
      </w:r>
      <w:proofErr w:type="spellStart"/>
      <w:r w:rsidR="008F4C92" w:rsidRPr="009B1E7B">
        <w:t>Mittal</w:t>
      </w:r>
      <w:proofErr w:type="spellEnd"/>
      <w:r w:rsidR="008F4C92" w:rsidRPr="009B1E7B">
        <w:t xml:space="preserve"> ir</w:t>
      </w:r>
      <w:r w:rsidR="0005315E" w:rsidRPr="009B1E7B">
        <w:t xml:space="preserve"> </w:t>
      </w:r>
      <w:proofErr w:type="spellStart"/>
      <w:r w:rsidR="0005315E" w:rsidRPr="009B1E7B">
        <w:t>Vyas</w:t>
      </w:r>
      <w:proofErr w:type="spellEnd"/>
      <w:r w:rsidR="0005315E" w:rsidRPr="009B1E7B">
        <w:t xml:space="preserve"> (</w:t>
      </w:r>
      <w:r w:rsidR="00376424" w:rsidRPr="009B1E7B">
        <w:t>2011</w:t>
      </w:r>
      <w:r w:rsidR="0005315E" w:rsidRPr="009B1E7B">
        <w:t>)</w:t>
      </w:r>
      <w:r w:rsidR="008F4C92" w:rsidRPr="009B1E7B">
        <w:t xml:space="preserve"> suvoki</w:t>
      </w:r>
      <w:r w:rsidR="00376424" w:rsidRPr="009B1E7B">
        <w:t xml:space="preserve">mu, išsilavinimas </w:t>
      </w:r>
      <w:r w:rsidR="008C051C" w:rsidRPr="009B1E7B">
        <w:t>didina</w:t>
      </w:r>
      <w:r w:rsidR="00376424" w:rsidRPr="009B1E7B">
        <w:t xml:space="preserve"> </w:t>
      </w:r>
      <w:r w:rsidR="008C051C" w:rsidRPr="009B1E7B">
        <w:rPr>
          <w:i/>
        </w:rPr>
        <w:t>apetitą</w:t>
      </w:r>
      <w:r w:rsidR="008F4C92" w:rsidRPr="009B1E7B">
        <w:t xml:space="preserve"> rizikai, todėl</w:t>
      </w:r>
      <w:r w:rsidR="00B86EB3" w:rsidRPr="009B1E7B">
        <w:t xml:space="preserve"> aukštesnį išsilavinimą turintis</w:t>
      </w:r>
      <w:r w:rsidR="00376424" w:rsidRPr="009B1E7B">
        <w:t xml:space="preserve"> </w:t>
      </w:r>
      <w:r w:rsidR="00B86EB3" w:rsidRPr="009B1E7B">
        <w:t>žmogus</w:t>
      </w:r>
      <w:r w:rsidR="008C051C" w:rsidRPr="009B1E7B">
        <w:t xml:space="preserve"> yra labiau </w:t>
      </w:r>
      <w:r w:rsidR="00B86EB3" w:rsidRPr="009B1E7B">
        <w:t xml:space="preserve">linkęs </w:t>
      </w:r>
      <w:r w:rsidR="008C051C" w:rsidRPr="009B1E7B">
        <w:t xml:space="preserve">rizikuoti. Apie tai kalba ir Akram </w:t>
      </w:r>
      <w:r w:rsidR="008C051C" w:rsidRPr="009B1E7B">
        <w:rPr>
          <w:i/>
        </w:rPr>
        <w:t>et al</w:t>
      </w:r>
      <w:r w:rsidR="008C051C" w:rsidRPr="009B1E7B">
        <w:t>.</w:t>
      </w:r>
      <w:r w:rsidR="00204BC6" w:rsidRPr="009B1E7B">
        <w:t xml:space="preserve"> (2011), kurie </w:t>
      </w:r>
      <w:r w:rsidR="00425631" w:rsidRPr="009B1E7B">
        <w:t>nurodo, jog išsilavinim</w:t>
      </w:r>
      <w:r w:rsidR="00451CB1" w:rsidRPr="009B1E7B">
        <w:t>o lygis</w:t>
      </w:r>
      <w:r w:rsidR="00425631" w:rsidRPr="009B1E7B">
        <w:t xml:space="preserve"> yra susijęs su rizik</w:t>
      </w:r>
      <w:r w:rsidR="001B08AF" w:rsidRPr="009B1E7B">
        <w:t>os suvokimu, kas reiškia, jog mažesnį išsilavinimą tu</w:t>
      </w:r>
      <w:r w:rsidR="00451CB1" w:rsidRPr="009B1E7B">
        <w:t>rintis asmuo yra labiau skeptiškas</w:t>
      </w:r>
      <w:r w:rsidR="00055F1F" w:rsidRPr="009B1E7B">
        <w:t xml:space="preserve"> dėl rizikos</w:t>
      </w:r>
      <w:r w:rsidR="00E93E95" w:rsidRPr="009B1E7B">
        <w:t>.</w:t>
      </w:r>
      <w:r w:rsidR="005B0B9F" w:rsidRPr="009B1E7B">
        <w:t xml:space="preserve"> Tačiau yra ir kitų nuomonių, pavyzdžiui, </w:t>
      </w:r>
      <w:r w:rsidR="00456A41" w:rsidRPr="009B1E7B">
        <w:t xml:space="preserve">Černius (2011) </w:t>
      </w:r>
      <w:r w:rsidR="00A45E28" w:rsidRPr="009B1E7B">
        <w:t>t</w:t>
      </w:r>
      <w:r w:rsidR="00685F5F" w:rsidRPr="009B1E7B">
        <w:t>virtina</w:t>
      </w:r>
      <w:r w:rsidR="00932DE5" w:rsidRPr="009B1E7B">
        <w:t xml:space="preserve">, </w:t>
      </w:r>
      <w:r w:rsidR="005B0B9F" w:rsidRPr="009B1E7B">
        <w:t>jog</w:t>
      </w:r>
      <w:r w:rsidR="002F3EBB" w:rsidRPr="009B1E7B">
        <w:t xml:space="preserve"> </w:t>
      </w:r>
      <w:r w:rsidR="00932DE5" w:rsidRPr="009B1E7B">
        <w:t>žmogus</w:t>
      </w:r>
      <w:r w:rsidR="005B0B9F" w:rsidRPr="009B1E7B">
        <w:t>, norėdamas</w:t>
      </w:r>
      <w:r w:rsidR="002F3EBB" w:rsidRPr="009B1E7B">
        <w:t xml:space="preserve"> </w:t>
      </w:r>
      <w:r w:rsidR="00932DE5" w:rsidRPr="009B1E7B">
        <w:t>pasiekt</w:t>
      </w:r>
      <w:r w:rsidR="005B0B9F" w:rsidRPr="009B1E7B">
        <w:t>i</w:t>
      </w:r>
      <w:r w:rsidR="009A538E" w:rsidRPr="009B1E7B">
        <w:t xml:space="preserve"> finansinę </w:t>
      </w:r>
      <w:r w:rsidR="00685F5F" w:rsidRPr="009B1E7B">
        <w:t>nepriklausomyb</w:t>
      </w:r>
      <w:r w:rsidR="009A538E" w:rsidRPr="009B1E7B">
        <w:t>ę, privalo turėti finans</w:t>
      </w:r>
      <w:r w:rsidR="00A45E28" w:rsidRPr="009B1E7B">
        <w:t xml:space="preserve">inio sumanumo, kurio pagrindas </w:t>
      </w:r>
      <w:r w:rsidR="00C44FFD" w:rsidRPr="009B1E7B">
        <w:t>–</w:t>
      </w:r>
      <w:r w:rsidR="009A538E" w:rsidRPr="009B1E7B">
        <w:t xml:space="preserve"> </w:t>
      </w:r>
      <w:r w:rsidR="009A538E" w:rsidRPr="009B1E7B">
        <w:rPr>
          <w:i/>
        </w:rPr>
        <w:t>finansinis raštingumas</w:t>
      </w:r>
      <w:r w:rsidR="00904D48" w:rsidRPr="009B1E7B">
        <w:t xml:space="preserve">. Autoriaus suvokimu, raštingas yra tas, kuris supranta skaičius ir geba interpretuoti finansinę informaciją, o </w:t>
      </w:r>
      <w:r w:rsidR="00F17176" w:rsidRPr="009B1E7B">
        <w:t>tai</w:t>
      </w:r>
      <w:r w:rsidR="00A45E28" w:rsidRPr="009B1E7B">
        <w:t xml:space="preserve"> </w:t>
      </w:r>
      <w:r w:rsidR="008971E3" w:rsidRPr="009B1E7B">
        <w:t xml:space="preserve">nebūtinai </w:t>
      </w:r>
      <w:r w:rsidR="00AD781E" w:rsidRPr="009B1E7B">
        <w:t xml:space="preserve">turi būti </w:t>
      </w:r>
      <w:r w:rsidR="00F17176" w:rsidRPr="009B1E7B">
        <w:t>susiję</w:t>
      </w:r>
      <w:r w:rsidR="0015776D" w:rsidRPr="009B1E7B">
        <w:t xml:space="preserve"> su išsilavinimu</w:t>
      </w:r>
      <w:r w:rsidR="009A538E" w:rsidRPr="009B1E7B">
        <w:t>.</w:t>
      </w:r>
      <w:r w:rsidR="00B05B1E" w:rsidRPr="009B1E7B">
        <w:t xml:space="preserve"> </w:t>
      </w:r>
      <w:r w:rsidR="00D858A3" w:rsidRPr="009B1E7B">
        <w:t>N</w:t>
      </w:r>
      <w:r w:rsidR="005C477E" w:rsidRPr="009B1E7B">
        <w:t xml:space="preserve">epaisant to, kad požiūriai </w:t>
      </w:r>
      <w:r w:rsidR="004C3F6B" w:rsidRPr="009B1E7B">
        <w:t>į ši</w:t>
      </w:r>
      <w:r w:rsidR="00A00C58" w:rsidRPr="009B1E7B">
        <w:t>ų</w:t>
      </w:r>
      <w:r w:rsidR="004C3F6B" w:rsidRPr="009B1E7B">
        <w:t xml:space="preserve"> veiksni</w:t>
      </w:r>
      <w:r w:rsidR="00A00C58" w:rsidRPr="009B1E7B">
        <w:t>ų daromą įtaką</w:t>
      </w:r>
      <w:r w:rsidR="004C3F6B" w:rsidRPr="009B1E7B">
        <w:t xml:space="preserve"> </w:t>
      </w:r>
      <w:r w:rsidR="005C477E" w:rsidRPr="009B1E7B">
        <w:t>skiriasi, galima teigti, jog i</w:t>
      </w:r>
      <w:r w:rsidR="006C0BF8" w:rsidRPr="009B1E7B">
        <w:t>šsilavinimas</w:t>
      </w:r>
      <w:r w:rsidR="00AD781E" w:rsidRPr="009B1E7B">
        <w:t xml:space="preserve"> </w:t>
      </w:r>
      <w:r w:rsidR="00253457" w:rsidRPr="009B1E7B">
        <w:t>bei</w:t>
      </w:r>
      <w:r w:rsidR="008F4C92" w:rsidRPr="009B1E7B">
        <w:t xml:space="preserve"> profesija</w:t>
      </w:r>
      <w:r w:rsidR="00253457" w:rsidRPr="009B1E7B">
        <w:t>,</w:t>
      </w:r>
      <w:r w:rsidR="008F4C92" w:rsidRPr="009B1E7B">
        <w:t xml:space="preserve"> pirmiausia</w:t>
      </w:r>
      <w:r w:rsidR="00253457" w:rsidRPr="009B1E7B">
        <w:t>,</w:t>
      </w:r>
      <w:r w:rsidR="008F4C92" w:rsidRPr="009B1E7B">
        <w:t xml:space="preserve"> yra susiję</w:t>
      </w:r>
      <w:r w:rsidR="006C0BF8" w:rsidRPr="009B1E7B">
        <w:t xml:space="preserve"> su sukauptų žinių kiekiu, jų kokybe ir įvairove, todėl</w:t>
      </w:r>
      <w:r w:rsidR="00AD781E" w:rsidRPr="009B1E7B">
        <w:t>,</w:t>
      </w:r>
      <w:r w:rsidR="006C0BF8" w:rsidRPr="009B1E7B">
        <w:t xml:space="preserve"> natūralu, jog</w:t>
      </w:r>
      <w:r w:rsidR="006D7501" w:rsidRPr="009B1E7B">
        <w:t xml:space="preserve"> jie aktyviai dalyvauja sprendimo priėmimo procese</w:t>
      </w:r>
      <w:r w:rsidR="001634B8" w:rsidRPr="009B1E7B">
        <w:t xml:space="preserve"> –</w:t>
      </w:r>
      <w:r w:rsidR="009A6F60" w:rsidRPr="009B1E7B">
        <w:t xml:space="preserve"> tik vieną </w:t>
      </w:r>
      <w:r w:rsidR="00A3694F" w:rsidRPr="009B1E7B">
        <w:t xml:space="preserve">kartą </w:t>
      </w:r>
      <w:r w:rsidR="00006930" w:rsidRPr="009B1E7B">
        <w:t xml:space="preserve">jie padidina </w:t>
      </w:r>
      <w:r w:rsidR="00A3694F" w:rsidRPr="009B1E7B">
        <w:t>tolerancij</w:t>
      </w:r>
      <w:r w:rsidR="00006930" w:rsidRPr="009B1E7B">
        <w:t>ą</w:t>
      </w:r>
      <w:r w:rsidR="00A3694F" w:rsidRPr="009B1E7B">
        <w:t xml:space="preserve"> rizikai, o kitą – </w:t>
      </w:r>
      <w:r w:rsidR="00820629" w:rsidRPr="009B1E7B">
        <w:t>sumažina ją iki minimumo</w:t>
      </w:r>
      <w:r w:rsidR="006D7501" w:rsidRPr="009B1E7B">
        <w:t>.</w:t>
      </w:r>
    </w:p>
    <w:p w:rsidR="0042670A" w:rsidRPr="009B1E7B" w:rsidRDefault="0019373F" w:rsidP="00D47B5C">
      <w:r w:rsidRPr="009B1E7B">
        <w:rPr>
          <w:b/>
          <w:i/>
        </w:rPr>
        <w:lastRenderedPageBreak/>
        <w:t>Gyvenimo stilius</w:t>
      </w:r>
      <w:r w:rsidRPr="009B1E7B">
        <w:t>.</w:t>
      </w:r>
      <w:r w:rsidR="00D15140" w:rsidRPr="009B1E7B">
        <w:t xml:space="preserve"> </w:t>
      </w:r>
      <w:r w:rsidR="00EF549F" w:rsidRPr="009B1E7B">
        <w:t>G</w:t>
      </w:r>
      <w:r w:rsidR="0042670A" w:rsidRPr="009B1E7B">
        <w:t xml:space="preserve">yvenimo </w:t>
      </w:r>
      <w:r w:rsidR="00B11F51" w:rsidRPr="009B1E7B">
        <w:t>stilius</w:t>
      </w:r>
      <w:r w:rsidR="00EF549F" w:rsidRPr="009B1E7B">
        <w:t xml:space="preserve"> </w:t>
      </w:r>
      <w:r w:rsidR="007F5506" w:rsidRPr="009B1E7B">
        <w:t xml:space="preserve">dažnai </w:t>
      </w:r>
      <w:r w:rsidR="00B11F51" w:rsidRPr="009B1E7B">
        <w:t xml:space="preserve">yra suvokiamas kaip </w:t>
      </w:r>
      <w:r w:rsidR="008A576A" w:rsidRPr="009B1E7B">
        <w:t xml:space="preserve">būdas, kuriuo </w:t>
      </w:r>
      <w:r w:rsidR="00830BB3" w:rsidRPr="009B1E7B">
        <w:t>žmogus</w:t>
      </w:r>
      <w:r w:rsidR="001F7E95" w:rsidRPr="009B1E7B">
        <w:t xml:space="preserve"> gyvena pagal savo suvokimą ir</w:t>
      </w:r>
      <w:r w:rsidR="00C90FCF" w:rsidRPr="009B1E7B">
        <w:t xml:space="preserve"> gebėjimus</w:t>
      </w:r>
      <w:r w:rsidR="00C906AC" w:rsidRPr="009B1E7B">
        <w:t xml:space="preserve">, tačiau nebūtinai pagal </w:t>
      </w:r>
      <w:r w:rsidR="002A311D" w:rsidRPr="009B1E7B">
        <w:t xml:space="preserve">turimas </w:t>
      </w:r>
      <w:r w:rsidR="009E60E2" w:rsidRPr="009B1E7B">
        <w:t xml:space="preserve">finansines </w:t>
      </w:r>
      <w:r w:rsidR="00C906AC" w:rsidRPr="009B1E7B">
        <w:t>galimybes</w:t>
      </w:r>
      <w:r w:rsidR="00C90FCF" w:rsidRPr="009B1E7B">
        <w:t>.</w:t>
      </w:r>
      <w:r w:rsidR="00830BB3" w:rsidRPr="009B1E7B">
        <w:t xml:space="preserve"> </w:t>
      </w:r>
      <w:r w:rsidR="002A311D" w:rsidRPr="009B1E7B">
        <w:t xml:space="preserve">Dėl to, neretai susidaro tokia situacija, kai </w:t>
      </w:r>
      <w:r w:rsidR="00A35731" w:rsidRPr="009B1E7B">
        <w:t xml:space="preserve">žmogus didesnę reikšmę suteikia išlaidoms nei pajamoms. </w:t>
      </w:r>
      <w:r w:rsidR="0031475D" w:rsidRPr="009B1E7B">
        <w:t xml:space="preserve">Akram </w:t>
      </w:r>
      <w:r w:rsidR="0031475D" w:rsidRPr="009B1E7B">
        <w:rPr>
          <w:i/>
        </w:rPr>
        <w:t>et al</w:t>
      </w:r>
      <w:r w:rsidR="0031475D" w:rsidRPr="009B1E7B">
        <w:t>. (2011)</w:t>
      </w:r>
      <w:r w:rsidR="00136FC3" w:rsidRPr="009B1E7B">
        <w:t xml:space="preserve"> teigimu, tokius</w:t>
      </w:r>
      <w:r w:rsidR="00B65AE2" w:rsidRPr="009B1E7B">
        <w:t xml:space="preserve"> </w:t>
      </w:r>
      <w:r w:rsidR="0011378A" w:rsidRPr="009B1E7B">
        <w:t xml:space="preserve">sprendimus </w:t>
      </w:r>
      <w:r w:rsidR="00136FC3" w:rsidRPr="009B1E7B">
        <w:t>gali nulemti asmeninės savybė</w:t>
      </w:r>
      <w:r w:rsidR="007B441C" w:rsidRPr="009B1E7B">
        <w:t>s</w:t>
      </w:r>
      <w:r w:rsidR="00B8490E" w:rsidRPr="009B1E7B">
        <w:t>,</w:t>
      </w:r>
      <w:r w:rsidR="003A13E8" w:rsidRPr="009B1E7B">
        <w:t xml:space="preserve"> </w:t>
      </w:r>
      <w:r w:rsidR="00F14A18" w:rsidRPr="009B1E7B">
        <w:t xml:space="preserve">nes </w:t>
      </w:r>
      <w:r w:rsidR="003A13E8" w:rsidRPr="009B1E7B">
        <w:rPr>
          <w:i/>
        </w:rPr>
        <w:t>optimizmu</w:t>
      </w:r>
      <w:r w:rsidR="003A13E8" w:rsidRPr="009B1E7B">
        <w:t xml:space="preserve"> </w:t>
      </w:r>
      <w:r w:rsidR="00C001B7" w:rsidRPr="009B1E7B">
        <w:t>trykšta</w:t>
      </w:r>
      <w:r w:rsidR="000C5955" w:rsidRPr="009B1E7B">
        <w:t>n</w:t>
      </w:r>
      <w:r w:rsidR="003A13E8" w:rsidRPr="009B1E7B">
        <w:t xml:space="preserve">tys </w:t>
      </w:r>
      <w:r w:rsidR="00EF18E9" w:rsidRPr="009B1E7B">
        <w:t xml:space="preserve">žmonės </w:t>
      </w:r>
      <w:r w:rsidR="000C5955" w:rsidRPr="009B1E7B">
        <w:t>yra</w:t>
      </w:r>
      <w:r w:rsidR="003A13E8" w:rsidRPr="009B1E7B">
        <w:t xml:space="preserve"> </w:t>
      </w:r>
      <w:r w:rsidR="000348BF" w:rsidRPr="009B1E7B">
        <w:t>linkę prisiimti didesn</w:t>
      </w:r>
      <w:r w:rsidR="000C5955" w:rsidRPr="009B1E7B">
        <w:t>ę</w:t>
      </w:r>
      <w:r w:rsidR="000348BF" w:rsidRPr="009B1E7B">
        <w:t xml:space="preserve"> rizik</w:t>
      </w:r>
      <w:r w:rsidR="000C5955" w:rsidRPr="009B1E7B">
        <w:t>ą nei</w:t>
      </w:r>
      <w:r w:rsidR="000348BF" w:rsidRPr="009B1E7B">
        <w:t xml:space="preserve"> </w:t>
      </w:r>
      <w:r w:rsidR="00B8490E" w:rsidRPr="009B1E7B">
        <w:t>optimizmo</w:t>
      </w:r>
      <w:r w:rsidR="000C5955" w:rsidRPr="009B1E7B">
        <w:t xml:space="preserve"> neturintys</w:t>
      </w:r>
      <w:r w:rsidR="00C001B7" w:rsidRPr="009B1E7B">
        <w:t xml:space="preserve"> žmonės</w:t>
      </w:r>
      <w:r w:rsidR="000348BF" w:rsidRPr="009B1E7B">
        <w:t xml:space="preserve">. </w:t>
      </w:r>
      <w:r w:rsidR="00EF18E9" w:rsidRPr="009B1E7B">
        <w:t xml:space="preserve">Apie tai prabyla ir </w:t>
      </w:r>
      <w:proofErr w:type="spellStart"/>
      <w:r w:rsidR="000348BF" w:rsidRPr="009B1E7B">
        <w:t>Pompian</w:t>
      </w:r>
      <w:proofErr w:type="spellEnd"/>
      <w:r w:rsidR="007960DB" w:rsidRPr="009B1E7B">
        <w:t xml:space="preserve"> (2006)</w:t>
      </w:r>
      <w:r w:rsidR="00753A9A" w:rsidRPr="009B1E7B">
        <w:t>, kuris</w:t>
      </w:r>
      <w:r w:rsidR="007960DB" w:rsidRPr="009B1E7B">
        <w:t xml:space="preserve"> </w:t>
      </w:r>
      <w:r w:rsidR="000C5955" w:rsidRPr="009B1E7B">
        <w:t>pažymi</w:t>
      </w:r>
      <w:r w:rsidR="007960DB" w:rsidRPr="009B1E7B">
        <w:t xml:space="preserve">, jog pernelyg didelis optimizmas </w:t>
      </w:r>
      <w:r w:rsidR="00966323" w:rsidRPr="009B1E7B">
        <w:t xml:space="preserve">gali būti </w:t>
      </w:r>
      <w:r w:rsidR="007960DB" w:rsidRPr="009B1E7B">
        <w:t xml:space="preserve">pavojingas, </w:t>
      </w:r>
      <w:r w:rsidR="00304810" w:rsidRPr="009B1E7B">
        <w:t>nes,</w:t>
      </w:r>
      <w:r w:rsidR="00966323" w:rsidRPr="009B1E7B">
        <w:t xml:space="preserve"> </w:t>
      </w:r>
      <w:r w:rsidR="007C7CA3" w:rsidRPr="009B1E7B">
        <w:t>optimistiškai žiūrint į ateitį, įvykius ir sprendimus, nebematoma</w:t>
      </w:r>
      <w:r w:rsidR="007960DB" w:rsidRPr="009B1E7B">
        <w:t xml:space="preserve"> faktų ir realybės</w:t>
      </w:r>
      <w:r w:rsidR="007C7CA3" w:rsidRPr="009B1E7B">
        <w:t>.</w:t>
      </w:r>
      <w:r w:rsidR="00C001B7" w:rsidRPr="009B1E7B">
        <w:t xml:space="preserve"> </w:t>
      </w:r>
      <w:r w:rsidR="007073E6" w:rsidRPr="009B1E7B">
        <w:t xml:space="preserve">Kadangi </w:t>
      </w:r>
      <w:r w:rsidR="00681D14" w:rsidRPr="009B1E7B">
        <w:t>ši savybė yra susijusi</w:t>
      </w:r>
      <w:r w:rsidR="00DC343B" w:rsidRPr="009B1E7B">
        <w:t xml:space="preserve"> </w:t>
      </w:r>
      <w:r w:rsidR="00772CB5" w:rsidRPr="009B1E7B">
        <w:t>tiek su žmogaus amžiumi, tiek</w:t>
      </w:r>
      <w:r w:rsidR="00304810" w:rsidRPr="009B1E7B">
        <w:t xml:space="preserve"> su jo</w:t>
      </w:r>
      <w:r w:rsidR="00772CB5" w:rsidRPr="009B1E7B">
        <w:t xml:space="preserve"> </w:t>
      </w:r>
      <w:r w:rsidR="00DC343B" w:rsidRPr="009B1E7B">
        <w:t>lytimi</w:t>
      </w:r>
      <w:r w:rsidR="00681D14" w:rsidRPr="009B1E7B">
        <w:t>, reik</w:t>
      </w:r>
      <w:r w:rsidR="00304810" w:rsidRPr="009B1E7B">
        <w:t>ė</w:t>
      </w:r>
      <w:r w:rsidR="00B92A92" w:rsidRPr="009B1E7B">
        <w:t xml:space="preserve">tų aptarti </w:t>
      </w:r>
      <w:r w:rsidR="009C0296" w:rsidRPr="009B1E7B">
        <w:t xml:space="preserve">ir </w:t>
      </w:r>
      <w:r w:rsidR="00304810" w:rsidRPr="009B1E7B">
        <w:t>šių</w:t>
      </w:r>
      <w:r w:rsidR="007073E6" w:rsidRPr="009B1E7B">
        <w:t xml:space="preserve"> </w:t>
      </w:r>
      <w:r w:rsidR="009823D3" w:rsidRPr="009B1E7B">
        <w:t xml:space="preserve">veiksnių </w:t>
      </w:r>
      <w:r w:rsidR="00772CB5" w:rsidRPr="009B1E7B">
        <w:t xml:space="preserve">daromą </w:t>
      </w:r>
      <w:r w:rsidR="009823D3" w:rsidRPr="009B1E7B">
        <w:t>įtaką</w:t>
      </w:r>
      <w:r w:rsidR="00681D14" w:rsidRPr="009B1E7B">
        <w:t xml:space="preserve"> elgsenai</w:t>
      </w:r>
      <w:r w:rsidR="0098686F" w:rsidRPr="009B1E7B">
        <w:t>, t. y.</w:t>
      </w:r>
      <w:r w:rsidR="00955A9D" w:rsidRPr="009B1E7B">
        <w:t xml:space="preserve"> į sprendimus pažvelg</w:t>
      </w:r>
      <w:r w:rsidR="005B2889" w:rsidRPr="009B1E7B">
        <w:t>t</w:t>
      </w:r>
      <w:r w:rsidR="00955A9D" w:rsidRPr="009B1E7B">
        <w:t>i</w:t>
      </w:r>
      <w:r w:rsidR="005B2889" w:rsidRPr="009B1E7B">
        <w:t xml:space="preserve"> gyvenimo ciklo požiūriu</w:t>
      </w:r>
      <w:r w:rsidR="009823D3" w:rsidRPr="009B1E7B">
        <w:t>.</w:t>
      </w:r>
    </w:p>
    <w:p w:rsidR="00894217" w:rsidRPr="009B1E7B" w:rsidRDefault="002140D9" w:rsidP="008978A6">
      <w:r w:rsidRPr="009B1E7B">
        <w:rPr>
          <w:b/>
          <w:i/>
        </w:rPr>
        <w:t>Amžius, lytis</w:t>
      </w:r>
      <w:r w:rsidRPr="009B1E7B">
        <w:t xml:space="preserve">. </w:t>
      </w:r>
      <w:r w:rsidR="00081913" w:rsidRPr="009B1E7B">
        <w:t xml:space="preserve">Gyvenimo ciklo </w:t>
      </w:r>
      <w:r w:rsidR="00FF4692" w:rsidRPr="009B1E7B">
        <w:t xml:space="preserve">teorijos šalininkai teigia, jog </w:t>
      </w:r>
      <w:r w:rsidR="003E4A62" w:rsidRPr="009B1E7B">
        <w:t>žmogaus pajamos per visą jo gyvenimą kinta</w:t>
      </w:r>
      <w:r w:rsidR="009D35B3" w:rsidRPr="009B1E7B">
        <w:t xml:space="preserve"> (darbo veiklos pradžioje dėl kvalifikacijos stokos jos yra mažesnės, vėliau – padidėja, o gyvenimo ciklo pabaigoje dėl mažesnių galimybių dirbti jos vėl sumažėja</w:t>
      </w:r>
      <w:r w:rsidR="00333FA3" w:rsidRPr="009B1E7B">
        <w:t>)</w:t>
      </w:r>
      <w:r w:rsidR="009D35B3" w:rsidRPr="009B1E7B">
        <w:t>, todėl asmu</w:t>
      </w:r>
      <w:r w:rsidR="00333FA3" w:rsidRPr="009B1E7B">
        <w:t>o, siekdamas palaikyti pastovų</w:t>
      </w:r>
      <w:r w:rsidR="009D35B3" w:rsidRPr="009B1E7B">
        <w:t xml:space="preserve"> vart</w:t>
      </w:r>
      <w:r w:rsidR="00333FA3" w:rsidRPr="009B1E7B">
        <w:t xml:space="preserve">ojimo lygį, </w:t>
      </w:r>
      <w:r w:rsidR="00953D62" w:rsidRPr="009B1E7B">
        <w:t>turi skolintis ir taupyti</w:t>
      </w:r>
      <w:r w:rsidR="00333FA3" w:rsidRPr="009B1E7B">
        <w:t>. Tai reiškia, kad</w:t>
      </w:r>
      <w:r w:rsidR="00307357" w:rsidRPr="009B1E7B">
        <w:t xml:space="preserve"> racionaliai mąstanti būtybė</w:t>
      </w:r>
      <w:r w:rsidR="00C92ADF" w:rsidRPr="009B1E7B">
        <w:t xml:space="preserve">, norėdama </w:t>
      </w:r>
      <w:r w:rsidR="00307357" w:rsidRPr="009B1E7B">
        <w:t xml:space="preserve">užsitikrinti kokybišką </w:t>
      </w:r>
      <w:r w:rsidR="00C92ADF" w:rsidRPr="009B1E7B">
        <w:t>senatvę,</w:t>
      </w:r>
      <w:r w:rsidR="004F4525" w:rsidRPr="009B1E7B">
        <w:t xml:space="preserve"> pradiniuose gyvenimo etapuose</w:t>
      </w:r>
      <w:r w:rsidR="00A60523" w:rsidRPr="009B1E7B">
        <w:t xml:space="preserve"> turėtų didinti </w:t>
      </w:r>
      <w:r w:rsidR="00033D35" w:rsidRPr="009B1E7B">
        <w:t xml:space="preserve">savo </w:t>
      </w:r>
      <w:r w:rsidR="00A60523" w:rsidRPr="009B1E7B">
        <w:t>pajamas</w:t>
      </w:r>
      <w:r w:rsidR="004F4525" w:rsidRPr="009B1E7B">
        <w:t>, d</w:t>
      </w:r>
      <w:r w:rsidR="00033D35" w:rsidRPr="009B1E7B">
        <w:t xml:space="preserve">eja, žmogus </w:t>
      </w:r>
      <w:r w:rsidR="006952B6" w:rsidRPr="009B1E7B">
        <w:t xml:space="preserve">dėl tam tikrų priežasčių </w:t>
      </w:r>
      <w:r w:rsidR="000F68BC" w:rsidRPr="009B1E7B">
        <w:t xml:space="preserve">ne visada taiko šią teoriją, </w:t>
      </w:r>
      <w:r w:rsidR="0098686F" w:rsidRPr="009B1E7B">
        <w:t>todėl</w:t>
      </w:r>
      <w:r w:rsidR="00955A9D" w:rsidRPr="009B1E7B">
        <w:t xml:space="preserve"> vėliau susiduria su sunkumais.</w:t>
      </w:r>
      <w:r w:rsidR="00993CA4" w:rsidRPr="009B1E7B">
        <w:t xml:space="preserve"> </w:t>
      </w:r>
      <w:proofErr w:type="spellStart"/>
      <w:r w:rsidR="00993CA4" w:rsidRPr="009B1E7B">
        <w:t>Biko</w:t>
      </w:r>
      <w:proofErr w:type="spellEnd"/>
      <w:r w:rsidR="004A64B8" w:rsidRPr="009B1E7B">
        <w:t xml:space="preserve"> ir</w:t>
      </w:r>
      <w:r w:rsidR="00993CA4" w:rsidRPr="009B1E7B">
        <w:t xml:space="preserve"> Rakauskienės (2007) tyrimas</w:t>
      </w:r>
      <w:r w:rsidR="00125A6D" w:rsidRPr="009B1E7B">
        <w:t xml:space="preserve"> atskleidė</w:t>
      </w:r>
      <w:r w:rsidR="00993CA4" w:rsidRPr="009B1E7B">
        <w:t>, jog</w:t>
      </w:r>
      <w:r w:rsidR="004A64B8" w:rsidRPr="009B1E7B">
        <w:t xml:space="preserve"> Lietuvoje</w:t>
      </w:r>
      <w:r w:rsidR="001B3363" w:rsidRPr="009B1E7B">
        <w:t xml:space="preserve"> taupyti nėra linkęs jaunimas, </w:t>
      </w:r>
      <w:r w:rsidR="00477788" w:rsidRPr="009B1E7B">
        <w:t>[ilgesnį laiką]</w:t>
      </w:r>
      <w:r w:rsidR="003A1747" w:rsidRPr="009B1E7B">
        <w:t xml:space="preserve"> </w:t>
      </w:r>
      <w:r w:rsidR="004A64B8" w:rsidRPr="009B1E7B">
        <w:t>moterys i</w:t>
      </w:r>
      <w:r w:rsidR="003A1747" w:rsidRPr="009B1E7B">
        <w:t>r</w:t>
      </w:r>
      <w:r w:rsidR="001B3363" w:rsidRPr="009B1E7B">
        <w:t xml:space="preserve"> maž</w:t>
      </w:r>
      <w:r w:rsidR="003A1747" w:rsidRPr="009B1E7B">
        <w:t>iausias</w:t>
      </w:r>
      <w:r w:rsidR="00477788" w:rsidRPr="009B1E7B">
        <w:t xml:space="preserve"> pajamas gaunantys gyventojai</w:t>
      </w:r>
      <w:r w:rsidR="00125A6D" w:rsidRPr="009B1E7B">
        <w:t>. Tai reiškia</w:t>
      </w:r>
      <w:r w:rsidR="003F0AB0" w:rsidRPr="009B1E7B">
        <w:t xml:space="preserve">, kad </w:t>
      </w:r>
      <w:r w:rsidR="00852E56" w:rsidRPr="009B1E7B">
        <w:t xml:space="preserve">neracionali elgsena </w:t>
      </w:r>
      <w:r w:rsidR="00477788" w:rsidRPr="009B1E7B">
        <w:t>gali atsirasti</w:t>
      </w:r>
      <w:r w:rsidR="00852E56" w:rsidRPr="009B1E7B">
        <w:t xml:space="preserve"> tiek dėl</w:t>
      </w:r>
      <w:r w:rsidR="00375C19" w:rsidRPr="009B1E7B">
        <w:t xml:space="preserve"> amžiaus, tiek </w:t>
      </w:r>
      <w:r w:rsidR="00C4324B" w:rsidRPr="009B1E7B">
        <w:t xml:space="preserve">ir </w:t>
      </w:r>
      <w:r w:rsidR="00375C19" w:rsidRPr="009B1E7B">
        <w:t>dėl lyties.</w:t>
      </w:r>
    </w:p>
    <w:p w:rsidR="00E43FCD" w:rsidRPr="009B1E7B" w:rsidRDefault="00C45834" w:rsidP="00C45834">
      <w:r w:rsidRPr="009B1E7B">
        <w:rPr>
          <w:b/>
          <w:i/>
        </w:rPr>
        <w:t>Kultūra</w:t>
      </w:r>
      <w:r w:rsidRPr="009B1E7B">
        <w:t>.</w:t>
      </w:r>
      <w:r w:rsidR="0028285C" w:rsidRPr="009B1E7B">
        <w:t xml:space="preserve"> Stiprią šio veiksnio įtaką įžvelgia</w:t>
      </w:r>
      <w:r w:rsidR="006C2C0F" w:rsidRPr="009B1E7B">
        <w:t xml:space="preserve"> </w:t>
      </w:r>
      <w:proofErr w:type="spellStart"/>
      <w:r w:rsidR="00A13D60" w:rsidRPr="009B1E7B">
        <w:t>Pirouz</w:t>
      </w:r>
      <w:proofErr w:type="spellEnd"/>
      <w:r w:rsidR="00A13D60" w:rsidRPr="009B1E7B">
        <w:t xml:space="preserve"> (2009), </w:t>
      </w:r>
      <w:proofErr w:type="spellStart"/>
      <w:r w:rsidR="00275390" w:rsidRPr="009B1E7B">
        <w:t>Fisher</w:t>
      </w:r>
      <w:proofErr w:type="spellEnd"/>
      <w:r w:rsidR="00275390" w:rsidRPr="009B1E7B">
        <w:t xml:space="preserve">, </w:t>
      </w:r>
      <w:proofErr w:type="spellStart"/>
      <w:r w:rsidR="00275390" w:rsidRPr="009B1E7B">
        <w:t>Montalto</w:t>
      </w:r>
      <w:proofErr w:type="spellEnd"/>
      <w:r w:rsidR="00275390" w:rsidRPr="009B1E7B">
        <w:t xml:space="preserve"> </w:t>
      </w:r>
      <w:r w:rsidR="009009CF" w:rsidRPr="009B1E7B">
        <w:t>(</w:t>
      </w:r>
      <w:r w:rsidR="00275390" w:rsidRPr="009B1E7B">
        <w:t>2010</w:t>
      </w:r>
      <w:r w:rsidR="009009CF" w:rsidRPr="009B1E7B">
        <w:t xml:space="preserve">), </w:t>
      </w:r>
      <w:proofErr w:type="spellStart"/>
      <w:r w:rsidR="00150636" w:rsidRPr="009B1E7B">
        <w:t>Mittal</w:t>
      </w:r>
      <w:proofErr w:type="spellEnd"/>
      <w:r w:rsidR="00150636" w:rsidRPr="009B1E7B">
        <w:t xml:space="preserve">, </w:t>
      </w:r>
      <w:proofErr w:type="spellStart"/>
      <w:r w:rsidR="00150636" w:rsidRPr="009B1E7B">
        <w:t>Vyas</w:t>
      </w:r>
      <w:proofErr w:type="spellEnd"/>
      <w:r w:rsidR="00150636" w:rsidRPr="009B1E7B">
        <w:t xml:space="preserve"> (2011), </w:t>
      </w:r>
      <w:r w:rsidR="005C482E" w:rsidRPr="009B1E7B">
        <w:t xml:space="preserve">Akram </w:t>
      </w:r>
      <w:r w:rsidR="002213A5" w:rsidRPr="009B1E7B">
        <w:rPr>
          <w:i/>
        </w:rPr>
        <w:t>et al</w:t>
      </w:r>
      <w:r w:rsidR="002213A5" w:rsidRPr="009B1E7B">
        <w:t xml:space="preserve">. </w:t>
      </w:r>
      <w:r w:rsidR="004841EA" w:rsidRPr="009B1E7B">
        <w:t>(2011) bei</w:t>
      </w:r>
      <w:r w:rsidR="005C482E" w:rsidRPr="009B1E7B">
        <w:t xml:space="preserve"> </w:t>
      </w:r>
      <w:proofErr w:type="spellStart"/>
      <w:r w:rsidR="005C482E" w:rsidRPr="009B1E7B">
        <w:t>Kartašova</w:t>
      </w:r>
      <w:proofErr w:type="spellEnd"/>
      <w:r w:rsidR="005C482E" w:rsidRPr="009B1E7B">
        <w:t xml:space="preserve">, </w:t>
      </w:r>
      <w:proofErr w:type="spellStart"/>
      <w:r w:rsidR="005C482E" w:rsidRPr="009B1E7B">
        <w:t>Levišauskaitė</w:t>
      </w:r>
      <w:proofErr w:type="spellEnd"/>
      <w:r w:rsidR="005C482E" w:rsidRPr="009B1E7B">
        <w:t xml:space="preserve"> (2012)</w:t>
      </w:r>
      <w:r w:rsidR="004841EA" w:rsidRPr="009B1E7B">
        <w:t>, kurių</w:t>
      </w:r>
      <w:r w:rsidR="00B023F5" w:rsidRPr="009B1E7B">
        <w:t xml:space="preserve"> manymu</w:t>
      </w:r>
      <w:r w:rsidR="004841EA" w:rsidRPr="009B1E7B">
        <w:t>,</w:t>
      </w:r>
      <w:r w:rsidR="008370C2" w:rsidRPr="009B1E7B">
        <w:t xml:space="preserve"> </w:t>
      </w:r>
      <w:r w:rsidR="009745EA" w:rsidRPr="009B1E7B">
        <w:t xml:space="preserve">kultūrinis palikimas daro didelį poveikį </w:t>
      </w:r>
      <w:r w:rsidR="009745EA" w:rsidRPr="009B1E7B">
        <w:rPr>
          <w:i/>
        </w:rPr>
        <w:t>vartojimui</w:t>
      </w:r>
      <w:r w:rsidR="009745EA" w:rsidRPr="009B1E7B">
        <w:t xml:space="preserve"> </w:t>
      </w:r>
      <w:r w:rsidR="00A07266" w:rsidRPr="009B1E7B">
        <w:t xml:space="preserve">ir </w:t>
      </w:r>
      <w:r w:rsidR="009745EA" w:rsidRPr="009B1E7B">
        <w:rPr>
          <w:i/>
        </w:rPr>
        <w:t>rizikos</w:t>
      </w:r>
      <w:r w:rsidR="009745EA" w:rsidRPr="009B1E7B">
        <w:t xml:space="preserve"> </w:t>
      </w:r>
      <w:r w:rsidR="00A07266" w:rsidRPr="009B1E7B">
        <w:rPr>
          <w:i/>
        </w:rPr>
        <w:t>suvokimui</w:t>
      </w:r>
      <w:r w:rsidR="00A07266" w:rsidRPr="009B1E7B">
        <w:t xml:space="preserve">. </w:t>
      </w:r>
      <w:r w:rsidR="00864FEA" w:rsidRPr="009B1E7B">
        <w:t>Akram et al. (2011) teigimu, investuotojų elgsen</w:t>
      </w:r>
      <w:r w:rsidR="004C6DB3" w:rsidRPr="009B1E7B">
        <w:t>a</w:t>
      </w:r>
      <w:r w:rsidR="00864FEA" w:rsidRPr="009B1E7B">
        <w:t xml:space="preserve"> priklauso nuo</w:t>
      </w:r>
      <w:r w:rsidR="007C6A07" w:rsidRPr="009B1E7B">
        <w:t xml:space="preserve"> kultūrinio-religinio pagrindo</w:t>
      </w:r>
      <w:r w:rsidR="00BE70A0" w:rsidRPr="009B1E7B">
        <w:t xml:space="preserve">, kas reiškia, jog </w:t>
      </w:r>
      <w:r w:rsidR="004C6DB3" w:rsidRPr="009B1E7B">
        <w:t xml:space="preserve">finansiniams </w:t>
      </w:r>
      <w:r w:rsidR="00F83765" w:rsidRPr="009B1E7B">
        <w:t xml:space="preserve">sprendimams </w:t>
      </w:r>
      <w:r w:rsidR="00BE70A0" w:rsidRPr="009B1E7B">
        <w:t>įtaką daro</w:t>
      </w:r>
      <w:r w:rsidR="004F348C" w:rsidRPr="009B1E7B">
        <w:t xml:space="preserve"> </w:t>
      </w:r>
      <w:r w:rsidR="004C6DB3" w:rsidRPr="009B1E7B">
        <w:t xml:space="preserve">ir </w:t>
      </w:r>
      <w:r w:rsidR="00BB750C" w:rsidRPr="009B1E7B">
        <w:t>susiformavęs šeimos modelis</w:t>
      </w:r>
      <w:r w:rsidR="004F348C" w:rsidRPr="009B1E7B">
        <w:t>.</w:t>
      </w:r>
      <w:r w:rsidR="00864FEA" w:rsidRPr="009B1E7B">
        <w:t xml:space="preserve"> </w:t>
      </w:r>
      <w:r w:rsidR="00A07266" w:rsidRPr="009B1E7B">
        <w:t xml:space="preserve">Pastarasis veiksnys </w:t>
      </w:r>
      <w:r w:rsidR="00BB750C" w:rsidRPr="009B1E7B">
        <w:t>gal</w:t>
      </w:r>
      <w:r w:rsidR="0045219D" w:rsidRPr="009B1E7B">
        <w:t>ėtų</w:t>
      </w:r>
      <w:r w:rsidR="00BB750C" w:rsidRPr="009B1E7B">
        <w:t xml:space="preserve"> būti </w:t>
      </w:r>
      <w:r w:rsidR="00A07266" w:rsidRPr="009B1E7B">
        <w:t>siejama</w:t>
      </w:r>
      <w:r w:rsidR="00FA2897" w:rsidRPr="009B1E7B">
        <w:t>s</w:t>
      </w:r>
      <w:r w:rsidR="00F83765" w:rsidRPr="009B1E7B">
        <w:t xml:space="preserve"> </w:t>
      </w:r>
      <w:r w:rsidR="009C1647" w:rsidRPr="009B1E7B">
        <w:t xml:space="preserve">ir </w:t>
      </w:r>
      <w:r w:rsidR="00914FA4" w:rsidRPr="009B1E7B">
        <w:t xml:space="preserve">su </w:t>
      </w:r>
      <w:r w:rsidR="00914FA4" w:rsidRPr="009B1E7B">
        <w:rPr>
          <w:b/>
          <w:i/>
        </w:rPr>
        <w:t xml:space="preserve">priklausymu </w:t>
      </w:r>
      <w:r w:rsidR="00E771DE" w:rsidRPr="009B1E7B">
        <w:rPr>
          <w:b/>
          <w:i/>
        </w:rPr>
        <w:t xml:space="preserve">kuriai nors </w:t>
      </w:r>
      <w:r w:rsidR="00A07266" w:rsidRPr="009B1E7B">
        <w:rPr>
          <w:b/>
          <w:i/>
        </w:rPr>
        <w:t>socialinei grupei</w:t>
      </w:r>
      <w:r w:rsidR="00091D90" w:rsidRPr="009B1E7B">
        <w:t xml:space="preserve">, pavyzdžiui, </w:t>
      </w:r>
      <w:proofErr w:type="spellStart"/>
      <w:r w:rsidR="00091D90" w:rsidRPr="009B1E7B">
        <w:t>Pirouz</w:t>
      </w:r>
      <w:proofErr w:type="spellEnd"/>
      <w:r w:rsidR="00091D90" w:rsidRPr="009B1E7B">
        <w:t xml:space="preserve"> (2009) nustatė, jog</w:t>
      </w:r>
      <w:r w:rsidR="009F2BF8" w:rsidRPr="009B1E7B">
        <w:t xml:space="preserve"> </w:t>
      </w:r>
      <w:proofErr w:type="spellStart"/>
      <w:r w:rsidR="00FD22D1" w:rsidRPr="009B1E7B">
        <w:rPr>
          <w:i/>
        </w:rPr>
        <w:t>kolektyvistai</w:t>
      </w:r>
      <w:proofErr w:type="spellEnd"/>
      <w:r w:rsidR="009C1647" w:rsidRPr="009B1E7B">
        <w:t>, priimdami sprendimus,</w:t>
      </w:r>
      <w:r w:rsidR="00FD22D1" w:rsidRPr="009B1E7B">
        <w:t xml:space="preserve"> geba geriau susitvardyti</w:t>
      </w:r>
      <w:r w:rsidR="009F2BF8" w:rsidRPr="009B1E7B">
        <w:t xml:space="preserve"> negu</w:t>
      </w:r>
      <w:r w:rsidR="00914FA4" w:rsidRPr="009B1E7B">
        <w:t xml:space="preserve"> </w:t>
      </w:r>
      <w:r w:rsidR="00914FA4" w:rsidRPr="009B1E7B">
        <w:rPr>
          <w:i/>
        </w:rPr>
        <w:t>individualistai</w:t>
      </w:r>
      <w:r w:rsidR="00914FA4" w:rsidRPr="009B1E7B">
        <w:t>, nes pastarie</w:t>
      </w:r>
      <w:r w:rsidR="00BA3DB8" w:rsidRPr="009B1E7B">
        <w:t>ji yra impulsyv</w:t>
      </w:r>
      <w:r w:rsidR="0045219D" w:rsidRPr="009B1E7B">
        <w:t>esni</w:t>
      </w:r>
      <w:r w:rsidR="00BA3DB8" w:rsidRPr="009B1E7B">
        <w:t>. Tai reiškia, jog</w:t>
      </w:r>
      <w:r w:rsidR="00A5497C" w:rsidRPr="009B1E7B">
        <w:t xml:space="preserve"> </w:t>
      </w:r>
      <w:r w:rsidR="001D42DF" w:rsidRPr="009B1E7B">
        <w:t>žmonės-</w:t>
      </w:r>
      <w:r w:rsidR="00CD4A08" w:rsidRPr="009B1E7B">
        <w:t>„</w:t>
      </w:r>
      <w:r w:rsidR="00A5497C" w:rsidRPr="009B1E7B">
        <w:t>atsiskyrėliai</w:t>
      </w:r>
      <w:r w:rsidR="00CD4A08" w:rsidRPr="009B1E7B">
        <w:t>“</w:t>
      </w:r>
      <w:r w:rsidR="00A5497C" w:rsidRPr="009B1E7B">
        <w:t xml:space="preserve"> </w:t>
      </w:r>
      <w:r w:rsidR="001D42DF" w:rsidRPr="009B1E7B">
        <w:t>praranda gebėjimą kontroliuoti savo elg</w:t>
      </w:r>
      <w:r w:rsidR="0045219D" w:rsidRPr="009B1E7B">
        <w:t>esį</w:t>
      </w:r>
      <w:r w:rsidR="001D42DF" w:rsidRPr="009B1E7B">
        <w:t>.</w:t>
      </w:r>
      <w:r w:rsidR="008E6182" w:rsidRPr="009B1E7B">
        <w:t xml:space="preserve"> Įdomi</w:t>
      </w:r>
      <w:r w:rsidR="00CD4A08" w:rsidRPr="009B1E7B">
        <w:t>u</w:t>
      </w:r>
      <w:r w:rsidR="00791858" w:rsidRPr="009B1E7B">
        <w:t>s</w:t>
      </w:r>
      <w:r w:rsidR="008E6182" w:rsidRPr="009B1E7B">
        <w:t xml:space="preserve"> pastebėjim</w:t>
      </w:r>
      <w:r w:rsidR="00CD4A08" w:rsidRPr="009B1E7B">
        <w:t>us</w:t>
      </w:r>
      <w:r w:rsidR="00791858" w:rsidRPr="009B1E7B">
        <w:t xml:space="preserve"> </w:t>
      </w:r>
      <w:r w:rsidR="009F2BF8" w:rsidRPr="009B1E7B">
        <w:t>atliko</w:t>
      </w:r>
      <w:r w:rsidR="00791858" w:rsidRPr="009B1E7B">
        <w:t xml:space="preserve"> </w:t>
      </w:r>
      <w:r w:rsidR="00AD5340" w:rsidRPr="009B1E7B">
        <w:t xml:space="preserve">ir </w:t>
      </w:r>
      <w:proofErr w:type="spellStart"/>
      <w:r w:rsidR="00791858" w:rsidRPr="009B1E7B">
        <w:t>Mittal</w:t>
      </w:r>
      <w:proofErr w:type="spellEnd"/>
      <w:r w:rsidR="00791858" w:rsidRPr="009B1E7B">
        <w:t xml:space="preserve">, </w:t>
      </w:r>
      <w:proofErr w:type="spellStart"/>
      <w:r w:rsidR="00791858" w:rsidRPr="009B1E7B">
        <w:t>Vyas</w:t>
      </w:r>
      <w:proofErr w:type="spellEnd"/>
      <w:r w:rsidR="00791858" w:rsidRPr="009B1E7B">
        <w:t xml:space="preserve"> (2011)</w:t>
      </w:r>
      <w:r w:rsidR="009C1647" w:rsidRPr="009B1E7B">
        <w:t>:</w:t>
      </w:r>
      <w:r w:rsidR="00066054" w:rsidRPr="009B1E7B">
        <w:t xml:space="preserve"> j</w:t>
      </w:r>
      <w:r w:rsidR="00AD5340" w:rsidRPr="009B1E7B">
        <w:t>ie</w:t>
      </w:r>
      <w:r w:rsidR="00066054" w:rsidRPr="009B1E7B">
        <w:t xml:space="preserve"> teig</w:t>
      </w:r>
      <w:r w:rsidR="00AD5340" w:rsidRPr="009B1E7B">
        <w:t>ia</w:t>
      </w:r>
      <w:r w:rsidR="00066054" w:rsidRPr="009B1E7B">
        <w:t>,</w:t>
      </w:r>
      <w:r w:rsidR="00AD5340" w:rsidRPr="009B1E7B">
        <w:t xml:space="preserve"> jog</w:t>
      </w:r>
      <w:r w:rsidR="00066054" w:rsidRPr="009B1E7B">
        <w:t xml:space="preserve"> moterys tampa mažiau pasitikinčios</w:t>
      </w:r>
      <w:r w:rsidR="001B3839" w:rsidRPr="009B1E7B">
        <w:t xml:space="preserve"> savimi </w:t>
      </w:r>
      <w:r w:rsidR="00066054" w:rsidRPr="009B1E7B">
        <w:t>ir mažiau toleruojančios riziką, k</w:t>
      </w:r>
      <w:r w:rsidR="0054435D" w:rsidRPr="009B1E7B">
        <w:t>ada</w:t>
      </w:r>
      <w:r w:rsidR="00066054" w:rsidRPr="009B1E7B">
        <w:t xml:space="preserve"> </w:t>
      </w:r>
      <w:r w:rsidR="001C6DB8" w:rsidRPr="009B1E7B">
        <w:t>gyvena tokioje terpėje, kurios didžiąją dalį sudaro vyr</w:t>
      </w:r>
      <w:r w:rsidR="0054435D" w:rsidRPr="009B1E7B">
        <w:t>iškosios giminės atstovai</w:t>
      </w:r>
      <w:r w:rsidR="001C6DB8" w:rsidRPr="009B1E7B">
        <w:t xml:space="preserve"> – nepaisant to, kad turi vienodas galimybes</w:t>
      </w:r>
      <w:r w:rsidR="0054435D" w:rsidRPr="009B1E7B">
        <w:t xml:space="preserve"> priimti sprendimus.</w:t>
      </w:r>
    </w:p>
    <w:p w:rsidR="00506D95" w:rsidRDefault="00506D95" w:rsidP="00506D95">
      <w:r w:rsidRPr="00FD19D8">
        <w:rPr>
          <w:b/>
          <w:i/>
        </w:rPr>
        <w:t>Šeimos sudėtis</w:t>
      </w:r>
      <w:r>
        <w:t xml:space="preserve">. </w:t>
      </w:r>
      <w:r w:rsidR="00AF202E">
        <w:t>Kalbant apie šeimos sudėtį, reiktų pasakyti, jog šis veiksnys lemia, kiek pajamų teks</w:t>
      </w:r>
      <w:r>
        <w:t xml:space="preserve"> vienam šeimos nariui, o tai reiškia, jog, esant didelei šeimai, kurioje dirba tik vienas arba du a</w:t>
      </w:r>
      <w:r w:rsidR="00036109">
        <w:t>smenys, santykinės pajamos ta</w:t>
      </w:r>
      <w:r w:rsidR="004F6F58">
        <w:t>mpa</w:t>
      </w:r>
      <w:r>
        <w:t xml:space="preserve"> mažesnės. Dėl to, neįvertinus šio veiksnio įtakos, gali būti priimti sprendimai, neatitinkantys galimybių, t. y. išlaidos gali priartėti prie pajamų</w:t>
      </w:r>
      <w:r w:rsidR="004F6F58">
        <w:t xml:space="preserve"> lygio</w:t>
      </w:r>
      <w:r>
        <w:t>, arba dar blogiau – viršyti jas.</w:t>
      </w:r>
    </w:p>
    <w:p w:rsidR="00C45834" w:rsidRDefault="004F6F58" w:rsidP="00C45834">
      <w:r>
        <w:t xml:space="preserve">Apibendrinant, </w:t>
      </w:r>
      <w:r w:rsidR="00821AFF">
        <w:t>galima teigti</w:t>
      </w:r>
      <w:r>
        <w:t xml:space="preserve">, </w:t>
      </w:r>
      <w:r w:rsidR="001B3839">
        <w:t xml:space="preserve">jog </w:t>
      </w:r>
      <w:r w:rsidR="00B85ADD">
        <w:t>socialiniai</w:t>
      </w:r>
      <w:r w:rsidR="00CD75B8">
        <w:t>-demografiniai</w:t>
      </w:r>
      <w:r w:rsidR="00B85ADD">
        <w:t xml:space="preserve"> veiksniai daro </w:t>
      </w:r>
      <w:r w:rsidR="00821AFF">
        <w:t xml:space="preserve">itin </w:t>
      </w:r>
      <w:r w:rsidR="00B85ADD">
        <w:t>didel</w:t>
      </w:r>
      <w:r w:rsidR="00CD75B8">
        <w:t>ę</w:t>
      </w:r>
      <w:r w:rsidR="00B85ADD">
        <w:t xml:space="preserve"> </w:t>
      </w:r>
      <w:r w:rsidR="00CD75B8">
        <w:t xml:space="preserve">įtaką </w:t>
      </w:r>
      <w:r>
        <w:t xml:space="preserve">finansinių sprendimų priėmimo </w:t>
      </w:r>
      <w:r w:rsidR="00D039B7">
        <w:t>procese</w:t>
      </w:r>
      <w:r w:rsidR="00B85ADD">
        <w:t xml:space="preserve">, </w:t>
      </w:r>
      <w:r w:rsidR="00D039B7">
        <w:t>nes jie, kaip ir kognityviniai nukrypimai, yra susiję su žmogaus asmenybe</w:t>
      </w:r>
      <w:r w:rsidR="000854A9">
        <w:t>. T</w:t>
      </w:r>
      <w:r w:rsidR="00B85ADD">
        <w:t xml:space="preserve">ačiau </w:t>
      </w:r>
      <w:r w:rsidR="009F5A8F">
        <w:t>tuo</w:t>
      </w:r>
      <w:r w:rsidR="000854A9">
        <w:t xml:space="preserve"> veiksnių sąrašas nesibaigia</w:t>
      </w:r>
      <w:r w:rsidR="009F5A8F">
        <w:t xml:space="preserve">, nes </w:t>
      </w:r>
      <w:r w:rsidR="008A5E13">
        <w:t xml:space="preserve">šalia egzistuoja </w:t>
      </w:r>
      <w:r w:rsidR="00E5690C">
        <w:t xml:space="preserve">ir </w:t>
      </w:r>
      <w:r w:rsidR="008A5E13">
        <w:t>ekonominiai bei teisiniai-politiniai veiksniai.</w:t>
      </w:r>
    </w:p>
    <w:p w:rsidR="00A07FAF" w:rsidRPr="009B1E7B" w:rsidRDefault="0010759D" w:rsidP="00C45834">
      <w:r w:rsidRPr="009B1E7B">
        <w:lastRenderedPageBreak/>
        <w:t xml:space="preserve">Kalbant apie </w:t>
      </w:r>
      <w:r w:rsidRPr="009B1E7B">
        <w:rPr>
          <w:b/>
          <w:i/>
          <w:u w:val="single"/>
        </w:rPr>
        <w:t>ekonominius veiksnius</w:t>
      </w:r>
      <w:r w:rsidRPr="009B1E7B">
        <w:t>, reikėtų</w:t>
      </w:r>
      <w:r w:rsidR="000E4CAE" w:rsidRPr="009B1E7B">
        <w:t xml:space="preserve"> akcentuoti</w:t>
      </w:r>
      <w:r w:rsidRPr="009B1E7B">
        <w:t>, jog</w:t>
      </w:r>
      <w:r w:rsidR="000E4CAE" w:rsidRPr="009B1E7B">
        <w:t xml:space="preserve"> jie nebūtinai turi būti susiję su pačiu individu, kadangi gali veikti </w:t>
      </w:r>
      <w:r w:rsidR="000E4CAE" w:rsidRPr="009B1E7B">
        <w:rPr>
          <w:i/>
        </w:rPr>
        <w:t>iš išorės</w:t>
      </w:r>
      <w:r w:rsidR="000E4CAE" w:rsidRPr="009B1E7B">
        <w:t>.</w:t>
      </w:r>
      <w:r w:rsidR="00C23814" w:rsidRPr="009B1E7B">
        <w:t xml:space="preserve"> Kitaip tariant, </w:t>
      </w:r>
      <w:r w:rsidR="004B3E8E" w:rsidRPr="009B1E7B">
        <w:t xml:space="preserve">gyventojų finansiniams sprendimams įtaką gali daryti </w:t>
      </w:r>
      <w:r w:rsidR="008E78DE" w:rsidRPr="009B1E7B">
        <w:t>ne tik jų generuojamos</w:t>
      </w:r>
      <w:r w:rsidR="00734670" w:rsidRPr="009B1E7B">
        <w:t xml:space="preserve"> įplaukos</w:t>
      </w:r>
      <w:r w:rsidR="008E78DE" w:rsidRPr="009B1E7B">
        <w:t xml:space="preserve">, bet ir </w:t>
      </w:r>
      <w:r w:rsidR="0075277C" w:rsidRPr="009B1E7B">
        <w:t xml:space="preserve">tokie veiksniai kaip </w:t>
      </w:r>
      <w:r w:rsidR="008E78DE" w:rsidRPr="009B1E7B">
        <w:rPr>
          <w:i/>
        </w:rPr>
        <w:t>šalies ekonominė padėtis</w:t>
      </w:r>
      <w:r w:rsidR="00E672B5" w:rsidRPr="009B1E7B">
        <w:t>;</w:t>
      </w:r>
      <w:r w:rsidR="0075277C" w:rsidRPr="009B1E7B">
        <w:t xml:space="preserve"> </w:t>
      </w:r>
      <w:r w:rsidR="00A008D8" w:rsidRPr="009B1E7B">
        <w:rPr>
          <w:i/>
        </w:rPr>
        <w:t>nedarbas</w:t>
      </w:r>
      <w:r w:rsidR="00E672B5" w:rsidRPr="009B1E7B">
        <w:t>;</w:t>
      </w:r>
      <w:r w:rsidR="006D1802" w:rsidRPr="009B1E7B">
        <w:t xml:space="preserve"> </w:t>
      </w:r>
      <w:r w:rsidR="006D1802" w:rsidRPr="009B1E7B">
        <w:rPr>
          <w:i/>
        </w:rPr>
        <w:t>infliacij</w:t>
      </w:r>
      <w:r w:rsidR="00A008D8" w:rsidRPr="009B1E7B">
        <w:rPr>
          <w:i/>
        </w:rPr>
        <w:t>os lygis</w:t>
      </w:r>
      <w:r w:rsidR="00E672B5" w:rsidRPr="009B1E7B">
        <w:rPr>
          <w:i/>
        </w:rPr>
        <w:t>;</w:t>
      </w:r>
      <w:r w:rsidR="007548B2" w:rsidRPr="009B1E7B">
        <w:rPr>
          <w:i/>
        </w:rPr>
        <w:t xml:space="preserve"> </w:t>
      </w:r>
      <w:r w:rsidR="006D1802" w:rsidRPr="009B1E7B">
        <w:rPr>
          <w:i/>
        </w:rPr>
        <w:t>kainos</w:t>
      </w:r>
      <w:r w:rsidR="00E672B5" w:rsidRPr="009B1E7B">
        <w:t>;</w:t>
      </w:r>
      <w:r w:rsidR="006D1802" w:rsidRPr="009B1E7B">
        <w:t xml:space="preserve"> </w:t>
      </w:r>
      <w:r w:rsidR="0075277C" w:rsidRPr="009B1E7B">
        <w:rPr>
          <w:i/>
        </w:rPr>
        <w:t>palūkanų normos</w:t>
      </w:r>
      <w:r w:rsidR="0072139C" w:rsidRPr="009B1E7B">
        <w:t xml:space="preserve"> ir kt</w:t>
      </w:r>
      <w:r w:rsidR="00A008D8" w:rsidRPr="009B1E7B">
        <w:t>.</w:t>
      </w:r>
      <w:r w:rsidR="00FE55E1" w:rsidRPr="009B1E7B">
        <w:t xml:space="preserve"> Empiriniais tyrimais įrodyta, kad ekonomikos augimas daro </w:t>
      </w:r>
      <w:r w:rsidR="00522040" w:rsidRPr="009B1E7B">
        <w:t xml:space="preserve">didelį poveikį taupymui </w:t>
      </w:r>
      <w:r w:rsidR="005E26A4" w:rsidRPr="009B1E7B">
        <w:t>(Rakauskienė</w:t>
      </w:r>
      <w:r w:rsidR="005F2A0C" w:rsidRPr="009B1E7B">
        <w:t>,</w:t>
      </w:r>
      <w:r w:rsidR="005E26A4" w:rsidRPr="009B1E7B">
        <w:t xml:space="preserve"> </w:t>
      </w:r>
      <w:proofErr w:type="spellStart"/>
      <w:r w:rsidR="005F2A0C" w:rsidRPr="009B1E7B">
        <w:t>Bikas</w:t>
      </w:r>
      <w:proofErr w:type="spellEnd"/>
      <w:r w:rsidR="005F2A0C" w:rsidRPr="009B1E7B">
        <w:t xml:space="preserve"> </w:t>
      </w:r>
      <w:r w:rsidR="005E26A4" w:rsidRPr="009B1E7B">
        <w:t xml:space="preserve">2007), </w:t>
      </w:r>
      <w:r w:rsidR="00522040" w:rsidRPr="009B1E7B">
        <w:t>palūkanos – skolinimuisi bei</w:t>
      </w:r>
      <w:r w:rsidR="00D93CDF" w:rsidRPr="009B1E7B">
        <w:t xml:space="preserve"> vartojimui (</w:t>
      </w:r>
      <w:r w:rsidR="00887E9F" w:rsidRPr="009B1E7B">
        <w:t xml:space="preserve">Ramanauskas, </w:t>
      </w:r>
      <w:proofErr w:type="spellStart"/>
      <w:r w:rsidR="00887E9F" w:rsidRPr="009B1E7B">
        <w:t>Jakaitienė</w:t>
      </w:r>
      <w:proofErr w:type="spellEnd"/>
      <w:r w:rsidR="00D93CDF" w:rsidRPr="009B1E7B">
        <w:t xml:space="preserve"> 2007</w:t>
      </w:r>
      <w:r w:rsidR="00522040" w:rsidRPr="009B1E7B">
        <w:t>), o</w:t>
      </w:r>
      <w:r w:rsidR="00887E9F" w:rsidRPr="009B1E7B">
        <w:t xml:space="preserve"> </w:t>
      </w:r>
      <w:r w:rsidR="00FC03F4" w:rsidRPr="009B1E7B">
        <w:t xml:space="preserve">nedarbas – </w:t>
      </w:r>
      <w:r w:rsidR="00D93CDF" w:rsidRPr="009B1E7B">
        <w:t>„šešėlio</w:t>
      </w:r>
      <w:r w:rsidR="006B5085" w:rsidRPr="009B1E7B">
        <w:t>“ didėjimui (Tartilas 2005</w:t>
      </w:r>
      <w:r w:rsidR="006E7DA7" w:rsidRPr="009B1E7B">
        <w:t>)</w:t>
      </w:r>
      <w:r w:rsidR="003B4592" w:rsidRPr="009B1E7B">
        <w:t>. T</w:t>
      </w:r>
      <w:r w:rsidR="00390DDC" w:rsidRPr="009B1E7B">
        <w:t>ai</w:t>
      </w:r>
      <w:r w:rsidR="00CC20E0" w:rsidRPr="009B1E7B">
        <w:t xml:space="preserve"> reiškia</w:t>
      </w:r>
      <w:r w:rsidR="00390DDC" w:rsidRPr="009B1E7B">
        <w:t xml:space="preserve">, </w:t>
      </w:r>
      <w:r w:rsidR="003B4592" w:rsidRPr="009B1E7B">
        <w:t xml:space="preserve">jog </w:t>
      </w:r>
      <w:r w:rsidR="00632D1F" w:rsidRPr="009B1E7B">
        <w:t xml:space="preserve">neracionali </w:t>
      </w:r>
      <w:r w:rsidR="006E7DA7" w:rsidRPr="009B1E7B">
        <w:t xml:space="preserve">finansinė </w:t>
      </w:r>
      <w:r w:rsidR="00632D1F" w:rsidRPr="009B1E7B">
        <w:t>elgsena</w:t>
      </w:r>
      <w:r w:rsidR="004C474E" w:rsidRPr="009B1E7B">
        <w:t xml:space="preserve"> gali atsirasti</w:t>
      </w:r>
      <w:r w:rsidR="009F24A9" w:rsidRPr="009B1E7B">
        <w:t>, netinkamai įvertinus</w:t>
      </w:r>
      <w:r w:rsidR="0027106C" w:rsidRPr="009B1E7B">
        <w:t xml:space="preserve"> (</w:t>
      </w:r>
      <w:r w:rsidR="00C66D44" w:rsidRPr="009B1E7B">
        <w:t xml:space="preserve">arba </w:t>
      </w:r>
      <w:r w:rsidR="0027106C" w:rsidRPr="009B1E7B">
        <w:t>sureagavus</w:t>
      </w:r>
      <w:r w:rsidR="002835FB" w:rsidRPr="009B1E7B">
        <w:t xml:space="preserve"> į</w:t>
      </w:r>
      <w:r w:rsidR="0027106C" w:rsidRPr="009B1E7B">
        <w:t>)</w:t>
      </w:r>
      <w:r w:rsidR="009F24A9" w:rsidRPr="009B1E7B">
        <w:t xml:space="preserve"> ekonominio pobūdžio</w:t>
      </w:r>
      <w:r w:rsidR="004C474E" w:rsidRPr="009B1E7B">
        <w:t xml:space="preserve"> informaciją. Kadangi didžiąją dalį finansinės</w:t>
      </w:r>
      <w:r w:rsidR="009F24A9" w:rsidRPr="009B1E7B">
        <w:t xml:space="preserve"> informacijos </w:t>
      </w:r>
      <w:r w:rsidR="00077176" w:rsidRPr="009B1E7B">
        <w:t xml:space="preserve">gyventojai </w:t>
      </w:r>
      <w:r w:rsidR="009F24A9" w:rsidRPr="009B1E7B">
        <w:t xml:space="preserve">gauna </w:t>
      </w:r>
      <w:r w:rsidR="00EF010F" w:rsidRPr="009B1E7B">
        <w:t>per</w:t>
      </w:r>
      <w:r w:rsidR="009F24A9" w:rsidRPr="009B1E7B">
        <w:t xml:space="preserve"> </w:t>
      </w:r>
      <w:r w:rsidR="00EF010F" w:rsidRPr="009B1E7B">
        <w:t>finans</w:t>
      </w:r>
      <w:r w:rsidR="00207854" w:rsidRPr="009B1E7B">
        <w:t>ų</w:t>
      </w:r>
      <w:r w:rsidR="00EF010F" w:rsidRPr="009B1E7B">
        <w:t xml:space="preserve"> institucijas, </w:t>
      </w:r>
      <w:r w:rsidR="009F24A9" w:rsidRPr="009B1E7B">
        <w:t>Vyriausyb</w:t>
      </w:r>
      <w:r w:rsidR="00EF010F" w:rsidRPr="009B1E7B">
        <w:t>ę</w:t>
      </w:r>
      <w:r w:rsidR="00770AB3" w:rsidRPr="009B1E7B">
        <w:t xml:space="preserve"> </w:t>
      </w:r>
      <w:r w:rsidR="00207854" w:rsidRPr="009B1E7B">
        <w:t xml:space="preserve">(įstatymai) </w:t>
      </w:r>
      <w:r w:rsidR="008351EF" w:rsidRPr="009B1E7B">
        <w:t>bei</w:t>
      </w:r>
      <w:r w:rsidR="00077176" w:rsidRPr="009B1E7B">
        <w:t xml:space="preserve"> </w:t>
      </w:r>
      <w:r w:rsidR="00770AB3" w:rsidRPr="009B1E7B">
        <w:t xml:space="preserve">politines partijas </w:t>
      </w:r>
      <w:r w:rsidR="009F24A9" w:rsidRPr="009B1E7B">
        <w:t>(</w:t>
      </w:r>
      <w:r w:rsidR="00C66D44" w:rsidRPr="009B1E7B">
        <w:t>žiniasklaidos pagalba</w:t>
      </w:r>
      <w:r w:rsidR="00207854" w:rsidRPr="009B1E7B">
        <w:t xml:space="preserve">), </w:t>
      </w:r>
      <w:r w:rsidR="00266D67" w:rsidRPr="009B1E7B">
        <w:t xml:space="preserve">toliau </w:t>
      </w:r>
      <w:r w:rsidR="002835FB" w:rsidRPr="009B1E7B">
        <w:t xml:space="preserve">būtų </w:t>
      </w:r>
      <w:r w:rsidR="00266D67" w:rsidRPr="009B1E7B">
        <w:t>tikslinga aptarti teisinius ir politinius veiksnius.</w:t>
      </w:r>
    </w:p>
    <w:p w:rsidR="00A07FAF" w:rsidRDefault="00A07FAF" w:rsidP="00C45834">
      <w:r w:rsidRPr="008351EF">
        <w:rPr>
          <w:b/>
          <w:i/>
          <w:u w:val="single"/>
        </w:rPr>
        <w:t>Teisiniai-politiniai veiksniai</w:t>
      </w:r>
      <w:r w:rsidR="008351EF">
        <w:t xml:space="preserve"> </w:t>
      </w:r>
      <w:r w:rsidR="00B145CE">
        <w:t xml:space="preserve">daro </w:t>
      </w:r>
      <w:r w:rsidR="008351EF">
        <w:t>įtaką</w:t>
      </w:r>
      <w:r w:rsidR="00433885">
        <w:t xml:space="preserve"> kiekvienam asmeniui</w:t>
      </w:r>
      <w:r w:rsidR="00674272">
        <w:t>, nes</w:t>
      </w:r>
      <w:r w:rsidR="00B145CE">
        <w:t xml:space="preserve"> </w:t>
      </w:r>
      <w:r w:rsidR="00CD7E4B">
        <w:t xml:space="preserve">beveik visos žmogaus </w:t>
      </w:r>
      <w:r w:rsidR="00433885">
        <w:t>veiklos</w:t>
      </w:r>
      <w:r w:rsidR="00CD7E4B">
        <w:t xml:space="preserve"> </w:t>
      </w:r>
      <w:r w:rsidR="00674272">
        <w:t xml:space="preserve">yra </w:t>
      </w:r>
      <w:r w:rsidR="00F31DBF">
        <w:t>reguliuojam</w:t>
      </w:r>
      <w:r w:rsidR="00CD7E4B">
        <w:t>os</w:t>
      </w:r>
      <w:r w:rsidR="00F31DBF">
        <w:t xml:space="preserve"> </w:t>
      </w:r>
      <w:r w:rsidR="00F31DBF" w:rsidRPr="00072C25">
        <w:rPr>
          <w:i/>
        </w:rPr>
        <w:t>įstatymais</w:t>
      </w:r>
      <w:r w:rsidR="00F31DBF">
        <w:t>.</w:t>
      </w:r>
      <w:r w:rsidR="00CD7E4B">
        <w:t xml:space="preserve"> Taigi prie teisinių-politinių veiksnių, darančių įtaką finansiniams sprendimams, galima priskirti: </w:t>
      </w:r>
      <w:r w:rsidR="00E672B5" w:rsidRPr="00E672B5">
        <w:rPr>
          <w:i/>
        </w:rPr>
        <w:t>politinį šalies stabilumą</w:t>
      </w:r>
      <w:r w:rsidR="00E672B5">
        <w:t xml:space="preserve">; </w:t>
      </w:r>
      <w:r w:rsidR="00B1798D" w:rsidRPr="00B1798D">
        <w:rPr>
          <w:i/>
        </w:rPr>
        <w:t>priimamus politinius sprendimus</w:t>
      </w:r>
      <w:r w:rsidR="008425CC">
        <w:t>;</w:t>
      </w:r>
      <w:r w:rsidR="00B1798D">
        <w:t xml:space="preserve"> </w:t>
      </w:r>
      <w:r w:rsidR="00B1798D" w:rsidRPr="00B1798D">
        <w:rPr>
          <w:i/>
        </w:rPr>
        <w:t>šalies valdymo veiksmingumą</w:t>
      </w:r>
      <w:r w:rsidR="00B1798D">
        <w:t>.</w:t>
      </w:r>
      <w:r w:rsidR="00A451F4">
        <w:t xml:space="preserve"> </w:t>
      </w:r>
      <w:r w:rsidR="00A451F4" w:rsidRPr="009B1E7B">
        <w:t xml:space="preserve">Anot </w:t>
      </w:r>
      <w:proofErr w:type="spellStart"/>
      <w:r w:rsidR="008425CC" w:rsidRPr="009B1E7B">
        <w:t>Biko</w:t>
      </w:r>
      <w:proofErr w:type="spellEnd"/>
      <w:r w:rsidR="008425CC" w:rsidRPr="009B1E7B">
        <w:t>,</w:t>
      </w:r>
      <w:r w:rsidR="00A451F4" w:rsidRPr="009B1E7B">
        <w:t xml:space="preserve"> Rakauskienės (2007), </w:t>
      </w:r>
      <w:r w:rsidR="00DB76CA" w:rsidRPr="009B1E7B">
        <w:t>„</w:t>
      </w:r>
      <w:r w:rsidR="00A451F4" w:rsidRPr="009B1E7B">
        <w:t>stabiliomis</w:t>
      </w:r>
      <w:r w:rsidR="00A451F4">
        <w:t xml:space="preserve"> politinėmis</w:t>
      </w:r>
      <w:r w:rsidR="008E05CC">
        <w:t>,</w:t>
      </w:r>
      <w:r w:rsidR="00B2738D">
        <w:t xml:space="preserve"> socialinėmis sąlygomis gyventojai gali </w:t>
      </w:r>
      <w:r w:rsidR="004865EF">
        <w:t xml:space="preserve">[turėtų] </w:t>
      </w:r>
      <w:r w:rsidR="00B2738D">
        <w:t xml:space="preserve">numatyti ilgesnes taupymo ir investavimo </w:t>
      </w:r>
      <w:r w:rsidR="00B2738D" w:rsidRPr="009B1E7B">
        <w:t>strategijas</w:t>
      </w:r>
      <w:r w:rsidR="008E05CC" w:rsidRPr="009B1E7B">
        <w:t>“ (p. 128)</w:t>
      </w:r>
      <w:r w:rsidR="00FB0166" w:rsidRPr="009B1E7B">
        <w:t>, o</w:t>
      </w:r>
      <w:r w:rsidR="004865EF">
        <w:t xml:space="preserve"> tai reiškia, kad, esant priešingai </w:t>
      </w:r>
      <w:r w:rsidR="00FB0166">
        <w:t xml:space="preserve">įvardytai </w:t>
      </w:r>
      <w:r w:rsidR="004865EF">
        <w:t xml:space="preserve">situacijai, </w:t>
      </w:r>
      <w:r w:rsidR="00FB0166">
        <w:t xml:space="preserve">jie </w:t>
      </w:r>
      <w:r w:rsidR="004865EF">
        <w:t>turėtų būti atsarg</w:t>
      </w:r>
      <w:r w:rsidR="00674272">
        <w:t>ūs</w:t>
      </w:r>
      <w:r w:rsidR="004865EF">
        <w:t>. V</w:t>
      </w:r>
      <w:r w:rsidR="00BF30D2">
        <w:t>adinasi,</w:t>
      </w:r>
      <w:r w:rsidR="004865EF">
        <w:t xml:space="preserve"> neracionali elgsena gali atsirasti</w:t>
      </w:r>
      <w:r w:rsidR="00DE1C84">
        <w:t xml:space="preserve">, </w:t>
      </w:r>
      <w:r w:rsidR="00674272">
        <w:t xml:space="preserve">tiesiog </w:t>
      </w:r>
      <w:r w:rsidR="00DE1C84">
        <w:t>netinkamai įvertinus</w:t>
      </w:r>
      <w:r w:rsidR="00C53D41">
        <w:t xml:space="preserve"> situaciją.</w:t>
      </w:r>
      <w:r w:rsidR="00315CA7">
        <w:t xml:space="preserve"> Politinių sprendim</w:t>
      </w:r>
      <w:r w:rsidR="0051631A">
        <w:t xml:space="preserve">ų įtaka </w:t>
      </w:r>
      <w:r w:rsidR="000638F2">
        <w:t xml:space="preserve">paprastai </w:t>
      </w:r>
      <w:r w:rsidR="0051631A">
        <w:t>pasireiškia</w:t>
      </w:r>
      <w:r w:rsidR="000638F2">
        <w:t>, priėmus</w:t>
      </w:r>
      <w:r w:rsidR="00315CA7">
        <w:t xml:space="preserve"> </w:t>
      </w:r>
      <w:r w:rsidR="000638F2">
        <w:t>įstatymus ar</w:t>
      </w:r>
      <w:r w:rsidR="000B2FD8">
        <w:t>ba</w:t>
      </w:r>
      <w:r w:rsidR="007548B2">
        <w:t xml:space="preserve"> atlikus senųjų pataisas.</w:t>
      </w:r>
      <w:r w:rsidR="003B5E96">
        <w:t xml:space="preserve"> </w:t>
      </w:r>
      <w:r w:rsidR="00D26630">
        <w:t xml:space="preserve">Pastebima, jog </w:t>
      </w:r>
      <w:r w:rsidR="00A53DF2">
        <w:t xml:space="preserve">jautriai reaguojama į </w:t>
      </w:r>
      <w:r w:rsidR="00D26630">
        <w:t>mokesčių pasikeitim</w:t>
      </w:r>
      <w:r w:rsidR="00A53DF2">
        <w:t>us</w:t>
      </w:r>
      <w:r w:rsidR="008751DC">
        <w:t xml:space="preserve">, </w:t>
      </w:r>
      <w:r w:rsidR="00C9553A">
        <w:t xml:space="preserve">ir ypatingai – </w:t>
      </w:r>
      <w:r w:rsidR="00591405">
        <w:t xml:space="preserve">samdomo </w:t>
      </w:r>
      <w:r w:rsidR="00C9553A">
        <w:t>darbo apmokestinimo srityje</w:t>
      </w:r>
      <w:r w:rsidR="009A533A">
        <w:t xml:space="preserve">: </w:t>
      </w:r>
      <w:r w:rsidR="000D6133">
        <w:t>mokėda</w:t>
      </w:r>
      <w:r w:rsidR="0093316A">
        <w:t>mi didžiausius mokesčius (</w:t>
      </w:r>
      <w:r w:rsidR="00E807FF">
        <w:t>darant prielaidą, jo</w:t>
      </w:r>
      <w:r w:rsidR="00BC6B31">
        <w:t xml:space="preserve">g reikia </w:t>
      </w:r>
      <w:r w:rsidR="00C64C60">
        <w:t>„</w:t>
      </w:r>
      <w:r w:rsidR="0051631A">
        <w:t>atidirbti</w:t>
      </w:r>
      <w:r w:rsidR="00C64C60">
        <w:t>“</w:t>
      </w:r>
      <w:r w:rsidR="0051631A">
        <w:t xml:space="preserve"> už sukurtą </w:t>
      </w:r>
      <w:r w:rsidR="00E807FF">
        <w:t>darbo vietą), žmonės yra linkę</w:t>
      </w:r>
      <w:r w:rsidR="0006598A">
        <w:t xml:space="preserve"> nuslėpti pajamas, kas stipriai paveikia valstybės, </w:t>
      </w:r>
      <w:r w:rsidR="00A53DF2">
        <w:t xml:space="preserve">o kiek </w:t>
      </w:r>
      <w:r w:rsidR="0006598A">
        <w:t>vėliau</w:t>
      </w:r>
      <w:r w:rsidR="00BC6B31">
        <w:t xml:space="preserve"> –</w:t>
      </w:r>
      <w:r w:rsidR="0006598A">
        <w:t xml:space="preserve"> ir asmeninius finansus.</w:t>
      </w:r>
    </w:p>
    <w:p w:rsidR="00C9553A" w:rsidRDefault="000D6133" w:rsidP="00C45834">
      <w:r>
        <w:t xml:space="preserve">Apibendrinant, </w:t>
      </w:r>
      <w:r w:rsidR="00BC6B31">
        <w:t xml:space="preserve">būtina </w:t>
      </w:r>
      <w:r w:rsidR="009B7B65">
        <w:t>akcentuoti, jog mokslininkai iki šiol nėra įsitikinę, koks veiksnių kompleksas daro didžiausią</w:t>
      </w:r>
      <w:r>
        <w:t xml:space="preserve"> įtaką</w:t>
      </w:r>
      <w:r w:rsidR="00B713D7">
        <w:t xml:space="preserve"> finansiniams sprendimams</w:t>
      </w:r>
      <w:r w:rsidR="003B28FD">
        <w:t xml:space="preserve">, </w:t>
      </w:r>
      <w:r w:rsidR="000E2836">
        <w:t xml:space="preserve">taigi kiekvienu atveju jis gali būti </w:t>
      </w:r>
      <w:r w:rsidR="00E118F0" w:rsidRPr="000825F3">
        <w:rPr>
          <w:i/>
        </w:rPr>
        <w:t>unikalus</w:t>
      </w:r>
      <w:r w:rsidR="00E118F0" w:rsidRPr="000825F3">
        <w:t xml:space="preserve"> </w:t>
      </w:r>
      <w:r w:rsidR="000E2836" w:rsidRPr="000825F3">
        <w:t>(</w:t>
      </w:r>
      <w:r w:rsidR="00927EAE" w:rsidRPr="000825F3">
        <w:t>žr. 4</w:t>
      </w:r>
      <w:r w:rsidR="000E2836" w:rsidRPr="000825F3">
        <w:t> pav.).</w:t>
      </w:r>
    </w:p>
    <w:p w:rsidR="00F35136" w:rsidRDefault="00D84BC4" w:rsidP="00A30DEC">
      <w:pPr>
        <w:spacing w:line="240" w:lineRule="auto"/>
        <w:ind w:firstLine="0"/>
        <w:contextualSpacing w:val="0"/>
        <w:jc w:val="center"/>
      </w:pPr>
      <w:r>
        <w:pict>
          <v:group id="_x0000_s1190" editas="canvas" style="width:491.5pt;height:214.15pt;mso-position-horizontal-relative:char;mso-position-vertical-relative:line" coordorigin="2157,10741" coordsize="7417,3214">
            <o:lock v:ext="edit" aspectratio="t"/>
            <v:shape id="_x0000_s1191" type="#_x0000_t75" style="position:absolute;left:2157;top:10741;width:7417;height:3214" o:preferrelative="f">
              <v:fill o:detectmouseclick="t"/>
              <v:path o:extrusionok="t" o:connecttype="none"/>
              <o:lock v:ext="edit" text="t"/>
            </v:shape>
            <v:oval id="_x0000_s1192" style="position:absolute;left:2157;top:10741;width:7417;height:3214" fillcolor="#b6dde8 [1304]" strokeweight="1.25pt">
              <v:fill opacity="26214f"/>
            </v:oval>
            <v:oval id="_x0000_s1194" style="position:absolute;left:4179;top:10741;width:3395;height:3214" o:regroupid="1" fillcolor="#92cddc [1944]" strokeweight="1.5pt"/>
            <v:oval id="_x0000_s1196" style="position:absolute;left:5408;top:11821;width:950;height:945" o:regroupid="2" fillcolor="#31849b [2408]" strokeweight="2pt">
              <v:textbox style="mso-next-textbox:#_x0000_s1196">
                <w:txbxContent>
                  <w:p w:rsidR="00B2438E" w:rsidRPr="00522D42" w:rsidRDefault="00B2438E" w:rsidP="0082752E">
                    <w:pPr>
                      <w:spacing w:before="240" w:after="0" w:line="240" w:lineRule="auto"/>
                      <w:ind w:firstLine="0"/>
                      <w:jc w:val="center"/>
                      <w:rPr>
                        <w:b/>
                        <w:sz w:val="19"/>
                        <w:szCs w:val="19"/>
                      </w:rPr>
                    </w:pPr>
                    <w:r w:rsidRPr="00522D42">
                      <w:rPr>
                        <w:b/>
                        <w:sz w:val="19"/>
                        <w:szCs w:val="19"/>
                      </w:rPr>
                      <w:t>Elgsena</w:t>
                    </w:r>
                  </w:p>
                </w:txbxContent>
              </v:textbox>
            </v:oval>
            <v:oval id="_x0000_s1207" style="position:absolute;left:2357;top:11647;width:1620;height:1407" strokecolor="#92cddc [1944]" strokeweight="2pt">
              <v:textbox style="mso-next-textbox:#_x0000_s1207">
                <w:txbxContent>
                  <w:p w:rsidR="00B2438E" w:rsidRPr="001E0F87" w:rsidRDefault="00B2438E" w:rsidP="00B44A99">
                    <w:pPr>
                      <w:spacing w:before="420" w:after="0" w:line="240" w:lineRule="auto"/>
                      <w:ind w:firstLine="0"/>
                      <w:jc w:val="center"/>
                      <w:rPr>
                        <w:b/>
                        <w:sz w:val="18"/>
                        <w:szCs w:val="18"/>
                      </w:rPr>
                    </w:pPr>
                    <w:r w:rsidRPr="001E0F87">
                      <w:rPr>
                        <w:b/>
                        <w:sz w:val="18"/>
                        <w:szCs w:val="18"/>
                      </w:rPr>
                      <w:t>Ekonominiai veiksniai</w:t>
                    </w:r>
                  </w:p>
                </w:txbxContent>
              </v:textbox>
            </v:oval>
            <v:oval id="_x0000_s1208" style="position:absolute;left:7736;top:11643;width:1608;height:1424" strokecolor="#92cddc [1944]" strokeweight="2pt">
              <v:textbox style="mso-next-textbox:#_x0000_s1208">
                <w:txbxContent>
                  <w:p w:rsidR="00B2438E" w:rsidRPr="001E0F87" w:rsidRDefault="00B2438E" w:rsidP="00B44A99">
                    <w:pPr>
                      <w:spacing w:before="240" w:after="0" w:line="240" w:lineRule="auto"/>
                      <w:ind w:firstLine="0"/>
                      <w:jc w:val="center"/>
                      <w:rPr>
                        <w:b/>
                        <w:sz w:val="18"/>
                        <w:szCs w:val="18"/>
                      </w:rPr>
                    </w:pPr>
                    <w:r w:rsidRPr="001E0F87">
                      <w:rPr>
                        <w:b/>
                        <w:sz w:val="18"/>
                        <w:szCs w:val="18"/>
                      </w:rPr>
                      <w:t>Teisiniai-politiniai veiksniai</w:t>
                    </w:r>
                  </w:p>
                </w:txbxContent>
              </v:textbox>
            </v:oval>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215" type="#_x0000_t94" style="position:absolute;left:3976;top:12223;width:359;height:274"/>
            <v:shape id="_x0000_s1218" type="#_x0000_t94" style="position:absolute;left:7393;top:12221;width:343;height:270;rotation:180"/>
            <v:roundrect id="_x0000_s1224" style="position:absolute;left:4447;top:11323;width:966;height:933;rotation:2012419fd" arcsize="10923f" strokecolor="#31849b [2408]" strokeweight="1.5pt">
              <v:textbox style="mso-next-textbox:#_x0000_s1224" inset="3.6pt,2.16pt,3.6pt,2.16pt">
                <w:txbxContent>
                  <w:p w:rsidR="00B2438E" w:rsidRPr="001E0F87" w:rsidRDefault="00B2438E" w:rsidP="0082752E">
                    <w:pPr>
                      <w:spacing w:before="240" w:after="0" w:line="240" w:lineRule="auto"/>
                      <w:ind w:firstLine="0"/>
                      <w:jc w:val="center"/>
                      <w:rPr>
                        <w:b/>
                        <w:sz w:val="16"/>
                        <w:szCs w:val="16"/>
                      </w:rPr>
                    </w:pPr>
                    <w:r w:rsidRPr="001E0F87">
                      <w:rPr>
                        <w:b/>
                        <w:sz w:val="16"/>
                        <w:szCs w:val="16"/>
                      </w:rPr>
                      <w:t>Emociniai-psichologiniai veiksniai</w:t>
                    </w:r>
                  </w:p>
                </w:txbxContent>
              </v:textbox>
            </v:roundrect>
            <v:roundrect id="_x0000_s1225" style="position:absolute;left:6344;top:11323;width:961;height:933;rotation:9600194fd" arcsize="10923f" strokecolor="#31849b [2408]" strokeweight="1.5pt">
              <v:textbox style="mso-next-textbox:#_x0000_s1225" inset="3.6pt,2.16pt,3.6pt,2.16pt">
                <w:txbxContent>
                  <w:p w:rsidR="00B2438E" w:rsidRPr="001E0F87" w:rsidRDefault="00B2438E" w:rsidP="0082752E">
                    <w:pPr>
                      <w:spacing w:before="240" w:after="0" w:line="240" w:lineRule="auto"/>
                      <w:ind w:firstLine="0"/>
                      <w:jc w:val="center"/>
                      <w:rPr>
                        <w:b/>
                        <w:sz w:val="16"/>
                        <w:szCs w:val="16"/>
                      </w:rPr>
                    </w:pPr>
                    <w:r w:rsidRPr="001E0F87">
                      <w:rPr>
                        <w:b/>
                        <w:sz w:val="16"/>
                        <w:szCs w:val="16"/>
                      </w:rPr>
                      <w:t>Socialiniai-demografiniai veiksniai</w:t>
                    </w:r>
                  </w:p>
                </w:txbxContent>
              </v:textbox>
            </v:roundrect>
            <v:roundrect id="_x0000_s1226" style="position:absolute;left:5413;top:12853;width:945;height:934" arcsize="10923f" strokecolor="#31849b [2408]" strokeweight="1.5pt">
              <v:textbox style="mso-next-textbox:#_x0000_s1226" inset="3.6pt,2.16pt,3.6pt,2.16pt">
                <w:txbxContent>
                  <w:p w:rsidR="00B2438E" w:rsidRPr="001E0F87" w:rsidRDefault="00B2438E" w:rsidP="0082752E">
                    <w:pPr>
                      <w:spacing w:before="240" w:after="0" w:line="240" w:lineRule="auto"/>
                      <w:ind w:firstLine="0"/>
                      <w:jc w:val="center"/>
                      <w:rPr>
                        <w:b/>
                        <w:sz w:val="16"/>
                        <w:szCs w:val="16"/>
                      </w:rPr>
                    </w:pPr>
                    <w:r w:rsidRPr="001E0F87">
                      <w:rPr>
                        <w:b/>
                        <w:sz w:val="16"/>
                        <w:szCs w:val="16"/>
                      </w:rPr>
                      <w:t>Ekonominiai veiksniai (pajamos)</w:t>
                    </w:r>
                  </w:p>
                </w:txbxContent>
              </v:textbox>
            </v:roundrect>
            <v:shape id="_x0000_s1233" type="#_x0000_t94" style="position:absolute;left:5297;top:11956;width:283;height:271;rotation:1740967fd"/>
            <v:shape id="_x0000_s1234" type="#_x0000_t94" style="position:absolute;left:5760;top:12638;width:269;height:305;rotation:270"/>
            <v:shape id="_x0000_s1236" type="#_x0000_t94" style="position:absolute;left:6166;top:11985;width:285;height:271;rotation:9946988fd"/>
            <w10:wrap type="none"/>
            <w10:anchorlock/>
          </v:group>
        </w:pict>
      </w:r>
    </w:p>
    <w:p w:rsidR="001913E2" w:rsidRPr="001913E2" w:rsidRDefault="001913E2" w:rsidP="001913E2">
      <w:pPr>
        <w:spacing w:after="0" w:line="240" w:lineRule="auto"/>
        <w:rPr>
          <w:sz w:val="20"/>
        </w:rPr>
      </w:pPr>
      <w:r w:rsidRPr="001913E2">
        <w:rPr>
          <w:b/>
          <w:sz w:val="20"/>
        </w:rPr>
        <w:t>Šaltinis</w:t>
      </w:r>
      <w:r w:rsidRPr="001913E2">
        <w:rPr>
          <w:sz w:val="20"/>
        </w:rPr>
        <w:t>: sudaryta šio darbo autorės</w:t>
      </w:r>
      <w:r w:rsidR="004D1FB9">
        <w:rPr>
          <w:sz w:val="20"/>
        </w:rPr>
        <w:t>, remiantis mokslinių šaltinių analize</w:t>
      </w:r>
    </w:p>
    <w:bookmarkStart w:id="8" w:name="_Toc343590401"/>
    <w:p w:rsidR="00C53D41" w:rsidRDefault="00D84BC4" w:rsidP="00886347">
      <w:pPr>
        <w:pStyle w:val="Caption"/>
      </w:pPr>
      <w:r w:rsidRPr="00E67399">
        <w:rPr>
          <w:b w:val="0"/>
        </w:rPr>
        <w:fldChar w:fldCharType="begin"/>
      </w:r>
      <w:r w:rsidR="000825F3" w:rsidRPr="00E67399">
        <w:rPr>
          <w:b w:val="0"/>
        </w:rPr>
        <w:instrText xml:space="preserve"> SEQ pav. \* ARABIC </w:instrText>
      </w:r>
      <w:r w:rsidRPr="00E67399">
        <w:rPr>
          <w:b w:val="0"/>
        </w:rPr>
        <w:fldChar w:fldCharType="separate"/>
      </w:r>
      <w:r w:rsidR="000825F3" w:rsidRPr="00E67399">
        <w:rPr>
          <w:b w:val="0"/>
        </w:rPr>
        <w:t>4</w:t>
      </w:r>
      <w:r w:rsidRPr="00E67399">
        <w:rPr>
          <w:b w:val="0"/>
        </w:rPr>
        <w:fldChar w:fldCharType="end"/>
      </w:r>
      <w:r w:rsidR="000825F3" w:rsidRPr="00E67399">
        <w:rPr>
          <w:b w:val="0"/>
        </w:rPr>
        <w:t xml:space="preserve"> </w:t>
      </w:r>
      <w:r w:rsidR="003B28FD" w:rsidRPr="00E67399">
        <w:rPr>
          <w:b w:val="0"/>
        </w:rPr>
        <w:t>pav.</w:t>
      </w:r>
      <w:r w:rsidR="003B28FD" w:rsidRPr="003B28FD">
        <w:rPr>
          <w:color w:val="FF0000"/>
        </w:rPr>
        <w:t xml:space="preserve"> </w:t>
      </w:r>
      <w:r w:rsidR="00FE50B7">
        <w:t>Veiksnių rinkinys, lemianti</w:t>
      </w:r>
      <w:r w:rsidR="000F7381">
        <w:t>s ne</w:t>
      </w:r>
      <w:r w:rsidR="00395B0B">
        <w:t>racionalią finansinę elgseną</w:t>
      </w:r>
      <w:bookmarkEnd w:id="8"/>
    </w:p>
    <w:p w:rsidR="00894217" w:rsidRDefault="00DF13DB" w:rsidP="00404939">
      <w:pPr>
        <w:pStyle w:val="Heading3"/>
      </w:pPr>
      <w:bookmarkStart w:id="9" w:name="_Toc343636877"/>
      <w:r>
        <w:lastRenderedPageBreak/>
        <w:t>Lietuvos g</w:t>
      </w:r>
      <w:r w:rsidR="00B32A78">
        <w:t>yventojų finansinės elgsenos problemos</w:t>
      </w:r>
      <w:bookmarkEnd w:id="9"/>
    </w:p>
    <w:p w:rsidR="00AD4838" w:rsidRPr="00427D3D" w:rsidRDefault="007C7833" w:rsidP="00AD4838">
      <w:r>
        <w:t xml:space="preserve">Suvokiant, jog žmogus </w:t>
      </w:r>
      <w:r w:rsidR="0012500C" w:rsidRPr="00BD7329">
        <w:rPr>
          <w:i/>
        </w:rPr>
        <w:t>negali</w:t>
      </w:r>
      <w:r w:rsidR="0012500C">
        <w:t xml:space="preserve"> </w:t>
      </w:r>
      <w:r w:rsidR="0012500C" w:rsidRPr="00BD7329">
        <w:rPr>
          <w:i/>
        </w:rPr>
        <w:t>būti</w:t>
      </w:r>
      <w:r w:rsidR="0012500C">
        <w:t xml:space="preserve"> </w:t>
      </w:r>
      <w:r w:rsidR="004452B1">
        <w:t xml:space="preserve">ekonomiškai </w:t>
      </w:r>
      <w:r w:rsidR="0012500C">
        <w:t>racionalus</w:t>
      </w:r>
      <w:r w:rsidR="00DA77E1">
        <w:t xml:space="preserve"> visose gyvenimo situacijose</w:t>
      </w:r>
      <w:r w:rsidR="004452B1">
        <w:t xml:space="preserve"> ir </w:t>
      </w:r>
      <w:r w:rsidR="004452B1" w:rsidRPr="00BD7329">
        <w:rPr>
          <w:i/>
        </w:rPr>
        <w:t>priimti</w:t>
      </w:r>
      <w:r w:rsidR="004452B1">
        <w:t xml:space="preserve"> tik tokius sprendimus, kurie maksimizuotų </w:t>
      </w:r>
      <w:r w:rsidR="00BD0F1D" w:rsidRPr="00427D3D">
        <w:t xml:space="preserve">gerovę </w:t>
      </w:r>
      <w:r w:rsidR="00BD7329" w:rsidRPr="00427D3D">
        <w:t>(</w:t>
      </w:r>
      <w:proofErr w:type="spellStart"/>
      <w:r w:rsidR="00BD7329" w:rsidRPr="00427D3D">
        <w:t>Bikas</w:t>
      </w:r>
      <w:proofErr w:type="spellEnd"/>
      <w:r w:rsidR="00BD7329" w:rsidRPr="00427D3D">
        <w:t>, Kavaliauskas 2010)</w:t>
      </w:r>
      <w:r w:rsidR="00172707" w:rsidRPr="00427D3D">
        <w:t xml:space="preserve">, </w:t>
      </w:r>
      <w:r w:rsidR="006058AD" w:rsidRPr="00427D3D">
        <w:t>tikslinga būtų</w:t>
      </w:r>
      <w:r w:rsidR="00C65085" w:rsidRPr="00427D3D">
        <w:t xml:space="preserve"> išsiaiškinti, </w:t>
      </w:r>
      <w:r w:rsidR="006058AD" w:rsidRPr="00427D3D">
        <w:t xml:space="preserve">su kokiomis problemomis </w:t>
      </w:r>
      <w:r w:rsidR="00172707" w:rsidRPr="00427D3D">
        <w:t xml:space="preserve">Lietuvos gyventojai </w:t>
      </w:r>
      <w:r w:rsidR="006058AD" w:rsidRPr="00427D3D">
        <w:t>dažniausiai susiduria, valdydami s</w:t>
      </w:r>
      <w:r w:rsidR="00CE3000" w:rsidRPr="00427D3D">
        <w:t>avo finansus, ir tokiu būdu susiaurinti tyrimo lauką iki specifinės srities.</w:t>
      </w:r>
      <w:r w:rsidR="00C65085" w:rsidRPr="00427D3D">
        <w:t xml:space="preserve"> </w:t>
      </w:r>
      <w:r w:rsidR="004F094E" w:rsidRPr="00427D3D">
        <w:t xml:space="preserve">Šiam tikslui </w:t>
      </w:r>
      <w:r w:rsidR="00F9116B" w:rsidRPr="00427D3D">
        <w:t>reik</w:t>
      </w:r>
      <w:r w:rsidR="00A21657" w:rsidRPr="00427D3D">
        <w:t>ė</w:t>
      </w:r>
      <w:r w:rsidR="00F9116B" w:rsidRPr="00427D3D">
        <w:t xml:space="preserve">tų </w:t>
      </w:r>
      <w:r w:rsidR="004F094E" w:rsidRPr="00427D3D">
        <w:t>pasitelkti antrinius mokslinius šaltinius</w:t>
      </w:r>
      <w:r w:rsidR="00F9116B" w:rsidRPr="00427D3D">
        <w:t xml:space="preserve">, t. y. </w:t>
      </w:r>
      <w:r w:rsidR="00A21657" w:rsidRPr="00427D3D">
        <w:t xml:space="preserve">apibendrinti per </w:t>
      </w:r>
      <w:r w:rsidR="00C717F7" w:rsidRPr="00427D3D">
        <w:t xml:space="preserve">keletą paskutinių metų </w:t>
      </w:r>
      <w:r w:rsidR="00F9116B" w:rsidRPr="00427D3D">
        <w:t>atliktų tyrimų</w:t>
      </w:r>
      <w:r w:rsidR="00C44BED" w:rsidRPr="00427D3D">
        <w:t>,</w:t>
      </w:r>
      <w:r w:rsidR="00F9116B" w:rsidRPr="00427D3D">
        <w:t xml:space="preserve"> </w:t>
      </w:r>
      <w:r w:rsidR="00C44BED" w:rsidRPr="00427D3D">
        <w:t xml:space="preserve">– </w:t>
      </w:r>
      <w:r w:rsidR="00F9116B" w:rsidRPr="00427D3D">
        <w:rPr>
          <w:i/>
        </w:rPr>
        <w:t>finansinės elgsenos</w:t>
      </w:r>
      <w:r w:rsidR="00B242D6" w:rsidRPr="00427D3D">
        <w:rPr>
          <w:i/>
        </w:rPr>
        <w:t xml:space="preserve"> klausimais</w:t>
      </w:r>
      <w:r w:rsidR="00C44BED" w:rsidRPr="00427D3D">
        <w:t>, –</w:t>
      </w:r>
      <w:r w:rsidR="00C717F7" w:rsidRPr="00427D3D">
        <w:t xml:space="preserve"> </w:t>
      </w:r>
      <w:r w:rsidR="00F9116B" w:rsidRPr="00427D3D">
        <w:t>rezultatus</w:t>
      </w:r>
      <w:r w:rsidR="00111847" w:rsidRPr="00427D3D">
        <w:t>.</w:t>
      </w:r>
    </w:p>
    <w:p w:rsidR="00111847" w:rsidRPr="00427D3D" w:rsidRDefault="004C1128" w:rsidP="00AD4838">
      <w:r w:rsidRPr="00427D3D">
        <w:t xml:space="preserve">Būtina akcentuoti, jog tyrimus </w:t>
      </w:r>
      <w:r w:rsidR="009D2AE7" w:rsidRPr="00427D3D">
        <w:t xml:space="preserve">gyventojų </w:t>
      </w:r>
      <w:r w:rsidRPr="00427D3D">
        <w:t xml:space="preserve">finansinės elgsenos tema Lietuvoje </w:t>
      </w:r>
      <w:r w:rsidR="009D2AE7" w:rsidRPr="00427D3D">
        <w:t xml:space="preserve">plėtojo tiek </w:t>
      </w:r>
      <w:r w:rsidR="00CA1798" w:rsidRPr="00427D3D">
        <w:t>teoretikai</w:t>
      </w:r>
      <w:r w:rsidR="007D2748" w:rsidRPr="00427D3D">
        <w:t>,</w:t>
      </w:r>
      <w:r w:rsidR="009D2AE7" w:rsidRPr="00427D3D">
        <w:t xml:space="preserve"> </w:t>
      </w:r>
      <w:r w:rsidR="006F3B02" w:rsidRPr="00427D3D">
        <w:t>tiek</w:t>
      </w:r>
      <w:r w:rsidR="007D2748" w:rsidRPr="00427D3D">
        <w:t xml:space="preserve"> praktikai</w:t>
      </w:r>
      <w:r w:rsidR="006F3B02" w:rsidRPr="00427D3D">
        <w:t xml:space="preserve">. Daugiausia buvo </w:t>
      </w:r>
      <w:r w:rsidR="00360812" w:rsidRPr="00427D3D">
        <w:t>tyrinėtos</w:t>
      </w:r>
      <w:r w:rsidR="006F3B02" w:rsidRPr="00427D3D">
        <w:t xml:space="preserve"> gyventojų </w:t>
      </w:r>
      <w:r w:rsidR="00360812" w:rsidRPr="00427D3D">
        <w:t>taupymo ir investavimo galimybės</w:t>
      </w:r>
      <w:r w:rsidR="00DA092B" w:rsidRPr="00427D3D">
        <w:t>, santaupų motyvai</w:t>
      </w:r>
      <w:r w:rsidR="007D2748" w:rsidRPr="00427D3D">
        <w:t xml:space="preserve">, </w:t>
      </w:r>
      <w:r w:rsidR="00B5797F" w:rsidRPr="00427D3D">
        <w:t>negal</w:t>
      </w:r>
      <w:r w:rsidR="00A32A7D" w:rsidRPr="00427D3D">
        <w:t xml:space="preserve">ėjimo </w:t>
      </w:r>
      <w:r w:rsidR="00B5797F" w:rsidRPr="00427D3D">
        <w:t xml:space="preserve">taupyti </w:t>
      </w:r>
      <w:r w:rsidR="00804172" w:rsidRPr="00427D3D">
        <w:t>bei</w:t>
      </w:r>
      <w:r w:rsidR="00B5797F" w:rsidRPr="00427D3D">
        <w:t xml:space="preserve"> </w:t>
      </w:r>
      <w:r w:rsidR="00A32A7D" w:rsidRPr="00427D3D">
        <w:t xml:space="preserve">investuoti </w:t>
      </w:r>
      <w:r w:rsidR="000E13A3" w:rsidRPr="00427D3D">
        <w:t>priežastys (</w:t>
      </w:r>
      <w:proofErr w:type="spellStart"/>
      <w:r w:rsidR="00733745" w:rsidRPr="00427D3D">
        <w:t>Jurevičienė</w:t>
      </w:r>
      <w:proofErr w:type="spellEnd"/>
      <w:r w:rsidR="00733745" w:rsidRPr="00427D3D">
        <w:t xml:space="preserve">, </w:t>
      </w:r>
      <w:proofErr w:type="spellStart"/>
      <w:r w:rsidR="00733745" w:rsidRPr="00427D3D">
        <w:t>Gausienė</w:t>
      </w:r>
      <w:proofErr w:type="spellEnd"/>
      <w:r w:rsidR="00733745" w:rsidRPr="00427D3D">
        <w:t xml:space="preserve"> 2010; </w:t>
      </w:r>
      <w:proofErr w:type="spellStart"/>
      <w:r w:rsidR="00733745" w:rsidRPr="00427D3D">
        <w:t>Klimavičienė</w:t>
      </w:r>
      <w:proofErr w:type="spellEnd"/>
      <w:r w:rsidR="00733745" w:rsidRPr="00427D3D">
        <w:t xml:space="preserve">, </w:t>
      </w:r>
      <w:proofErr w:type="spellStart"/>
      <w:r w:rsidR="00733745" w:rsidRPr="00427D3D">
        <w:t>Jurevičienė</w:t>
      </w:r>
      <w:proofErr w:type="spellEnd"/>
      <w:r w:rsidR="00733745" w:rsidRPr="00427D3D">
        <w:t xml:space="preserve"> 2007; </w:t>
      </w:r>
      <w:r w:rsidR="004E43CE" w:rsidRPr="00427D3D">
        <w:t>Rakauskienė</w:t>
      </w:r>
      <w:r w:rsidR="005F2A0C" w:rsidRPr="00427D3D">
        <w:t>;</w:t>
      </w:r>
      <w:r w:rsidR="004E43CE" w:rsidRPr="00427D3D">
        <w:t xml:space="preserve"> </w:t>
      </w:r>
      <w:proofErr w:type="spellStart"/>
      <w:r w:rsidR="005F2A0C" w:rsidRPr="00427D3D">
        <w:t>Bikas</w:t>
      </w:r>
      <w:proofErr w:type="spellEnd"/>
      <w:r w:rsidR="005F2A0C" w:rsidRPr="00427D3D">
        <w:t xml:space="preserve"> </w:t>
      </w:r>
      <w:r w:rsidR="004E43CE" w:rsidRPr="00427D3D">
        <w:t xml:space="preserve">2007; </w:t>
      </w:r>
      <w:r w:rsidR="00AE7E74" w:rsidRPr="00427D3D">
        <w:rPr>
          <w:i/>
        </w:rPr>
        <w:t>SEB</w:t>
      </w:r>
      <w:r w:rsidR="00AE7E74" w:rsidRPr="00427D3D">
        <w:t xml:space="preserve"> bankas 2011; </w:t>
      </w:r>
      <w:proofErr w:type="spellStart"/>
      <w:r w:rsidR="00733745" w:rsidRPr="00427D3D">
        <w:rPr>
          <w:i/>
        </w:rPr>
        <w:t>Swedbank</w:t>
      </w:r>
      <w:proofErr w:type="spellEnd"/>
      <w:r w:rsidR="00733745" w:rsidRPr="00427D3D">
        <w:t xml:space="preserve"> asmeninių finansų institutas 2011; </w:t>
      </w:r>
      <w:proofErr w:type="spellStart"/>
      <w:r w:rsidR="00817F99" w:rsidRPr="00427D3D">
        <w:t>Taujanskaitė</w:t>
      </w:r>
      <w:proofErr w:type="spellEnd"/>
      <w:r w:rsidR="00817F99" w:rsidRPr="00427D3D">
        <w:t xml:space="preserve">, </w:t>
      </w:r>
      <w:proofErr w:type="spellStart"/>
      <w:r w:rsidR="00817F99" w:rsidRPr="00427D3D">
        <w:t>Jurevičienė</w:t>
      </w:r>
      <w:proofErr w:type="spellEnd"/>
      <w:r w:rsidR="003B5FF1" w:rsidRPr="00427D3D">
        <w:t xml:space="preserve"> 2010; </w:t>
      </w:r>
      <w:r w:rsidR="00EE5F7F" w:rsidRPr="00427D3D">
        <w:t>V</w:t>
      </w:r>
      <w:r w:rsidR="00A87FCB" w:rsidRPr="00427D3D">
        <w:t>er</w:t>
      </w:r>
      <w:r w:rsidR="00C50D90" w:rsidRPr="00427D3D">
        <w:t>tybinių popierių komisija 2009</w:t>
      </w:r>
      <w:r w:rsidR="000F1895" w:rsidRPr="00427D3D">
        <w:t>)</w:t>
      </w:r>
      <w:r w:rsidR="00C717F7" w:rsidRPr="00427D3D">
        <w:t xml:space="preserve"> </w:t>
      </w:r>
      <w:r w:rsidR="00245B4B" w:rsidRPr="00427D3D">
        <w:t>i</w:t>
      </w:r>
      <w:r w:rsidR="00B33747" w:rsidRPr="00427D3D">
        <w:t xml:space="preserve">r, </w:t>
      </w:r>
      <w:r w:rsidR="00BB0D73" w:rsidRPr="00427D3D">
        <w:t>tam ti</w:t>
      </w:r>
      <w:r w:rsidR="001A55EE" w:rsidRPr="00427D3D">
        <w:t>kr</w:t>
      </w:r>
      <w:r w:rsidR="0075419E" w:rsidRPr="00427D3D">
        <w:t>ais aspektais,</w:t>
      </w:r>
      <w:r w:rsidR="00B33747" w:rsidRPr="00427D3D">
        <w:t xml:space="preserve"> </w:t>
      </w:r>
      <w:r w:rsidR="00761F6E" w:rsidRPr="00427D3D">
        <w:t xml:space="preserve">– </w:t>
      </w:r>
      <w:r w:rsidR="00B86772" w:rsidRPr="00427D3D">
        <w:t>investuotojų elgsena</w:t>
      </w:r>
      <w:r w:rsidR="00C50D90" w:rsidRPr="00427D3D">
        <w:t xml:space="preserve">, </w:t>
      </w:r>
      <w:r w:rsidR="00B33747" w:rsidRPr="00427D3D">
        <w:t xml:space="preserve">ją </w:t>
      </w:r>
      <w:r w:rsidR="00C50D90" w:rsidRPr="00427D3D">
        <w:t>lemiantys veiksniai</w:t>
      </w:r>
      <w:r w:rsidR="00B86772" w:rsidRPr="00427D3D">
        <w:t xml:space="preserve"> (</w:t>
      </w:r>
      <w:proofErr w:type="spellStart"/>
      <w:r w:rsidR="00B86772" w:rsidRPr="00427D3D">
        <w:t>Bikas</w:t>
      </w:r>
      <w:proofErr w:type="spellEnd"/>
      <w:r w:rsidR="00B86772" w:rsidRPr="00427D3D">
        <w:t xml:space="preserve">, Kavaliauskas 2010; </w:t>
      </w:r>
      <w:proofErr w:type="spellStart"/>
      <w:r w:rsidR="00B86772" w:rsidRPr="00427D3D">
        <w:t>Kartašova</w:t>
      </w:r>
      <w:proofErr w:type="spellEnd"/>
      <w:r w:rsidR="00B86772" w:rsidRPr="00427D3D">
        <w:t xml:space="preserve">, </w:t>
      </w:r>
      <w:proofErr w:type="spellStart"/>
      <w:r w:rsidR="00B86772" w:rsidRPr="00427D3D">
        <w:t>Levišauskaitė</w:t>
      </w:r>
      <w:proofErr w:type="spellEnd"/>
      <w:r w:rsidR="00B86772" w:rsidRPr="00427D3D">
        <w:t xml:space="preserve"> 2012)</w:t>
      </w:r>
      <w:r w:rsidR="001A55EE" w:rsidRPr="00427D3D">
        <w:t>.</w:t>
      </w:r>
      <w:r w:rsidR="003662D3" w:rsidRPr="00427D3D">
        <w:t xml:space="preserve"> Tai leidžia</w:t>
      </w:r>
      <w:r w:rsidR="00007D81" w:rsidRPr="00427D3D">
        <w:t xml:space="preserve"> daryti</w:t>
      </w:r>
      <w:r w:rsidR="00D16198" w:rsidRPr="00427D3D">
        <w:t xml:space="preserve"> išva</w:t>
      </w:r>
      <w:r w:rsidR="008134A8" w:rsidRPr="00427D3D">
        <w:t>dą</w:t>
      </w:r>
      <w:r w:rsidR="00007D81" w:rsidRPr="00427D3D">
        <w:t>, jog Lietuvoje dėmesys yra sutelktas į gyventojų santaupas</w:t>
      </w:r>
      <w:r w:rsidR="0075419E" w:rsidRPr="00427D3D">
        <w:t>, t. y. į</w:t>
      </w:r>
      <w:r w:rsidR="006B4FAE" w:rsidRPr="00427D3D">
        <w:t xml:space="preserve"> </w:t>
      </w:r>
      <w:r w:rsidR="00662F40" w:rsidRPr="00427D3D">
        <w:t>„</w:t>
      </w:r>
      <w:r w:rsidR="00C02A7F" w:rsidRPr="00427D3D">
        <w:t xml:space="preserve">ekonominės gerovės </w:t>
      </w:r>
      <w:r w:rsidR="00007D81" w:rsidRPr="00427D3D">
        <w:t xml:space="preserve">rodiklį, </w:t>
      </w:r>
      <w:r w:rsidR="00C02A7F" w:rsidRPr="00427D3D">
        <w:t>parodantį gyventojų gebėjimą ekonomiškai</w:t>
      </w:r>
      <w:r w:rsidR="006B4FAE" w:rsidRPr="00427D3D">
        <w:t xml:space="preserve"> mąstyti ir finansinę jų kultūrą</w:t>
      </w:r>
      <w:r w:rsidR="00662F40" w:rsidRPr="00427D3D">
        <w:t>“</w:t>
      </w:r>
      <w:r w:rsidR="006B4FAE" w:rsidRPr="00427D3D">
        <w:t xml:space="preserve"> (</w:t>
      </w:r>
      <w:r w:rsidR="00662F40" w:rsidRPr="00427D3D">
        <w:t>Rakauskienė</w:t>
      </w:r>
      <w:r w:rsidR="00987B5B" w:rsidRPr="00427D3D">
        <w:t>,</w:t>
      </w:r>
      <w:r w:rsidR="00662F40" w:rsidRPr="00427D3D">
        <w:t xml:space="preserve"> </w:t>
      </w:r>
      <w:proofErr w:type="spellStart"/>
      <w:r w:rsidR="00987B5B" w:rsidRPr="00427D3D">
        <w:t>Bikas</w:t>
      </w:r>
      <w:proofErr w:type="spellEnd"/>
      <w:r w:rsidR="00987B5B" w:rsidRPr="00427D3D">
        <w:t xml:space="preserve"> </w:t>
      </w:r>
      <w:r w:rsidR="00662F40" w:rsidRPr="00427D3D">
        <w:t>2007</w:t>
      </w:r>
      <w:r w:rsidR="00891742" w:rsidRPr="00427D3D">
        <w:t xml:space="preserve">, p. </w:t>
      </w:r>
      <w:r w:rsidR="003662D3" w:rsidRPr="00427D3D">
        <w:t>124</w:t>
      </w:r>
      <w:r w:rsidR="00662F40" w:rsidRPr="00427D3D">
        <w:t>).</w:t>
      </w:r>
    </w:p>
    <w:p w:rsidR="00CC2F4F" w:rsidRDefault="004B37A9" w:rsidP="00D47B5C">
      <w:r>
        <w:t xml:space="preserve">Nagrinėjant atliktų tyrimų </w:t>
      </w:r>
      <w:r w:rsidRPr="0058301B">
        <w:t>rezultatus</w:t>
      </w:r>
      <w:r w:rsidR="00DA58E8" w:rsidRPr="0058301B">
        <w:t xml:space="preserve"> (žr. 1 priedą)</w:t>
      </w:r>
      <w:r w:rsidRPr="0058301B">
        <w:t>, pastebimas</w:t>
      </w:r>
      <w:r>
        <w:t xml:space="preserve"> įdomus </w:t>
      </w:r>
      <w:r w:rsidR="0059092A">
        <w:t>faktas</w:t>
      </w:r>
      <w:r>
        <w:t xml:space="preserve"> – Lietuvos gyventojų elgsena</w:t>
      </w:r>
      <w:r w:rsidR="00961DEB">
        <w:t xml:space="preserve"> </w:t>
      </w:r>
      <w:r w:rsidR="00B51AA5">
        <w:t xml:space="preserve">penkių </w:t>
      </w:r>
      <w:r w:rsidR="0059092A">
        <w:t xml:space="preserve">metų laikotarpiu mažai pakito, t. y. pagrindinės tendencijos </w:t>
      </w:r>
      <w:r w:rsidR="00DA58E8">
        <w:t xml:space="preserve">taupymo </w:t>
      </w:r>
      <w:r w:rsidR="00A73290">
        <w:t>i</w:t>
      </w:r>
      <w:r w:rsidR="00DA58E8">
        <w:t>r</w:t>
      </w:r>
      <w:r w:rsidR="00A73290">
        <w:t xml:space="preserve"> investavimo srityse išliko beveik tokios pačios: </w:t>
      </w:r>
      <w:r w:rsidR="00CF368D">
        <w:t>1) </w:t>
      </w:r>
      <w:r w:rsidR="009E7521">
        <w:t xml:space="preserve">taupyti negali viduriniosios kartos atstovai, kurie </w:t>
      </w:r>
      <w:r w:rsidR="00CF368D">
        <w:t>pasiekė</w:t>
      </w:r>
      <w:r w:rsidR="00B35D55">
        <w:t xml:space="preserve"> karjeros viršūnę (ir todėl</w:t>
      </w:r>
      <w:r w:rsidR="009E7521">
        <w:t xml:space="preserve"> turėtų generuoti didžiausias pajamas)</w:t>
      </w:r>
      <w:r w:rsidR="00CF368D">
        <w:t>, ir</w:t>
      </w:r>
      <w:r w:rsidR="00C53FAD">
        <w:t xml:space="preserve"> mažiausias pajamas gaunantys asmenys</w:t>
      </w:r>
      <w:r w:rsidR="005E2234">
        <w:t xml:space="preserve">; </w:t>
      </w:r>
      <w:r w:rsidR="00CF368D">
        <w:t>2) </w:t>
      </w:r>
      <w:r w:rsidR="00D920F2">
        <w:t xml:space="preserve">vis dar </w:t>
      </w:r>
      <w:r w:rsidR="002D3016">
        <w:t xml:space="preserve">didelė dalis </w:t>
      </w:r>
      <w:r w:rsidR="005E2234">
        <w:t>taupan</w:t>
      </w:r>
      <w:r w:rsidR="002D3016">
        <w:t>čiųjų</w:t>
      </w:r>
      <w:r w:rsidR="005E4053">
        <w:t xml:space="preserve"> prioritetą teikia didesnėms išlaidoms bei vartojimui</w:t>
      </w:r>
      <w:r w:rsidR="00C84C29">
        <w:t xml:space="preserve">; </w:t>
      </w:r>
      <w:r w:rsidR="00B35D55">
        <w:t>3) </w:t>
      </w:r>
      <w:r w:rsidR="00C84C29">
        <w:t>taupymo ir investavimo strategija išlie</w:t>
      </w:r>
      <w:r w:rsidR="007D160E">
        <w:t>ka konservatyvi, t. y.</w:t>
      </w:r>
      <w:r w:rsidR="002210B8">
        <w:t>:</w:t>
      </w:r>
      <w:r w:rsidR="007D160E">
        <w:t xml:space="preserve"> laiko</w:t>
      </w:r>
      <w:r w:rsidR="00423CF1">
        <w:t>mi</w:t>
      </w:r>
      <w:r w:rsidR="007D160E">
        <w:t xml:space="preserve"> indėli</w:t>
      </w:r>
      <w:r w:rsidR="00423CF1">
        <w:t>ai</w:t>
      </w:r>
      <w:r w:rsidR="00534647">
        <w:t xml:space="preserve"> bankuose</w:t>
      </w:r>
      <w:r w:rsidR="007D160E">
        <w:t>, naudoja</w:t>
      </w:r>
      <w:r w:rsidR="00423CF1">
        <w:t>ma</w:t>
      </w:r>
      <w:r w:rsidR="007D160E">
        <w:t>si</w:t>
      </w:r>
      <w:r w:rsidR="0030105B">
        <w:t xml:space="preserve"> </w:t>
      </w:r>
      <w:r w:rsidR="002210B8">
        <w:t xml:space="preserve">kai kuriomis </w:t>
      </w:r>
      <w:r w:rsidR="00D17616">
        <w:t>draudimo formo</w:t>
      </w:r>
      <w:r w:rsidR="0030105B">
        <w:t>mi</w:t>
      </w:r>
      <w:r w:rsidR="00D17616">
        <w:t>s</w:t>
      </w:r>
      <w:r w:rsidR="00F74276">
        <w:t xml:space="preserve"> ar</w:t>
      </w:r>
      <w:r w:rsidR="0032012D">
        <w:t>ba</w:t>
      </w:r>
      <w:r w:rsidR="00423CF1">
        <w:t xml:space="preserve"> pinig</w:t>
      </w:r>
      <w:r w:rsidR="0032012D">
        <w:t>ai</w:t>
      </w:r>
      <w:r w:rsidR="00423CF1">
        <w:t xml:space="preserve"> </w:t>
      </w:r>
      <w:r w:rsidR="00822058">
        <w:t xml:space="preserve">kaupiami </w:t>
      </w:r>
      <w:r w:rsidR="0030105B">
        <w:t xml:space="preserve">tiesiog </w:t>
      </w:r>
      <w:r w:rsidR="00423CF1">
        <w:t xml:space="preserve">grynaisiais </w:t>
      </w:r>
      <w:r w:rsidR="00D17616">
        <w:t>namuose</w:t>
      </w:r>
      <w:r w:rsidR="009E4605">
        <w:t xml:space="preserve">; </w:t>
      </w:r>
      <w:r w:rsidR="007D093C">
        <w:t xml:space="preserve">be to, </w:t>
      </w:r>
      <w:r w:rsidR="00822058">
        <w:t>4) </w:t>
      </w:r>
      <w:r w:rsidR="009E4605">
        <w:t>nors ir baiminamasi dėl</w:t>
      </w:r>
      <w:r w:rsidR="00E86311">
        <w:t xml:space="preserve"> ateities</w:t>
      </w:r>
      <w:r w:rsidR="009E4605">
        <w:t xml:space="preserve">, </w:t>
      </w:r>
      <w:r w:rsidR="00E86311">
        <w:t>kaupimu senatvei rūpinasi tik nedaugelis</w:t>
      </w:r>
      <w:r w:rsidR="007D093C">
        <w:t xml:space="preserve"> pilieči</w:t>
      </w:r>
      <w:r w:rsidR="00CD7A2F">
        <w:t>ų</w:t>
      </w:r>
      <w:r w:rsidR="00C92737">
        <w:t>.</w:t>
      </w:r>
      <w:r w:rsidR="007D093C">
        <w:t xml:space="preserve"> Tai reiškia, jog Lietuvos žmonės</w:t>
      </w:r>
      <w:r w:rsidR="00D920F2">
        <w:t xml:space="preserve"> </w:t>
      </w:r>
      <w:r w:rsidR="00F74276">
        <w:t>iki šiol</w:t>
      </w:r>
      <w:r w:rsidR="00E7133F">
        <w:t xml:space="preserve"> paiso trumpalaikių tikslų, </w:t>
      </w:r>
      <w:r w:rsidR="00D920F2">
        <w:t xml:space="preserve">renkasi saugumą ir likvidumą, </w:t>
      </w:r>
      <w:r w:rsidR="00F65B0F">
        <w:t xml:space="preserve">nekreipdami dėmesio </w:t>
      </w:r>
      <w:r w:rsidR="009E4605">
        <w:t xml:space="preserve">ne tik </w:t>
      </w:r>
      <w:r w:rsidR="00F65B0F">
        <w:t xml:space="preserve">į </w:t>
      </w:r>
      <w:r w:rsidR="009E4605">
        <w:t>investicijų grąžą, bet ir apsisaugojimą nuo infliacijos.</w:t>
      </w:r>
    </w:p>
    <w:p w:rsidR="005D3586" w:rsidRDefault="00371951" w:rsidP="00D47B5C">
      <w:r>
        <w:t>R</w:t>
      </w:r>
      <w:r w:rsidR="007D732C">
        <w:t>eikėtų</w:t>
      </w:r>
      <w:r w:rsidR="007136D2">
        <w:t xml:space="preserve"> pastebėti</w:t>
      </w:r>
      <w:r w:rsidR="001E0BCD">
        <w:t>, jo</w:t>
      </w:r>
      <w:r w:rsidR="004C20B1">
        <w:t>g</w:t>
      </w:r>
      <w:r w:rsidR="007136D2">
        <w:t xml:space="preserve"> žmonių </w:t>
      </w:r>
      <w:r w:rsidR="00697532">
        <w:t xml:space="preserve">suvokimas apie asmeninių </w:t>
      </w:r>
      <w:r w:rsidR="00F957BF">
        <w:t xml:space="preserve">finansų valdymą </w:t>
      </w:r>
      <w:r w:rsidR="00E002D8">
        <w:t xml:space="preserve">yra </w:t>
      </w:r>
      <w:r w:rsidR="007136D2">
        <w:t xml:space="preserve">ganėtinai </w:t>
      </w:r>
      <w:r w:rsidR="00F64209">
        <w:t>„</w:t>
      </w:r>
      <w:r w:rsidR="00E002D8">
        <w:t>miglotas</w:t>
      </w:r>
      <w:r w:rsidR="00F64209">
        <w:t>“</w:t>
      </w:r>
      <w:r w:rsidR="005D3586">
        <w:t xml:space="preserve">, </w:t>
      </w:r>
      <w:r w:rsidR="00C05E92">
        <w:t>nes</w:t>
      </w:r>
      <w:r w:rsidR="005D3586">
        <w:t xml:space="preserve"> kaip pagrindin</w:t>
      </w:r>
      <w:r w:rsidR="007E264F">
        <w:t>iai</w:t>
      </w:r>
      <w:r w:rsidR="005D3586">
        <w:t xml:space="preserve"> </w:t>
      </w:r>
      <w:r w:rsidR="007B2E31">
        <w:t xml:space="preserve">netaupymo ir </w:t>
      </w:r>
      <w:r w:rsidR="001E0BCD">
        <w:t xml:space="preserve">neinvestavimo </w:t>
      </w:r>
      <w:r w:rsidR="007E264F" w:rsidRPr="0058301B">
        <w:t xml:space="preserve">motyvai </w:t>
      </w:r>
      <w:r w:rsidR="00C05E92" w:rsidRPr="0058301B">
        <w:t xml:space="preserve">(žr. 5 pav.) </w:t>
      </w:r>
      <w:r w:rsidR="006D137D" w:rsidRPr="0058301B">
        <w:t>dažnai</w:t>
      </w:r>
      <w:r w:rsidR="006D137D">
        <w:t xml:space="preserve"> </w:t>
      </w:r>
      <w:r w:rsidR="001E0BCD">
        <w:t>nu</w:t>
      </w:r>
      <w:r w:rsidR="00660BC6">
        <w:t xml:space="preserve">rodomi tokie veiksniai, kurie </w:t>
      </w:r>
      <w:r w:rsidR="00B52326">
        <w:t>nėra pagrįsti ar darantys neigiamą įtaką galutiniam rezultatui</w:t>
      </w:r>
      <w:r w:rsidR="00F56B05">
        <w:t xml:space="preserve">: </w:t>
      </w:r>
      <w:r w:rsidR="00AA5602">
        <w:t xml:space="preserve">pavyzdžiui, </w:t>
      </w:r>
      <w:r w:rsidR="007B2E31">
        <w:t xml:space="preserve">kai kurie </w:t>
      </w:r>
      <w:r w:rsidR="00F56B05">
        <w:t xml:space="preserve">šalies </w:t>
      </w:r>
      <w:r w:rsidR="007B2E31">
        <w:t xml:space="preserve">piliečiai </w:t>
      </w:r>
      <w:r w:rsidR="00F56B05">
        <w:t>mano es</w:t>
      </w:r>
      <w:r w:rsidR="008D2DE0">
        <w:t>ant</w:t>
      </w:r>
      <w:r w:rsidR="00FB63E2">
        <w:t>y</w:t>
      </w:r>
      <w:r w:rsidR="008D2DE0">
        <w:t>s per jauni, kad galėtų taupyti</w:t>
      </w:r>
      <w:r w:rsidR="00F956A6">
        <w:t>;</w:t>
      </w:r>
      <w:r w:rsidR="00FB63E2">
        <w:t xml:space="preserve"> kiti </w:t>
      </w:r>
      <w:r w:rsidR="00012808">
        <w:t>tvirtina, jog jų turimos pinigų sumos yra p</w:t>
      </w:r>
      <w:r w:rsidR="00F956A6">
        <w:t>er mažos, kad galėtų investuoti;</w:t>
      </w:r>
      <w:r w:rsidR="00012808">
        <w:t xml:space="preserve"> o dar kiti</w:t>
      </w:r>
      <w:r w:rsidR="0009588F">
        <w:t xml:space="preserve"> teigia</w:t>
      </w:r>
      <w:r w:rsidR="000B6387">
        <w:t xml:space="preserve">, jog </w:t>
      </w:r>
      <w:r w:rsidR="0009588F">
        <w:t xml:space="preserve">jie neturi </w:t>
      </w:r>
      <w:r w:rsidR="00427BDA">
        <w:t xml:space="preserve">įgūdžių ar </w:t>
      </w:r>
      <w:r w:rsidR="0009588F">
        <w:t xml:space="preserve">patikimos </w:t>
      </w:r>
      <w:r w:rsidR="000B6387">
        <w:t>informacijos apie tai, kaip reikėtų</w:t>
      </w:r>
      <w:r w:rsidR="00162F90">
        <w:t xml:space="preserve"> </w:t>
      </w:r>
      <w:r w:rsidR="0009588F">
        <w:t xml:space="preserve">taupyti ar </w:t>
      </w:r>
      <w:r w:rsidR="00162F90">
        <w:t>investuoti.</w:t>
      </w:r>
      <w:r w:rsidR="00185854">
        <w:t xml:space="preserve"> Tai atskleidžia, jog gyventojų </w:t>
      </w:r>
      <w:r w:rsidR="00427BDA" w:rsidRPr="00BE584E">
        <w:rPr>
          <w:i/>
        </w:rPr>
        <w:t>arba</w:t>
      </w:r>
      <w:r w:rsidR="00427BDA">
        <w:t xml:space="preserve"> </w:t>
      </w:r>
      <w:r w:rsidR="00185854">
        <w:t>nepasiekia profesionali informacija</w:t>
      </w:r>
      <w:r w:rsidR="00316573">
        <w:t>,</w:t>
      </w:r>
      <w:r w:rsidR="00185854">
        <w:t xml:space="preserve"> – </w:t>
      </w:r>
      <w:r w:rsidR="00185854" w:rsidRPr="00316573">
        <w:rPr>
          <w:i/>
        </w:rPr>
        <w:t xml:space="preserve">tiek </w:t>
      </w:r>
      <w:r w:rsidR="00E30D99" w:rsidRPr="00316573">
        <w:rPr>
          <w:i/>
        </w:rPr>
        <w:t xml:space="preserve">dėl jos sudėtingumo, tiek </w:t>
      </w:r>
      <w:r w:rsidR="000A4741" w:rsidRPr="00316573">
        <w:rPr>
          <w:i/>
        </w:rPr>
        <w:t xml:space="preserve">ir </w:t>
      </w:r>
      <w:r w:rsidR="00E30D99" w:rsidRPr="00316573">
        <w:rPr>
          <w:i/>
        </w:rPr>
        <w:t>dėl to, jog patys žmonės ja nesidomi</w:t>
      </w:r>
      <w:r w:rsidR="00BE584E">
        <w:t>,</w:t>
      </w:r>
      <w:r w:rsidR="00E30D99">
        <w:t xml:space="preserve"> – </w:t>
      </w:r>
      <w:r w:rsidR="002F6DC7">
        <w:t>kas leidžia formuotis klaidingam požiūriui</w:t>
      </w:r>
      <w:r w:rsidR="00E30D99">
        <w:t xml:space="preserve">, jog </w:t>
      </w:r>
      <w:r w:rsidR="004C6552">
        <w:t xml:space="preserve">taupyti </w:t>
      </w:r>
      <w:r w:rsidR="002F6DC7">
        <w:t>ir / ar</w:t>
      </w:r>
      <w:r w:rsidR="004C6552">
        <w:t xml:space="preserve"> </w:t>
      </w:r>
      <w:r w:rsidR="00E30D99">
        <w:t>investuoti galima tik dideles</w:t>
      </w:r>
      <w:r w:rsidR="00BE584E">
        <w:t xml:space="preserve"> sumas, </w:t>
      </w:r>
      <w:r w:rsidR="00BE584E" w:rsidRPr="00BE584E">
        <w:rPr>
          <w:i/>
        </w:rPr>
        <w:t>arba</w:t>
      </w:r>
      <w:r w:rsidR="00BE584E">
        <w:t xml:space="preserve"> </w:t>
      </w:r>
      <w:r w:rsidR="00955192">
        <w:t>jų</w:t>
      </w:r>
      <w:r w:rsidR="00922C56">
        <w:t xml:space="preserve"> tiesiog</w:t>
      </w:r>
      <w:r w:rsidR="00955192">
        <w:t xml:space="preserve"> </w:t>
      </w:r>
      <w:r w:rsidR="00C36F9F">
        <w:t xml:space="preserve">nedomina </w:t>
      </w:r>
      <w:r w:rsidR="00955192">
        <w:t xml:space="preserve">pagrindinis asmeninių finansų </w:t>
      </w:r>
      <w:r w:rsidR="00775900">
        <w:t>tikslas</w:t>
      </w:r>
      <w:r w:rsidR="00A31F3D">
        <w:t xml:space="preserve">, t. y. </w:t>
      </w:r>
      <w:r w:rsidR="00775900">
        <w:t>pasiekti finansinę</w:t>
      </w:r>
      <w:r w:rsidR="004F6F29">
        <w:t xml:space="preserve"> nepriklausomybę</w:t>
      </w:r>
      <w:r w:rsidR="00775900">
        <w:t xml:space="preserve">, </w:t>
      </w:r>
      <w:r w:rsidR="00F57BDF">
        <w:t xml:space="preserve">kas skatina </w:t>
      </w:r>
      <w:r w:rsidR="00AB4889">
        <w:t xml:space="preserve">imtis </w:t>
      </w:r>
      <w:r w:rsidR="004F6F29" w:rsidRPr="00DB080B">
        <w:rPr>
          <w:i/>
        </w:rPr>
        <w:t>priešing</w:t>
      </w:r>
      <w:r w:rsidR="00AB4889" w:rsidRPr="00DB080B">
        <w:rPr>
          <w:i/>
        </w:rPr>
        <w:t>ų</w:t>
      </w:r>
      <w:r w:rsidR="0086531D">
        <w:t xml:space="preserve"> </w:t>
      </w:r>
      <w:r w:rsidR="007E2D89">
        <w:t xml:space="preserve">racionaliai finansinei elgsenai </w:t>
      </w:r>
      <w:r w:rsidR="004F6F29">
        <w:t>veiksmų</w:t>
      </w:r>
      <w:r w:rsidR="00A31F3D">
        <w:t xml:space="preserve">: </w:t>
      </w:r>
      <w:r w:rsidR="00317924">
        <w:t>daug vartoti</w:t>
      </w:r>
      <w:r w:rsidR="001F0096">
        <w:t xml:space="preserve"> ir </w:t>
      </w:r>
      <w:r w:rsidR="00596F45">
        <w:t xml:space="preserve">be pagrindo </w:t>
      </w:r>
      <w:r w:rsidR="00317924">
        <w:t>išlaidauti</w:t>
      </w:r>
      <w:r w:rsidR="004F6F29">
        <w:t xml:space="preserve">, </w:t>
      </w:r>
      <w:r w:rsidR="007B4A95">
        <w:t>o rezervus</w:t>
      </w:r>
      <w:r w:rsidR="00973A63">
        <w:t xml:space="preserve"> pradėti kaupti</w:t>
      </w:r>
      <w:r w:rsidR="00E81F52">
        <w:t>,</w:t>
      </w:r>
      <w:r w:rsidR="00973A63">
        <w:t xml:space="preserve"> tik </w:t>
      </w:r>
      <w:r w:rsidR="00E81F52">
        <w:t>gyvenimo ciklui įsibėgėjus.</w:t>
      </w:r>
    </w:p>
    <w:p w:rsidR="000C27CD" w:rsidRDefault="00D84BC4" w:rsidP="00316573">
      <w:pPr>
        <w:spacing w:line="240" w:lineRule="auto"/>
        <w:ind w:firstLine="0"/>
        <w:contextualSpacing w:val="0"/>
      </w:pPr>
      <w:r>
        <w:pict>
          <v:group id="_x0000_s1765" editas="canvas" style="width:512.75pt;height:129.35pt;mso-position-horizontal-relative:char;mso-position-vertical-relative:line" coordorigin="2528,2283" coordsize="7200,1816">
            <o:lock v:ext="edit" aspectratio="t"/>
            <v:shape id="_x0000_s1766" type="#_x0000_t75" style="position:absolute;left:2528;top:2283;width:7200;height:1816" o:preferrelative="f">
              <v:fill o:detectmouseclick="t"/>
              <v:path o:extrusionok="t" o:connecttype="none"/>
              <o:lock v:ext="edit" text="t"/>
            </v:shape>
            <v:rect id="_x0000_s1767" style="position:absolute;left:8200;top:3153;width:992;height:242" stroked="f">
              <v:textbox style="mso-next-textbox:#_x0000_s1767">
                <w:txbxContent>
                  <w:p w:rsidR="00B2438E" w:rsidRPr="0079527D" w:rsidRDefault="00B2438E" w:rsidP="000C27CD">
                    <w:pPr>
                      <w:spacing w:after="0" w:line="240" w:lineRule="auto"/>
                      <w:ind w:firstLine="0"/>
                      <w:jc w:val="center"/>
                      <w:rPr>
                        <w:i/>
                        <w:color w:val="31849B" w:themeColor="accent5" w:themeShade="BF"/>
                        <w:sz w:val="16"/>
                        <w:szCs w:val="16"/>
                      </w:rPr>
                    </w:pPr>
                    <w:r w:rsidRPr="0079527D">
                      <w:rPr>
                        <w:i/>
                        <w:color w:val="31849B" w:themeColor="accent5" w:themeShade="BF"/>
                        <w:sz w:val="16"/>
                        <w:szCs w:val="16"/>
                      </w:rPr>
                      <w:t>Priklauso nuo</w:t>
                    </w:r>
                  </w:p>
                </w:txbxContent>
              </v:textbox>
            </v:rect>
            <v:rect id="_x0000_s1768" style="position:absolute;left:3133;top:3154;width:929;height:241" stroked="f">
              <v:textbox style="mso-next-textbox:#_x0000_s1768">
                <w:txbxContent>
                  <w:p w:rsidR="00B2438E" w:rsidRPr="0079527D" w:rsidRDefault="00B2438E" w:rsidP="000C27CD">
                    <w:pPr>
                      <w:spacing w:after="0" w:line="240" w:lineRule="auto"/>
                      <w:ind w:firstLine="0"/>
                      <w:jc w:val="center"/>
                      <w:rPr>
                        <w:i/>
                        <w:color w:val="31849B" w:themeColor="accent5" w:themeShade="BF"/>
                        <w:sz w:val="16"/>
                        <w:szCs w:val="16"/>
                      </w:rPr>
                    </w:pPr>
                    <w:r w:rsidRPr="0079527D">
                      <w:rPr>
                        <w:i/>
                        <w:color w:val="31849B" w:themeColor="accent5" w:themeShade="BF"/>
                        <w:sz w:val="16"/>
                        <w:szCs w:val="16"/>
                      </w:rPr>
                      <w:t>Priklauso nuo</w:t>
                    </w:r>
                  </w:p>
                </w:txbxContent>
              </v:textbox>
            </v:rect>
            <v:rect id="_x0000_s1769" style="position:absolute;left:5759;top:2610;width:661;height:241" stroked="f">
              <v:textbox style="mso-next-textbox:#_x0000_s1769">
                <w:txbxContent>
                  <w:p w:rsidR="00B2438E" w:rsidRPr="00086EE7" w:rsidRDefault="00B2438E" w:rsidP="000C27CD">
                    <w:pPr>
                      <w:spacing w:after="0" w:line="240" w:lineRule="auto"/>
                      <w:ind w:firstLine="0"/>
                      <w:jc w:val="center"/>
                      <w:rPr>
                        <w:i/>
                        <w:color w:val="31849B" w:themeColor="accent5" w:themeShade="BF"/>
                        <w:sz w:val="16"/>
                        <w:szCs w:val="16"/>
                      </w:rPr>
                    </w:pPr>
                    <w:r w:rsidRPr="00086EE7">
                      <w:rPr>
                        <w:i/>
                        <w:color w:val="31849B" w:themeColor="accent5" w:themeShade="BF"/>
                        <w:sz w:val="16"/>
                        <w:szCs w:val="16"/>
                      </w:rPr>
                      <w:t>Apima</w:t>
                    </w:r>
                  </w:p>
                </w:txbxContent>
              </v:textbox>
            </v:rect>
            <v:rect id="_x0000_s1770" style="position:absolute;left:4942;top:2283;width:2373;height:327" fillcolor="#92cddc [1944]" strokecolor="#31849b [2408]" strokeweight="2pt">
              <v:imagedata embosscolor="shadow add(51)"/>
              <v:shadow on="t" offset="1pt,1pt" offset2="-2pt,-2pt"/>
              <v:textbox style="mso-next-textbox:#_x0000_s1770" inset=".72pt,.72pt,.72pt,.72pt">
                <w:txbxContent>
                  <w:p w:rsidR="00B2438E" w:rsidRPr="0066151A" w:rsidRDefault="00B2438E" w:rsidP="000C27CD">
                    <w:pPr>
                      <w:spacing w:after="0" w:line="240" w:lineRule="auto"/>
                      <w:ind w:firstLine="0"/>
                      <w:jc w:val="center"/>
                      <w:rPr>
                        <w:b/>
                        <w:sz w:val="17"/>
                        <w:szCs w:val="17"/>
                      </w:rPr>
                    </w:pPr>
                    <w:r w:rsidRPr="0066151A">
                      <w:rPr>
                        <w:b/>
                        <w:sz w:val="17"/>
                        <w:szCs w:val="17"/>
                      </w:rPr>
                      <w:t>NETAUPYMO IR</w:t>
                    </w:r>
                    <w:r>
                      <w:rPr>
                        <w:b/>
                        <w:sz w:val="17"/>
                        <w:szCs w:val="17"/>
                      </w:rPr>
                      <w:t> / AR</w:t>
                    </w:r>
                    <w:r w:rsidRPr="0066151A">
                      <w:rPr>
                        <w:b/>
                        <w:sz w:val="17"/>
                        <w:szCs w:val="17"/>
                      </w:rPr>
                      <w:t xml:space="preserve"> NEINVESTAVIMO PRIEŽASTYS</w:t>
                    </w:r>
                  </w:p>
                </w:txbxContent>
              </v:textbox>
            </v:rect>
            <v:rect id="_x0000_s1771" style="position:absolute;left:4115;top:2862;width:1591;height:388" fillcolor="#92cddc [1944]" strokecolor="#31849b [2408]" strokeweight="1.5pt">
              <v:shadow on="t" offset="1pt,1pt" offset2="-2pt,-2pt"/>
              <v:textbox style="mso-next-textbox:#_x0000_s1771" inset=".72pt,.72pt,.72pt,.72pt">
                <w:txbxContent>
                  <w:p w:rsidR="00B2438E" w:rsidRPr="007A43AF" w:rsidRDefault="00B2438E" w:rsidP="000C27CD">
                    <w:pPr>
                      <w:spacing w:before="30" w:after="0" w:line="240" w:lineRule="auto"/>
                      <w:ind w:firstLine="0"/>
                      <w:jc w:val="center"/>
                      <w:rPr>
                        <w:b/>
                        <w:i/>
                        <w:sz w:val="18"/>
                        <w:szCs w:val="18"/>
                      </w:rPr>
                    </w:pPr>
                    <w:r w:rsidRPr="007A43AF">
                      <w:rPr>
                        <w:b/>
                        <w:i/>
                        <w:sz w:val="18"/>
                        <w:szCs w:val="18"/>
                      </w:rPr>
                      <w:t>Asmeninių finansų esmės nesuvokimas</w:t>
                    </w:r>
                  </w:p>
                </w:txbxContent>
              </v:textbox>
            </v:rect>
            <v:rect id="_x0000_s1772" style="position:absolute;left:6548;top:2862;width:1589;height:388" fillcolor="#92cddc [1944]" strokecolor="#31849b [2408]" strokeweight="1.5pt">
              <v:shadow on="t" offset="1pt,1pt" offset2="-2pt,-2pt"/>
              <v:textbox style="mso-next-textbox:#_x0000_s1772" inset=".72pt,.72pt,.72pt,.72pt">
                <w:txbxContent>
                  <w:p w:rsidR="00B2438E" w:rsidRPr="007A43AF" w:rsidRDefault="00B2438E" w:rsidP="000C27CD">
                    <w:pPr>
                      <w:spacing w:before="30" w:after="0" w:line="240" w:lineRule="auto"/>
                      <w:ind w:firstLine="0"/>
                      <w:jc w:val="center"/>
                      <w:rPr>
                        <w:b/>
                        <w:i/>
                        <w:sz w:val="18"/>
                        <w:szCs w:val="18"/>
                      </w:rPr>
                    </w:pPr>
                    <w:r w:rsidRPr="007A43AF">
                      <w:rPr>
                        <w:b/>
                        <w:i/>
                        <w:sz w:val="18"/>
                        <w:szCs w:val="18"/>
                      </w:rPr>
                      <w:t>Galimybių taupyti ir investuoti apribojimai</w:t>
                    </w:r>
                  </w:p>
                </w:txbxContent>
              </v:textbox>
            </v:rect>
            <v:shape id="_x0000_s1773" type="#_x0000_t32" style="position:absolute;left:4910;top:2624;width:1218;height:228;flip:x" o:connectortype="straight" strokecolor="#31849b [2408]" strokeweight="1.5pt">
              <v:stroke endarrow="block"/>
            </v:shape>
            <v:shape id="_x0000_s1774" type="#_x0000_t32" style="position:absolute;left:6128;top:2624;width:1215;height:228" o:connectortype="straight" strokecolor="#31849b [2408]" strokeweight="1.5pt">
              <v:stroke endarrow="block"/>
            </v:shape>
            <v:rect id="_x0000_s1775" style="position:absolute;left:2528;top:3503;width:738;height:593" fillcolor="#b6dde8 [1304]" strokecolor="#92cddc [1944]" strokeweight="1.25pt">
              <v:shadow on="t"/>
              <v:textbox style="mso-next-textbox:#_x0000_s1775" inset=".72pt,.72pt,.72pt,.72pt">
                <w:txbxContent>
                  <w:p w:rsidR="00B2438E" w:rsidRPr="00D70B6A" w:rsidRDefault="00B2438E" w:rsidP="000C27CD">
                    <w:pPr>
                      <w:spacing w:before="30" w:after="0" w:line="240" w:lineRule="auto"/>
                      <w:ind w:firstLine="0"/>
                      <w:jc w:val="center"/>
                      <w:rPr>
                        <w:sz w:val="16"/>
                        <w:szCs w:val="16"/>
                      </w:rPr>
                    </w:pPr>
                    <w:r w:rsidRPr="00D70B6A">
                      <w:rPr>
                        <w:sz w:val="16"/>
                        <w:szCs w:val="16"/>
                      </w:rPr>
                      <w:t>Tikslų nebuvimas / ateities nesuvokimas</w:t>
                    </w:r>
                  </w:p>
                </w:txbxContent>
              </v:textbox>
            </v:rect>
            <v:rect id="_x0000_s1776" style="position:absolute;left:3322;top:3501;width:740;height:595" fillcolor="#b6dde8 [1304]" strokecolor="#92cddc [1944]" strokeweight="1.25pt">
              <v:shadow on="t"/>
              <v:textbox style="mso-next-textbox:#_x0000_s1776" inset=".72pt,.72pt,.72pt,.72pt">
                <w:txbxContent>
                  <w:p w:rsidR="00B2438E" w:rsidRPr="00D70B6A" w:rsidRDefault="00B2438E" w:rsidP="000C27CD">
                    <w:pPr>
                      <w:spacing w:before="30" w:after="0" w:line="240" w:lineRule="auto"/>
                      <w:ind w:firstLine="0"/>
                      <w:jc w:val="center"/>
                      <w:rPr>
                        <w:sz w:val="16"/>
                        <w:szCs w:val="16"/>
                      </w:rPr>
                    </w:pPr>
                    <w:r w:rsidRPr="00D70B6A">
                      <w:rPr>
                        <w:sz w:val="16"/>
                        <w:szCs w:val="16"/>
                      </w:rPr>
                      <w:t>Nesidomėjimas asmeniniais finansais ir jų valdymu</w:t>
                    </w:r>
                  </w:p>
                </w:txbxContent>
              </v:textbox>
            </v:rect>
            <v:rect id="_x0000_s1777" style="position:absolute;left:4115;top:3503;width:739;height:594" fillcolor="#b6dde8 [1304]" strokecolor="#92cddc [1944]" strokeweight="1.25pt">
              <v:shadow on="t"/>
              <v:textbox style="mso-next-textbox:#_x0000_s1777" inset=".72pt,.72pt,.72pt,.72pt">
                <w:txbxContent>
                  <w:p w:rsidR="00B2438E" w:rsidRPr="00D70B6A" w:rsidRDefault="00B2438E" w:rsidP="000C27CD">
                    <w:pPr>
                      <w:spacing w:before="200" w:after="0" w:line="240" w:lineRule="auto"/>
                      <w:ind w:firstLine="0"/>
                      <w:jc w:val="center"/>
                      <w:rPr>
                        <w:sz w:val="16"/>
                        <w:szCs w:val="16"/>
                      </w:rPr>
                    </w:pPr>
                    <w:r>
                      <w:rPr>
                        <w:sz w:val="16"/>
                        <w:szCs w:val="16"/>
                      </w:rPr>
                      <w:t>Gyvenimo būdas</w:t>
                    </w:r>
                  </w:p>
                </w:txbxContent>
              </v:textbox>
            </v:rect>
            <v:rect id="_x0000_s1778" style="position:absolute;left:4910;top:3503;width:740;height:594" fillcolor="#b6dde8 [1304]" strokecolor="#92cddc [1944]" strokeweight="1.25pt">
              <v:shadow on="t"/>
              <v:textbox style="mso-next-textbox:#_x0000_s1778" inset=".72pt,.72pt,.72pt,.72pt">
                <w:txbxContent>
                  <w:p w:rsidR="00B2438E" w:rsidRPr="00D70B6A" w:rsidRDefault="00B2438E" w:rsidP="000C27CD">
                    <w:pPr>
                      <w:spacing w:before="100" w:after="0" w:line="240" w:lineRule="auto"/>
                      <w:ind w:firstLine="0"/>
                      <w:jc w:val="center"/>
                      <w:rPr>
                        <w:sz w:val="16"/>
                        <w:szCs w:val="16"/>
                      </w:rPr>
                    </w:pPr>
                    <w:r>
                      <w:rPr>
                        <w:sz w:val="16"/>
                        <w:szCs w:val="16"/>
                      </w:rPr>
                      <w:t>Požiūris, jog „investuoti reikia daug“</w:t>
                    </w:r>
                  </w:p>
                </w:txbxContent>
              </v:textbox>
            </v:rect>
            <v:rect id="_x0000_s1779" style="position:absolute;left:6548;top:3503;width:737;height:596" fillcolor="#b6dde8 [1304]" strokecolor="#92cddc [1944]" strokeweight="1.25pt">
              <v:shadow on="t"/>
              <v:textbox style="mso-next-textbox:#_x0000_s1779" inset=".72pt,.72pt,.72pt,.72pt">
                <w:txbxContent>
                  <w:p w:rsidR="00B2438E" w:rsidRPr="00D70B6A" w:rsidRDefault="00B2438E" w:rsidP="000C27CD">
                    <w:pPr>
                      <w:spacing w:before="200" w:after="0" w:line="240" w:lineRule="auto"/>
                      <w:ind w:firstLine="0"/>
                      <w:jc w:val="center"/>
                      <w:rPr>
                        <w:sz w:val="16"/>
                        <w:szCs w:val="16"/>
                      </w:rPr>
                    </w:pPr>
                    <w:r>
                      <w:rPr>
                        <w:sz w:val="16"/>
                        <w:szCs w:val="16"/>
                      </w:rPr>
                      <w:t>Netolerancija rizikai</w:t>
                    </w:r>
                  </w:p>
                </w:txbxContent>
              </v:textbox>
            </v:rect>
            <v:rect id="_x0000_s1780" style="position:absolute;left:7343;top:3503;width:740;height:596" fillcolor="#b6dde8 [1304]" strokecolor="#92cddc [1944]" strokeweight="1.25pt">
              <v:shadow on="t"/>
              <v:textbox style="mso-next-textbox:#_x0000_s1780" inset=".72pt,.72pt,.72pt,.72pt">
                <w:txbxContent>
                  <w:p w:rsidR="00B2438E" w:rsidRPr="00D70B6A" w:rsidRDefault="00B2438E" w:rsidP="000C27CD">
                    <w:pPr>
                      <w:spacing w:before="30" w:after="0" w:line="240" w:lineRule="auto"/>
                      <w:ind w:firstLine="0"/>
                      <w:jc w:val="center"/>
                      <w:rPr>
                        <w:sz w:val="16"/>
                        <w:szCs w:val="16"/>
                      </w:rPr>
                    </w:pPr>
                    <w:r>
                      <w:rPr>
                        <w:sz w:val="16"/>
                        <w:szCs w:val="16"/>
                      </w:rPr>
                      <w:t>Finansinis nepajėgumas / finansiniai įsipareigojimai</w:t>
                    </w:r>
                  </w:p>
                </w:txbxContent>
              </v:textbox>
            </v:rect>
            <v:rect id="_x0000_s1781" style="position:absolute;left:8137;top:3501;width:799;height:598" fillcolor="#b6dde8 [1304]" strokecolor="#92cddc [1944]" strokeweight="1.25pt">
              <v:shadow on="t"/>
              <v:textbox style="mso-next-textbox:#_x0000_s1781" inset=".72pt,.72pt,.72pt,.72pt">
                <w:txbxContent>
                  <w:p w:rsidR="00B2438E" w:rsidRPr="00D70B6A" w:rsidRDefault="00B2438E" w:rsidP="000C27CD">
                    <w:pPr>
                      <w:spacing w:before="100" w:after="0" w:line="240" w:lineRule="auto"/>
                      <w:ind w:firstLine="0"/>
                      <w:jc w:val="center"/>
                      <w:rPr>
                        <w:sz w:val="16"/>
                        <w:szCs w:val="16"/>
                      </w:rPr>
                    </w:pPr>
                    <w:r>
                      <w:rPr>
                        <w:sz w:val="16"/>
                        <w:szCs w:val="16"/>
                      </w:rPr>
                      <w:t>Nepasitikėjimas finansų institucijomis</w:t>
                    </w:r>
                  </w:p>
                </w:txbxContent>
              </v:textbox>
            </v:rect>
            <v:rect id="_x0000_s1782" style="position:absolute;left:8989;top:3501;width:739;height:598" fillcolor="#b6dde8 [1304]" strokecolor="#92cddc [1944]" strokeweight="1.25pt">
              <v:shadow on="t"/>
              <v:textbox style="mso-next-textbox:#_x0000_s1782" inset=".72pt,.72pt,.72pt,.72pt">
                <w:txbxContent>
                  <w:p w:rsidR="00B2438E" w:rsidRPr="00D70B6A" w:rsidRDefault="00B2438E" w:rsidP="000C27CD">
                    <w:pPr>
                      <w:spacing w:before="200" w:after="0" w:line="240" w:lineRule="auto"/>
                      <w:ind w:firstLine="0"/>
                      <w:jc w:val="center"/>
                      <w:rPr>
                        <w:sz w:val="16"/>
                        <w:szCs w:val="16"/>
                      </w:rPr>
                    </w:pPr>
                    <w:r>
                      <w:rPr>
                        <w:sz w:val="16"/>
                        <w:szCs w:val="16"/>
                      </w:rPr>
                      <w:t>Gyvenimo ciklo etapas</w:t>
                    </w:r>
                  </w:p>
                </w:txbxContent>
              </v:textbox>
            </v:rect>
            <v:rect id="_x0000_s1783" style="position:absolute;left:5759;top:3503;width:737;height:596" fillcolor="#b6dde8 [1304]" strokecolor="#92cddc [1944]" strokeweight="1.25pt">
              <v:shadow on="t"/>
              <v:textbox style="mso-next-textbox:#_x0000_s1783" inset=".72pt,.72pt,.72pt,.72pt">
                <w:txbxContent>
                  <w:p w:rsidR="00B2438E" w:rsidRPr="00D70B6A" w:rsidRDefault="00B2438E" w:rsidP="000C27CD">
                    <w:pPr>
                      <w:spacing w:before="200" w:after="0" w:line="240" w:lineRule="auto"/>
                      <w:ind w:firstLine="0"/>
                      <w:jc w:val="center"/>
                      <w:rPr>
                        <w:sz w:val="16"/>
                        <w:szCs w:val="16"/>
                      </w:rPr>
                    </w:pPr>
                    <w:r>
                      <w:rPr>
                        <w:sz w:val="16"/>
                        <w:szCs w:val="16"/>
                      </w:rPr>
                      <w:t>Žinių ir įgūdžių stoka</w:t>
                    </w:r>
                  </w:p>
                </w:txbxContent>
              </v:textbox>
            </v:rect>
            <v:group id="_x0000_s1784" style="position:absolute;left:2897;top:3261;width:2383;height:233" coordorigin="2897,3261" coordsize="2383,233">
              <v:shape id="_x0000_s1785" type="#_x0000_t34" style="position:absolute;left:3787;top:2371;width:233;height:2013;rotation:90" o:connectortype="elbow" adj="10638,-20010,-312973" strokecolor="#92cddc [1944]" strokeweight="1.25pt">
                <v:stroke endarrow="block"/>
              </v:shape>
              <v:shape id="_x0000_s1786" type="#_x0000_t34" style="position:absolute;left:4185;top:2768;width:231;height:1218;rotation:90" o:connectortype="elbow" adj="10669,-33066,-315818" strokecolor="#92cddc [1944]" strokeweight="1.25pt">
                <v:stroke endarrow="block"/>
              </v:shape>
              <v:shape id="_x0000_s1787" type="#_x0000_t34" style="position:absolute;left:4581;top:3165;width:233;height:425;rotation:90" o:connectortype="elbow" adj="10638,-94669,-312973" strokecolor="#92cddc [1944]" strokeweight="1.25pt">
                <v:stroke endarrow="block"/>
              </v:shape>
              <v:shape id="_x0000_s1788" type="#_x0000_t34" style="position:absolute;left:4978;top:3193;width:233;height:370;rotation:90;flip:x" o:connectortype="elbow" adj="10638,108861,-312973" strokecolor="#92cddc [1944]" strokeweight="1.25pt">
                <v:stroke endarrow="block"/>
              </v:shape>
            </v:group>
            <v:group id="_x0000_s1789" style="position:absolute;left:6128;top:3261;width:3231;height:233" coordorigin="6128,3261" coordsize="3231,233">
              <v:shape id="_x0000_s1790" type="#_x0000_t34" style="position:absolute;left:6619;top:2770;width:233;height:1215;rotation:90" o:connectortype="elbow" adj="10638,-33142,-537730" strokecolor="#92cddc [1944]" strokeweight="1.25pt">
                <v:stroke endarrow="block"/>
              </v:shape>
              <v:shape id="_x0000_s1791" type="#_x0000_t34" style="position:absolute;left:7013;top:3165;width:233;height:426;rotation:90" o:connectortype="elbow" adj="10638,-94513,-537730" strokecolor="#92cddc [1944]" strokeweight="1.25pt">
                <v:stroke endarrow="block"/>
              </v:shape>
              <v:shape id="_x0000_s1792" type="#_x0000_t34" style="position:absolute;left:7411;top:3193;width:233;height:370;rotation:90;flip:x" o:connectortype="elbow" adj="10638,108861,-537730" strokecolor="#92cddc [1944]" strokeweight="1.25pt">
                <v:stroke endarrow="block"/>
              </v:shape>
              <v:shape id="_x0000_s1793" type="#_x0000_t34" style="position:absolute;left:7824;top:2780;width:231;height:1194;rotation:90;flip:x" o:connectortype="elbow" adj="10669,33747,-542618" strokecolor="#92cddc [1944]" strokeweight="1.25pt">
                <v:stroke endarrow="block"/>
              </v:shape>
              <v:shape id="_x0000_s1794" type="#_x0000_t34" style="position:absolute;left:8235;top:2369;width:231;height:2016;rotation:90;flip:x" o:connectortype="elbow" adj="10669,19982,-542618" strokecolor="#92cddc [1944]" strokeweight="1.25pt">
                <v:stroke endarrow="block"/>
              </v:shape>
            </v:group>
            <w10:wrap type="none"/>
            <w10:anchorlock/>
          </v:group>
        </w:pict>
      </w:r>
    </w:p>
    <w:p w:rsidR="001913E2" w:rsidRPr="001913E2" w:rsidRDefault="001913E2" w:rsidP="002269B9">
      <w:pPr>
        <w:spacing w:after="0" w:line="240" w:lineRule="auto"/>
        <w:rPr>
          <w:sz w:val="20"/>
        </w:rPr>
      </w:pPr>
      <w:r w:rsidRPr="001913E2">
        <w:rPr>
          <w:b/>
          <w:sz w:val="20"/>
        </w:rPr>
        <w:t>Šaltinis</w:t>
      </w:r>
      <w:r w:rsidRPr="001913E2">
        <w:rPr>
          <w:sz w:val="20"/>
        </w:rPr>
        <w:t>: sudaryta šio darbo autorės, remiantis Lietuvoje atliktų tyrimų finansinės elgsenos tema rezultatais</w:t>
      </w:r>
    </w:p>
    <w:bookmarkStart w:id="10" w:name="_Toc343590402"/>
    <w:p w:rsidR="000C27CD" w:rsidRDefault="00D84BC4" w:rsidP="00886347">
      <w:pPr>
        <w:pStyle w:val="Caption"/>
      </w:pPr>
      <w:r w:rsidRPr="00E67399">
        <w:rPr>
          <w:b w:val="0"/>
        </w:rPr>
        <w:fldChar w:fldCharType="begin"/>
      </w:r>
      <w:r w:rsidR="0058301B" w:rsidRPr="00E67399">
        <w:rPr>
          <w:b w:val="0"/>
        </w:rPr>
        <w:instrText xml:space="preserve"> SEQ pav. \* ARABIC </w:instrText>
      </w:r>
      <w:r w:rsidRPr="00E67399">
        <w:rPr>
          <w:b w:val="0"/>
        </w:rPr>
        <w:fldChar w:fldCharType="separate"/>
      </w:r>
      <w:r w:rsidR="0058301B" w:rsidRPr="00E67399">
        <w:rPr>
          <w:b w:val="0"/>
        </w:rPr>
        <w:t>5</w:t>
      </w:r>
      <w:r w:rsidRPr="00E67399">
        <w:rPr>
          <w:b w:val="0"/>
        </w:rPr>
        <w:fldChar w:fldCharType="end"/>
      </w:r>
      <w:r w:rsidR="0058301B" w:rsidRPr="00E67399">
        <w:rPr>
          <w:b w:val="0"/>
        </w:rPr>
        <w:t xml:space="preserve"> </w:t>
      </w:r>
      <w:r w:rsidR="009A43B1" w:rsidRPr="00E67399">
        <w:rPr>
          <w:b w:val="0"/>
        </w:rPr>
        <w:t>pav.</w:t>
      </w:r>
      <w:r w:rsidR="009A43B1" w:rsidRPr="009A43B1">
        <w:rPr>
          <w:color w:val="FF0000"/>
        </w:rPr>
        <w:t xml:space="preserve"> </w:t>
      </w:r>
      <w:r w:rsidR="000C27CD">
        <w:t>Pagrindinės netaupymo ir neinvestavimo priežastys</w:t>
      </w:r>
      <w:bookmarkEnd w:id="10"/>
    </w:p>
    <w:p w:rsidR="009F6E24" w:rsidRDefault="00BB3300" w:rsidP="009F6E24">
      <w:pPr>
        <w:rPr>
          <w:color w:val="0070C0"/>
        </w:rPr>
      </w:pPr>
      <w:r>
        <w:t xml:space="preserve">Nors toks požiūris daro </w:t>
      </w:r>
      <w:r w:rsidR="00351BF2">
        <w:t xml:space="preserve">itin </w:t>
      </w:r>
      <w:r>
        <w:t>didelę įtaką</w:t>
      </w:r>
      <w:r w:rsidR="000101D1">
        <w:t xml:space="preserve"> finansini</w:t>
      </w:r>
      <w:r w:rsidR="002B7092">
        <w:t>ų</w:t>
      </w:r>
      <w:r w:rsidR="000101D1">
        <w:t xml:space="preserve"> sprendim</w:t>
      </w:r>
      <w:r w:rsidR="00351BF2">
        <w:t xml:space="preserve">ų priėmimo </w:t>
      </w:r>
      <w:r w:rsidR="009F6E24">
        <w:t>eigoje</w:t>
      </w:r>
      <w:r w:rsidR="002B7092">
        <w:t xml:space="preserve">, </w:t>
      </w:r>
      <w:r w:rsidR="001D188A">
        <w:t xml:space="preserve">apibendrinus </w:t>
      </w:r>
      <w:r w:rsidR="002B7092">
        <w:t>atliktų tyrimų rezultat</w:t>
      </w:r>
      <w:r w:rsidR="001D188A">
        <w:t>us, paaiškėjo</w:t>
      </w:r>
      <w:r w:rsidR="00E0705E">
        <w:t xml:space="preserve">, jog </w:t>
      </w:r>
      <w:r w:rsidR="00F167B1">
        <w:t>šalies</w:t>
      </w:r>
      <w:r w:rsidR="009151C2">
        <w:t xml:space="preserve"> gyventojai </w:t>
      </w:r>
      <w:r w:rsidR="00800233">
        <w:t>netinkamų</w:t>
      </w:r>
      <w:r w:rsidR="006145E5">
        <w:t xml:space="preserve"> </w:t>
      </w:r>
      <w:r w:rsidR="00800233">
        <w:t>sprendimų</w:t>
      </w:r>
      <w:r w:rsidR="00890D87">
        <w:t xml:space="preserve"> </w:t>
      </w:r>
      <w:r w:rsidR="00800233">
        <w:t xml:space="preserve">atlieka </w:t>
      </w:r>
      <w:r w:rsidR="00890D87">
        <w:t>ir dėl kitų priežasčių</w:t>
      </w:r>
      <w:r w:rsidR="00F167B1">
        <w:t>, t. </w:t>
      </w:r>
      <w:r w:rsidR="00B0578B">
        <w:t xml:space="preserve">y. </w:t>
      </w:r>
      <w:r w:rsidR="00137B50">
        <w:t xml:space="preserve">netaupo </w:t>
      </w:r>
      <w:r w:rsidR="00A53AFA">
        <w:t>ir / </w:t>
      </w:r>
      <w:r w:rsidR="00137B50">
        <w:t xml:space="preserve">ar </w:t>
      </w:r>
      <w:r w:rsidR="00765F5E">
        <w:t xml:space="preserve">neinvestuoja </w:t>
      </w:r>
      <w:r w:rsidR="00B0578B">
        <w:t>dėl to</w:t>
      </w:r>
      <w:r w:rsidR="009F6E24">
        <w:t>,</w:t>
      </w:r>
      <w:r w:rsidR="009F6E24" w:rsidRPr="009F6E24">
        <w:t xml:space="preserve"> </w:t>
      </w:r>
      <w:r w:rsidR="009F6E24">
        <w:t>jog ne</w:t>
      </w:r>
      <w:r w:rsidR="000E014E">
        <w:t>turi finansinio pajėgumo</w:t>
      </w:r>
      <w:r w:rsidR="00C24352">
        <w:t xml:space="preserve"> – </w:t>
      </w:r>
      <w:r w:rsidR="008A3AFD">
        <w:t xml:space="preserve">paprastai </w:t>
      </w:r>
      <w:r w:rsidR="009F6E24">
        <w:t xml:space="preserve">pajamos, tenkančios vienam šeimos nariui, </w:t>
      </w:r>
      <w:r w:rsidR="00AE4931">
        <w:t>būna</w:t>
      </w:r>
      <w:r w:rsidR="006878EB">
        <w:t xml:space="preserve"> </w:t>
      </w:r>
      <w:r w:rsidR="006878EB" w:rsidRPr="0079527D">
        <w:t>mažos</w:t>
      </w:r>
      <w:r w:rsidR="00C24352" w:rsidRPr="0079527D">
        <w:t>, to</w:t>
      </w:r>
      <w:r w:rsidR="00AE4931" w:rsidRPr="0079527D">
        <w:t xml:space="preserve">dėl, apmokėjus būtinąsias išlaidas, </w:t>
      </w:r>
      <w:r w:rsidR="008A3AFD" w:rsidRPr="0079527D">
        <w:t>dažnai</w:t>
      </w:r>
      <w:r w:rsidR="006878EB" w:rsidRPr="0079527D">
        <w:t xml:space="preserve"> visai</w:t>
      </w:r>
      <w:r w:rsidR="008A3AFD" w:rsidRPr="0079527D">
        <w:t xml:space="preserve"> </w:t>
      </w:r>
      <w:r w:rsidR="009F6E24" w:rsidRPr="0079527D">
        <w:t>nelieka pinigų</w:t>
      </w:r>
      <w:r w:rsidR="005173C1" w:rsidRPr="0079527D">
        <w:t xml:space="preserve"> (</w:t>
      </w:r>
      <w:r w:rsidR="00987B5B" w:rsidRPr="0079527D">
        <w:t xml:space="preserve">Rakauskienė, </w:t>
      </w:r>
      <w:proofErr w:type="spellStart"/>
      <w:r w:rsidR="00987B5B" w:rsidRPr="0079527D">
        <w:t>Bikas</w:t>
      </w:r>
      <w:proofErr w:type="spellEnd"/>
      <w:r w:rsidR="005173C1" w:rsidRPr="0079527D">
        <w:t xml:space="preserve"> 2007;</w:t>
      </w:r>
      <w:r w:rsidR="00D81DBD" w:rsidRPr="0079527D">
        <w:t xml:space="preserve"> </w:t>
      </w:r>
      <w:proofErr w:type="spellStart"/>
      <w:r w:rsidR="00801606" w:rsidRPr="0079527D">
        <w:rPr>
          <w:i/>
        </w:rPr>
        <w:t>Swedbank</w:t>
      </w:r>
      <w:proofErr w:type="spellEnd"/>
      <w:r w:rsidR="00801606" w:rsidRPr="0079527D">
        <w:t xml:space="preserve"> asmeninių finansų institutas 2011; </w:t>
      </w:r>
      <w:proofErr w:type="spellStart"/>
      <w:r w:rsidR="009F20F1" w:rsidRPr="0079527D">
        <w:t>Taujanskaitė</w:t>
      </w:r>
      <w:proofErr w:type="spellEnd"/>
      <w:r w:rsidR="009F20F1" w:rsidRPr="0079527D">
        <w:t xml:space="preserve">, </w:t>
      </w:r>
      <w:proofErr w:type="spellStart"/>
      <w:r w:rsidR="009F20F1" w:rsidRPr="0079527D">
        <w:t>Jurevičienė</w:t>
      </w:r>
      <w:proofErr w:type="spellEnd"/>
      <w:r w:rsidR="009F20F1" w:rsidRPr="0079527D">
        <w:t xml:space="preserve"> 2010; </w:t>
      </w:r>
      <w:r w:rsidR="00D81DBD" w:rsidRPr="0079527D">
        <w:t>Vertybinių popierių komisija 2009</w:t>
      </w:r>
      <w:r w:rsidR="00BE5F4A" w:rsidRPr="0079527D">
        <w:t>)</w:t>
      </w:r>
      <w:r w:rsidR="009F6E24" w:rsidRPr="0079527D">
        <w:t xml:space="preserve">. </w:t>
      </w:r>
      <w:r w:rsidR="005D25E8" w:rsidRPr="0079527D">
        <w:t>Vadinasi</w:t>
      </w:r>
      <w:r w:rsidR="005D25E8">
        <w:t xml:space="preserve">, </w:t>
      </w:r>
      <w:r w:rsidR="00033C5F">
        <w:t xml:space="preserve">esminė </w:t>
      </w:r>
      <w:r w:rsidR="009F6E24">
        <w:t xml:space="preserve">priežastis (ir </w:t>
      </w:r>
      <w:r w:rsidR="00033C5F">
        <w:t xml:space="preserve">kartu </w:t>
      </w:r>
      <w:r w:rsidR="009F6E24">
        <w:t>problema</w:t>
      </w:r>
      <w:r w:rsidR="006145E5" w:rsidRPr="006145E5">
        <w:t>!</w:t>
      </w:r>
      <w:r w:rsidR="009F6E24">
        <w:t xml:space="preserve">), neleidžianti </w:t>
      </w:r>
      <w:r w:rsidR="00836CB1">
        <w:t>L</w:t>
      </w:r>
      <w:r w:rsidR="00E05E29">
        <w:t>ietuv</w:t>
      </w:r>
      <w:r w:rsidR="00836CB1">
        <w:t>os</w:t>
      </w:r>
      <w:r w:rsidR="00E05E29">
        <w:t xml:space="preserve"> </w:t>
      </w:r>
      <w:r w:rsidR="00836CB1">
        <w:t xml:space="preserve">piliečiams </w:t>
      </w:r>
      <w:r w:rsidR="009F6E24">
        <w:t>pasiekti finansinę</w:t>
      </w:r>
      <w:r w:rsidR="003521B7">
        <w:t xml:space="preserve"> laisvę</w:t>
      </w:r>
      <w:r w:rsidR="009F6E24">
        <w:t xml:space="preserve">, yra </w:t>
      </w:r>
      <w:r w:rsidR="00836CB1">
        <w:rPr>
          <w:i/>
        </w:rPr>
        <w:t xml:space="preserve">laisvų lėšų </w:t>
      </w:r>
      <w:r w:rsidR="00B04CDA" w:rsidRPr="0058301B">
        <w:rPr>
          <w:i/>
        </w:rPr>
        <w:t xml:space="preserve">stygius </w:t>
      </w:r>
      <w:r w:rsidR="009F6E24" w:rsidRPr="0058301B">
        <w:t>(žr. 2 pried</w:t>
      </w:r>
      <w:r w:rsidR="003E5679" w:rsidRPr="0058301B">
        <w:t>ą</w:t>
      </w:r>
      <w:r w:rsidR="009F6E24" w:rsidRPr="0058301B">
        <w:t>),</w:t>
      </w:r>
      <w:r w:rsidR="009F6E24">
        <w:t xml:space="preserve"> kuris atsiranda dėl to, jog </w:t>
      </w:r>
      <w:r w:rsidR="008B33D9">
        <w:t xml:space="preserve">yra </w:t>
      </w:r>
      <w:r w:rsidR="009F6E24">
        <w:t>netinkamai valdomi finansai</w:t>
      </w:r>
      <w:r w:rsidR="001C7268">
        <w:t>, t. y.</w:t>
      </w:r>
      <w:r w:rsidR="00614437">
        <w:t xml:space="preserve"> </w:t>
      </w:r>
      <w:r w:rsidR="00D80BF7">
        <w:t>priimami ne</w:t>
      </w:r>
      <w:r w:rsidR="00E05F1F">
        <w:t>teising</w:t>
      </w:r>
      <w:r w:rsidR="00D80BF7">
        <w:t>i</w:t>
      </w:r>
      <w:r w:rsidR="00E05F1F">
        <w:t xml:space="preserve"> sprendim</w:t>
      </w:r>
      <w:r w:rsidR="00D80BF7">
        <w:t>ai</w:t>
      </w:r>
      <w:r w:rsidR="00E05F1F">
        <w:t xml:space="preserve"> įplaukų formavimo ir išlaidų optimizavimo</w:t>
      </w:r>
      <w:r w:rsidR="00B04CDA">
        <w:t xml:space="preserve"> srityse</w:t>
      </w:r>
      <w:r w:rsidR="00E05F1F">
        <w:t>.</w:t>
      </w:r>
    </w:p>
    <w:p w:rsidR="005C2E5B" w:rsidRDefault="0044115F" w:rsidP="00D47B5C">
      <w:r>
        <w:t xml:space="preserve">Patyrinėjus situaciją </w:t>
      </w:r>
      <w:r w:rsidRPr="0058301B">
        <w:t>Lietuvoje (</w:t>
      </w:r>
      <w:r w:rsidR="003C4700" w:rsidRPr="0058301B">
        <w:t>žr. 6</w:t>
      </w:r>
      <w:r w:rsidRPr="0058301B">
        <w:t> pav.),</w:t>
      </w:r>
      <w:r>
        <w:t xml:space="preserve"> </w:t>
      </w:r>
      <w:r w:rsidR="00D8320C">
        <w:t xml:space="preserve">aiškiai </w:t>
      </w:r>
      <w:r>
        <w:t xml:space="preserve">matyti, kad vidutinio </w:t>
      </w:r>
      <w:r w:rsidRPr="00D8320C">
        <w:rPr>
          <w:i/>
        </w:rPr>
        <w:t>statistinio lietuvio</w:t>
      </w:r>
      <w:r>
        <w:t xml:space="preserve"> </w:t>
      </w:r>
      <w:r w:rsidR="00657F0B">
        <w:t>pajamose vyrauja samdomojo darbo pajamos (62,1 proc.)</w:t>
      </w:r>
      <w:r w:rsidR="00B254EF">
        <w:t xml:space="preserve"> bei pajamos iš socialinei apsaugai skirtų lėšų (23,6 proc.). Tai reiškia, jog</w:t>
      </w:r>
      <w:r w:rsidR="00136C79">
        <w:t xml:space="preserve"> Lietuvos gyventojai nėra itin verslūs ir</w:t>
      </w:r>
      <w:r w:rsidR="00DD1705">
        <w:t>,</w:t>
      </w:r>
      <w:r w:rsidR="008841F7">
        <w:t xml:space="preserve"> kad [</w:t>
      </w:r>
      <w:r w:rsidR="00136C79">
        <w:t>gal</w:t>
      </w:r>
      <w:r w:rsidR="00D8655C">
        <w:t>būt</w:t>
      </w:r>
      <w:r w:rsidR="008841F7">
        <w:t>]</w:t>
      </w:r>
      <w:r w:rsidR="00D8655C">
        <w:t xml:space="preserve"> piktnaudžiaujama socialine apsauga</w:t>
      </w:r>
      <w:r w:rsidR="00FA7111">
        <w:t xml:space="preserve">, kadangi </w:t>
      </w:r>
      <w:r w:rsidR="00F12C38">
        <w:t xml:space="preserve">senjorai </w:t>
      </w:r>
      <w:r w:rsidR="004A3C29">
        <w:t>nėra vienintelė socialines išmokas gaunanti visuomenės</w:t>
      </w:r>
      <w:r w:rsidR="00AE4A74">
        <w:t xml:space="preserve"> dalis </w:t>
      </w:r>
      <w:r w:rsidR="006C1FE9">
        <w:t xml:space="preserve">– jas gauna </w:t>
      </w:r>
      <w:r w:rsidR="004458D8">
        <w:t>tiek su</w:t>
      </w:r>
      <w:r w:rsidR="00AE4A74">
        <w:t xml:space="preserve"> </w:t>
      </w:r>
      <w:r w:rsidR="004458D8">
        <w:t>liga</w:t>
      </w:r>
      <w:r w:rsidR="00AE4A74">
        <w:t xml:space="preserve"> / </w:t>
      </w:r>
      <w:r w:rsidR="004458D8">
        <w:t>motinyste</w:t>
      </w:r>
      <w:r w:rsidR="00A306A9">
        <w:t xml:space="preserve"> susidūrę</w:t>
      </w:r>
      <w:r w:rsidR="006464E5">
        <w:t xml:space="preserve">, </w:t>
      </w:r>
      <w:r w:rsidR="006C1FE9">
        <w:t>tiek sveikatos</w:t>
      </w:r>
      <w:r w:rsidR="00BD2068">
        <w:t> / </w:t>
      </w:r>
      <w:r w:rsidR="006C1FE9">
        <w:t xml:space="preserve">darbo </w:t>
      </w:r>
      <w:r w:rsidR="009F51E8">
        <w:t xml:space="preserve">netekę, tiek ir blogesnėje </w:t>
      </w:r>
      <w:r w:rsidR="0008320A">
        <w:t>finans</w:t>
      </w:r>
      <w:r w:rsidR="009F51E8">
        <w:t>inėje padėtyje</w:t>
      </w:r>
      <w:r w:rsidR="003D344A">
        <w:t xml:space="preserve"> </w:t>
      </w:r>
      <w:r w:rsidR="00AE4A74">
        <w:t xml:space="preserve">atsidūrę </w:t>
      </w:r>
      <w:r w:rsidR="0008320A">
        <w:t>asmenys</w:t>
      </w:r>
      <w:r w:rsidR="003D344A">
        <w:t>.</w:t>
      </w:r>
    </w:p>
    <w:p w:rsidR="00C718E5" w:rsidRDefault="00AD59FA" w:rsidP="006C0583">
      <w:pPr>
        <w:spacing w:after="0"/>
      </w:pPr>
      <w:r>
        <w:t>Reikėtų akcentuoti, jog g</w:t>
      </w:r>
      <w:r w:rsidR="0091774D">
        <w:t>yven</w:t>
      </w:r>
      <w:r w:rsidR="005762B3">
        <w:t>imas</w:t>
      </w:r>
      <w:r w:rsidR="0091774D">
        <w:t xml:space="preserve"> iš soc</w:t>
      </w:r>
      <w:r w:rsidR="00BD2068">
        <w:t>ialinių išmokų</w:t>
      </w:r>
      <w:r w:rsidR="0091774D">
        <w:t xml:space="preserve"> </w:t>
      </w:r>
      <w:r w:rsidR="003257F3">
        <w:t xml:space="preserve">yra visiškai neracionalus </w:t>
      </w:r>
      <w:r w:rsidR="0008320A">
        <w:t xml:space="preserve">asmeninių finansų požiūriu </w:t>
      </w:r>
      <w:r w:rsidR="00853B2F">
        <w:t xml:space="preserve">– </w:t>
      </w:r>
      <w:r w:rsidR="00853B2F" w:rsidRPr="001C292A">
        <w:rPr>
          <w:i/>
        </w:rPr>
        <w:t>ir ypatingai jaunystėje, k</w:t>
      </w:r>
      <w:r w:rsidR="000E3027" w:rsidRPr="001C292A">
        <w:rPr>
          <w:i/>
        </w:rPr>
        <w:t>a</w:t>
      </w:r>
      <w:r w:rsidR="000232E3" w:rsidRPr="001C292A">
        <w:rPr>
          <w:i/>
        </w:rPr>
        <w:t>da</w:t>
      </w:r>
      <w:r w:rsidR="000E3027" w:rsidRPr="001C292A">
        <w:rPr>
          <w:i/>
        </w:rPr>
        <w:t xml:space="preserve"> reikia kaupti turtą ir rūpintis senatve</w:t>
      </w:r>
      <w:r w:rsidR="000E3027">
        <w:t xml:space="preserve">, – kadangi </w:t>
      </w:r>
      <w:r w:rsidR="004F5845">
        <w:t>finansinė laisvė pasiekiama tada, kai pasyviosios pajamos viršija gyvenimo išlaidas</w:t>
      </w:r>
      <w:r w:rsidR="00F53B1F">
        <w:t>, o ne kai išlaidos yra finansuojamos iš</w:t>
      </w:r>
      <w:r w:rsidR="000232E3">
        <w:t xml:space="preserve"> socialinės apsaugos sistemos lėšų.</w:t>
      </w:r>
      <w:r w:rsidR="0086268D">
        <w:t xml:space="preserve"> Neteisinga tai ir likusios visuomenės, kuri sąžiningai moka mokesčius</w:t>
      </w:r>
      <w:r w:rsidR="002971BE">
        <w:t xml:space="preserve"> ir tokiu būdu finansuoja „išlaikytinių“ gyvenimą</w:t>
      </w:r>
      <w:r w:rsidR="0086268D">
        <w:t>, atžvilgiu</w:t>
      </w:r>
      <w:r w:rsidR="002971BE">
        <w:t>,</w:t>
      </w:r>
      <w:r w:rsidR="00A30EBF">
        <w:t xml:space="preserve"> – nes </w:t>
      </w:r>
      <w:r w:rsidR="002971BE">
        <w:t>gerovę jaučia tie</w:t>
      </w:r>
      <w:r w:rsidR="00A30EBF">
        <w:t>, kurie to nenusipelnė.</w:t>
      </w:r>
    </w:p>
    <w:p w:rsidR="005A5A3D" w:rsidRDefault="000011BD" w:rsidP="006C0583">
      <w:pPr>
        <w:spacing w:after="0"/>
      </w:pPr>
      <w:r>
        <w:t>Atkreiptinas dėmesys</w:t>
      </w:r>
      <w:r w:rsidR="005A5A3D" w:rsidRPr="005A5A3D">
        <w:t xml:space="preserve">, jog namų ūkių, kuriuose nėra </w:t>
      </w:r>
      <w:r w:rsidR="005A5A3D" w:rsidRPr="0058301B">
        <w:t>vaikų</w:t>
      </w:r>
      <w:r w:rsidR="004542B5" w:rsidRPr="0058301B">
        <w:t xml:space="preserve"> (žr. 6 pav.)</w:t>
      </w:r>
      <w:r w:rsidR="005A5A3D" w:rsidRPr="0058301B">
        <w:t>, pajamų</w:t>
      </w:r>
      <w:r w:rsidR="005A5A3D" w:rsidRPr="005A5A3D">
        <w:t xml:space="preserve"> struktūra yra </w:t>
      </w:r>
      <w:r w:rsidR="00EB73B8">
        <w:t xml:space="preserve">žymiai </w:t>
      </w:r>
      <w:r w:rsidR="005A5A3D" w:rsidRPr="005A5A3D">
        <w:t>prastesnės padėties: čia ne tik samdomojo darbo pajamų dalis yra mažesnė (57,3 proc.), bet ir socialinių išmokų dalis didesnė (30,1 proc.). Tai gali reikšti, jog jauni ir</w:t>
      </w:r>
      <w:r w:rsidR="00456057">
        <w:t> / ar</w:t>
      </w:r>
      <w:r w:rsidR="005A5A3D" w:rsidRPr="005A5A3D">
        <w:t xml:space="preserve"> ne(be)turintys įsipareigojimų (dėl vaikų) žmonės gyvena </w:t>
      </w:r>
      <w:r w:rsidR="005A5A3D" w:rsidRPr="00925119">
        <w:rPr>
          <w:i/>
        </w:rPr>
        <w:t>dėl savęs</w:t>
      </w:r>
      <w:r w:rsidR="005A5A3D" w:rsidRPr="005A5A3D">
        <w:t>, todėl įplaukas formuoja arba atsitiktinai, arba išnaudodami visas pasi</w:t>
      </w:r>
      <w:r w:rsidR="00450E31">
        <w:t>taikančias galim</w:t>
      </w:r>
      <w:r w:rsidR="00464E67">
        <w:t>ybes.</w:t>
      </w:r>
      <w:r w:rsidR="002B056C">
        <w:t xml:space="preserve"> Įdomu</w:t>
      </w:r>
      <w:r w:rsidR="005D1753">
        <w:t xml:space="preserve"> yra ir tai, kad, nors santykinis</w:t>
      </w:r>
      <w:r w:rsidR="002B056C">
        <w:t xml:space="preserve"> </w:t>
      </w:r>
      <w:r w:rsidR="00B31C4C">
        <w:t>šiai grupei pr</w:t>
      </w:r>
      <w:r w:rsidR="00AB5E8D">
        <w:t>iklausančių žmonių darbo pajamų dydis</w:t>
      </w:r>
      <w:r w:rsidR="005D1753">
        <w:t xml:space="preserve"> yra mažesn</w:t>
      </w:r>
      <w:r w:rsidR="00AB5E8D">
        <w:t>i</w:t>
      </w:r>
      <w:r w:rsidR="005D1753">
        <w:t xml:space="preserve">s, </w:t>
      </w:r>
      <w:r w:rsidR="008E318D">
        <w:t>palyginti su ki</w:t>
      </w:r>
      <w:r w:rsidR="00253D42">
        <w:t>tomis grupėmis</w:t>
      </w:r>
      <w:r w:rsidR="008E318D">
        <w:t xml:space="preserve">, </w:t>
      </w:r>
      <w:r w:rsidR="005D1753">
        <w:t>skaitine</w:t>
      </w:r>
      <w:r w:rsidR="00AB5E8D">
        <w:t xml:space="preserve"> </w:t>
      </w:r>
      <w:r w:rsidR="00A321A5">
        <w:t>išraišk</w:t>
      </w:r>
      <w:r w:rsidR="00DA237B">
        <w:t>a</w:t>
      </w:r>
      <w:r w:rsidR="00D75F65">
        <w:t xml:space="preserve"> tiek samdomojo darbo, tiek ir kitų rūšių pajamos </w:t>
      </w:r>
      <w:r w:rsidR="00B350E1">
        <w:t>tokiuose</w:t>
      </w:r>
      <w:r w:rsidR="00E64993">
        <w:t xml:space="preserve"> namų ūkiuose </w:t>
      </w:r>
      <w:r w:rsidR="00D75F65">
        <w:t xml:space="preserve">yra didesnės. </w:t>
      </w:r>
      <w:r w:rsidR="005A5A3D" w:rsidRPr="005A5A3D">
        <w:t>Tai gali reikšti, jog į šią grupę yra patekę daugiau dirbančių</w:t>
      </w:r>
      <w:r w:rsidR="00B350E1">
        <w:t xml:space="preserve"> senjorų</w:t>
      </w:r>
      <w:r w:rsidR="005A5A3D" w:rsidRPr="005A5A3D">
        <w:t>.</w:t>
      </w:r>
    </w:p>
    <w:p w:rsidR="004765AB" w:rsidRDefault="004765AB" w:rsidP="004765AB">
      <w:pPr>
        <w:spacing w:after="0"/>
      </w:pPr>
      <w:r>
        <w:lastRenderedPageBreak/>
        <w:t xml:space="preserve">Žvelgiant į namų ūkių, turinčių vaikų, pajamų struktūrą, matomas kitoks </w:t>
      </w:r>
      <w:r w:rsidR="00B33CC1">
        <w:t>„</w:t>
      </w:r>
      <w:r>
        <w:t>vaizdas</w:t>
      </w:r>
      <w:r w:rsidR="00B33CC1">
        <w:t>“</w:t>
      </w:r>
      <w:r>
        <w:t>: čia pajamos tiek iš samdomojo darbo (68,9 proc.), tiek iš verslo / individualios veiklos (12,3 proc.) yra didesnės, palyginti su kitomis grupėmis, todė</w:t>
      </w:r>
      <w:r w:rsidR="006E60D3">
        <w:t>l, galima teigti, jog turinčios</w:t>
      </w:r>
      <w:r>
        <w:t xml:space="preserve"> vaikų </w:t>
      </w:r>
      <w:r w:rsidR="006E60D3">
        <w:t>šeimos yra atsakingesnės</w:t>
      </w:r>
      <w:r>
        <w:t xml:space="preserve"> ir efektyviau valdo savo asmeninius finansus. Tačiau taip galima kalbėti tik iš dalies, kadangi atsakingai elgtis yra linkę tik tie namų ūkiai, kur</w:t>
      </w:r>
      <w:r w:rsidR="00122EAE">
        <w:t>ių šeimos sudėtis nėra didelė, t</w:t>
      </w:r>
      <w:r>
        <w:t>uo tarpu daugiavaikėse šeimose (kuriose yra trys ir daugiau vaikų) pastebimas ž</w:t>
      </w:r>
      <w:r w:rsidR="003B1C9A">
        <w:t xml:space="preserve">ymus socialinių išmokų dalies </w:t>
      </w:r>
      <w:r w:rsidR="001125CF">
        <w:t>pa</w:t>
      </w:r>
      <w:r>
        <w:t>didėjimas</w:t>
      </w:r>
      <w:r w:rsidRPr="000A2473">
        <w:t xml:space="preserve"> (</w:t>
      </w:r>
      <w:r w:rsidR="005C61E2" w:rsidRPr="000A2473">
        <w:t>žr. 7</w:t>
      </w:r>
      <w:r w:rsidRPr="000A2473">
        <w:t xml:space="preserve"> pav</w:t>
      </w:r>
      <w:r w:rsidR="00297416" w:rsidRPr="000A2473">
        <w:t>.).</w:t>
      </w:r>
      <w:r w:rsidR="00297416">
        <w:t xml:space="preserve"> Ši</w:t>
      </w:r>
      <w:r>
        <w:t>s faktas leidžia daryti išvadą, jog</w:t>
      </w:r>
      <w:r w:rsidR="00A0613E">
        <w:t xml:space="preserve"> valstybės atžvilgiu</w:t>
      </w:r>
      <w:r w:rsidR="00E54037">
        <w:t xml:space="preserve"> pavojingiausios yra tos socialinės grupės, kurios yra įvardijamos kaip </w:t>
      </w:r>
      <w:r w:rsidR="00E54037" w:rsidRPr="0014042C">
        <w:rPr>
          <w:i/>
        </w:rPr>
        <w:t xml:space="preserve">daugiavaikės </w:t>
      </w:r>
      <w:r w:rsidR="0014042C" w:rsidRPr="0014042C">
        <w:rPr>
          <w:i/>
        </w:rPr>
        <w:t>šeimos</w:t>
      </w:r>
      <w:r w:rsidR="0014042C">
        <w:t xml:space="preserve">, kadangi jos ne tik tampa našta visuomenei, bet ir </w:t>
      </w:r>
      <w:r w:rsidR="00650535">
        <w:t>jų elgsena finansų atžvilgiu yra neracionali.</w:t>
      </w:r>
    </w:p>
    <w:p w:rsidR="000E0C4B" w:rsidRDefault="00B91599" w:rsidP="00DD2B12">
      <w:pPr>
        <w:spacing w:after="0" w:line="240" w:lineRule="auto"/>
        <w:ind w:firstLine="0"/>
      </w:pPr>
      <w:r>
        <w:rPr>
          <w:noProof/>
          <w:lang w:val="en-US"/>
        </w:rPr>
        <w:drawing>
          <wp:inline distT="0" distB="0" distL="0" distR="0">
            <wp:extent cx="6504689" cy="1601972"/>
            <wp:effectExtent l="57150" t="19050" r="105661" b="74428"/>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cstate="print"/>
                    <a:srcRect/>
                    <a:stretch>
                      <a:fillRect/>
                    </a:stretch>
                  </pic:blipFill>
                  <pic:spPr bwMode="auto">
                    <a:xfrm>
                      <a:off x="0" y="0"/>
                      <a:ext cx="6504689" cy="1601972"/>
                    </a:xfrm>
                    <a:prstGeom prst="rect">
                      <a:avLst/>
                    </a:prstGeom>
                    <a:ln w="19050" cap="sq">
                      <a:solidFill>
                        <a:schemeClr val="accent5">
                          <a:lumMod val="75000"/>
                        </a:schemeClr>
                      </a:solidFill>
                      <a:prstDash val="solid"/>
                      <a:miter lim="800000"/>
                    </a:ln>
                    <a:effectLst>
                      <a:outerShdw blurRad="50800" dist="38100" dir="2700000" algn="tl" rotWithShape="0">
                        <a:srgbClr val="000000">
                          <a:alpha val="43000"/>
                        </a:srgbClr>
                      </a:outerShdw>
                    </a:effectLst>
                  </pic:spPr>
                </pic:pic>
              </a:graphicData>
            </a:graphic>
          </wp:inline>
        </w:drawing>
      </w:r>
    </w:p>
    <w:p w:rsidR="002269B9" w:rsidRPr="002269B9" w:rsidRDefault="002269B9" w:rsidP="00195D51">
      <w:pPr>
        <w:spacing w:after="0" w:line="240" w:lineRule="auto"/>
        <w:rPr>
          <w:sz w:val="20"/>
        </w:rPr>
      </w:pPr>
      <w:r w:rsidRPr="00195D51">
        <w:rPr>
          <w:b/>
          <w:sz w:val="20"/>
        </w:rPr>
        <w:t>Šaltinis</w:t>
      </w:r>
      <w:r w:rsidRPr="002269B9">
        <w:rPr>
          <w:sz w:val="20"/>
        </w:rPr>
        <w:t>: sudaryta šio darbo autorės, remiantis Lietuvos Respublikos statistikos departamento duomenimis</w:t>
      </w:r>
    </w:p>
    <w:bookmarkStart w:id="11" w:name="_Toc343590403"/>
    <w:p w:rsidR="0045439C" w:rsidRDefault="00D84BC4" w:rsidP="00886347">
      <w:pPr>
        <w:pStyle w:val="Caption"/>
      </w:pPr>
      <w:r w:rsidRPr="00E67399">
        <w:rPr>
          <w:b w:val="0"/>
        </w:rPr>
        <w:fldChar w:fldCharType="begin"/>
      </w:r>
      <w:r w:rsidR="000A2473" w:rsidRPr="00E67399">
        <w:rPr>
          <w:b w:val="0"/>
        </w:rPr>
        <w:instrText xml:space="preserve"> SEQ pav. \* ARABIC </w:instrText>
      </w:r>
      <w:r w:rsidRPr="00E67399">
        <w:rPr>
          <w:b w:val="0"/>
        </w:rPr>
        <w:fldChar w:fldCharType="separate"/>
      </w:r>
      <w:r w:rsidR="000A2473" w:rsidRPr="00E67399">
        <w:rPr>
          <w:b w:val="0"/>
        </w:rPr>
        <w:t>6</w:t>
      </w:r>
      <w:r w:rsidRPr="00E67399">
        <w:rPr>
          <w:b w:val="0"/>
        </w:rPr>
        <w:fldChar w:fldCharType="end"/>
      </w:r>
      <w:r w:rsidR="000A2473" w:rsidRPr="00E67399">
        <w:rPr>
          <w:b w:val="0"/>
        </w:rPr>
        <w:t xml:space="preserve"> </w:t>
      </w:r>
      <w:r w:rsidR="00994A2D" w:rsidRPr="00E67399">
        <w:rPr>
          <w:b w:val="0"/>
        </w:rPr>
        <w:t>pav.</w:t>
      </w:r>
      <w:r w:rsidR="00994A2D" w:rsidRPr="00994A2D">
        <w:rPr>
          <w:color w:val="FF0000"/>
        </w:rPr>
        <w:t xml:space="preserve"> </w:t>
      </w:r>
      <w:r w:rsidR="00452134">
        <w:t>Skirtingų namų ūkių p</w:t>
      </w:r>
      <w:r w:rsidR="00605640">
        <w:t>ajamų struktūra</w:t>
      </w:r>
      <w:r w:rsidR="00D21DD3">
        <w:t>, 2008 m.</w:t>
      </w:r>
      <w:bookmarkEnd w:id="11"/>
    </w:p>
    <w:p w:rsidR="00650535" w:rsidRPr="0091511F" w:rsidRDefault="006A2F28" w:rsidP="00650535">
      <w:r>
        <w:t xml:space="preserve">Palyginus namų ūkių, turinčių po vieną vaiką, </w:t>
      </w:r>
      <w:r w:rsidR="00C129F2">
        <w:t>ir</w:t>
      </w:r>
      <w:r>
        <w:t xml:space="preserve"> </w:t>
      </w:r>
      <w:r w:rsidR="0063591F">
        <w:t>daugiavaik</w:t>
      </w:r>
      <w:r w:rsidR="00C129F2">
        <w:t>ių</w:t>
      </w:r>
      <w:r w:rsidR="0063591F">
        <w:t xml:space="preserve"> šeim</w:t>
      </w:r>
      <w:r w:rsidR="00C129F2">
        <w:t>ų pajamų struktūras</w:t>
      </w:r>
      <w:r w:rsidR="0063591F">
        <w:t xml:space="preserve">, matyti, jog situacija iš esmės keičiasi: </w:t>
      </w:r>
      <w:r w:rsidR="00C129F2">
        <w:t xml:space="preserve">daugiavaikėse šeimose </w:t>
      </w:r>
      <w:r w:rsidR="0063591F">
        <w:t>pajamos iš samdomojo darbo</w:t>
      </w:r>
      <w:r w:rsidR="003A1D1F">
        <w:t xml:space="preserve"> (struktūroje) tampa net 21,9 proc.</w:t>
      </w:r>
      <w:r w:rsidR="00F07205">
        <w:t xml:space="preserve"> mažesnės, kai </w:t>
      </w:r>
      <w:r w:rsidR="00BC2EA0">
        <w:t>tuo tarpu socialinės išmokos –</w:t>
      </w:r>
      <w:r w:rsidR="005642DE">
        <w:t xml:space="preserve"> </w:t>
      </w:r>
      <w:r w:rsidR="00BC2EA0">
        <w:t>8,9 proc. didesnės.</w:t>
      </w:r>
      <w:r w:rsidR="003E6099">
        <w:t xml:space="preserve"> Reikėtų atkreipti dėmesį, jog skaitine reikšme </w:t>
      </w:r>
      <w:r w:rsidR="0050346B">
        <w:t xml:space="preserve">namų ūkiuose – </w:t>
      </w:r>
      <w:r w:rsidR="00F90058">
        <w:t>tiek</w:t>
      </w:r>
      <w:r w:rsidR="003E6099">
        <w:t xml:space="preserve"> </w:t>
      </w:r>
      <w:r w:rsidR="00463B1E">
        <w:t>turinčiuose vieną</w:t>
      </w:r>
      <w:r w:rsidR="003E6099">
        <w:t xml:space="preserve">, </w:t>
      </w:r>
      <w:r w:rsidR="0034759E">
        <w:t>tiek</w:t>
      </w:r>
      <w:r w:rsidR="00466B39">
        <w:t xml:space="preserve"> </w:t>
      </w:r>
      <w:r w:rsidR="00F11679">
        <w:t xml:space="preserve">keletą </w:t>
      </w:r>
      <w:r w:rsidR="00F90058">
        <w:t>vaikų</w:t>
      </w:r>
      <w:r w:rsidR="0050346B">
        <w:t>, –</w:t>
      </w:r>
      <w:r w:rsidR="00F90058">
        <w:t xml:space="preserve"> </w:t>
      </w:r>
      <w:r w:rsidR="00463B1E">
        <w:t>socialinių išmokų, tenkančių</w:t>
      </w:r>
      <w:r w:rsidR="0034759E">
        <w:t xml:space="preserve"> </w:t>
      </w:r>
      <w:r w:rsidR="00F11679">
        <w:t xml:space="preserve">vienam </w:t>
      </w:r>
      <w:r w:rsidR="003E6099">
        <w:t>asmeniui</w:t>
      </w:r>
      <w:r w:rsidR="00463B1E">
        <w:t>,</w:t>
      </w:r>
      <w:r w:rsidR="003E6099">
        <w:t xml:space="preserve"> </w:t>
      </w:r>
      <w:r w:rsidR="0034759E">
        <w:t>dalis yra panaši</w:t>
      </w:r>
      <w:r w:rsidR="00F11679">
        <w:t xml:space="preserve"> (</w:t>
      </w:r>
      <w:r w:rsidR="00463B1E">
        <w:t xml:space="preserve">skiriasi </w:t>
      </w:r>
      <w:r w:rsidR="00A015C2">
        <w:t>tik 0,2 Lt</w:t>
      </w:r>
      <w:r w:rsidR="00F11679">
        <w:t>)</w:t>
      </w:r>
      <w:r w:rsidR="004D5E1A">
        <w:t>. T</w:t>
      </w:r>
      <w:r w:rsidR="006F7CDE" w:rsidRPr="006F7CDE">
        <w:t>ačiau, paskaičiavus</w:t>
      </w:r>
      <w:r w:rsidR="00C17416">
        <w:t>, koks</w:t>
      </w:r>
      <w:r w:rsidR="004D5E1A">
        <w:t xml:space="preserve"> </w:t>
      </w:r>
      <w:r w:rsidR="00B33CC1">
        <w:t xml:space="preserve">tampa </w:t>
      </w:r>
      <w:r w:rsidR="00C17416">
        <w:t>suminis</w:t>
      </w:r>
      <w:r w:rsidR="00466B39">
        <w:t xml:space="preserve"> socialinių</w:t>
      </w:r>
      <w:r w:rsidR="006F7CDE" w:rsidRPr="006F7CDE">
        <w:t xml:space="preserve"> </w:t>
      </w:r>
      <w:r w:rsidR="00F11679">
        <w:t xml:space="preserve">išmokų </w:t>
      </w:r>
      <w:r w:rsidR="00C17416">
        <w:t xml:space="preserve">dydis, </w:t>
      </w:r>
      <w:r w:rsidR="00975A7F">
        <w:t xml:space="preserve">matomas kitoks </w:t>
      </w:r>
      <w:r w:rsidR="00B33CC1">
        <w:t>„</w:t>
      </w:r>
      <w:r w:rsidR="00975A7F">
        <w:t>vaizdas</w:t>
      </w:r>
      <w:r w:rsidR="00B33CC1">
        <w:t>“</w:t>
      </w:r>
      <w:r w:rsidR="0091511F">
        <w:t xml:space="preserve"> –</w:t>
      </w:r>
      <w:r w:rsidR="00BB6500">
        <w:t xml:space="preserve"> teikti </w:t>
      </w:r>
      <w:r w:rsidR="00891659">
        <w:rPr>
          <w:i/>
        </w:rPr>
        <w:t xml:space="preserve">pagalbą </w:t>
      </w:r>
      <w:r w:rsidR="00C36783">
        <w:t>daugiavaik</w:t>
      </w:r>
      <w:r w:rsidR="00BB6500">
        <w:t>ėms</w:t>
      </w:r>
      <w:r w:rsidR="00C36783">
        <w:t xml:space="preserve"> šeim</w:t>
      </w:r>
      <w:r w:rsidR="00BB6500">
        <w:t xml:space="preserve">oms </w:t>
      </w:r>
      <w:r w:rsidR="00C3027C">
        <w:t xml:space="preserve">valstybei </w:t>
      </w:r>
      <w:r w:rsidR="00BB6500">
        <w:t xml:space="preserve">tampa daug skaudžiau </w:t>
      </w:r>
      <w:r w:rsidR="00DD7BC3">
        <w:t>(</w:t>
      </w:r>
      <w:r w:rsidR="00DD7BC3" w:rsidRPr="00DD7BC3">
        <w:t>pinigine prasme</w:t>
      </w:r>
      <w:r w:rsidR="00DD7BC3">
        <w:t>)</w:t>
      </w:r>
      <w:r w:rsidR="00C3027C">
        <w:t xml:space="preserve"> </w:t>
      </w:r>
      <w:r w:rsidR="00BB6500">
        <w:t xml:space="preserve">nei </w:t>
      </w:r>
      <w:r w:rsidR="00C3027C">
        <w:t xml:space="preserve">remti </w:t>
      </w:r>
      <w:r w:rsidR="008F2D67">
        <w:t xml:space="preserve">nedidelius namų ūkius. Taip pat akcentuotina, jog visoje struktūroje </w:t>
      </w:r>
      <w:r w:rsidR="00763307">
        <w:t xml:space="preserve">didžiausias </w:t>
      </w:r>
      <w:r w:rsidR="00763307" w:rsidRPr="00DD7BC3">
        <w:rPr>
          <w:i/>
        </w:rPr>
        <w:t>skirtumas</w:t>
      </w:r>
      <w:r w:rsidR="00763307">
        <w:t xml:space="preserve"> matomas samdomojo darbo srityje</w:t>
      </w:r>
      <w:r w:rsidR="00DF08D2">
        <w:t xml:space="preserve"> (</w:t>
      </w:r>
      <w:r w:rsidR="00807DB8">
        <w:t>423,8 Lt</w:t>
      </w:r>
      <w:r w:rsidR="00DF08D2">
        <w:t>)</w:t>
      </w:r>
      <w:r w:rsidR="00763307">
        <w:t xml:space="preserve">, o tai tik patvirtina jau išsakytą mintį, kad </w:t>
      </w:r>
      <w:r w:rsidR="00807DB8" w:rsidRPr="009E7285">
        <w:rPr>
          <w:i/>
        </w:rPr>
        <w:t>daugiavaikėms šeimoms priklausantys asmenys</w:t>
      </w:r>
      <w:r w:rsidR="00F92E97" w:rsidRPr="009E7285">
        <w:rPr>
          <w:i/>
        </w:rPr>
        <w:t xml:space="preserve"> </w:t>
      </w:r>
      <w:r w:rsidR="00F92E97" w:rsidRPr="009E7285">
        <w:t xml:space="preserve">(ir ne tik) </w:t>
      </w:r>
      <w:r w:rsidR="00F92E97" w:rsidRPr="009E7285">
        <w:rPr>
          <w:i/>
        </w:rPr>
        <w:t>piktnaudžiauja socialinės apsaugos sistema</w:t>
      </w:r>
      <w:r w:rsidR="00F92E97">
        <w:t>.</w:t>
      </w:r>
    </w:p>
    <w:p w:rsidR="0080480B" w:rsidRDefault="00602776" w:rsidP="007B4D9C">
      <w:pPr>
        <w:widowControl/>
        <w:spacing w:after="0" w:line="240" w:lineRule="auto"/>
        <w:ind w:firstLine="0"/>
        <w:contextualSpacing w:val="0"/>
        <w:jc w:val="left"/>
      </w:pPr>
      <w:r>
        <w:rPr>
          <w:noProof/>
          <w:lang w:val="en-US"/>
        </w:rPr>
        <w:drawing>
          <wp:inline distT="0" distB="0" distL="0" distR="0">
            <wp:extent cx="6505575" cy="1600200"/>
            <wp:effectExtent l="57150" t="19050" r="123825" b="7620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9" cstate="print"/>
                    <a:srcRect/>
                    <a:stretch>
                      <a:fillRect/>
                    </a:stretch>
                  </pic:blipFill>
                  <pic:spPr bwMode="auto">
                    <a:xfrm>
                      <a:off x="0" y="0"/>
                      <a:ext cx="6505575" cy="1600200"/>
                    </a:xfrm>
                    <a:prstGeom prst="rect">
                      <a:avLst/>
                    </a:prstGeom>
                    <a:ln w="19050" cap="sq">
                      <a:solidFill>
                        <a:schemeClr val="accent5">
                          <a:lumMod val="75000"/>
                        </a:schemeClr>
                      </a:solidFill>
                      <a:prstDash val="solid"/>
                      <a:miter lim="800000"/>
                    </a:ln>
                    <a:effectLst>
                      <a:outerShdw blurRad="50800" dist="38100" dir="2700000" algn="tl" rotWithShape="0">
                        <a:srgbClr val="000000">
                          <a:alpha val="43000"/>
                        </a:srgbClr>
                      </a:outerShdw>
                    </a:effectLst>
                  </pic:spPr>
                </pic:pic>
              </a:graphicData>
            </a:graphic>
          </wp:inline>
        </w:drawing>
      </w:r>
    </w:p>
    <w:p w:rsidR="00195D51" w:rsidRPr="00195D51" w:rsidRDefault="00195D51" w:rsidP="00195D51">
      <w:pPr>
        <w:spacing w:after="0" w:line="240" w:lineRule="auto"/>
        <w:rPr>
          <w:sz w:val="20"/>
        </w:rPr>
      </w:pPr>
      <w:r w:rsidRPr="00195D51">
        <w:rPr>
          <w:b/>
          <w:sz w:val="20"/>
        </w:rPr>
        <w:t>Šaltinis</w:t>
      </w:r>
      <w:r w:rsidRPr="00195D51">
        <w:rPr>
          <w:sz w:val="20"/>
        </w:rPr>
        <w:t>: sudaryta šio darbo autorės, remiantis Lietuvos Respublikos statistikos departamento duomenimis</w:t>
      </w:r>
    </w:p>
    <w:bookmarkStart w:id="12" w:name="_Toc343590404"/>
    <w:p w:rsidR="00076F69" w:rsidRDefault="00D84BC4" w:rsidP="00886347">
      <w:pPr>
        <w:pStyle w:val="Caption"/>
      </w:pPr>
      <w:r w:rsidRPr="00E67399">
        <w:rPr>
          <w:b w:val="0"/>
        </w:rPr>
        <w:fldChar w:fldCharType="begin"/>
      </w:r>
      <w:r w:rsidR="000A2473" w:rsidRPr="00E67399">
        <w:rPr>
          <w:b w:val="0"/>
        </w:rPr>
        <w:instrText xml:space="preserve"> SEQ pav. \* ARABIC </w:instrText>
      </w:r>
      <w:r w:rsidRPr="00E67399">
        <w:rPr>
          <w:b w:val="0"/>
        </w:rPr>
        <w:fldChar w:fldCharType="separate"/>
      </w:r>
      <w:r w:rsidR="000A2473" w:rsidRPr="00E67399">
        <w:rPr>
          <w:b w:val="0"/>
        </w:rPr>
        <w:t>7</w:t>
      </w:r>
      <w:r w:rsidRPr="00E67399">
        <w:rPr>
          <w:b w:val="0"/>
        </w:rPr>
        <w:fldChar w:fldCharType="end"/>
      </w:r>
      <w:r w:rsidR="000A2473" w:rsidRPr="00E67399">
        <w:rPr>
          <w:b w:val="0"/>
        </w:rPr>
        <w:t xml:space="preserve"> </w:t>
      </w:r>
      <w:r w:rsidR="00816904" w:rsidRPr="00E67399">
        <w:rPr>
          <w:b w:val="0"/>
        </w:rPr>
        <w:t>pav.</w:t>
      </w:r>
      <w:r w:rsidR="00816904" w:rsidRPr="00816904">
        <w:rPr>
          <w:color w:val="FF0000"/>
        </w:rPr>
        <w:t xml:space="preserve"> </w:t>
      </w:r>
      <w:r w:rsidR="00452134">
        <w:t>Namų ūkių, turinčių vaikų, p</w:t>
      </w:r>
      <w:r w:rsidR="002600B5" w:rsidRPr="002600B5">
        <w:t>ajamų struktūra, 2008 m.</w:t>
      </w:r>
      <w:bookmarkEnd w:id="12"/>
    </w:p>
    <w:p w:rsidR="00721B17" w:rsidRDefault="008E59D3" w:rsidP="00721B17">
      <w:r w:rsidRPr="00CC5191">
        <w:lastRenderedPageBreak/>
        <w:t>Nors dėl oficialiosios statistikos stygiaus, buvo aptarti ankstesnių metų duomenys</w:t>
      </w:r>
      <w:r w:rsidR="00A419A7" w:rsidRPr="00CC5191">
        <w:t xml:space="preserve">, prieš tai </w:t>
      </w:r>
      <w:r w:rsidR="006F41F5" w:rsidRPr="00CC5191">
        <w:t>nagrinėti</w:t>
      </w:r>
      <w:r w:rsidR="00A419A7" w:rsidRPr="00CC5191">
        <w:t xml:space="preserve"> gyventojų nuom</w:t>
      </w:r>
      <w:r w:rsidR="00A419A7">
        <w:t>onių tyrim</w:t>
      </w:r>
      <w:r w:rsidR="006F41F5">
        <w:t>ų rezultatai</w:t>
      </w:r>
      <w:r w:rsidR="000343AA">
        <w:t xml:space="preserve"> leidžia daryti </w:t>
      </w:r>
      <w:r w:rsidR="00CC5191">
        <w:t>prielaidą, jog situacija</w:t>
      </w:r>
      <w:r w:rsidR="008A6A99">
        <w:t xml:space="preserve"> pajamų struktūroje neturėjo ženkliai pakisti </w:t>
      </w:r>
      <w:r w:rsidR="007A773C">
        <w:t>(</w:t>
      </w:r>
      <w:r w:rsidR="00806B8B">
        <w:t>minimali mėnesinė</w:t>
      </w:r>
      <w:r w:rsidR="007A773C" w:rsidRPr="008102C5">
        <w:t xml:space="preserve"> </w:t>
      </w:r>
      <w:r w:rsidR="00806B8B">
        <w:t xml:space="preserve">alga </w:t>
      </w:r>
      <w:r w:rsidR="008A7E51">
        <w:t xml:space="preserve">per </w:t>
      </w:r>
      <w:r w:rsidR="008A7E51" w:rsidRPr="00A27792">
        <w:t>2008</w:t>
      </w:r>
      <w:r w:rsidR="00B04DB7" w:rsidRPr="00A27792">
        <w:t>–</w:t>
      </w:r>
      <w:r w:rsidR="00FA0142" w:rsidRPr="00A27792">
        <w:t xml:space="preserve">2012 m. </w:t>
      </w:r>
      <w:r w:rsidR="008A7E51" w:rsidRPr="00A27792">
        <w:t>laikotarpį padidėjo</w:t>
      </w:r>
      <w:r w:rsidR="000343AA" w:rsidRPr="00A27792">
        <w:rPr>
          <w:rStyle w:val="FootnoteReference"/>
        </w:rPr>
        <w:footnoteReference w:id="2"/>
      </w:r>
      <w:r w:rsidR="00B04DB7" w:rsidRPr="00A27792">
        <w:t xml:space="preserve"> tik</w:t>
      </w:r>
      <w:r w:rsidR="001F4A7B" w:rsidRPr="00A27792">
        <w:t xml:space="preserve"> </w:t>
      </w:r>
      <w:r w:rsidR="00B04DB7" w:rsidRPr="00A27792">
        <w:t>50</w:t>
      </w:r>
      <w:r w:rsidR="001F4A7B" w:rsidRPr="00A27792">
        <w:t> Lt</w:t>
      </w:r>
      <w:r w:rsidR="007A773C" w:rsidRPr="00A27792">
        <w:t>;</w:t>
      </w:r>
      <w:r w:rsidR="007A773C" w:rsidRPr="007B5614">
        <w:rPr>
          <w:color w:val="0070C0"/>
        </w:rPr>
        <w:t xml:space="preserve"> </w:t>
      </w:r>
      <w:r w:rsidR="007A773C" w:rsidRPr="008102C5">
        <w:t xml:space="preserve">vidutinis </w:t>
      </w:r>
      <w:r w:rsidR="00A721B9">
        <w:rPr>
          <w:i/>
        </w:rPr>
        <w:t>brut</w:t>
      </w:r>
      <w:r w:rsidR="007A773C" w:rsidRPr="008102C5">
        <w:rPr>
          <w:i/>
        </w:rPr>
        <w:t>o</w:t>
      </w:r>
      <w:r w:rsidR="007A773C" w:rsidRPr="008102C5">
        <w:t xml:space="preserve"> darbo užmokestis</w:t>
      </w:r>
      <w:r w:rsidR="002973C8">
        <w:t xml:space="preserve"> (mėnesio)</w:t>
      </w:r>
      <w:r w:rsidR="007A773C" w:rsidRPr="008102C5">
        <w:t xml:space="preserve"> </w:t>
      </w:r>
      <w:r w:rsidR="0038038D" w:rsidRPr="0038038D">
        <w:t>2012</w:t>
      </w:r>
      <w:r w:rsidR="00FA0142" w:rsidRPr="0038038D">
        <w:t> m</w:t>
      </w:r>
      <w:r w:rsidR="00FA0142" w:rsidRPr="0090355A">
        <w:t>.</w:t>
      </w:r>
      <w:r w:rsidR="00E4026E" w:rsidRPr="0090355A">
        <w:t xml:space="preserve"> II</w:t>
      </w:r>
      <w:r w:rsidR="0090355A" w:rsidRPr="0090355A">
        <w:t>I</w:t>
      </w:r>
      <w:r w:rsidR="00E4026E" w:rsidRPr="0090355A">
        <w:t xml:space="preserve"> ketvirtį</w:t>
      </w:r>
      <w:r w:rsidR="0078325B" w:rsidRPr="0090355A">
        <w:t>, palyginti su 2008 m.</w:t>
      </w:r>
      <w:r w:rsidR="00487550" w:rsidRPr="0090355A">
        <w:t xml:space="preserve"> III ket</w:t>
      </w:r>
      <w:r w:rsidR="00487550" w:rsidRPr="00E50658">
        <w:t>virči</w:t>
      </w:r>
      <w:r w:rsidR="00920D3B">
        <w:t>u</w:t>
      </w:r>
      <w:r w:rsidR="003F6A5B" w:rsidRPr="00E50658">
        <w:t>,</w:t>
      </w:r>
      <w:r w:rsidR="00FA0142" w:rsidRPr="00E50658">
        <w:t xml:space="preserve"> </w:t>
      </w:r>
      <w:r w:rsidR="00487550" w:rsidRPr="00E50658">
        <w:t>sumažėj</w:t>
      </w:r>
      <w:r w:rsidR="003F6A5B" w:rsidRPr="00E50658">
        <w:t>o</w:t>
      </w:r>
      <w:r w:rsidR="00920D3B" w:rsidRPr="00E50658">
        <w:rPr>
          <w:rStyle w:val="FootnoteReference"/>
        </w:rPr>
        <w:footnoteReference w:id="3"/>
      </w:r>
      <w:r w:rsidR="003F6A5B" w:rsidRPr="00E50658">
        <w:t xml:space="preserve"> </w:t>
      </w:r>
      <w:r w:rsidR="00F468B3" w:rsidRPr="00E50658">
        <w:t>149</w:t>
      </w:r>
      <w:r w:rsidR="00687BDD" w:rsidRPr="00E50658">
        <w:t> Lt</w:t>
      </w:r>
      <w:r w:rsidR="00814635" w:rsidRPr="00E50658">
        <w:t>, t. y. iki</w:t>
      </w:r>
      <w:r w:rsidR="00687BDD" w:rsidRPr="00E50658">
        <w:t xml:space="preserve"> </w:t>
      </w:r>
      <w:r w:rsidR="002973C8" w:rsidRPr="00E50658">
        <w:t>2 1</w:t>
      </w:r>
      <w:r w:rsidR="00F468B3" w:rsidRPr="00E50658">
        <w:t>71</w:t>
      </w:r>
      <w:r w:rsidR="001F4A7B" w:rsidRPr="00E50658">
        <w:t> Lt</w:t>
      </w:r>
      <w:r w:rsidR="00464786" w:rsidRPr="00E50658">
        <w:t>;</w:t>
      </w:r>
      <w:r w:rsidR="00464786">
        <w:rPr>
          <w:color w:val="0070C0"/>
        </w:rPr>
        <w:t xml:space="preserve"> </w:t>
      </w:r>
      <w:r w:rsidR="00977E0F" w:rsidRPr="00977E0F">
        <w:t xml:space="preserve">vidutinė nedarbo draudimo </w:t>
      </w:r>
      <w:r w:rsidR="00977E0F" w:rsidRPr="00EE6A5A">
        <w:t xml:space="preserve">išmoka </w:t>
      </w:r>
      <w:r w:rsidR="00557FEC" w:rsidRPr="00EE6A5A">
        <w:t xml:space="preserve">per mėnesį </w:t>
      </w:r>
      <w:r w:rsidR="00977E0F" w:rsidRPr="007A47AA">
        <w:t xml:space="preserve">2012 m. </w:t>
      </w:r>
      <w:r w:rsidR="00557FEC" w:rsidRPr="007A47AA">
        <w:t>II</w:t>
      </w:r>
      <w:r w:rsidR="00662724" w:rsidRPr="007A47AA">
        <w:t>I</w:t>
      </w:r>
      <w:r w:rsidR="00557FEC" w:rsidRPr="007A47AA">
        <w:t xml:space="preserve"> ketvirtį, palyginti su 2008 m. III </w:t>
      </w:r>
      <w:r w:rsidR="00557FEC" w:rsidRPr="00E17E42">
        <w:t xml:space="preserve">ketvirčiu, </w:t>
      </w:r>
      <w:r w:rsidR="00B013BE" w:rsidRPr="00E17E42">
        <w:t>sumažėjo</w:t>
      </w:r>
      <w:r w:rsidR="00D1619E" w:rsidRPr="007A47AA">
        <w:rPr>
          <w:rStyle w:val="FootnoteReference"/>
        </w:rPr>
        <w:footnoteReference w:id="4"/>
      </w:r>
      <w:r w:rsidR="00B013BE" w:rsidRPr="00E17E42">
        <w:t xml:space="preserve"> </w:t>
      </w:r>
      <w:r w:rsidR="00573516" w:rsidRPr="00E17E42">
        <w:t xml:space="preserve">tik </w:t>
      </w:r>
      <w:r w:rsidR="00E17E42" w:rsidRPr="00E17E42">
        <w:t>45</w:t>
      </w:r>
      <w:r w:rsidR="00B013BE" w:rsidRPr="00E17E42">
        <w:t>,</w:t>
      </w:r>
      <w:r w:rsidR="00E17E42" w:rsidRPr="00E17E42">
        <w:t>7</w:t>
      </w:r>
      <w:r w:rsidR="00662724" w:rsidRPr="00E17E42">
        <w:t xml:space="preserve"> Lt, t. y. iki</w:t>
      </w:r>
      <w:r w:rsidR="00662724" w:rsidRPr="007A47AA">
        <w:t xml:space="preserve"> 567</w:t>
      </w:r>
      <w:r w:rsidR="00EE6A5A" w:rsidRPr="007A47AA">
        <w:t>,</w:t>
      </w:r>
      <w:r w:rsidR="00662724" w:rsidRPr="007A47AA">
        <w:t>26</w:t>
      </w:r>
      <w:r w:rsidR="00EE6A5A" w:rsidRPr="007A47AA">
        <w:t xml:space="preserve"> Lt;</w:t>
      </w:r>
      <w:r w:rsidR="00B013BE">
        <w:rPr>
          <w:color w:val="0070C0"/>
        </w:rPr>
        <w:t xml:space="preserve"> </w:t>
      </w:r>
      <w:r w:rsidR="00787E97" w:rsidRPr="00227AE7">
        <w:t>valstybės remiamos pajamos nuo 2008 m. nepakito</w:t>
      </w:r>
      <w:r w:rsidR="00C50886">
        <w:rPr>
          <w:rStyle w:val="FootnoteReference"/>
        </w:rPr>
        <w:footnoteReference w:id="5"/>
      </w:r>
      <w:r w:rsidR="00787E97" w:rsidRPr="00227AE7">
        <w:t>, t</w:t>
      </w:r>
      <w:r w:rsidR="00787E97" w:rsidRPr="002F75D9">
        <w:t xml:space="preserve">. y. </w:t>
      </w:r>
      <w:r w:rsidR="00227AE7" w:rsidRPr="002F75D9">
        <w:t>2012 </w:t>
      </w:r>
      <w:r w:rsidR="00227AE7" w:rsidRPr="00B11EF7">
        <w:t xml:space="preserve">m. </w:t>
      </w:r>
      <w:r w:rsidR="00787E97" w:rsidRPr="00B11EF7">
        <w:t>išliko 350 Lt</w:t>
      </w:r>
      <w:r w:rsidR="00787E97" w:rsidRPr="006E70DF">
        <w:t>;</w:t>
      </w:r>
      <w:r w:rsidR="00190409" w:rsidRPr="006E70DF">
        <w:t xml:space="preserve"> </w:t>
      </w:r>
      <w:r w:rsidR="00EB1555" w:rsidRPr="006E70DF">
        <w:t xml:space="preserve">keitėsi tik </w:t>
      </w:r>
      <w:r w:rsidR="001511C2" w:rsidRPr="006E70DF">
        <w:t xml:space="preserve">nedarbo draudimo </w:t>
      </w:r>
      <w:r w:rsidR="00EB1555" w:rsidRPr="006E70DF">
        <w:t>išmokų</w:t>
      </w:r>
      <w:r w:rsidR="0022181A" w:rsidRPr="006E70DF">
        <w:t xml:space="preserve"> ir socialinės paramos</w:t>
      </w:r>
      <w:r w:rsidR="00F96BCE" w:rsidRPr="006E70DF">
        <w:t xml:space="preserve"> </w:t>
      </w:r>
      <w:r w:rsidR="00190409" w:rsidRPr="006E70DF">
        <w:t>teikimo</w:t>
      </w:r>
      <w:r w:rsidR="006D033A" w:rsidRPr="006E70DF">
        <w:t xml:space="preserve"> tvarka</w:t>
      </w:r>
      <w:r w:rsidR="00190409" w:rsidRPr="006E70DF">
        <w:t>, kuri</w:t>
      </w:r>
      <w:r w:rsidR="006D033A" w:rsidRPr="006E70DF">
        <w:t xml:space="preserve"> </w:t>
      </w:r>
      <w:r w:rsidR="0043017C" w:rsidRPr="006E70DF">
        <w:t xml:space="preserve">tapo labiau orientuota į ilgalaikių </w:t>
      </w:r>
      <w:r w:rsidR="005B033F" w:rsidRPr="006E70DF">
        <w:t xml:space="preserve">bedarbių </w:t>
      </w:r>
      <w:r w:rsidR="004334F8" w:rsidRPr="006E70DF">
        <w:t>įdarbinimą i</w:t>
      </w:r>
      <w:r w:rsidR="00311487" w:rsidRPr="006E70DF">
        <w:t>r</w:t>
      </w:r>
      <w:r w:rsidR="004334F8" w:rsidRPr="006E70DF">
        <w:t xml:space="preserve"> </w:t>
      </w:r>
      <w:r w:rsidR="0032463B" w:rsidRPr="006E70DF">
        <w:t xml:space="preserve">proporcingą </w:t>
      </w:r>
      <w:r w:rsidR="004334F8" w:rsidRPr="006E70DF">
        <w:t xml:space="preserve">socialinių išmokų </w:t>
      </w:r>
      <w:r w:rsidR="005B033F" w:rsidRPr="006E70DF">
        <w:t>paskirstymą</w:t>
      </w:r>
      <w:r w:rsidR="00814635" w:rsidRPr="006E70DF">
        <w:t>)</w:t>
      </w:r>
      <w:r w:rsidR="001F4A7B">
        <w:t xml:space="preserve"> </w:t>
      </w:r>
      <w:r w:rsidR="004C7E72">
        <w:t>– nes</w:t>
      </w:r>
      <w:r w:rsidR="008A6A99">
        <w:t xml:space="preserve"> </w:t>
      </w:r>
      <w:r w:rsidR="006E70DF">
        <w:t xml:space="preserve">pati </w:t>
      </w:r>
      <w:r w:rsidR="008A6A99">
        <w:t>elgsena yra mažai kintanti</w:t>
      </w:r>
      <w:r w:rsidR="00E65F92">
        <w:t>.</w:t>
      </w:r>
      <w:r w:rsidR="002E0720">
        <w:t xml:space="preserve"> Vadinasi, šiandien</w:t>
      </w:r>
      <w:r w:rsidR="004C7E72">
        <w:t xml:space="preserve"> didelei daliai </w:t>
      </w:r>
      <w:r w:rsidR="00311487">
        <w:t xml:space="preserve">Lietuvos </w:t>
      </w:r>
      <w:r w:rsidR="008F09D8">
        <w:t xml:space="preserve">gyventojų </w:t>
      </w:r>
      <w:r w:rsidR="00BA36BA">
        <w:t>taupyti ir</w:t>
      </w:r>
      <w:r w:rsidR="00D0611A">
        <w:t> </w:t>
      </w:r>
      <w:r w:rsidR="00AC2C6D">
        <w:t>investuoti</w:t>
      </w:r>
      <w:r w:rsidR="009579AD">
        <w:t xml:space="preserve"> neleidžia ne laisvų lėšų </w:t>
      </w:r>
      <w:r w:rsidR="008907B6">
        <w:t xml:space="preserve">stoka </w:t>
      </w:r>
      <w:r w:rsidR="00AC4964">
        <w:t>(k</w:t>
      </w:r>
      <w:r w:rsidR="008907B6">
        <w:t>uri</w:t>
      </w:r>
      <w:r w:rsidR="00AC4964">
        <w:t xml:space="preserve"> yra</w:t>
      </w:r>
      <w:r w:rsidR="00787949">
        <w:t xml:space="preserve"> tik</w:t>
      </w:r>
      <w:r w:rsidR="00AC4964">
        <w:t xml:space="preserve"> pasekmė</w:t>
      </w:r>
      <w:r w:rsidR="00AC2C6D" w:rsidRPr="00D0611A">
        <w:t>!</w:t>
      </w:r>
      <w:r w:rsidR="00AC4964">
        <w:t>)</w:t>
      </w:r>
      <w:r w:rsidR="009579AD">
        <w:t xml:space="preserve">, o </w:t>
      </w:r>
      <w:r w:rsidR="008907B6">
        <w:t xml:space="preserve">pats </w:t>
      </w:r>
      <w:r w:rsidR="009579AD">
        <w:t>požiūris į finansus</w:t>
      </w:r>
      <w:r w:rsidR="00F97061">
        <w:t>, gyvenimo būdas</w:t>
      </w:r>
      <w:r w:rsidR="00787949">
        <w:t xml:space="preserve">, </w:t>
      </w:r>
      <w:r w:rsidR="00FE76F9">
        <w:t>tikslai, poreikiai</w:t>
      </w:r>
      <w:r w:rsidR="00F8339A">
        <w:t xml:space="preserve"> </w:t>
      </w:r>
      <w:r w:rsidR="00975B69">
        <w:t>bei</w:t>
      </w:r>
      <w:r w:rsidR="009579AD">
        <w:t xml:space="preserve"> visi kiti veiksniai, kurie </w:t>
      </w:r>
      <w:r w:rsidR="00AC4964">
        <w:t>lemia</w:t>
      </w:r>
      <w:r w:rsidR="006203E5">
        <w:t xml:space="preserve"> </w:t>
      </w:r>
      <w:r w:rsidR="00975B69" w:rsidRPr="00975B69">
        <w:rPr>
          <w:i/>
        </w:rPr>
        <w:t>sąmoningą</w:t>
      </w:r>
      <w:r w:rsidR="00975B69">
        <w:t xml:space="preserve"> </w:t>
      </w:r>
      <w:r w:rsidR="003E2A4B">
        <w:t xml:space="preserve">žmogaus </w:t>
      </w:r>
      <w:r w:rsidR="006203E5" w:rsidRPr="00F97061">
        <w:rPr>
          <w:i/>
        </w:rPr>
        <w:t>pasirinkimą</w:t>
      </w:r>
      <w:r w:rsidR="006203E5">
        <w:t xml:space="preserve"> tapti</w:t>
      </w:r>
      <w:r w:rsidR="006333A1">
        <w:t xml:space="preserve"> tautos </w:t>
      </w:r>
      <w:r w:rsidR="00975B69">
        <w:t>„</w:t>
      </w:r>
      <w:r w:rsidR="006333A1">
        <w:t>išlaikytiniu</w:t>
      </w:r>
      <w:r w:rsidR="00975B69">
        <w:t>“</w:t>
      </w:r>
      <w:r w:rsidR="00F97061">
        <w:t>.</w:t>
      </w:r>
    </w:p>
    <w:p w:rsidR="00792B72" w:rsidRDefault="00EA2BAC" w:rsidP="006045D7">
      <w:r>
        <w:t>Sakydami</w:t>
      </w:r>
      <w:r w:rsidR="003F1964">
        <w:t xml:space="preserve"> „sąmoni</w:t>
      </w:r>
      <w:r w:rsidR="002441CF">
        <w:t>ngą pasirinkimą“, turime galvoje</w:t>
      </w:r>
      <w:r w:rsidR="003F1964">
        <w:t xml:space="preserve"> ne visus socialinės apsaugos sistemos dalyvius</w:t>
      </w:r>
      <w:r w:rsidR="00267C2C">
        <w:t xml:space="preserve"> (</w:t>
      </w:r>
      <w:r w:rsidR="000801D8">
        <w:t xml:space="preserve">sąžiningai </w:t>
      </w:r>
      <w:r w:rsidR="005E0FB7">
        <w:t xml:space="preserve">dirbantys </w:t>
      </w:r>
      <w:r w:rsidR="00267C2C">
        <w:t xml:space="preserve">ir </w:t>
      </w:r>
      <w:r w:rsidR="009272BC">
        <w:t>vėliau</w:t>
      </w:r>
      <w:r>
        <w:t xml:space="preserve"> </w:t>
      </w:r>
      <w:r w:rsidR="0081466E">
        <w:t>iš socialin</w:t>
      </w:r>
      <w:r w:rsidR="00DD6F94">
        <w:t xml:space="preserve">ių išmokų </w:t>
      </w:r>
      <w:r w:rsidR="00766FA1">
        <w:t xml:space="preserve">teisėtai </w:t>
      </w:r>
      <w:r w:rsidR="0081466E">
        <w:t>gyvenantys</w:t>
      </w:r>
      <w:r w:rsidR="007A1DE7">
        <w:t xml:space="preserve"> individai</w:t>
      </w:r>
      <w:r w:rsidR="00766FA1">
        <w:t xml:space="preserve"> </w:t>
      </w:r>
      <w:r w:rsidR="005E0FB7">
        <w:t>nėra šio darbo objektas</w:t>
      </w:r>
      <w:r w:rsidR="0081466E">
        <w:t>)</w:t>
      </w:r>
      <w:r w:rsidR="003F1964">
        <w:t>, o būtent tuos</w:t>
      </w:r>
      <w:r w:rsidR="00ED5405">
        <w:t xml:space="preserve"> žmones</w:t>
      </w:r>
      <w:r w:rsidR="00B63452">
        <w:t>, kurie</w:t>
      </w:r>
      <w:r w:rsidR="00BB393A">
        <w:t xml:space="preserve"> </w:t>
      </w:r>
      <w:r w:rsidR="00BB393A" w:rsidRPr="002F3E30">
        <w:rPr>
          <w:i/>
        </w:rPr>
        <w:t>piktnaudžiauja</w:t>
      </w:r>
      <w:r w:rsidR="00BB393A">
        <w:t xml:space="preserve"> socialine apsauga</w:t>
      </w:r>
      <w:r w:rsidR="0072339D">
        <w:t xml:space="preserve">. Taigi toliau darbe </w:t>
      </w:r>
      <w:r w:rsidR="00B824CD">
        <w:t xml:space="preserve">būtų </w:t>
      </w:r>
      <w:r w:rsidR="008F5A6C">
        <w:t>tikslinga nagrinėti</w:t>
      </w:r>
      <w:r w:rsidR="0036641B">
        <w:t xml:space="preserve"> tų </w:t>
      </w:r>
      <w:r w:rsidR="00FC7BEF">
        <w:t xml:space="preserve">individų </w:t>
      </w:r>
      <w:r w:rsidR="0036641B">
        <w:t>elgseną</w:t>
      </w:r>
      <w:r w:rsidR="003E31D4">
        <w:t xml:space="preserve">, </w:t>
      </w:r>
      <w:r w:rsidR="00B10C3A">
        <w:t>kurie</w:t>
      </w:r>
      <w:r w:rsidR="00B824CD">
        <w:t xml:space="preserve"> </w:t>
      </w:r>
      <w:r w:rsidR="006A7A23">
        <w:t xml:space="preserve">įplaukas </w:t>
      </w:r>
      <w:r w:rsidR="00B824CD">
        <w:t>formuoja iš nedar</w:t>
      </w:r>
      <w:r w:rsidR="004B5310">
        <w:t xml:space="preserve">bo socialinio draudimo išmokų </w:t>
      </w:r>
      <w:r w:rsidR="00B824CD">
        <w:t>i</w:t>
      </w:r>
      <w:r w:rsidR="004B5310">
        <w:t>r / ar</w:t>
      </w:r>
      <w:r w:rsidR="00CA632D">
        <w:t xml:space="preserve"> </w:t>
      </w:r>
      <w:r w:rsidR="00900240">
        <w:t xml:space="preserve"> </w:t>
      </w:r>
      <w:r w:rsidR="00CA632D">
        <w:t xml:space="preserve">įvairių socialinės </w:t>
      </w:r>
      <w:r w:rsidR="00900240">
        <w:t>paramos formų</w:t>
      </w:r>
      <w:r w:rsidR="00C1394F">
        <w:t xml:space="preserve">, t. y. iš priešingų </w:t>
      </w:r>
      <w:r w:rsidR="00C1394F" w:rsidRPr="006A7A23">
        <w:rPr>
          <w:i/>
        </w:rPr>
        <w:t xml:space="preserve">samdomajam darbui </w:t>
      </w:r>
      <w:r w:rsidR="00DD65CE" w:rsidRPr="006A7A23">
        <w:rPr>
          <w:i/>
        </w:rPr>
        <w:t xml:space="preserve">ir </w:t>
      </w:r>
      <w:r w:rsidR="001D142D" w:rsidRPr="006A7A23">
        <w:rPr>
          <w:i/>
        </w:rPr>
        <w:t>versl</w:t>
      </w:r>
      <w:r w:rsidR="00772574">
        <w:rPr>
          <w:i/>
        </w:rPr>
        <w:t>u</w:t>
      </w:r>
      <w:r w:rsidR="001D142D" w:rsidRPr="006A7A23">
        <w:rPr>
          <w:i/>
        </w:rPr>
        <w:t>i</w:t>
      </w:r>
      <w:r w:rsidR="00AD77A4">
        <w:rPr>
          <w:i/>
        </w:rPr>
        <w:t xml:space="preserve"> </w:t>
      </w:r>
      <w:r w:rsidR="009167F6">
        <w:t>įplaukų formavimo alternatyvų</w:t>
      </w:r>
      <w:r w:rsidR="009167F6">
        <w:rPr>
          <w:i/>
        </w:rPr>
        <w:t xml:space="preserve">, </w:t>
      </w:r>
      <w:r w:rsidR="00AD77A4" w:rsidRPr="00807A0F">
        <w:t>kuri</w:t>
      </w:r>
      <w:r w:rsidR="00772574" w:rsidRPr="00807A0F">
        <w:t>o</w:t>
      </w:r>
      <w:r w:rsidR="00AD77A4" w:rsidRPr="00807A0F">
        <w:t xml:space="preserve">ms </w:t>
      </w:r>
      <w:r w:rsidR="00772574" w:rsidRPr="00807A0F">
        <w:t>ne</w:t>
      </w:r>
      <w:r w:rsidR="00AD77A4" w:rsidRPr="00807A0F">
        <w:t xml:space="preserve">reikalingos </w:t>
      </w:r>
      <w:r w:rsidR="00B11307">
        <w:t xml:space="preserve">jokios </w:t>
      </w:r>
      <w:r w:rsidR="00AD77A4" w:rsidRPr="00807A0F">
        <w:t>asmeninės pastangos</w:t>
      </w:r>
      <w:r w:rsidR="001D142D" w:rsidRPr="00807A0F">
        <w:t xml:space="preserve"> </w:t>
      </w:r>
      <w:r w:rsidR="00891659">
        <w:t xml:space="preserve">finansinei </w:t>
      </w:r>
      <w:r w:rsidR="0071317C" w:rsidRPr="00807A0F">
        <w:t>gerovei pasiekti</w:t>
      </w:r>
      <w:r w:rsidR="006A7A23" w:rsidRPr="00807A0F">
        <w:t>.</w:t>
      </w:r>
      <w:r w:rsidR="00D84D43">
        <w:t xml:space="preserve"> Šioje vietoje</w:t>
      </w:r>
      <w:r w:rsidR="00466BB4">
        <w:t xml:space="preserve"> </w:t>
      </w:r>
      <w:r w:rsidR="00891659">
        <w:t>būtų korektiška iš</w:t>
      </w:r>
      <w:r w:rsidR="00CF6BE4">
        <w:t xml:space="preserve">kelti </w:t>
      </w:r>
      <w:r w:rsidR="00B11307">
        <w:t xml:space="preserve">ir </w:t>
      </w:r>
      <w:r w:rsidR="00CF6BE4">
        <w:t xml:space="preserve">pirmąją </w:t>
      </w:r>
      <w:r w:rsidR="00CF6BE4" w:rsidRPr="00C234A2">
        <w:rPr>
          <w:b/>
          <w:i/>
        </w:rPr>
        <w:t>hipotezę</w:t>
      </w:r>
      <w:r w:rsidR="000461DE">
        <w:rPr>
          <w:b/>
          <w:i/>
        </w:rPr>
        <w:t xml:space="preserve"> (H</w:t>
      </w:r>
      <w:r w:rsidR="000461DE">
        <w:rPr>
          <w:b/>
          <w:i/>
          <w:vertAlign w:val="subscript"/>
        </w:rPr>
        <w:t>1</w:t>
      </w:r>
      <w:r w:rsidR="000461DE">
        <w:rPr>
          <w:b/>
          <w:i/>
        </w:rPr>
        <w:t>)</w:t>
      </w:r>
      <w:r w:rsidR="00CF6BE4">
        <w:t>, kuri bus tikrinama</w:t>
      </w:r>
      <w:r w:rsidR="00AB3819">
        <w:t xml:space="preserve"> viso darbo metu</w:t>
      </w:r>
      <w:r w:rsidR="00B11307">
        <w:t xml:space="preserve">, t. y. </w:t>
      </w:r>
      <w:r w:rsidR="00D33C47">
        <w:t xml:space="preserve">tiek teoriniu, tiek </w:t>
      </w:r>
      <w:r w:rsidR="00B11307">
        <w:t xml:space="preserve">ir </w:t>
      </w:r>
      <w:r w:rsidR="00D33C47">
        <w:t>praktiniu lygmeniu:</w:t>
      </w:r>
    </w:p>
    <w:p w:rsidR="006045D7" w:rsidRDefault="007124D6" w:rsidP="006045D7">
      <w:r w:rsidRPr="007124D6">
        <w:rPr>
          <w:b/>
          <w:i/>
        </w:rPr>
        <w:t>H</w:t>
      </w:r>
      <w:r w:rsidRPr="007124D6">
        <w:rPr>
          <w:b/>
          <w:i/>
          <w:vertAlign w:val="subscript"/>
        </w:rPr>
        <w:t>1</w:t>
      </w:r>
      <w:r w:rsidRPr="007124D6">
        <w:rPr>
          <w:b/>
          <w:i/>
        </w:rPr>
        <w:t>:</w:t>
      </w:r>
      <w:r>
        <w:rPr>
          <w:i/>
        </w:rPr>
        <w:t xml:space="preserve"> </w:t>
      </w:r>
      <w:r w:rsidR="00A75409">
        <w:rPr>
          <w:i/>
        </w:rPr>
        <w:t>d</w:t>
      </w:r>
      <w:r w:rsidR="00871E9B" w:rsidRPr="00395A62">
        <w:rPr>
          <w:i/>
        </w:rPr>
        <w:t>idžioji</w:t>
      </w:r>
      <w:r w:rsidR="006045D7" w:rsidRPr="00395A62">
        <w:rPr>
          <w:i/>
        </w:rPr>
        <w:t xml:space="preserve"> dalis nedarbo socialinio </w:t>
      </w:r>
      <w:r w:rsidR="009066E7">
        <w:rPr>
          <w:i/>
        </w:rPr>
        <w:t>draudimo išmokų be</w:t>
      </w:r>
      <w:r w:rsidR="00C2439E">
        <w:rPr>
          <w:i/>
        </w:rPr>
        <w:t>i socialinės paramos</w:t>
      </w:r>
      <w:r w:rsidR="006045D7" w:rsidRPr="00395A62">
        <w:rPr>
          <w:i/>
        </w:rPr>
        <w:t xml:space="preserve"> </w:t>
      </w:r>
      <w:r w:rsidR="00C2439E">
        <w:rPr>
          <w:i/>
        </w:rPr>
        <w:t xml:space="preserve">gavėjų </w:t>
      </w:r>
      <w:r w:rsidR="006045D7" w:rsidRPr="00395A62">
        <w:rPr>
          <w:i/>
        </w:rPr>
        <w:t xml:space="preserve">pajamas </w:t>
      </w:r>
      <w:r w:rsidR="00A36AA0">
        <w:rPr>
          <w:i/>
        </w:rPr>
        <w:t xml:space="preserve">– iš socialinės apsaugos lėšų – </w:t>
      </w:r>
      <w:r w:rsidR="006045D7" w:rsidRPr="00395A62">
        <w:rPr>
          <w:i/>
        </w:rPr>
        <w:t>formuoja</w:t>
      </w:r>
      <w:r w:rsidR="00B77C09" w:rsidRPr="00395A62">
        <w:rPr>
          <w:i/>
        </w:rPr>
        <w:t xml:space="preserve"> </w:t>
      </w:r>
      <w:r w:rsidR="00123ED2">
        <w:rPr>
          <w:i/>
        </w:rPr>
        <w:t xml:space="preserve">arba </w:t>
      </w:r>
      <w:r w:rsidR="00466BB4" w:rsidRPr="00395A62">
        <w:rPr>
          <w:i/>
        </w:rPr>
        <w:t>nepagrįstai</w:t>
      </w:r>
      <w:r w:rsidR="00A75409">
        <w:rPr>
          <w:i/>
        </w:rPr>
        <w:t xml:space="preserve"> (</w:t>
      </w:r>
      <w:r w:rsidR="00D547EE">
        <w:rPr>
          <w:i/>
        </w:rPr>
        <w:t>esant</w:t>
      </w:r>
      <w:r w:rsidR="00123ED2">
        <w:rPr>
          <w:i/>
        </w:rPr>
        <w:t xml:space="preserve"> </w:t>
      </w:r>
      <w:r w:rsidR="002E62F9" w:rsidRPr="002E62F9">
        <w:rPr>
          <w:i/>
          <w:u w:val="single"/>
        </w:rPr>
        <w:t>ne</w:t>
      </w:r>
      <w:r w:rsidR="00123ED2" w:rsidRPr="002E62F9">
        <w:rPr>
          <w:i/>
          <w:u w:val="single"/>
        </w:rPr>
        <w:t>objektyvioms</w:t>
      </w:r>
      <w:r w:rsidR="00123ED2">
        <w:rPr>
          <w:i/>
        </w:rPr>
        <w:t xml:space="preserve"> priežastims</w:t>
      </w:r>
      <w:r w:rsidR="00CA071D">
        <w:rPr>
          <w:i/>
        </w:rPr>
        <w:t>)</w:t>
      </w:r>
      <w:r w:rsidR="00123ED2">
        <w:rPr>
          <w:i/>
        </w:rPr>
        <w:t>,</w:t>
      </w:r>
      <w:r w:rsidR="00871E9B" w:rsidRPr="00395A62">
        <w:rPr>
          <w:i/>
        </w:rPr>
        <w:t xml:space="preserve"> arba</w:t>
      </w:r>
      <w:r w:rsidR="00466BB4" w:rsidRPr="00395A62">
        <w:rPr>
          <w:i/>
        </w:rPr>
        <w:t xml:space="preserve"> </w:t>
      </w:r>
      <w:r w:rsidR="00B77C09" w:rsidRPr="00395A62">
        <w:rPr>
          <w:i/>
        </w:rPr>
        <w:t>neteisėtai</w:t>
      </w:r>
      <w:r w:rsidR="00A75409">
        <w:rPr>
          <w:i/>
        </w:rPr>
        <w:t xml:space="preserve"> (</w:t>
      </w:r>
      <w:r w:rsidR="00D547EE">
        <w:rPr>
          <w:i/>
        </w:rPr>
        <w:t xml:space="preserve">nesant </w:t>
      </w:r>
      <w:r w:rsidR="00D547EE" w:rsidRPr="00B95712">
        <w:rPr>
          <w:i/>
          <w:u w:val="single"/>
        </w:rPr>
        <w:t>teisinio</w:t>
      </w:r>
      <w:r w:rsidR="00D547EE">
        <w:rPr>
          <w:i/>
        </w:rPr>
        <w:t xml:space="preserve"> pagrindo)</w:t>
      </w:r>
      <w:r w:rsidR="00395A62" w:rsidRPr="00395A62">
        <w:rPr>
          <w:i/>
        </w:rPr>
        <w:t xml:space="preserve">, todėl </w:t>
      </w:r>
      <w:r w:rsidR="005C7F51">
        <w:rPr>
          <w:i/>
        </w:rPr>
        <w:t xml:space="preserve">šių žmonių </w:t>
      </w:r>
      <w:r w:rsidR="006045D7" w:rsidRPr="00395A62">
        <w:rPr>
          <w:i/>
        </w:rPr>
        <w:t>finansinė elgsena</w:t>
      </w:r>
      <w:r w:rsidR="005C7F51">
        <w:rPr>
          <w:i/>
        </w:rPr>
        <w:t xml:space="preserve"> </w:t>
      </w:r>
      <w:r w:rsidR="00E4436B">
        <w:rPr>
          <w:i/>
        </w:rPr>
        <w:t>yra</w:t>
      </w:r>
      <w:r w:rsidR="00D84D43">
        <w:rPr>
          <w:i/>
        </w:rPr>
        <w:t>,</w:t>
      </w:r>
      <w:r w:rsidR="00E4436B">
        <w:rPr>
          <w:i/>
        </w:rPr>
        <w:t xml:space="preserve"> veikiau</w:t>
      </w:r>
      <w:r w:rsidR="00D84D43">
        <w:rPr>
          <w:i/>
        </w:rPr>
        <w:t>,</w:t>
      </w:r>
      <w:r w:rsidR="001B21F9">
        <w:rPr>
          <w:i/>
        </w:rPr>
        <w:t xml:space="preserve"> neracionali negu</w:t>
      </w:r>
      <w:r w:rsidR="006045D7" w:rsidRPr="00395A62">
        <w:rPr>
          <w:i/>
        </w:rPr>
        <w:t xml:space="preserve"> racionali.</w:t>
      </w:r>
    </w:p>
    <w:p w:rsidR="00072223" w:rsidRPr="00BE772D" w:rsidRDefault="00C265AD" w:rsidP="00E9562A">
      <w:pPr>
        <w:pStyle w:val="Heading2"/>
      </w:pPr>
      <w:bookmarkStart w:id="13" w:name="_Toc343636878"/>
      <w:r w:rsidRPr="00BE772D">
        <w:t>Gyventojų finansinė</w:t>
      </w:r>
      <w:r w:rsidR="00C368A3" w:rsidRPr="00BE772D">
        <w:t>s</w:t>
      </w:r>
      <w:r w:rsidRPr="00BE772D">
        <w:t xml:space="preserve"> elgsen</w:t>
      </w:r>
      <w:r w:rsidR="00C368A3" w:rsidRPr="00BE772D">
        <w:t>os ypatumai</w:t>
      </w:r>
      <w:r w:rsidRPr="00BE772D">
        <w:t xml:space="preserve"> socialinės apsaugos srityje</w:t>
      </w:r>
      <w:bookmarkEnd w:id="13"/>
    </w:p>
    <w:p w:rsidR="00490E2E" w:rsidRDefault="00185C92" w:rsidP="00490E2E">
      <w:r>
        <w:t>Kadangi jau išsiaiškinta, jog individas, visuomenė ir valstybė yra tampriai susiję</w:t>
      </w:r>
      <w:r w:rsidR="00EC6517">
        <w:t xml:space="preserve">, </w:t>
      </w:r>
      <w:r>
        <w:t xml:space="preserve">ir dėl to vienas kitą </w:t>
      </w:r>
      <w:r w:rsidRPr="00B86C71">
        <w:t>lemiantys</w:t>
      </w:r>
      <w:r w:rsidR="00B86C71">
        <w:t xml:space="preserve"> </w:t>
      </w:r>
      <w:r w:rsidR="00764219" w:rsidRPr="00B86C71">
        <w:t>(</w:t>
      </w:r>
      <w:proofErr w:type="spellStart"/>
      <w:r w:rsidR="00764219" w:rsidRPr="00B86C71">
        <w:t>Trumpulis</w:t>
      </w:r>
      <w:proofErr w:type="spellEnd"/>
      <w:r w:rsidR="00764219" w:rsidRPr="00B86C71">
        <w:t xml:space="preserve"> 2010)</w:t>
      </w:r>
      <w:r w:rsidRPr="00B86C71">
        <w:t>, k</w:t>
      </w:r>
      <w:r w:rsidR="000E576E" w:rsidRPr="00B86C71">
        <w:t>albant</w:t>
      </w:r>
      <w:r w:rsidR="000E576E" w:rsidRPr="004F1667">
        <w:t xml:space="preserve"> apie </w:t>
      </w:r>
      <w:r w:rsidR="004F37B4" w:rsidRPr="004F1667">
        <w:t xml:space="preserve">nedarbo </w:t>
      </w:r>
      <w:r w:rsidR="00AB6BF5" w:rsidRPr="004F1667">
        <w:t>soci</w:t>
      </w:r>
      <w:r w:rsidR="004F37B4" w:rsidRPr="004F1667">
        <w:t>alinio draudimo</w:t>
      </w:r>
      <w:r w:rsidR="00764219" w:rsidRPr="004F1667">
        <w:t xml:space="preserve"> išmokų</w:t>
      </w:r>
      <w:r w:rsidR="004F37B4" w:rsidRPr="004F1667">
        <w:t xml:space="preserve"> </w:t>
      </w:r>
      <w:r w:rsidR="00764219" w:rsidRPr="004F1667">
        <w:t>bei socialinės paramos</w:t>
      </w:r>
      <w:r w:rsidR="00AB6BF5" w:rsidRPr="004F1667">
        <w:t xml:space="preserve"> </w:t>
      </w:r>
      <w:r w:rsidR="00764219" w:rsidRPr="004F1667">
        <w:t xml:space="preserve">gavėjų </w:t>
      </w:r>
      <w:r w:rsidR="00C31681" w:rsidRPr="004F1667">
        <w:t xml:space="preserve">finansinę elgseną, </w:t>
      </w:r>
      <w:r w:rsidR="000A1883">
        <w:t xml:space="preserve">pirmiausia reiktų </w:t>
      </w:r>
      <w:r w:rsidR="00533B05">
        <w:t>nustaty</w:t>
      </w:r>
      <w:r w:rsidR="000E576E">
        <w:t>ti, koki</w:t>
      </w:r>
      <w:r w:rsidR="00483D10">
        <w:t>ą</w:t>
      </w:r>
      <w:r w:rsidR="000E576E">
        <w:t xml:space="preserve"> elgsen</w:t>
      </w:r>
      <w:r w:rsidR="00483D10">
        <w:t>ą</w:t>
      </w:r>
      <w:r w:rsidR="000E576E">
        <w:t xml:space="preserve"> </w:t>
      </w:r>
      <w:r w:rsidR="00AB7C41">
        <w:t>– tiek paties</w:t>
      </w:r>
      <w:r w:rsidR="000A1883">
        <w:t xml:space="preserve"> individo</w:t>
      </w:r>
      <w:r w:rsidR="00AB7C41">
        <w:t xml:space="preserve">, tiek </w:t>
      </w:r>
      <w:r w:rsidR="00533B05">
        <w:t>visuomenės, tiek</w:t>
      </w:r>
      <w:r w:rsidR="0022181A">
        <w:t xml:space="preserve"> </w:t>
      </w:r>
      <w:r w:rsidR="00C325C0">
        <w:t xml:space="preserve">ir </w:t>
      </w:r>
      <w:r w:rsidR="006636FF">
        <w:t xml:space="preserve">valstybės atžvilgiu, – </w:t>
      </w:r>
      <w:r w:rsidR="00483D10">
        <w:t xml:space="preserve">būtų galima laikyti </w:t>
      </w:r>
      <w:r w:rsidR="000E576E" w:rsidRPr="00C640C8">
        <w:rPr>
          <w:i/>
        </w:rPr>
        <w:t>racionali</w:t>
      </w:r>
      <w:r w:rsidR="00483D10" w:rsidRPr="00C640C8">
        <w:rPr>
          <w:i/>
        </w:rPr>
        <w:t>a</w:t>
      </w:r>
      <w:r w:rsidR="000E576E" w:rsidRPr="00C640C8">
        <w:rPr>
          <w:i/>
        </w:rPr>
        <w:t xml:space="preserve"> </w:t>
      </w:r>
      <w:r w:rsidR="00C31681" w:rsidRPr="00C640C8">
        <w:rPr>
          <w:i/>
        </w:rPr>
        <w:t>socialinės apsaugos srityje</w:t>
      </w:r>
      <w:r w:rsidR="00EC6517">
        <w:t>.</w:t>
      </w:r>
      <w:r w:rsidR="00C31681" w:rsidRPr="00C31681">
        <w:t xml:space="preserve"> </w:t>
      </w:r>
      <w:r w:rsidR="00617418">
        <w:t xml:space="preserve">Šiam tikslui būtų </w:t>
      </w:r>
      <w:r w:rsidR="00F673F0">
        <w:t xml:space="preserve">pravartu </w:t>
      </w:r>
      <w:r w:rsidR="007802D5">
        <w:t xml:space="preserve">išanalizuoti </w:t>
      </w:r>
      <w:r w:rsidR="000C3276" w:rsidRPr="00760783">
        <w:t>visuotinės gerovės valstybės</w:t>
      </w:r>
      <w:r w:rsidR="00F6611E" w:rsidRPr="00760783">
        <w:t xml:space="preserve"> </w:t>
      </w:r>
      <w:r w:rsidR="0005074D">
        <w:t>sampratą</w:t>
      </w:r>
      <w:r w:rsidR="00DA7E82">
        <w:t xml:space="preserve"> </w:t>
      </w:r>
      <w:r w:rsidR="00F6611E">
        <w:t xml:space="preserve">bei </w:t>
      </w:r>
      <w:r w:rsidR="00355EF6">
        <w:t xml:space="preserve">panagrinėti </w:t>
      </w:r>
      <w:r w:rsidR="006636FF">
        <w:t>socialinės apsaugos</w:t>
      </w:r>
      <w:r w:rsidR="00BD2FD6">
        <w:t xml:space="preserve"> </w:t>
      </w:r>
      <w:r w:rsidR="0084678C">
        <w:t xml:space="preserve">sistemos </w:t>
      </w:r>
      <w:r w:rsidR="00BD2FD6">
        <w:t>esmę</w:t>
      </w:r>
      <w:r w:rsidR="000108F5">
        <w:t xml:space="preserve"> </w:t>
      </w:r>
      <w:r w:rsidR="00DA7E82">
        <w:t xml:space="preserve">ir tokiu būdu </w:t>
      </w:r>
      <w:r w:rsidR="00C102D9">
        <w:t xml:space="preserve">atskleisti </w:t>
      </w:r>
      <w:r w:rsidR="00713628">
        <w:t>žmo</w:t>
      </w:r>
      <w:r w:rsidR="000A495B">
        <w:t>gaus</w:t>
      </w:r>
      <w:r w:rsidR="00B95712">
        <w:t>,</w:t>
      </w:r>
      <w:r w:rsidR="000A495B">
        <w:t xml:space="preserve"> – </w:t>
      </w:r>
      <w:r w:rsidR="000A495B" w:rsidRPr="00197938">
        <w:rPr>
          <w:i/>
        </w:rPr>
        <w:t>kaip pagrindinio dalyvio jo</w:t>
      </w:r>
      <w:r w:rsidR="002F50E8" w:rsidRPr="00197938">
        <w:rPr>
          <w:i/>
        </w:rPr>
        <w:t>j</w:t>
      </w:r>
      <w:r w:rsidR="000A495B" w:rsidRPr="00197938">
        <w:rPr>
          <w:i/>
        </w:rPr>
        <w:t>e</w:t>
      </w:r>
      <w:r w:rsidR="00B95712">
        <w:t>,</w:t>
      </w:r>
      <w:r w:rsidR="000A495B">
        <w:t xml:space="preserve"> – </w:t>
      </w:r>
      <w:r w:rsidR="00355EF6" w:rsidRPr="00197938">
        <w:t>socialinį-</w:t>
      </w:r>
      <w:r w:rsidR="0005074D" w:rsidRPr="00197938">
        <w:t>finansinį</w:t>
      </w:r>
      <w:r w:rsidR="0005074D">
        <w:t xml:space="preserve"> </w:t>
      </w:r>
      <w:r w:rsidR="000C3276">
        <w:t>vaidmenį.</w:t>
      </w:r>
    </w:p>
    <w:p w:rsidR="002F50E8" w:rsidRPr="00873B6B" w:rsidRDefault="00BE772D" w:rsidP="00404939">
      <w:pPr>
        <w:pStyle w:val="Heading3"/>
      </w:pPr>
      <w:bookmarkStart w:id="14" w:name="_Toc343636879"/>
      <w:r w:rsidRPr="00873B6B">
        <w:lastRenderedPageBreak/>
        <w:t xml:space="preserve">Teorinis </w:t>
      </w:r>
      <w:r w:rsidRPr="00B86C71">
        <w:t>g</w:t>
      </w:r>
      <w:r w:rsidR="00926158" w:rsidRPr="00B86C71">
        <w:t>yventojo</w:t>
      </w:r>
      <w:r w:rsidR="00926158" w:rsidRPr="00873B6B">
        <w:t xml:space="preserve">, kaip </w:t>
      </w:r>
      <w:r w:rsidR="003B03CA" w:rsidRPr="00873B6B">
        <w:t>išmok</w:t>
      </w:r>
      <w:r w:rsidR="00760783" w:rsidRPr="00873B6B">
        <w:t xml:space="preserve">ų </w:t>
      </w:r>
      <w:r w:rsidR="00926158" w:rsidRPr="00873B6B">
        <w:t>gavėjo, vaidmuo socialinės apsaugos sistemoje</w:t>
      </w:r>
      <w:bookmarkEnd w:id="14"/>
    </w:p>
    <w:p w:rsidR="002600B5" w:rsidRPr="00B86C71" w:rsidRDefault="009E26E5" w:rsidP="00072223">
      <w:r w:rsidRPr="00B86C71">
        <w:t xml:space="preserve">Nors terminas </w:t>
      </w:r>
      <w:r w:rsidRPr="00B86C71">
        <w:rPr>
          <w:i/>
        </w:rPr>
        <w:t>socialinė apsauga</w:t>
      </w:r>
      <w:r w:rsidRPr="00B86C71">
        <w:t xml:space="preserve"> </w:t>
      </w:r>
      <w:r w:rsidR="004A7242" w:rsidRPr="00B86C71">
        <w:t xml:space="preserve">ir </w:t>
      </w:r>
      <w:r w:rsidRPr="00B86C71">
        <w:t xml:space="preserve">neturi visuotinai </w:t>
      </w:r>
      <w:r w:rsidR="002F39DF" w:rsidRPr="00B86C71">
        <w:t xml:space="preserve">pripažinto </w:t>
      </w:r>
      <w:r w:rsidRPr="00B86C71">
        <w:t>apibrėžimo (</w:t>
      </w:r>
      <w:proofErr w:type="spellStart"/>
      <w:r w:rsidRPr="00B86C71">
        <w:t>Cui</w:t>
      </w:r>
      <w:proofErr w:type="spellEnd"/>
      <w:r w:rsidRPr="00B86C71">
        <w:t xml:space="preserve">, </w:t>
      </w:r>
      <w:proofErr w:type="spellStart"/>
      <w:r w:rsidRPr="00B86C71">
        <w:t>Dong</w:t>
      </w:r>
      <w:proofErr w:type="spellEnd"/>
      <w:r w:rsidR="004C3D45" w:rsidRPr="00B86C71">
        <w:t xml:space="preserve"> 2010</w:t>
      </w:r>
      <w:r w:rsidR="00C93016" w:rsidRPr="00B86C71">
        <w:t>), vis dėlto esmi</w:t>
      </w:r>
      <w:r w:rsidR="004C3D45" w:rsidRPr="00B86C71">
        <w:t xml:space="preserve">nius </w:t>
      </w:r>
      <w:r w:rsidR="004A7242" w:rsidRPr="00B86C71">
        <w:t xml:space="preserve">jos </w:t>
      </w:r>
      <w:r w:rsidR="004C3D45" w:rsidRPr="00B86C71">
        <w:t>bruožus išskirti galima</w:t>
      </w:r>
      <w:r w:rsidR="00315CFA" w:rsidRPr="00B86C71">
        <w:t>, t. y.</w:t>
      </w:r>
      <w:r w:rsidR="007E531E" w:rsidRPr="00B86C71">
        <w:t xml:space="preserve"> </w:t>
      </w:r>
      <w:r w:rsidR="00A5772C" w:rsidRPr="00B86C71">
        <w:t>pagrindiniai</w:t>
      </w:r>
      <w:r w:rsidR="00C93016" w:rsidRPr="00B86C71">
        <w:t xml:space="preserve"> </w:t>
      </w:r>
      <w:r w:rsidR="007E531E" w:rsidRPr="00B86C71">
        <w:t>socialinės apsaugos</w:t>
      </w:r>
      <w:r w:rsidR="00340232" w:rsidRPr="00B86C71">
        <w:t xml:space="preserve"> </w:t>
      </w:r>
      <w:r w:rsidR="00A5772C" w:rsidRPr="00B86C71">
        <w:t>tikslai</w:t>
      </w:r>
      <w:r w:rsidR="00340232" w:rsidRPr="00B86C71">
        <w:t xml:space="preserve"> yra</w:t>
      </w:r>
      <w:r w:rsidR="005D6568" w:rsidRPr="00B86C71">
        <w:t>:</w:t>
      </w:r>
      <w:r w:rsidR="00340232" w:rsidRPr="00B86C71">
        <w:t xml:space="preserve"> </w:t>
      </w:r>
      <w:r w:rsidR="005D6568" w:rsidRPr="00B86C71">
        <w:t>1) </w:t>
      </w:r>
      <w:r w:rsidR="00033E48" w:rsidRPr="00B86C71">
        <w:rPr>
          <w:i/>
        </w:rPr>
        <w:t>apsaugoti</w:t>
      </w:r>
      <w:r w:rsidR="00C93016" w:rsidRPr="00B86C71">
        <w:t xml:space="preserve"> </w:t>
      </w:r>
      <w:r w:rsidR="00E83DA8" w:rsidRPr="00B86C71">
        <w:t xml:space="preserve">žmones </w:t>
      </w:r>
      <w:r w:rsidR="004366D6" w:rsidRPr="00B86C71">
        <w:rPr>
          <w:i/>
        </w:rPr>
        <w:t>nuo socialinės</w:t>
      </w:r>
      <w:r w:rsidR="00033E48" w:rsidRPr="00B86C71">
        <w:rPr>
          <w:i/>
        </w:rPr>
        <w:t xml:space="preserve"> rizik</w:t>
      </w:r>
      <w:r w:rsidR="004366D6" w:rsidRPr="00B86C71">
        <w:rPr>
          <w:i/>
        </w:rPr>
        <w:t>os veiksnių</w:t>
      </w:r>
      <w:r w:rsidR="005D6568" w:rsidRPr="00B86C71">
        <w:t>;</w:t>
      </w:r>
      <w:r w:rsidR="00CB04AB" w:rsidRPr="00B86C71">
        <w:t xml:space="preserve"> </w:t>
      </w:r>
      <w:r w:rsidR="00E83DA8" w:rsidRPr="00B86C71">
        <w:t>ir</w:t>
      </w:r>
      <w:r w:rsidR="00DB5E17" w:rsidRPr="00B86C71">
        <w:t xml:space="preserve"> </w:t>
      </w:r>
      <w:r w:rsidR="005D6568" w:rsidRPr="00B86C71">
        <w:t>2) </w:t>
      </w:r>
      <w:r w:rsidR="00DB5E17" w:rsidRPr="00B86C71">
        <w:rPr>
          <w:i/>
        </w:rPr>
        <w:t>užtikrinti</w:t>
      </w:r>
      <w:r w:rsidR="00A03A88" w:rsidRPr="00B86C71">
        <w:t xml:space="preserve"> </w:t>
      </w:r>
      <w:r w:rsidR="00A03A88" w:rsidRPr="00B86C71">
        <w:rPr>
          <w:i/>
        </w:rPr>
        <w:t>gyvenimo standartus</w:t>
      </w:r>
      <w:r w:rsidR="005D6568" w:rsidRPr="00B86C71">
        <w:t xml:space="preserve">, kurie vienu atveju </w:t>
      </w:r>
      <w:r w:rsidR="00970B73" w:rsidRPr="00B86C71">
        <w:t>įvardijami kaip minimalūs, o kit</w:t>
      </w:r>
      <w:r w:rsidR="00CC1FF7" w:rsidRPr="00B86C71">
        <w:t>u</w:t>
      </w:r>
      <w:r w:rsidR="00970B73" w:rsidRPr="00B86C71">
        <w:t xml:space="preserve"> – kaip būtini.</w:t>
      </w:r>
      <w:r w:rsidR="00645232" w:rsidRPr="00B86C71">
        <w:t xml:space="preserve"> </w:t>
      </w:r>
      <w:r w:rsidR="003274A1" w:rsidRPr="00B86C71">
        <w:t>Reikėtų</w:t>
      </w:r>
      <w:r w:rsidR="00C848A4" w:rsidRPr="00B86C71">
        <w:t xml:space="preserve"> pabrėžti</w:t>
      </w:r>
      <w:r w:rsidR="003274A1" w:rsidRPr="00B86C71">
        <w:t xml:space="preserve">, jog </w:t>
      </w:r>
      <w:r w:rsidR="007008D1" w:rsidRPr="00B86C71">
        <w:t>žodis „</w:t>
      </w:r>
      <w:r w:rsidR="003274A1" w:rsidRPr="00B86C71">
        <w:t>a</w:t>
      </w:r>
      <w:r w:rsidR="00645232" w:rsidRPr="00B86C71">
        <w:t>psauga</w:t>
      </w:r>
      <w:r w:rsidR="007008D1" w:rsidRPr="00B86C71">
        <w:t xml:space="preserve">“ nebūtinai </w:t>
      </w:r>
      <w:r w:rsidR="00C848A4" w:rsidRPr="00B86C71">
        <w:t xml:space="preserve">turi </w:t>
      </w:r>
      <w:r w:rsidR="007008D1" w:rsidRPr="00B86C71">
        <w:t>rei</w:t>
      </w:r>
      <w:r w:rsidR="00C848A4" w:rsidRPr="00B86C71">
        <w:t>kšti</w:t>
      </w:r>
      <w:r w:rsidR="007008D1" w:rsidRPr="00B86C71">
        <w:t xml:space="preserve"> </w:t>
      </w:r>
      <w:r w:rsidR="00645C98" w:rsidRPr="00B86C71">
        <w:rPr>
          <w:i/>
        </w:rPr>
        <w:t>finansinę</w:t>
      </w:r>
      <w:r w:rsidR="00645C98" w:rsidRPr="00B86C71">
        <w:t xml:space="preserve"> </w:t>
      </w:r>
      <w:r w:rsidR="007008D1" w:rsidRPr="00B86C71">
        <w:t>pagalbą</w:t>
      </w:r>
      <w:r w:rsidR="000A7AB8" w:rsidRPr="00B86C71">
        <w:t>, nes, kaip</w:t>
      </w:r>
      <w:r w:rsidR="004D0970" w:rsidRPr="00B86C71">
        <w:t xml:space="preserve"> </w:t>
      </w:r>
      <w:r w:rsidR="00EE7F46" w:rsidRPr="00B86C71">
        <w:t xml:space="preserve">nurodo </w:t>
      </w:r>
      <w:proofErr w:type="spellStart"/>
      <w:r w:rsidR="004D0970" w:rsidRPr="00B86C71">
        <w:t>Dobele</w:t>
      </w:r>
      <w:proofErr w:type="spellEnd"/>
      <w:r w:rsidR="004D0970" w:rsidRPr="00B86C71">
        <w:t xml:space="preserve">, </w:t>
      </w:r>
      <w:proofErr w:type="spellStart"/>
      <w:r w:rsidR="004D0970" w:rsidRPr="00B86C71">
        <w:t>Mistre</w:t>
      </w:r>
      <w:proofErr w:type="spellEnd"/>
      <w:r w:rsidR="004D0970" w:rsidRPr="00B86C71">
        <w:t xml:space="preserve"> (2010)</w:t>
      </w:r>
      <w:r w:rsidR="000A7AB8" w:rsidRPr="00B86C71">
        <w:t xml:space="preserve">, </w:t>
      </w:r>
      <w:r w:rsidR="00CB04AB" w:rsidRPr="00B86C71">
        <w:t>socialin</w:t>
      </w:r>
      <w:r w:rsidR="003E1CF4" w:rsidRPr="00B86C71">
        <w:t>ė</w:t>
      </w:r>
      <w:r w:rsidR="00CB04AB" w:rsidRPr="00B86C71">
        <w:t xml:space="preserve"> apsauga </w:t>
      </w:r>
      <w:r w:rsidR="003E1CF4" w:rsidRPr="00B86C71">
        <w:t>skirta</w:t>
      </w:r>
      <w:r w:rsidR="00005004" w:rsidRPr="00B86C71">
        <w:t xml:space="preserve"> </w:t>
      </w:r>
      <w:r w:rsidR="00005004" w:rsidRPr="00B86C71">
        <w:rPr>
          <w:i/>
        </w:rPr>
        <w:t>kompensuoti</w:t>
      </w:r>
      <w:r w:rsidR="00005004" w:rsidRPr="00B86C71">
        <w:t xml:space="preserve"> gyventojo patirtą </w:t>
      </w:r>
      <w:r w:rsidR="00005004" w:rsidRPr="00B86C71">
        <w:rPr>
          <w:i/>
        </w:rPr>
        <w:t>materialinę</w:t>
      </w:r>
      <w:r w:rsidR="00005004" w:rsidRPr="00B86C71">
        <w:t xml:space="preserve">, </w:t>
      </w:r>
      <w:r w:rsidR="00005004" w:rsidRPr="00B86C71">
        <w:rPr>
          <w:i/>
        </w:rPr>
        <w:t>moralinę</w:t>
      </w:r>
      <w:r w:rsidR="009044EC" w:rsidRPr="00B86C71">
        <w:t xml:space="preserve"> ir</w:t>
      </w:r>
      <w:r w:rsidR="00005004" w:rsidRPr="00B86C71">
        <w:t xml:space="preserve"> </w:t>
      </w:r>
      <w:r w:rsidR="00005004" w:rsidRPr="00B86C71">
        <w:rPr>
          <w:i/>
        </w:rPr>
        <w:t>fizinę</w:t>
      </w:r>
      <w:r w:rsidR="00005004" w:rsidRPr="00B86C71">
        <w:t xml:space="preserve"> </w:t>
      </w:r>
      <w:r w:rsidR="00D10985" w:rsidRPr="00B86C71">
        <w:t>žalą</w:t>
      </w:r>
      <w:r w:rsidR="00860192" w:rsidRPr="00B86C71">
        <w:t>, kas reiškia, jog orientuojamasi į platesn</w:t>
      </w:r>
      <w:r w:rsidR="00633CD5" w:rsidRPr="00B86C71">
        <w:t xml:space="preserve">ę </w:t>
      </w:r>
      <w:r w:rsidR="00F90568" w:rsidRPr="00B86C71">
        <w:t xml:space="preserve">žmogaus </w:t>
      </w:r>
      <w:r w:rsidR="00633CD5" w:rsidRPr="00B86C71">
        <w:t>teisių apsaugą.</w:t>
      </w:r>
    </w:p>
    <w:p w:rsidR="00852CA6" w:rsidRPr="00B86C71" w:rsidRDefault="00D47033" w:rsidP="002600B5">
      <w:r w:rsidRPr="00B86C71">
        <w:t>Žmogaus teisės ir laisvės</w:t>
      </w:r>
      <w:r w:rsidR="00B80D99" w:rsidRPr="00B86C71">
        <w:t xml:space="preserve"> </w:t>
      </w:r>
      <w:r w:rsidRPr="00B86C71">
        <w:t>įtvirtintos</w:t>
      </w:r>
      <w:r w:rsidR="00C37AE6" w:rsidRPr="00B86C71">
        <w:t xml:space="preserve"> pagrindiniame šalies </w:t>
      </w:r>
      <w:r w:rsidR="009C3637" w:rsidRPr="00B86C71">
        <w:t xml:space="preserve">teisiniame </w:t>
      </w:r>
      <w:r w:rsidR="00C37AE6" w:rsidRPr="00B86C71">
        <w:t xml:space="preserve">dokumente, </w:t>
      </w:r>
      <w:r w:rsidR="00FB4E3F" w:rsidRPr="00B86C71">
        <w:t>t. y. Konstitucijoje</w:t>
      </w:r>
      <w:r w:rsidR="005E613F" w:rsidRPr="00B86C71">
        <w:t xml:space="preserve">. </w:t>
      </w:r>
      <w:r w:rsidR="00846557" w:rsidRPr="00B86C71">
        <w:t xml:space="preserve">Lietuvos Respublikos </w:t>
      </w:r>
      <w:r w:rsidR="005E613F" w:rsidRPr="00B86C71">
        <w:t>Konstitucijo</w:t>
      </w:r>
      <w:r w:rsidR="00D07A4F" w:rsidRPr="00B86C71">
        <w:t>je</w:t>
      </w:r>
      <w:r w:rsidR="00FB4E3F" w:rsidRPr="00B86C71">
        <w:t xml:space="preserve"> </w:t>
      </w:r>
      <w:r w:rsidR="009044EC" w:rsidRPr="00B86C71">
        <w:t xml:space="preserve">(1992) </w:t>
      </w:r>
      <w:r w:rsidR="009C3637" w:rsidRPr="00B86C71">
        <w:t>teigi</w:t>
      </w:r>
      <w:r w:rsidR="00C65A44" w:rsidRPr="00B86C71">
        <w:t>a</w:t>
      </w:r>
      <w:r w:rsidR="009044EC" w:rsidRPr="00B86C71">
        <w:t>ma</w:t>
      </w:r>
      <w:r w:rsidR="00C65A44" w:rsidRPr="00B86C71">
        <w:t>, jog</w:t>
      </w:r>
      <w:r w:rsidR="005C1808" w:rsidRPr="00B86C71">
        <w:t>:</w:t>
      </w:r>
      <w:r w:rsidR="009C3637" w:rsidRPr="00B86C71">
        <w:t xml:space="preserve"> „Valstybė </w:t>
      </w:r>
      <w:r w:rsidR="009C3637" w:rsidRPr="00B86C71">
        <w:rPr>
          <w:i/>
        </w:rPr>
        <w:t>laiduoja</w:t>
      </w:r>
      <w:r w:rsidR="009C3637" w:rsidRPr="00B86C71">
        <w:t xml:space="preserve"> piliečių teisę gauti </w:t>
      </w:r>
      <w:r w:rsidR="009A2EC9" w:rsidRPr="00B86C71">
        <w:t xml:space="preserve">(...) </w:t>
      </w:r>
      <w:r w:rsidR="009C3637" w:rsidRPr="00B86C71">
        <w:t xml:space="preserve">socialinę </w:t>
      </w:r>
      <w:r w:rsidR="008D27A5" w:rsidRPr="00B86C71">
        <w:t>paramą nedarbo, ligos, našlystės, maitintojo netekimo ir kitais įstatymų numatytais atvejais“</w:t>
      </w:r>
      <w:r w:rsidR="00D07A4F" w:rsidRPr="00B86C71">
        <w:t xml:space="preserve"> </w:t>
      </w:r>
      <w:r w:rsidR="003E117B" w:rsidRPr="00B86C71">
        <w:t>(</w:t>
      </w:r>
      <w:r w:rsidR="00D07A4F" w:rsidRPr="00B86C71">
        <w:t>52 straip</w:t>
      </w:r>
      <w:r w:rsidR="00E24A00" w:rsidRPr="00B86C71">
        <w:t>s</w:t>
      </w:r>
      <w:r w:rsidR="00D07A4F" w:rsidRPr="00B86C71">
        <w:t>nis</w:t>
      </w:r>
      <w:r w:rsidR="003E117B" w:rsidRPr="00B86C71">
        <w:t>)</w:t>
      </w:r>
      <w:r w:rsidR="00EB51AE" w:rsidRPr="00B86C71">
        <w:t xml:space="preserve">; </w:t>
      </w:r>
      <w:r w:rsidR="003E117B" w:rsidRPr="00B86C71">
        <w:t>taip pat</w:t>
      </w:r>
      <w:r w:rsidR="00E24A00" w:rsidRPr="00B86C71">
        <w:t xml:space="preserve"> yra įtvirtinta</w:t>
      </w:r>
      <w:r w:rsidR="00A175EA" w:rsidRPr="00B86C71">
        <w:t xml:space="preserve"> </w:t>
      </w:r>
      <w:r w:rsidR="00A11D9E" w:rsidRPr="00B86C71">
        <w:t>v</w:t>
      </w:r>
      <w:r w:rsidR="00EB51AE" w:rsidRPr="00B86C71">
        <w:t>alstybės pareiga</w:t>
      </w:r>
      <w:r w:rsidR="00A175EA" w:rsidRPr="00B86C71">
        <w:t xml:space="preserve"> </w:t>
      </w:r>
      <w:r w:rsidR="00EB51AE" w:rsidRPr="00B86C71">
        <w:t>„</w:t>
      </w:r>
      <w:r w:rsidR="002912E5" w:rsidRPr="00B86C71">
        <w:t xml:space="preserve">saugoti ir </w:t>
      </w:r>
      <w:r w:rsidR="00A175EA" w:rsidRPr="00B86C71">
        <w:t>globoti šeimą</w:t>
      </w:r>
      <w:r w:rsidR="002912E5" w:rsidRPr="00B86C71">
        <w:t>,</w:t>
      </w:r>
      <w:r w:rsidR="003E117B" w:rsidRPr="00B86C71">
        <w:t xml:space="preserve"> motinystę, tėvystę,</w:t>
      </w:r>
      <w:r w:rsidR="002912E5" w:rsidRPr="00B86C71">
        <w:t xml:space="preserve"> vaikystę</w:t>
      </w:r>
      <w:r w:rsidR="00EB51AE" w:rsidRPr="00B86C71">
        <w:t>“</w:t>
      </w:r>
      <w:r w:rsidR="00E24A00" w:rsidRPr="00B86C71">
        <w:t xml:space="preserve"> </w:t>
      </w:r>
      <w:r w:rsidR="006403B1" w:rsidRPr="00B86C71">
        <w:t>(</w:t>
      </w:r>
      <w:r w:rsidR="00E24A00" w:rsidRPr="00B86C71">
        <w:t>38 straip</w:t>
      </w:r>
      <w:r w:rsidR="00A971CD" w:rsidRPr="00B86C71">
        <w:t>s</w:t>
      </w:r>
      <w:r w:rsidR="00E24A00" w:rsidRPr="00B86C71">
        <w:t>nis</w:t>
      </w:r>
      <w:r w:rsidR="006403B1" w:rsidRPr="00B86C71">
        <w:t>)</w:t>
      </w:r>
      <w:r w:rsidR="00A971CD" w:rsidRPr="00B86C71">
        <w:t>, o t</w:t>
      </w:r>
      <w:r w:rsidR="00F42042" w:rsidRPr="00B86C71">
        <w:t xml:space="preserve">ai reiškia, jog </w:t>
      </w:r>
      <w:r w:rsidR="00674680" w:rsidRPr="00B86C71">
        <w:t xml:space="preserve">pagal Konstituciją </w:t>
      </w:r>
      <w:r w:rsidR="00A971CD" w:rsidRPr="00B86C71">
        <w:t>Lietuvos v</w:t>
      </w:r>
      <w:r w:rsidR="00F42042" w:rsidRPr="00B86C71">
        <w:t>alstybė yra socialiai orientuota</w:t>
      </w:r>
      <w:r w:rsidR="008B0C1D" w:rsidRPr="00B86C71">
        <w:t xml:space="preserve">, ir dėl to yra įpareigota </w:t>
      </w:r>
      <w:r w:rsidR="00E715E6" w:rsidRPr="00B86C71">
        <w:t xml:space="preserve">nustatyti </w:t>
      </w:r>
      <w:r w:rsidR="00A11D9E" w:rsidRPr="00B86C71">
        <w:t xml:space="preserve">pakankamas </w:t>
      </w:r>
      <w:r w:rsidR="007C0699" w:rsidRPr="00B86C71">
        <w:t>tos</w:t>
      </w:r>
      <w:r w:rsidR="00D22098" w:rsidRPr="00B86C71">
        <w:t xml:space="preserve"> </w:t>
      </w:r>
      <w:r w:rsidR="00E715E6" w:rsidRPr="00B86C71">
        <w:t>teisės</w:t>
      </w:r>
      <w:r w:rsidR="004E37F2" w:rsidRPr="00B86C71">
        <w:t xml:space="preserve"> [socialinės-materialinės] </w:t>
      </w:r>
      <w:r w:rsidR="00171809" w:rsidRPr="00B86C71">
        <w:t>įgyvendinimo bei</w:t>
      </w:r>
      <w:r w:rsidR="00E715E6" w:rsidRPr="00B86C71">
        <w:t xml:space="preserve"> gynimo priemones (Lapinskas</w:t>
      </w:r>
      <w:r w:rsidR="005B68E2" w:rsidRPr="00B86C71">
        <w:t xml:space="preserve"> </w:t>
      </w:r>
      <w:r w:rsidR="00177714" w:rsidRPr="00B86C71">
        <w:t>2008)</w:t>
      </w:r>
      <w:r w:rsidR="001A4AAC" w:rsidRPr="00B86C71">
        <w:t xml:space="preserve"> – pirmiausia įstatym</w:t>
      </w:r>
      <w:r w:rsidR="009B7075" w:rsidRPr="00B86C71">
        <w:t>ais</w:t>
      </w:r>
      <w:r w:rsidR="001A4AAC" w:rsidRPr="00B86C71">
        <w:t xml:space="preserve"> (teorini</w:t>
      </w:r>
      <w:r w:rsidR="009B7075" w:rsidRPr="00B86C71">
        <w:t>s</w:t>
      </w:r>
      <w:r w:rsidR="001A4AAC" w:rsidRPr="00B86C71">
        <w:t xml:space="preserve"> lygm</w:t>
      </w:r>
      <w:r w:rsidR="009B7075" w:rsidRPr="00B86C71">
        <w:t>uo</w:t>
      </w:r>
      <w:r w:rsidR="001A4AAC" w:rsidRPr="00B86C71">
        <w:t xml:space="preserve">), o po to ir </w:t>
      </w:r>
      <w:r w:rsidR="009B7075" w:rsidRPr="00B86C71">
        <w:t>reali</w:t>
      </w:r>
      <w:r w:rsidR="00744314" w:rsidRPr="00B86C71">
        <w:t xml:space="preserve">ais mechanizmais </w:t>
      </w:r>
      <w:r w:rsidR="009B7075" w:rsidRPr="00B86C71">
        <w:t>(praktinis lygmuo)</w:t>
      </w:r>
      <w:r w:rsidR="00054019" w:rsidRPr="00B86C71">
        <w:t>.</w:t>
      </w:r>
      <w:r w:rsidR="000F6770" w:rsidRPr="00B86C71">
        <w:t xml:space="preserve"> Be to, </w:t>
      </w:r>
      <w:r w:rsidR="00E73489" w:rsidRPr="00B86C71">
        <w:t xml:space="preserve">žmogus </w:t>
      </w:r>
      <w:r w:rsidR="001832AC" w:rsidRPr="00B86C71">
        <w:t xml:space="preserve">Konstitucijoje </w:t>
      </w:r>
      <w:r w:rsidR="0019336F" w:rsidRPr="00B86C71">
        <w:t xml:space="preserve">traktuojamas </w:t>
      </w:r>
      <w:r w:rsidR="00740FD1" w:rsidRPr="00B86C71">
        <w:t xml:space="preserve">kaip laisva asmenybė, kurios </w:t>
      </w:r>
      <w:r w:rsidR="0023292F" w:rsidRPr="00B86C71">
        <w:t>„</w:t>
      </w:r>
      <w:r w:rsidR="00740FD1" w:rsidRPr="00B86C71">
        <w:t>orumas yra saugotinas</w:t>
      </w:r>
      <w:r w:rsidR="00021725" w:rsidRPr="00B86C71">
        <w:t xml:space="preserve"> </w:t>
      </w:r>
      <w:r w:rsidR="005D37C0" w:rsidRPr="00B86C71">
        <w:t>(</w:t>
      </w:r>
      <w:r w:rsidR="00224AD0" w:rsidRPr="00B86C71">
        <w:t>21 straipsnis</w:t>
      </w:r>
      <w:r w:rsidR="005D37C0" w:rsidRPr="00B86C71">
        <w:t>)</w:t>
      </w:r>
      <w:r w:rsidR="0023292F" w:rsidRPr="00B86C71">
        <w:t>“</w:t>
      </w:r>
      <w:r w:rsidR="00BB08AC" w:rsidRPr="00B86C71">
        <w:t>, o tai</w:t>
      </w:r>
      <w:r w:rsidR="00951ED4" w:rsidRPr="00B86C71">
        <w:t xml:space="preserve"> byloja</w:t>
      </w:r>
      <w:r w:rsidR="00740FD1" w:rsidRPr="00B86C71">
        <w:t>, jog</w:t>
      </w:r>
      <w:r w:rsidR="00D62033" w:rsidRPr="00B86C71">
        <w:t>, priimant ir</w:t>
      </w:r>
      <w:r w:rsidR="00712EB3" w:rsidRPr="00B86C71">
        <w:t xml:space="preserve"> keičiant socialinės apsaugos</w:t>
      </w:r>
      <w:r w:rsidR="00176FE7" w:rsidRPr="00B86C71">
        <w:t xml:space="preserve"> </w:t>
      </w:r>
      <w:r w:rsidR="00D62033" w:rsidRPr="00B86C71">
        <w:t>santykius reguliuojančius teisės</w:t>
      </w:r>
      <w:r w:rsidR="00712EB3" w:rsidRPr="00B86C71">
        <w:t xml:space="preserve"> aktus, būtina </w:t>
      </w:r>
      <w:r w:rsidR="0052175D" w:rsidRPr="00B86C71">
        <w:t xml:space="preserve">sudaryti </w:t>
      </w:r>
      <w:r w:rsidR="005F0FBB" w:rsidRPr="00B86C71">
        <w:t xml:space="preserve">prielaidas </w:t>
      </w:r>
      <w:r w:rsidR="007C0699" w:rsidRPr="00B86C71">
        <w:rPr>
          <w:i/>
        </w:rPr>
        <w:t>žmogaus</w:t>
      </w:r>
      <w:r w:rsidR="00BB08AC" w:rsidRPr="00B86C71">
        <w:rPr>
          <w:i/>
        </w:rPr>
        <w:t xml:space="preserve"> laisvei ir</w:t>
      </w:r>
      <w:r w:rsidR="007C0699" w:rsidRPr="00B86C71">
        <w:rPr>
          <w:i/>
        </w:rPr>
        <w:t xml:space="preserve"> orumui </w:t>
      </w:r>
      <w:r w:rsidR="00FC4293" w:rsidRPr="00B86C71">
        <w:rPr>
          <w:i/>
        </w:rPr>
        <w:t>išlaikyti</w:t>
      </w:r>
      <w:r w:rsidR="00FC4293" w:rsidRPr="00B86C71">
        <w:t xml:space="preserve"> </w:t>
      </w:r>
      <w:r w:rsidR="00AB308C" w:rsidRPr="00B86C71">
        <w:t>[moralinė teisė]</w:t>
      </w:r>
      <w:r w:rsidR="00171809" w:rsidRPr="00B86C71">
        <w:t xml:space="preserve"> (Lapinskas 2008)</w:t>
      </w:r>
      <w:r w:rsidR="005F0FBB" w:rsidRPr="00B86C71">
        <w:t>.</w:t>
      </w:r>
    </w:p>
    <w:p w:rsidR="0028229F" w:rsidRPr="00364400" w:rsidRDefault="00054019" w:rsidP="002600B5">
      <w:r w:rsidRPr="00364400">
        <w:t>P</w:t>
      </w:r>
      <w:r w:rsidR="00DE6EC6" w:rsidRPr="00364400">
        <w:t>latus</w:t>
      </w:r>
      <w:r w:rsidR="00AD6CD6" w:rsidRPr="00364400">
        <w:t xml:space="preserve"> socialinių</w:t>
      </w:r>
      <w:r w:rsidR="00AD45FB" w:rsidRPr="00364400">
        <w:t xml:space="preserve"> </w:t>
      </w:r>
      <w:r w:rsidR="00071B38" w:rsidRPr="00364400">
        <w:t xml:space="preserve">teisių </w:t>
      </w:r>
      <w:r w:rsidR="00AD45FB" w:rsidRPr="00364400">
        <w:t>i</w:t>
      </w:r>
      <w:r w:rsidR="00071B38" w:rsidRPr="00364400">
        <w:t>r</w:t>
      </w:r>
      <w:r w:rsidR="00AD45FB" w:rsidRPr="00364400">
        <w:t xml:space="preserve"> priemonių joms įgyvendinti spektras išreiškia </w:t>
      </w:r>
      <w:r w:rsidR="00AD45FB" w:rsidRPr="00364400">
        <w:rPr>
          <w:i/>
        </w:rPr>
        <w:t>visuomenės solidarumo idėją</w:t>
      </w:r>
      <w:r w:rsidR="00441BF8" w:rsidRPr="00364400">
        <w:t xml:space="preserve"> (</w:t>
      </w:r>
      <w:r w:rsidR="00441BF8" w:rsidRPr="00364400">
        <w:rPr>
          <w:i/>
          <w:lang w:val="la-Latn"/>
        </w:rPr>
        <w:t>Ibid</w:t>
      </w:r>
      <w:r w:rsidR="00441BF8" w:rsidRPr="00364400">
        <w:t>), arba</w:t>
      </w:r>
      <w:r w:rsidR="009D0AE1" w:rsidRPr="00364400">
        <w:t>, kaip teigia Guogis (2008),</w:t>
      </w:r>
      <w:r w:rsidR="00441BF8" w:rsidRPr="00364400">
        <w:t xml:space="preserve"> solidarumo </w:t>
      </w:r>
      <w:r w:rsidR="00971C76" w:rsidRPr="00364400">
        <w:t>„</w:t>
      </w:r>
      <w:r w:rsidR="00441BF8" w:rsidRPr="00364400">
        <w:t>tarp kartų</w:t>
      </w:r>
      <w:r w:rsidR="00971C76" w:rsidRPr="00364400">
        <w:t>“</w:t>
      </w:r>
      <w:r w:rsidR="00441BF8" w:rsidRPr="00364400">
        <w:t xml:space="preserve"> principą</w:t>
      </w:r>
      <w:r w:rsidR="00626A67" w:rsidRPr="00364400">
        <w:t>.</w:t>
      </w:r>
      <w:r w:rsidR="003636AE" w:rsidRPr="00364400">
        <w:t xml:space="preserve"> Tačiau čia reikėtų pastebėti, jog </w:t>
      </w:r>
      <w:r w:rsidR="003636AE" w:rsidRPr="00364400">
        <w:rPr>
          <w:i/>
        </w:rPr>
        <w:t>solidarumas</w:t>
      </w:r>
      <w:r w:rsidR="003636AE" w:rsidRPr="00364400">
        <w:t xml:space="preserve"> ir </w:t>
      </w:r>
      <w:r w:rsidR="003636AE" w:rsidRPr="00364400">
        <w:rPr>
          <w:i/>
        </w:rPr>
        <w:t xml:space="preserve">solidarumas </w:t>
      </w:r>
      <w:r w:rsidR="00971C76" w:rsidRPr="00364400">
        <w:rPr>
          <w:i/>
        </w:rPr>
        <w:t>„</w:t>
      </w:r>
      <w:r w:rsidR="003636AE" w:rsidRPr="00364400">
        <w:rPr>
          <w:i/>
        </w:rPr>
        <w:t>tarp kartų</w:t>
      </w:r>
      <w:r w:rsidR="00971C76" w:rsidRPr="00364400">
        <w:rPr>
          <w:i/>
        </w:rPr>
        <w:t>“</w:t>
      </w:r>
      <w:r w:rsidR="00971C76" w:rsidRPr="00364400">
        <w:t xml:space="preserve"> </w:t>
      </w:r>
      <w:r w:rsidR="005E73E5" w:rsidRPr="00364400">
        <w:t xml:space="preserve">šiandien </w:t>
      </w:r>
      <w:r w:rsidR="00A04BE1" w:rsidRPr="00364400">
        <w:t>jau n</w:t>
      </w:r>
      <w:r w:rsidR="003636AE" w:rsidRPr="00364400">
        <w:t xml:space="preserve">ėra tapatūs dalykai, </w:t>
      </w:r>
      <w:r w:rsidR="00A04BE1" w:rsidRPr="00364400">
        <w:t>nes</w:t>
      </w:r>
      <w:r w:rsidR="004F2F86" w:rsidRPr="00364400">
        <w:t>, vy</w:t>
      </w:r>
      <w:r w:rsidR="00063FA9" w:rsidRPr="00364400">
        <w:t>kstant globalizaci</w:t>
      </w:r>
      <w:r w:rsidR="00476E63" w:rsidRPr="00364400">
        <w:t>jai, keitėsi</w:t>
      </w:r>
      <w:r w:rsidR="004F2F86" w:rsidRPr="00364400">
        <w:t xml:space="preserve"> ir žmonių</w:t>
      </w:r>
      <w:r w:rsidR="00B43796" w:rsidRPr="00364400">
        <w:t xml:space="preserve"> ideologija</w:t>
      </w:r>
      <w:r w:rsidR="004F2F86" w:rsidRPr="00364400">
        <w:t>.</w:t>
      </w:r>
      <w:r w:rsidR="00063FA9" w:rsidRPr="00364400">
        <w:t xml:space="preserve"> </w:t>
      </w:r>
      <w:r w:rsidR="00063FA9" w:rsidRPr="00364400">
        <w:rPr>
          <w:i/>
        </w:rPr>
        <w:t>S</w:t>
      </w:r>
      <w:r w:rsidR="003656EC" w:rsidRPr="00364400">
        <w:rPr>
          <w:i/>
        </w:rPr>
        <w:t>olidarumo</w:t>
      </w:r>
      <w:r w:rsidR="003656EC" w:rsidRPr="00364400">
        <w:t xml:space="preserve"> terminas yra </w:t>
      </w:r>
      <w:r w:rsidR="000D643A" w:rsidRPr="00364400">
        <w:t>kil</w:t>
      </w:r>
      <w:r w:rsidR="00063FA9" w:rsidRPr="00364400">
        <w:t>dinamas</w:t>
      </w:r>
      <w:r w:rsidR="000D643A" w:rsidRPr="00364400">
        <w:t xml:space="preserve"> iš lotynų kalbos</w:t>
      </w:r>
      <w:r w:rsidR="00D8212C" w:rsidRPr="00364400">
        <w:t xml:space="preserve"> žodžio „</w:t>
      </w:r>
      <w:proofErr w:type="spellStart"/>
      <w:r w:rsidR="00D8212C" w:rsidRPr="00364400">
        <w:t>s</w:t>
      </w:r>
      <w:r w:rsidR="003656EC" w:rsidRPr="00364400">
        <w:t>olidare</w:t>
      </w:r>
      <w:proofErr w:type="spellEnd"/>
      <w:r w:rsidR="003656EC" w:rsidRPr="00364400">
        <w:t>“,</w:t>
      </w:r>
      <w:r w:rsidR="00CE3A72" w:rsidRPr="00364400">
        <w:t xml:space="preserve"> </w:t>
      </w:r>
      <w:r w:rsidR="008A57EE" w:rsidRPr="00364400">
        <w:t xml:space="preserve">kuris </w:t>
      </w:r>
      <w:r w:rsidR="004E2AC2" w:rsidRPr="00364400">
        <w:t xml:space="preserve">reiškia </w:t>
      </w:r>
      <w:r w:rsidR="009912D2" w:rsidRPr="00364400">
        <w:rPr>
          <w:i/>
        </w:rPr>
        <w:t>suderinti</w:t>
      </w:r>
      <w:r w:rsidR="009912D2" w:rsidRPr="00364400">
        <w:t xml:space="preserve"> dalis taip, kad jos suformuotų </w:t>
      </w:r>
      <w:r w:rsidR="009912D2" w:rsidRPr="00364400">
        <w:rPr>
          <w:i/>
        </w:rPr>
        <w:t>tvirtą visumą</w:t>
      </w:r>
      <w:r w:rsidR="009912D2" w:rsidRPr="00364400">
        <w:t xml:space="preserve"> (Lotynų-lietuvių kalb</w:t>
      </w:r>
      <w:r w:rsidR="00CE3A72" w:rsidRPr="00364400">
        <w:t>ų</w:t>
      </w:r>
      <w:r w:rsidR="009912D2" w:rsidRPr="00364400">
        <w:t xml:space="preserve"> žodynas</w:t>
      </w:r>
      <w:r w:rsidR="00CE3A72" w:rsidRPr="00364400">
        <w:t xml:space="preserve"> 1996)</w:t>
      </w:r>
      <w:r w:rsidR="004E2AC2" w:rsidRPr="00364400">
        <w:t>, todėl</w:t>
      </w:r>
      <w:r w:rsidR="005E73E5" w:rsidRPr="00364400">
        <w:t>,</w:t>
      </w:r>
      <w:r w:rsidR="004E2AC2" w:rsidRPr="00364400">
        <w:t xml:space="preserve"> natūralu, jog </w:t>
      </w:r>
      <w:r w:rsidR="0057116E" w:rsidRPr="00364400">
        <w:t xml:space="preserve">tradiciškai </w:t>
      </w:r>
      <w:r w:rsidR="008A57EE" w:rsidRPr="00364400">
        <w:t>solidarumas</w:t>
      </w:r>
      <w:r w:rsidR="00EA222D" w:rsidRPr="00364400">
        <w:t xml:space="preserve"> </w:t>
      </w:r>
      <w:r w:rsidR="004E2AC2" w:rsidRPr="00364400">
        <w:t>siejamas su</w:t>
      </w:r>
      <w:r w:rsidR="000D643A" w:rsidRPr="00364400">
        <w:t xml:space="preserve"> interesų bendrumu</w:t>
      </w:r>
      <w:r w:rsidR="009623D4" w:rsidRPr="00364400">
        <w:t xml:space="preserve">, </w:t>
      </w:r>
      <w:r w:rsidR="003C57C2" w:rsidRPr="00364400">
        <w:t>tarpusavio atsakomybe</w:t>
      </w:r>
      <w:r w:rsidR="009623D4" w:rsidRPr="00364400">
        <w:t xml:space="preserve"> ir parama,</w:t>
      </w:r>
      <w:r w:rsidR="00FA29CC" w:rsidRPr="00364400">
        <w:t xml:space="preserve"> kitaip </w:t>
      </w:r>
      <w:r w:rsidR="00633E57" w:rsidRPr="00364400">
        <w:t>tari</w:t>
      </w:r>
      <w:r w:rsidR="008A57EE" w:rsidRPr="00364400">
        <w:t>ant</w:t>
      </w:r>
      <w:r w:rsidR="00633E57" w:rsidRPr="00364400">
        <w:t>,</w:t>
      </w:r>
      <w:r w:rsidR="007D634A" w:rsidRPr="00364400">
        <w:t xml:space="preserve"> –</w:t>
      </w:r>
      <w:r w:rsidR="00BD0A4F" w:rsidRPr="00364400">
        <w:t xml:space="preserve"> </w:t>
      </w:r>
      <w:r w:rsidR="00E15534" w:rsidRPr="00364400">
        <w:t xml:space="preserve">su </w:t>
      </w:r>
      <w:r w:rsidR="009C0BAE" w:rsidRPr="00364400">
        <w:t>finansiškai pajėg</w:t>
      </w:r>
      <w:r w:rsidR="004C471F" w:rsidRPr="00364400">
        <w:t>ių</w:t>
      </w:r>
      <w:r w:rsidR="009C0BAE" w:rsidRPr="00364400">
        <w:t xml:space="preserve"> </w:t>
      </w:r>
      <w:r w:rsidR="00EF2A7B" w:rsidRPr="00364400">
        <w:t>visuomenės narių</w:t>
      </w:r>
      <w:r w:rsidR="00DA7D9B" w:rsidRPr="00364400">
        <w:t xml:space="preserve"> </w:t>
      </w:r>
      <w:r w:rsidR="00C41A31" w:rsidRPr="00364400">
        <w:t>pagalba</w:t>
      </w:r>
      <w:r w:rsidR="00FA29CC" w:rsidRPr="00364400">
        <w:t xml:space="preserve"> rizikos veiksnius </w:t>
      </w:r>
      <w:r w:rsidR="00385681" w:rsidRPr="00364400">
        <w:t>patyr</w:t>
      </w:r>
      <w:r w:rsidR="00FA29CC" w:rsidRPr="00364400">
        <w:t>usiems žmonėms</w:t>
      </w:r>
      <w:r w:rsidR="009E5655" w:rsidRPr="00364400">
        <w:t>.</w:t>
      </w:r>
      <w:r w:rsidR="00AC0617" w:rsidRPr="00364400">
        <w:t xml:space="preserve"> </w:t>
      </w:r>
      <w:r w:rsidR="00AD356C" w:rsidRPr="00364400">
        <w:t xml:space="preserve">Tačiau, </w:t>
      </w:r>
      <w:r w:rsidR="009623D4" w:rsidRPr="00364400">
        <w:t>kaip pa</w:t>
      </w:r>
      <w:r w:rsidR="004A0D8C" w:rsidRPr="00364400">
        <w:t>žym</w:t>
      </w:r>
      <w:r w:rsidR="009623D4" w:rsidRPr="00364400">
        <w:t xml:space="preserve">i Bieliauskaitė (2009), </w:t>
      </w:r>
      <w:r w:rsidR="00AD356C" w:rsidRPr="00364400">
        <w:t>p</w:t>
      </w:r>
      <w:r w:rsidR="0096202A" w:rsidRPr="00364400">
        <w:t>a</w:t>
      </w:r>
      <w:r w:rsidR="00552864" w:rsidRPr="00364400">
        <w:t>ki</w:t>
      </w:r>
      <w:r w:rsidR="0096202A" w:rsidRPr="00364400">
        <w:t xml:space="preserve">tus </w:t>
      </w:r>
      <w:r w:rsidR="004E7C02" w:rsidRPr="00364400">
        <w:t xml:space="preserve">moralinėms </w:t>
      </w:r>
      <w:r w:rsidR="00AC0617" w:rsidRPr="00364400">
        <w:t>vertybėms</w:t>
      </w:r>
      <w:r w:rsidR="00666523" w:rsidRPr="00364400">
        <w:t>,</w:t>
      </w:r>
      <w:r w:rsidR="00936BEC" w:rsidRPr="00364400">
        <w:t xml:space="preserve"> </w:t>
      </w:r>
      <w:r w:rsidR="00B81AAA" w:rsidRPr="00364400">
        <w:t xml:space="preserve">kartų solidarumo jausmas </w:t>
      </w:r>
      <w:r w:rsidR="0096202A" w:rsidRPr="00364400">
        <w:t>ėmė</w:t>
      </w:r>
      <w:r w:rsidR="009A5047" w:rsidRPr="00364400">
        <w:t xml:space="preserve"> </w:t>
      </w:r>
      <w:r w:rsidR="00BD0A4F" w:rsidRPr="00364400">
        <w:t>slop</w:t>
      </w:r>
      <w:r w:rsidR="00AC0617" w:rsidRPr="00364400">
        <w:t>ti</w:t>
      </w:r>
      <w:r w:rsidR="00B81AAA" w:rsidRPr="00364400">
        <w:t>, todėl</w:t>
      </w:r>
      <w:r w:rsidR="004A0D8C" w:rsidRPr="00364400">
        <w:t xml:space="preserve"> </w:t>
      </w:r>
      <w:r w:rsidR="00B02FA1" w:rsidRPr="00364400">
        <w:t>pradeda</w:t>
      </w:r>
      <w:r w:rsidR="004A0D8C" w:rsidRPr="00364400">
        <w:t xml:space="preserve"> </w:t>
      </w:r>
      <w:r w:rsidR="00D80802" w:rsidRPr="00364400">
        <w:t>įsi</w:t>
      </w:r>
      <w:r w:rsidR="004A0D8C" w:rsidRPr="00364400">
        <w:t>vyrau</w:t>
      </w:r>
      <w:r w:rsidR="00B02FA1" w:rsidRPr="00364400">
        <w:t>ti</w:t>
      </w:r>
      <w:r w:rsidR="00B81AAA" w:rsidRPr="00364400">
        <w:t xml:space="preserve"> </w:t>
      </w:r>
      <w:r w:rsidR="00B81AAA" w:rsidRPr="00364400">
        <w:rPr>
          <w:i/>
        </w:rPr>
        <w:t>liberalusis požiūris</w:t>
      </w:r>
      <w:r w:rsidR="00B81AAA" w:rsidRPr="00364400">
        <w:t xml:space="preserve">, </w:t>
      </w:r>
      <w:r w:rsidR="00E23308" w:rsidRPr="00364400">
        <w:t xml:space="preserve">kuris </w:t>
      </w:r>
      <w:r w:rsidR="004E7C02" w:rsidRPr="00364400">
        <w:t xml:space="preserve">skatina </w:t>
      </w:r>
      <w:r w:rsidR="00B81AAA" w:rsidRPr="00364400">
        <w:t xml:space="preserve">asmeninę atsakomybę už </w:t>
      </w:r>
      <w:r w:rsidR="00B81AAA" w:rsidRPr="00364400">
        <w:rPr>
          <w:i/>
        </w:rPr>
        <w:t>savo</w:t>
      </w:r>
      <w:r w:rsidR="009A5047" w:rsidRPr="00364400">
        <w:t xml:space="preserve"> gerovę</w:t>
      </w:r>
      <w:r w:rsidR="0096202A" w:rsidRPr="00364400">
        <w:t>.</w:t>
      </w:r>
    </w:p>
    <w:p w:rsidR="00E23308" w:rsidRPr="00364400" w:rsidRDefault="00ED18E7" w:rsidP="002600B5">
      <w:r w:rsidRPr="00364400">
        <w:t xml:space="preserve">Empiriniai </w:t>
      </w:r>
      <w:r w:rsidR="00D704A1" w:rsidRPr="00364400">
        <w:t xml:space="preserve">tyrimai </w:t>
      </w:r>
      <w:r w:rsidR="00417088" w:rsidRPr="00364400">
        <w:t>rodo</w:t>
      </w:r>
      <w:r w:rsidRPr="00364400">
        <w:t>, kad</w:t>
      </w:r>
      <w:r w:rsidR="001E1C86" w:rsidRPr="00364400">
        <w:t xml:space="preserve"> </w:t>
      </w:r>
      <w:r w:rsidR="005C47E6" w:rsidRPr="00364400">
        <w:t>„</w:t>
      </w:r>
      <w:r w:rsidRPr="00364400">
        <w:t>XXI</w:t>
      </w:r>
      <w:r w:rsidR="00417088" w:rsidRPr="00364400">
        <w:t>-</w:t>
      </w:r>
      <w:proofErr w:type="spellStart"/>
      <w:r w:rsidR="00417088" w:rsidRPr="00364400">
        <w:t>ojo</w:t>
      </w:r>
      <w:proofErr w:type="spellEnd"/>
      <w:r w:rsidR="003673D8" w:rsidRPr="00364400">
        <w:t xml:space="preserve"> amžiaus žmogus</w:t>
      </w:r>
      <w:r w:rsidR="001E1C86" w:rsidRPr="00364400">
        <w:t xml:space="preserve">, vertindamas socialinę apsaugą, </w:t>
      </w:r>
      <w:r w:rsidR="00B26219" w:rsidRPr="00364400">
        <w:t>pirmiausia</w:t>
      </w:r>
      <w:r w:rsidR="001E1C86" w:rsidRPr="00364400">
        <w:t xml:space="preserve"> gerai apskaičiuoja</w:t>
      </w:r>
      <w:r w:rsidR="005C47E6" w:rsidRPr="00364400">
        <w:t xml:space="preserve"> (...)</w:t>
      </w:r>
      <w:r w:rsidR="00F76500" w:rsidRPr="00364400">
        <w:t>, ar galima tikėtis</w:t>
      </w:r>
      <w:r w:rsidR="00D927CB" w:rsidRPr="00364400">
        <w:t xml:space="preserve"> naudos</w:t>
      </w:r>
      <w:r w:rsidR="00F76500" w:rsidRPr="00364400">
        <w:t xml:space="preserve"> iš socialinės apsaugos</w:t>
      </w:r>
      <w:r w:rsidR="005C47E6" w:rsidRPr="00364400">
        <w:t>“</w:t>
      </w:r>
      <w:r w:rsidR="00F76500" w:rsidRPr="00364400">
        <w:t xml:space="preserve"> (</w:t>
      </w:r>
      <w:r w:rsidR="00D927CB" w:rsidRPr="00364400">
        <w:t>Guogis 200</w:t>
      </w:r>
      <w:r w:rsidR="00343D37" w:rsidRPr="00364400">
        <w:t>6</w:t>
      </w:r>
      <w:r w:rsidR="005C47E6" w:rsidRPr="00364400">
        <w:t>, p. 11</w:t>
      </w:r>
      <w:r w:rsidR="00D927CB" w:rsidRPr="00364400">
        <w:t>)</w:t>
      </w:r>
      <w:r w:rsidR="00182EF4" w:rsidRPr="00364400">
        <w:t>, o tai</w:t>
      </w:r>
      <w:r w:rsidR="001F4386" w:rsidRPr="00364400">
        <w:t xml:space="preserve"> byloja</w:t>
      </w:r>
      <w:r w:rsidR="006C0EFE" w:rsidRPr="00364400">
        <w:t xml:space="preserve">, jog </w:t>
      </w:r>
      <w:r w:rsidR="003673D8" w:rsidRPr="00364400">
        <w:t>žmonės</w:t>
      </w:r>
      <w:r w:rsidR="004749AB" w:rsidRPr="00364400">
        <w:t xml:space="preserve"> solidarizuojasi tam, kad </w:t>
      </w:r>
      <w:r w:rsidR="0005424A" w:rsidRPr="00364400">
        <w:t>„</w:t>
      </w:r>
      <w:r w:rsidR="004749AB" w:rsidRPr="00364400">
        <w:t>visų pirma</w:t>
      </w:r>
      <w:r w:rsidR="00C875AD" w:rsidRPr="00364400">
        <w:t>,</w:t>
      </w:r>
      <w:r w:rsidR="004749AB" w:rsidRPr="00364400">
        <w:t xml:space="preserve"> būtų</w:t>
      </w:r>
      <w:r w:rsidR="000D2729" w:rsidRPr="00364400">
        <w:t xml:space="preserve"> įgyvendinti jų pačių, o ne kitų asmenų poreikiai</w:t>
      </w:r>
      <w:r w:rsidR="006D5736" w:rsidRPr="00364400">
        <w:t>“</w:t>
      </w:r>
      <w:r w:rsidR="000D2729" w:rsidRPr="00364400">
        <w:t xml:space="preserve"> (Bieliauskaitė 2009</w:t>
      </w:r>
      <w:r w:rsidR="006D5736" w:rsidRPr="00364400">
        <w:t>, p. 87</w:t>
      </w:r>
      <w:r w:rsidR="000D2729" w:rsidRPr="00364400">
        <w:t>).</w:t>
      </w:r>
      <w:r w:rsidR="009B4A60" w:rsidRPr="00364400">
        <w:t xml:space="preserve"> Nors toks požiūris atrod</w:t>
      </w:r>
      <w:r w:rsidR="00F5246F" w:rsidRPr="00364400">
        <w:t>o</w:t>
      </w:r>
      <w:r w:rsidR="006C28AD" w:rsidRPr="00364400">
        <w:t xml:space="preserve"> netinkamas</w:t>
      </w:r>
      <w:r w:rsidR="003A69C7" w:rsidRPr="00364400">
        <w:t>, iš tiesų jis neprieštarauja</w:t>
      </w:r>
      <w:r w:rsidR="006D5736" w:rsidRPr="00364400">
        <w:t xml:space="preserve"> Konstitucijai </w:t>
      </w:r>
      <w:r w:rsidR="00E85878" w:rsidRPr="00364400">
        <w:t>–</w:t>
      </w:r>
      <w:r w:rsidR="003A69C7" w:rsidRPr="00364400">
        <w:t xml:space="preserve"> </w:t>
      </w:r>
      <w:r w:rsidR="00E60132" w:rsidRPr="00364400">
        <w:t xml:space="preserve">Konstitucinis teismas ne kartą </w:t>
      </w:r>
      <w:r w:rsidR="00E8007D" w:rsidRPr="00364400">
        <w:t xml:space="preserve">yra </w:t>
      </w:r>
      <w:r w:rsidR="00FA5CDD" w:rsidRPr="00364400">
        <w:t>konstatav</w:t>
      </w:r>
      <w:r w:rsidR="00E8007D" w:rsidRPr="00364400">
        <w:t>ęs</w:t>
      </w:r>
      <w:r w:rsidR="00E85878" w:rsidRPr="00364400">
        <w:t>, jog</w:t>
      </w:r>
      <w:r w:rsidR="00E051FB" w:rsidRPr="00364400">
        <w:t>:</w:t>
      </w:r>
      <w:r w:rsidR="00E85878" w:rsidRPr="00364400">
        <w:t xml:space="preserve"> </w:t>
      </w:r>
      <w:r w:rsidR="00E051FB" w:rsidRPr="00364400">
        <w:t>„</w:t>
      </w:r>
      <w:r w:rsidR="00E85878" w:rsidRPr="00364400">
        <w:rPr>
          <w:i/>
        </w:rPr>
        <w:t>Konstitucija nedraudžia</w:t>
      </w:r>
      <w:r w:rsidR="00E85878" w:rsidRPr="00364400">
        <w:t xml:space="preserve"> </w:t>
      </w:r>
      <w:r w:rsidR="00E051FB" w:rsidRPr="00364400">
        <w:t xml:space="preserve">(...) </w:t>
      </w:r>
      <w:r w:rsidR="00270AD0" w:rsidRPr="00364400">
        <w:t xml:space="preserve">nustatyti tokių socialinės paramos teikimo pagrindų ir sąlygų (...), </w:t>
      </w:r>
      <w:r w:rsidR="00270AD0" w:rsidRPr="00364400">
        <w:rPr>
          <w:i/>
        </w:rPr>
        <w:t>kad būtų</w:t>
      </w:r>
      <w:r w:rsidR="00707E23" w:rsidRPr="00364400">
        <w:rPr>
          <w:i/>
        </w:rPr>
        <w:t xml:space="preserve"> skatinamos kiekvieno asmens pastangos</w:t>
      </w:r>
      <w:r w:rsidR="00707E23" w:rsidRPr="00364400">
        <w:t xml:space="preserve"> </w:t>
      </w:r>
      <w:r w:rsidR="00FB24F4" w:rsidRPr="00364400">
        <w:t xml:space="preserve">(...) </w:t>
      </w:r>
      <w:r w:rsidR="00707E23" w:rsidRPr="00364400">
        <w:t xml:space="preserve">pirmiausia </w:t>
      </w:r>
      <w:r w:rsidR="00707E23" w:rsidRPr="00364400">
        <w:rPr>
          <w:i/>
        </w:rPr>
        <w:t xml:space="preserve">pačiam pasirūpinti savo šeimos gerove </w:t>
      </w:r>
      <w:r w:rsidR="003C381F" w:rsidRPr="00364400">
        <w:rPr>
          <w:i/>
        </w:rPr>
        <w:t>i</w:t>
      </w:r>
      <w:r w:rsidR="00BD6B8D" w:rsidRPr="00364400">
        <w:rPr>
          <w:i/>
        </w:rPr>
        <w:t>r</w:t>
      </w:r>
      <w:r w:rsidR="003C381F" w:rsidRPr="00364400">
        <w:rPr>
          <w:i/>
        </w:rPr>
        <w:t xml:space="preserve"> </w:t>
      </w:r>
      <w:r w:rsidR="00707E23" w:rsidRPr="00364400">
        <w:rPr>
          <w:i/>
        </w:rPr>
        <w:t xml:space="preserve">prisidėti prie </w:t>
      </w:r>
      <w:r w:rsidR="00BD6B8D" w:rsidRPr="00364400">
        <w:rPr>
          <w:i/>
        </w:rPr>
        <w:t xml:space="preserve">visos </w:t>
      </w:r>
      <w:r w:rsidR="00707E23" w:rsidRPr="00364400">
        <w:rPr>
          <w:i/>
        </w:rPr>
        <w:t>visuomenės gerovės</w:t>
      </w:r>
      <w:r w:rsidR="00405142" w:rsidRPr="00364400">
        <w:rPr>
          <w:i/>
        </w:rPr>
        <w:t>“</w:t>
      </w:r>
      <w:r w:rsidR="00707E23" w:rsidRPr="00364400">
        <w:t xml:space="preserve"> (Lapinskas 2008</w:t>
      </w:r>
      <w:r w:rsidR="00614243" w:rsidRPr="00364400">
        <w:t>, p. 8</w:t>
      </w:r>
      <w:r w:rsidR="00707E23" w:rsidRPr="00364400">
        <w:t>).</w:t>
      </w:r>
    </w:p>
    <w:p w:rsidR="00FF0EF7" w:rsidRPr="00364400" w:rsidRDefault="00DD2932" w:rsidP="002600B5">
      <w:r w:rsidRPr="00364400">
        <w:lastRenderedPageBreak/>
        <w:t>Iš viso to, kas</w:t>
      </w:r>
      <w:r w:rsidR="00300286" w:rsidRPr="00364400">
        <w:t xml:space="preserve"> aptarta</w:t>
      </w:r>
      <w:r w:rsidRPr="00364400">
        <w:t>, daryti</w:t>
      </w:r>
      <w:r w:rsidR="0040631D" w:rsidRPr="00364400">
        <w:t>na išvada</w:t>
      </w:r>
      <w:r w:rsidRPr="00364400">
        <w:t>, jog žmogaus vaidmuo socialinė</w:t>
      </w:r>
      <w:r w:rsidR="002B0F7D" w:rsidRPr="00364400">
        <w:t>s</w:t>
      </w:r>
      <w:r w:rsidRPr="00364400">
        <w:t xml:space="preserve"> apsaugos </w:t>
      </w:r>
      <w:r w:rsidR="00D258DA" w:rsidRPr="00364400">
        <w:t>sistemoje</w:t>
      </w:r>
      <w:r w:rsidR="00661AE1" w:rsidRPr="00364400">
        <w:t xml:space="preserve"> </w:t>
      </w:r>
      <w:r w:rsidR="00300286" w:rsidRPr="00364400">
        <w:t>neturėtų</w:t>
      </w:r>
      <w:r w:rsidRPr="00364400">
        <w:t xml:space="preserve"> būti </w:t>
      </w:r>
      <w:r w:rsidR="00E15538" w:rsidRPr="00364400">
        <w:rPr>
          <w:i/>
        </w:rPr>
        <w:t>tik</w:t>
      </w:r>
      <w:r w:rsidR="00E15538" w:rsidRPr="00364400">
        <w:t xml:space="preserve"> </w:t>
      </w:r>
      <w:r w:rsidRPr="00364400">
        <w:t>pasyvus</w:t>
      </w:r>
      <w:r w:rsidR="00661AE1" w:rsidRPr="00364400">
        <w:t xml:space="preserve">, </w:t>
      </w:r>
      <w:r w:rsidR="00494D9A" w:rsidRPr="00364400">
        <w:t>kadangi</w:t>
      </w:r>
      <w:r w:rsidR="004378D1" w:rsidRPr="00364400">
        <w:t xml:space="preserve"> </w:t>
      </w:r>
      <w:r w:rsidR="00C31B83" w:rsidRPr="00364400">
        <w:rPr>
          <w:i/>
        </w:rPr>
        <w:t>šių laikų solidarumas</w:t>
      </w:r>
      <w:r w:rsidR="00C31B83" w:rsidRPr="00364400">
        <w:t xml:space="preserve"> </w:t>
      </w:r>
      <w:r w:rsidR="00567A34" w:rsidRPr="00364400">
        <w:t xml:space="preserve">yra grindžiamas ne tik teise </w:t>
      </w:r>
      <w:r w:rsidR="00567A34" w:rsidRPr="00364400">
        <w:rPr>
          <w:i/>
        </w:rPr>
        <w:t>gauti</w:t>
      </w:r>
      <w:r w:rsidR="00567A34" w:rsidRPr="00364400">
        <w:t xml:space="preserve"> </w:t>
      </w:r>
      <w:r w:rsidR="004B131E" w:rsidRPr="00364400">
        <w:t>[</w:t>
      </w:r>
      <w:r w:rsidR="00567A34" w:rsidRPr="00364400">
        <w:t>išmoką ar pašalpą</w:t>
      </w:r>
      <w:r w:rsidR="004B131E" w:rsidRPr="00364400">
        <w:t xml:space="preserve">], bet ir pareiga </w:t>
      </w:r>
      <w:r w:rsidR="00A711D4" w:rsidRPr="00364400">
        <w:t xml:space="preserve">[ją] </w:t>
      </w:r>
      <w:r w:rsidR="004B131E" w:rsidRPr="00364400">
        <w:rPr>
          <w:i/>
        </w:rPr>
        <w:t>užsitarnauti</w:t>
      </w:r>
      <w:r w:rsidR="004B131E" w:rsidRPr="00364400">
        <w:t xml:space="preserve"> bei </w:t>
      </w:r>
      <w:r w:rsidR="00E179C7" w:rsidRPr="00364400">
        <w:t xml:space="preserve">vis didėjančia </w:t>
      </w:r>
      <w:r w:rsidR="00E179C7" w:rsidRPr="00364400">
        <w:rPr>
          <w:i/>
        </w:rPr>
        <w:t xml:space="preserve">individualia </w:t>
      </w:r>
      <w:r w:rsidR="004B131E" w:rsidRPr="00364400">
        <w:rPr>
          <w:i/>
        </w:rPr>
        <w:t>ats</w:t>
      </w:r>
      <w:r w:rsidR="00BB52E2" w:rsidRPr="00364400">
        <w:rPr>
          <w:i/>
        </w:rPr>
        <w:t>a</w:t>
      </w:r>
      <w:r w:rsidR="004B131E" w:rsidRPr="00364400">
        <w:rPr>
          <w:i/>
        </w:rPr>
        <w:t>komybe</w:t>
      </w:r>
      <w:r w:rsidR="00A711D4" w:rsidRPr="00364400">
        <w:t>.</w:t>
      </w:r>
      <w:r w:rsidR="00D0617B" w:rsidRPr="00364400">
        <w:t xml:space="preserve"> Jeigu seniau gerovės valstybė buvo s</w:t>
      </w:r>
      <w:r w:rsidR="00FC4293" w:rsidRPr="00364400">
        <w:t>iejama su tuo, kad už socialinės riziko</w:t>
      </w:r>
      <w:r w:rsidR="00D0617B" w:rsidRPr="00364400">
        <w:t>s</w:t>
      </w:r>
      <w:r w:rsidR="00FC4293" w:rsidRPr="00364400">
        <w:t xml:space="preserve"> veiksnius</w:t>
      </w:r>
      <w:r w:rsidR="00F1219B" w:rsidRPr="00364400">
        <w:t xml:space="preserve"> </w:t>
      </w:r>
      <w:r w:rsidR="00CE6A72" w:rsidRPr="00364400">
        <w:t>turėjo</w:t>
      </w:r>
      <w:r w:rsidR="00F60DE3" w:rsidRPr="00364400">
        <w:t xml:space="preserve"> </w:t>
      </w:r>
      <w:r w:rsidR="00E15538" w:rsidRPr="00364400">
        <w:t>atsak</w:t>
      </w:r>
      <w:r w:rsidR="00F60DE3" w:rsidRPr="00364400">
        <w:t>yti</w:t>
      </w:r>
      <w:r w:rsidR="00B3628D" w:rsidRPr="00364400">
        <w:t xml:space="preserve"> visuomenė,</w:t>
      </w:r>
      <w:r w:rsidR="007229D2" w:rsidRPr="00364400">
        <w:t xml:space="preserve"> </w:t>
      </w:r>
      <w:r w:rsidR="00DD4A7A" w:rsidRPr="00364400">
        <w:t>naujoji gerovės paradigma išskir</w:t>
      </w:r>
      <w:r w:rsidR="00447995" w:rsidRPr="00364400">
        <w:t xml:space="preserve">ia </w:t>
      </w:r>
      <w:r w:rsidR="00CE6A72" w:rsidRPr="00364400">
        <w:t>„</w:t>
      </w:r>
      <w:r w:rsidR="003D4F7F" w:rsidRPr="00364400">
        <w:rPr>
          <w:i/>
        </w:rPr>
        <w:t>pilietines ir politines teises,</w:t>
      </w:r>
      <w:r w:rsidR="003D4F7F" w:rsidRPr="00364400">
        <w:t xml:space="preserve"> </w:t>
      </w:r>
      <w:r w:rsidR="00817A35" w:rsidRPr="00364400">
        <w:rPr>
          <w:i/>
        </w:rPr>
        <w:t>garantuojančias pasirinkimo laisv</w:t>
      </w:r>
      <w:r w:rsidR="003D4F7F" w:rsidRPr="00364400">
        <w:rPr>
          <w:i/>
        </w:rPr>
        <w:t>ę, o ne užtikrinančias</w:t>
      </w:r>
      <w:r w:rsidR="009B0D18" w:rsidRPr="00364400">
        <w:rPr>
          <w:i/>
        </w:rPr>
        <w:t xml:space="preserve"> priėjimą prie gerovės valstybės garantuojamų išmokų ar paslaugų</w:t>
      </w:r>
      <w:r w:rsidR="00CE6A72" w:rsidRPr="00364400">
        <w:rPr>
          <w:i/>
        </w:rPr>
        <w:t>“</w:t>
      </w:r>
      <w:r w:rsidR="002B2ECD" w:rsidRPr="00364400">
        <w:t xml:space="preserve"> (Skučienė 2006)</w:t>
      </w:r>
      <w:r w:rsidR="009577EC" w:rsidRPr="00364400">
        <w:t>. Tai yra,</w:t>
      </w:r>
      <w:r w:rsidR="009B0D18" w:rsidRPr="00364400">
        <w:t xml:space="preserve"> </w:t>
      </w:r>
      <w:r w:rsidR="007229D2" w:rsidRPr="00364400">
        <w:t xml:space="preserve">šiandien pripažįstama, jog </w:t>
      </w:r>
      <w:r w:rsidR="00CB7F73" w:rsidRPr="00364400">
        <w:t xml:space="preserve">pirmiausiai </w:t>
      </w:r>
      <w:r w:rsidR="007229D2" w:rsidRPr="00364400">
        <w:t xml:space="preserve">individas </w:t>
      </w:r>
      <w:r w:rsidR="005E7695" w:rsidRPr="00364400">
        <w:t>[</w:t>
      </w:r>
      <w:r w:rsidR="00571041" w:rsidRPr="00364400">
        <w:t xml:space="preserve">o </w:t>
      </w:r>
      <w:r w:rsidR="005E7695" w:rsidRPr="00364400">
        <w:t xml:space="preserve">ne valstybė] </w:t>
      </w:r>
      <w:r w:rsidR="00571041" w:rsidRPr="00364400">
        <w:t>turi pa</w:t>
      </w:r>
      <w:r w:rsidR="00FD6141" w:rsidRPr="00364400">
        <w:t xml:space="preserve">demonstruoti savo </w:t>
      </w:r>
      <w:r w:rsidR="007229D2" w:rsidRPr="00364400">
        <w:t xml:space="preserve">gebėjimus </w:t>
      </w:r>
      <w:r w:rsidR="00355721" w:rsidRPr="00364400">
        <w:t xml:space="preserve">apsisaugoti nuo </w:t>
      </w:r>
      <w:r w:rsidR="00304365" w:rsidRPr="00364400">
        <w:t>rizikos</w:t>
      </w:r>
      <w:r w:rsidR="00300286" w:rsidRPr="00364400">
        <w:t xml:space="preserve">, </w:t>
      </w:r>
      <w:r w:rsidR="00571041" w:rsidRPr="00364400">
        <w:t>nes</w:t>
      </w:r>
      <w:r w:rsidR="00544222" w:rsidRPr="00364400">
        <w:t xml:space="preserve"> valstybės pareiga yra</w:t>
      </w:r>
      <w:r w:rsidR="00355721" w:rsidRPr="00364400">
        <w:t xml:space="preserve"> </w:t>
      </w:r>
      <w:r w:rsidR="00AD433C" w:rsidRPr="00364400">
        <w:rPr>
          <w:i/>
        </w:rPr>
        <w:t>padėti</w:t>
      </w:r>
      <w:r w:rsidR="00AD433C" w:rsidRPr="00364400">
        <w:t xml:space="preserve">, </w:t>
      </w:r>
      <w:r w:rsidR="00FF0EF7" w:rsidRPr="00364400">
        <w:rPr>
          <w:i/>
        </w:rPr>
        <w:t>paremti</w:t>
      </w:r>
      <w:r w:rsidR="00D43170" w:rsidRPr="00364400">
        <w:t>,</w:t>
      </w:r>
      <w:r w:rsidR="00FF0EF7" w:rsidRPr="00364400">
        <w:t xml:space="preserve"> </w:t>
      </w:r>
      <w:r w:rsidR="00AD433C" w:rsidRPr="00364400">
        <w:rPr>
          <w:i/>
        </w:rPr>
        <w:t>sušvelninti</w:t>
      </w:r>
      <w:r w:rsidR="00AD433C" w:rsidRPr="00364400">
        <w:t xml:space="preserve"> neigiamą</w:t>
      </w:r>
      <w:r w:rsidR="006D7FBA" w:rsidRPr="00364400">
        <w:t xml:space="preserve"> įtaką</w:t>
      </w:r>
      <w:r w:rsidR="00FF0EF7" w:rsidRPr="00364400">
        <w:t xml:space="preserve">, </w:t>
      </w:r>
      <w:r w:rsidR="00FD6141" w:rsidRPr="00364400">
        <w:t>o</w:t>
      </w:r>
      <w:r w:rsidR="00FF0EF7" w:rsidRPr="00364400">
        <w:t xml:space="preserve"> ne</w:t>
      </w:r>
      <w:r w:rsidR="006D7FBA" w:rsidRPr="00364400">
        <w:t xml:space="preserve"> užtikrinti </w:t>
      </w:r>
      <w:r w:rsidR="00561216" w:rsidRPr="00364400">
        <w:t>apsaugą visam</w:t>
      </w:r>
      <w:r w:rsidR="00785F6B" w:rsidRPr="00364400">
        <w:t xml:space="preserve"> gyvenim</w:t>
      </w:r>
      <w:r w:rsidR="00561216" w:rsidRPr="00364400">
        <w:t>ui</w:t>
      </w:r>
      <w:r w:rsidR="00785F6B" w:rsidRPr="00364400">
        <w:t>.</w:t>
      </w:r>
    </w:p>
    <w:p w:rsidR="00B153C3" w:rsidRPr="00364400" w:rsidRDefault="00386FA7" w:rsidP="002600B5">
      <w:r w:rsidRPr="00364400">
        <w:t>Ta</w:t>
      </w:r>
      <w:r w:rsidR="00CB5F8E" w:rsidRPr="00364400">
        <w:t>i</w:t>
      </w:r>
      <w:r w:rsidR="00C16FA9" w:rsidRPr="00364400">
        <w:t>,</w:t>
      </w:r>
      <w:r w:rsidR="00CB5F8E" w:rsidRPr="00364400">
        <w:t xml:space="preserve"> pirmiausia</w:t>
      </w:r>
      <w:r w:rsidR="00C16FA9" w:rsidRPr="00364400">
        <w:t>,</w:t>
      </w:r>
      <w:r w:rsidR="00CB5F8E" w:rsidRPr="00364400">
        <w:t xml:space="preserve"> turėtų būti</w:t>
      </w:r>
      <w:r w:rsidR="008F55A7" w:rsidRPr="00364400">
        <w:t xml:space="preserve"> </w:t>
      </w:r>
      <w:r w:rsidRPr="00364400">
        <w:t xml:space="preserve">taikytina </w:t>
      </w:r>
      <w:r w:rsidR="0000377D" w:rsidRPr="00364400">
        <w:t xml:space="preserve">socialines </w:t>
      </w:r>
      <w:r w:rsidRPr="00364400">
        <w:t xml:space="preserve">išmokas </w:t>
      </w:r>
      <w:r w:rsidR="008F55A7" w:rsidRPr="00364400">
        <w:t>i</w:t>
      </w:r>
      <w:r w:rsidR="00CB5F8E" w:rsidRPr="00364400">
        <w:t>r</w:t>
      </w:r>
      <w:r w:rsidR="0000377D" w:rsidRPr="00364400">
        <w:t> / ar</w:t>
      </w:r>
      <w:r w:rsidR="00147A7D" w:rsidRPr="00364400">
        <w:t xml:space="preserve"> paramą </w:t>
      </w:r>
      <w:r w:rsidRPr="00364400">
        <w:t>gaunantiems</w:t>
      </w:r>
      <w:r w:rsidR="0000377D" w:rsidRPr="00364400">
        <w:t xml:space="preserve"> individams</w:t>
      </w:r>
      <w:r w:rsidR="001729FA" w:rsidRPr="00364400">
        <w:t xml:space="preserve">, kurie tampa </w:t>
      </w:r>
      <w:r w:rsidR="00C16FA9" w:rsidRPr="00364400">
        <w:t>„</w:t>
      </w:r>
      <w:r w:rsidR="001729FA" w:rsidRPr="00364400">
        <w:t xml:space="preserve">potencialiai pavojinga jėga </w:t>
      </w:r>
      <w:r w:rsidR="00C16FA9" w:rsidRPr="00364400">
        <w:t xml:space="preserve">sau ir </w:t>
      </w:r>
      <w:r w:rsidR="001729FA" w:rsidRPr="00364400">
        <w:t>visuomenei</w:t>
      </w:r>
      <w:r w:rsidR="00C16FA9" w:rsidRPr="00364400">
        <w:t>“</w:t>
      </w:r>
      <w:r w:rsidR="00CF2133" w:rsidRPr="00364400">
        <w:t xml:space="preserve"> (Bitinas, </w:t>
      </w:r>
      <w:proofErr w:type="spellStart"/>
      <w:r w:rsidR="00CF2133" w:rsidRPr="00364400">
        <w:t>Papirtis</w:t>
      </w:r>
      <w:proofErr w:type="spellEnd"/>
      <w:r w:rsidR="00CF2133" w:rsidRPr="00364400">
        <w:t xml:space="preserve"> 2010</w:t>
      </w:r>
      <w:r w:rsidR="00C16FA9" w:rsidRPr="00364400">
        <w:t>, p. 39</w:t>
      </w:r>
      <w:r w:rsidR="00CF2133" w:rsidRPr="00364400">
        <w:t>).</w:t>
      </w:r>
      <w:r w:rsidR="00785F6B" w:rsidRPr="00364400">
        <w:t xml:space="preserve"> Pavojinga </w:t>
      </w:r>
      <w:r w:rsidR="00A623F0" w:rsidRPr="00364400">
        <w:rPr>
          <w:i/>
        </w:rPr>
        <w:t>sau</w:t>
      </w:r>
      <w:r w:rsidR="00A623F0" w:rsidRPr="00364400">
        <w:t xml:space="preserve"> </w:t>
      </w:r>
      <w:r w:rsidR="008F55A7" w:rsidRPr="00364400">
        <w:t xml:space="preserve">dėl to, </w:t>
      </w:r>
      <w:r w:rsidR="00B00CCB" w:rsidRPr="00364400">
        <w:t>jog</w:t>
      </w:r>
      <w:r w:rsidR="00785F6B" w:rsidRPr="00364400">
        <w:t xml:space="preserve"> </w:t>
      </w:r>
      <w:r w:rsidR="000418F1" w:rsidRPr="00364400">
        <w:t>nedirbantys žmonės</w:t>
      </w:r>
      <w:r w:rsidR="00B46BA4" w:rsidRPr="00364400">
        <w:t xml:space="preserve"> dažnai</w:t>
      </w:r>
      <w:r w:rsidR="000418F1" w:rsidRPr="00364400">
        <w:t xml:space="preserve"> žlunga</w:t>
      </w:r>
      <w:r w:rsidR="002B57BC" w:rsidRPr="00364400">
        <w:t xml:space="preserve"> </w:t>
      </w:r>
      <w:r w:rsidR="000418F1" w:rsidRPr="00364400">
        <w:t>kaip asmenybės</w:t>
      </w:r>
      <w:r w:rsidR="00E05708" w:rsidRPr="00364400">
        <w:t xml:space="preserve">, o </w:t>
      </w:r>
      <w:r w:rsidR="00E05708" w:rsidRPr="00364400">
        <w:rPr>
          <w:i/>
        </w:rPr>
        <w:t>visuomenei</w:t>
      </w:r>
      <w:r w:rsidR="00E05708" w:rsidRPr="00364400">
        <w:t xml:space="preserve"> – kad užkraun</w:t>
      </w:r>
      <w:r w:rsidR="00794C48" w:rsidRPr="00364400">
        <w:t>ama</w:t>
      </w:r>
      <w:r w:rsidR="00E05708" w:rsidRPr="00364400">
        <w:t xml:space="preserve"> papildom</w:t>
      </w:r>
      <w:r w:rsidR="00794C48" w:rsidRPr="00364400">
        <w:t>a</w:t>
      </w:r>
      <w:r w:rsidR="00E05708" w:rsidRPr="00364400">
        <w:t xml:space="preserve"> našt</w:t>
      </w:r>
      <w:r w:rsidR="00794C48" w:rsidRPr="00364400">
        <w:t>a</w:t>
      </w:r>
      <w:r w:rsidR="00E05708" w:rsidRPr="00364400">
        <w:t xml:space="preserve"> </w:t>
      </w:r>
      <w:r w:rsidR="002656E6" w:rsidRPr="00364400">
        <w:t>ekonomikai (Tartilas 2005).</w:t>
      </w:r>
      <w:r w:rsidR="00EB545E" w:rsidRPr="00364400">
        <w:t xml:space="preserve"> </w:t>
      </w:r>
      <w:r w:rsidR="005173E6" w:rsidRPr="00364400">
        <w:t>Reikėtų akcentuoti, jog asmenybės žlugimas nebūtinai turi būti siejamas</w:t>
      </w:r>
      <w:r w:rsidR="00441925" w:rsidRPr="00364400">
        <w:t xml:space="preserve"> su įgūdžių ir</w:t>
      </w:r>
      <w:r w:rsidR="006331FE" w:rsidRPr="00364400">
        <w:t xml:space="preserve"> žinių praradimu</w:t>
      </w:r>
      <w:r w:rsidR="004F5266" w:rsidRPr="00364400">
        <w:t xml:space="preserve"> ar</w:t>
      </w:r>
      <w:r w:rsidR="007E70E1" w:rsidRPr="00364400">
        <w:t>, dar blogiau,</w:t>
      </w:r>
      <w:r w:rsidR="00B14093" w:rsidRPr="00364400">
        <w:t xml:space="preserve"> </w:t>
      </w:r>
      <w:r w:rsidR="004F5266" w:rsidRPr="00364400">
        <w:t>degradacija</w:t>
      </w:r>
      <w:r w:rsidR="006331FE" w:rsidRPr="00364400">
        <w:t xml:space="preserve">: </w:t>
      </w:r>
      <w:r w:rsidR="007E1C14" w:rsidRPr="00364400">
        <w:t>kartais žmogiš</w:t>
      </w:r>
      <w:r w:rsidR="00A31371" w:rsidRPr="00364400">
        <w:t>kum</w:t>
      </w:r>
      <w:r w:rsidR="00A4411B" w:rsidRPr="00364400">
        <w:t>o</w:t>
      </w:r>
      <w:r w:rsidR="007E70E1" w:rsidRPr="00364400">
        <w:t xml:space="preserve"> </w:t>
      </w:r>
      <w:r w:rsidR="00A4411B" w:rsidRPr="00364400">
        <w:t xml:space="preserve">netenkama </w:t>
      </w:r>
      <w:r w:rsidR="0094233C" w:rsidRPr="00364400">
        <w:t xml:space="preserve">tiesiog </w:t>
      </w:r>
      <w:r w:rsidR="007E70E1" w:rsidRPr="00364400">
        <w:t xml:space="preserve">dėl to, jog </w:t>
      </w:r>
      <w:r w:rsidR="001B2E98" w:rsidRPr="00364400">
        <w:t xml:space="preserve">socialine gerove </w:t>
      </w:r>
      <w:r w:rsidR="007E70E1" w:rsidRPr="00364400">
        <w:t>naudojama</w:t>
      </w:r>
      <w:r w:rsidR="000568E0" w:rsidRPr="00364400">
        <w:t xml:space="preserve">si </w:t>
      </w:r>
      <w:r w:rsidR="00517718" w:rsidRPr="00364400">
        <w:t>ne</w:t>
      </w:r>
      <w:r w:rsidR="00283BA5" w:rsidRPr="00364400">
        <w:t>teisėtai</w:t>
      </w:r>
      <w:r w:rsidR="00441925" w:rsidRPr="00364400">
        <w:t xml:space="preserve"> (</w:t>
      </w:r>
      <w:proofErr w:type="spellStart"/>
      <w:r w:rsidR="00441925" w:rsidRPr="00364400">
        <w:t>Ouchi</w:t>
      </w:r>
      <w:proofErr w:type="spellEnd"/>
      <w:r w:rsidR="00441925" w:rsidRPr="00364400">
        <w:t xml:space="preserve">, </w:t>
      </w:r>
      <w:proofErr w:type="spellStart"/>
      <w:r w:rsidR="000137FB" w:rsidRPr="00364400">
        <w:t>Upadhyaya</w:t>
      </w:r>
      <w:proofErr w:type="spellEnd"/>
      <w:r w:rsidR="000137FB" w:rsidRPr="00364400">
        <w:t xml:space="preserve"> 2006)</w:t>
      </w:r>
      <w:r w:rsidR="00517718" w:rsidRPr="00364400">
        <w:t xml:space="preserve">, </w:t>
      </w:r>
      <w:r w:rsidR="0094233C" w:rsidRPr="00364400">
        <w:t>ir dėl to</w:t>
      </w:r>
      <w:r w:rsidR="00283BA5" w:rsidRPr="00364400">
        <w:t xml:space="preserve"> </w:t>
      </w:r>
      <w:r w:rsidR="00E30244" w:rsidRPr="00364400">
        <w:t>nukenčia</w:t>
      </w:r>
      <w:r w:rsidR="00942D72" w:rsidRPr="00364400">
        <w:t xml:space="preserve"> tikrieji </w:t>
      </w:r>
      <w:r w:rsidR="001B2E98" w:rsidRPr="00364400">
        <w:t>„</w:t>
      </w:r>
      <w:r w:rsidR="00942D72" w:rsidRPr="00364400">
        <w:t>neturtėliai</w:t>
      </w:r>
      <w:r w:rsidR="001B2E98" w:rsidRPr="00364400">
        <w:t>“</w:t>
      </w:r>
      <w:r w:rsidR="00E30244" w:rsidRPr="00364400">
        <w:t>. Turima mintyje tuos</w:t>
      </w:r>
      <w:r w:rsidR="00C4696B" w:rsidRPr="00364400">
        <w:t xml:space="preserve"> individus</w:t>
      </w:r>
      <w:r w:rsidR="00E30244" w:rsidRPr="00364400">
        <w:t>, kurie</w:t>
      </w:r>
      <w:r w:rsidR="007B35C0" w:rsidRPr="00364400">
        <w:t xml:space="preserve"> patenka į taip vadinamą</w:t>
      </w:r>
      <w:r w:rsidR="0094233C" w:rsidRPr="00364400">
        <w:t xml:space="preserve"> „savanoriško</w:t>
      </w:r>
      <w:r w:rsidR="00C4696B" w:rsidRPr="00364400">
        <w:t xml:space="preserve"> nedarbo</w:t>
      </w:r>
      <w:r w:rsidR="0094233C" w:rsidRPr="00364400">
        <w:t>“</w:t>
      </w:r>
      <w:r w:rsidR="00420EDE" w:rsidRPr="00364400">
        <w:t xml:space="preserve"> kategoriją</w:t>
      </w:r>
      <w:r w:rsidR="005806EA" w:rsidRPr="00364400">
        <w:t xml:space="preserve">, kuri skirta </w:t>
      </w:r>
      <w:r w:rsidR="000F00FB" w:rsidRPr="00364400">
        <w:t>tik</w:t>
      </w:r>
      <w:r w:rsidR="008E75F7" w:rsidRPr="00364400">
        <w:t xml:space="preserve"> socialinei</w:t>
      </w:r>
      <w:r w:rsidR="00C4696B" w:rsidRPr="00364400">
        <w:t xml:space="preserve"> paramai</w:t>
      </w:r>
      <w:r w:rsidR="00617AA2" w:rsidRPr="00364400">
        <w:t xml:space="preserve"> (</w:t>
      </w:r>
      <w:r w:rsidR="00C4696B" w:rsidRPr="00364400">
        <w:t>piniginei ar</w:t>
      </w:r>
      <w:r w:rsidR="00DE00CE" w:rsidRPr="00364400">
        <w:t xml:space="preserve"> natūrinei</w:t>
      </w:r>
      <w:r w:rsidR="00617AA2" w:rsidRPr="00364400">
        <w:t>),</w:t>
      </w:r>
      <w:r w:rsidR="00DE00CE" w:rsidRPr="00364400">
        <w:t xml:space="preserve"> </w:t>
      </w:r>
      <w:r w:rsidR="00B3256E" w:rsidRPr="00364400">
        <w:t>nieko bendra su sugrįžimu į darbo rinką neturinčia</w:t>
      </w:r>
      <w:r w:rsidR="00A11410" w:rsidRPr="00364400">
        <w:t>i,</w:t>
      </w:r>
      <w:r w:rsidR="00B3256E" w:rsidRPr="00364400">
        <w:t xml:space="preserve"> </w:t>
      </w:r>
      <w:r w:rsidR="009166D6" w:rsidRPr="00364400">
        <w:t>gauti</w:t>
      </w:r>
      <w:r w:rsidR="00A11410" w:rsidRPr="00364400">
        <w:t>.</w:t>
      </w:r>
    </w:p>
    <w:p w:rsidR="00C96556" w:rsidRPr="00364400" w:rsidRDefault="00942D72" w:rsidP="002600B5">
      <w:r w:rsidRPr="00364400">
        <w:t xml:space="preserve">Taigi, </w:t>
      </w:r>
      <w:r w:rsidR="00AC144F" w:rsidRPr="00364400">
        <w:t>kalbant apie racionalią elgseną</w:t>
      </w:r>
      <w:r w:rsidR="00D94BD5" w:rsidRPr="00364400">
        <w:t>, reikėtų</w:t>
      </w:r>
      <w:r w:rsidR="00677C5D" w:rsidRPr="00364400">
        <w:t xml:space="preserve"> akcentuoti</w:t>
      </w:r>
      <w:r w:rsidR="00D94BD5" w:rsidRPr="00364400">
        <w:t>, jog</w:t>
      </w:r>
      <w:r w:rsidR="005C428F" w:rsidRPr="00364400">
        <w:t xml:space="preserve"> </w:t>
      </w:r>
      <w:r w:rsidR="00610A56" w:rsidRPr="00364400">
        <w:t>žmogus tur</w:t>
      </w:r>
      <w:r w:rsidR="00677C5D" w:rsidRPr="00364400">
        <w:t>ėtų</w:t>
      </w:r>
      <w:r w:rsidR="00752652" w:rsidRPr="00364400">
        <w:t xml:space="preserve"> būti apsaugotas </w:t>
      </w:r>
      <w:r w:rsidR="00CF3A49" w:rsidRPr="00364400">
        <w:t>tik t</w:t>
      </w:r>
      <w:r w:rsidR="00EA6979" w:rsidRPr="00364400">
        <w:t>ada</w:t>
      </w:r>
      <w:r w:rsidR="00DF6F75" w:rsidRPr="00364400">
        <w:t>, kai socialinė rizika realiai egzistuo</w:t>
      </w:r>
      <w:r w:rsidR="00617AA2" w:rsidRPr="00364400">
        <w:t>ja</w:t>
      </w:r>
      <w:r w:rsidR="00DF6F75" w:rsidRPr="00364400">
        <w:t xml:space="preserve">. Kadangi </w:t>
      </w:r>
      <w:r w:rsidR="003D3D5C" w:rsidRPr="00364400">
        <w:t xml:space="preserve">ši </w:t>
      </w:r>
      <w:r w:rsidR="00DF6F75" w:rsidRPr="00364400">
        <w:t xml:space="preserve">rizika </w:t>
      </w:r>
      <w:r w:rsidR="00E174C0" w:rsidRPr="00364400">
        <w:t>pripažįstama kaip tokia</w:t>
      </w:r>
      <w:r w:rsidR="00A35ED3" w:rsidRPr="00364400">
        <w:t>,</w:t>
      </w:r>
      <w:r w:rsidR="00C045E3" w:rsidRPr="00364400">
        <w:t xml:space="preserve"> kai ji</w:t>
      </w:r>
      <w:r w:rsidR="001E607F" w:rsidRPr="00364400">
        <w:t>:</w:t>
      </w:r>
      <w:r w:rsidR="00C045E3" w:rsidRPr="00364400">
        <w:t xml:space="preserve"> </w:t>
      </w:r>
      <w:r w:rsidR="001E607F" w:rsidRPr="00364400">
        <w:t>1) </w:t>
      </w:r>
      <w:r w:rsidR="00C045E3" w:rsidRPr="00364400">
        <w:t xml:space="preserve">yra </w:t>
      </w:r>
      <w:r w:rsidR="00C045E3" w:rsidRPr="00364400">
        <w:rPr>
          <w:i/>
        </w:rPr>
        <w:t>reikšminga</w:t>
      </w:r>
      <w:r w:rsidR="00C045E3" w:rsidRPr="00364400">
        <w:t xml:space="preserve"> visuomenei</w:t>
      </w:r>
      <w:r w:rsidR="001E607F" w:rsidRPr="00364400">
        <w:t>;</w:t>
      </w:r>
      <w:r w:rsidR="00C045E3" w:rsidRPr="00364400">
        <w:t xml:space="preserve"> ir </w:t>
      </w:r>
      <w:r w:rsidR="001E607F" w:rsidRPr="00364400">
        <w:t>2) </w:t>
      </w:r>
      <w:r w:rsidR="000E576A" w:rsidRPr="00364400">
        <w:t>kai individas</w:t>
      </w:r>
      <w:r w:rsidR="00C045E3" w:rsidRPr="00364400">
        <w:t xml:space="preserve"> (</w:t>
      </w:r>
      <w:r w:rsidR="008C5710" w:rsidRPr="00364400">
        <w:t xml:space="preserve">ar </w:t>
      </w:r>
      <w:r w:rsidR="000E576A" w:rsidRPr="00364400">
        <w:t>kartu su</w:t>
      </w:r>
      <w:r w:rsidR="00C045E3" w:rsidRPr="00364400">
        <w:t xml:space="preserve"> šeima) </w:t>
      </w:r>
      <w:r w:rsidR="006B2EEE" w:rsidRPr="00364400">
        <w:rPr>
          <w:i/>
        </w:rPr>
        <w:t xml:space="preserve">savarankiškai </w:t>
      </w:r>
      <w:r w:rsidR="00C045E3" w:rsidRPr="00364400">
        <w:rPr>
          <w:i/>
        </w:rPr>
        <w:t xml:space="preserve">negali </w:t>
      </w:r>
      <w:r w:rsidR="006B2EEE" w:rsidRPr="00364400">
        <w:rPr>
          <w:i/>
        </w:rPr>
        <w:t xml:space="preserve">jos </w:t>
      </w:r>
      <w:r w:rsidR="006E2D7D" w:rsidRPr="00364400">
        <w:rPr>
          <w:i/>
        </w:rPr>
        <w:t>įveikti</w:t>
      </w:r>
      <w:r w:rsidR="00766921" w:rsidRPr="00364400">
        <w:t xml:space="preserve"> (Guogis 2008)</w:t>
      </w:r>
      <w:r w:rsidR="00013CD9" w:rsidRPr="00364400">
        <w:t>, darytina prielaida, jog</w:t>
      </w:r>
      <w:r w:rsidR="007F7224" w:rsidRPr="00364400">
        <w:t xml:space="preserve"> iki tol, kol </w:t>
      </w:r>
      <w:r w:rsidR="007F7224" w:rsidRPr="00364400">
        <w:rPr>
          <w:i/>
        </w:rPr>
        <w:t>potencialus</w:t>
      </w:r>
      <w:r w:rsidR="007F7224" w:rsidRPr="00364400">
        <w:t xml:space="preserve"> pavojus </w:t>
      </w:r>
      <w:r w:rsidR="005A281F" w:rsidRPr="00364400">
        <w:t xml:space="preserve">tampa </w:t>
      </w:r>
      <w:r w:rsidR="007F7224" w:rsidRPr="00364400">
        <w:rPr>
          <w:i/>
        </w:rPr>
        <w:t>realiu</w:t>
      </w:r>
      <w:r w:rsidR="007F7224" w:rsidRPr="00364400">
        <w:t xml:space="preserve"> pavojumi, </w:t>
      </w:r>
      <w:r w:rsidR="005A281F" w:rsidRPr="00364400">
        <w:t xml:space="preserve">reikia </w:t>
      </w:r>
      <w:r w:rsidR="00586FC8" w:rsidRPr="00364400">
        <w:t>įdėti v</w:t>
      </w:r>
      <w:r w:rsidR="00B85768" w:rsidRPr="00364400">
        <w:t>isas pastangas, kad taip neįvyk</w:t>
      </w:r>
      <w:r w:rsidR="00586FC8" w:rsidRPr="00364400">
        <w:t>tų</w:t>
      </w:r>
      <w:r w:rsidR="00043209" w:rsidRPr="00364400">
        <w:t xml:space="preserve">. </w:t>
      </w:r>
      <w:r w:rsidR="00A6731F" w:rsidRPr="00364400">
        <w:t>Be to, p</w:t>
      </w:r>
      <w:r w:rsidR="00252D8A" w:rsidRPr="00364400">
        <w:t>astangos netur</w:t>
      </w:r>
      <w:r w:rsidR="00211CA2" w:rsidRPr="00364400">
        <w:t>ėtų</w:t>
      </w:r>
      <w:r w:rsidR="00043209" w:rsidRPr="00364400">
        <w:t xml:space="preserve"> nutrūkti</w:t>
      </w:r>
      <w:r w:rsidR="00A6731F" w:rsidRPr="00364400">
        <w:t xml:space="preserve">, ir </w:t>
      </w:r>
      <w:r w:rsidR="008B50AC" w:rsidRPr="00364400">
        <w:t xml:space="preserve">su </w:t>
      </w:r>
      <w:r w:rsidR="00334796" w:rsidRPr="00364400">
        <w:t xml:space="preserve">rizika </w:t>
      </w:r>
      <w:r w:rsidR="00D879B7" w:rsidRPr="00364400">
        <w:t>susidūrus</w:t>
      </w:r>
      <w:r w:rsidR="008B50AC" w:rsidRPr="00364400">
        <w:t xml:space="preserve">: bedarbis traktuojamas kaip </w:t>
      </w:r>
      <w:r w:rsidR="008B50AC" w:rsidRPr="00364400">
        <w:rPr>
          <w:i/>
        </w:rPr>
        <w:t>ieškantis darbo</w:t>
      </w:r>
      <w:r w:rsidR="008B50AC" w:rsidRPr="00364400">
        <w:t xml:space="preserve"> ir </w:t>
      </w:r>
      <w:r w:rsidR="008B50AC" w:rsidRPr="00364400">
        <w:rPr>
          <w:i/>
        </w:rPr>
        <w:t xml:space="preserve">pasirengęs </w:t>
      </w:r>
      <w:r w:rsidR="00661325" w:rsidRPr="00364400">
        <w:rPr>
          <w:i/>
        </w:rPr>
        <w:t>dalyvauti</w:t>
      </w:r>
      <w:r w:rsidR="00661325" w:rsidRPr="00364400">
        <w:t xml:space="preserve"> aktyvios</w:t>
      </w:r>
      <w:r w:rsidR="008B50AC" w:rsidRPr="00364400">
        <w:t xml:space="preserve"> </w:t>
      </w:r>
      <w:r w:rsidR="00661325" w:rsidRPr="00364400">
        <w:t>dar</w:t>
      </w:r>
      <w:r w:rsidR="00D84413" w:rsidRPr="00364400">
        <w:t>bo rinkos politikos priemonėse (o socialinės paramos gavėjas –</w:t>
      </w:r>
      <w:r w:rsidR="00330F7E" w:rsidRPr="00364400">
        <w:t xml:space="preserve">visuomenei naudingoje veikloje), </w:t>
      </w:r>
      <w:r w:rsidR="00245F00" w:rsidRPr="00364400">
        <w:t>todėl racional</w:t>
      </w:r>
      <w:r w:rsidR="004D3347" w:rsidRPr="00364400">
        <w:t xml:space="preserve">us žmogus </w:t>
      </w:r>
      <w:r w:rsidR="00211CA2" w:rsidRPr="00364400">
        <w:t xml:space="preserve">turėtų </w:t>
      </w:r>
      <w:r w:rsidR="0032711F" w:rsidRPr="00364400">
        <w:t xml:space="preserve">įgyvendinti </w:t>
      </w:r>
      <w:r w:rsidR="00F1021C" w:rsidRPr="00364400">
        <w:t xml:space="preserve">visas </w:t>
      </w:r>
      <w:r w:rsidR="00420B91" w:rsidRPr="00364400">
        <w:t xml:space="preserve">jam priskirtas </w:t>
      </w:r>
      <w:r w:rsidR="00610A56" w:rsidRPr="00364400">
        <w:t>pareigas</w:t>
      </w:r>
      <w:r w:rsidR="00420B91" w:rsidRPr="00364400">
        <w:t>.</w:t>
      </w:r>
    </w:p>
    <w:p w:rsidR="003871AC" w:rsidRDefault="007B31F7" w:rsidP="00404939">
      <w:pPr>
        <w:pStyle w:val="Heading3"/>
      </w:pPr>
      <w:bookmarkStart w:id="15" w:name="_Toc343636880"/>
      <w:r>
        <w:t xml:space="preserve">Pasirinkimą </w:t>
      </w:r>
      <w:r w:rsidR="009423B1">
        <w:t xml:space="preserve">pajamas formuoti </w:t>
      </w:r>
      <w:r>
        <w:t xml:space="preserve">iš </w:t>
      </w:r>
      <w:r w:rsidR="009423B1">
        <w:t xml:space="preserve">socialinės apsaugos lėšų </w:t>
      </w:r>
      <w:r w:rsidR="00FB4DE4">
        <w:t>lemiantys veiksniai</w:t>
      </w:r>
      <w:bookmarkEnd w:id="15"/>
    </w:p>
    <w:p w:rsidR="007E3B58" w:rsidRPr="00364400" w:rsidRDefault="00A8720F" w:rsidP="002600B5">
      <w:r w:rsidRPr="00364400">
        <w:t xml:space="preserve">Kalbant apie žmones, kurie </w:t>
      </w:r>
      <w:r w:rsidR="009B3CA1" w:rsidRPr="00364400">
        <w:t>pajamas formuoja</w:t>
      </w:r>
      <w:r w:rsidR="009B3CA1" w:rsidRPr="00364400">
        <w:rPr>
          <w:i/>
        </w:rPr>
        <w:t xml:space="preserve"> </w:t>
      </w:r>
      <w:r w:rsidRPr="00364400">
        <w:t xml:space="preserve">iš </w:t>
      </w:r>
      <w:r w:rsidR="002A386C" w:rsidRPr="00364400">
        <w:t>socialinės</w:t>
      </w:r>
      <w:r w:rsidR="009B3CA1" w:rsidRPr="00364400">
        <w:t xml:space="preserve"> apsaugos lėšų</w:t>
      </w:r>
      <w:r w:rsidRPr="00364400">
        <w:t>, reikėtų</w:t>
      </w:r>
      <w:r w:rsidR="00F86C7D" w:rsidRPr="00364400">
        <w:t xml:space="preserve"> pasakyti</w:t>
      </w:r>
      <w:r w:rsidRPr="00364400">
        <w:t xml:space="preserve">, jog </w:t>
      </w:r>
      <w:r w:rsidR="00B6797F" w:rsidRPr="00364400">
        <w:t>vieni</w:t>
      </w:r>
      <w:r w:rsidR="00887472" w:rsidRPr="00364400">
        <w:t xml:space="preserve"> </w:t>
      </w:r>
      <w:r w:rsidR="000A5308" w:rsidRPr="00364400">
        <w:t xml:space="preserve">jų </w:t>
      </w:r>
      <w:r w:rsidR="00461D4E" w:rsidRPr="00364400">
        <w:t>tokį gyvenimą renkasi</w:t>
      </w:r>
      <w:r w:rsidR="00734E9D" w:rsidRPr="00364400">
        <w:t xml:space="preserve"> tik dėl to</w:t>
      </w:r>
      <w:r w:rsidR="00B6797F" w:rsidRPr="00364400">
        <w:t xml:space="preserve">, </w:t>
      </w:r>
      <w:r w:rsidR="00734E9D" w:rsidRPr="00364400">
        <w:t>jog netur</w:t>
      </w:r>
      <w:r w:rsidR="00F86C7D" w:rsidRPr="00364400">
        <w:t>i kitos galimybės, tuo tarpu</w:t>
      </w:r>
      <w:r w:rsidR="00646269" w:rsidRPr="00364400">
        <w:t xml:space="preserve"> kiti –</w:t>
      </w:r>
      <w:r w:rsidR="009B3CA1" w:rsidRPr="00364400">
        <w:t xml:space="preserve"> </w:t>
      </w:r>
      <w:r w:rsidR="00144515" w:rsidRPr="00364400">
        <w:t>paskatinti įvairių</w:t>
      </w:r>
      <w:r w:rsidR="00AE3B8A" w:rsidRPr="00364400">
        <w:t xml:space="preserve"> veiksnių</w:t>
      </w:r>
      <w:r w:rsidR="007F50A5" w:rsidRPr="00364400">
        <w:t xml:space="preserve">, </w:t>
      </w:r>
      <w:r w:rsidR="00301DD8" w:rsidRPr="00364400">
        <w:t>kurie ne</w:t>
      </w:r>
      <w:r w:rsidR="00324FD8" w:rsidRPr="00364400">
        <w:t xml:space="preserve">būtinai turi būti </w:t>
      </w:r>
      <w:r w:rsidR="00301DD8" w:rsidRPr="00364400">
        <w:t>susiję</w:t>
      </w:r>
      <w:r w:rsidR="00E40E13" w:rsidRPr="00364400">
        <w:t xml:space="preserve"> su </w:t>
      </w:r>
      <w:r w:rsidR="001E78B0" w:rsidRPr="00364400">
        <w:t>jų finans</w:t>
      </w:r>
      <w:r w:rsidR="00324FD8" w:rsidRPr="00364400">
        <w:t>ais</w:t>
      </w:r>
      <w:r w:rsidR="009B3CA1" w:rsidRPr="00364400">
        <w:t>, t. y.</w:t>
      </w:r>
      <w:r w:rsidR="00BD5F6C" w:rsidRPr="00364400">
        <w:t xml:space="preserve"> </w:t>
      </w:r>
      <w:r w:rsidR="00572F08" w:rsidRPr="00364400">
        <w:t xml:space="preserve">iš </w:t>
      </w:r>
      <w:r w:rsidR="009B3CA1" w:rsidRPr="00364400">
        <w:t>godumo, egoizmo ar individualių trūkumų</w:t>
      </w:r>
      <w:r w:rsidR="0065683B" w:rsidRPr="00364400">
        <w:t xml:space="preserve"> (Keršienė 2011)</w:t>
      </w:r>
      <w:r w:rsidR="00E40E13" w:rsidRPr="00364400">
        <w:t>. Taigi atsiranda poreikis susk</w:t>
      </w:r>
      <w:r w:rsidR="00D51854" w:rsidRPr="00364400">
        <w:t>aid</w:t>
      </w:r>
      <w:r w:rsidR="00301DD8" w:rsidRPr="00364400">
        <w:t>y</w:t>
      </w:r>
      <w:r w:rsidR="00E40E13" w:rsidRPr="00364400">
        <w:t xml:space="preserve">ti </w:t>
      </w:r>
      <w:r w:rsidR="00057B45" w:rsidRPr="00364400">
        <w:t>žmones</w:t>
      </w:r>
      <w:r w:rsidR="00A74AC8" w:rsidRPr="00364400">
        <w:t xml:space="preserve"> </w:t>
      </w:r>
      <w:r w:rsidR="00057B45" w:rsidRPr="00364400">
        <w:t xml:space="preserve">į </w:t>
      </w:r>
      <w:r w:rsidR="0083512D" w:rsidRPr="00364400">
        <w:rPr>
          <w:i/>
        </w:rPr>
        <w:t>sąlygines</w:t>
      </w:r>
      <w:r w:rsidR="0083512D" w:rsidRPr="00364400">
        <w:t xml:space="preserve"> grupes</w:t>
      </w:r>
      <w:r w:rsidR="006959C9" w:rsidRPr="00364400">
        <w:t xml:space="preserve"> ir pateikti tokio</w:t>
      </w:r>
      <w:r w:rsidR="00BB22EE" w:rsidRPr="00364400">
        <w:t xml:space="preserve"> grupavimo priežastis.</w:t>
      </w:r>
    </w:p>
    <w:p w:rsidR="00294795" w:rsidRDefault="003032C7" w:rsidP="002600B5">
      <w:r>
        <w:t xml:space="preserve">Kadangi </w:t>
      </w:r>
      <w:r w:rsidR="00A74AC8">
        <w:t xml:space="preserve">nedarbas </w:t>
      </w:r>
      <w:r>
        <w:t>o</w:t>
      </w:r>
      <w:r w:rsidR="009F6D0E">
        <w:t>ficialiojoje statistikoje</w:t>
      </w:r>
      <w:r w:rsidR="0031122D">
        <w:t xml:space="preserve"> </w:t>
      </w:r>
      <w:r w:rsidR="007E3B58">
        <w:t xml:space="preserve">yra </w:t>
      </w:r>
      <w:r w:rsidR="0031122D">
        <w:t>skirstomas</w:t>
      </w:r>
      <w:r w:rsidR="00A45F73">
        <w:t xml:space="preserve"> į ilgalaikį ir jaunimo</w:t>
      </w:r>
      <w:r w:rsidR="0016753D">
        <w:t>,</w:t>
      </w:r>
      <w:r w:rsidR="007E3B58">
        <w:t xml:space="preserve"> tokiu būdu</w:t>
      </w:r>
      <w:r w:rsidR="0004352C">
        <w:t xml:space="preserve"> </w:t>
      </w:r>
      <w:r w:rsidR="001A2774">
        <w:t>parodant, k</w:t>
      </w:r>
      <w:r w:rsidR="002E0D41">
        <w:t xml:space="preserve">iek </w:t>
      </w:r>
      <w:r w:rsidR="007E3B58">
        <w:t>komplikuot</w:t>
      </w:r>
      <w:r w:rsidR="00C03AED">
        <w:t xml:space="preserve">os </w:t>
      </w:r>
      <w:r w:rsidR="002E0D41">
        <w:t>yra</w:t>
      </w:r>
      <w:r w:rsidR="001A2774">
        <w:t xml:space="preserve"> </w:t>
      </w:r>
      <w:r w:rsidR="00ED7180">
        <w:t xml:space="preserve">nedarbo </w:t>
      </w:r>
      <w:r w:rsidR="0004352C">
        <w:t>problem</w:t>
      </w:r>
      <w:r w:rsidR="001A2774">
        <w:t>o</w:t>
      </w:r>
      <w:r w:rsidR="0004352C">
        <w:t>s</w:t>
      </w:r>
      <w:r w:rsidR="00DD1989">
        <w:t>,</w:t>
      </w:r>
      <w:r w:rsidR="0016753D">
        <w:t xml:space="preserve"> </w:t>
      </w:r>
      <w:r w:rsidR="00E10657" w:rsidRPr="00CA75B0">
        <w:rPr>
          <w:i/>
        </w:rPr>
        <w:t xml:space="preserve">gyvenimo iš </w:t>
      </w:r>
      <w:r w:rsidR="00CB35EC" w:rsidRPr="00CA75B0">
        <w:rPr>
          <w:i/>
        </w:rPr>
        <w:t xml:space="preserve">šių </w:t>
      </w:r>
      <w:r w:rsidR="00442DD4" w:rsidRPr="00CA75B0">
        <w:rPr>
          <w:i/>
        </w:rPr>
        <w:t xml:space="preserve">išmokų </w:t>
      </w:r>
      <w:r w:rsidR="00AE1CC2" w:rsidRPr="00CA75B0">
        <w:rPr>
          <w:i/>
        </w:rPr>
        <w:t>trukmė</w:t>
      </w:r>
      <w:r w:rsidR="00AE1CC2">
        <w:t xml:space="preserve"> </w:t>
      </w:r>
      <w:r w:rsidR="006A5B0F">
        <w:t xml:space="preserve">turėtų tapti </w:t>
      </w:r>
      <w:r w:rsidR="00556BFC">
        <w:t>vienu iš</w:t>
      </w:r>
      <w:r w:rsidR="003D1789">
        <w:t xml:space="preserve"> </w:t>
      </w:r>
      <w:r w:rsidR="00D25FAD">
        <w:t>požymi</w:t>
      </w:r>
      <w:r w:rsidR="0012336F">
        <w:t>ų</w:t>
      </w:r>
      <w:r w:rsidR="00D25FAD">
        <w:t>,</w:t>
      </w:r>
      <w:r w:rsidR="00C35E4D">
        <w:t xml:space="preserve"> leidžiančių atlikti klasifikavimą</w:t>
      </w:r>
      <w:r w:rsidR="00D25FAD">
        <w:t xml:space="preserve">. </w:t>
      </w:r>
      <w:r w:rsidR="0012336F">
        <w:t>Kitas</w:t>
      </w:r>
      <w:r w:rsidR="003D1789">
        <w:t xml:space="preserve"> požymis</w:t>
      </w:r>
      <w:r w:rsidR="00447DD6">
        <w:t>, mūsų</w:t>
      </w:r>
      <w:r w:rsidR="00951FC7">
        <w:t xml:space="preserve"> suvokimu</w:t>
      </w:r>
      <w:r w:rsidR="00447DD6">
        <w:t>,</w:t>
      </w:r>
      <w:r w:rsidR="00E56784">
        <w:t xml:space="preserve"> turėtų </w:t>
      </w:r>
      <w:r w:rsidR="00E96118">
        <w:t>atsk</w:t>
      </w:r>
      <w:r w:rsidR="00E56784">
        <w:t xml:space="preserve">leisti </w:t>
      </w:r>
      <w:r w:rsidR="007D22FA">
        <w:t>pasi</w:t>
      </w:r>
      <w:r w:rsidR="007C6B23">
        <w:t>rinkimo</w:t>
      </w:r>
      <w:r w:rsidR="00951FC7">
        <w:t xml:space="preserve"> priežastis</w:t>
      </w:r>
      <w:r w:rsidR="00901542">
        <w:t xml:space="preserve">, </w:t>
      </w:r>
      <w:r w:rsidR="00E56784">
        <w:t xml:space="preserve">todėl tai </w:t>
      </w:r>
      <w:r w:rsidR="006000B4">
        <w:t>galėtų būti</w:t>
      </w:r>
      <w:r w:rsidR="00133684">
        <w:t xml:space="preserve"> </w:t>
      </w:r>
      <w:r w:rsidR="009E6395" w:rsidRPr="00545C9F">
        <w:rPr>
          <w:i/>
        </w:rPr>
        <w:t>sąmoningumo</w:t>
      </w:r>
      <w:r w:rsidR="009E6395">
        <w:t>,</w:t>
      </w:r>
      <w:r w:rsidR="00B36EA9">
        <w:t xml:space="preserve"> priimant sprendimą</w:t>
      </w:r>
      <w:r w:rsidR="003C5A00">
        <w:t xml:space="preserve"> pajam</w:t>
      </w:r>
      <w:r w:rsidR="00E56784">
        <w:t>a</w:t>
      </w:r>
      <w:r w:rsidR="003C5A00">
        <w:t>s formuoti iš socialinės apsaugos lėšų</w:t>
      </w:r>
      <w:r w:rsidR="00133684">
        <w:t xml:space="preserve">, </w:t>
      </w:r>
      <w:r w:rsidR="00133684" w:rsidRPr="00545C9F">
        <w:rPr>
          <w:i/>
        </w:rPr>
        <w:t>lyg</w:t>
      </w:r>
      <w:r w:rsidR="006000B4" w:rsidRPr="00545C9F">
        <w:rPr>
          <w:i/>
        </w:rPr>
        <w:t>is</w:t>
      </w:r>
      <w:r w:rsidR="00B36EA9">
        <w:t>.</w:t>
      </w:r>
    </w:p>
    <w:p w:rsidR="0087265D" w:rsidRPr="00364400" w:rsidRDefault="00CD71DC" w:rsidP="00CD71DC">
      <w:r w:rsidRPr="00364400">
        <w:lastRenderedPageBreak/>
        <w:t xml:space="preserve">Nagrinėjant finansinės elgsenos turinį, </w:t>
      </w:r>
      <w:r w:rsidR="008152EE" w:rsidRPr="00364400">
        <w:t>buvo p</w:t>
      </w:r>
      <w:r w:rsidR="00A252D6" w:rsidRPr="00364400">
        <w:t>rieita prie išvados</w:t>
      </w:r>
      <w:r w:rsidR="007D2F65" w:rsidRPr="00364400">
        <w:t xml:space="preserve">, jog </w:t>
      </w:r>
      <w:r w:rsidR="00A252D6" w:rsidRPr="00364400">
        <w:t xml:space="preserve">individo </w:t>
      </w:r>
      <w:r w:rsidR="007D2F65" w:rsidRPr="00364400">
        <w:t>reakcija į pakitusi</w:t>
      </w:r>
      <w:r w:rsidR="004323A9" w:rsidRPr="00364400">
        <w:t>a</w:t>
      </w:r>
      <w:r w:rsidR="007D2F65" w:rsidRPr="00364400">
        <w:t>s aplink</w:t>
      </w:r>
      <w:r w:rsidR="004323A9" w:rsidRPr="00364400">
        <w:t>ybes</w:t>
      </w:r>
      <w:r w:rsidR="0021423F" w:rsidRPr="00364400">
        <w:t xml:space="preserve"> </w:t>
      </w:r>
      <w:r w:rsidRPr="00364400">
        <w:t xml:space="preserve">gali būti </w:t>
      </w:r>
      <w:r w:rsidRPr="00364400">
        <w:rPr>
          <w:b/>
          <w:i/>
        </w:rPr>
        <w:t>sąmoninga</w:t>
      </w:r>
      <w:r w:rsidR="00F2447D" w:rsidRPr="00364400">
        <w:t>, t. y. nulemta</w:t>
      </w:r>
      <w:r w:rsidRPr="00364400">
        <w:t xml:space="preserve"> </w:t>
      </w:r>
      <w:r w:rsidR="004323A9" w:rsidRPr="00364400">
        <w:t xml:space="preserve">paties </w:t>
      </w:r>
      <w:r w:rsidRPr="00364400">
        <w:t>žmogaus</w:t>
      </w:r>
      <w:r w:rsidR="004323A9" w:rsidRPr="00364400">
        <w:t xml:space="preserve">, jam </w:t>
      </w:r>
      <w:r w:rsidR="004323A9" w:rsidRPr="00364400">
        <w:rPr>
          <w:i/>
        </w:rPr>
        <w:t>kritiškai vertinant</w:t>
      </w:r>
      <w:r w:rsidR="004A1A52" w:rsidRPr="00364400">
        <w:t xml:space="preserve"> </w:t>
      </w:r>
      <w:r w:rsidR="00CF1BD0" w:rsidRPr="00364400">
        <w:t>gyvenimo reiškinius</w:t>
      </w:r>
      <w:r w:rsidRPr="00364400">
        <w:t xml:space="preserve">, ir </w:t>
      </w:r>
      <w:r w:rsidRPr="00364400">
        <w:rPr>
          <w:b/>
          <w:i/>
        </w:rPr>
        <w:t>nesąmoninga</w:t>
      </w:r>
      <w:r w:rsidRPr="00364400">
        <w:t>, t. y</w:t>
      </w:r>
      <w:r w:rsidR="00CF1BD0" w:rsidRPr="00364400">
        <w:t xml:space="preserve">. </w:t>
      </w:r>
      <w:r w:rsidR="00360E7C" w:rsidRPr="00364400">
        <w:t>paremta</w:t>
      </w:r>
      <w:r w:rsidR="00155AAF" w:rsidRPr="00364400">
        <w:t xml:space="preserve"> </w:t>
      </w:r>
      <w:r w:rsidR="00155AAF" w:rsidRPr="00364400">
        <w:rPr>
          <w:i/>
        </w:rPr>
        <w:t>emocij</w:t>
      </w:r>
      <w:r w:rsidR="00360E7C" w:rsidRPr="00364400">
        <w:rPr>
          <w:i/>
        </w:rPr>
        <w:t>omis</w:t>
      </w:r>
      <w:r w:rsidR="00227884" w:rsidRPr="00364400">
        <w:t>,</w:t>
      </w:r>
      <w:r w:rsidR="00C0788B" w:rsidRPr="00364400">
        <w:t xml:space="preserve"> </w:t>
      </w:r>
      <w:r w:rsidR="00013FFB" w:rsidRPr="00364400">
        <w:t>kurios</w:t>
      </w:r>
      <w:r w:rsidR="00360E7C" w:rsidRPr="00364400">
        <w:t xml:space="preserve"> atsiranda</w:t>
      </w:r>
      <w:r w:rsidR="00013FFB" w:rsidRPr="00364400">
        <w:t xml:space="preserve">, </w:t>
      </w:r>
      <w:r w:rsidR="00795DED" w:rsidRPr="00364400">
        <w:t>aplankius</w:t>
      </w:r>
      <w:r w:rsidR="00013FFB" w:rsidRPr="00364400">
        <w:t xml:space="preserve"> </w:t>
      </w:r>
      <w:r w:rsidR="00B5426E" w:rsidRPr="00364400">
        <w:t xml:space="preserve">netikrumo </w:t>
      </w:r>
      <w:r w:rsidR="00FC1C79" w:rsidRPr="00364400">
        <w:t xml:space="preserve">jausmui </w:t>
      </w:r>
      <w:r w:rsidR="00B5426E" w:rsidRPr="00364400">
        <w:t xml:space="preserve">ar </w:t>
      </w:r>
      <w:r w:rsidR="00013FFB" w:rsidRPr="00364400">
        <w:t xml:space="preserve">nežinomybės </w:t>
      </w:r>
      <w:r w:rsidR="00194898" w:rsidRPr="00364400">
        <w:t>būsen</w:t>
      </w:r>
      <w:r w:rsidR="00FF4DE1" w:rsidRPr="00364400">
        <w:t>ai</w:t>
      </w:r>
      <w:r w:rsidR="00C77091" w:rsidRPr="00364400">
        <w:t xml:space="preserve"> (</w:t>
      </w:r>
      <w:proofErr w:type="spellStart"/>
      <w:r w:rsidR="00C77091" w:rsidRPr="00364400">
        <w:t>Jordan</w:t>
      </w:r>
      <w:proofErr w:type="spellEnd"/>
      <w:r w:rsidR="00C77091" w:rsidRPr="00364400">
        <w:t xml:space="preserve">, </w:t>
      </w:r>
      <w:proofErr w:type="spellStart"/>
      <w:r w:rsidR="00C77091" w:rsidRPr="00364400">
        <w:t>Lennick</w:t>
      </w:r>
      <w:proofErr w:type="spellEnd"/>
      <w:r w:rsidR="00C77091" w:rsidRPr="00364400">
        <w:t xml:space="preserve"> 2010). </w:t>
      </w:r>
      <w:r w:rsidR="00CC07BC" w:rsidRPr="00364400">
        <w:t>Vadovaujantis šiuo susitarimu, s</w:t>
      </w:r>
      <w:r w:rsidRPr="00364400">
        <w:t xml:space="preserve">ituaciją, kai </w:t>
      </w:r>
      <w:r w:rsidR="00CD536C" w:rsidRPr="00364400">
        <w:t>nedarbo soc</w:t>
      </w:r>
      <w:r w:rsidR="00785DCE" w:rsidRPr="00364400">
        <w:t>ia</w:t>
      </w:r>
      <w:r w:rsidR="00CD536C" w:rsidRPr="00364400">
        <w:t>linio draudimo išmok</w:t>
      </w:r>
      <w:r w:rsidR="00D75061" w:rsidRPr="00364400">
        <w:t>omis</w:t>
      </w:r>
      <w:r w:rsidR="00CD536C" w:rsidRPr="00364400">
        <w:t xml:space="preserve"> </w:t>
      </w:r>
      <w:r w:rsidR="00CF3048" w:rsidRPr="00364400">
        <w:t>ir</w:t>
      </w:r>
      <w:r w:rsidR="00090970" w:rsidRPr="00364400">
        <w:t> / ar</w:t>
      </w:r>
      <w:r w:rsidR="00E77AD6" w:rsidRPr="00364400">
        <w:t xml:space="preserve"> </w:t>
      </w:r>
      <w:r w:rsidR="00CD536C" w:rsidRPr="00364400">
        <w:t xml:space="preserve">socialine parama </w:t>
      </w:r>
      <w:r w:rsidR="00CF3048" w:rsidRPr="00364400">
        <w:t>pasi</w:t>
      </w:r>
      <w:r w:rsidR="001D4244" w:rsidRPr="00364400">
        <w:t>naudojam</w:t>
      </w:r>
      <w:r w:rsidR="00CF3048" w:rsidRPr="00364400">
        <w:t>a</w:t>
      </w:r>
      <w:r w:rsidR="00ED5D6F" w:rsidRPr="00364400">
        <w:t xml:space="preserve"> ne</w:t>
      </w:r>
      <w:r w:rsidR="00CF3048" w:rsidRPr="00364400">
        <w:t xml:space="preserve"> visai </w:t>
      </w:r>
      <w:r w:rsidRPr="00364400">
        <w:t xml:space="preserve">pagrįstai ar teisėtai, </w:t>
      </w:r>
      <w:r w:rsidR="001D4244" w:rsidRPr="00364400">
        <w:t xml:space="preserve">tikslinga būtų </w:t>
      </w:r>
      <w:r w:rsidR="00083660" w:rsidRPr="00364400">
        <w:t>pa</w:t>
      </w:r>
      <w:r w:rsidRPr="00364400">
        <w:t xml:space="preserve">vadinti </w:t>
      </w:r>
      <w:r w:rsidR="00A57BC4" w:rsidRPr="00364400">
        <w:t>sąmoningu</w:t>
      </w:r>
      <w:r w:rsidR="00DD470E" w:rsidRPr="00364400">
        <w:t>,</w:t>
      </w:r>
      <w:r w:rsidR="00784E14" w:rsidRPr="00364400">
        <w:t xml:space="preserve"> </w:t>
      </w:r>
      <w:r w:rsidR="00A57BC4" w:rsidRPr="00364400">
        <w:t>ar</w:t>
      </w:r>
      <w:r w:rsidR="00784E14" w:rsidRPr="00364400">
        <w:t>ba</w:t>
      </w:r>
      <w:r w:rsidR="00A57BC4" w:rsidRPr="00364400">
        <w:t xml:space="preserve"> tyčiniu</w:t>
      </w:r>
      <w:r w:rsidR="00DD470E" w:rsidRPr="00364400">
        <w:t>,</w:t>
      </w:r>
      <w:r w:rsidR="00090970" w:rsidRPr="00364400">
        <w:t xml:space="preserve"> </w:t>
      </w:r>
      <w:r w:rsidR="00F76715" w:rsidRPr="00364400">
        <w:t>pasirinkimu;</w:t>
      </w:r>
      <w:r w:rsidRPr="00364400">
        <w:t xml:space="preserve"> tu</w:t>
      </w:r>
      <w:r w:rsidR="00F76715" w:rsidRPr="00364400">
        <w:t xml:space="preserve">o tarpu pasirinkimą, nulemtą </w:t>
      </w:r>
      <w:r w:rsidR="00E803CB" w:rsidRPr="00364400">
        <w:t xml:space="preserve">neigiamų </w:t>
      </w:r>
      <w:r w:rsidR="00A57BC4" w:rsidRPr="00364400">
        <w:t xml:space="preserve">šalies </w:t>
      </w:r>
      <w:r w:rsidR="00E803CB" w:rsidRPr="00364400">
        <w:t>ekonominių pokyčių</w:t>
      </w:r>
      <w:r w:rsidR="00B01965" w:rsidRPr="00364400">
        <w:t xml:space="preserve"> (emocijų atvejis)</w:t>
      </w:r>
      <w:r w:rsidR="001B2897" w:rsidRPr="00364400">
        <w:t>,</w:t>
      </w:r>
      <w:r w:rsidR="00E803CB" w:rsidRPr="00364400">
        <w:t xml:space="preserve"> </w:t>
      </w:r>
      <w:r w:rsidR="00CA7795" w:rsidRPr="00364400">
        <w:t xml:space="preserve">– </w:t>
      </w:r>
      <w:r w:rsidR="00DD470E" w:rsidRPr="00364400">
        <w:t>nesąmoningu, nes kitomis sąlygomi</w:t>
      </w:r>
      <w:r w:rsidRPr="00364400">
        <w:t xml:space="preserve">s </w:t>
      </w:r>
      <w:r w:rsidR="00E8029B" w:rsidRPr="00364400">
        <w:t xml:space="preserve">toks sprendimas </w:t>
      </w:r>
      <w:r w:rsidRPr="00364400">
        <w:t>n</w:t>
      </w:r>
      <w:r w:rsidR="008216D6" w:rsidRPr="00364400">
        <w:t>ebūtų priimtas</w:t>
      </w:r>
      <w:r w:rsidR="001A3A28" w:rsidRPr="00364400">
        <w:t>. T</w:t>
      </w:r>
      <w:r w:rsidRPr="00364400">
        <w:t>aigi</w:t>
      </w:r>
      <w:r w:rsidR="007E6ADD" w:rsidRPr="00364400">
        <w:t>,</w:t>
      </w:r>
      <w:r w:rsidRPr="00364400">
        <w:t xml:space="preserve"> </w:t>
      </w:r>
      <w:r w:rsidR="00FB6ABC" w:rsidRPr="00364400">
        <w:t>nedarbo draudimo išmokų</w:t>
      </w:r>
      <w:r w:rsidRPr="00364400">
        <w:t xml:space="preserve"> </w:t>
      </w:r>
      <w:r w:rsidR="00FB6ABC" w:rsidRPr="00364400">
        <w:t xml:space="preserve">bei socialinės paramos </w:t>
      </w:r>
      <w:r w:rsidR="00796668" w:rsidRPr="00364400">
        <w:t>gavėjus pagal šį požymį</w:t>
      </w:r>
      <w:r w:rsidR="0073477F" w:rsidRPr="00364400">
        <w:t xml:space="preserve"> </w:t>
      </w:r>
      <w:r w:rsidR="004506D8" w:rsidRPr="00364400">
        <w:t xml:space="preserve">būtų </w:t>
      </w:r>
      <w:r w:rsidR="0073477F" w:rsidRPr="00364400">
        <w:t xml:space="preserve">galima </w:t>
      </w:r>
      <w:r w:rsidR="007D1CBF" w:rsidRPr="00364400">
        <w:t>s</w:t>
      </w:r>
      <w:r w:rsidR="004506D8" w:rsidRPr="00364400">
        <w:t>us</w:t>
      </w:r>
      <w:r w:rsidR="003763CC" w:rsidRPr="00364400">
        <w:t>kirstyti į dvi grupes.</w:t>
      </w:r>
    </w:p>
    <w:p w:rsidR="0028104F" w:rsidRPr="00364400" w:rsidRDefault="00CD71DC" w:rsidP="001265E7">
      <w:r w:rsidRPr="00364400">
        <w:t>Der</w:t>
      </w:r>
      <w:r w:rsidR="00B87248" w:rsidRPr="00364400">
        <w:t xml:space="preserve">ėtų priminti, jog elgseną, </w:t>
      </w:r>
      <w:r w:rsidRPr="00364400">
        <w:t>pasireiškia</w:t>
      </w:r>
      <w:r w:rsidR="00B87248" w:rsidRPr="00364400">
        <w:t>nčią</w:t>
      </w:r>
      <w:r w:rsidR="00DD70DA" w:rsidRPr="00364400">
        <w:t xml:space="preserve"> </w:t>
      </w:r>
      <w:r w:rsidRPr="00364400">
        <w:rPr>
          <w:i/>
        </w:rPr>
        <w:t>emocinio šoko</w:t>
      </w:r>
      <w:r w:rsidRPr="00364400">
        <w:t xml:space="preserve"> metu, </w:t>
      </w:r>
      <w:r w:rsidR="0087265D" w:rsidRPr="00364400">
        <w:t xml:space="preserve">buvo </w:t>
      </w:r>
      <w:r w:rsidR="005C3ACC" w:rsidRPr="00364400">
        <w:t xml:space="preserve">nuspręsta </w:t>
      </w:r>
      <w:r w:rsidRPr="00364400">
        <w:t>laikyti nefinansine</w:t>
      </w:r>
      <w:r w:rsidR="00297534" w:rsidRPr="00364400">
        <w:t xml:space="preserve">, </w:t>
      </w:r>
      <w:r w:rsidR="00B66CD9" w:rsidRPr="00364400">
        <w:t>dėl</w:t>
      </w:r>
      <w:r w:rsidR="00357AFA" w:rsidRPr="00364400">
        <w:t xml:space="preserve"> to</w:t>
      </w:r>
      <w:r w:rsidR="005D171D" w:rsidRPr="00364400">
        <w:t>,</w:t>
      </w:r>
      <w:r w:rsidR="003B7D1E" w:rsidRPr="00364400">
        <w:t xml:space="preserve"> </w:t>
      </w:r>
      <w:r w:rsidR="00686DCE" w:rsidRPr="00364400">
        <w:t>manytume</w:t>
      </w:r>
      <w:r w:rsidR="002E388B" w:rsidRPr="00364400">
        <w:t>,</w:t>
      </w:r>
      <w:r w:rsidR="00686DCE" w:rsidRPr="00364400">
        <w:t xml:space="preserve"> </w:t>
      </w:r>
      <w:r w:rsidR="00CF760C" w:rsidRPr="00364400">
        <w:t>jog</w:t>
      </w:r>
      <w:r w:rsidR="002E388B" w:rsidRPr="00364400">
        <w:t xml:space="preserve"> </w:t>
      </w:r>
      <w:r w:rsidR="009D47DB" w:rsidRPr="00364400">
        <w:t>asociali</w:t>
      </w:r>
      <w:r w:rsidR="00E64AF5" w:rsidRPr="00364400">
        <w:t>ų</w:t>
      </w:r>
      <w:r w:rsidR="009D47DB" w:rsidRPr="00364400">
        <w:t xml:space="preserve"> žmon</w:t>
      </w:r>
      <w:r w:rsidR="00E64AF5" w:rsidRPr="00364400">
        <w:t>ių</w:t>
      </w:r>
      <w:r w:rsidR="009D47DB" w:rsidRPr="00364400">
        <w:t xml:space="preserve">, kurie </w:t>
      </w:r>
      <w:r w:rsidR="003B7D1E" w:rsidRPr="00364400">
        <w:t xml:space="preserve">socialinę paramą </w:t>
      </w:r>
      <w:r w:rsidR="00295E58" w:rsidRPr="00364400">
        <w:t xml:space="preserve">gauna </w:t>
      </w:r>
      <w:r w:rsidR="00C52870" w:rsidRPr="00364400">
        <w:t xml:space="preserve">tik </w:t>
      </w:r>
      <w:r w:rsidR="003B7D1E" w:rsidRPr="00364400">
        <w:t xml:space="preserve">dėl to, jog </w:t>
      </w:r>
      <w:r w:rsidR="00686DCE" w:rsidRPr="00364400">
        <w:t xml:space="preserve">gyvena didelio </w:t>
      </w:r>
      <w:r w:rsidR="009D47DB" w:rsidRPr="00364400">
        <w:t>skurd</w:t>
      </w:r>
      <w:r w:rsidR="00686DCE" w:rsidRPr="00364400">
        <w:t>o sąlygomis</w:t>
      </w:r>
      <w:r w:rsidR="00DD70DA" w:rsidRPr="00364400">
        <w:t xml:space="preserve">, </w:t>
      </w:r>
      <w:r w:rsidR="00DA7284" w:rsidRPr="00364400">
        <w:t>ne</w:t>
      </w:r>
      <w:r w:rsidR="00D61256" w:rsidRPr="00364400">
        <w:t>reikė</w:t>
      </w:r>
      <w:r w:rsidR="00DA7284" w:rsidRPr="00364400">
        <w:t xml:space="preserve">tų įtraukti </w:t>
      </w:r>
      <w:r w:rsidR="003E2780" w:rsidRPr="00364400">
        <w:t xml:space="preserve">į grupavimą, </w:t>
      </w:r>
      <w:r w:rsidR="00B66CD9" w:rsidRPr="00364400">
        <w:t xml:space="preserve">nes jų </w:t>
      </w:r>
      <w:r w:rsidR="00A4409E" w:rsidRPr="00364400">
        <w:t>sprendimai</w:t>
      </w:r>
      <w:r w:rsidR="0095468B" w:rsidRPr="00364400">
        <w:t>,</w:t>
      </w:r>
      <w:r w:rsidR="005132ED" w:rsidRPr="00364400">
        <w:t xml:space="preserve"> – </w:t>
      </w:r>
      <w:r w:rsidR="001A3A28" w:rsidRPr="00364400">
        <w:rPr>
          <w:i/>
        </w:rPr>
        <w:t>kaip ir emocinio šoko</w:t>
      </w:r>
      <w:r w:rsidR="00B66CD9" w:rsidRPr="00364400">
        <w:rPr>
          <w:i/>
        </w:rPr>
        <w:t xml:space="preserve"> atvej</w:t>
      </w:r>
      <w:r w:rsidR="00357AFA" w:rsidRPr="00364400">
        <w:rPr>
          <w:i/>
        </w:rPr>
        <w:t>u</w:t>
      </w:r>
      <w:r w:rsidR="0095468B" w:rsidRPr="00364400">
        <w:t>,</w:t>
      </w:r>
      <w:r w:rsidR="005132ED" w:rsidRPr="00364400">
        <w:t xml:space="preserve"> –</w:t>
      </w:r>
      <w:r w:rsidR="0095468B" w:rsidRPr="00364400">
        <w:t xml:space="preserve"> </w:t>
      </w:r>
      <w:r w:rsidR="00F36758" w:rsidRPr="00364400">
        <w:t>priimami</w:t>
      </w:r>
      <w:r w:rsidR="00B64637" w:rsidRPr="00364400">
        <w:t xml:space="preserve"> </w:t>
      </w:r>
      <w:r w:rsidR="00A4409E" w:rsidRPr="00364400">
        <w:rPr>
          <w:i/>
        </w:rPr>
        <w:t>nevalingai</w:t>
      </w:r>
      <w:r w:rsidR="00995B1C" w:rsidRPr="00364400">
        <w:t xml:space="preserve">, </w:t>
      </w:r>
      <w:r w:rsidR="00527007" w:rsidRPr="00364400">
        <w:t>t. y.</w:t>
      </w:r>
      <w:r w:rsidR="00256B4F" w:rsidRPr="00364400">
        <w:t xml:space="preserve"> problem</w:t>
      </w:r>
      <w:r w:rsidR="000C5782" w:rsidRPr="00364400">
        <w:t>o</w:t>
      </w:r>
      <w:r w:rsidR="00256B4F" w:rsidRPr="00364400">
        <w:t xml:space="preserve">s </w:t>
      </w:r>
      <w:r w:rsidR="00F36758" w:rsidRPr="00364400">
        <w:t xml:space="preserve">yra </w:t>
      </w:r>
      <w:r w:rsidR="00256B4F" w:rsidRPr="00364400">
        <w:t>sprendžia</w:t>
      </w:r>
      <w:r w:rsidR="000C5782" w:rsidRPr="00364400">
        <w:t>mos</w:t>
      </w:r>
      <w:r w:rsidR="00256B4F" w:rsidRPr="00364400">
        <w:t xml:space="preserve"> ne jų pačių, </w:t>
      </w:r>
      <w:r w:rsidR="004901F9" w:rsidRPr="00364400">
        <w:t>darant geresnius pasirinkimus</w:t>
      </w:r>
      <w:r w:rsidR="0003766C" w:rsidRPr="00364400">
        <w:t xml:space="preserve"> (Keršienė 2011)</w:t>
      </w:r>
      <w:r w:rsidR="004901F9" w:rsidRPr="00364400">
        <w:t xml:space="preserve">, </w:t>
      </w:r>
      <w:r w:rsidR="00B64637" w:rsidRPr="00364400">
        <w:t xml:space="preserve">o </w:t>
      </w:r>
      <w:r w:rsidR="00FA7D8E" w:rsidRPr="00364400">
        <w:t xml:space="preserve">būtent </w:t>
      </w:r>
      <w:r w:rsidR="001E0850" w:rsidRPr="00364400">
        <w:t xml:space="preserve">likusių visuomenės narių </w:t>
      </w:r>
      <w:r w:rsidR="00811988" w:rsidRPr="00364400">
        <w:t>pastangomis</w:t>
      </w:r>
      <w:r w:rsidR="0003766C" w:rsidRPr="00364400">
        <w:t>.</w:t>
      </w:r>
      <w:r w:rsidR="00026C48" w:rsidRPr="00364400">
        <w:t xml:space="preserve"> </w:t>
      </w:r>
      <w:r w:rsidR="008267B8" w:rsidRPr="00364400">
        <w:t>Visus kitus asmenis</w:t>
      </w:r>
      <w:r w:rsidR="004647F8" w:rsidRPr="00364400">
        <w:t>, kurių</w:t>
      </w:r>
      <w:r w:rsidR="00196236" w:rsidRPr="00364400">
        <w:t xml:space="preserve"> svarbiausioji</w:t>
      </w:r>
      <w:r w:rsidR="004647F8" w:rsidRPr="00364400">
        <w:t xml:space="preserve"> smegenų dalis, „atsakinga“ už racionalų</w:t>
      </w:r>
      <w:r w:rsidR="00C34CCC" w:rsidRPr="00364400">
        <w:t xml:space="preserve"> mąstymą,</w:t>
      </w:r>
      <w:r w:rsidR="00D17107" w:rsidRPr="00364400">
        <w:t xml:space="preserve"> funkcionuoti</w:t>
      </w:r>
      <w:r w:rsidR="00362086" w:rsidRPr="00364400">
        <w:t xml:space="preserve"> gali</w:t>
      </w:r>
      <w:r w:rsidR="00D17107" w:rsidRPr="00364400">
        <w:t xml:space="preserve">, netgi </w:t>
      </w:r>
      <w:r w:rsidR="00F36758" w:rsidRPr="00364400">
        <w:t xml:space="preserve">reiškiantis </w:t>
      </w:r>
      <w:r w:rsidR="00D17107" w:rsidRPr="00364400">
        <w:t>emocijoms</w:t>
      </w:r>
      <w:r w:rsidR="007E5B55" w:rsidRPr="00364400">
        <w:t xml:space="preserve"> (</w:t>
      </w:r>
      <w:proofErr w:type="spellStart"/>
      <w:r w:rsidR="007E5B55" w:rsidRPr="00364400">
        <w:t>Jordan</w:t>
      </w:r>
      <w:proofErr w:type="spellEnd"/>
      <w:r w:rsidR="007E5B55" w:rsidRPr="00364400">
        <w:t xml:space="preserve">, </w:t>
      </w:r>
      <w:proofErr w:type="spellStart"/>
      <w:r w:rsidR="007E5B55" w:rsidRPr="00364400">
        <w:t>Lennick</w:t>
      </w:r>
      <w:proofErr w:type="spellEnd"/>
      <w:r w:rsidR="007E5B55" w:rsidRPr="00364400">
        <w:t xml:space="preserve"> 2010)</w:t>
      </w:r>
      <w:r w:rsidR="00D17107" w:rsidRPr="00364400">
        <w:t xml:space="preserve">, </w:t>
      </w:r>
      <w:r w:rsidR="00362086" w:rsidRPr="00364400">
        <w:t>reikėt</w:t>
      </w:r>
      <w:r w:rsidR="00D17107" w:rsidRPr="00364400">
        <w:t xml:space="preserve">ų </w:t>
      </w:r>
      <w:r w:rsidR="001513D2" w:rsidRPr="00364400">
        <w:t>su</w:t>
      </w:r>
      <w:r w:rsidR="007E5B55" w:rsidRPr="00364400">
        <w:t xml:space="preserve">skirstyti </w:t>
      </w:r>
      <w:r w:rsidR="00362086" w:rsidRPr="00364400">
        <w:t>pagal tai, kokiam laik</w:t>
      </w:r>
      <w:r w:rsidR="003C7978" w:rsidRPr="00364400">
        <w:t>otarpi</w:t>
      </w:r>
      <w:r w:rsidR="001265E7" w:rsidRPr="00364400">
        <w:t>ui</w:t>
      </w:r>
      <w:r w:rsidR="0095468B" w:rsidRPr="00364400">
        <w:t>,</w:t>
      </w:r>
      <w:r w:rsidR="001265E7" w:rsidRPr="00364400">
        <w:t xml:space="preserve"> </w:t>
      </w:r>
      <w:r w:rsidR="00441893" w:rsidRPr="00364400">
        <w:t xml:space="preserve">– </w:t>
      </w:r>
      <w:r w:rsidR="00441893" w:rsidRPr="00364400">
        <w:rPr>
          <w:i/>
        </w:rPr>
        <w:t>trumpalaikiam ar ilgalaikiam</w:t>
      </w:r>
      <w:r w:rsidR="0095468B" w:rsidRPr="00364400">
        <w:t>,</w:t>
      </w:r>
      <w:r w:rsidR="00441893" w:rsidRPr="00364400">
        <w:t xml:space="preserve"> – jie </w:t>
      </w:r>
      <w:r w:rsidR="00442D29" w:rsidRPr="00364400">
        <w:t>priima sprendimą</w:t>
      </w:r>
      <w:r w:rsidR="009E73D5" w:rsidRPr="00364400">
        <w:t xml:space="preserve"> naudotis </w:t>
      </w:r>
      <w:r w:rsidR="00395B21" w:rsidRPr="00364400">
        <w:t>nedarbo socialinio draudimo išmok</w:t>
      </w:r>
      <w:r w:rsidR="00E73B4D" w:rsidRPr="00364400">
        <w:t>omis</w:t>
      </w:r>
      <w:r w:rsidR="0028104F" w:rsidRPr="00364400">
        <w:t xml:space="preserve"> </w:t>
      </w:r>
      <w:r w:rsidR="00AA7EFA" w:rsidRPr="00364400">
        <w:t>ir / ar</w:t>
      </w:r>
      <w:r w:rsidR="00E73B4D" w:rsidRPr="00364400">
        <w:t xml:space="preserve"> įvairiomis </w:t>
      </w:r>
      <w:r w:rsidR="0028104F" w:rsidRPr="00364400">
        <w:t>socialin</w:t>
      </w:r>
      <w:r w:rsidR="00E73B4D" w:rsidRPr="00364400">
        <w:t>ės</w:t>
      </w:r>
      <w:r w:rsidR="0028104F" w:rsidRPr="00364400">
        <w:t xml:space="preserve"> param</w:t>
      </w:r>
      <w:r w:rsidR="00E73B4D" w:rsidRPr="00364400">
        <w:t>os formomis</w:t>
      </w:r>
      <w:r w:rsidR="0028104F" w:rsidRPr="00364400">
        <w:t>.</w:t>
      </w:r>
    </w:p>
    <w:p w:rsidR="001265E7" w:rsidRDefault="001265E7" w:rsidP="001265E7">
      <w:r>
        <w:t xml:space="preserve">Akivaizdu, jog valstybės atžvilgiu </w:t>
      </w:r>
      <w:r w:rsidR="008B21BB">
        <w:t xml:space="preserve">netinkamas </w:t>
      </w:r>
      <w:r>
        <w:t xml:space="preserve">turėtų būti toks sprendimas, kuris </w:t>
      </w:r>
      <w:r w:rsidR="00B351A9">
        <w:t>už</w:t>
      </w:r>
      <w:r>
        <w:t>trunka ilgiau nei</w:t>
      </w:r>
      <w:r w:rsidR="00B53BC1">
        <w:t xml:space="preserve"> </w:t>
      </w:r>
      <w:r w:rsidR="008B21BB">
        <w:t xml:space="preserve">pageidautina, t. y. </w:t>
      </w:r>
      <w:r w:rsidR="00F576C1">
        <w:t>ilgiau</w:t>
      </w:r>
      <w:r w:rsidR="009074D7">
        <w:t xml:space="preserve"> nei </w:t>
      </w:r>
      <w:r w:rsidR="004F558D">
        <w:t>nust</w:t>
      </w:r>
      <w:r w:rsidR="009074D7">
        <w:t xml:space="preserve">atyta </w:t>
      </w:r>
      <w:r w:rsidR="00134015">
        <w:t xml:space="preserve">nedarbo draudimo </w:t>
      </w:r>
      <w:r w:rsidR="009074D7">
        <w:t>išmokos mokėjimo</w:t>
      </w:r>
      <w:r w:rsidR="00527C41">
        <w:t xml:space="preserve"> t</w:t>
      </w:r>
      <w:r w:rsidR="00B351A9">
        <w:t>rukmė</w:t>
      </w:r>
      <w:r w:rsidR="00FE7C3F">
        <w:rPr>
          <w:rStyle w:val="FootnoteReference"/>
        </w:rPr>
        <w:footnoteReference w:id="6"/>
      </w:r>
      <w:r w:rsidR="000E17E2">
        <w:t xml:space="preserve"> ar</w:t>
      </w:r>
      <w:r w:rsidR="000A06B8">
        <w:t xml:space="preserve"> socialinės paramos teikimas</w:t>
      </w:r>
      <w:r w:rsidR="000A06B8">
        <w:rPr>
          <w:rStyle w:val="FootnoteReference"/>
        </w:rPr>
        <w:footnoteReference w:id="7"/>
      </w:r>
      <w:r>
        <w:t>, todėl</w:t>
      </w:r>
      <w:r w:rsidR="00940B23">
        <w:t xml:space="preserve"> </w:t>
      </w:r>
      <w:r w:rsidRPr="004A50D1">
        <w:t>elgseną</w:t>
      </w:r>
      <w:r w:rsidR="00855F84" w:rsidRPr="00855F84">
        <w:t>,</w:t>
      </w:r>
      <w:r w:rsidR="006C41B9" w:rsidRPr="00855F84">
        <w:t xml:space="preserve"> </w:t>
      </w:r>
      <w:r w:rsidR="006C41B9">
        <w:t xml:space="preserve">kuri </w:t>
      </w:r>
      <w:r w:rsidR="00E918DE">
        <w:t xml:space="preserve">tęsiasi iki </w:t>
      </w:r>
      <w:r w:rsidR="004A50D1">
        <w:t xml:space="preserve">mėnesio, </w:t>
      </w:r>
      <w:r w:rsidR="00E918DE">
        <w:t xml:space="preserve">kurį </w:t>
      </w:r>
      <w:r w:rsidR="00C96E2C">
        <w:t>baigiasi</w:t>
      </w:r>
      <w:r w:rsidR="00E918DE">
        <w:t xml:space="preserve"> išmokų mokėjimai</w:t>
      </w:r>
      <w:r w:rsidR="001523CF">
        <w:t xml:space="preserve"> ar</w:t>
      </w:r>
      <w:r w:rsidR="00DF0D5F">
        <w:t xml:space="preserve"> po kurio</w:t>
      </w:r>
      <w:r w:rsidR="001523CF">
        <w:t xml:space="preserve"> pasikeičia </w:t>
      </w:r>
      <w:r w:rsidR="004C0A10">
        <w:t>socialinės paramos teikimo sąlygos</w:t>
      </w:r>
      <w:r w:rsidR="00E918DE">
        <w:t xml:space="preserve">, </w:t>
      </w:r>
      <w:r w:rsidR="004A50D1">
        <w:t>reik</w:t>
      </w:r>
      <w:r w:rsidR="00D34314">
        <w:t>ė</w:t>
      </w:r>
      <w:r w:rsidR="004A50D1">
        <w:t xml:space="preserve">tų priskirti </w:t>
      </w:r>
      <w:r w:rsidRPr="004A50D1">
        <w:rPr>
          <w:b/>
          <w:i/>
        </w:rPr>
        <w:t>racionaliai</w:t>
      </w:r>
      <w:r w:rsidR="004C12CE">
        <w:t>;</w:t>
      </w:r>
      <w:r w:rsidR="00C96E2C">
        <w:t xml:space="preserve"> tuo tarpu</w:t>
      </w:r>
      <w:r w:rsidR="00440818">
        <w:t xml:space="preserve"> </w:t>
      </w:r>
      <w:r w:rsidR="00EE3744">
        <w:t xml:space="preserve">sprendimus, </w:t>
      </w:r>
      <w:r w:rsidR="00D2742D">
        <w:t>kurie trunka</w:t>
      </w:r>
      <w:r w:rsidR="004F558D">
        <w:t xml:space="preserve"> ilgiau</w:t>
      </w:r>
      <w:r w:rsidR="00DF0D5F">
        <w:t xml:space="preserve"> ar</w:t>
      </w:r>
      <w:r w:rsidR="004F558D">
        <w:t xml:space="preserve"> yra</w:t>
      </w:r>
      <w:r w:rsidR="00EE3744">
        <w:t xml:space="preserve"> </w:t>
      </w:r>
      <w:r w:rsidR="004F558D">
        <w:t>pasikartojantys</w:t>
      </w:r>
      <w:r w:rsidR="00B82D82">
        <w:t xml:space="preserve"> – </w:t>
      </w:r>
      <w:r w:rsidR="00B82D82" w:rsidRPr="004C12CE">
        <w:rPr>
          <w:b/>
          <w:i/>
        </w:rPr>
        <w:t>neracionaliai</w:t>
      </w:r>
      <w:r>
        <w:t xml:space="preserve">. Tokiu būdu </w:t>
      </w:r>
      <w:r w:rsidR="00DF0D5F">
        <w:t xml:space="preserve">individus būtų </w:t>
      </w:r>
      <w:r w:rsidR="004C12CE">
        <w:t>galima suskirstyti į 3</w:t>
      </w:r>
      <w:r>
        <w:t xml:space="preserve"> </w:t>
      </w:r>
      <w:r w:rsidRPr="00DA6FDA">
        <w:t>grupes (</w:t>
      </w:r>
      <w:r w:rsidR="00FA7D8E" w:rsidRPr="00DA6FDA">
        <w:t>žr. 8</w:t>
      </w:r>
      <w:r w:rsidRPr="00DA6FDA">
        <w:t> pav.).</w:t>
      </w:r>
    </w:p>
    <w:p w:rsidR="00D04BF1" w:rsidRDefault="00D84BC4" w:rsidP="009D750B">
      <w:pPr>
        <w:spacing w:after="20" w:line="240" w:lineRule="auto"/>
        <w:ind w:firstLine="0"/>
        <w:contextualSpacing w:val="0"/>
        <w:jc w:val="center"/>
      </w:pPr>
      <w:r>
        <w:pict>
          <v:group id="_x0000_s1239" editas="canvas" style="width:332.9pt;height:145.9pt;mso-position-horizontal-relative:char;mso-position-vertical-relative:line" coordorigin="3738,2042" coordsize="4673,2047">
            <o:lock v:ext="edit" aspectratio="t"/>
            <v:shape id="_x0000_s1238" type="#_x0000_t75" style="position:absolute;left:3738;top:2042;width:4673;height:2047" o:preferrelative="f">
              <v:fill o:detectmouseclick="t"/>
              <v:path o:extrusionok="t" o:connecttype="none"/>
              <o:lock v:ext="edit" text="t"/>
            </v:shape>
            <v:rect id="_x0000_s1263" style="position:absolute;left:6236;top:2636;width:2175;height:1383" strokecolor="#31849b [2408]" strokeweight="1.25pt">
              <v:stroke dashstyle="longDash"/>
              <v:textbox style="mso-next-textbox:#_x0000_s1263">
                <w:txbxContent>
                  <w:p w:rsidR="00B2438E" w:rsidRDefault="00B2438E" w:rsidP="00147E98">
                    <w:pPr>
                      <w:spacing w:after="0" w:line="240" w:lineRule="auto"/>
                      <w:ind w:firstLine="0"/>
                      <w:jc w:val="center"/>
                      <w:rPr>
                        <w:sz w:val="16"/>
                        <w:szCs w:val="16"/>
                      </w:rPr>
                    </w:pPr>
                  </w:p>
                  <w:p w:rsidR="00B2438E" w:rsidRDefault="00B2438E" w:rsidP="00147E98">
                    <w:pPr>
                      <w:spacing w:after="0" w:line="240" w:lineRule="auto"/>
                      <w:ind w:firstLine="0"/>
                      <w:jc w:val="center"/>
                      <w:rPr>
                        <w:sz w:val="16"/>
                        <w:szCs w:val="16"/>
                      </w:rPr>
                    </w:pPr>
                  </w:p>
                  <w:p w:rsidR="00B2438E" w:rsidRDefault="00B2438E" w:rsidP="00147E98">
                    <w:pPr>
                      <w:spacing w:after="0" w:line="240" w:lineRule="auto"/>
                      <w:ind w:firstLine="0"/>
                      <w:jc w:val="center"/>
                      <w:rPr>
                        <w:sz w:val="16"/>
                        <w:szCs w:val="16"/>
                      </w:rPr>
                    </w:pPr>
                  </w:p>
                  <w:p w:rsidR="00B2438E" w:rsidRDefault="00B2438E" w:rsidP="00147E98">
                    <w:pPr>
                      <w:spacing w:after="0" w:line="240" w:lineRule="auto"/>
                      <w:ind w:firstLine="0"/>
                      <w:jc w:val="center"/>
                      <w:rPr>
                        <w:sz w:val="16"/>
                        <w:szCs w:val="16"/>
                      </w:rPr>
                    </w:pPr>
                  </w:p>
                  <w:p w:rsidR="00B2438E" w:rsidRDefault="00B2438E" w:rsidP="00147E98">
                    <w:pPr>
                      <w:spacing w:after="0" w:line="240" w:lineRule="auto"/>
                      <w:ind w:firstLine="0"/>
                      <w:jc w:val="center"/>
                      <w:rPr>
                        <w:sz w:val="16"/>
                        <w:szCs w:val="16"/>
                      </w:rPr>
                    </w:pPr>
                  </w:p>
                  <w:p w:rsidR="00B2438E" w:rsidRDefault="00B2438E" w:rsidP="00147E98">
                    <w:pPr>
                      <w:spacing w:after="0" w:line="240" w:lineRule="auto"/>
                      <w:ind w:firstLine="0"/>
                      <w:jc w:val="center"/>
                      <w:rPr>
                        <w:sz w:val="16"/>
                        <w:szCs w:val="16"/>
                      </w:rPr>
                    </w:pPr>
                  </w:p>
                  <w:p w:rsidR="00B2438E" w:rsidRDefault="00B2438E" w:rsidP="00147E98">
                    <w:pPr>
                      <w:spacing w:after="0" w:line="240" w:lineRule="auto"/>
                      <w:ind w:firstLine="0"/>
                      <w:jc w:val="center"/>
                      <w:rPr>
                        <w:sz w:val="16"/>
                        <w:szCs w:val="16"/>
                      </w:rPr>
                    </w:pPr>
                  </w:p>
                  <w:p w:rsidR="00B2438E" w:rsidRDefault="00B2438E" w:rsidP="00147E98">
                    <w:pPr>
                      <w:spacing w:after="0" w:line="240" w:lineRule="auto"/>
                      <w:ind w:firstLine="0"/>
                      <w:jc w:val="center"/>
                      <w:rPr>
                        <w:sz w:val="16"/>
                        <w:szCs w:val="16"/>
                      </w:rPr>
                    </w:pPr>
                  </w:p>
                  <w:p w:rsidR="00B2438E" w:rsidRDefault="00B2438E" w:rsidP="00147E98">
                    <w:pPr>
                      <w:spacing w:after="0" w:line="240" w:lineRule="auto"/>
                      <w:ind w:firstLine="0"/>
                      <w:jc w:val="center"/>
                      <w:rPr>
                        <w:sz w:val="16"/>
                        <w:szCs w:val="16"/>
                      </w:rPr>
                    </w:pPr>
                  </w:p>
                  <w:p w:rsidR="00B2438E" w:rsidRPr="00D37C88" w:rsidRDefault="00B2438E" w:rsidP="00DD54F4">
                    <w:pPr>
                      <w:spacing w:after="0" w:line="240" w:lineRule="auto"/>
                      <w:ind w:firstLine="0"/>
                      <w:contextualSpacing w:val="0"/>
                      <w:jc w:val="center"/>
                      <w:rPr>
                        <w:sz w:val="16"/>
                        <w:szCs w:val="16"/>
                      </w:rPr>
                    </w:pPr>
                    <w:r>
                      <w:rPr>
                        <w:sz w:val="16"/>
                        <w:szCs w:val="16"/>
                      </w:rPr>
                      <w:t>NERACIONALŪS</w:t>
                    </w:r>
                  </w:p>
                </w:txbxContent>
              </v:textbox>
            </v:rect>
            <v:rect id="_x0000_s1261" style="position:absolute;left:3738;top:2636;width:2185;height:1383" strokecolor="#31849b [2408]" strokeweight="1.25pt">
              <v:stroke dashstyle="longDash"/>
              <v:textbox style="mso-next-textbox:#_x0000_s1261">
                <w:txbxContent>
                  <w:p w:rsidR="00B2438E" w:rsidRDefault="00B2438E" w:rsidP="00147E98">
                    <w:pPr>
                      <w:spacing w:after="0" w:line="240" w:lineRule="auto"/>
                      <w:ind w:firstLine="0"/>
                      <w:jc w:val="center"/>
                      <w:rPr>
                        <w:sz w:val="16"/>
                        <w:szCs w:val="16"/>
                      </w:rPr>
                    </w:pPr>
                  </w:p>
                  <w:p w:rsidR="00B2438E" w:rsidRDefault="00B2438E" w:rsidP="00147E98">
                    <w:pPr>
                      <w:spacing w:after="0" w:line="240" w:lineRule="auto"/>
                      <w:ind w:firstLine="0"/>
                      <w:jc w:val="center"/>
                      <w:rPr>
                        <w:sz w:val="16"/>
                        <w:szCs w:val="16"/>
                      </w:rPr>
                    </w:pPr>
                  </w:p>
                  <w:p w:rsidR="00B2438E" w:rsidRDefault="00B2438E" w:rsidP="00147E98">
                    <w:pPr>
                      <w:spacing w:after="0" w:line="240" w:lineRule="auto"/>
                      <w:ind w:firstLine="0"/>
                      <w:jc w:val="center"/>
                      <w:rPr>
                        <w:sz w:val="16"/>
                        <w:szCs w:val="16"/>
                      </w:rPr>
                    </w:pPr>
                  </w:p>
                  <w:p w:rsidR="00B2438E" w:rsidRDefault="00B2438E" w:rsidP="00147E98">
                    <w:pPr>
                      <w:spacing w:after="0" w:line="240" w:lineRule="auto"/>
                      <w:ind w:firstLine="0"/>
                      <w:jc w:val="center"/>
                      <w:rPr>
                        <w:sz w:val="16"/>
                        <w:szCs w:val="16"/>
                      </w:rPr>
                    </w:pPr>
                  </w:p>
                  <w:p w:rsidR="00B2438E" w:rsidRDefault="00B2438E" w:rsidP="00147E98">
                    <w:pPr>
                      <w:spacing w:after="0" w:line="240" w:lineRule="auto"/>
                      <w:ind w:firstLine="0"/>
                      <w:jc w:val="center"/>
                      <w:rPr>
                        <w:sz w:val="16"/>
                        <w:szCs w:val="16"/>
                      </w:rPr>
                    </w:pPr>
                  </w:p>
                  <w:p w:rsidR="00B2438E" w:rsidRDefault="00B2438E" w:rsidP="00147E98">
                    <w:pPr>
                      <w:spacing w:after="0" w:line="240" w:lineRule="auto"/>
                      <w:ind w:firstLine="0"/>
                      <w:jc w:val="center"/>
                      <w:rPr>
                        <w:sz w:val="16"/>
                        <w:szCs w:val="16"/>
                      </w:rPr>
                    </w:pPr>
                  </w:p>
                  <w:p w:rsidR="00B2438E" w:rsidRDefault="00B2438E" w:rsidP="00147E98">
                    <w:pPr>
                      <w:spacing w:after="0" w:line="240" w:lineRule="auto"/>
                      <w:ind w:firstLine="0"/>
                      <w:jc w:val="center"/>
                      <w:rPr>
                        <w:sz w:val="16"/>
                        <w:szCs w:val="16"/>
                      </w:rPr>
                    </w:pPr>
                  </w:p>
                  <w:p w:rsidR="00B2438E" w:rsidRDefault="00B2438E" w:rsidP="00147E98">
                    <w:pPr>
                      <w:spacing w:after="0" w:line="240" w:lineRule="auto"/>
                      <w:ind w:firstLine="0"/>
                      <w:jc w:val="center"/>
                      <w:rPr>
                        <w:sz w:val="16"/>
                        <w:szCs w:val="16"/>
                      </w:rPr>
                    </w:pPr>
                  </w:p>
                  <w:p w:rsidR="00B2438E" w:rsidRDefault="00B2438E" w:rsidP="00147E98">
                    <w:pPr>
                      <w:spacing w:after="0" w:line="240" w:lineRule="auto"/>
                      <w:ind w:firstLine="0"/>
                      <w:jc w:val="center"/>
                      <w:rPr>
                        <w:sz w:val="16"/>
                        <w:szCs w:val="16"/>
                      </w:rPr>
                    </w:pPr>
                  </w:p>
                  <w:p w:rsidR="00B2438E" w:rsidRPr="00D37C88" w:rsidRDefault="00B2438E" w:rsidP="00DD54F4">
                    <w:pPr>
                      <w:spacing w:after="0" w:line="240" w:lineRule="auto"/>
                      <w:ind w:firstLine="0"/>
                      <w:contextualSpacing w:val="0"/>
                      <w:jc w:val="center"/>
                      <w:rPr>
                        <w:sz w:val="16"/>
                        <w:szCs w:val="16"/>
                      </w:rPr>
                    </w:pPr>
                    <w:r>
                      <w:rPr>
                        <w:sz w:val="16"/>
                        <w:szCs w:val="16"/>
                      </w:rPr>
                      <w:t>RACIONALŪS</w:t>
                    </w:r>
                  </w:p>
                </w:txbxContent>
              </v:textbox>
            </v:rect>
            <v:roundrect id="_x0000_s1246" style="position:absolute;left:4524;top:2042;width:3148;height:444" arcsize="10923f" fillcolor="#92cddc [1944]" strokecolor="#31849b [2408]" strokeweight="1.25pt">
              <v:shadow on="t"/>
              <v:textbox style="mso-next-textbox:#_x0000_s1246">
                <w:txbxContent>
                  <w:p w:rsidR="00B2438E" w:rsidRPr="007D22FA" w:rsidRDefault="00B2438E" w:rsidP="00147E98">
                    <w:pPr>
                      <w:spacing w:before="40" w:after="0" w:line="240" w:lineRule="auto"/>
                      <w:ind w:firstLine="0"/>
                      <w:jc w:val="center"/>
                      <w:rPr>
                        <w:b/>
                        <w:sz w:val="18"/>
                        <w:szCs w:val="18"/>
                      </w:rPr>
                    </w:pPr>
                    <w:r>
                      <w:rPr>
                        <w:b/>
                        <w:sz w:val="18"/>
                        <w:szCs w:val="18"/>
                      </w:rPr>
                      <w:t xml:space="preserve">NEDARBO SOCIALINIO DRAUDIMO IŠMOKŲ  BEI SOCIALINĖS PARAMOS </w:t>
                    </w:r>
                    <w:r w:rsidRPr="007D22FA">
                      <w:rPr>
                        <w:b/>
                        <w:sz w:val="18"/>
                        <w:szCs w:val="18"/>
                      </w:rPr>
                      <w:t>GAVĖJAI</w:t>
                    </w:r>
                  </w:p>
                </w:txbxContent>
              </v:textbox>
            </v:roundrect>
            <v:roundrect id="_x0000_s1247" style="position:absolute;left:3804;top:2700;width:2052;height:375" arcsize="10923f" fillcolor="#b6dde8 [1304]" strokecolor="#92cddc [1944]">
              <v:shadow on="t"/>
              <v:textbox style="mso-next-textbox:#_x0000_s1247">
                <w:txbxContent>
                  <w:p w:rsidR="00B2438E" w:rsidRPr="007D22FA" w:rsidRDefault="00B2438E" w:rsidP="00147E98">
                    <w:pPr>
                      <w:spacing w:before="60" w:after="0" w:line="240" w:lineRule="auto"/>
                      <w:ind w:firstLine="0"/>
                      <w:jc w:val="center"/>
                      <w:rPr>
                        <w:b/>
                        <w:sz w:val="18"/>
                        <w:szCs w:val="18"/>
                      </w:rPr>
                    </w:pPr>
                    <w:r>
                      <w:rPr>
                        <w:b/>
                        <w:sz w:val="18"/>
                        <w:szCs w:val="18"/>
                      </w:rPr>
                      <w:t>Nesąmoningi</w:t>
                    </w:r>
                  </w:p>
                </w:txbxContent>
              </v:textbox>
            </v:roundrect>
            <v:roundrect id="_x0000_s1248" style="position:absolute;left:6305;top:2700;width:2049;height:375" arcsize="10923f" fillcolor="#b6dde8 [1304]" strokecolor="#92cddc [1944]">
              <v:shadow on="t"/>
              <v:textbox style="mso-next-textbox:#_x0000_s1248">
                <w:txbxContent>
                  <w:p w:rsidR="00B2438E" w:rsidRPr="007D22FA" w:rsidRDefault="00B2438E" w:rsidP="00147E98">
                    <w:pPr>
                      <w:spacing w:before="60" w:after="0" w:line="240" w:lineRule="auto"/>
                      <w:ind w:firstLine="0"/>
                      <w:jc w:val="center"/>
                      <w:rPr>
                        <w:b/>
                        <w:sz w:val="18"/>
                        <w:szCs w:val="18"/>
                      </w:rPr>
                    </w:pPr>
                    <w:r>
                      <w:rPr>
                        <w:b/>
                        <w:sz w:val="18"/>
                        <w:szCs w:val="18"/>
                      </w:rPr>
                      <w:t>Sąmoningi</w:t>
                    </w:r>
                  </w:p>
                </w:txbxContent>
              </v:textbox>
            </v:roundrect>
            <v:roundrect id="_x0000_s1252" style="position:absolute;left:3804;top:3343;width:1362;height:379" arcsize="10923f" fillcolor="#daeef3 [664]" strokecolor="#b6dde8 [1304]">
              <v:shadow on="t"/>
              <v:textbox style="mso-next-textbox:#_x0000_s1252">
                <w:txbxContent>
                  <w:p w:rsidR="00B2438E" w:rsidRPr="000316F8" w:rsidRDefault="00B2438E" w:rsidP="00147E98">
                    <w:pPr>
                      <w:spacing w:before="60" w:after="0" w:line="240" w:lineRule="auto"/>
                      <w:ind w:firstLine="0"/>
                      <w:jc w:val="center"/>
                      <w:rPr>
                        <w:sz w:val="18"/>
                        <w:szCs w:val="18"/>
                      </w:rPr>
                    </w:pPr>
                    <w:r>
                      <w:rPr>
                        <w:sz w:val="18"/>
                        <w:szCs w:val="18"/>
                      </w:rPr>
                      <w:t>Trumpalaikiai</w:t>
                    </w:r>
                  </w:p>
                </w:txbxContent>
              </v:textbox>
            </v:roundrect>
            <v:roundrect id="_x0000_s1253" style="position:absolute;left:5439;top:3536;width:1279;height:378" arcsize="10923f" fillcolor="#daeef3 [664]" strokecolor="#b6dde8 [1304]">
              <v:shadow on="t"/>
              <v:textbox style="mso-next-textbox:#_x0000_s1253">
                <w:txbxContent>
                  <w:p w:rsidR="00B2438E" w:rsidRPr="000316F8" w:rsidRDefault="00B2438E" w:rsidP="00147E98">
                    <w:pPr>
                      <w:spacing w:before="60" w:after="0" w:line="240" w:lineRule="auto"/>
                      <w:ind w:firstLine="0"/>
                      <w:jc w:val="center"/>
                      <w:rPr>
                        <w:sz w:val="18"/>
                        <w:szCs w:val="18"/>
                      </w:rPr>
                    </w:pPr>
                    <w:r>
                      <w:rPr>
                        <w:sz w:val="18"/>
                        <w:szCs w:val="18"/>
                      </w:rPr>
                      <w:t>„Vidutiniokai“</w:t>
                    </w:r>
                  </w:p>
                </w:txbxContent>
              </v:textbox>
            </v:roundrect>
            <v:roundrect id="_x0000_s1254" style="position:absolute;left:6990;top:3341;width:1364;height:381" arcsize="10923f" fillcolor="#daeef3 [664]" strokecolor="#b6dde8 [1304]">
              <v:shadow on="t"/>
              <v:textbox style="mso-next-textbox:#_x0000_s1254">
                <w:txbxContent>
                  <w:p w:rsidR="00B2438E" w:rsidRPr="000316F8" w:rsidRDefault="00B2438E" w:rsidP="00147E98">
                    <w:pPr>
                      <w:spacing w:before="60" w:after="0" w:line="240" w:lineRule="auto"/>
                      <w:ind w:firstLine="0"/>
                      <w:jc w:val="center"/>
                      <w:rPr>
                        <w:sz w:val="18"/>
                        <w:szCs w:val="18"/>
                      </w:rPr>
                    </w:pPr>
                    <w:r>
                      <w:rPr>
                        <w:sz w:val="18"/>
                        <w:szCs w:val="18"/>
                      </w:rPr>
                      <w:t>Ilgalaikiai</w:t>
                    </w:r>
                  </w:p>
                </w:txbxContent>
              </v:textbox>
            </v:roundrect>
            <v:shape id="_x0000_s1255" type="#_x0000_t32" style="position:absolute;left:4485;top:3075;width:345;height:268;flip:x" o:connectortype="straight" strokecolor="#92cddc [1944]" strokeweight="1pt">
              <v:stroke endarrow="block"/>
            </v:shape>
            <v:shape id="_x0000_s1258" type="#_x0000_t32" style="position:absolute;left:7329;top:3075;width:343;height:266" o:connectortype="straight" strokecolor="#92cddc [1944]" strokeweight="1pt">
              <v:stroke endarrow="block"/>
            </v:shape>
            <v:shape id="_x0000_s1262" type="#_x0000_t32" style="position:absolute;left:4831;top:2494;width:1267;height:134;flip:x" o:connectortype="straight" strokecolor="#31849b [2408]" strokeweight="1.25pt">
              <v:stroke endarrow="block"/>
            </v:shape>
            <v:shape id="_x0000_s1264" type="#_x0000_t32" style="position:absolute;left:6098;top:2494;width:1226;height:134" o:connectortype="straight" strokecolor="#31849b [2408]" strokeweight="1.25pt">
              <v:stroke endarrow="block"/>
            </v:shape>
            <v:group id="_x0000_s1275" style="position:absolute;left:5371;top:3166;width:1429;height:923" coordorigin="5385,3447" coordsize="1428,1154" o:regroupid="12">
              <v:shape id="_x0000_s1271" type="#_x0000_t32" style="position:absolute;left:5385;top:3447;width:2;height:1154" o:connectortype="straight" strokecolor="#31849b [2408]">
                <v:stroke dashstyle="dash"/>
              </v:shape>
              <v:shape id="_x0000_s1272" type="#_x0000_t32" style="position:absolute;left:6809;top:3447;width:2;height:1154" o:connectortype="straight" strokecolor="#31849b [2408]">
                <v:stroke dashstyle="dash"/>
              </v:shape>
              <v:shape id="_x0000_s1274" type="#_x0000_t32" style="position:absolute;left:5387;top:4600;width:1426;height:1;flip:x" o:connectortype="straight" strokecolor="#31849b [2408]">
                <v:stroke dashstyle="dash"/>
              </v:shape>
            </v:group>
            <v:rect id="_x0000_s1277" style="position:absolute;left:5439;top:3166;width:1284;height:297" o:regroupid="12" stroked="f">
              <v:textbox style="mso-next-textbox:#_x0000_s1277" inset=",.72pt,,.72pt">
                <w:txbxContent>
                  <w:p w:rsidR="00B2438E" w:rsidRPr="00B72163" w:rsidRDefault="00B2438E" w:rsidP="008D61BA">
                    <w:pPr>
                      <w:spacing w:before="40" w:after="0" w:line="240" w:lineRule="auto"/>
                      <w:ind w:firstLine="0"/>
                      <w:contextualSpacing w:val="0"/>
                      <w:jc w:val="center"/>
                      <w:rPr>
                        <w:sz w:val="14"/>
                        <w:szCs w:val="14"/>
                      </w:rPr>
                    </w:pPr>
                    <w:r w:rsidRPr="00B72163">
                      <w:rPr>
                        <w:sz w:val="14"/>
                        <w:szCs w:val="14"/>
                      </w:rPr>
                      <w:t>NEAPSISPRENDĖLIAI</w:t>
                    </w:r>
                  </w:p>
                </w:txbxContent>
              </v:textbox>
            </v:rect>
            <v:shape id="_x0000_s1257" type="#_x0000_t32" style="position:absolute;left:6079;top:3075;width:1250;height:461;flip:x" o:connectortype="straight" strokecolor="#92cddc [1944]" strokeweight="1pt">
              <v:stroke endarrow="block"/>
            </v:shape>
            <v:shape id="_x0000_s1256" type="#_x0000_t32" style="position:absolute;left:4830;top:3075;width:1249;height:461" o:connectortype="straight" strokecolor="#92cddc [1944]" strokeweight="1pt">
              <v:stroke endarrow="block"/>
            </v:shape>
            <v:shape id="_x0000_s1276" type="#_x0000_t32" style="position:absolute;left:5371;top:3165;width:1429;height:1" o:connectortype="straight" o:regroupid="12" strokecolor="#31849b [2408]">
              <v:stroke dashstyle="dash"/>
            </v:shape>
            <w10:wrap type="none"/>
            <w10:anchorlock/>
          </v:group>
        </w:pict>
      </w:r>
    </w:p>
    <w:p w:rsidR="00E10BC0" w:rsidRPr="00E10BC0" w:rsidRDefault="00E10BC0" w:rsidP="00E10BC0">
      <w:pPr>
        <w:spacing w:after="0" w:line="240" w:lineRule="auto"/>
        <w:rPr>
          <w:sz w:val="20"/>
        </w:rPr>
      </w:pPr>
      <w:r w:rsidRPr="00E10BC0">
        <w:rPr>
          <w:b/>
          <w:sz w:val="20"/>
        </w:rPr>
        <w:t>Šaltinis</w:t>
      </w:r>
      <w:r w:rsidRPr="00E10BC0">
        <w:rPr>
          <w:sz w:val="20"/>
        </w:rPr>
        <w:t>: sudaryta šio darbo autorės</w:t>
      </w:r>
    </w:p>
    <w:bookmarkStart w:id="16" w:name="_Toc343590405"/>
    <w:p w:rsidR="00EA2203" w:rsidRDefault="00D84BC4" w:rsidP="00886347">
      <w:pPr>
        <w:pStyle w:val="Caption"/>
      </w:pPr>
      <w:r w:rsidRPr="00E67399">
        <w:rPr>
          <w:b w:val="0"/>
        </w:rPr>
        <w:fldChar w:fldCharType="begin"/>
      </w:r>
      <w:r w:rsidR="00DA6FDA" w:rsidRPr="00E67399">
        <w:rPr>
          <w:b w:val="0"/>
        </w:rPr>
        <w:instrText xml:space="preserve"> SEQ pav. \* ARABIC </w:instrText>
      </w:r>
      <w:r w:rsidRPr="00E67399">
        <w:rPr>
          <w:b w:val="0"/>
        </w:rPr>
        <w:fldChar w:fldCharType="separate"/>
      </w:r>
      <w:r w:rsidR="00DA6FDA" w:rsidRPr="00E67399">
        <w:rPr>
          <w:b w:val="0"/>
        </w:rPr>
        <w:t>8</w:t>
      </w:r>
      <w:r w:rsidRPr="00E67399">
        <w:rPr>
          <w:b w:val="0"/>
        </w:rPr>
        <w:fldChar w:fldCharType="end"/>
      </w:r>
      <w:r w:rsidR="00DA6FDA" w:rsidRPr="00E67399">
        <w:rPr>
          <w:b w:val="0"/>
        </w:rPr>
        <w:t xml:space="preserve"> </w:t>
      </w:r>
      <w:r w:rsidR="009D750B" w:rsidRPr="00E67399">
        <w:rPr>
          <w:b w:val="0"/>
        </w:rPr>
        <w:t>pav.</w:t>
      </w:r>
      <w:r w:rsidR="009D750B" w:rsidRPr="009D750B">
        <w:rPr>
          <w:color w:val="FF0000"/>
        </w:rPr>
        <w:t xml:space="preserve"> </w:t>
      </w:r>
      <w:r w:rsidR="00CD73F1">
        <w:t>Sąlyginės n</w:t>
      </w:r>
      <w:r w:rsidR="00581BB2">
        <w:t xml:space="preserve">edarbo socialinio draudimo išmokų bei socialinės paramos </w:t>
      </w:r>
      <w:r w:rsidR="00B826D1">
        <w:t xml:space="preserve">gavėjų </w:t>
      </w:r>
      <w:r w:rsidR="00581BB2">
        <w:t>grupės</w:t>
      </w:r>
      <w:bookmarkEnd w:id="16"/>
    </w:p>
    <w:p w:rsidR="009E5655" w:rsidRDefault="003B1F64" w:rsidP="002600B5">
      <w:r>
        <w:lastRenderedPageBreak/>
        <w:t xml:space="preserve">Prie </w:t>
      </w:r>
      <w:r w:rsidR="0082709A" w:rsidRPr="00D96831">
        <w:rPr>
          <w:i/>
        </w:rPr>
        <w:t>ne</w:t>
      </w:r>
      <w:r w:rsidR="00CF186E" w:rsidRPr="00D96831">
        <w:rPr>
          <w:i/>
        </w:rPr>
        <w:t>sąmoningų-</w:t>
      </w:r>
      <w:r w:rsidRPr="00D96831">
        <w:rPr>
          <w:i/>
        </w:rPr>
        <w:t>racionaliųjų</w:t>
      </w:r>
      <w:r w:rsidR="00CF186E">
        <w:t xml:space="preserve"> </w:t>
      </w:r>
      <w:r w:rsidR="00390B09">
        <w:t>priskirti tie žmonė</w:t>
      </w:r>
      <w:r w:rsidR="00CF186E">
        <w:t>s</w:t>
      </w:r>
      <w:r w:rsidR="009536F8">
        <w:t xml:space="preserve">, kurie </w:t>
      </w:r>
      <w:r w:rsidR="003F536B">
        <w:t xml:space="preserve">tokį gyvenimą </w:t>
      </w:r>
      <w:r w:rsidR="00D97E07">
        <w:t>renkasi</w:t>
      </w:r>
      <w:r w:rsidR="003F536B">
        <w:t xml:space="preserve"> tik dėl to, jog</w:t>
      </w:r>
      <w:r w:rsidR="00F1605C">
        <w:t xml:space="preserve"> neturi kitos galimybės, t. y. </w:t>
      </w:r>
      <w:r w:rsidR="00D90041" w:rsidRPr="00600FF7">
        <w:t>renkasi ne savo noru, o paskatinti</w:t>
      </w:r>
      <w:r w:rsidR="0058192F" w:rsidRPr="00600FF7">
        <w:t xml:space="preserve"> blogos </w:t>
      </w:r>
      <w:r w:rsidR="00A81AA0" w:rsidRPr="00600FF7">
        <w:t xml:space="preserve">šalies </w:t>
      </w:r>
      <w:r w:rsidR="0058192F" w:rsidRPr="00600FF7">
        <w:t>ekonominės</w:t>
      </w:r>
      <w:r w:rsidR="0009715B" w:rsidRPr="00600FF7">
        <w:t xml:space="preserve"> </w:t>
      </w:r>
      <w:r w:rsidR="00A81AA0" w:rsidRPr="00600FF7">
        <w:t xml:space="preserve">padėties </w:t>
      </w:r>
      <w:r w:rsidR="0009715B" w:rsidRPr="00600FF7">
        <w:t>ar kitų, nuo jų nepriklaus</w:t>
      </w:r>
      <w:r w:rsidR="00F83954" w:rsidRPr="00600FF7">
        <w:t>anči</w:t>
      </w:r>
      <w:r w:rsidR="006F10F1" w:rsidRPr="00600FF7">
        <w:t>ų</w:t>
      </w:r>
      <w:r w:rsidR="009F10AF" w:rsidRPr="00600FF7">
        <w:t>,</w:t>
      </w:r>
      <w:r w:rsidR="00600FF7" w:rsidRPr="00600FF7">
        <w:t xml:space="preserve"> aplinkybių</w:t>
      </w:r>
      <w:r w:rsidR="006F10F1" w:rsidRPr="00600FF7">
        <w:t>. Racionaliais</w:t>
      </w:r>
      <w:r w:rsidR="006F10F1">
        <w:t xml:space="preserve"> juos galima vadinti dėl to</w:t>
      </w:r>
      <w:r w:rsidR="001B1C87">
        <w:t>, jog</w:t>
      </w:r>
      <w:r w:rsidR="009F10AF">
        <w:t xml:space="preserve"> </w:t>
      </w:r>
      <w:r w:rsidR="0013356F">
        <w:t>naudojimasis socialinės</w:t>
      </w:r>
      <w:r w:rsidR="00D52458">
        <w:t xml:space="preserve"> apsaugos lėšomis yra </w:t>
      </w:r>
      <w:r w:rsidR="00D52458" w:rsidRPr="00F31EA8">
        <w:t xml:space="preserve">teisėtas </w:t>
      </w:r>
      <w:r w:rsidR="000120E9">
        <w:t>ir / </w:t>
      </w:r>
      <w:r w:rsidR="00BB31E0" w:rsidRPr="00F31EA8">
        <w:t>a</w:t>
      </w:r>
      <w:r w:rsidR="0013356F" w:rsidRPr="00F31EA8">
        <w:t xml:space="preserve">r </w:t>
      </w:r>
      <w:r w:rsidR="008616FE" w:rsidRPr="00600FF7">
        <w:t>tru</w:t>
      </w:r>
      <w:r w:rsidR="0013356F" w:rsidRPr="00600FF7">
        <w:t>nkanti</w:t>
      </w:r>
      <w:r w:rsidR="008616FE" w:rsidRPr="00600FF7">
        <w:t>s</w:t>
      </w:r>
      <w:r w:rsidR="0013356F" w:rsidRPr="00600FF7">
        <w:t xml:space="preserve"> neilgai</w:t>
      </w:r>
      <w:r w:rsidR="00D420BA" w:rsidRPr="00600FF7">
        <w:t>,</w:t>
      </w:r>
      <w:r w:rsidR="00D420BA" w:rsidRPr="00F31EA8">
        <w:t xml:space="preserve"> kitaip</w:t>
      </w:r>
      <w:r w:rsidR="00D420BA">
        <w:t xml:space="preserve"> tariant, </w:t>
      </w:r>
      <w:r w:rsidR="000120E9">
        <w:t xml:space="preserve">– </w:t>
      </w:r>
      <w:r w:rsidR="0093779C">
        <w:t xml:space="preserve">žmonės įdeda visas </w:t>
      </w:r>
      <w:r w:rsidR="00423C90">
        <w:t>pastangas, kad susirastų darbą i</w:t>
      </w:r>
      <w:r w:rsidR="0093779C">
        <w:t>r</w:t>
      </w:r>
      <w:r w:rsidR="00724B4B">
        <w:t> / ar</w:t>
      </w:r>
      <w:r w:rsidR="00FF1D45">
        <w:t xml:space="preserve"> padidintų pajamas</w:t>
      </w:r>
      <w:r w:rsidR="0093779C">
        <w:t>.</w:t>
      </w:r>
      <w:r w:rsidR="00281B25">
        <w:t xml:space="preserve"> Prie </w:t>
      </w:r>
      <w:r w:rsidR="00281B25" w:rsidRPr="00D96831">
        <w:rPr>
          <w:i/>
        </w:rPr>
        <w:t>sąmoningų-neracionaliųjų</w:t>
      </w:r>
      <w:r w:rsidR="00A650CF">
        <w:t xml:space="preserve"> priskirti </w:t>
      </w:r>
      <w:r w:rsidR="00A650CF" w:rsidRPr="00E61EFD">
        <w:t>ilgalaikiai</w:t>
      </w:r>
      <w:r w:rsidR="00A650CF">
        <w:t xml:space="preserve"> bedarbiai </w:t>
      </w:r>
      <w:r w:rsidR="00D96831">
        <w:t>ir</w:t>
      </w:r>
      <w:r w:rsidR="00E61EFD">
        <w:t xml:space="preserve"> tie žmonės</w:t>
      </w:r>
      <w:r w:rsidR="002C63DE">
        <w:t xml:space="preserve">, </w:t>
      </w:r>
      <w:r w:rsidR="002C63DE" w:rsidRPr="00323686">
        <w:t xml:space="preserve">kurie </w:t>
      </w:r>
      <w:r w:rsidR="00323686" w:rsidRPr="00323686">
        <w:t>nuolat</w:t>
      </w:r>
      <w:r w:rsidR="006131E1" w:rsidRPr="00323686">
        <w:t xml:space="preserve"> </w:t>
      </w:r>
      <w:r w:rsidR="002C63DE" w:rsidRPr="00323686">
        <w:t>gauna socialinę paramą dėl lėšų</w:t>
      </w:r>
      <w:r w:rsidR="00FA2F29" w:rsidRPr="00323686">
        <w:t xml:space="preserve"> ne</w:t>
      </w:r>
      <w:r w:rsidR="00913DA8" w:rsidRPr="00323686">
        <w:t>pakankamumo</w:t>
      </w:r>
      <w:r w:rsidR="00FA2F29">
        <w:t xml:space="preserve"> ar </w:t>
      </w:r>
      <w:r w:rsidR="00FA2F29" w:rsidRPr="00543D9C">
        <w:t>tariamo</w:t>
      </w:r>
      <w:r w:rsidR="00323686">
        <w:t xml:space="preserve"> nepakankamumo</w:t>
      </w:r>
      <w:r w:rsidR="002C63DE">
        <w:t>.</w:t>
      </w:r>
      <w:r w:rsidR="00A5558C">
        <w:t xml:space="preserve"> Neracionaliais juos </w:t>
      </w:r>
      <w:r w:rsidR="00323686">
        <w:t xml:space="preserve">reikia </w:t>
      </w:r>
      <w:r w:rsidR="00A5558C">
        <w:t>vadinti dėl to, jog</w:t>
      </w:r>
      <w:r w:rsidR="002F7BBF">
        <w:t>, turėdami neoficial</w:t>
      </w:r>
      <w:r w:rsidR="00492EB0">
        <w:t>i</w:t>
      </w:r>
      <w:r w:rsidR="002F7BBF">
        <w:t>ų pajamų šaltin</w:t>
      </w:r>
      <w:r w:rsidR="00492EB0">
        <w:t>ių</w:t>
      </w:r>
      <w:r w:rsidR="004220CE">
        <w:t xml:space="preserve">, </w:t>
      </w:r>
      <w:r w:rsidR="00A740C3">
        <w:t>formuoti pajamas</w:t>
      </w:r>
      <w:r w:rsidR="004220CE" w:rsidRPr="00A740C3">
        <w:t xml:space="preserve"> iš </w:t>
      </w:r>
      <w:r w:rsidR="00172C69" w:rsidRPr="00A740C3">
        <w:t>socialin</w:t>
      </w:r>
      <w:r w:rsidR="00933D13">
        <w:t>ių</w:t>
      </w:r>
      <w:r w:rsidR="00172C69" w:rsidRPr="00A740C3">
        <w:t xml:space="preserve"> </w:t>
      </w:r>
      <w:r w:rsidR="00933D13">
        <w:t>išmokų</w:t>
      </w:r>
      <w:r w:rsidR="00B37609">
        <w:t xml:space="preserve"> </w:t>
      </w:r>
      <w:r w:rsidR="004220CE" w:rsidRPr="00A740C3">
        <w:t>jie</w:t>
      </w:r>
      <w:r w:rsidR="004220CE">
        <w:t xml:space="preserve"> renkasi iš godumo</w:t>
      </w:r>
      <w:r w:rsidR="00492EB0">
        <w:t xml:space="preserve">, taip pat dėl to, jog </w:t>
      </w:r>
      <w:r w:rsidR="002F7BBF">
        <w:t xml:space="preserve">taip gyventi </w:t>
      </w:r>
      <w:r w:rsidR="00A94EED">
        <w:t>kai kuriems</w:t>
      </w:r>
      <w:r w:rsidR="00B37609">
        <w:t xml:space="preserve"> iš</w:t>
      </w:r>
      <w:r w:rsidR="00A94EED">
        <w:t xml:space="preserve"> jų </w:t>
      </w:r>
      <w:r w:rsidR="002F7BBF">
        <w:t xml:space="preserve">tiesiog </w:t>
      </w:r>
      <w:r w:rsidR="008D7038">
        <w:t>patinka</w:t>
      </w:r>
      <w:r w:rsidR="00492EB0">
        <w:t>.</w:t>
      </w:r>
      <w:r w:rsidR="00F44F25">
        <w:t xml:space="preserve"> </w:t>
      </w:r>
      <w:r w:rsidR="00072659">
        <w:t>Prie t</w:t>
      </w:r>
      <w:r w:rsidR="00F44F25">
        <w:t>reči</w:t>
      </w:r>
      <w:r w:rsidR="00072659">
        <w:t>osios</w:t>
      </w:r>
      <w:r w:rsidR="00B138F7">
        <w:t>, t. y. „</w:t>
      </w:r>
      <w:proofErr w:type="spellStart"/>
      <w:r w:rsidR="00B138F7" w:rsidRPr="005111A9">
        <w:rPr>
          <w:i/>
        </w:rPr>
        <w:t>neapsisprendėlių</w:t>
      </w:r>
      <w:proofErr w:type="spellEnd"/>
      <w:r w:rsidR="00B138F7">
        <w:t>“,</w:t>
      </w:r>
      <w:r w:rsidR="00846950">
        <w:t xml:space="preserve"> </w:t>
      </w:r>
      <w:r w:rsidR="00FE00A7">
        <w:t>grup</w:t>
      </w:r>
      <w:r w:rsidR="00072659">
        <w:t>ės</w:t>
      </w:r>
      <w:r w:rsidR="003E605A">
        <w:t xml:space="preserve">, kuri sprendimus priima </w:t>
      </w:r>
      <w:r w:rsidR="003E605A" w:rsidRPr="00F615CE">
        <w:t>tai</w:t>
      </w:r>
      <w:r w:rsidR="00FE00A7" w:rsidRPr="0001221B">
        <w:rPr>
          <w:i/>
        </w:rPr>
        <w:t xml:space="preserve"> sąmoninga</w:t>
      </w:r>
      <w:r w:rsidR="003E605A">
        <w:rPr>
          <w:i/>
        </w:rPr>
        <w:t>i</w:t>
      </w:r>
      <w:r w:rsidR="00072659" w:rsidRPr="0001221B">
        <w:rPr>
          <w:i/>
        </w:rPr>
        <w:t>,</w:t>
      </w:r>
      <w:r w:rsidR="00FE00A7" w:rsidRPr="0001221B">
        <w:rPr>
          <w:i/>
        </w:rPr>
        <w:t xml:space="preserve"> </w:t>
      </w:r>
      <w:r w:rsidR="003E605A" w:rsidRPr="00F615CE">
        <w:t>tai</w:t>
      </w:r>
      <w:r w:rsidR="003E605A">
        <w:rPr>
          <w:i/>
        </w:rPr>
        <w:t xml:space="preserve"> </w:t>
      </w:r>
      <w:r w:rsidR="00FE00A7" w:rsidRPr="0001221B">
        <w:rPr>
          <w:i/>
        </w:rPr>
        <w:t>nesąmoninga</w:t>
      </w:r>
      <w:r w:rsidR="003E605A">
        <w:rPr>
          <w:i/>
        </w:rPr>
        <w:t>i</w:t>
      </w:r>
      <w:r w:rsidR="00416322">
        <w:t>,</w:t>
      </w:r>
      <w:r w:rsidR="00072659">
        <w:t xml:space="preserve"> priskirti tie</w:t>
      </w:r>
      <w:r w:rsidR="00F615CE">
        <w:t xml:space="preserve"> žmonės</w:t>
      </w:r>
      <w:r w:rsidR="00416322">
        <w:t xml:space="preserve">, kurių </w:t>
      </w:r>
      <w:r w:rsidR="0070284E">
        <w:t xml:space="preserve">elgsena </w:t>
      </w:r>
      <w:r w:rsidR="00B138F7">
        <w:t>yra</w:t>
      </w:r>
      <w:r w:rsidR="00467677">
        <w:t xml:space="preserve"> kintanti</w:t>
      </w:r>
      <w:r w:rsidR="003E50D4">
        <w:t xml:space="preserve">, </w:t>
      </w:r>
      <w:r w:rsidR="000B179A">
        <w:t>ir dėl</w:t>
      </w:r>
      <w:r w:rsidR="00FD6BE0">
        <w:t xml:space="preserve"> </w:t>
      </w:r>
      <w:r w:rsidR="000B179A">
        <w:t>to</w:t>
      </w:r>
      <w:r w:rsidR="003E50D4">
        <w:t xml:space="preserve"> </w:t>
      </w:r>
      <w:r w:rsidR="00FD6BE0">
        <w:t>netelpanti</w:t>
      </w:r>
      <w:r w:rsidR="006C178E">
        <w:t xml:space="preserve"> nei į racionalios, nei </w:t>
      </w:r>
      <w:r w:rsidR="003E50D4">
        <w:t xml:space="preserve">į neracionalios elgsenos </w:t>
      </w:r>
      <w:r w:rsidR="00FD6BE0">
        <w:t>„</w:t>
      </w:r>
      <w:r w:rsidR="003E50D4">
        <w:t>rėmus</w:t>
      </w:r>
      <w:r w:rsidR="00F204AF">
        <w:t>“</w:t>
      </w:r>
      <w:r w:rsidR="003E605A">
        <w:t>.</w:t>
      </w:r>
      <w:r w:rsidR="003A0F86">
        <w:t xml:space="preserve"> Tai – </w:t>
      </w:r>
      <w:r w:rsidR="005111A9">
        <w:t>jaunimas</w:t>
      </w:r>
      <w:r w:rsidR="00467677">
        <w:t xml:space="preserve"> ir kiti</w:t>
      </w:r>
      <w:r w:rsidR="004E0106">
        <w:t xml:space="preserve"> panaš</w:t>
      </w:r>
      <w:r w:rsidR="00641289">
        <w:t>ia mąstysena pasižymintys</w:t>
      </w:r>
      <w:r w:rsidR="00B852D2">
        <w:t xml:space="preserve"> asmenys</w:t>
      </w:r>
      <w:r w:rsidR="00476206">
        <w:t>, kuri</w:t>
      </w:r>
      <w:r w:rsidR="004E0106">
        <w:t>e</w:t>
      </w:r>
      <w:r w:rsidR="001C7188">
        <w:t xml:space="preserve"> vieną kartą </w:t>
      </w:r>
      <w:r w:rsidR="00641289">
        <w:t xml:space="preserve">valstybės </w:t>
      </w:r>
      <w:r w:rsidR="006907C0">
        <w:t>lėšo</w:t>
      </w:r>
      <w:r w:rsidR="00467677">
        <w:t xml:space="preserve">mis </w:t>
      </w:r>
      <w:r w:rsidR="001C7188">
        <w:t>pasinaudoja,</w:t>
      </w:r>
      <w:r w:rsidR="00747DAA">
        <w:t xml:space="preserve"> </w:t>
      </w:r>
      <w:r w:rsidR="001C7188">
        <w:t xml:space="preserve">užklupti </w:t>
      </w:r>
      <w:r w:rsidR="00310B98">
        <w:t xml:space="preserve">realaus </w:t>
      </w:r>
      <w:r w:rsidR="001C7188" w:rsidRPr="00DA7F8E">
        <w:t>nedarbo</w:t>
      </w:r>
      <w:r w:rsidR="00747DAA" w:rsidRPr="00DA7F8E">
        <w:t xml:space="preserve"> ar nepritekliaus, o kitą – tiesiog iš noro apgauti </w:t>
      </w:r>
      <w:r w:rsidR="003E50D4">
        <w:t xml:space="preserve">ar </w:t>
      </w:r>
      <w:r w:rsidR="007F59F9" w:rsidRPr="00DA7F8E">
        <w:t>pasirodyti už kitus gudresniais.</w:t>
      </w:r>
    </w:p>
    <w:p w:rsidR="00051FAD" w:rsidRDefault="00C47D0A" w:rsidP="00D47B5C">
      <w:r w:rsidRPr="00FA27D3">
        <w:rPr>
          <w:b/>
          <w:i/>
          <w:u w:val="single"/>
        </w:rPr>
        <w:t>Racionaliųjų</w:t>
      </w:r>
      <w:r w:rsidR="00C30173">
        <w:rPr>
          <w:b/>
          <w:i/>
          <w:u w:val="single"/>
        </w:rPr>
        <w:t xml:space="preserve"> išmok</w:t>
      </w:r>
      <w:r w:rsidR="009121EE" w:rsidRPr="00FA27D3">
        <w:rPr>
          <w:b/>
          <w:i/>
          <w:u w:val="single"/>
        </w:rPr>
        <w:t>ų gavėjų</w:t>
      </w:r>
      <w:r w:rsidRPr="00FA27D3">
        <w:rPr>
          <w:b/>
          <w:i/>
          <w:u w:val="single"/>
        </w:rPr>
        <w:t xml:space="preserve"> elgseną lemiantys veiksniai</w:t>
      </w:r>
      <w:r w:rsidRPr="00E536C1">
        <w:t>.</w:t>
      </w:r>
      <w:r w:rsidR="00842553" w:rsidRPr="00E706A6">
        <w:t xml:space="preserve"> Žvelgiant į </w:t>
      </w:r>
      <w:r w:rsidR="009121EE" w:rsidRPr="00E706A6">
        <w:t xml:space="preserve">šios grupės atstovus </w:t>
      </w:r>
      <w:r w:rsidR="00842553" w:rsidRPr="00E706A6">
        <w:t>kaip į socialinei apsaugai mažiausiai kenkiančius</w:t>
      </w:r>
      <w:r w:rsidR="009121EE" w:rsidRPr="00E706A6">
        <w:t xml:space="preserve"> žmones</w:t>
      </w:r>
      <w:r w:rsidR="0061462C">
        <w:t>, galima daryti prielaidą</w:t>
      </w:r>
      <w:r w:rsidR="005C19AF" w:rsidRPr="00E706A6">
        <w:t xml:space="preserve">, jog </w:t>
      </w:r>
      <w:r w:rsidR="005428E6">
        <w:t xml:space="preserve">tokią </w:t>
      </w:r>
      <w:r w:rsidR="005C19AF" w:rsidRPr="00E706A6">
        <w:t xml:space="preserve">jų elgseną labiausiai </w:t>
      </w:r>
      <w:r w:rsidR="002965A2">
        <w:t xml:space="preserve">lemia </w:t>
      </w:r>
      <w:r w:rsidR="00B07AAE">
        <w:t xml:space="preserve">nepalankūs </w:t>
      </w:r>
      <w:r w:rsidR="0061462C">
        <w:t>ekonominiai</w:t>
      </w:r>
      <w:r w:rsidR="00EE3354">
        <w:t xml:space="preserve"> </w:t>
      </w:r>
      <w:r w:rsidR="00652E83" w:rsidRPr="00D17F0E">
        <w:t xml:space="preserve">pokyčiai </w:t>
      </w:r>
      <w:r w:rsidR="0058239B" w:rsidRPr="0049634C">
        <w:t xml:space="preserve">ir, </w:t>
      </w:r>
      <w:r w:rsidR="00881E6D" w:rsidRPr="0049634C">
        <w:t xml:space="preserve">kai kuriais </w:t>
      </w:r>
      <w:r w:rsidR="00816A94" w:rsidRPr="0049634C">
        <w:t>atvejais</w:t>
      </w:r>
      <w:r w:rsidR="0058239B" w:rsidRPr="0049634C">
        <w:t>,</w:t>
      </w:r>
      <w:r w:rsidR="00816A94" w:rsidRPr="0049634C">
        <w:t xml:space="preserve"> </w:t>
      </w:r>
      <w:r w:rsidR="002965A2" w:rsidRPr="0049634C">
        <w:t>tam tikr</w:t>
      </w:r>
      <w:r w:rsidR="007C33E4" w:rsidRPr="0049634C">
        <w:t>i</w:t>
      </w:r>
      <w:r w:rsidR="002965A2" w:rsidRPr="00D17F0E">
        <w:t xml:space="preserve"> socialinių-demografinių veiksnių</w:t>
      </w:r>
      <w:r w:rsidR="00B07AAE" w:rsidRPr="00D17F0E">
        <w:t xml:space="preserve"> rinkin</w:t>
      </w:r>
      <w:r w:rsidR="007C33E4" w:rsidRPr="00D17F0E">
        <w:t>iai</w:t>
      </w:r>
      <w:r w:rsidR="00EE3354" w:rsidRPr="00D17F0E">
        <w:t>, kuri</w:t>
      </w:r>
      <w:r w:rsidR="007C33E4" w:rsidRPr="00D17F0E">
        <w:t>e</w:t>
      </w:r>
      <w:r w:rsidR="009313AC" w:rsidRPr="00D17F0E">
        <w:t xml:space="preserve"> </w:t>
      </w:r>
      <w:r w:rsidR="001F2FC0">
        <w:t xml:space="preserve">arba </w:t>
      </w:r>
      <w:r w:rsidR="009313AC" w:rsidRPr="00D17F0E">
        <w:t xml:space="preserve">užkerta </w:t>
      </w:r>
      <w:r w:rsidR="009313AC" w:rsidRPr="00CE2DE8">
        <w:t>kelią</w:t>
      </w:r>
      <w:r w:rsidR="00E2568E" w:rsidRPr="00CE2DE8">
        <w:t>,</w:t>
      </w:r>
      <w:r w:rsidR="009313AC" w:rsidRPr="00CE2DE8">
        <w:t xml:space="preserve"> </w:t>
      </w:r>
      <w:r w:rsidR="00F57BC3" w:rsidRPr="00CE2DE8">
        <w:t>siekiant sugrįžti</w:t>
      </w:r>
      <w:r w:rsidR="00F04825" w:rsidRPr="00CE2DE8">
        <w:t>,</w:t>
      </w:r>
      <w:r w:rsidR="00F57BC3" w:rsidRPr="00CE2DE8">
        <w:t xml:space="preserve"> </w:t>
      </w:r>
      <w:r w:rsidR="009313AC" w:rsidRPr="00CE2DE8">
        <w:t>arba</w:t>
      </w:r>
      <w:r w:rsidR="009313AC" w:rsidRPr="00D17F0E">
        <w:t xml:space="preserve"> </w:t>
      </w:r>
      <w:r w:rsidR="00506E29" w:rsidRPr="00D17F0E">
        <w:t xml:space="preserve">tampa kliūtimi, </w:t>
      </w:r>
      <w:r w:rsidR="00F57BC3" w:rsidRPr="00D17F0E">
        <w:t>siekiant</w:t>
      </w:r>
      <w:r w:rsidR="007D58E0" w:rsidRPr="00D17F0E">
        <w:t xml:space="preserve"> </w:t>
      </w:r>
      <w:r w:rsidR="009313AC" w:rsidRPr="00D17F0E">
        <w:t>įsilieti į darbo rinką.</w:t>
      </w:r>
    </w:p>
    <w:p w:rsidR="00D43540" w:rsidRDefault="00392DC7" w:rsidP="00D43540">
      <w:r w:rsidRPr="00E706A6">
        <w:t>Nagrinėjant finansinės elgsenos ypatumus,</w:t>
      </w:r>
      <w:r w:rsidR="00575913" w:rsidRPr="00E706A6">
        <w:t xml:space="preserve"> išsiaiškinta, jog ekonominiai veiksniai gali </w:t>
      </w:r>
      <w:r w:rsidR="005741F3">
        <w:t xml:space="preserve">būti </w:t>
      </w:r>
      <w:r w:rsidR="00FA57B1">
        <w:t>dvejopi</w:t>
      </w:r>
      <w:r w:rsidR="00DA1F51">
        <w:t>, t. y.</w:t>
      </w:r>
      <w:r w:rsidR="00FA57B1">
        <w:t xml:space="preserve"> </w:t>
      </w:r>
      <w:r w:rsidR="003525AA">
        <w:t>vidiniai,</w:t>
      </w:r>
      <w:r w:rsidR="00A1179C">
        <w:t xml:space="preserve"> kurie yra</w:t>
      </w:r>
      <w:r w:rsidR="003525AA">
        <w:t xml:space="preserve"> </w:t>
      </w:r>
      <w:r w:rsidR="00575913" w:rsidRPr="00E706A6">
        <w:t xml:space="preserve">susiję </w:t>
      </w:r>
      <w:r w:rsidR="00562171">
        <w:t xml:space="preserve">su </w:t>
      </w:r>
      <w:r w:rsidR="00FA57B1">
        <w:t xml:space="preserve">konkrečiu </w:t>
      </w:r>
      <w:r w:rsidR="00562171">
        <w:t xml:space="preserve">žmogumi </w:t>
      </w:r>
      <w:r w:rsidR="00796E95">
        <w:t>(</w:t>
      </w:r>
      <w:r w:rsidR="00237843">
        <w:t>pavyzdžiui, gaunamos</w:t>
      </w:r>
      <w:r w:rsidR="00796E95">
        <w:t xml:space="preserve"> pajamos)</w:t>
      </w:r>
      <w:r w:rsidR="003525AA">
        <w:t>,</w:t>
      </w:r>
      <w:r w:rsidR="00A1179C">
        <w:t xml:space="preserve"> ir išoriniai</w:t>
      </w:r>
      <w:r w:rsidR="00237843">
        <w:t xml:space="preserve">, kurie nuo žmogaus nepriklauso (pavyzdžiui, </w:t>
      </w:r>
      <w:r w:rsidR="001B58DD">
        <w:t xml:space="preserve">pablogėjusi </w:t>
      </w:r>
      <w:r w:rsidR="00237843">
        <w:t xml:space="preserve">ekonominė padėtis, </w:t>
      </w:r>
      <w:r w:rsidR="00B53761">
        <w:t xml:space="preserve">didelis </w:t>
      </w:r>
      <w:r w:rsidR="00237843">
        <w:t>ne</w:t>
      </w:r>
      <w:r w:rsidR="00601370">
        <w:t>darbas</w:t>
      </w:r>
      <w:r w:rsidR="00B53761">
        <w:t>)</w:t>
      </w:r>
      <w:r w:rsidR="00E265A4">
        <w:t>.</w:t>
      </w:r>
      <w:r w:rsidR="00BD6207">
        <w:t xml:space="preserve"> </w:t>
      </w:r>
      <w:r w:rsidR="00601370">
        <w:t>Reikėtų atkreipti dėmesį, jog, e</w:t>
      </w:r>
      <w:r w:rsidR="00AC1834">
        <w:t xml:space="preserve">sant pirmųjų veiksnių pokyčiams, </w:t>
      </w:r>
      <w:r w:rsidR="00527C71">
        <w:t xml:space="preserve">paprastai </w:t>
      </w:r>
      <w:r w:rsidR="00112F59">
        <w:t xml:space="preserve">keičiasi </w:t>
      </w:r>
      <w:r w:rsidR="008871CD">
        <w:t xml:space="preserve">ir </w:t>
      </w:r>
      <w:r w:rsidR="00527C71" w:rsidRPr="002A0D37">
        <w:rPr>
          <w:b/>
          <w:i/>
        </w:rPr>
        <w:t xml:space="preserve">santykinės </w:t>
      </w:r>
      <w:r w:rsidR="00095D28" w:rsidRPr="002A0D37">
        <w:rPr>
          <w:b/>
          <w:i/>
        </w:rPr>
        <w:t>namų ūki</w:t>
      </w:r>
      <w:r w:rsidR="008912E4" w:rsidRPr="002A0D37">
        <w:rPr>
          <w:b/>
          <w:i/>
        </w:rPr>
        <w:t>o</w:t>
      </w:r>
      <w:r w:rsidR="00095D28" w:rsidRPr="002A0D37">
        <w:rPr>
          <w:b/>
          <w:i/>
        </w:rPr>
        <w:t xml:space="preserve"> </w:t>
      </w:r>
      <w:r w:rsidR="00527C71" w:rsidRPr="002A0D37">
        <w:rPr>
          <w:b/>
          <w:i/>
        </w:rPr>
        <w:t>pajamos</w:t>
      </w:r>
      <w:r w:rsidR="00160CAB">
        <w:t xml:space="preserve">, </w:t>
      </w:r>
      <w:r w:rsidR="00527C71">
        <w:t xml:space="preserve">o tai reiškia, </w:t>
      </w:r>
      <w:r w:rsidR="00D37F1F">
        <w:t>kad</w:t>
      </w:r>
      <w:r w:rsidR="009B6AF2">
        <w:t>, smarkiai sumažėjus</w:t>
      </w:r>
      <w:r w:rsidR="00095D28">
        <w:t xml:space="preserve"> </w:t>
      </w:r>
      <w:r w:rsidR="00CC047B">
        <w:t xml:space="preserve">šeimos </w:t>
      </w:r>
      <w:r w:rsidR="00095D28" w:rsidRPr="002A0D37">
        <w:t>pajamoms</w:t>
      </w:r>
      <w:r w:rsidR="00440B51">
        <w:t xml:space="preserve">, </w:t>
      </w:r>
      <w:r w:rsidR="00AC476B">
        <w:t xml:space="preserve">tampa sunku </w:t>
      </w:r>
      <w:r w:rsidR="00112F59">
        <w:t xml:space="preserve">išlaikyti įprastą </w:t>
      </w:r>
      <w:r w:rsidR="00160CAB">
        <w:t>poreiki</w:t>
      </w:r>
      <w:r w:rsidR="00FC4D36">
        <w:t>ų tenkinimo lyg</w:t>
      </w:r>
      <w:r w:rsidR="00AC476B">
        <w:t>į</w:t>
      </w:r>
      <w:r w:rsidR="00112F59">
        <w:t>,</w:t>
      </w:r>
      <w:r w:rsidR="0091490A">
        <w:t xml:space="preserve"> ir dėl to </w:t>
      </w:r>
      <w:r w:rsidR="00D31EB8">
        <w:t xml:space="preserve">atsiranda </w:t>
      </w:r>
      <w:r w:rsidR="00321544">
        <w:t xml:space="preserve">būtinybė </w:t>
      </w:r>
      <w:r w:rsidR="008135F2">
        <w:t xml:space="preserve">gauti </w:t>
      </w:r>
      <w:r w:rsidR="00DC2CB9">
        <w:t xml:space="preserve">pajamų </w:t>
      </w:r>
      <w:r w:rsidR="008135F2">
        <w:t xml:space="preserve">iš kitų </w:t>
      </w:r>
      <w:r w:rsidR="00DC2CB9">
        <w:t>šaltinių</w:t>
      </w:r>
      <w:r w:rsidR="00490853">
        <w:t>.</w:t>
      </w:r>
      <w:r w:rsidR="0091490A">
        <w:t xml:space="preserve"> </w:t>
      </w:r>
      <w:r w:rsidR="00A30334">
        <w:t>Kadangi t</w:t>
      </w:r>
      <w:r w:rsidR="00AC09AA">
        <w:t>okia situacija</w:t>
      </w:r>
      <w:r w:rsidR="007D010A">
        <w:t xml:space="preserve"> </w:t>
      </w:r>
      <w:r w:rsidR="000563FF">
        <w:t>tarp racionaliųjų išmok</w:t>
      </w:r>
      <w:r w:rsidR="0083718E">
        <w:t xml:space="preserve">ų gavėjų </w:t>
      </w:r>
      <w:r w:rsidR="002B1747">
        <w:t xml:space="preserve">dažniausiai </w:t>
      </w:r>
      <w:r w:rsidR="0083718E">
        <w:t>susiklosto</w:t>
      </w:r>
      <w:r w:rsidR="00A6437B">
        <w:t>,</w:t>
      </w:r>
      <w:r w:rsidR="00A6437B" w:rsidRPr="00A6437B">
        <w:t xml:space="preserve"> </w:t>
      </w:r>
      <w:r w:rsidR="00FC53E3">
        <w:t>esant</w:t>
      </w:r>
      <w:r w:rsidR="000563FF">
        <w:t xml:space="preserve"> </w:t>
      </w:r>
      <w:r w:rsidR="000563FF" w:rsidRPr="000563FF">
        <w:rPr>
          <w:b/>
          <w:i/>
        </w:rPr>
        <w:t>neigiamiems</w:t>
      </w:r>
      <w:r w:rsidR="00FC53E3" w:rsidRPr="000563FF">
        <w:rPr>
          <w:b/>
          <w:i/>
        </w:rPr>
        <w:t xml:space="preserve"> </w:t>
      </w:r>
      <w:r w:rsidR="00FC53E3" w:rsidRPr="00FC53E3">
        <w:rPr>
          <w:b/>
          <w:i/>
        </w:rPr>
        <w:t>pokyčiams</w:t>
      </w:r>
      <w:r w:rsidR="00FC53E3" w:rsidRPr="00FC53E3">
        <w:rPr>
          <w:i/>
        </w:rPr>
        <w:t xml:space="preserve"> </w:t>
      </w:r>
      <w:r w:rsidR="004F61D5" w:rsidRPr="00FC53E3">
        <w:rPr>
          <w:b/>
          <w:i/>
        </w:rPr>
        <w:t>darbo rinkoje</w:t>
      </w:r>
      <w:r w:rsidR="00CC738D">
        <w:t>,</w:t>
      </w:r>
      <w:r w:rsidR="00A6437B">
        <w:t xml:space="preserve"> galima teigti, jog </w:t>
      </w:r>
      <w:r w:rsidR="002B1747">
        <w:t>socialinės išmok</w:t>
      </w:r>
      <w:r w:rsidR="00F40C01">
        <w:t>os yra p</w:t>
      </w:r>
      <w:r w:rsidR="0001654C">
        <w:t>irminės</w:t>
      </w:r>
      <w:r w:rsidR="00824C06">
        <w:t xml:space="preserve"> (</w:t>
      </w:r>
      <w:r w:rsidR="00B67F52">
        <w:t xml:space="preserve">tačiau </w:t>
      </w:r>
      <w:r w:rsidR="00450E5F">
        <w:t>laikinos</w:t>
      </w:r>
      <w:r w:rsidR="00824C06">
        <w:t>)</w:t>
      </w:r>
      <w:r w:rsidR="00450E5F">
        <w:t xml:space="preserve"> </w:t>
      </w:r>
      <w:r w:rsidR="002B1747">
        <w:t>tokių asmen</w:t>
      </w:r>
      <w:r w:rsidR="00540206">
        <w:t xml:space="preserve">ų </w:t>
      </w:r>
      <w:r w:rsidR="000C7856">
        <w:t>netek</w:t>
      </w:r>
      <w:r w:rsidR="00540206">
        <w:t xml:space="preserve">tų </w:t>
      </w:r>
      <w:r w:rsidR="0057168C">
        <w:t xml:space="preserve">pajamų kompensavimo </w:t>
      </w:r>
      <w:r w:rsidR="0057168C" w:rsidRPr="00F647E3">
        <w:t>priemonės</w:t>
      </w:r>
      <w:r w:rsidR="00DD28C5" w:rsidRPr="00F647E3">
        <w:t>.</w:t>
      </w:r>
      <w:r w:rsidR="00D43540" w:rsidRPr="00F647E3">
        <w:t xml:space="preserve"> </w:t>
      </w:r>
      <w:r w:rsidR="00DD28C5" w:rsidRPr="00F647E3">
        <w:t>V</w:t>
      </w:r>
      <w:r w:rsidR="00C349B5" w:rsidRPr="00F647E3">
        <w:t>adinasi,</w:t>
      </w:r>
      <w:r w:rsidR="00B67F52">
        <w:t xml:space="preserve"> reikėtų kelti klausimą</w:t>
      </w:r>
      <w:r w:rsidR="00EA40AC">
        <w:t>,</w:t>
      </w:r>
      <w:r w:rsidR="00DB104C">
        <w:t xml:space="preserve"> ne „kodėl </w:t>
      </w:r>
      <w:r w:rsidR="00D43540" w:rsidRPr="00986086">
        <w:t>renka</w:t>
      </w:r>
      <w:r w:rsidR="00DB104C" w:rsidRPr="00986086">
        <w:t>ma</w:t>
      </w:r>
      <w:r w:rsidR="00D43540" w:rsidRPr="00986086">
        <w:t>si būti“,</w:t>
      </w:r>
      <w:r w:rsidR="00D43540" w:rsidRPr="00F647E3">
        <w:t xml:space="preserve"> o </w:t>
      </w:r>
      <w:r w:rsidR="00D43540" w:rsidRPr="00986086">
        <w:t xml:space="preserve">„kodėl tenka tapti“ </w:t>
      </w:r>
      <w:r w:rsidR="00B67F52">
        <w:t xml:space="preserve">išmokų </w:t>
      </w:r>
      <w:r w:rsidR="00D43540" w:rsidRPr="00F647E3">
        <w:t>gavėjais</w:t>
      </w:r>
      <w:r w:rsidR="00FC53E3">
        <w:t>,</w:t>
      </w:r>
      <w:r w:rsidR="00E4259E">
        <w:t xml:space="preserve"> ir </w:t>
      </w:r>
      <w:r w:rsidR="00EA40AC">
        <w:t xml:space="preserve">tokiu būdu </w:t>
      </w:r>
      <w:r w:rsidR="00EB288E" w:rsidRPr="00986086">
        <w:rPr>
          <w:i/>
        </w:rPr>
        <w:t>atskleisti</w:t>
      </w:r>
      <w:r w:rsidR="00D43540" w:rsidRPr="00986086">
        <w:rPr>
          <w:i/>
        </w:rPr>
        <w:t xml:space="preserve">, </w:t>
      </w:r>
      <w:r w:rsidR="00DB104C" w:rsidRPr="00986086">
        <w:rPr>
          <w:i/>
        </w:rPr>
        <w:t>k</w:t>
      </w:r>
      <w:r w:rsidR="00DC1DBA" w:rsidRPr="00986086">
        <w:rPr>
          <w:i/>
        </w:rPr>
        <w:t>as</w:t>
      </w:r>
      <w:r w:rsidR="00DB104C" w:rsidRPr="00986086">
        <w:rPr>
          <w:i/>
        </w:rPr>
        <w:t xml:space="preserve"> </w:t>
      </w:r>
      <w:r w:rsidR="00BE3E8D" w:rsidRPr="00986086">
        <w:rPr>
          <w:i/>
        </w:rPr>
        <w:t>trukdo</w:t>
      </w:r>
      <w:r w:rsidR="00BE3E8D" w:rsidRPr="00F647E3">
        <w:t xml:space="preserve"> </w:t>
      </w:r>
      <w:r w:rsidR="00746CD9">
        <w:t xml:space="preserve">šios grupės atstovams </w:t>
      </w:r>
      <w:r w:rsidR="00D31BD5" w:rsidRPr="00986086">
        <w:rPr>
          <w:i/>
        </w:rPr>
        <w:t>prisitaikyti</w:t>
      </w:r>
      <w:r w:rsidR="002D5549">
        <w:t xml:space="preserve"> prie </w:t>
      </w:r>
      <w:r w:rsidR="00EA40AC">
        <w:t xml:space="preserve">ekonominių pokyčių </w:t>
      </w:r>
      <w:r w:rsidR="00986086" w:rsidRPr="002D5549">
        <w:rPr>
          <w:i/>
        </w:rPr>
        <w:t xml:space="preserve">ir </w:t>
      </w:r>
      <w:r w:rsidR="002D5549">
        <w:rPr>
          <w:i/>
        </w:rPr>
        <w:t xml:space="preserve">išlaikyti </w:t>
      </w:r>
      <w:r w:rsidR="00DC1DBA" w:rsidRPr="002D5549">
        <w:rPr>
          <w:i/>
        </w:rPr>
        <w:t>darbo</w:t>
      </w:r>
      <w:r w:rsidR="002D5549">
        <w:rPr>
          <w:i/>
        </w:rPr>
        <w:t xml:space="preserve"> vietą</w:t>
      </w:r>
      <w:r w:rsidR="00C66BC4" w:rsidRPr="00F647E3">
        <w:t>.</w:t>
      </w:r>
    </w:p>
    <w:p w:rsidR="00DB698B" w:rsidRPr="00364400" w:rsidRDefault="00F31EA8" w:rsidP="00D47B5C">
      <w:pPr>
        <w:rPr>
          <w:lang w:val="en-US"/>
        </w:rPr>
      </w:pPr>
      <w:r w:rsidRPr="00364400">
        <w:t xml:space="preserve">Anot </w:t>
      </w:r>
      <w:r w:rsidR="00495E95" w:rsidRPr="00364400">
        <w:t>Skučienė</w:t>
      </w:r>
      <w:r w:rsidRPr="00364400">
        <w:t>s</w:t>
      </w:r>
      <w:r w:rsidR="00527B5E" w:rsidRPr="00364400">
        <w:t>,</w:t>
      </w:r>
      <w:r w:rsidR="00495E95" w:rsidRPr="00364400">
        <w:t xml:space="preserve"> </w:t>
      </w:r>
      <w:proofErr w:type="spellStart"/>
      <w:r w:rsidR="00527B5E" w:rsidRPr="00364400">
        <w:t>Moskvinos</w:t>
      </w:r>
      <w:proofErr w:type="spellEnd"/>
      <w:r w:rsidR="00527B5E" w:rsidRPr="00364400">
        <w:t xml:space="preserve"> </w:t>
      </w:r>
      <w:r w:rsidR="00495E95" w:rsidRPr="00364400">
        <w:t>(2009</w:t>
      </w:r>
      <w:r w:rsidRPr="00364400">
        <w:t>),</w:t>
      </w:r>
      <w:r w:rsidR="00495E95" w:rsidRPr="00364400">
        <w:t xml:space="preserve"> </w:t>
      </w:r>
      <w:r w:rsidR="004B1B29" w:rsidRPr="00364400">
        <w:t>„</w:t>
      </w:r>
      <w:r w:rsidR="00315A14" w:rsidRPr="00364400">
        <w:t>užimt</w:t>
      </w:r>
      <w:r w:rsidR="004B1B29" w:rsidRPr="00364400">
        <w:t>umo saugumas gali būti pagerinamas, kai</w:t>
      </w:r>
      <w:r w:rsidR="00315A14" w:rsidRPr="00364400">
        <w:t xml:space="preserve"> visą gyvenimą keliama profesinė kvalifikacija</w:t>
      </w:r>
      <w:r w:rsidR="004B1B29" w:rsidRPr="00364400">
        <w:t>“</w:t>
      </w:r>
      <w:r w:rsidR="00E26D94" w:rsidRPr="00364400">
        <w:t xml:space="preserve"> (p. 27)</w:t>
      </w:r>
      <w:r w:rsidR="00171F32" w:rsidRPr="00364400">
        <w:t>, o tai reiškia, jog</w:t>
      </w:r>
      <w:r w:rsidR="00005D31" w:rsidRPr="00364400">
        <w:t xml:space="preserve">, </w:t>
      </w:r>
      <w:r w:rsidR="002D2699" w:rsidRPr="00364400">
        <w:t xml:space="preserve">turint </w:t>
      </w:r>
      <w:r w:rsidR="00FC4370" w:rsidRPr="00364400">
        <w:t xml:space="preserve">prastą </w:t>
      </w:r>
      <w:r w:rsidR="00005D31" w:rsidRPr="00364400">
        <w:rPr>
          <w:b/>
          <w:i/>
        </w:rPr>
        <w:t>išsilavinimą</w:t>
      </w:r>
      <w:r w:rsidR="00A446CC" w:rsidRPr="00364400">
        <w:t xml:space="preserve">, nedidelę </w:t>
      </w:r>
      <w:r w:rsidR="00A446CC" w:rsidRPr="00364400">
        <w:rPr>
          <w:b/>
          <w:i/>
        </w:rPr>
        <w:t>darbo patirtį</w:t>
      </w:r>
      <w:r w:rsidR="00005D31" w:rsidRPr="00364400">
        <w:t xml:space="preserve"> ar nepaklausią</w:t>
      </w:r>
      <w:r w:rsidR="00C87260" w:rsidRPr="00364400">
        <w:rPr>
          <w:b/>
          <w:i/>
        </w:rPr>
        <w:t xml:space="preserve"> profesiją</w:t>
      </w:r>
      <w:r w:rsidR="00AB23B0" w:rsidRPr="00364400">
        <w:t xml:space="preserve">, </w:t>
      </w:r>
      <w:r w:rsidR="00A56DBF" w:rsidRPr="00364400">
        <w:t xml:space="preserve">gresia </w:t>
      </w:r>
      <w:r w:rsidR="00AB23B0" w:rsidRPr="00364400">
        <w:t>rizika</w:t>
      </w:r>
      <w:r w:rsidR="00293392" w:rsidRPr="00364400">
        <w:t xml:space="preserve"> negauti </w:t>
      </w:r>
      <w:r w:rsidR="00CF6869" w:rsidRPr="00364400">
        <w:t xml:space="preserve">darbo </w:t>
      </w:r>
      <w:r w:rsidR="00293392" w:rsidRPr="00364400">
        <w:t>arba prarasti</w:t>
      </w:r>
      <w:r w:rsidR="00B119FA" w:rsidRPr="00364400">
        <w:t xml:space="preserve"> jau turimą</w:t>
      </w:r>
      <w:r w:rsidR="00B8086F" w:rsidRPr="00364400">
        <w:t xml:space="preserve">. </w:t>
      </w:r>
      <w:r w:rsidR="005D42B9" w:rsidRPr="00364400">
        <w:t xml:space="preserve">Esant tokiam atvejui, </w:t>
      </w:r>
      <w:r w:rsidR="00154C83" w:rsidRPr="00364400">
        <w:t xml:space="preserve">įsilieti </w:t>
      </w:r>
      <w:r w:rsidR="005451E7" w:rsidRPr="00364400">
        <w:t>į darbo rinką</w:t>
      </w:r>
      <w:r w:rsidR="005D42B9" w:rsidRPr="00364400">
        <w:t xml:space="preserve"> galima</w:t>
      </w:r>
      <w:r w:rsidR="005451E7" w:rsidRPr="00364400">
        <w:t xml:space="preserve"> </w:t>
      </w:r>
      <w:r w:rsidR="005D42B9" w:rsidRPr="00364400">
        <w:t>tik</w:t>
      </w:r>
      <w:r w:rsidR="009417D2" w:rsidRPr="00364400">
        <w:t>,</w:t>
      </w:r>
      <w:r w:rsidR="00254670" w:rsidRPr="00364400">
        <w:t xml:space="preserve"> </w:t>
      </w:r>
      <w:r w:rsidR="00615D05" w:rsidRPr="00364400">
        <w:t>įg</w:t>
      </w:r>
      <w:r w:rsidR="005D42B9" w:rsidRPr="00364400">
        <w:t>ijus</w:t>
      </w:r>
      <w:r w:rsidR="004D6E29" w:rsidRPr="00364400">
        <w:t xml:space="preserve"> patirties</w:t>
      </w:r>
      <w:r w:rsidR="00CF6869" w:rsidRPr="00364400">
        <w:t>, išsimokslinus</w:t>
      </w:r>
      <w:r w:rsidR="00265E27" w:rsidRPr="00364400">
        <w:t xml:space="preserve"> ar pakeitus</w:t>
      </w:r>
      <w:r w:rsidR="00B71D54" w:rsidRPr="00364400">
        <w:t xml:space="preserve"> </w:t>
      </w:r>
      <w:r w:rsidR="00254670" w:rsidRPr="00364400">
        <w:t>profesiją,</w:t>
      </w:r>
      <w:r w:rsidR="00903854" w:rsidRPr="00364400">
        <w:t xml:space="preserve"> t</w:t>
      </w:r>
      <w:r w:rsidR="003B3C5B" w:rsidRPr="00364400">
        <w:t>odėl</w:t>
      </w:r>
      <w:r w:rsidR="004961E3" w:rsidRPr="00364400">
        <w:t xml:space="preserve"> tokiems žmonėms</w:t>
      </w:r>
      <w:r w:rsidR="002B0603" w:rsidRPr="00364400">
        <w:t>, kurie neturi</w:t>
      </w:r>
      <w:r w:rsidR="00EB1E4F" w:rsidRPr="00364400">
        <w:t xml:space="preserve"> galimybės </w:t>
      </w:r>
      <w:r w:rsidR="006E3B0E" w:rsidRPr="00364400">
        <w:t xml:space="preserve">nei </w:t>
      </w:r>
      <w:r w:rsidR="00BE5E29" w:rsidRPr="00364400">
        <w:t>įsi</w:t>
      </w:r>
      <w:r w:rsidR="006E3B0E" w:rsidRPr="00364400">
        <w:t>d</w:t>
      </w:r>
      <w:r w:rsidR="00BE5E29" w:rsidRPr="00364400">
        <w:t>a</w:t>
      </w:r>
      <w:r w:rsidR="006E3B0E" w:rsidRPr="00364400">
        <w:t>rb</w:t>
      </w:r>
      <w:r w:rsidR="00BE5E29" w:rsidRPr="00364400">
        <w:t>in</w:t>
      </w:r>
      <w:r w:rsidR="006E3B0E" w:rsidRPr="00364400">
        <w:t>ti, nei</w:t>
      </w:r>
      <w:r w:rsidR="00185C86" w:rsidRPr="00364400">
        <w:t xml:space="preserve"> tęsti mokslų</w:t>
      </w:r>
      <w:r w:rsidR="008454BF" w:rsidRPr="00364400">
        <w:t>,</w:t>
      </w:r>
      <w:r w:rsidR="00DE7A34" w:rsidRPr="00364400">
        <w:t xml:space="preserve"> – </w:t>
      </w:r>
      <w:r w:rsidR="00DE7A34" w:rsidRPr="00364400">
        <w:rPr>
          <w:i/>
        </w:rPr>
        <w:t>tiek</w:t>
      </w:r>
      <w:r w:rsidR="00F2027E" w:rsidRPr="00364400">
        <w:rPr>
          <w:i/>
        </w:rPr>
        <w:t xml:space="preserve"> dėl </w:t>
      </w:r>
      <w:r w:rsidR="00A309CC" w:rsidRPr="00364400">
        <w:rPr>
          <w:i/>
        </w:rPr>
        <w:t>nesug</w:t>
      </w:r>
      <w:r w:rsidR="006E3B0E" w:rsidRPr="00364400">
        <w:rPr>
          <w:i/>
        </w:rPr>
        <w:t>e</w:t>
      </w:r>
      <w:r w:rsidR="00A309CC" w:rsidRPr="00364400">
        <w:rPr>
          <w:i/>
        </w:rPr>
        <w:t>bėjimo</w:t>
      </w:r>
      <w:r w:rsidR="006E3B0E" w:rsidRPr="00364400">
        <w:rPr>
          <w:i/>
        </w:rPr>
        <w:t xml:space="preserve"> realizuoti </w:t>
      </w:r>
      <w:r w:rsidR="007C389B" w:rsidRPr="00364400">
        <w:rPr>
          <w:i/>
        </w:rPr>
        <w:t xml:space="preserve">savo </w:t>
      </w:r>
      <w:r w:rsidR="006E3B0E" w:rsidRPr="00364400">
        <w:rPr>
          <w:i/>
        </w:rPr>
        <w:t xml:space="preserve">teisių, tiek </w:t>
      </w:r>
      <w:r w:rsidR="00BE5E29" w:rsidRPr="00364400">
        <w:rPr>
          <w:i/>
        </w:rPr>
        <w:t xml:space="preserve">ir </w:t>
      </w:r>
      <w:r w:rsidR="006E3B0E" w:rsidRPr="00364400">
        <w:rPr>
          <w:i/>
        </w:rPr>
        <w:t xml:space="preserve">dėl </w:t>
      </w:r>
      <w:r w:rsidR="004F1454" w:rsidRPr="00364400">
        <w:rPr>
          <w:i/>
        </w:rPr>
        <w:t xml:space="preserve">sukaupto </w:t>
      </w:r>
      <w:r w:rsidR="007C389B" w:rsidRPr="00364400">
        <w:rPr>
          <w:i/>
        </w:rPr>
        <w:t>finansinio rezervo nepakankamumo</w:t>
      </w:r>
      <w:r w:rsidR="00BE5E29" w:rsidRPr="00364400">
        <w:t>,</w:t>
      </w:r>
      <w:r w:rsidR="007C389B" w:rsidRPr="00364400">
        <w:t xml:space="preserve"> – </w:t>
      </w:r>
      <w:r w:rsidR="008454BF" w:rsidRPr="00364400">
        <w:t xml:space="preserve">lieka </w:t>
      </w:r>
      <w:r w:rsidR="00402C68" w:rsidRPr="00364400">
        <w:t xml:space="preserve">tik </w:t>
      </w:r>
      <w:r w:rsidR="008454BF" w:rsidRPr="00364400">
        <w:t>viena</w:t>
      </w:r>
      <w:r w:rsidR="00BE5E29" w:rsidRPr="00364400">
        <w:t xml:space="preserve"> išeitis, t. y. </w:t>
      </w:r>
      <w:r w:rsidR="004961E3" w:rsidRPr="00364400">
        <w:t xml:space="preserve">registruotis </w:t>
      </w:r>
      <w:r w:rsidR="00EC458B" w:rsidRPr="00364400">
        <w:t xml:space="preserve">teritorinėje </w:t>
      </w:r>
      <w:r w:rsidR="004961E3" w:rsidRPr="00364400">
        <w:t>darbo biržoje</w:t>
      </w:r>
      <w:r w:rsidR="002473C7" w:rsidRPr="00364400">
        <w:t xml:space="preserve"> </w:t>
      </w:r>
      <w:r w:rsidR="002473C7" w:rsidRPr="00364400">
        <w:rPr>
          <w:i/>
        </w:rPr>
        <w:t>ir</w:t>
      </w:r>
      <w:r w:rsidR="002473C7" w:rsidRPr="00364400">
        <w:t xml:space="preserve"> sudalyvauti </w:t>
      </w:r>
      <w:r w:rsidR="00326026" w:rsidRPr="00364400">
        <w:t xml:space="preserve">profesiniuose mokymuose </w:t>
      </w:r>
      <w:r w:rsidR="00CE1407" w:rsidRPr="00364400">
        <w:t>arba</w:t>
      </w:r>
      <w:r w:rsidR="00326026" w:rsidRPr="00364400">
        <w:t xml:space="preserve"> </w:t>
      </w:r>
      <w:r w:rsidR="00C77DC6" w:rsidRPr="00364400">
        <w:t xml:space="preserve">pasinaudoti </w:t>
      </w:r>
      <w:r w:rsidR="00925BEA" w:rsidRPr="00364400">
        <w:t>remiamojo įdarbinimo priemonė</w:t>
      </w:r>
      <w:r w:rsidR="00C77DC6" w:rsidRPr="00364400">
        <w:t>mis</w:t>
      </w:r>
      <w:r w:rsidR="002473C7" w:rsidRPr="00364400">
        <w:t>.</w:t>
      </w:r>
    </w:p>
    <w:p w:rsidR="00842A2A" w:rsidRPr="00364400" w:rsidRDefault="008D1603" w:rsidP="00D47B5C">
      <w:r w:rsidRPr="00364400">
        <w:lastRenderedPageBreak/>
        <w:t xml:space="preserve">Atkreiptinas dėmesys, jog </w:t>
      </w:r>
      <w:r w:rsidR="005E3B45" w:rsidRPr="00364400">
        <w:t>įsidarbinti, net ir</w:t>
      </w:r>
      <w:r w:rsidR="00FC71BA" w:rsidRPr="00364400">
        <w:t xml:space="preserve"> </w:t>
      </w:r>
      <w:r w:rsidR="00E83951" w:rsidRPr="00364400">
        <w:t xml:space="preserve">įgijus </w:t>
      </w:r>
      <w:r w:rsidR="00FC71BA" w:rsidRPr="00364400">
        <w:t>reikiamą</w:t>
      </w:r>
      <w:r w:rsidR="00442CC8" w:rsidRPr="00364400">
        <w:t xml:space="preserve"> kvalifikaciją</w:t>
      </w:r>
      <w:r w:rsidR="005E3B45" w:rsidRPr="00364400">
        <w:t xml:space="preserve">, </w:t>
      </w:r>
      <w:r w:rsidR="00166490" w:rsidRPr="00364400">
        <w:t>gali būti sudėtinga dėl</w:t>
      </w:r>
      <w:r w:rsidRPr="00364400">
        <w:t xml:space="preserve"> kitų priežasčių, pavyzdžiui,</w:t>
      </w:r>
      <w:r w:rsidR="00166490" w:rsidRPr="00364400">
        <w:t xml:space="preserve"> </w:t>
      </w:r>
      <w:r w:rsidR="00166490" w:rsidRPr="00364400">
        <w:rPr>
          <w:b/>
          <w:i/>
        </w:rPr>
        <w:t>sveikatos sutrikimų</w:t>
      </w:r>
      <w:r w:rsidR="00166490" w:rsidRPr="00364400">
        <w:t>, kurie nebūtinai turi būti siejami su</w:t>
      </w:r>
      <w:r w:rsidR="00FB5041" w:rsidRPr="00364400">
        <w:t xml:space="preserve"> </w:t>
      </w:r>
      <w:proofErr w:type="spellStart"/>
      <w:r w:rsidR="00D858B3" w:rsidRPr="00364400">
        <w:t>neįgalumu</w:t>
      </w:r>
      <w:proofErr w:type="spellEnd"/>
      <w:r w:rsidR="00D858B3" w:rsidRPr="00364400">
        <w:t xml:space="preserve"> </w:t>
      </w:r>
      <w:r w:rsidR="00FB5041" w:rsidRPr="00364400">
        <w:t xml:space="preserve">ar kitais </w:t>
      </w:r>
      <w:r w:rsidR="00490D55" w:rsidRPr="00364400">
        <w:t>rimtais sutrikimais</w:t>
      </w:r>
      <w:r w:rsidR="00D858B3" w:rsidRPr="00364400">
        <w:t>. Šio veiksnio įtaką</w:t>
      </w:r>
      <w:r w:rsidR="00EC4FDA" w:rsidRPr="00364400">
        <w:t xml:space="preserve"> </w:t>
      </w:r>
      <w:r w:rsidR="00D858B3" w:rsidRPr="00364400">
        <w:t>įžvelgia</w:t>
      </w:r>
      <w:r w:rsidR="00EC4FDA" w:rsidRPr="00364400">
        <w:t xml:space="preserve"> </w:t>
      </w:r>
      <w:proofErr w:type="spellStart"/>
      <w:r w:rsidR="00EC4FDA" w:rsidRPr="00364400">
        <w:t>Kawachi</w:t>
      </w:r>
      <w:proofErr w:type="spellEnd"/>
      <w:r w:rsidR="007F409C" w:rsidRPr="00364400">
        <w:t xml:space="preserve"> (2006), kuris</w:t>
      </w:r>
      <w:r w:rsidR="00B03325" w:rsidRPr="00364400">
        <w:t xml:space="preserve"> teigia, jog</w:t>
      </w:r>
      <w:r w:rsidR="00BE2082" w:rsidRPr="00364400">
        <w:t xml:space="preserve"> </w:t>
      </w:r>
      <w:r w:rsidR="00985D48" w:rsidRPr="00364400">
        <w:t>„</w:t>
      </w:r>
      <w:r w:rsidR="00BE2082" w:rsidRPr="00364400">
        <w:t>pajamos yra labai susijusios su sveikatos būkle</w:t>
      </w:r>
      <w:r w:rsidR="00985D48" w:rsidRPr="00364400">
        <w:t>“</w:t>
      </w:r>
      <w:r w:rsidR="00FC4E59" w:rsidRPr="00364400">
        <w:t xml:space="preserve">, </w:t>
      </w:r>
      <w:r w:rsidR="005131FB" w:rsidRPr="00364400">
        <w:t>nes</w:t>
      </w:r>
      <w:r w:rsidR="00FC4E59" w:rsidRPr="00364400">
        <w:t xml:space="preserve"> </w:t>
      </w:r>
      <w:r w:rsidR="005131FB" w:rsidRPr="00364400">
        <w:t xml:space="preserve">garantuoja </w:t>
      </w:r>
      <w:r w:rsidR="00985D48" w:rsidRPr="00364400">
        <w:t>„</w:t>
      </w:r>
      <w:r w:rsidR="00E00351" w:rsidRPr="00364400">
        <w:t>didesnes galimybes įsigyti prekes ir paslaugas, kurios palaiko sveikatą</w:t>
      </w:r>
      <w:r w:rsidR="00985D48" w:rsidRPr="00364400">
        <w:t>“</w:t>
      </w:r>
      <w:r w:rsidR="007F409C" w:rsidRPr="00364400">
        <w:t xml:space="preserve"> </w:t>
      </w:r>
      <w:r w:rsidR="00E00351" w:rsidRPr="00364400">
        <w:t>(</w:t>
      </w:r>
      <w:r w:rsidR="007F409C" w:rsidRPr="00364400">
        <w:t>Skučien</w:t>
      </w:r>
      <w:r w:rsidR="00AA77A2" w:rsidRPr="00364400">
        <w:t>ė</w:t>
      </w:r>
      <w:r w:rsidR="007F409C" w:rsidRPr="00364400">
        <w:t xml:space="preserve"> 2008</w:t>
      </w:r>
      <w:r w:rsidR="00FC4E59" w:rsidRPr="00364400">
        <w:t>, p. 26</w:t>
      </w:r>
      <w:r w:rsidR="007F409C" w:rsidRPr="00364400">
        <w:t>)</w:t>
      </w:r>
      <w:r w:rsidR="00E00351" w:rsidRPr="00364400">
        <w:t>.</w:t>
      </w:r>
      <w:r w:rsidR="00F31022" w:rsidRPr="00364400">
        <w:t xml:space="preserve"> Tai</w:t>
      </w:r>
      <w:r w:rsidR="00AA77A2" w:rsidRPr="00364400">
        <w:t xml:space="preserve"> reiškia</w:t>
      </w:r>
      <w:r w:rsidR="00F31022" w:rsidRPr="00364400">
        <w:t xml:space="preserve">, jog gaudamas </w:t>
      </w:r>
      <w:r w:rsidR="00E4175E" w:rsidRPr="00364400">
        <w:t xml:space="preserve">nedideles </w:t>
      </w:r>
      <w:r w:rsidR="00F31022" w:rsidRPr="00364400">
        <w:t>pajamas ir</w:t>
      </w:r>
      <w:r w:rsidR="00AA77A2" w:rsidRPr="00364400">
        <w:t xml:space="preserve"> turėdamas sveikatos sutrikimų, </w:t>
      </w:r>
      <w:r w:rsidR="00F31022" w:rsidRPr="00364400">
        <w:t xml:space="preserve">žmogus </w:t>
      </w:r>
      <w:r w:rsidR="00F82842" w:rsidRPr="00364400">
        <w:t xml:space="preserve">tarsi </w:t>
      </w:r>
      <w:r w:rsidR="00E06216" w:rsidRPr="00364400">
        <w:t>patenka į „užburtą ratą</w:t>
      </w:r>
      <w:r w:rsidR="00F31022" w:rsidRPr="00364400">
        <w:t>“</w:t>
      </w:r>
      <w:r w:rsidR="007D601C" w:rsidRPr="00364400">
        <w:t xml:space="preserve">: kad galėtų aktyviai dirbti ir gauti didesnes pajamas, </w:t>
      </w:r>
      <w:r w:rsidR="00A51C95" w:rsidRPr="00364400">
        <w:t xml:space="preserve">pirmiausia </w:t>
      </w:r>
      <w:r w:rsidR="007D601C" w:rsidRPr="00364400">
        <w:t>jam reikia pasitaisyti sveikatą, tačiau sveikatai</w:t>
      </w:r>
      <w:r w:rsidR="00A51C95" w:rsidRPr="00364400">
        <w:t xml:space="preserve"> </w:t>
      </w:r>
      <w:r w:rsidR="000D3167" w:rsidRPr="00364400">
        <w:t xml:space="preserve">reikia </w:t>
      </w:r>
      <w:r w:rsidR="004D6CED" w:rsidRPr="00364400">
        <w:rPr>
          <w:i/>
        </w:rPr>
        <w:t>ir</w:t>
      </w:r>
      <w:r w:rsidR="004D6CED" w:rsidRPr="00364400">
        <w:t xml:space="preserve"> </w:t>
      </w:r>
      <w:r w:rsidR="000D3167" w:rsidRPr="00364400">
        <w:t xml:space="preserve">pinigų, </w:t>
      </w:r>
      <w:r w:rsidR="000D3167" w:rsidRPr="00364400">
        <w:rPr>
          <w:i/>
        </w:rPr>
        <w:t>ir</w:t>
      </w:r>
      <w:r w:rsidR="000D3167" w:rsidRPr="00364400">
        <w:t xml:space="preserve"> laiko</w:t>
      </w:r>
      <w:r w:rsidR="004D6CED" w:rsidRPr="00364400">
        <w:t>, kurio darbdavys ne visada gali suteikti.</w:t>
      </w:r>
    </w:p>
    <w:p w:rsidR="00CE6110" w:rsidRPr="00364400" w:rsidRDefault="007C68C9" w:rsidP="00D47B5C">
      <w:r w:rsidRPr="00364400">
        <w:t xml:space="preserve">Laikas, kurį darbdavys turi gaišti, laukdamas, kol darbuotojas </w:t>
      </w:r>
      <w:r w:rsidR="00D07AA6" w:rsidRPr="00364400">
        <w:t>galės</w:t>
      </w:r>
      <w:r w:rsidR="00BA33CC" w:rsidRPr="00364400">
        <w:t xml:space="preserve"> tinkamai įvykdyti savo pareigas, svarbus, ir kalbant apie prarastų įgūdžių susigrąžinimą</w:t>
      </w:r>
      <w:r w:rsidR="004B5240" w:rsidRPr="00364400">
        <w:t xml:space="preserve">, todėl </w:t>
      </w:r>
      <w:r w:rsidR="00CB48F8" w:rsidRPr="00364400">
        <w:rPr>
          <w:b/>
          <w:i/>
        </w:rPr>
        <w:t>įgūdžių stoka</w:t>
      </w:r>
      <w:r w:rsidR="00CB48F8" w:rsidRPr="00364400">
        <w:t xml:space="preserve"> (ir ypa</w:t>
      </w:r>
      <w:r w:rsidR="002A6098" w:rsidRPr="00364400">
        <w:t>tingai specifinės veiklos sritys</w:t>
      </w:r>
      <w:r w:rsidR="00CB48F8" w:rsidRPr="00364400">
        <w:t>e)</w:t>
      </w:r>
      <w:r w:rsidR="002E5279" w:rsidRPr="00364400">
        <w:t xml:space="preserve"> </w:t>
      </w:r>
      <w:r w:rsidR="00F635B1" w:rsidRPr="00364400">
        <w:t xml:space="preserve">gali būti kita </w:t>
      </w:r>
      <w:r w:rsidR="002E5279" w:rsidRPr="00364400">
        <w:t>nesugebėjimo</w:t>
      </w:r>
      <w:r w:rsidR="00395376" w:rsidRPr="00364400">
        <w:t xml:space="preserve"> </w:t>
      </w:r>
      <w:r w:rsidR="002E5279" w:rsidRPr="00364400">
        <w:t>sugrįžti</w:t>
      </w:r>
      <w:r w:rsidR="00395376" w:rsidRPr="00364400">
        <w:t xml:space="preserve"> į darbo rinką priežastimi</w:t>
      </w:r>
      <w:r w:rsidR="00646F9D" w:rsidRPr="00364400">
        <w:t xml:space="preserve"> (</w:t>
      </w:r>
      <w:proofErr w:type="spellStart"/>
      <w:r w:rsidR="00646F9D" w:rsidRPr="00364400">
        <w:t>Šakienė</w:t>
      </w:r>
      <w:proofErr w:type="spellEnd"/>
      <w:r w:rsidR="00646F9D" w:rsidRPr="00364400">
        <w:t xml:space="preserve"> 2011)</w:t>
      </w:r>
      <w:r w:rsidR="00395376" w:rsidRPr="00364400">
        <w:t>.</w:t>
      </w:r>
      <w:r w:rsidR="008C1B8A" w:rsidRPr="00364400">
        <w:t xml:space="preserve"> </w:t>
      </w:r>
      <w:r w:rsidR="00605BFA" w:rsidRPr="00364400">
        <w:t xml:space="preserve">Anot </w:t>
      </w:r>
      <w:proofErr w:type="spellStart"/>
      <w:r w:rsidR="008C1B8A" w:rsidRPr="00364400">
        <w:t>Okunevičiūtė</w:t>
      </w:r>
      <w:r w:rsidR="00605BFA" w:rsidRPr="00364400">
        <w:t>s</w:t>
      </w:r>
      <w:r w:rsidR="008C1B8A" w:rsidRPr="00364400">
        <w:t>-Neverauskienė</w:t>
      </w:r>
      <w:r w:rsidR="00605BFA" w:rsidRPr="00364400">
        <w:t>s</w:t>
      </w:r>
      <w:r w:rsidR="005F7AA4" w:rsidRPr="00364400">
        <w:t>,</w:t>
      </w:r>
      <w:proofErr w:type="spellEnd"/>
      <w:r w:rsidR="005F7AA4" w:rsidRPr="00364400">
        <w:t xml:space="preserve"> Poci</w:t>
      </w:r>
      <w:r w:rsidR="00605BFA" w:rsidRPr="00364400">
        <w:t>a</w:t>
      </w:r>
      <w:r w:rsidR="005F7AA4" w:rsidRPr="00364400">
        <w:t>us (2003)</w:t>
      </w:r>
      <w:r w:rsidR="00605BFA" w:rsidRPr="00364400">
        <w:t>,</w:t>
      </w:r>
      <w:r w:rsidR="00F635B1" w:rsidRPr="00364400">
        <w:t xml:space="preserve"> </w:t>
      </w:r>
      <w:r w:rsidR="00B115DA" w:rsidRPr="00364400">
        <w:t>„</w:t>
      </w:r>
      <w:r w:rsidR="00A00D38" w:rsidRPr="00364400">
        <w:rPr>
          <w:i/>
        </w:rPr>
        <w:t>negatyvus darbdavių požiūris</w:t>
      </w:r>
      <w:r w:rsidR="00A00D38" w:rsidRPr="00364400">
        <w:t xml:space="preserve"> į praradusius</w:t>
      </w:r>
      <w:r w:rsidR="00B115DA" w:rsidRPr="00364400">
        <w:t xml:space="preserve"> </w:t>
      </w:r>
      <w:r w:rsidR="00954F4D" w:rsidRPr="00364400">
        <w:t xml:space="preserve">darbinius įgūdžius </w:t>
      </w:r>
      <w:r w:rsidR="00A00D38" w:rsidRPr="00364400">
        <w:t>žmones</w:t>
      </w:r>
      <w:r w:rsidR="00B115DA" w:rsidRPr="00364400">
        <w:t>“</w:t>
      </w:r>
      <w:r w:rsidR="00216A6E" w:rsidRPr="00364400">
        <w:t xml:space="preserve"> </w:t>
      </w:r>
      <w:r w:rsidR="007F4F88" w:rsidRPr="00364400">
        <w:t xml:space="preserve">yra vienas </w:t>
      </w:r>
      <w:r w:rsidR="002A362E" w:rsidRPr="00364400">
        <w:t xml:space="preserve">iš </w:t>
      </w:r>
      <w:r w:rsidR="00443E37" w:rsidRPr="00364400">
        <w:t>esmin</w:t>
      </w:r>
      <w:r w:rsidR="00B55FB6" w:rsidRPr="00364400">
        <w:t xml:space="preserve">ių </w:t>
      </w:r>
      <w:r w:rsidR="00AA3D67" w:rsidRPr="00364400">
        <w:t>„</w:t>
      </w:r>
      <w:r w:rsidR="00F20F16" w:rsidRPr="00364400">
        <w:t>ilgalaik</w:t>
      </w:r>
      <w:r w:rsidR="00B55FB6" w:rsidRPr="00364400">
        <w:t>į</w:t>
      </w:r>
      <w:r w:rsidR="007F4F88" w:rsidRPr="00364400">
        <w:t xml:space="preserve"> </w:t>
      </w:r>
      <w:r w:rsidR="00B55FB6" w:rsidRPr="00364400">
        <w:t xml:space="preserve">nedarbą </w:t>
      </w:r>
      <w:r w:rsidR="002A362E" w:rsidRPr="00364400">
        <w:t>sąlyg</w:t>
      </w:r>
      <w:r w:rsidR="0055560B" w:rsidRPr="00364400">
        <w:t>ojančių veiksnių</w:t>
      </w:r>
      <w:r w:rsidR="00AA3D67" w:rsidRPr="00364400">
        <w:t>“</w:t>
      </w:r>
      <w:r w:rsidR="007C1001" w:rsidRPr="00364400">
        <w:t xml:space="preserve"> (p. 45), o</w:t>
      </w:r>
      <w:r w:rsidR="00177ED3" w:rsidRPr="00364400">
        <w:t xml:space="preserve"> tai reiškia, jog</w:t>
      </w:r>
      <w:r w:rsidR="00985E57" w:rsidRPr="00364400">
        <w:t xml:space="preserve"> gyventi iš </w:t>
      </w:r>
      <w:r w:rsidR="00E37786" w:rsidRPr="00364400">
        <w:t>išmok</w:t>
      </w:r>
      <w:r w:rsidR="00BD5FEF" w:rsidRPr="00364400">
        <w:t xml:space="preserve">ų </w:t>
      </w:r>
      <w:r w:rsidR="00DC04B7" w:rsidRPr="00364400">
        <w:t xml:space="preserve">skatina </w:t>
      </w:r>
      <w:r w:rsidR="005064C8" w:rsidRPr="00364400">
        <w:t>ne ti</w:t>
      </w:r>
      <w:r w:rsidR="00F26237" w:rsidRPr="00364400">
        <w:t>e</w:t>
      </w:r>
      <w:r w:rsidR="005064C8" w:rsidRPr="00364400">
        <w:t xml:space="preserve">k </w:t>
      </w:r>
      <w:r w:rsidR="00B55FB6" w:rsidRPr="00364400">
        <w:t>pačių įgūdžių trūkumas</w:t>
      </w:r>
      <w:r w:rsidR="00F26237" w:rsidRPr="00364400">
        <w:t xml:space="preserve">, kiek </w:t>
      </w:r>
      <w:r w:rsidR="00F26237" w:rsidRPr="00364400">
        <w:rPr>
          <w:b/>
          <w:i/>
        </w:rPr>
        <w:t xml:space="preserve">darbdavių </w:t>
      </w:r>
      <w:r w:rsidR="00734195" w:rsidRPr="00364400">
        <w:rPr>
          <w:b/>
          <w:i/>
        </w:rPr>
        <w:t>nenoras investuoti</w:t>
      </w:r>
      <w:r w:rsidR="00734195" w:rsidRPr="00364400">
        <w:t xml:space="preserve"> į </w:t>
      </w:r>
      <w:r w:rsidR="00F26237" w:rsidRPr="00364400">
        <w:t>įgūdžių</w:t>
      </w:r>
      <w:r w:rsidR="009F30A6" w:rsidRPr="00364400">
        <w:t xml:space="preserve"> </w:t>
      </w:r>
      <w:r w:rsidR="00B97419" w:rsidRPr="00364400">
        <w:t>netekusius</w:t>
      </w:r>
      <w:r w:rsidR="00FB3F49" w:rsidRPr="00364400">
        <w:t xml:space="preserve"> asmen</w:t>
      </w:r>
      <w:r w:rsidR="00F54E48" w:rsidRPr="00364400">
        <w:t>i</w:t>
      </w:r>
      <w:r w:rsidR="00FB3F49" w:rsidRPr="00364400">
        <w:t>s</w:t>
      </w:r>
      <w:r w:rsidR="004E17E9" w:rsidRPr="00364400">
        <w:t>.</w:t>
      </w:r>
    </w:p>
    <w:p w:rsidR="0038718A" w:rsidRPr="00364400" w:rsidRDefault="005A5BAE" w:rsidP="00D47B5C">
      <w:r w:rsidRPr="00364400">
        <w:t xml:space="preserve">Iš kitos pusės, </w:t>
      </w:r>
      <w:r w:rsidR="00B077A6" w:rsidRPr="00364400">
        <w:t xml:space="preserve">nesugebėti grįžti į darbo rinką </w:t>
      </w:r>
      <w:r w:rsidR="00B57C12" w:rsidRPr="00364400">
        <w:t xml:space="preserve">galima </w:t>
      </w:r>
      <w:r w:rsidR="00B63F51" w:rsidRPr="00364400">
        <w:t xml:space="preserve">dar ir </w:t>
      </w:r>
      <w:r w:rsidR="00B077A6" w:rsidRPr="00364400">
        <w:t xml:space="preserve">dėl to, jog </w:t>
      </w:r>
      <w:r w:rsidR="00446AC2" w:rsidRPr="00364400">
        <w:t xml:space="preserve">įgytų </w:t>
      </w:r>
      <w:r w:rsidR="00762FF5" w:rsidRPr="00364400">
        <w:t>pareig</w:t>
      </w:r>
      <w:r w:rsidR="00AD2A88" w:rsidRPr="00364400">
        <w:t>ų įgyvendinimas</w:t>
      </w:r>
      <w:r w:rsidR="00762FF5" w:rsidRPr="00364400">
        <w:t xml:space="preserve"> iš </w:t>
      </w:r>
      <w:r w:rsidR="00B57C12" w:rsidRPr="00364400">
        <w:t>žmogaus</w:t>
      </w:r>
      <w:r w:rsidR="00762FF5" w:rsidRPr="00364400">
        <w:t xml:space="preserve"> </w:t>
      </w:r>
      <w:r w:rsidR="00C81FC3" w:rsidRPr="00364400">
        <w:t xml:space="preserve">gali </w:t>
      </w:r>
      <w:r w:rsidR="00AD2A88" w:rsidRPr="00364400">
        <w:t>pa</w:t>
      </w:r>
      <w:r w:rsidR="00762FF5" w:rsidRPr="00364400">
        <w:t>reikalaut</w:t>
      </w:r>
      <w:r w:rsidR="00C81FC3" w:rsidRPr="00364400">
        <w:t>i</w:t>
      </w:r>
      <w:r w:rsidR="00762FF5" w:rsidRPr="00364400">
        <w:t xml:space="preserve"> </w:t>
      </w:r>
      <w:r w:rsidR="00AD2A88" w:rsidRPr="00364400">
        <w:t>daugiau laiko, nei jis gal</w:t>
      </w:r>
      <w:r w:rsidR="00B57C12" w:rsidRPr="00364400">
        <w:t>ėtų</w:t>
      </w:r>
      <w:r w:rsidR="00AD2A88" w:rsidRPr="00364400">
        <w:t xml:space="preserve"> </w:t>
      </w:r>
      <w:r w:rsidR="003C5470" w:rsidRPr="00364400">
        <w:t xml:space="preserve">jo </w:t>
      </w:r>
      <w:r w:rsidR="00AD2A88" w:rsidRPr="00364400">
        <w:t>skirti</w:t>
      </w:r>
      <w:r w:rsidR="00185DA0" w:rsidRPr="00364400">
        <w:t xml:space="preserve">, vadinasi, </w:t>
      </w:r>
      <w:r w:rsidR="00185DA0" w:rsidRPr="00364400">
        <w:rPr>
          <w:b/>
          <w:i/>
        </w:rPr>
        <w:t xml:space="preserve">laiko </w:t>
      </w:r>
      <w:r w:rsidR="00596F85" w:rsidRPr="00364400">
        <w:rPr>
          <w:b/>
          <w:i/>
        </w:rPr>
        <w:t>veiksnys</w:t>
      </w:r>
      <w:r w:rsidR="00596F85" w:rsidRPr="00364400">
        <w:t xml:space="preserve"> yra aktualus ne tik </w:t>
      </w:r>
      <w:r w:rsidR="00185DA0" w:rsidRPr="00364400">
        <w:t>darbdav</w:t>
      </w:r>
      <w:r w:rsidR="00596F85" w:rsidRPr="00364400">
        <w:t>iui</w:t>
      </w:r>
      <w:r w:rsidR="00185DA0" w:rsidRPr="00364400">
        <w:t>, bet ir pa</w:t>
      </w:r>
      <w:r w:rsidR="00596F85" w:rsidRPr="00364400">
        <w:t>čiam žmogui</w:t>
      </w:r>
      <w:r w:rsidR="00C81FC3" w:rsidRPr="00364400">
        <w:t xml:space="preserve">. </w:t>
      </w:r>
      <w:r w:rsidR="001F197D" w:rsidRPr="00364400">
        <w:t>Geriausias tokios situacijos pavyzdys būtų šeimos</w:t>
      </w:r>
      <w:r w:rsidR="00CD68DE" w:rsidRPr="00364400">
        <w:t>, kuriose auga savimi negalin</w:t>
      </w:r>
      <w:r w:rsidR="00F014DB" w:rsidRPr="00364400">
        <w:t>tys</w:t>
      </w:r>
      <w:r w:rsidR="00CD68DE" w:rsidRPr="00364400">
        <w:t xml:space="preserve"> pasirūpinti </w:t>
      </w:r>
      <w:r w:rsidR="00CD68DE" w:rsidRPr="00364400">
        <w:rPr>
          <w:b/>
          <w:i/>
        </w:rPr>
        <w:t>mažameči</w:t>
      </w:r>
      <w:r w:rsidR="00F014DB" w:rsidRPr="00364400">
        <w:rPr>
          <w:b/>
          <w:i/>
        </w:rPr>
        <w:t>ai</w:t>
      </w:r>
      <w:r w:rsidR="00207BFA" w:rsidRPr="00364400">
        <w:rPr>
          <w:b/>
          <w:i/>
        </w:rPr>
        <w:t xml:space="preserve"> arba </w:t>
      </w:r>
      <w:r w:rsidR="00233B54" w:rsidRPr="00364400">
        <w:rPr>
          <w:b/>
          <w:i/>
        </w:rPr>
        <w:t xml:space="preserve">itin </w:t>
      </w:r>
      <w:r w:rsidR="00207BFA" w:rsidRPr="00364400">
        <w:rPr>
          <w:b/>
          <w:i/>
        </w:rPr>
        <w:t>probleminiai</w:t>
      </w:r>
      <w:r w:rsidR="00F014DB" w:rsidRPr="00364400">
        <w:rPr>
          <w:b/>
          <w:i/>
        </w:rPr>
        <w:t xml:space="preserve"> </w:t>
      </w:r>
      <w:r w:rsidR="00CD68DE" w:rsidRPr="00364400">
        <w:rPr>
          <w:b/>
          <w:i/>
        </w:rPr>
        <w:t>vaik</w:t>
      </w:r>
      <w:r w:rsidR="00F014DB" w:rsidRPr="00364400">
        <w:rPr>
          <w:b/>
          <w:i/>
        </w:rPr>
        <w:t>ai</w:t>
      </w:r>
      <w:r w:rsidR="001A47DC" w:rsidRPr="00364400">
        <w:t xml:space="preserve">: </w:t>
      </w:r>
      <w:r w:rsidR="00212A5F" w:rsidRPr="00364400">
        <w:t xml:space="preserve">kadangi </w:t>
      </w:r>
      <w:r w:rsidR="00460190" w:rsidRPr="00364400">
        <w:t xml:space="preserve">tėvai </w:t>
      </w:r>
      <w:r w:rsidR="00147B76" w:rsidRPr="00364400">
        <w:t>neturi galimybės</w:t>
      </w:r>
      <w:r w:rsidR="007E3275" w:rsidRPr="00364400">
        <w:t xml:space="preserve"> </w:t>
      </w:r>
      <w:r w:rsidR="000E0E37" w:rsidRPr="00364400">
        <w:t xml:space="preserve">patikėti vaikų priežiūros kitiems asmenims </w:t>
      </w:r>
      <w:r w:rsidR="001E304A" w:rsidRPr="00364400">
        <w:t>(</w:t>
      </w:r>
      <w:r w:rsidR="000E0E37" w:rsidRPr="00364400">
        <w:t xml:space="preserve">dėl pinigų stokos ar </w:t>
      </w:r>
      <w:r w:rsidR="000431CE" w:rsidRPr="00364400">
        <w:t xml:space="preserve">pačių </w:t>
      </w:r>
      <w:r w:rsidR="000E0E37" w:rsidRPr="00364400">
        <w:t>vaikų problemiškumo</w:t>
      </w:r>
      <w:r w:rsidR="001E304A" w:rsidRPr="00364400">
        <w:t>)</w:t>
      </w:r>
      <w:r w:rsidR="00F014DB" w:rsidRPr="00364400">
        <w:t xml:space="preserve">, </w:t>
      </w:r>
      <w:r w:rsidR="00351FC2" w:rsidRPr="00364400">
        <w:t xml:space="preserve">tai jie turi padaryti patys, todėl </w:t>
      </w:r>
      <w:r w:rsidR="000D0C35" w:rsidRPr="00364400">
        <w:t>darb</w:t>
      </w:r>
      <w:r w:rsidR="00EF68BF" w:rsidRPr="00364400">
        <w:t>inei veiklai</w:t>
      </w:r>
      <w:r w:rsidR="005569AD" w:rsidRPr="00364400">
        <w:t xml:space="preserve"> </w:t>
      </w:r>
      <w:r w:rsidR="003E74CE" w:rsidRPr="00364400">
        <w:t xml:space="preserve">vienam iš </w:t>
      </w:r>
      <w:r w:rsidR="00E3283A" w:rsidRPr="00364400">
        <w:t>tėvų</w:t>
      </w:r>
      <w:r w:rsidR="003E74CE" w:rsidRPr="00364400">
        <w:t xml:space="preserve"> </w:t>
      </w:r>
      <w:r w:rsidR="005569AD" w:rsidRPr="00364400">
        <w:t>paprasčiausiai nelieka laiko.</w:t>
      </w:r>
      <w:r w:rsidR="00020414" w:rsidRPr="00364400">
        <w:t xml:space="preserve"> </w:t>
      </w:r>
      <w:r w:rsidR="00CB5353" w:rsidRPr="00364400">
        <w:t xml:space="preserve">Be to, </w:t>
      </w:r>
      <w:r w:rsidR="006A38DF" w:rsidRPr="00364400">
        <w:t xml:space="preserve">kaip pastebi </w:t>
      </w:r>
      <w:proofErr w:type="spellStart"/>
      <w:r w:rsidR="00020414" w:rsidRPr="00364400">
        <w:t>Okunevičiūtė-Neverauskienė,</w:t>
      </w:r>
      <w:proofErr w:type="spellEnd"/>
      <w:r w:rsidR="00020414" w:rsidRPr="00364400">
        <w:t xml:space="preserve"> Pocius (2003)</w:t>
      </w:r>
      <w:r w:rsidR="00062171" w:rsidRPr="00364400">
        <w:t xml:space="preserve">, </w:t>
      </w:r>
      <w:r w:rsidR="00F715E6" w:rsidRPr="00364400">
        <w:t>vyresni</w:t>
      </w:r>
      <w:r w:rsidR="00E3283A" w:rsidRPr="00364400">
        <w:t>ems</w:t>
      </w:r>
      <w:r w:rsidR="00F715E6" w:rsidRPr="00364400">
        <w:t xml:space="preserve"> </w:t>
      </w:r>
      <w:r w:rsidR="00062171" w:rsidRPr="00364400">
        <w:t xml:space="preserve">žmonėms </w:t>
      </w:r>
      <w:r w:rsidR="00F24B6A" w:rsidRPr="00364400">
        <w:t>darosi</w:t>
      </w:r>
      <w:r w:rsidR="00062171" w:rsidRPr="00364400">
        <w:t xml:space="preserve"> vis aktualesnė </w:t>
      </w:r>
      <w:r w:rsidR="00062171" w:rsidRPr="00364400">
        <w:rPr>
          <w:b/>
          <w:i/>
        </w:rPr>
        <w:t>senų tėvų priežiūros problema</w:t>
      </w:r>
      <w:r w:rsidR="0005355B" w:rsidRPr="00364400">
        <w:rPr>
          <w:i/>
        </w:rPr>
        <w:t>,</w:t>
      </w:r>
      <w:r w:rsidR="0005355B" w:rsidRPr="00364400">
        <w:t xml:space="preserve"> o</w:t>
      </w:r>
      <w:r w:rsidR="00050A57" w:rsidRPr="00364400">
        <w:t xml:space="preserve"> tai reiškia, kad šeima</w:t>
      </w:r>
      <w:r w:rsidR="00CB5353" w:rsidRPr="00364400">
        <w:t xml:space="preserve"> </w:t>
      </w:r>
      <w:r w:rsidR="00BB2546" w:rsidRPr="00364400">
        <w:t xml:space="preserve">– </w:t>
      </w:r>
      <w:r w:rsidR="00CB5353" w:rsidRPr="00364400">
        <w:rPr>
          <w:i/>
        </w:rPr>
        <w:t>jos dydis ir struktūra</w:t>
      </w:r>
      <w:r w:rsidR="00BB2546" w:rsidRPr="00364400">
        <w:t xml:space="preserve"> – gali nulemti </w:t>
      </w:r>
      <w:r w:rsidR="00636216" w:rsidRPr="00364400">
        <w:t>sprendimus, susijusius</w:t>
      </w:r>
      <w:r w:rsidR="00C65D4A" w:rsidRPr="00364400">
        <w:t xml:space="preserve"> su pajamų formavimo šaltiniais.</w:t>
      </w:r>
      <w:r w:rsidR="00BB2546" w:rsidRPr="00364400">
        <w:t xml:space="preserve"> </w:t>
      </w:r>
      <w:proofErr w:type="spellStart"/>
      <w:r w:rsidR="00BB2546" w:rsidRPr="00364400">
        <w:t>Šakienė</w:t>
      </w:r>
      <w:proofErr w:type="spellEnd"/>
      <w:r w:rsidR="00ED2907" w:rsidRPr="00364400">
        <w:t xml:space="preserve"> (2011)</w:t>
      </w:r>
      <w:r w:rsidR="00BB2546" w:rsidRPr="00364400">
        <w:t>, įžvelgdam</w:t>
      </w:r>
      <w:r w:rsidR="00ED2907" w:rsidRPr="00364400">
        <w:t xml:space="preserve">a </w:t>
      </w:r>
      <w:r w:rsidR="00207BFA" w:rsidRPr="00364400">
        <w:t>ši</w:t>
      </w:r>
      <w:r w:rsidR="00ED2907" w:rsidRPr="00364400">
        <w:t xml:space="preserve">o veiksnio svarbą, </w:t>
      </w:r>
      <w:r w:rsidR="000F114F" w:rsidRPr="00364400">
        <w:t>nurodo</w:t>
      </w:r>
      <w:r w:rsidR="00424590" w:rsidRPr="00364400">
        <w:t xml:space="preserve">, jog </w:t>
      </w:r>
      <w:r w:rsidR="00F70A20" w:rsidRPr="00364400">
        <w:t xml:space="preserve">minėtoms kliūtims šalinti </w:t>
      </w:r>
      <w:r w:rsidR="00067C1F" w:rsidRPr="00364400">
        <w:t>gali būti pasitelktos nuotolinio darbo sutartys</w:t>
      </w:r>
      <w:r w:rsidR="0056020C" w:rsidRPr="00364400">
        <w:t xml:space="preserve">, </w:t>
      </w:r>
      <w:r w:rsidR="00116410" w:rsidRPr="00364400">
        <w:t>kuriose</w:t>
      </w:r>
      <w:r w:rsidR="007F48C4" w:rsidRPr="00364400">
        <w:t xml:space="preserve"> įtvirtinam</w:t>
      </w:r>
      <w:r w:rsidR="00B97419" w:rsidRPr="00364400">
        <w:t>os</w:t>
      </w:r>
      <w:r w:rsidR="007F48C4" w:rsidRPr="00364400">
        <w:t xml:space="preserve"> nuostat</w:t>
      </w:r>
      <w:r w:rsidR="00B97419" w:rsidRPr="00364400">
        <w:t>os</w:t>
      </w:r>
      <w:r w:rsidR="007F48C4" w:rsidRPr="00364400">
        <w:t xml:space="preserve">, jog </w:t>
      </w:r>
      <w:r w:rsidR="00CB5AAB" w:rsidRPr="00364400">
        <w:t xml:space="preserve">sulygtos </w:t>
      </w:r>
      <w:r w:rsidR="007F48C4" w:rsidRPr="00364400">
        <w:t>darbo funkcijos</w:t>
      </w:r>
      <w:r w:rsidR="00CB5AAB" w:rsidRPr="00364400">
        <w:t xml:space="preserve"> gali būti atliktos kitose negu darbovietė darbuotojui priimtinose vietose</w:t>
      </w:r>
      <w:r w:rsidR="00067C1F" w:rsidRPr="00364400">
        <w:t>, tačiau</w:t>
      </w:r>
      <w:r w:rsidR="00532DDE" w:rsidRPr="00364400">
        <w:t>, žinant</w:t>
      </w:r>
      <w:r w:rsidR="00807598" w:rsidRPr="00364400">
        <w:t xml:space="preserve"> faktą, jog nuotolinis darbas</w:t>
      </w:r>
      <w:r w:rsidR="005568CD" w:rsidRPr="00364400">
        <w:t xml:space="preserve"> </w:t>
      </w:r>
      <w:r w:rsidR="00565DCF" w:rsidRPr="00364400">
        <w:t xml:space="preserve">negali būti pritaikytas </w:t>
      </w:r>
      <w:r w:rsidR="0024432E" w:rsidRPr="00364400">
        <w:t xml:space="preserve">visose </w:t>
      </w:r>
      <w:r w:rsidR="00565DCF" w:rsidRPr="00364400">
        <w:t>veiklos sferose</w:t>
      </w:r>
      <w:r w:rsidR="0024432E" w:rsidRPr="00364400">
        <w:t xml:space="preserve">, tampa akivaizdu, jog tai </w:t>
      </w:r>
      <w:r w:rsidR="00EB1BAA" w:rsidRPr="00364400">
        <w:t xml:space="preserve">neišsprendžia </w:t>
      </w:r>
      <w:r w:rsidR="00565DCF" w:rsidRPr="00364400">
        <w:t xml:space="preserve">tikrosios </w:t>
      </w:r>
      <w:r w:rsidR="00EB1BAA" w:rsidRPr="00364400">
        <w:t>problemos.</w:t>
      </w:r>
      <w:r w:rsidR="008E0E1B" w:rsidRPr="00364400">
        <w:t xml:space="preserve"> </w:t>
      </w:r>
      <w:r w:rsidR="000E5F9B" w:rsidRPr="00364400">
        <w:t>Vadinasi,</w:t>
      </w:r>
      <w:r w:rsidR="008E0E1B" w:rsidRPr="00364400">
        <w:t xml:space="preserve"> kita</w:t>
      </w:r>
      <w:r w:rsidR="00471213" w:rsidRPr="00364400">
        <w:t xml:space="preserve"> priežastis</w:t>
      </w:r>
      <w:r w:rsidR="008E0E1B" w:rsidRPr="00364400">
        <w:t xml:space="preserve">, kuri </w:t>
      </w:r>
      <w:r w:rsidR="000E5F9B" w:rsidRPr="00364400">
        <w:t>verčia žmones darbo pajamas išmainyti į</w:t>
      </w:r>
      <w:r w:rsidR="005C1496" w:rsidRPr="00364400">
        <w:t xml:space="preserve"> išmok</w:t>
      </w:r>
      <w:r w:rsidR="00471213" w:rsidRPr="00364400">
        <w:t>as</w:t>
      </w:r>
      <w:r w:rsidR="000E5F9B" w:rsidRPr="00364400">
        <w:t>, galėtų būti formuluojama kaip</w:t>
      </w:r>
      <w:r w:rsidR="00471213" w:rsidRPr="00364400">
        <w:t xml:space="preserve"> </w:t>
      </w:r>
      <w:r w:rsidR="00802225" w:rsidRPr="00364400">
        <w:rPr>
          <w:b/>
          <w:i/>
        </w:rPr>
        <w:t>ne</w:t>
      </w:r>
      <w:r w:rsidR="00944887" w:rsidRPr="00364400">
        <w:rPr>
          <w:b/>
          <w:i/>
        </w:rPr>
        <w:t xml:space="preserve">sugebėjimas </w:t>
      </w:r>
      <w:r w:rsidR="00C025DC" w:rsidRPr="00364400">
        <w:rPr>
          <w:b/>
          <w:i/>
        </w:rPr>
        <w:t xml:space="preserve">paskirstyti laiko dėl </w:t>
      </w:r>
      <w:r w:rsidR="00D87538" w:rsidRPr="00364400">
        <w:rPr>
          <w:b/>
          <w:i/>
        </w:rPr>
        <w:t>būtinybės vienu metu</w:t>
      </w:r>
      <w:r w:rsidR="00CB3FA1" w:rsidRPr="00364400">
        <w:rPr>
          <w:b/>
          <w:i/>
        </w:rPr>
        <w:t xml:space="preserve"> atlikti dvi visiškai skirtingas funkcijas</w:t>
      </w:r>
      <w:r w:rsidR="00D87538" w:rsidRPr="00364400">
        <w:t>.</w:t>
      </w:r>
    </w:p>
    <w:p w:rsidR="00CC2D41" w:rsidRPr="00516E01" w:rsidRDefault="00CC2D41" w:rsidP="00D47B5C">
      <w:r w:rsidRPr="00516E01">
        <w:t xml:space="preserve">Apibendrinant, </w:t>
      </w:r>
      <w:r w:rsidR="00E90246">
        <w:t>galima teigti</w:t>
      </w:r>
      <w:r w:rsidRPr="00516E01">
        <w:t>, jog</w:t>
      </w:r>
      <w:r w:rsidR="00DD34D8">
        <w:t>,</w:t>
      </w:r>
      <w:r w:rsidR="00402D65" w:rsidRPr="00516E01">
        <w:t xml:space="preserve"> nors</w:t>
      </w:r>
      <w:r w:rsidRPr="00516E01">
        <w:t xml:space="preserve"> </w:t>
      </w:r>
      <w:r w:rsidR="001B3746" w:rsidRPr="00516E01">
        <w:t>racional</w:t>
      </w:r>
      <w:r w:rsidR="00637A58" w:rsidRPr="00516E01">
        <w:t>usis</w:t>
      </w:r>
      <w:r w:rsidR="00D67383">
        <w:t xml:space="preserve"> </w:t>
      </w:r>
      <w:r w:rsidR="00E90246">
        <w:t xml:space="preserve">socialinių </w:t>
      </w:r>
      <w:r w:rsidR="00D67383">
        <w:t>išmokų</w:t>
      </w:r>
      <w:r w:rsidR="001B3746" w:rsidRPr="00516E01">
        <w:t xml:space="preserve"> gavėj</w:t>
      </w:r>
      <w:r w:rsidR="00367A45" w:rsidRPr="00516E01">
        <w:t>a</w:t>
      </w:r>
      <w:r w:rsidR="00637A58" w:rsidRPr="00516E01">
        <w:t>s</w:t>
      </w:r>
      <w:r w:rsidR="001B3746" w:rsidRPr="00516E01">
        <w:t xml:space="preserve"> </w:t>
      </w:r>
      <w:r w:rsidR="006748D5" w:rsidRPr="00516E01">
        <w:t>sprendim</w:t>
      </w:r>
      <w:r w:rsidR="00637A58" w:rsidRPr="00516E01">
        <w:t>ą</w:t>
      </w:r>
      <w:r w:rsidR="00367A45" w:rsidRPr="00516E01">
        <w:t xml:space="preserve"> </w:t>
      </w:r>
      <w:r w:rsidR="000562BA" w:rsidRPr="00516E01">
        <w:t xml:space="preserve">gyventi iš socialinės apsaugos lėšų </w:t>
      </w:r>
      <w:r w:rsidR="00AA46EB" w:rsidRPr="00516E01">
        <w:t xml:space="preserve">ir </w:t>
      </w:r>
      <w:r w:rsidR="00367A45" w:rsidRPr="00516E01">
        <w:t>priima, atsižvelgdam</w:t>
      </w:r>
      <w:r w:rsidR="00637A58" w:rsidRPr="00516E01">
        <w:t>as</w:t>
      </w:r>
      <w:r w:rsidR="00367A45" w:rsidRPr="00516E01">
        <w:t xml:space="preserve"> į</w:t>
      </w:r>
      <w:r w:rsidR="00F82D1B" w:rsidRPr="00516E01">
        <w:t xml:space="preserve"> </w:t>
      </w:r>
      <w:r w:rsidR="00E80307" w:rsidRPr="00516E01">
        <w:t>pinigų</w:t>
      </w:r>
      <w:r w:rsidR="00DD34D8">
        <w:t xml:space="preserve"> stygių</w:t>
      </w:r>
      <w:r w:rsidR="00E80307" w:rsidRPr="00516E01">
        <w:t xml:space="preserve">, </w:t>
      </w:r>
      <w:r w:rsidR="006775ED" w:rsidRPr="00516E01">
        <w:t>iš tiesų</w:t>
      </w:r>
      <w:r w:rsidR="00A164C4" w:rsidRPr="00516E01">
        <w:t xml:space="preserve"> tokią jo elgseną lemia ne žymiu mastu sumažėjusios </w:t>
      </w:r>
      <w:r w:rsidR="00236AE6">
        <w:t>pajamos</w:t>
      </w:r>
      <w:r w:rsidR="00A164C4" w:rsidRPr="00516E01">
        <w:t xml:space="preserve">, o </w:t>
      </w:r>
      <w:r w:rsidR="007E4822" w:rsidRPr="00516E01">
        <w:t xml:space="preserve">nesugebėjimas greitai </w:t>
      </w:r>
      <w:r w:rsidR="008B40BA">
        <w:t xml:space="preserve">adaptuotis </w:t>
      </w:r>
      <w:r w:rsidR="007E4822" w:rsidRPr="00516E01">
        <w:t xml:space="preserve">prie </w:t>
      </w:r>
      <w:r w:rsidR="0018361C">
        <w:t>paki</w:t>
      </w:r>
      <w:r w:rsidR="00402D65" w:rsidRPr="00516E01">
        <w:t xml:space="preserve">tusių </w:t>
      </w:r>
      <w:r w:rsidR="00F84BC4" w:rsidRPr="00E90246">
        <w:t>aplinkos</w:t>
      </w:r>
      <w:r w:rsidR="00F84BC4" w:rsidRPr="00516E01">
        <w:t xml:space="preserve"> </w:t>
      </w:r>
      <w:r w:rsidR="00402D65" w:rsidRPr="00516E01">
        <w:t>sąlygų</w:t>
      </w:r>
      <w:r w:rsidR="00F84BC4" w:rsidRPr="00516E01">
        <w:t>, tokių kaip nauji reikalavimai</w:t>
      </w:r>
      <w:r w:rsidR="00AB5B52">
        <w:t xml:space="preserve"> darbuotojams</w:t>
      </w:r>
      <w:r w:rsidR="00F84BC4" w:rsidRPr="00516E01">
        <w:t xml:space="preserve">, specialių žinių </w:t>
      </w:r>
      <w:r w:rsidR="00516E01" w:rsidRPr="00516E01">
        <w:t xml:space="preserve">ir gebėjimų </w:t>
      </w:r>
      <w:r w:rsidR="00F84BC4" w:rsidRPr="00516E01">
        <w:t>poreikis</w:t>
      </w:r>
      <w:r w:rsidR="00017406" w:rsidRPr="00516E01">
        <w:t xml:space="preserve"> ar besąlygiškas atsidavimas darbui laiko prasme.</w:t>
      </w:r>
      <w:r w:rsidR="00516E01" w:rsidRPr="00516E01">
        <w:t xml:space="preserve"> </w:t>
      </w:r>
      <w:r w:rsidR="000F1B89">
        <w:t>Kadangi</w:t>
      </w:r>
      <w:r w:rsidR="00353E2B">
        <w:t xml:space="preserve"> </w:t>
      </w:r>
      <w:r w:rsidR="00FB4FB8">
        <w:t xml:space="preserve">visi </w:t>
      </w:r>
      <w:r w:rsidR="00353E2B">
        <w:t xml:space="preserve">paminėti veiksniai yra </w:t>
      </w:r>
      <w:r w:rsidR="000F50CF">
        <w:t xml:space="preserve">daugiau mažiau </w:t>
      </w:r>
      <w:r w:rsidR="00353E2B">
        <w:t xml:space="preserve">koreguotini, </w:t>
      </w:r>
      <w:r w:rsidR="00FB4FB8">
        <w:t>tai racionaliajam išmok</w:t>
      </w:r>
      <w:r w:rsidR="004C1263">
        <w:t xml:space="preserve">ų gavėjui </w:t>
      </w:r>
      <w:r w:rsidR="004E1997">
        <w:t>l</w:t>
      </w:r>
      <w:r w:rsidR="008B4BA8">
        <w:t>eidžia išspręsti susidariusias kliūti</w:t>
      </w:r>
      <w:r w:rsidR="004E1997">
        <w:t xml:space="preserve">s, todėl </w:t>
      </w:r>
      <w:r w:rsidR="00BF632F">
        <w:t xml:space="preserve">socialine gerove </w:t>
      </w:r>
      <w:r w:rsidR="004E1997">
        <w:t xml:space="preserve">naudojamasi </w:t>
      </w:r>
      <w:r w:rsidR="00BF632F">
        <w:t>palyginti trumpą laiką</w:t>
      </w:r>
      <w:r w:rsidR="00707799">
        <w:t>.</w:t>
      </w:r>
    </w:p>
    <w:p w:rsidR="00F66EFA" w:rsidRDefault="00C30173" w:rsidP="000C6B01">
      <w:r>
        <w:rPr>
          <w:b/>
          <w:i/>
          <w:u w:val="single"/>
        </w:rPr>
        <w:lastRenderedPageBreak/>
        <w:t>Neracionaliųjų išmok</w:t>
      </w:r>
      <w:r w:rsidR="005C19AF" w:rsidRPr="00C625EC">
        <w:rPr>
          <w:b/>
          <w:i/>
          <w:u w:val="single"/>
        </w:rPr>
        <w:t>ų gavėjų elgseną lemiantys veiksniai</w:t>
      </w:r>
      <w:r w:rsidR="00460FB9" w:rsidRPr="00E536C1">
        <w:t>.</w:t>
      </w:r>
      <w:r w:rsidR="00FE6AF6">
        <w:t xml:space="preserve"> Jei į neracionaliuos</w:t>
      </w:r>
      <w:r>
        <w:t>ius išmok</w:t>
      </w:r>
      <w:r w:rsidR="00917890">
        <w:t>ų gavėjus pažiūrė</w:t>
      </w:r>
      <w:r w:rsidR="00FE6AF6">
        <w:t>tume kaip į asmenis, kurie tokią strategij</w:t>
      </w:r>
      <w:r w:rsidR="008D66F6">
        <w:t xml:space="preserve">ą, t. y. </w:t>
      </w:r>
      <w:r w:rsidR="007B2949">
        <w:t xml:space="preserve">padidinti pajamas </w:t>
      </w:r>
      <w:r w:rsidR="00917890">
        <w:t>socialinių išmok</w:t>
      </w:r>
      <w:r w:rsidR="008D66F6">
        <w:t>ų</w:t>
      </w:r>
      <w:r w:rsidR="007B2949">
        <w:t xml:space="preserve"> dydžiu</w:t>
      </w:r>
      <w:r w:rsidR="008D66F6">
        <w:t xml:space="preserve">, </w:t>
      </w:r>
      <w:r w:rsidR="007B2949">
        <w:t xml:space="preserve">renkasi </w:t>
      </w:r>
      <w:r w:rsidR="00917890" w:rsidRPr="00044187">
        <w:rPr>
          <w:i/>
        </w:rPr>
        <w:t>apgalvotai</w:t>
      </w:r>
      <w:r w:rsidR="00917890" w:rsidRPr="007448C2">
        <w:t xml:space="preserve"> (</w:t>
      </w:r>
      <w:r w:rsidR="005E4EED" w:rsidRPr="007448C2">
        <w:t>savo noru</w:t>
      </w:r>
      <w:r w:rsidR="00917890" w:rsidRPr="007448C2">
        <w:t>)</w:t>
      </w:r>
      <w:r w:rsidR="00566B30" w:rsidRPr="007448C2">
        <w:t>, t</w:t>
      </w:r>
      <w:r w:rsidR="005E57D1" w:rsidRPr="007448C2">
        <w:t>okiu</w:t>
      </w:r>
      <w:r w:rsidR="005E57D1">
        <w:t xml:space="preserve"> atveju juos būtų galima pri</w:t>
      </w:r>
      <w:r w:rsidR="00566B30">
        <w:t>lyginti</w:t>
      </w:r>
      <w:r w:rsidR="005E57D1">
        <w:t xml:space="preserve"> investuotojam</w:t>
      </w:r>
      <w:r w:rsidR="00566B30">
        <w:t>s</w:t>
      </w:r>
      <w:r w:rsidR="002E1F85">
        <w:t xml:space="preserve"> </w:t>
      </w:r>
      <w:r w:rsidR="004F6FA5">
        <w:t>ir pritaikyti toki</w:t>
      </w:r>
      <w:r w:rsidR="007448C2">
        <w:t>a</w:t>
      </w:r>
      <w:r w:rsidR="00284C03" w:rsidRPr="007F6160">
        <w:t>s pačias finansų elgsenos teorijas, kurios pasitelkiamos</w:t>
      </w:r>
      <w:r w:rsidR="00CA644A" w:rsidRPr="007F6160">
        <w:t xml:space="preserve">, </w:t>
      </w:r>
      <w:r w:rsidR="00343BF9">
        <w:t xml:space="preserve">tiriant </w:t>
      </w:r>
      <w:r w:rsidR="00E15BDF" w:rsidRPr="007F6160">
        <w:t xml:space="preserve">investuotojų nuokrypius </w:t>
      </w:r>
      <w:r w:rsidR="00FF3DD1" w:rsidRPr="007F6160">
        <w:t>nuo racionalios elgsenos</w:t>
      </w:r>
      <w:r w:rsidR="00CA644A" w:rsidRPr="007F6160">
        <w:t>.</w:t>
      </w:r>
    </w:p>
    <w:p w:rsidR="009A1DEC" w:rsidRPr="00364400" w:rsidRDefault="00F66EFA" w:rsidP="000C6B01">
      <w:r w:rsidRPr="00364400">
        <w:t>I</w:t>
      </w:r>
      <w:r w:rsidR="00114A16" w:rsidRPr="00364400">
        <w:t>š nagrinė</w:t>
      </w:r>
      <w:r w:rsidR="00FF55AA" w:rsidRPr="00364400">
        <w:t xml:space="preserve">tų nuokrypių </w:t>
      </w:r>
      <w:r w:rsidR="00B752A3" w:rsidRPr="00364400">
        <w:t>neracionalie</w:t>
      </w:r>
      <w:r w:rsidR="00722B09" w:rsidRPr="00364400">
        <w:t>si</w:t>
      </w:r>
      <w:r w:rsidR="00114A16" w:rsidRPr="00364400">
        <w:t>e</w:t>
      </w:r>
      <w:r w:rsidR="004F6FA5" w:rsidRPr="00364400">
        <w:t>ms išmok</w:t>
      </w:r>
      <w:r w:rsidR="00B752A3" w:rsidRPr="00364400">
        <w:t xml:space="preserve">ų gavėjams </w:t>
      </w:r>
      <w:r w:rsidR="00F751BA" w:rsidRPr="00364400">
        <w:t>pirmiausia galima priskirti</w:t>
      </w:r>
      <w:r w:rsidR="00B752A3" w:rsidRPr="00364400">
        <w:t xml:space="preserve"> </w:t>
      </w:r>
      <w:r w:rsidR="00B752A3" w:rsidRPr="00364400">
        <w:rPr>
          <w:b/>
          <w:i/>
        </w:rPr>
        <w:t>mentalinių sąskaitų</w:t>
      </w:r>
      <w:r w:rsidR="00F751BA" w:rsidRPr="00364400">
        <w:t xml:space="preserve"> buv</w:t>
      </w:r>
      <w:r w:rsidR="002E76FE" w:rsidRPr="00364400">
        <w:t>imą</w:t>
      </w:r>
      <w:r w:rsidR="0035455A" w:rsidRPr="00364400">
        <w:t>, ka</w:t>
      </w:r>
      <w:r w:rsidR="0054663C" w:rsidRPr="00364400">
        <w:t>s reiškia, jog</w:t>
      </w:r>
      <w:r w:rsidR="000C6B01" w:rsidRPr="00364400">
        <w:t xml:space="preserve"> žmonės atsietai vertina klausimus, kurie </w:t>
      </w:r>
      <w:r w:rsidR="002E76FE" w:rsidRPr="00364400">
        <w:t xml:space="preserve">turėtų būti </w:t>
      </w:r>
      <w:r w:rsidR="000C6B01" w:rsidRPr="00364400">
        <w:t>susiję</w:t>
      </w:r>
      <w:r w:rsidR="00991A95" w:rsidRPr="00364400">
        <w:t xml:space="preserve">. </w:t>
      </w:r>
      <w:r w:rsidR="00F8260F" w:rsidRPr="00364400">
        <w:t xml:space="preserve">Suvokdami </w:t>
      </w:r>
      <w:r w:rsidR="000F0783" w:rsidRPr="00364400">
        <w:t xml:space="preserve">socialines </w:t>
      </w:r>
      <w:r w:rsidR="00D74546" w:rsidRPr="00364400">
        <w:t>išmok</w:t>
      </w:r>
      <w:r w:rsidR="00F8260F" w:rsidRPr="00364400">
        <w:t>as</w:t>
      </w:r>
      <w:r w:rsidR="001D1048" w:rsidRPr="00364400">
        <w:t xml:space="preserve"> </w:t>
      </w:r>
      <w:r w:rsidR="00C4359F" w:rsidRPr="00364400">
        <w:t xml:space="preserve">kaip </w:t>
      </w:r>
      <w:r w:rsidR="00AA1AA7" w:rsidRPr="00364400">
        <w:t>„</w:t>
      </w:r>
      <w:r w:rsidR="001D1048" w:rsidRPr="00364400">
        <w:t>nieko nekainuojantį</w:t>
      </w:r>
      <w:r w:rsidR="00F319D3" w:rsidRPr="00364400">
        <w:t>“</w:t>
      </w:r>
      <w:r w:rsidR="001D1048" w:rsidRPr="00364400">
        <w:t xml:space="preserve"> pajamų šaltinį, tokie asmenys</w:t>
      </w:r>
      <w:r w:rsidR="000F0783" w:rsidRPr="00364400">
        <w:t xml:space="preserve"> neįvertina fakto, jog </w:t>
      </w:r>
      <w:r w:rsidR="00D74546" w:rsidRPr="00364400">
        <w:t>išmok</w:t>
      </w:r>
      <w:r w:rsidR="00F01677" w:rsidRPr="00364400">
        <w:t xml:space="preserve">a kainuoja </w:t>
      </w:r>
      <w:r w:rsidR="0099795C" w:rsidRPr="00364400">
        <w:t xml:space="preserve">valstybei – </w:t>
      </w:r>
      <w:r w:rsidR="000D3939" w:rsidRPr="00364400">
        <w:t xml:space="preserve">o tai reiškia </w:t>
      </w:r>
      <w:r w:rsidR="009F7EC6" w:rsidRPr="00364400">
        <w:t>visuomenei, nes</w:t>
      </w:r>
      <w:r w:rsidR="00D94CF6" w:rsidRPr="00364400">
        <w:t xml:space="preserve"> </w:t>
      </w:r>
      <w:r w:rsidR="009A1DEC" w:rsidRPr="00364400">
        <w:t xml:space="preserve">pastaroji </w:t>
      </w:r>
      <w:r w:rsidR="00D94CF6" w:rsidRPr="00364400">
        <w:t xml:space="preserve">yra </w:t>
      </w:r>
      <w:r w:rsidR="005E36C3" w:rsidRPr="00364400">
        <w:t>„</w:t>
      </w:r>
      <w:r w:rsidR="00D94CF6" w:rsidRPr="00364400">
        <w:t>pagrindinis valstybės funkcijų užtikrinimo garantas ir šių funkcijų atlikėjas</w:t>
      </w:r>
      <w:r w:rsidR="005E36C3" w:rsidRPr="00364400">
        <w:t>“</w:t>
      </w:r>
      <w:r w:rsidR="00004C3D" w:rsidRPr="00364400">
        <w:t xml:space="preserve"> </w:t>
      </w:r>
      <w:r w:rsidR="00D94CF6" w:rsidRPr="00364400">
        <w:t>(</w:t>
      </w:r>
      <w:r w:rsidR="00004C3D" w:rsidRPr="00364400">
        <w:t>Bieliauskaitė 2009</w:t>
      </w:r>
      <w:r w:rsidR="005E36C3" w:rsidRPr="00364400">
        <w:t>, p. 85</w:t>
      </w:r>
      <w:r w:rsidR="00004C3D" w:rsidRPr="00364400">
        <w:t>)</w:t>
      </w:r>
      <w:r w:rsidR="0099795C" w:rsidRPr="00364400">
        <w:t xml:space="preserve"> – </w:t>
      </w:r>
      <w:r w:rsidR="001A10EE" w:rsidRPr="00364400">
        <w:t xml:space="preserve">ir dėl </w:t>
      </w:r>
      <w:r w:rsidR="00510F1A" w:rsidRPr="00364400">
        <w:t xml:space="preserve">to </w:t>
      </w:r>
      <w:r w:rsidR="009207A9" w:rsidRPr="00364400">
        <w:t>priima sprendimą</w:t>
      </w:r>
      <w:r w:rsidR="005E36C3" w:rsidRPr="00364400">
        <w:t xml:space="preserve"> </w:t>
      </w:r>
      <w:r w:rsidR="003F569A" w:rsidRPr="00364400">
        <w:t xml:space="preserve">gyventi </w:t>
      </w:r>
      <w:r w:rsidR="00A24EA6" w:rsidRPr="00364400">
        <w:t>valstybės sąskaita</w:t>
      </w:r>
      <w:r w:rsidR="007F4408" w:rsidRPr="00364400">
        <w:t>, t. y. iš socialinės apsaugos lėšų</w:t>
      </w:r>
      <w:r w:rsidR="00CE3783" w:rsidRPr="00364400">
        <w:t xml:space="preserve">, </w:t>
      </w:r>
      <w:r w:rsidR="002E76FE" w:rsidRPr="00364400">
        <w:t>šitaip</w:t>
      </w:r>
      <w:r w:rsidR="00CE3783" w:rsidRPr="00364400">
        <w:t xml:space="preserve"> užsikraudami dar didesnę naštą</w:t>
      </w:r>
      <w:r w:rsidR="00CF428B" w:rsidRPr="00364400">
        <w:t xml:space="preserve"> (tik gal netiesiogiai)</w:t>
      </w:r>
      <w:r w:rsidR="00CE3783" w:rsidRPr="00364400">
        <w:t>.</w:t>
      </w:r>
    </w:p>
    <w:p w:rsidR="00444FAD" w:rsidRPr="00364400" w:rsidRDefault="00015136" w:rsidP="00444FAD">
      <w:r w:rsidRPr="00364400">
        <w:t>Atkreiptinas dėmesys, jog t</w:t>
      </w:r>
      <w:r w:rsidR="00B92F2F" w:rsidRPr="00364400">
        <w:t>ok</w:t>
      </w:r>
      <w:r w:rsidR="007D5204" w:rsidRPr="00364400">
        <w:t>s (klaidingas)</w:t>
      </w:r>
      <w:r w:rsidR="00B92F2F" w:rsidRPr="00364400">
        <w:t xml:space="preserve"> požiūris į socialinę apsaugą</w:t>
      </w:r>
      <w:r w:rsidRPr="00364400">
        <w:t xml:space="preserve"> yra ne dabarties, o, veikiau, praeities</w:t>
      </w:r>
      <w:r w:rsidR="008251BB" w:rsidRPr="00364400">
        <w:t xml:space="preserve"> pasekmė</w:t>
      </w:r>
      <w:r w:rsidR="007D5204" w:rsidRPr="00364400">
        <w:t xml:space="preserve">, </w:t>
      </w:r>
      <w:r w:rsidR="008251BB" w:rsidRPr="00364400">
        <w:t xml:space="preserve">tad </w:t>
      </w:r>
      <w:r w:rsidR="00586CF1" w:rsidRPr="00364400">
        <w:t xml:space="preserve">tikslinga </w:t>
      </w:r>
      <w:r w:rsidR="00A22AFE" w:rsidRPr="00364400">
        <w:t xml:space="preserve">būtų </w:t>
      </w:r>
      <w:r w:rsidR="003F6AA2" w:rsidRPr="00364400">
        <w:t xml:space="preserve">aptarti </w:t>
      </w:r>
      <w:r w:rsidR="00586CF1" w:rsidRPr="00364400">
        <w:t>kit</w:t>
      </w:r>
      <w:r w:rsidR="003F6AA2" w:rsidRPr="00364400">
        <w:t>ą</w:t>
      </w:r>
      <w:r w:rsidR="00A04C89" w:rsidRPr="00364400">
        <w:t xml:space="preserve"> </w:t>
      </w:r>
      <w:r w:rsidR="008251BB" w:rsidRPr="00364400">
        <w:t xml:space="preserve">nuokrypį </w:t>
      </w:r>
      <w:r w:rsidR="00A04C89" w:rsidRPr="00364400">
        <w:t>nuo racionalios elgsenos</w:t>
      </w:r>
      <w:r w:rsidR="00D53492" w:rsidRPr="00364400">
        <w:t xml:space="preserve">, t. y. </w:t>
      </w:r>
      <w:r w:rsidR="006C512F" w:rsidRPr="00364400">
        <w:rPr>
          <w:b/>
          <w:i/>
        </w:rPr>
        <w:t>konservatyvumą</w:t>
      </w:r>
      <w:r w:rsidR="00D53492" w:rsidRPr="00364400">
        <w:t>,</w:t>
      </w:r>
      <w:r w:rsidR="003F6AA2" w:rsidRPr="00364400">
        <w:t xml:space="preserve"> kuris </w:t>
      </w:r>
      <w:r w:rsidR="000F0CF3" w:rsidRPr="00364400">
        <w:t xml:space="preserve">reiškia, jog žmonės tik iš dalies </w:t>
      </w:r>
      <w:r w:rsidR="008251BB" w:rsidRPr="00364400">
        <w:t xml:space="preserve">pritaiko </w:t>
      </w:r>
      <w:r w:rsidR="00A22AFE" w:rsidRPr="00364400">
        <w:t>savo įsitikinimus</w:t>
      </w:r>
      <w:r w:rsidR="008251BB" w:rsidRPr="00364400">
        <w:t xml:space="preserve"> prie</w:t>
      </w:r>
      <w:r w:rsidR="00574A4C" w:rsidRPr="00364400">
        <w:t xml:space="preserve"> nauj</w:t>
      </w:r>
      <w:r w:rsidR="009662AF" w:rsidRPr="00364400">
        <w:t>ų faktų</w:t>
      </w:r>
      <w:r w:rsidR="00733C42" w:rsidRPr="00364400">
        <w:t xml:space="preserve">. </w:t>
      </w:r>
      <w:r w:rsidR="009C39B1" w:rsidRPr="00364400">
        <w:t>Būdami konservatyvių pažiūrų</w:t>
      </w:r>
      <w:r w:rsidR="003A26A1" w:rsidRPr="00364400">
        <w:t>, šios grupės atstovai</w:t>
      </w:r>
      <w:r w:rsidR="00B372E6" w:rsidRPr="00364400">
        <w:t xml:space="preserve"> yra linkę manyti</w:t>
      </w:r>
      <w:r w:rsidR="00AD1116" w:rsidRPr="00364400">
        <w:t xml:space="preserve">, jog </w:t>
      </w:r>
      <w:r w:rsidR="003139BB" w:rsidRPr="00364400">
        <w:t xml:space="preserve">būtent </w:t>
      </w:r>
      <w:r w:rsidR="00AD1116" w:rsidRPr="00364400">
        <w:t xml:space="preserve">valstybė </w:t>
      </w:r>
      <w:r w:rsidR="00AD1116" w:rsidRPr="00364400">
        <w:rPr>
          <w:i/>
        </w:rPr>
        <w:t>privalo</w:t>
      </w:r>
      <w:r w:rsidR="00AD1116" w:rsidRPr="00364400">
        <w:t xml:space="preserve"> suteikti pastogę, duoti darbą ir garantuoti išlaidų kompensavimą</w:t>
      </w:r>
      <w:r w:rsidR="003F0C15" w:rsidRPr="00364400">
        <w:t xml:space="preserve"> pajamų netekimo atveju</w:t>
      </w:r>
      <w:r w:rsidR="00FE1825" w:rsidRPr="00364400">
        <w:t xml:space="preserve">, nes </w:t>
      </w:r>
      <w:r w:rsidR="002D1967" w:rsidRPr="00364400">
        <w:t xml:space="preserve">kaip tik </w:t>
      </w:r>
      <w:r w:rsidR="007600C7" w:rsidRPr="00364400">
        <w:t>toki</w:t>
      </w:r>
      <w:r w:rsidR="00922C60" w:rsidRPr="00364400">
        <w:t>ą</w:t>
      </w:r>
      <w:r w:rsidR="007600C7" w:rsidRPr="00364400">
        <w:t xml:space="preserve"> praktik</w:t>
      </w:r>
      <w:r w:rsidR="00922C60" w:rsidRPr="00364400">
        <w:t>ą</w:t>
      </w:r>
      <w:r w:rsidR="00C215CB" w:rsidRPr="00364400">
        <w:t xml:space="preserve"> </w:t>
      </w:r>
      <w:r w:rsidR="004A1663" w:rsidRPr="00364400">
        <w:t>jie sieja</w:t>
      </w:r>
      <w:r w:rsidR="00C215CB" w:rsidRPr="00364400">
        <w:t xml:space="preserve"> su gerovės</w:t>
      </w:r>
      <w:r w:rsidR="00B76121" w:rsidRPr="00364400">
        <w:t xml:space="preserve"> valstybe</w:t>
      </w:r>
      <w:r w:rsidR="006628CC" w:rsidRPr="00364400">
        <w:t xml:space="preserve">. </w:t>
      </w:r>
      <w:r w:rsidR="00444FAD" w:rsidRPr="00364400">
        <w:t xml:space="preserve">Iš esmės čia </w:t>
      </w:r>
      <w:r w:rsidR="0000610B" w:rsidRPr="00364400">
        <w:t xml:space="preserve">būtų galima </w:t>
      </w:r>
      <w:r w:rsidR="00444FAD" w:rsidRPr="00364400">
        <w:t xml:space="preserve">kalbėti apie </w:t>
      </w:r>
      <w:r w:rsidR="00444FAD" w:rsidRPr="00364400">
        <w:rPr>
          <w:b/>
        </w:rPr>
        <w:t>„</w:t>
      </w:r>
      <w:r w:rsidR="00444FAD" w:rsidRPr="00364400">
        <w:rPr>
          <w:b/>
          <w:i/>
        </w:rPr>
        <w:t>sovietinį</w:t>
      </w:r>
      <w:r w:rsidR="00446BE5" w:rsidRPr="00364400">
        <w:rPr>
          <w:b/>
          <w:i/>
        </w:rPr>
        <w:t>“ palikimą</w:t>
      </w:r>
      <w:r w:rsidR="00444FAD" w:rsidRPr="00364400">
        <w:t>,</w:t>
      </w:r>
      <w:r w:rsidR="001B6E53" w:rsidRPr="00364400">
        <w:t xml:space="preserve"> </w:t>
      </w:r>
      <w:r w:rsidR="00ED0FBD" w:rsidRPr="00364400">
        <w:t>kurio pagrindinis bruožas yra tas, ka</w:t>
      </w:r>
      <w:r w:rsidR="00CF1459" w:rsidRPr="00364400">
        <w:t>d</w:t>
      </w:r>
      <w:r w:rsidR="00842DF8" w:rsidRPr="00364400">
        <w:t xml:space="preserve"> </w:t>
      </w:r>
      <w:r w:rsidR="006343B6" w:rsidRPr="00364400">
        <w:t>(</w:t>
      </w:r>
      <w:r w:rsidR="00C86862" w:rsidRPr="00364400">
        <w:t>efektyvi</w:t>
      </w:r>
      <w:r w:rsidR="006343B6" w:rsidRPr="00364400">
        <w:t>)</w:t>
      </w:r>
      <w:r w:rsidR="00C86862" w:rsidRPr="00364400">
        <w:t xml:space="preserve"> </w:t>
      </w:r>
      <w:r w:rsidR="003A5ACF" w:rsidRPr="00364400">
        <w:t>socialinė apsaug</w:t>
      </w:r>
      <w:r w:rsidR="00A664C4" w:rsidRPr="00364400">
        <w:t xml:space="preserve">a </w:t>
      </w:r>
      <w:r w:rsidR="003A5ACF" w:rsidRPr="00364400">
        <w:t xml:space="preserve">yra ne žmonių, o valstybės </w:t>
      </w:r>
      <w:r w:rsidR="00824AE1" w:rsidRPr="00364400">
        <w:t xml:space="preserve">rūpestis </w:t>
      </w:r>
      <w:r w:rsidR="00444FAD" w:rsidRPr="00364400">
        <w:t xml:space="preserve">(Guogis 2006; </w:t>
      </w:r>
      <w:proofErr w:type="spellStart"/>
      <w:r w:rsidR="00444FAD" w:rsidRPr="00364400">
        <w:t>Ouchi</w:t>
      </w:r>
      <w:proofErr w:type="spellEnd"/>
      <w:r w:rsidR="00444FAD" w:rsidRPr="00364400">
        <w:t xml:space="preserve">, </w:t>
      </w:r>
      <w:proofErr w:type="spellStart"/>
      <w:r w:rsidR="00444FAD" w:rsidRPr="00364400">
        <w:t>Upadhyaya</w:t>
      </w:r>
      <w:proofErr w:type="spellEnd"/>
      <w:r w:rsidR="00444FAD" w:rsidRPr="00364400">
        <w:t xml:space="preserve"> 2006).</w:t>
      </w:r>
    </w:p>
    <w:p w:rsidR="00B72351" w:rsidRPr="00364400" w:rsidRDefault="00A066AA" w:rsidP="00D47B5C">
      <w:r w:rsidRPr="00364400">
        <w:t xml:space="preserve">Dėl šios priežasties </w:t>
      </w:r>
      <w:r w:rsidR="00C26C7B" w:rsidRPr="00364400">
        <w:t>„</w:t>
      </w:r>
      <w:r w:rsidR="00A47677" w:rsidRPr="00364400">
        <w:t>s</w:t>
      </w:r>
      <w:r w:rsidR="00E3712F" w:rsidRPr="00364400">
        <w:t>ovie</w:t>
      </w:r>
      <w:r w:rsidR="00747C5C" w:rsidRPr="00364400">
        <w:t>tinio“ mentaliteto žmogui būdinga</w:t>
      </w:r>
      <w:r w:rsidR="00E3712F" w:rsidRPr="00364400">
        <w:t xml:space="preserve"> </w:t>
      </w:r>
      <w:r w:rsidR="00881E98" w:rsidRPr="00364400">
        <w:t xml:space="preserve">save laikyti ne visuomenės nariu, </w:t>
      </w:r>
      <w:r w:rsidR="00747C5C" w:rsidRPr="00364400">
        <w:t xml:space="preserve">kuris </w:t>
      </w:r>
      <w:r w:rsidR="00976572" w:rsidRPr="00364400">
        <w:t xml:space="preserve">turi </w:t>
      </w:r>
      <w:r w:rsidR="00E3712F" w:rsidRPr="00364400">
        <w:t xml:space="preserve">bendrų įsipareigojimų, o begalę teisių </w:t>
      </w:r>
      <w:r w:rsidR="00AB3B2C" w:rsidRPr="00364400">
        <w:t>turinči</w:t>
      </w:r>
      <w:r w:rsidR="00881E98" w:rsidRPr="00364400">
        <w:t>u</w:t>
      </w:r>
      <w:r w:rsidR="00AB3B2C" w:rsidRPr="00364400">
        <w:t xml:space="preserve"> individ</w:t>
      </w:r>
      <w:r w:rsidR="00881E98" w:rsidRPr="00364400">
        <w:t>u</w:t>
      </w:r>
      <w:r w:rsidR="00AB3B2C" w:rsidRPr="00364400">
        <w:t>, kuri</w:t>
      </w:r>
      <w:r w:rsidR="00881E98" w:rsidRPr="00364400">
        <w:t>o</w:t>
      </w:r>
      <w:r w:rsidR="00AB3B2C" w:rsidRPr="00364400">
        <w:t xml:space="preserve"> poreikius reikia tenkinti vien dėl to, jog tokį pažadą </w:t>
      </w:r>
      <w:r w:rsidR="00976572" w:rsidRPr="00364400">
        <w:t xml:space="preserve">kažkada </w:t>
      </w:r>
      <w:r w:rsidR="00747C5C" w:rsidRPr="00364400">
        <w:t xml:space="preserve">buvo </w:t>
      </w:r>
      <w:r w:rsidR="00976572" w:rsidRPr="00364400">
        <w:t>dav</w:t>
      </w:r>
      <w:r w:rsidR="00747C5C" w:rsidRPr="00364400">
        <w:t>usi</w:t>
      </w:r>
      <w:r w:rsidR="00976572" w:rsidRPr="00364400">
        <w:t xml:space="preserve"> </w:t>
      </w:r>
      <w:r w:rsidR="00AB3B2C" w:rsidRPr="00364400">
        <w:t>valstybė</w:t>
      </w:r>
      <w:r w:rsidR="00FD5CB1" w:rsidRPr="00364400">
        <w:t>. T</w:t>
      </w:r>
      <w:r w:rsidR="000F1997" w:rsidRPr="00364400">
        <w:t>ai reiškia, jog</w:t>
      </w:r>
      <w:r w:rsidR="00FD5CB1" w:rsidRPr="00364400">
        <w:t xml:space="preserve"> </w:t>
      </w:r>
      <w:r w:rsidR="00305CC3" w:rsidRPr="00364400">
        <w:t>neracionalusis išmok</w:t>
      </w:r>
      <w:r w:rsidR="000F1997" w:rsidRPr="00364400">
        <w:t>ų gavėjas</w:t>
      </w:r>
      <w:r w:rsidR="0038103A" w:rsidRPr="00364400">
        <w:t xml:space="preserve"> neturi vidinės motyvacijos stengtis</w:t>
      </w:r>
      <w:r w:rsidR="00035083" w:rsidRPr="00364400">
        <w:t>,</w:t>
      </w:r>
      <w:r w:rsidR="00780AE6" w:rsidRPr="00364400">
        <w:t xml:space="preserve"> </w:t>
      </w:r>
      <w:r w:rsidR="00BC4148" w:rsidRPr="00364400">
        <w:t xml:space="preserve">todėl </w:t>
      </w:r>
      <w:r w:rsidR="00F5029C" w:rsidRPr="00364400">
        <w:t>rinktis gyvenimą iš išmok</w:t>
      </w:r>
      <w:r w:rsidR="0079704C" w:rsidRPr="00364400">
        <w:t xml:space="preserve">ų jį skatina </w:t>
      </w:r>
      <w:r w:rsidR="00FC65A5" w:rsidRPr="00364400">
        <w:t>„</w:t>
      </w:r>
      <w:r w:rsidR="0079704C" w:rsidRPr="00364400">
        <w:rPr>
          <w:b/>
          <w:i/>
        </w:rPr>
        <w:t>motyvų ir</w:t>
      </w:r>
      <w:r w:rsidR="00780AE6" w:rsidRPr="00364400">
        <w:rPr>
          <w:b/>
          <w:i/>
        </w:rPr>
        <w:t xml:space="preserve"> veiksmų </w:t>
      </w:r>
      <w:r w:rsidR="00FC65A5" w:rsidRPr="00364400">
        <w:t>[</w:t>
      </w:r>
      <w:r w:rsidR="00780AE6" w:rsidRPr="00364400">
        <w:t>stoka</w:t>
      </w:r>
      <w:r w:rsidR="00FC65A5" w:rsidRPr="00364400">
        <w:t>]</w:t>
      </w:r>
      <w:r w:rsidR="00780AE6" w:rsidRPr="00364400">
        <w:t>, kurie palaiko žmogiškuosius ryšius</w:t>
      </w:r>
      <w:r w:rsidR="00FC65A5" w:rsidRPr="00364400">
        <w:t>“</w:t>
      </w:r>
      <w:r w:rsidR="00780AE6" w:rsidRPr="00364400">
        <w:t xml:space="preserve"> (</w:t>
      </w:r>
      <w:r w:rsidR="005A1842" w:rsidRPr="00364400">
        <w:t>Bieliauskaitė</w:t>
      </w:r>
      <w:r w:rsidR="0019021A" w:rsidRPr="00364400">
        <w:t xml:space="preserve"> 200</w:t>
      </w:r>
      <w:r w:rsidR="005A1842" w:rsidRPr="00364400">
        <w:t>9</w:t>
      </w:r>
      <w:r w:rsidR="00FC65A5" w:rsidRPr="00364400">
        <w:t xml:space="preserve">, p. </w:t>
      </w:r>
      <w:r w:rsidR="007E34C7" w:rsidRPr="00364400">
        <w:t>80</w:t>
      </w:r>
      <w:r w:rsidR="00780AE6" w:rsidRPr="00364400">
        <w:t>)</w:t>
      </w:r>
      <w:r w:rsidR="003C3BF5" w:rsidRPr="00364400">
        <w:t xml:space="preserve">. </w:t>
      </w:r>
      <w:proofErr w:type="spellStart"/>
      <w:r w:rsidR="003C3BF5" w:rsidRPr="00364400">
        <w:t>Okunevičiūtė-Neverauskienė,</w:t>
      </w:r>
      <w:proofErr w:type="spellEnd"/>
      <w:r w:rsidR="003C3BF5" w:rsidRPr="00364400">
        <w:t xml:space="preserve"> Pocius (2003)</w:t>
      </w:r>
      <w:r w:rsidR="007E34C7" w:rsidRPr="00364400">
        <w:t xml:space="preserve"> pastebi</w:t>
      </w:r>
      <w:r w:rsidR="0037651C" w:rsidRPr="00364400">
        <w:t xml:space="preserve">, jog paskatų </w:t>
      </w:r>
      <w:r w:rsidR="00160723" w:rsidRPr="00364400">
        <w:t xml:space="preserve">ieškoti darbo </w:t>
      </w:r>
      <w:r w:rsidR="00217624" w:rsidRPr="00364400">
        <w:t xml:space="preserve">ar tobulintis </w:t>
      </w:r>
      <w:r w:rsidR="004D6050" w:rsidRPr="00364400">
        <w:t>prarad</w:t>
      </w:r>
      <w:r w:rsidR="00217624" w:rsidRPr="00364400">
        <w:t xml:space="preserve">imas veda prie </w:t>
      </w:r>
      <w:r w:rsidR="005F5111" w:rsidRPr="00364400">
        <w:t>ilgalaikio nedarbo</w:t>
      </w:r>
      <w:r w:rsidR="001540C4" w:rsidRPr="00364400">
        <w:t>, t. y. ilgalaikio pasirinkimo</w:t>
      </w:r>
      <w:r w:rsidR="005F5111" w:rsidRPr="00364400">
        <w:t xml:space="preserve">, </w:t>
      </w:r>
      <w:r w:rsidR="007E34C7" w:rsidRPr="00364400">
        <w:t>t</w:t>
      </w:r>
      <w:r w:rsidR="00E0162D" w:rsidRPr="00364400">
        <w:t>odėl</w:t>
      </w:r>
      <w:r w:rsidR="00B9392E" w:rsidRPr="00364400">
        <w:t xml:space="preserve"> </w:t>
      </w:r>
      <w:r w:rsidR="004A699E" w:rsidRPr="00364400">
        <w:t xml:space="preserve">čia </w:t>
      </w:r>
      <w:r w:rsidR="001D00D2" w:rsidRPr="00364400">
        <w:t xml:space="preserve">būtų galima </w:t>
      </w:r>
      <w:r w:rsidR="004A699E" w:rsidRPr="00364400">
        <w:t>kalbėti</w:t>
      </w:r>
      <w:r w:rsidR="00D1696E" w:rsidRPr="00364400">
        <w:t xml:space="preserve"> </w:t>
      </w:r>
      <w:r w:rsidR="004A699E" w:rsidRPr="00364400">
        <w:t xml:space="preserve">apie </w:t>
      </w:r>
      <w:r w:rsidR="000F630C" w:rsidRPr="00364400">
        <w:rPr>
          <w:i/>
        </w:rPr>
        <w:t>amoralaus šeimyniškumo</w:t>
      </w:r>
      <w:r w:rsidR="00E0162D" w:rsidRPr="00364400">
        <w:t xml:space="preserve"> įtaką</w:t>
      </w:r>
      <w:r w:rsidR="004A699E" w:rsidRPr="00364400">
        <w:t>, kuri</w:t>
      </w:r>
      <w:r w:rsidR="009819FC" w:rsidRPr="00364400">
        <w:t xml:space="preserve"> reiškia</w:t>
      </w:r>
      <w:r w:rsidR="004A699E" w:rsidRPr="00364400">
        <w:t>, jog</w:t>
      </w:r>
      <w:r w:rsidR="00160723" w:rsidRPr="00364400">
        <w:t xml:space="preserve"> žmogus</w:t>
      </w:r>
      <w:r w:rsidR="00C066AD" w:rsidRPr="00364400">
        <w:t>,</w:t>
      </w:r>
      <w:r w:rsidR="001540C4" w:rsidRPr="00364400">
        <w:t xml:space="preserve"> steng</w:t>
      </w:r>
      <w:r w:rsidR="00C066AD" w:rsidRPr="00364400">
        <w:t>damasis</w:t>
      </w:r>
      <w:r w:rsidR="001540C4" w:rsidRPr="00364400">
        <w:t xml:space="preserve"> </w:t>
      </w:r>
      <w:r w:rsidR="002F073E" w:rsidRPr="00364400">
        <w:t>pa</w:t>
      </w:r>
      <w:r w:rsidR="001540C4" w:rsidRPr="00364400">
        <w:t xml:space="preserve">tenkinti </w:t>
      </w:r>
      <w:r w:rsidR="00944771" w:rsidRPr="00364400">
        <w:t xml:space="preserve">tik </w:t>
      </w:r>
      <w:r w:rsidR="001540C4" w:rsidRPr="00364400">
        <w:t>savo šeimos poreikius</w:t>
      </w:r>
      <w:r w:rsidR="001B70E8" w:rsidRPr="00364400">
        <w:t xml:space="preserve">, </w:t>
      </w:r>
      <w:r w:rsidR="00BD7CD5" w:rsidRPr="00364400">
        <w:t xml:space="preserve">prisidengia </w:t>
      </w:r>
      <w:r w:rsidR="001B70E8" w:rsidRPr="00364400">
        <w:t>solidarum</w:t>
      </w:r>
      <w:r w:rsidR="00BD7CD5" w:rsidRPr="00364400">
        <w:t>u</w:t>
      </w:r>
      <w:r w:rsidR="00944771" w:rsidRPr="00364400">
        <w:t xml:space="preserve"> (ieško</w:t>
      </w:r>
      <w:r w:rsidR="001D00D2" w:rsidRPr="00364400">
        <w:t xml:space="preserve"> naudos</w:t>
      </w:r>
      <w:r w:rsidR="004A7AAE" w:rsidRPr="00364400">
        <w:t>)</w:t>
      </w:r>
      <w:r w:rsidR="00BD7CD5" w:rsidRPr="00364400">
        <w:t>, tačiau</w:t>
      </w:r>
      <w:r w:rsidR="00016C2F" w:rsidRPr="00364400">
        <w:t xml:space="preserve"> pats jame nedalyvauja</w:t>
      </w:r>
      <w:r w:rsidR="00BD7CD5" w:rsidRPr="00364400">
        <w:t>.</w:t>
      </w:r>
    </w:p>
    <w:p w:rsidR="00614087" w:rsidRPr="00364400" w:rsidRDefault="00B51E73" w:rsidP="00D47B5C">
      <w:r w:rsidRPr="00364400">
        <w:t>Iš kitos pusės, dėl to, kad žmogus įgyvendina tik teises, bet ne pareigas</w:t>
      </w:r>
      <w:r w:rsidR="00C337BA" w:rsidRPr="00364400">
        <w:t>,</w:t>
      </w:r>
      <w:r w:rsidRPr="00364400">
        <w:t xml:space="preserve"> turėtų būti kaltinama ir pati </w:t>
      </w:r>
      <w:r w:rsidRPr="00364400">
        <w:rPr>
          <w:b/>
          <w:i/>
        </w:rPr>
        <w:t>sistema</w:t>
      </w:r>
      <w:r w:rsidRPr="00364400">
        <w:t xml:space="preserve">, nes, </w:t>
      </w:r>
      <w:r w:rsidR="005F3892" w:rsidRPr="00364400">
        <w:t>kaip</w:t>
      </w:r>
      <w:r w:rsidR="00B04503" w:rsidRPr="00364400">
        <w:t xml:space="preserve"> pažymi </w:t>
      </w:r>
      <w:r w:rsidR="00261332" w:rsidRPr="00364400">
        <w:t>Bitin</w:t>
      </w:r>
      <w:r w:rsidR="005F3892" w:rsidRPr="00364400">
        <w:t>as</w:t>
      </w:r>
      <w:r w:rsidR="00FF481D" w:rsidRPr="00364400">
        <w:t>,</w:t>
      </w:r>
      <w:r w:rsidR="00261332" w:rsidRPr="00364400">
        <w:t xml:space="preserve"> </w:t>
      </w:r>
      <w:proofErr w:type="spellStart"/>
      <w:r w:rsidR="00261332" w:rsidRPr="00364400">
        <w:t>Papir</w:t>
      </w:r>
      <w:r w:rsidR="00B04503" w:rsidRPr="00364400">
        <w:t>tis</w:t>
      </w:r>
      <w:proofErr w:type="spellEnd"/>
      <w:r w:rsidR="00416E48" w:rsidRPr="00364400">
        <w:t xml:space="preserve"> (2010), </w:t>
      </w:r>
      <w:r w:rsidR="00727C95" w:rsidRPr="00364400">
        <w:t xml:space="preserve">ji </w:t>
      </w:r>
      <w:r w:rsidR="008131E9" w:rsidRPr="00364400">
        <w:t>„</w:t>
      </w:r>
      <w:r w:rsidR="00727C95" w:rsidRPr="00364400">
        <w:rPr>
          <w:i/>
        </w:rPr>
        <w:t>neigiamai veikia asmeninę</w:t>
      </w:r>
      <w:r w:rsidR="00CA6D2D" w:rsidRPr="00364400">
        <w:rPr>
          <w:i/>
        </w:rPr>
        <w:t xml:space="preserve"> atsakomybę, neskatina už</w:t>
      </w:r>
      <w:r w:rsidR="00694AED" w:rsidRPr="00364400">
        <w:rPr>
          <w:i/>
        </w:rPr>
        <w:t>imtumo</w:t>
      </w:r>
      <w:r w:rsidR="008131E9" w:rsidRPr="00364400">
        <w:t>“</w:t>
      </w:r>
      <w:r w:rsidR="00A150A1" w:rsidRPr="00364400">
        <w:t xml:space="preserve"> (p. </w:t>
      </w:r>
      <w:r w:rsidR="006E5C5E" w:rsidRPr="00364400">
        <w:t>40</w:t>
      </w:r>
      <w:r w:rsidR="00A150A1" w:rsidRPr="00364400">
        <w:t>)</w:t>
      </w:r>
      <w:r w:rsidR="00CA6D2D" w:rsidRPr="00364400">
        <w:t>.</w:t>
      </w:r>
      <w:r w:rsidR="00B04503" w:rsidRPr="00364400">
        <w:t xml:space="preserve"> </w:t>
      </w:r>
      <w:r w:rsidR="002B20B4" w:rsidRPr="00364400">
        <w:t>Atsakomybė neskatinama dėl to</w:t>
      </w:r>
      <w:r w:rsidR="00306715" w:rsidRPr="00364400">
        <w:t xml:space="preserve">, kad teisių </w:t>
      </w:r>
      <w:r w:rsidR="00AD4365" w:rsidRPr="00364400">
        <w:t>i</w:t>
      </w:r>
      <w:r w:rsidR="001456AF" w:rsidRPr="00364400">
        <w:t>r</w:t>
      </w:r>
      <w:r w:rsidR="00306715" w:rsidRPr="00364400">
        <w:t xml:space="preserve"> pareigų subjektas nėra tas pats asmuo</w:t>
      </w:r>
      <w:r w:rsidR="00B568E9" w:rsidRPr="00364400">
        <w:t xml:space="preserve">: </w:t>
      </w:r>
      <w:r w:rsidR="00981FB6" w:rsidRPr="00364400">
        <w:t>„</w:t>
      </w:r>
      <w:r w:rsidR="00B568E9" w:rsidRPr="00364400">
        <w:t xml:space="preserve">pareigas, kuriomis teisių turėtojas privalėtų legalizuoti savo </w:t>
      </w:r>
      <w:proofErr w:type="spellStart"/>
      <w:r w:rsidR="00272FA8" w:rsidRPr="00364400">
        <w:t>subjektinę</w:t>
      </w:r>
      <w:proofErr w:type="spellEnd"/>
      <w:r w:rsidR="00272FA8" w:rsidRPr="00364400">
        <w:t xml:space="preserve"> teisę į tam tikrą gėrį</w:t>
      </w:r>
      <w:r w:rsidR="00CF793E" w:rsidRPr="00364400">
        <w:t>, perima kitas subjektas [</w:t>
      </w:r>
      <w:r w:rsidR="000F4F16" w:rsidRPr="00364400">
        <w:t>valstybė, visuomenė, kitas socialinis darinys</w:t>
      </w:r>
      <w:r w:rsidR="00CF793E" w:rsidRPr="00364400">
        <w:t>]</w:t>
      </w:r>
      <w:r w:rsidR="004250E4" w:rsidRPr="00364400">
        <w:t>“</w:t>
      </w:r>
      <w:r w:rsidR="00272FA8" w:rsidRPr="00364400">
        <w:t xml:space="preserve"> (</w:t>
      </w:r>
      <w:r w:rsidR="00272FA8" w:rsidRPr="00364400">
        <w:rPr>
          <w:i/>
          <w:lang w:val="la-Latn"/>
        </w:rPr>
        <w:t>Ibid</w:t>
      </w:r>
      <w:r w:rsidR="00E24AE8" w:rsidRPr="00364400">
        <w:t>, p. 42</w:t>
      </w:r>
      <w:r w:rsidR="00FD617D" w:rsidRPr="00364400">
        <w:t>), o t</w:t>
      </w:r>
      <w:r w:rsidR="00BA499D" w:rsidRPr="00364400">
        <w:t>ai reiškia, kad</w:t>
      </w:r>
      <w:r w:rsidR="00873699" w:rsidRPr="00364400">
        <w:t xml:space="preserve">, nors </w:t>
      </w:r>
      <w:r w:rsidR="00C86B5F" w:rsidRPr="00364400">
        <w:t xml:space="preserve">Konstitucija nedraudžia </w:t>
      </w:r>
      <w:r w:rsidR="00254FD4" w:rsidRPr="00364400">
        <w:t xml:space="preserve">įstatymų leidėjui </w:t>
      </w:r>
      <w:r w:rsidR="006B31D6" w:rsidRPr="00364400">
        <w:t xml:space="preserve">įstatymu </w:t>
      </w:r>
      <w:r w:rsidR="00D8171E" w:rsidRPr="00364400">
        <w:t>nustatyti</w:t>
      </w:r>
      <w:r w:rsidR="006B31D6" w:rsidRPr="00364400">
        <w:t xml:space="preserve"> toki</w:t>
      </w:r>
      <w:r w:rsidR="00D8171E" w:rsidRPr="00364400">
        <w:t>ų</w:t>
      </w:r>
      <w:r w:rsidR="006B31D6" w:rsidRPr="00364400">
        <w:t xml:space="preserve"> sąlyg</w:t>
      </w:r>
      <w:r w:rsidR="00D8171E" w:rsidRPr="00364400">
        <w:t>ų</w:t>
      </w:r>
      <w:r w:rsidR="006B31D6" w:rsidRPr="00364400">
        <w:t>, kad būtų skatinama asmeninė atsakomybė</w:t>
      </w:r>
      <w:r w:rsidR="002479A0" w:rsidRPr="00364400">
        <w:t xml:space="preserve">, valstybė </w:t>
      </w:r>
      <w:r w:rsidR="00CC2A8D" w:rsidRPr="00364400">
        <w:t>šiuo metu</w:t>
      </w:r>
      <w:r w:rsidR="004C1455" w:rsidRPr="00364400">
        <w:t xml:space="preserve"> </w:t>
      </w:r>
      <w:r w:rsidR="002479A0" w:rsidRPr="00364400">
        <w:t xml:space="preserve">turi daugiau pareigų </w:t>
      </w:r>
      <w:r w:rsidR="003B309C" w:rsidRPr="00364400">
        <w:t>(net jei</w:t>
      </w:r>
      <w:r w:rsidR="00450B96" w:rsidRPr="00364400">
        <w:t>gu</w:t>
      </w:r>
      <w:r w:rsidR="003B309C" w:rsidRPr="00364400">
        <w:t xml:space="preserve"> tos pareigos yra </w:t>
      </w:r>
      <w:r w:rsidR="00EB603D" w:rsidRPr="00364400">
        <w:t xml:space="preserve">tik </w:t>
      </w:r>
      <w:r w:rsidR="003B309C" w:rsidRPr="00364400">
        <w:rPr>
          <w:i/>
        </w:rPr>
        <w:t>sušvelninti</w:t>
      </w:r>
      <w:r w:rsidR="003B309C" w:rsidRPr="00364400">
        <w:t xml:space="preserve"> neigiamą poveikį) </w:t>
      </w:r>
      <w:r w:rsidR="00D478E6" w:rsidRPr="00364400">
        <w:t>negu</w:t>
      </w:r>
      <w:r w:rsidR="002479A0" w:rsidRPr="00364400">
        <w:t xml:space="preserve"> </w:t>
      </w:r>
      <w:proofErr w:type="spellStart"/>
      <w:r w:rsidR="00EB603D" w:rsidRPr="00364400">
        <w:t>subjektinių</w:t>
      </w:r>
      <w:proofErr w:type="spellEnd"/>
      <w:r w:rsidR="00EB603D" w:rsidRPr="00364400">
        <w:t xml:space="preserve"> </w:t>
      </w:r>
      <w:r w:rsidR="003B309C" w:rsidRPr="00364400">
        <w:t>teisių turėtojai</w:t>
      </w:r>
      <w:r w:rsidR="003D2C4D" w:rsidRPr="00364400">
        <w:t>,</w:t>
      </w:r>
      <w:r w:rsidR="00EB603D" w:rsidRPr="00364400">
        <w:t xml:space="preserve"> </w:t>
      </w:r>
      <w:r w:rsidR="001070DE" w:rsidRPr="00364400">
        <w:t xml:space="preserve">– ir </w:t>
      </w:r>
      <w:r w:rsidR="008D7A5D" w:rsidRPr="00364400">
        <w:t xml:space="preserve">todėl </w:t>
      </w:r>
      <w:r w:rsidR="00691DBF" w:rsidRPr="00364400">
        <w:t xml:space="preserve">piliečiai </w:t>
      </w:r>
      <w:r w:rsidR="008D7A5D" w:rsidRPr="00364400">
        <w:t xml:space="preserve">sąmoningai </w:t>
      </w:r>
      <w:r w:rsidR="00A333AC" w:rsidRPr="00364400">
        <w:t>(</w:t>
      </w:r>
      <w:r w:rsidR="00A333AC" w:rsidRPr="00364400">
        <w:rPr>
          <w:lang w:val="en-US"/>
        </w:rPr>
        <w:t>!</w:t>
      </w:r>
      <w:r w:rsidR="00A333AC" w:rsidRPr="00364400">
        <w:t xml:space="preserve">) </w:t>
      </w:r>
      <w:r w:rsidR="008D7A5D" w:rsidRPr="00364400">
        <w:t xml:space="preserve">nesiima veiksmų, kad </w:t>
      </w:r>
      <w:r w:rsidR="0012510F" w:rsidRPr="00364400">
        <w:t xml:space="preserve">jų statusas </w:t>
      </w:r>
      <w:r w:rsidR="008D7A5D" w:rsidRPr="00364400">
        <w:t>pasikeistų</w:t>
      </w:r>
      <w:r w:rsidR="0012510F" w:rsidRPr="00364400">
        <w:t>.</w:t>
      </w:r>
    </w:p>
    <w:p w:rsidR="00AB2AC9" w:rsidRPr="00952105" w:rsidRDefault="00A8460E" w:rsidP="00D47B5C">
      <w:r w:rsidRPr="00952105">
        <w:lastRenderedPageBreak/>
        <w:t xml:space="preserve">Kita priežastis, kodėl asmeninė atsakomybė nėra skatinama, galėtų būti </w:t>
      </w:r>
      <w:r w:rsidR="00516DC3" w:rsidRPr="00952105">
        <w:t>t</w:t>
      </w:r>
      <w:r w:rsidRPr="00952105">
        <w:t xml:space="preserve">a, jog </w:t>
      </w:r>
      <w:r w:rsidR="008C2E42" w:rsidRPr="00952105">
        <w:t>sankcijos už neteis</w:t>
      </w:r>
      <w:r w:rsidR="00366CB5" w:rsidRPr="00952105">
        <w:t>ė</w:t>
      </w:r>
      <w:r w:rsidR="008C2E42" w:rsidRPr="00952105">
        <w:t>tą elgesį</w:t>
      </w:r>
      <w:r w:rsidR="009A1AEC" w:rsidRPr="00952105">
        <w:t xml:space="preserve"> yra ribotos</w:t>
      </w:r>
      <w:r w:rsidR="003B0891" w:rsidRPr="00952105">
        <w:t>, pavyzdžiui,</w:t>
      </w:r>
      <w:r w:rsidR="00277BD0" w:rsidRPr="00952105">
        <w:t xml:space="preserve"> </w:t>
      </w:r>
      <w:r w:rsidR="00516DC3" w:rsidRPr="00952105">
        <w:t>V</w:t>
      </w:r>
      <w:r w:rsidR="00277BD0" w:rsidRPr="00952105">
        <w:t>alstybinio socialinio draudimo</w:t>
      </w:r>
      <w:r w:rsidR="00707A30" w:rsidRPr="00952105">
        <w:t xml:space="preserve"> įstatyme</w:t>
      </w:r>
      <w:r w:rsidR="003D6358" w:rsidRPr="00952105">
        <w:t xml:space="preserve"> (1991)</w:t>
      </w:r>
      <w:r w:rsidR="00277BD0" w:rsidRPr="00952105">
        <w:t xml:space="preserve"> </w:t>
      </w:r>
      <w:r w:rsidR="00C15ED7" w:rsidRPr="00952105">
        <w:t xml:space="preserve">yra </w:t>
      </w:r>
      <w:r w:rsidR="00277BD0" w:rsidRPr="00952105">
        <w:t>pasakyta</w:t>
      </w:r>
      <w:r w:rsidR="00516DC3" w:rsidRPr="00952105">
        <w:t xml:space="preserve">, jog </w:t>
      </w:r>
      <w:r w:rsidR="00C15ED7" w:rsidRPr="00952105">
        <w:t xml:space="preserve">nedarbo </w:t>
      </w:r>
      <w:r w:rsidR="00516DC3" w:rsidRPr="00952105">
        <w:t xml:space="preserve">socialinio draudimo išmokų gavėjai privalo </w:t>
      </w:r>
      <w:r w:rsidR="00671F59" w:rsidRPr="00952105">
        <w:t>„</w:t>
      </w:r>
      <w:r w:rsidR="001B6D3D" w:rsidRPr="00952105">
        <w:t xml:space="preserve">laiku pateikti </w:t>
      </w:r>
      <w:r w:rsidR="0089792E" w:rsidRPr="00952105">
        <w:t xml:space="preserve">(...) </w:t>
      </w:r>
      <w:r w:rsidR="001B6D3D" w:rsidRPr="00952105">
        <w:rPr>
          <w:i/>
        </w:rPr>
        <w:t>teisingą</w:t>
      </w:r>
      <w:r w:rsidR="001B6D3D" w:rsidRPr="00952105">
        <w:t xml:space="preserve"> informaciją, reikalingą socialiniam draudimui vykdyti</w:t>
      </w:r>
      <w:r w:rsidR="00671F59" w:rsidRPr="00952105">
        <w:t>“</w:t>
      </w:r>
      <w:r w:rsidR="00295079" w:rsidRPr="00952105">
        <w:t xml:space="preserve"> </w:t>
      </w:r>
      <w:r w:rsidR="00A333AC" w:rsidRPr="00952105">
        <w:t>(</w:t>
      </w:r>
      <w:r w:rsidR="00F520DF" w:rsidRPr="00952105">
        <w:t>15 straipsnis</w:t>
      </w:r>
      <w:r w:rsidR="00A333AC" w:rsidRPr="00952105">
        <w:t>)</w:t>
      </w:r>
      <w:r w:rsidR="00F520DF" w:rsidRPr="00952105">
        <w:t xml:space="preserve">, </w:t>
      </w:r>
      <w:r w:rsidR="00627626" w:rsidRPr="00952105">
        <w:t>kas</w:t>
      </w:r>
      <w:r w:rsidR="00E373C2" w:rsidRPr="00952105">
        <w:t xml:space="preserve"> leidžia daryti prielaidą</w:t>
      </w:r>
      <w:r w:rsidR="00627626" w:rsidRPr="00952105">
        <w:t>, jog</w:t>
      </w:r>
      <w:r w:rsidR="0089792E" w:rsidRPr="00952105">
        <w:t xml:space="preserve"> </w:t>
      </w:r>
      <w:r w:rsidR="00295079" w:rsidRPr="00952105">
        <w:t xml:space="preserve">nedera </w:t>
      </w:r>
      <w:r w:rsidR="00D75031" w:rsidRPr="00952105">
        <w:t xml:space="preserve">slėpti </w:t>
      </w:r>
      <w:r w:rsidR="00264356" w:rsidRPr="00952105">
        <w:t>įsidarbinimo</w:t>
      </w:r>
      <w:r w:rsidR="002A6A7E" w:rsidRPr="00952105">
        <w:t xml:space="preserve"> fakto</w:t>
      </w:r>
      <w:r w:rsidR="00264356" w:rsidRPr="00952105">
        <w:t>, tačiau</w:t>
      </w:r>
      <w:r w:rsidR="00591A29" w:rsidRPr="00952105">
        <w:t xml:space="preserve"> atsakomybė</w:t>
      </w:r>
      <w:r w:rsidR="00385E35" w:rsidRPr="00952105">
        <w:t xml:space="preserve"> </w:t>
      </w:r>
      <w:r w:rsidR="00167801" w:rsidRPr="00952105">
        <w:t xml:space="preserve">už </w:t>
      </w:r>
      <w:r w:rsidR="00295079" w:rsidRPr="00952105">
        <w:t xml:space="preserve">priešingų veiksmų atlikimą </w:t>
      </w:r>
      <w:r w:rsidR="00855D17" w:rsidRPr="00952105">
        <w:t>n</w:t>
      </w:r>
      <w:r w:rsidR="00F520DF" w:rsidRPr="00952105">
        <w:t>e</w:t>
      </w:r>
      <w:r w:rsidR="002F012C" w:rsidRPr="00952105">
        <w:t>numatyta</w:t>
      </w:r>
      <w:r w:rsidR="00147500" w:rsidRPr="00952105">
        <w:t>.</w:t>
      </w:r>
      <w:r w:rsidR="00EC2E2C" w:rsidRPr="00952105">
        <w:t xml:space="preserve"> </w:t>
      </w:r>
      <w:r w:rsidR="008B7D5A" w:rsidRPr="00952105">
        <w:t>18 straipsnyje teigiama, jog</w:t>
      </w:r>
      <w:r w:rsidR="00206DB5" w:rsidRPr="00952105">
        <w:t>,</w:t>
      </w:r>
      <w:r w:rsidR="008B7D5A" w:rsidRPr="00952105">
        <w:t xml:space="preserve"> </w:t>
      </w:r>
      <w:r w:rsidR="00FE0213" w:rsidRPr="00952105">
        <w:t xml:space="preserve">neteisėtai </w:t>
      </w:r>
      <w:r w:rsidR="00E767B7" w:rsidRPr="00952105">
        <w:t>išmokėjus socialinio draudimo išmokas</w:t>
      </w:r>
      <w:r w:rsidR="00FE0213" w:rsidRPr="00952105">
        <w:t xml:space="preserve"> (</w:t>
      </w:r>
      <w:r w:rsidR="00295079" w:rsidRPr="00952105">
        <w:t xml:space="preserve">dėl </w:t>
      </w:r>
      <w:r w:rsidR="00FE0213" w:rsidRPr="00952105">
        <w:t>gavėjų kaltė</w:t>
      </w:r>
      <w:r w:rsidR="00295079" w:rsidRPr="00952105">
        <w:t>s</w:t>
      </w:r>
      <w:r w:rsidR="00FE0213" w:rsidRPr="00952105">
        <w:t>)</w:t>
      </w:r>
      <w:r w:rsidR="00E767B7" w:rsidRPr="00952105">
        <w:t xml:space="preserve">, </w:t>
      </w:r>
      <w:r w:rsidR="00694AD1" w:rsidRPr="00952105">
        <w:t xml:space="preserve">susidariusi permoka </w:t>
      </w:r>
      <w:r w:rsidR="00295079" w:rsidRPr="00952105">
        <w:t xml:space="preserve">turėtų </w:t>
      </w:r>
      <w:r w:rsidR="00B82507" w:rsidRPr="00952105">
        <w:t xml:space="preserve">būti </w:t>
      </w:r>
      <w:r w:rsidR="00541055" w:rsidRPr="00952105">
        <w:rPr>
          <w:i/>
        </w:rPr>
        <w:t>išieškot</w:t>
      </w:r>
      <w:r w:rsidR="000F583C" w:rsidRPr="00952105">
        <w:rPr>
          <w:i/>
        </w:rPr>
        <w:t>a</w:t>
      </w:r>
      <w:r w:rsidR="00295079" w:rsidRPr="00952105">
        <w:t xml:space="preserve"> Fondo valdybos teritorinio </w:t>
      </w:r>
      <w:r w:rsidR="000F78CA" w:rsidRPr="00952105">
        <w:t>skyriaus direktoriaus sprendimu</w:t>
      </w:r>
      <w:r w:rsidR="00D75031" w:rsidRPr="00952105">
        <w:t>,</w:t>
      </w:r>
      <w:r w:rsidR="000F583C" w:rsidRPr="00952105">
        <w:t xml:space="preserve"> </w:t>
      </w:r>
      <w:r w:rsidR="005266A8" w:rsidRPr="00952105">
        <w:t>tačiau</w:t>
      </w:r>
      <w:r w:rsidR="002E5909" w:rsidRPr="00952105">
        <w:t xml:space="preserve"> </w:t>
      </w:r>
      <w:r w:rsidR="00191A07" w:rsidRPr="00952105">
        <w:t xml:space="preserve">nuobaudos </w:t>
      </w:r>
      <w:r w:rsidR="002F012C" w:rsidRPr="00952105">
        <w:t xml:space="preserve">vėlgi </w:t>
      </w:r>
      <w:r w:rsidR="00D82777" w:rsidRPr="00952105">
        <w:t>nėra</w:t>
      </w:r>
      <w:r w:rsidR="00542C9D" w:rsidRPr="00952105">
        <w:t xml:space="preserve"> įtvirtintos</w:t>
      </w:r>
      <w:r w:rsidR="005266A8" w:rsidRPr="00952105">
        <w:t xml:space="preserve">. </w:t>
      </w:r>
      <w:r w:rsidR="00DC40A8" w:rsidRPr="00952105">
        <w:t xml:space="preserve">Taigi, </w:t>
      </w:r>
      <w:r w:rsidR="00696D6C" w:rsidRPr="00952105">
        <w:t>galima</w:t>
      </w:r>
      <w:r w:rsidR="00D17646" w:rsidRPr="00952105">
        <w:t xml:space="preserve"> tvirtinti</w:t>
      </w:r>
      <w:r w:rsidR="005D2108" w:rsidRPr="00952105">
        <w:t>,</w:t>
      </w:r>
      <w:r w:rsidR="00DB1032" w:rsidRPr="00952105">
        <w:t xml:space="preserve"> jog </w:t>
      </w:r>
      <w:r w:rsidR="00191A07" w:rsidRPr="00952105">
        <w:t xml:space="preserve">tokių </w:t>
      </w:r>
      <w:r w:rsidR="009F32AA" w:rsidRPr="00952105">
        <w:t xml:space="preserve">pašalpų gavėjų </w:t>
      </w:r>
      <w:r w:rsidR="00DB1032" w:rsidRPr="00952105">
        <w:t xml:space="preserve">elgseną </w:t>
      </w:r>
      <w:r w:rsidR="00DC6F3D" w:rsidRPr="00952105">
        <w:t xml:space="preserve">stipriai </w:t>
      </w:r>
      <w:r w:rsidR="00DD168F" w:rsidRPr="00952105">
        <w:t xml:space="preserve">veikia </w:t>
      </w:r>
      <w:r w:rsidR="00B37257" w:rsidRPr="00952105">
        <w:rPr>
          <w:b/>
          <w:i/>
        </w:rPr>
        <w:t>teisiniai-politiniai veiksniai</w:t>
      </w:r>
      <w:r w:rsidR="00B37257" w:rsidRPr="00952105">
        <w:t xml:space="preserve">, o tiksliau – </w:t>
      </w:r>
      <w:r w:rsidR="00771D7B" w:rsidRPr="00952105">
        <w:t>įstatymų spragos</w:t>
      </w:r>
      <w:r w:rsidR="00B37257" w:rsidRPr="00952105">
        <w:t>.</w:t>
      </w:r>
    </w:p>
    <w:p w:rsidR="00FD50C3" w:rsidRDefault="00771D7B" w:rsidP="00D47B5C">
      <w:r>
        <w:t xml:space="preserve">Kalbant apie </w:t>
      </w:r>
      <w:r w:rsidR="000A449B">
        <w:t>„</w:t>
      </w:r>
      <w:r>
        <w:t>n</w:t>
      </w:r>
      <w:r w:rsidR="00637E48">
        <w:t>ulines</w:t>
      </w:r>
      <w:r w:rsidR="000A449B">
        <w:t xml:space="preserve">“ </w:t>
      </w:r>
      <w:r w:rsidR="00637E48">
        <w:t xml:space="preserve">pastangas </w:t>
      </w:r>
      <w:r>
        <w:t>įsidarbinti</w:t>
      </w:r>
      <w:r w:rsidR="00AA751C">
        <w:t xml:space="preserve">, reikėtų paminėti </w:t>
      </w:r>
      <w:r w:rsidR="00AA751C" w:rsidRPr="00311AEF">
        <w:rPr>
          <w:b/>
          <w:i/>
        </w:rPr>
        <w:t xml:space="preserve">pasiekiamumo </w:t>
      </w:r>
      <w:proofErr w:type="spellStart"/>
      <w:r w:rsidR="00AA751C" w:rsidRPr="00311AEF">
        <w:rPr>
          <w:b/>
          <w:i/>
        </w:rPr>
        <w:t>euristiką</w:t>
      </w:r>
      <w:proofErr w:type="spellEnd"/>
      <w:r w:rsidR="00AA751C">
        <w:t xml:space="preserve">, kuri </w:t>
      </w:r>
      <w:r w:rsidR="000A449B">
        <w:t>byloj</w:t>
      </w:r>
      <w:r w:rsidR="00311AEF">
        <w:t xml:space="preserve">a, jog </w:t>
      </w:r>
      <w:r w:rsidR="00E536C1">
        <w:t xml:space="preserve">žmonės </w:t>
      </w:r>
      <w:r w:rsidR="00F135B2">
        <w:t>labiau</w:t>
      </w:r>
      <w:r w:rsidR="00E536C1">
        <w:t xml:space="preserve"> reaguoja į tuos įvykius, kurie </w:t>
      </w:r>
      <w:r w:rsidR="00D4709D">
        <w:t>į</w:t>
      </w:r>
      <w:r w:rsidR="00E536C1">
        <w:t>vyksta</w:t>
      </w:r>
      <w:r w:rsidR="00D4709D">
        <w:t xml:space="preserve"> jų artimiesiems.</w:t>
      </w:r>
      <w:r w:rsidR="000F6D42">
        <w:t xml:space="preserve"> Tai reiškia</w:t>
      </w:r>
      <w:r w:rsidR="00683FEA">
        <w:t xml:space="preserve">, jog </w:t>
      </w:r>
      <w:r w:rsidR="005D2B15">
        <w:t xml:space="preserve">piliečiai </w:t>
      </w:r>
      <w:r w:rsidR="00683FEA">
        <w:t xml:space="preserve">neretai </w:t>
      </w:r>
      <w:r w:rsidR="005B3EC0">
        <w:t>n</w:t>
      </w:r>
      <w:r w:rsidR="003F6A85">
        <w:t>esistengia</w:t>
      </w:r>
      <w:r w:rsidR="003336CA">
        <w:t xml:space="preserve"> </w:t>
      </w:r>
      <w:r w:rsidR="00FC414F">
        <w:t xml:space="preserve">susirasti </w:t>
      </w:r>
      <w:r w:rsidR="00D77840">
        <w:t xml:space="preserve">darbo dėl </w:t>
      </w:r>
      <w:r w:rsidR="005B3EC0">
        <w:t xml:space="preserve">to, jog </w:t>
      </w:r>
      <w:r w:rsidR="008B0E45">
        <w:t>tokią elgsen</w:t>
      </w:r>
      <w:r w:rsidR="005D5483">
        <w:t xml:space="preserve">ą </w:t>
      </w:r>
      <w:r w:rsidR="003C3806">
        <w:t>„skatin</w:t>
      </w:r>
      <w:r w:rsidR="00401F19">
        <w:t>a</w:t>
      </w:r>
      <w:r w:rsidR="003C3806">
        <w:t>“</w:t>
      </w:r>
      <w:r w:rsidR="00401F19">
        <w:t xml:space="preserve"> </w:t>
      </w:r>
      <w:r w:rsidR="009F5D45">
        <w:t>aplinkiniai</w:t>
      </w:r>
      <w:r w:rsidR="00881FA7">
        <w:t>, kitaip</w:t>
      </w:r>
      <w:r w:rsidR="003C3806">
        <w:t xml:space="preserve"> tariant</w:t>
      </w:r>
      <w:r w:rsidR="00881FA7">
        <w:t>,</w:t>
      </w:r>
      <w:r w:rsidR="00FC414F">
        <w:t xml:space="preserve"> </w:t>
      </w:r>
      <w:r w:rsidR="00D14C8E">
        <w:t>pasireišk</w:t>
      </w:r>
      <w:r w:rsidR="000F6D42">
        <w:t>ia grupi</w:t>
      </w:r>
      <w:r w:rsidR="00CF4922">
        <w:t>nis mąstymas</w:t>
      </w:r>
      <w:r w:rsidR="009F5D45">
        <w:t xml:space="preserve">. </w:t>
      </w:r>
      <w:r w:rsidR="0082672E" w:rsidRPr="00DB0843">
        <w:rPr>
          <w:b/>
          <w:i/>
        </w:rPr>
        <w:t>Grupių įtak</w:t>
      </w:r>
      <w:r w:rsidR="00AC6CEB">
        <w:rPr>
          <w:b/>
          <w:i/>
        </w:rPr>
        <w:t>a</w:t>
      </w:r>
      <w:r w:rsidR="00683FEA">
        <w:t xml:space="preserve"> gali būti</w:t>
      </w:r>
      <w:r w:rsidR="0082672E">
        <w:t xml:space="preserve"> aiškin</w:t>
      </w:r>
      <w:r w:rsidR="00AC6CEB">
        <w:t>ama</w:t>
      </w:r>
      <w:r w:rsidR="0082672E">
        <w:t xml:space="preserve"> tuo</w:t>
      </w:r>
      <w:r w:rsidR="00A908D5">
        <w:t xml:space="preserve">, jog </w:t>
      </w:r>
      <w:r w:rsidR="004F7D35">
        <w:t>žmogu</w:t>
      </w:r>
      <w:r w:rsidR="00C9273D">
        <w:t>s</w:t>
      </w:r>
      <w:r w:rsidR="00443A0F">
        <w:t xml:space="preserve"> nuo </w:t>
      </w:r>
      <w:r w:rsidR="003E3AC3">
        <w:t>p</w:t>
      </w:r>
      <w:r w:rsidR="00AC6CEB">
        <w:t>at</w:t>
      </w:r>
      <w:r w:rsidR="00443A0F">
        <w:t xml:space="preserve"> pradžios</w:t>
      </w:r>
      <w:r w:rsidR="00C9273D">
        <w:t xml:space="preserve"> </w:t>
      </w:r>
      <w:r w:rsidR="00BB48BB">
        <w:t xml:space="preserve">gyveno tarp kitų žmonių, todėl </w:t>
      </w:r>
      <w:r w:rsidR="00B81F22">
        <w:t>įprato veikti</w:t>
      </w:r>
      <w:r w:rsidR="00A32A69">
        <w:t xml:space="preserve"> </w:t>
      </w:r>
      <w:r w:rsidR="00B6487E">
        <w:t>drauge</w:t>
      </w:r>
      <w:r w:rsidR="00152576">
        <w:t xml:space="preserve"> </w:t>
      </w:r>
      <w:r w:rsidR="00B81F22">
        <w:t>su kitais</w:t>
      </w:r>
      <w:r w:rsidR="007B50ED">
        <w:t xml:space="preserve"> individais </w:t>
      </w:r>
      <w:r w:rsidR="00BF5AAB">
        <w:t xml:space="preserve">– tai buvo </w:t>
      </w:r>
      <w:r w:rsidR="007E45FA">
        <w:t xml:space="preserve">esminė </w:t>
      </w:r>
      <w:r w:rsidR="00BF5AAB">
        <w:t>išgyvenimo sąlyga.</w:t>
      </w:r>
      <w:r w:rsidR="0089646B">
        <w:t xml:space="preserve"> </w:t>
      </w:r>
      <w:r w:rsidR="00607F53">
        <w:t xml:space="preserve">Dėl </w:t>
      </w:r>
      <w:r w:rsidR="007E45FA">
        <w:t>to</w:t>
      </w:r>
      <w:r w:rsidR="00E943D1">
        <w:t>,</w:t>
      </w:r>
      <w:r w:rsidR="007E45FA">
        <w:t xml:space="preserve"> </w:t>
      </w:r>
      <w:r w:rsidR="00317764">
        <w:t>net</w:t>
      </w:r>
      <w:r w:rsidR="00411653">
        <w:t xml:space="preserve"> šiuolaikinis </w:t>
      </w:r>
      <w:proofErr w:type="spellStart"/>
      <w:r w:rsidR="00EC3809">
        <w:rPr>
          <w:i/>
        </w:rPr>
        <w:t>h</w:t>
      </w:r>
      <w:r w:rsidR="00EC3809" w:rsidRPr="00EC3809">
        <w:rPr>
          <w:i/>
        </w:rPr>
        <w:t>omo</w:t>
      </w:r>
      <w:proofErr w:type="spellEnd"/>
      <w:r w:rsidR="00EC3809" w:rsidRPr="00EC3809">
        <w:rPr>
          <w:i/>
        </w:rPr>
        <w:t xml:space="preserve"> </w:t>
      </w:r>
      <w:proofErr w:type="spellStart"/>
      <w:r w:rsidR="00EC3809" w:rsidRPr="00EC3809">
        <w:rPr>
          <w:i/>
        </w:rPr>
        <w:t>sapiens</w:t>
      </w:r>
      <w:proofErr w:type="spellEnd"/>
      <w:r w:rsidR="00EC3809">
        <w:t xml:space="preserve"> </w:t>
      </w:r>
      <w:r w:rsidR="00607F53">
        <w:t>negali būti visiškai nepriklausomas</w:t>
      </w:r>
      <w:r w:rsidR="00411653">
        <w:t>,</w:t>
      </w:r>
      <w:r w:rsidR="00CB036C">
        <w:t xml:space="preserve"> </w:t>
      </w:r>
      <w:r w:rsidR="00CF4922">
        <w:t>nes</w:t>
      </w:r>
      <w:r w:rsidR="006B274C">
        <w:t xml:space="preserve"> </w:t>
      </w:r>
      <w:r w:rsidR="0068793F">
        <w:t xml:space="preserve">jo sprendimus </w:t>
      </w:r>
      <w:r w:rsidR="00A97427">
        <w:t>vis dar</w:t>
      </w:r>
      <w:r w:rsidR="006B274C">
        <w:t xml:space="preserve"> </w:t>
      </w:r>
      <w:r w:rsidR="0068793F">
        <w:t xml:space="preserve">lemia kitų </w:t>
      </w:r>
      <w:r w:rsidR="00A97427">
        <w:t xml:space="preserve">žmonių </w:t>
      </w:r>
      <w:r w:rsidR="00D627F0">
        <w:t>nuomonė.</w:t>
      </w:r>
      <w:r w:rsidR="00726B8E">
        <w:t xml:space="preserve"> </w:t>
      </w:r>
      <w:r w:rsidR="00CB0A08" w:rsidRPr="0075429E">
        <w:t xml:space="preserve">Vadinasi, </w:t>
      </w:r>
      <w:r w:rsidR="00065120" w:rsidRPr="0075429E">
        <w:t xml:space="preserve">tiek </w:t>
      </w:r>
      <w:r w:rsidR="00AE73E8" w:rsidRPr="0075429E">
        <w:t>neoficialiai</w:t>
      </w:r>
      <w:r w:rsidR="00007C39" w:rsidRPr="0075429E">
        <w:t xml:space="preserve"> dirbančiam</w:t>
      </w:r>
      <w:r w:rsidR="00065120" w:rsidRPr="0075429E">
        <w:t>, tiek ir visai</w:t>
      </w:r>
      <w:r w:rsidR="009E7947" w:rsidRPr="0075429E">
        <w:t xml:space="preserve"> </w:t>
      </w:r>
      <w:r w:rsidR="00007C39" w:rsidRPr="0075429E">
        <w:t>ne</w:t>
      </w:r>
      <w:r w:rsidR="00AE73E8" w:rsidRPr="0075429E">
        <w:t xml:space="preserve">dirbančiam </w:t>
      </w:r>
      <w:r w:rsidR="00655E6B" w:rsidRPr="0075429E">
        <w:t xml:space="preserve">asmeniui </w:t>
      </w:r>
      <w:r w:rsidR="00C44707" w:rsidRPr="0075429E">
        <w:t>išmok</w:t>
      </w:r>
      <w:r w:rsidR="00A25194" w:rsidRPr="0075429E">
        <w:t xml:space="preserve">os </w:t>
      </w:r>
      <w:r w:rsidR="009E03B5" w:rsidRPr="0075429E">
        <w:t xml:space="preserve">gali </w:t>
      </w:r>
      <w:r w:rsidR="00B837B4" w:rsidRPr="0075429E">
        <w:t>reik</w:t>
      </w:r>
      <w:r w:rsidR="00F963D0" w:rsidRPr="0075429E">
        <w:t>ė</w:t>
      </w:r>
      <w:r w:rsidR="00B837B4" w:rsidRPr="0075429E">
        <w:t xml:space="preserve">ti </w:t>
      </w:r>
      <w:r w:rsidR="0093152B" w:rsidRPr="0075429E">
        <w:t xml:space="preserve">vien </w:t>
      </w:r>
      <w:r w:rsidR="00A25194" w:rsidRPr="0075429E">
        <w:t>dėl to</w:t>
      </w:r>
      <w:r w:rsidR="0093152B" w:rsidRPr="0075429E">
        <w:t>, kad</w:t>
      </w:r>
      <w:r w:rsidR="0096260F" w:rsidRPr="0075429E">
        <w:t xml:space="preserve"> </w:t>
      </w:r>
      <w:r w:rsidR="006D615A" w:rsidRPr="0075429E">
        <w:t xml:space="preserve">jo aplinkos žmonės </w:t>
      </w:r>
      <w:r w:rsidR="0075429E" w:rsidRPr="0075429E">
        <w:t xml:space="preserve">nepasinaudojimo „nemokamais“ pinigų šaltiniais </w:t>
      </w:r>
      <w:r w:rsidR="001453D4" w:rsidRPr="0075429E">
        <w:t xml:space="preserve">nepalaikytų </w:t>
      </w:r>
      <w:r w:rsidR="00C44707" w:rsidRPr="0075429E">
        <w:t>kvail</w:t>
      </w:r>
      <w:r w:rsidR="005F6457" w:rsidRPr="0075429E">
        <w:t>u</w:t>
      </w:r>
      <w:r w:rsidR="00C44707" w:rsidRPr="0075429E">
        <w:t xml:space="preserve"> žingsn</w:t>
      </w:r>
      <w:r w:rsidR="00423B17" w:rsidRPr="0075429E">
        <w:t>i</w:t>
      </w:r>
      <w:r w:rsidR="005F6457" w:rsidRPr="0075429E">
        <w:t>u</w:t>
      </w:r>
      <w:r w:rsidR="00007C39" w:rsidRPr="0075429E">
        <w:t>.</w:t>
      </w:r>
    </w:p>
    <w:p w:rsidR="00EA24B6" w:rsidRPr="00952105" w:rsidRDefault="00766F5F" w:rsidP="00D47B5C">
      <w:r w:rsidRPr="00952105">
        <w:t xml:space="preserve">Reikėtų pridurti, jog </w:t>
      </w:r>
      <w:r w:rsidR="00B80D95" w:rsidRPr="00952105">
        <w:t xml:space="preserve">nedirbančius </w:t>
      </w:r>
      <w:r w:rsidR="008B2ABA" w:rsidRPr="00952105">
        <w:t>ir gaunančius išmok</w:t>
      </w:r>
      <w:r w:rsidR="001D0FF7" w:rsidRPr="00952105">
        <w:t xml:space="preserve">as </w:t>
      </w:r>
      <w:r w:rsidR="00B80D95" w:rsidRPr="00952105">
        <w:t>žmones,</w:t>
      </w:r>
      <w:r w:rsidR="00D431D0" w:rsidRPr="00952105">
        <w:t xml:space="preserve"> </w:t>
      </w:r>
      <w:r w:rsidR="00F056B6" w:rsidRPr="00952105">
        <w:t xml:space="preserve">grupių įtaka </w:t>
      </w:r>
      <w:r w:rsidR="00EC3D33" w:rsidRPr="00952105">
        <w:t>paveikia</w:t>
      </w:r>
      <w:r w:rsidR="00235779" w:rsidRPr="00952105">
        <w:t xml:space="preserve"> taip, kad jie apskritai </w:t>
      </w:r>
      <w:r w:rsidRPr="00952105">
        <w:t>nebe</w:t>
      </w:r>
      <w:r w:rsidR="00905BE7" w:rsidRPr="00952105">
        <w:t xml:space="preserve">supranta </w:t>
      </w:r>
      <w:r w:rsidR="00A70EE6" w:rsidRPr="00952105">
        <w:t xml:space="preserve">darbo prasmės, arba, </w:t>
      </w:r>
      <w:r w:rsidR="00CD1C12" w:rsidRPr="00952105">
        <w:t>kaip teigia Guogis</w:t>
      </w:r>
      <w:r w:rsidR="0098781A" w:rsidRPr="00952105">
        <w:t>,</w:t>
      </w:r>
      <w:r w:rsidR="00CD1C12" w:rsidRPr="00952105">
        <w:t xml:space="preserve"> </w:t>
      </w:r>
      <w:proofErr w:type="spellStart"/>
      <w:r w:rsidR="0098781A" w:rsidRPr="00952105">
        <w:t>Gruževskis</w:t>
      </w:r>
      <w:proofErr w:type="spellEnd"/>
      <w:r w:rsidR="0098781A" w:rsidRPr="00952105">
        <w:t xml:space="preserve"> </w:t>
      </w:r>
      <w:r w:rsidR="00CD1C12" w:rsidRPr="00952105">
        <w:t>(2010)</w:t>
      </w:r>
      <w:r w:rsidR="00321C8A" w:rsidRPr="00952105">
        <w:t xml:space="preserve">, </w:t>
      </w:r>
      <w:r w:rsidR="0098781A" w:rsidRPr="00952105">
        <w:t>„</w:t>
      </w:r>
      <w:r w:rsidR="00213364" w:rsidRPr="00952105">
        <w:rPr>
          <w:b/>
          <w:i/>
        </w:rPr>
        <w:t>ne</w:t>
      </w:r>
      <w:r w:rsidR="00F056B6" w:rsidRPr="00952105">
        <w:rPr>
          <w:b/>
          <w:i/>
        </w:rPr>
        <w:t>s</w:t>
      </w:r>
      <w:r w:rsidR="00DB1B9C" w:rsidRPr="00952105">
        <w:rPr>
          <w:b/>
          <w:i/>
        </w:rPr>
        <w:t>uvokia</w:t>
      </w:r>
      <w:r w:rsidR="006143A3" w:rsidRPr="00952105">
        <w:rPr>
          <w:b/>
          <w:i/>
        </w:rPr>
        <w:t xml:space="preserve"> darbo</w:t>
      </w:r>
      <w:r w:rsidR="00050CAE" w:rsidRPr="00952105">
        <w:rPr>
          <w:i/>
        </w:rPr>
        <w:t xml:space="preserve"> kaip </w:t>
      </w:r>
      <w:r w:rsidR="00DB1B9C" w:rsidRPr="00952105">
        <w:rPr>
          <w:i/>
        </w:rPr>
        <w:t xml:space="preserve">vidinio žmogaus </w:t>
      </w:r>
      <w:r w:rsidR="00DB1B9C" w:rsidRPr="00952105">
        <w:rPr>
          <w:b/>
          <w:i/>
        </w:rPr>
        <w:t>poreikio</w:t>
      </w:r>
      <w:r w:rsidR="0098781A" w:rsidRPr="00952105">
        <w:t>“ (p. 31)</w:t>
      </w:r>
      <w:r w:rsidR="005F405E" w:rsidRPr="00952105">
        <w:t>,</w:t>
      </w:r>
      <w:r w:rsidR="00543552" w:rsidRPr="00952105">
        <w:t xml:space="preserve"> </w:t>
      </w:r>
      <w:r w:rsidR="00C445EA" w:rsidRPr="00952105">
        <w:t>t. y. asmeninių pastangų tikslui pasiekti</w:t>
      </w:r>
      <w:r w:rsidR="00543552" w:rsidRPr="00952105">
        <w:t xml:space="preserve"> prasmės.</w:t>
      </w:r>
      <w:r w:rsidR="00917CEC" w:rsidRPr="00952105">
        <w:t xml:space="preserve"> Šit</w:t>
      </w:r>
      <w:r w:rsidR="00F40165" w:rsidRPr="00952105">
        <w:t xml:space="preserve">aip </w:t>
      </w:r>
      <w:r w:rsidR="00B56091" w:rsidRPr="00952105">
        <w:t xml:space="preserve">labai </w:t>
      </w:r>
      <w:r w:rsidR="00F40165" w:rsidRPr="00952105">
        <w:t>dažn</w:t>
      </w:r>
      <w:r w:rsidR="00917CEC" w:rsidRPr="00952105">
        <w:t>ai</w:t>
      </w:r>
      <w:r w:rsidR="00F40165" w:rsidRPr="00952105">
        <w:t xml:space="preserve"> nutinka </w:t>
      </w:r>
      <w:r w:rsidR="00790F39" w:rsidRPr="00952105">
        <w:t>socialinės rizikos šeimose, kurio</w:t>
      </w:r>
      <w:r w:rsidR="007551CF" w:rsidRPr="00952105">
        <w:t>se</w:t>
      </w:r>
      <w:r w:rsidR="00790F39" w:rsidRPr="00952105">
        <w:t xml:space="preserve"> </w:t>
      </w:r>
      <w:r w:rsidR="00B04CB6" w:rsidRPr="00952105">
        <w:t>„</w:t>
      </w:r>
      <w:r w:rsidR="00790F39" w:rsidRPr="00952105">
        <w:t xml:space="preserve">dėl menko tėvų išprusimo, </w:t>
      </w:r>
      <w:r w:rsidR="00743132" w:rsidRPr="00952105">
        <w:t>dorovės</w:t>
      </w:r>
      <w:r w:rsidR="00790F39" w:rsidRPr="00952105">
        <w:t xml:space="preserve"> vertybių nuosmukio</w:t>
      </w:r>
      <w:r w:rsidR="0096236F" w:rsidRPr="00952105">
        <w:t xml:space="preserve"> (...) </w:t>
      </w:r>
      <w:r w:rsidR="00D7514B" w:rsidRPr="00952105">
        <w:t>formuojasi</w:t>
      </w:r>
      <w:r w:rsidR="009C0752" w:rsidRPr="00952105">
        <w:t xml:space="preserve"> </w:t>
      </w:r>
      <w:r w:rsidR="0092580F" w:rsidRPr="00952105">
        <w:t xml:space="preserve">(...) </w:t>
      </w:r>
      <w:r w:rsidR="009C0752" w:rsidRPr="00952105">
        <w:rPr>
          <w:i/>
        </w:rPr>
        <w:t>savo jėgomis nepasitikintys</w:t>
      </w:r>
      <w:r w:rsidR="00871789" w:rsidRPr="00952105">
        <w:rPr>
          <w:i/>
        </w:rPr>
        <w:t>,</w:t>
      </w:r>
      <w:r w:rsidR="00790F39" w:rsidRPr="00952105">
        <w:rPr>
          <w:i/>
        </w:rPr>
        <w:t xml:space="preserve"> nesaugiai besijaučiantys individa</w:t>
      </w:r>
      <w:r w:rsidR="00B962E2" w:rsidRPr="00952105">
        <w:rPr>
          <w:i/>
        </w:rPr>
        <w:t>i</w:t>
      </w:r>
      <w:r w:rsidR="00B962E2" w:rsidRPr="00952105">
        <w:t>“</w:t>
      </w:r>
      <w:r w:rsidR="00E16437" w:rsidRPr="00952105">
        <w:t xml:space="preserve"> (Kondrotaitė </w:t>
      </w:r>
      <w:r w:rsidR="001C1127" w:rsidRPr="00952105">
        <w:t>2006</w:t>
      </w:r>
      <w:r w:rsidR="00B962E2" w:rsidRPr="00952105">
        <w:t>, p. 58</w:t>
      </w:r>
      <w:r w:rsidR="00E16437" w:rsidRPr="00952105">
        <w:t>)</w:t>
      </w:r>
      <w:r w:rsidR="007B7522" w:rsidRPr="00952105">
        <w:t>:</w:t>
      </w:r>
      <w:r w:rsidR="009315C3" w:rsidRPr="00952105">
        <w:t xml:space="preserve"> </w:t>
      </w:r>
      <w:r w:rsidR="00BF1FD6" w:rsidRPr="00952105">
        <w:t xml:space="preserve">aplink matydami tik </w:t>
      </w:r>
      <w:r w:rsidR="009315C3" w:rsidRPr="00952105">
        <w:t xml:space="preserve">tokį gyvenimo </w:t>
      </w:r>
      <w:r w:rsidR="00052838" w:rsidRPr="00952105">
        <w:t xml:space="preserve">modelį, </w:t>
      </w:r>
      <w:r w:rsidR="0046522A" w:rsidRPr="00952105">
        <w:t xml:space="preserve">kuris pripažįsta </w:t>
      </w:r>
      <w:r w:rsidR="004C1555" w:rsidRPr="00952105">
        <w:t>tinginystę,</w:t>
      </w:r>
      <w:r w:rsidR="00BF1FD6" w:rsidRPr="00952105">
        <w:t xml:space="preserve"> melą ir</w:t>
      </w:r>
      <w:r w:rsidR="00325CEE" w:rsidRPr="00952105">
        <w:t xml:space="preserve"> atskirtį</w:t>
      </w:r>
      <w:r w:rsidR="001E5AEF" w:rsidRPr="00952105">
        <w:t>,</w:t>
      </w:r>
      <w:r w:rsidR="00BF1FD6" w:rsidRPr="00952105">
        <w:t xml:space="preserve"> </w:t>
      </w:r>
      <w:r w:rsidR="00052838" w:rsidRPr="00952105">
        <w:t>tokie žmonės</w:t>
      </w:r>
      <w:r w:rsidR="001E5AEF" w:rsidRPr="00952105">
        <w:t xml:space="preserve"> net ir užaugę</w:t>
      </w:r>
      <w:r w:rsidR="00052838" w:rsidRPr="00952105">
        <w:t xml:space="preserve"> </w:t>
      </w:r>
      <w:r w:rsidR="00B962E2" w:rsidRPr="00952105">
        <w:t>tenkina</w:t>
      </w:r>
      <w:r w:rsidR="00BC2862" w:rsidRPr="00952105">
        <w:t xml:space="preserve"> pirminius poreikius, </w:t>
      </w:r>
      <w:r w:rsidR="0008714B" w:rsidRPr="00952105">
        <w:t xml:space="preserve">visiškai ignoruodami </w:t>
      </w:r>
      <w:r w:rsidR="00BC07CF" w:rsidRPr="00952105">
        <w:t>saugum</w:t>
      </w:r>
      <w:r w:rsidR="00BF5D12" w:rsidRPr="00952105">
        <w:t>o jausmą</w:t>
      </w:r>
      <w:r w:rsidR="00BC07CF" w:rsidRPr="00952105">
        <w:t xml:space="preserve">, </w:t>
      </w:r>
      <w:r w:rsidR="004C1555" w:rsidRPr="00952105">
        <w:t>pripažinim</w:t>
      </w:r>
      <w:r w:rsidR="00103F4A" w:rsidRPr="00952105">
        <w:t>ą a</w:t>
      </w:r>
      <w:r w:rsidR="0008714B" w:rsidRPr="00952105">
        <w:t>r</w:t>
      </w:r>
      <w:r w:rsidR="00BF1FD6" w:rsidRPr="00952105">
        <w:t xml:space="preserve"> </w:t>
      </w:r>
      <w:r w:rsidR="004C1555" w:rsidRPr="00952105">
        <w:t>savirealizacij</w:t>
      </w:r>
      <w:r w:rsidR="0008714B" w:rsidRPr="00952105">
        <w:t>ą</w:t>
      </w:r>
      <w:r w:rsidR="004C1555" w:rsidRPr="00952105">
        <w:t>.</w:t>
      </w:r>
    </w:p>
    <w:p w:rsidR="004C1555" w:rsidRPr="00952105" w:rsidRDefault="007872CA" w:rsidP="00D47B5C">
      <w:r w:rsidRPr="00952105">
        <w:t xml:space="preserve">Iš kitos pusės, </w:t>
      </w:r>
      <w:r w:rsidR="00A3742E" w:rsidRPr="00952105">
        <w:t>poreik</w:t>
      </w:r>
      <w:r w:rsidR="00C6620C" w:rsidRPr="00952105">
        <w:t>io</w:t>
      </w:r>
      <w:r w:rsidR="00A3742E" w:rsidRPr="00952105">
        <w:t xml:space="preserve"> darbui galima</w:t>
      </w:r>
      <w:r w:rsidR="00C6620C" w:rsidRPr="00952105">
        <w:t xml:space="preserve"> </w:t>
      </w:r>
      <w:r w:rsidR="001064E2" w:rsidRPr="00952105">
        <w:t xml:space="preserve">nebejausti </w:t>
      </w:r>
      <w:r w:rsidR="00FF4F3B" w:rsidRPr="00952105">
        <w:t xml:space="preserve">dėl to, </w:t>
      </w:r>
      <w:r w:rsidR="007926D1" w:rsidRPr="00952105">
        <w:t xml:space="preserve">kad </w:t>
      </w:r>
      <w:r w:rsidR="00275161" w:rsidRPr="00952105">
        <w:t xml:space="preserve">dirbti </w:t>
      </w:r>
      <w:r w:rsidR="00FF4F3B" w:rsidRPr="00952105">
        <w:t>gali tapti</w:t>
      </w:r>
      <w:r w:rsidR="00A53248" w:rsidRPr="00952105">
        <w:t xml:space="preserve"> ekonomiškai nenaudinga: įsidarbinus </w:t>
      </w:r>
      <w:r w:rsidR="00F93F78" w:rsidRPr="00952105">
        <w:t>už minimalų uždarbį, buvusio bedarbio</w:t>
      </w:r>
      <w:r w:rsidR="00427915" w:rsidRPr="00952105">
        <w:t xml:space="preserve"> pajamos </w:t>
      </w:r>
      <w:r w:rsidR="005F6F37" w:rsidRPr="00952105">
        <w:t>[</w:t>
      </w:r>
      <w:r w:rsidR="002A3B1E" w:rsidRPr="00952105">
        <w:t>dėl atsiradusių papildomų išlaidų</w:t>
      </w:r>
      <w:r w:rsidR="005F6F37" w:rsidRPr="00952105">
        <w:t xml:space="preserve">] </w:t>
      </w:r>
      <w:r w:rsidR="00427915" w:rsidRPr="00952105">
        <w:t>paprastai padidėja</w:t>
      </w:r>
      <w:r w:rsidR="005F6F37" w:rsidRPr="00952105">
        <w:t xml:space="preserve"> nežymiai</w:t>
      </w:r>
      <w:r w:rsidR="00BC7FA9" w:rsidRPr="00952105">
        <w:t>, todėl</w:t>
      </w:r>
      <w:r w:rsidR="00AD1E8B" w:rsidRPr="00952105">
        <w:t xml:space="preserve">, natūralu, jog išlikti ekonomiškai neaktyviais </w:t>
      </w:r>
      <w:r w:rsidR="009036AB" w:rsidRPr="00952105">
        <w:t xml:space="preserve">tokie žmonės </w:t>
      </w:r>
      <w:r w:rsidR="00AD1E8B" w:rsidRPr="00952105">
        <w:t>stengia</w:t>
      </w:r>
      <w:r w:rsidR="00271B62" w:rsidRPr="00952105">
        <w:t>si</w:t>
      </w:r>
      <w:r w:rsidR="00AD1E8B" w:rsidRPr="00952105">
        <w:t xml:space="preserve"> kuo ilgiau</w:t>
      </w:r>
      <w:r w:rsidR="00131E61" w:rsidRPr="00952105">
        <w:t xml:space="preserve"> (Skučienė</w:t>
      </w:r>
      <w:r w:rsidR="00527B5E" w:rsidRPr="00952105">
        <w:t>,</w:t>
      </w:r>
      <w:r w:rsidR="00131E61" w:rsidRPr="00952105">
        <w:t xml:space="preserve"> </w:t>
      </w:r>
      <w:proofErr w:type="spellStart"/>
      <w:r w:rsidR="00527B5E" w:rsidRPr="00952105">
        <w:t>Moskvina</w:t>
      </w:r>
      <w:proofErr w:type="spellEnd"/>
      <w:r w:rsidR="00527B5E" w:rsidRPr="00952105">
        <w:t xml:space="preserve"> </w:t>
      </w:r>
      <w:r w:rsidR="00131E61" w:rsidRPr="00952105">
        <w:t>2009)</w:t>
      </w:r>
      <w:r w:rsidR="00AD1E8B" w:rsidRPr="00952105">
        <w:t>.</w:t>
      </w:r>
      <w:r w:rsidR="00BA1C53" w:rsidRPr="00952105">
        <w:t xml:space="preserve"> </w:t>
      </w:r>
      <w:r w:rsidR="00737E12" w:rsidRPr="00952105">
        <w:t xml:space="preserve">Reikėtų pastebėti, jog </w:t>
      </w:r>
      <w:r w:rsidR="00962579" w:rsidRPr="00952105">
        <w:t>š</w:t>
      </w:r>
      <w:r w:rsidR="00C97395" w:rsidRPr="00952105">
        <w:t xml:space="preserve">iai </w:t>
      </w:r>
      <w:r w:rsidR="006D47ED" w:rsidRPr="00952105">
        <w:t xml:space="preserve">situacijai </w:t>
      </w:r>
      <w:r w:rsidR="00737E12" w:rsidRPr="00952105">
        <w:t xml:space="preserve">apibūdinti </w:t>
      </w:r>
      <w:r w:rsidR="00C97395" w:rsidRPr="00952105">
        <w:t xml:space="preserve">dažnai </w:t>
      </w:r>
      <w:r w:rsidR="00CC6D5B" w:rsidRPr="00952105">
        <w:t xml:space="preserve">yra </w:t>
      </w:r>
      <w:r w:rsidR="00737E12" w:rsidRPr="00952105">
        <w:t xml:space="preserve">vartojama </w:t>
      </w:r>
      <w:r w:rsidR="00737E12" w:rsidRPr="00952105">
        <w:rPr>
          <w:b/>
          <w:i/>
        </w:rPr>
        <w:t>„skurdo spąstų“</w:t>
      </w:r>
      <w:r w:rsidR="00737E12" w:rsidRPr="00952105">
        <w:t xml:space="preserve"> sąvoka</w:t>
      </w:r>
      <w:r w:rsidR="00374470" w:rsidRPr="00952105">
        <w:t xml:space="preserve">, kuri </w:t>
      </w:r>
      <w:r w:rsidR="00962579" w:rsidRPr="00952105">
        <w:t>byloj</w:t>
      </w:r>
      <w:r w:rsidR="00962465" w:rsidRPr="00952105">
        <w:t>a</w:t>
      </w:r>
      <w:r w:rsidR="00374470" w:rsidRPr="00952105">
        <w:t>, jog</w:t>
      </w:r>
      <w:r w:rsidR="00CC6D5B" w:rsidRPr="00952105">
        <w:t xml:space="preserve">, didėjant asmens nominaliosioms pajamoms, tikroji </w:t>
      </w:r>
      <w:r w:rsidR="00672EA0" w:rsidRPr="00952105">
        <w:t xml:space="preserve">jo </w:t>
      </w:r>
      <w:r w:rsidR="00CC6D5B" w:rsidRPr="00952105">
        <w:t>finansinė padėtis</w:t>
      </w:r>
      <w:r w:rsidR="0095273D" w:rsidRPr="00952105">
        <w:t xml:space="preserve"> </w:t>
      </w:r>
      <w:r w:rsidR="005919A0" w:rsidRPr="00952105">
        <w:t xml:space="preserve">– </w:t>
      </w:r>
      <w:r w:rsidR="005919A0" w:rsidRPr="00952105">
        <w:rPr>
          <w:i/>
        </w:rPr>
        <w:t>dėl išmokų mokėjimo nutraukimo</w:t>
      </w:r>
      <w:r w:rsidR="005919A0" w:rsidRPr="00952105">
        <w:t xml:space="preserve"> – </w:t>
      </w:r>
      <w:r w:rsidR="0095273D" w:rsidRPr="00952105">
        <w:t>gerėja než</w:t>
      </w:r>
      <w:r w:rsidR="001663C9" w:rsidRPr="00952105">
        <w:t>ymiai</w:t>
      </w:r>
      <w:r w:rsidR="006D1813" w:rsidRPr="00952105">
        <w:t>,</w:t>
      </w:r>
      <w:r w:rsidR="0095273D" w:rsidRPr="00952105">
        <w:t xml:space="preserve"> </w:t>
      </w:r>
      <w:r w:rsidR="008E1A12" w:rsidRPr="00952105">
        <w:t xml:space="preserve">ir dėl </w:t>
      </w:r>
      <w:r w:rsidR="00C82EC2" w:rsidRPr="00952105">
        <w:t>to</w:t>
      </w:r>
      <w:r w:rsidR="0034564C" w:rsidRPr="00952105">
        <w:t xml:space="preserve"> </w:t>
      </w:r>
      <w:r w:rsidR="00181028" w:rsidRPr="00952105">
        <w:t>žmogaus statusas realiai nepakinta</w:t>
      </w:r>
      <w:r w:rsidR="004A4217" w:rsidRPr="00952105">
        <w:t>.</w:t>
      </w:r>
      <w:r w:rsidR="00510B90" w:rsidRPr="00952105">
        <w:t xml:space="preserve"> Be to, </w:t>
      </w:r>
      <w:r w:rsidR="00096240" w:rsidRPr="00952105">
        <w:t xml:space="preserve">priešingai nei socialinės išmokos, </w:t>
      </w:r>
      <w:r w:rsidR="00D45F53" w:rsidRPr="00952105">
        <w:t xml:space="preserve">nuo </w:t>
      </w:r>
      <w:r w:rsidR="0014493E" w:rsidRPr="00952105">
        <w:t>kuri</w:t>
      </w:r>
      <w:r w:rsidR="003B6291" w:rsidRPr="00952105">
        <w:t xml:space="preserve">ų </w:t>
      </w:r>
      <w:r w:rsidR="002E46C0" w:rsidRPr="00952105">
        <w:t xml:space="preserve">jokie </w:t>
      </w:r>
      <w:r w:rsidR="00D45F53" w:rsidRPr="00952105">
        <w:t>mokesčiai nėra atskaitomi</w:t>
      </w:r>
      <w:r w:rsidR="009B2135" w:rsidRPr="00952105">
        <w:t xml:space="preserve"> (už bedarbį mokesčius moka valstybė</w:t>
      </w:r>
      <w:r w:rsidR="00611935" w:rsidRPr="00952105">
        <w:t>)</w:t>
      </w:r>
      <w:r w:rsidR="00D45F53" w:rsidRPr="00952105">
        <w:t xml:space="preserve">, </w:t>
      </w:r>
      <w:r w:rsidR="00510B90" w:rsidRPr="00952105">
        <w:t>darbo pajamos Lietuvoje</w:t>
      </w:r>
      <w:r w:rsidR="00725DF2" w:rsidRPr="00952105">
        <w:t xml:space="preserve"> </w:t>
      </w:r>
      <w:r w:rsidR="00510B90" w:rsidRPr="00952105">
        <w:t>apmokestin</w:t>
      </w:r>
      <w:r w:rsidR="00A467E2" w:rsidRPr="00952105">
        <w:t xml:space="preserve">amos </w:t>
      </w:r>
      <w:r w:rsidR="00E76163" w:rsidRPr="00952105">
        <w:t>15 proc.</w:t>
      </w:r>
      <w:r w:rsidR="007E21DF" w:rsidRPr="00952105">
        <w:t xml:space="preserve"> </w:t>
      </w:r>
      <w:r w:rsidR="00C70E13" w:rsidRPr="00952105">
        <w:t>g</w:t>
      </w:r>
      <w:r w:rsidR="007E21DF" w:rsidRPr="00952105">
        <w:t xml:space="preserve">yventojų </w:t>
      </w:r>
      <w:r w:rsidR="00A467E2" w:rsidRPr="00952105">
        <w:t xml:space="preserve">pajamų </w:t>
      </w:r>
      <w:r w:rsidR="008F7B67" w:rsidRPr="00952105">
        <w:t>mokesči</w:t>
      </w:r>
      <w:r w:rsidR="007E21DF" w:rsidRPr="00952105">
        <w:t>o</w:t>
      </w:r>
      <w:r w:rsidR="00716A70" w:rsidRPr="00952105">
        <w:t xml:space="preserve"> </w:t>
      </w:r>
      <w:r w:rsidR="00F8011B" w:rsidRPr="00952105">
        <w:t>tarifu</w:t>
      </w:r>
      <w:r w:rsidR="00FE3FB4" w:rsidRPr="00952105">
        <w:t xml:space="preserve">, </w:t>
      </w:r>
      <w:r w:rsidR="00E76163" w:rsidRPr="00952105">
        <w:t>6 proc.</w:t>
      </w:r>
      <w:r w:rsidR="00933EB9" w:rsidRPr="00952105">
        <w:t xml:space="preserve"> sveikatos</w:t>
      </w:r>
      <w:r w:rsidR="0082799F" w:rsidRPr="00952105">
        <w:t xml:space="preserve"> draudimu</w:t>
      </w:r>
      <w:r w:rsidR="00933EB9" w:rsidRPr="00952105">
        <w:t xml:space="preserve"> </w:t>
      </w:r>
      <w:r w:rsidR="00B3589E" w:rsidRPr="00952105">
        <w:t>bei</w:t>
      </w:r>
      <w:r w:rsidR="00E76163" w:rsidRPr="00952105">
        <w:t xml:space="preserve"> 3 proc.</w:t>
      </w:r>
      <w:r w:rsidR="000C3CFE" w:rsidRPr="00952105">
        <w:t> </w:t>
      </w:r>
      <w:r w:rsidR="0082799F" w:rsidRPr="00952105">
        <w:t>įmokomis Sodrai</w:t>
      </w:r>
      <w:r w:rsidR="00C70E13" w:rsidRPr="00952105">
        <w:t xml:space="preserve">, </w:t>
      </w:r>
      <w:r w:rsidR="00B93347" w:rsidRPr="00952105">
        <w:t xml:space="preserve">– </w:t>
      </w:r>
      <w:r w:rsidR="001663C9" w:rsidRPr="00952105">
        <w:t xml:space="preserve">o tai reiškia, jog </w:t>
      </w:r>
      <w:r w:rsidR="00554C49" w:rsidRPr="00952105">
        <w:t xml:space="preserve">skirtumas tarp </w:t>
      </w:r>
      <w:r w:rsidR="00FB56A2" w:rsidRPr="00952105">
        <w:t xml:space="preserve">šių pajamų formų </w:t>
      </w:r>
      <w:r w:rsidR="00B93347" w:rsidRPr="00952105">
        <w:t xml:space="preserve">lieka </w:t>
      </w:r>
      <w:r w:rsidR="00716A70" w:rsidRPr="00952105">
        <w:t xml:space="preserve">tik </w:t>
      </w:r>
      <w:r w:rsidR="00FB56A2" w:rsidRPr="00952105">
        <w:t>toks, jog</w:t>
      </w:r>
      <w:r w:rsidR="00CC2495" w:rsidRPr="00952105">
        <w:t>,</w:t>
      </w:r>
      <w:r w:rsidR="00FB56A2" w:rsidRPr="00952105">
        <w:t xml:space="preserve"> dirbant </w:t>
      </w:r>
      <w:r w:rsidR="007A1C03" w:rsidRPr="00952105">
        <w:t xml:space="preserve">už </w:t>
      </w:r>
      <w:r w:rsidR="00B34E37" w:rsidRPr="00952105">
        <w:t>„</w:t>
      </w:r>
      <w:r w:rsidR="007A1C03" w:rsidRPr="00952105">
        <w:t>minim</w:t>
      </w:r>
      <w:r w:rsidR="00B34E37" w:rsidRPr="00952105">
        <w:t>umą“</w:t>
      </w:r>
      <w:r w:rsidR="00CC2495" w:rsidRPr="00952105">
        <w:t xml:space="preserve">, </w:t>
      </w:r>
      <w:r w:rsidR="00FB56A2" w:rsidRPr="00952105">
        <w:t>prarandamas</w:t>
      </w:r>
      <w:r w:rsidR="00CC2495" w:rsidRPr="00952105">
        <w:t xml:space="preserve"> </w:t>
      </w:r>
      <w:r w:rsidR="00716A70" w:rsidRPr="00952105">
        <w:rPr>
          <w:b/>
          <w:i/>
        </w:rPr>
        <w:t>lai</w:t>
      </w:r>
      <w:r w:rsidR="00B34E37" w:rsidRPr="00952105">
        <w:rPr>
          <w:b/>
          <w:i/>
        </w:rPr>
        <w:t>svalai</w:t>
      </w:r>
      <w:r w:rsidR="00716A70" w:rsidRPr="00952105">
        <w:rPr>
          <w:b/>
          <w:i/>
        </w:rPr>
        <w:t>k</w:t>
      </w:r>
      <w:r w:rsidR="00B34E37" w:rsidRPr="00952105">
        <w:rPr>
          <w:b/>
          <w:i/>
        </w:rPr>
        <w:t>i</w:t>
      </w:r>
      <w:r w:rsidR="00CC2495" w:rsidRPr="00952105">
        <w:rPr>
          <w:b/>
          <w:i/>
        </w:rPr>
        <w:t>s</w:t>
      </w:r>
      <w:r w:rsidR="00CC2495" w:rsidRPr="00952105">
        <w:t xml:space="preserve">, kurį būtų galima </w:t>
      </w:r>
      <w:r w:rsidR="00B7344B" w:rsidRPr="00952105">
        <w:t xml:space="preserve">skirti </w:t>
      </w:r>
      <w:r w:rsidR="006F7EF0">
        <w:t xml:space="preserve">nelegaliam </w:t>
      </w:r>
      <w:r w:rsidR="00CC2495" w:rsidRPr="00952105">
        <w:t>darbui.</w:t>
      </w:r>
    </w:p>
    <w:p w:rsidR="00D61681" w:rsidRPr="00952105" w:rsidRDefault="00187815" w:rsidP="00D47B5C">
      <w:r w:rsidRPr="00952105">
        <w:lastRenderedPageBreak/>
        <w:t>Kalbant ap</w:t>
      </w:r>
      <w:r w:rsidR="00D96326" w:rsidRPr="00952105">
        <w:t>ie laiką, reik</w:t>
      </w:r>
      <w:r w:rsidR="00AE495C" w:rsidRPr="00952105">
        <w:t>ė</w:t>
      </w:r>
      <w:r w:rsidRPr="00952105">
        <w:t>tų</w:t>
      </w:r>
      <w:r w:rsidR="00AE495C" w:rsidRPr="00952105">
        <w:t xml:space="preserve"> pasakyti</w:t>
      </w:r>
      <w:r w:rsidR="00856C26" w:rsidRPr="00952105">
        <w:t>, jog kartais pasirinkimui gyventi iš socialinės apsaugos lėšų</w:t>
      </w:r>
      <w:r w:rsidR="002C4D4C" w:rsidRPr="00952105">
        <w:t xml:space="preserve"> įtaką daro</w:t>
      </w:r>
      <w:r w:rsidR="003F3CD5" w:rsidRPr="00952105">
        <w:t xml:space="preserve"> </w:t>
      </w:r>
      <w:r w:rsidR="002C4D4C" w:rsidRPr="00952105">
        <w:rPr>
          <w:b/>
          <w:i/>
        </w:rPr>
        <w:t>išmokos mokėjimo trukmė</w:t>
      </w:r>
      <w:r w:rsidR="00A760E0" w:rsidRPr="00952105">
        <w:t xml:space="preserve">, kuri, </w:t>
      </w:r>
      <w:r w:rsidR="00C261B0" w:rsidRPr="00952105">
        <w:t xml:space="preserve">kuo </w:t>
      </w:r>
      <w:r w:rsidR="00A760E0" w:rsidRPr="00952105">
        <w:t>yra</w:t>
      </w:r>
      <w:r w:rsidR="00C261B0" w:rsidRPr="00952105">
        <w:t xml:space="preserve"> ilgesnė, tuo patrauklesnė</w:t>
      </w:r>
      <w:r w:rsidR="00AE495C" w:rsidRPr="00952105">
        <w:t xml:space="preserve"> dirbti nenori</w:t>
      </w:r>
      <w:r w:rsidR="00A368E2" w:rsidRPr="00952105">
        <w:t xml:space="preserve">nčiam </w:t>
      </w:r>
      <w:r w:rsidR="00703DBE" w:rsidRPr="00952105">
        <w:t xml:space="preserve">žmogui </w:t>
      </w:r>
      <w:r w:rsidR="00F92F05" w:rsidRPr="00952105">
        <w:t>(</w:t>
      </w:r>
      <w:r w:rsidR="00F92F05" w:rsidRPr="00952105">
        <w:rPr>
          <w:i/>
          <w:lang w:val="la-Latn"/>
        </w:rPr>
        <w:t>Ibid</w:t>
      </w:r>
      <w:r w:rsidR="00F92F05" w:rsidRPr="00952105">
        <w:t>)</w:t>
      </w:r>
      <w:r w:rsidR="00A368E2" w:rsidRPr="00952105">
        <w:t>.</w:t>
      </w:r>
      <w:r w:rsidR="00393E7D" w:rsidRPr="00952105">
        <w:t xml:space="preserve"> Vadinasi</w:t>
      </w:r>
      <w:r w:rsidR="00F92F05" w:rsidRPr="00952105">
        <w:t xml:space="preserve">, </w:t>
      </w:r>
      <w:r w:rsidR="00703DBE" w:rsidRPr="00952105">
        <w:t>jei asmuo</w:t>
      </w:r>
      <w:r w:rsidR="00F12389" w:rsidRPr="00952105">
        <w:t>, kurio poreikiai</w:t>
      </w:r>
      <w:r w:rsidR="00F72731" w:rsidRPr="00952105">
        <w:t xml:space="preserve"> yra minimalūs</w:t>
      </w:r>
      <w:r w:rsidR="00F12389" w:rsidRPr="00952105">
        <w:t xml:space="preserve">, gali </w:t>
      </w:r>
      <w:r w:rsidR="006133EF" w:rsidRPr="00952105">
        <w:t xml:space="preserve">pakankamai </w:t>
      </w:r>
      <w:r w:rsidR="00B17567" w:rsidRPr="00952105">
        <w:t xml:space="preserve">ilgai </w:t>
      </w:r>
      <w:r w:rsidR="00F72731" w:rsidRPr="00952105">
        <w:t>iš</w:t>
      </w:r>
      <w:r w:rsidR="006133EF" w:rsidRPr="00952105">
        <w:t>gyventi</w:t>
      </w:r>
      <w:r w:rsidR="00B17567" w:rsidRPr="00952105">
        <w:t xml:space="preserve"> iš</w:t>
      </w:r>
      <w:r w:rsidR="00B34E37" w:rsidRPr="00952105">
        <w:t xml:space="preserve"> </w:t>
      </w:r>
      <w:r w:rsidR="00F72731" w:rsidRPr="00952105">
        <w:t xml:space="preserve">nedarbo socialinio draudimo </w:t>
      </w:r>
      <w:r w:rsidR="00B34E37" w:rsidRPr="00952105">
        <w:t>išmok</w:t>
      </w:r>
      <w:r w:rsidR="005660C5" w:rsidRPr="00952105">
        <w:t>ų</w:t>
      </w:r>
      <w:r w:rsidR="00393E7D" w:rsidRPr="00952105">
        <w:t xml:space="preserve"> (Lietuvoje</w:t>
      </w:r>
      <w:r w:rsidR="005A189E" w:rsidRPr="00952105">
        <w:t xml:space="preserve"> </w:t>
      </w:r>
      <w:r w:rsidR="00EE5D2A" w:rsidRPr="00952105">
        <w:t>bedarbio pašalpa</w:t>
      </w:r>
      <w:r w:rsidR="005A189E" w:rsidRPr="00952105">
        <w:t xml:space="preserve"> mokam</w:t>
      </w:r>
      <w:r w:rsidR="00EE5D2A" w:rsidRPr="00952105">
        <w:t>a</w:t>
      </w:r>
      <w:r w:rsidR="0054747F" w:rsidRPr="00952105">
        <w:t xml:space="preserve"> iki</w:t>
      </w:r>
      <w:r w:rsidR="00393E7D" w:rsidRPr="00952105">
        <w:t xml:space="preserve"> 6</w:t>
      </w:r>
      <w:r w:rsidR="00F72731" w:rsidRPr="00952105">
        <w:t>-9</w:t>
      </w:r>
      <w:r w:rsidR="006133EF" w:rsidRPr="00952105">
        <w:t> </w:t>
      </w:r>
      <w:r w:rsidR="00393E7D" w:rsidRPr="00952105">
        <w:t>mėn</w:t>
      </w:r>
      <w:r w:rsidR="00852586" w:rsidRPr="00952105">
        <w:t>.</w:t>
      </w:r>
      <w:r w:rsidR="00393E7D" w:rsidRPr="00952105">
        <w:t>)</w:t>
      </w:r>
      <w:r w:rsidR="00564B6C" w:rsidRPr="00952105">
        <w:t xml:space="preserve"> ir / ar socialinės paramos</w:t>
      </w:r>
      <w:r w:rsidR="00852586" w:rsidRPr="00952105">
        <w:t xml:space="preserve"> (</w:t>
      </w:r>
      <w:r w:rsidR="009728A9" w:rsidRPr="00952105">
        <w:t xml:space="preserve">Lietuvoje </w:t>
      </w:r>
      <w:r w:rsidR="00736B03" w:rsidRPr="00952105">
        <w:t xml:space="preserve">socialinė </w:t>
      </w:r>
      <w:r w:rsidR="009728A9" w:rsidRPr="00952105">
        <w:t>parama teikiama tol, kol išlaikoma teisė</w:t>
      </w:r>
      <w:r w:rsidR="00736B03" w:rsidRPr="00952105">
        <w:t xml:space="preserve"> į jos gavimą</w:t>
      </w:r>
      <w:r w:rsidR="0061605E" w:rsidRPr="00952105">
        <w:t>, o nuo 36 mėn.</w:t>
      </w:r>
      <w:r w:rsidR="00721A6C" w:rsidRPr="00952105">
        <w:t xml:space="preserve"> – pradedama</w:t>
      </w:r>
      <w:r w:rsidR="0074757F" w:rsidRPr="00952105">
        <w:t xml:space="preserve"> </w:t>
      </w:r>
      <w:r w:rsidR="00786762" w:rsidRPr="00952105">
        <w:t>mažin</w:t>
      </w:r>
      <w:r w:rsidR="00F27488" w:rsidRPr="00952105">
        <w:t>ti</w:t>
      </w:r>
      <w:r w:rsidR="00852586" w:rsidRPr="00952105">
        <w:t>)</w:t>
      </w:r>
      <w:r w:rsidR="005D5710" w:rsidRPr="00952105">
        <w:t xml:space="preserve">, jis </w:t>
      </w:r>
      <w:r w:rsidR="00D3442A" w:rsidRPr="00952105">
        <w:t>stengsis įgyti</w:t>
      </w:r>
      <w:r w:rsidR="00564B6C" w:rsidRPr="00952105">
        <w:t xml:space="preserve"> tok</w:t>
      </w:r>
      <w:r w:rsidR="000B67E7" w:rsidRPr="00952105">
        <w:t>i</w:t>
      </w:r>
      <w:r w:rsidR="001B1439" w:rsidRPr="00952105">
        <w:t>ą</w:t>
      </w:r>
      <w:r w:rsidR="00D3442A" w:rsidRPr="00952105">
        <w:t xml:space="preserve"> teisę </w:t>
      </w:r>
      <w:r w:rsidR="000B67E7" w:rsidRPr="00952105">
        <w:t xml:space="preserve">ir </w:t>
      </w:r>
      <w:r w:rsidR="00D3442A" w:rsidRPr="00952105">
        <w:t>kitą kartą – tačiau ne tam</w:t>
      </w:r>
      <w:r w:rsidR="00BB4E19" w:rsidRPr="00952105">
        <w:t xml:space="preserve">, kad </w:t>
      </w:r>
      <w:r w:rsidR="008D3A34" w:rsidRPr="00952105">
        <w:t>pa</w:t>
      </w:r>
      <w:r w:rsidR="00B535D9" w:rsidRPr="00952105">
        <w:t>si</w:t>
      </w:r>
      <w:r w:rsidR="008D3A34" w:rsidRPr="00952105">
        <w:t xml:space="preserve">dėtų </w:t>
      </w:r>
      <w:r w:rsidR="00236C85" w:rsidRPr="00952105">
        <w:t>„</w:t>
      </w:r>
      <w:r w:rsidR="008D3A34" w:rsidRPr="00952105">
        <w:t>pamatus</w:t>
      </w:r>
      <w:r w:rsidR="00236C85" w:rsidRPr="00952105">
        <w:t>“</w:t>
      </w:r>
      <w:r w:rsidR="008D3A34" w:rsidRPr="00952105">
        <w:t xml:space="preserve"> savo </w:t>
      </w:r>
      <w:r w:rsidR="00BB4E19" w:rsidRPr="00952105">
        <w:t>gerov</w:t>
      </w:r>
      <w:r w:rsidR="009F4623" w:rsidRPr="00952105">
        <w:t>ei kurti</w:t>
      </w:r>
      <w:r w:rsidR="001B1439" w:rsidRPr="00952105">
        <w:t>, o tam, kad</w:t>
      </w:r>
      <w:r w:rsidR="005C37C3" w:rsidRPr="00952105">
        <w:t xml:space="preserve"> </w:t>
      </w:r>
      <w:r w:rsidR="008D5E08" w:rsidRPr="00952105">
        <w:t>pasinaudot</w:t>
      </w:r>
      <w:r w:rsidR="00935747" w:rsidRPr="00952105">
        <w:t>ų</w:t>
      </w:r>
      <w:r w:rsidR="008D5E08" w:rsidRPr="00952105">
        <w:t xml:space="preserve"> </w:t>
      </w:r>
      <w:r w:rsidR="000B67E7" w:rsidRPr="00952105">
        <w:t>kitų sukurt</w:t>
      </w:r>
      <w:r w:rsidR="00E31A00" w:rsidRPr="00952105">
        <w:t>a</w:t>
      </w:r>
      <w:r w:rsidR="00721A6C" w:rsidRPr="00952105">
        <w:t>,</w:t>
      </w:r>
      <w:r w:rsidR="00D31706" w:rsidRPr="00952105">
        <w:t xml:space="preserve"> –</w:t>
      </w:r>
      <w:r w:rsidR="00935747" w:rsidRPr="00952105">
        <w:t xml:space="preserve"> </w:t>
      </w:r>
      <w:r w:rsidR="00E31A00" w:rsidRPr="00952105">
        <w:rPr>
          <w:i/>
        </w:rPr>
        <w:t>nemokama</w:t>
      </w:r>
      <w:r w:rsidR="00721A6C" w:rsidRPr="00952105">
        <w:t>,</w:t>
      </w:r>
      <w:r w:rsidR="00E31A00" w:rsidRPr="00952105">
        <w:t xml:space="preserve"> </w:t>
      </w:r>
      <w:r w:rsidR="00C73475" w:rsidRPr="00952105">
        <w:t xml:space="preserve">– </w:t>
      </w:r>
      <w:r w:rsidR="00935747" w:rsidRPr="00952105">
        <w:t>gerov</w:t>
      </w:r>
      <w:r w:rsidR="00E31A00" w:rsidRPr="00952105">
        <w:t>e</w:t>
      </w:r>
      <w:r w:rsidR="00935747" w:rsidRPr="00952105">
        <w:t>.</w:t>
      </w:r>
      <w:r w:rsidR="009177B5" w:rsidRPr="00952105">
        <w:t xml:space="preserve"> Apie tai </w:t>
      </w:r>
      <w:r w:rsidR="00946A03" w:rsidRPr="00952105">
        <w:t>byloja</w:t>
      </w:r>
      <w:r w:rsidR="009177B5" w:rsidRPr="00952105">
        <w:t xml:space="preserve"> ir </w:t>
      </w:r>
      <w:proofErr w:type="spellStart"/>
      <w:r w:rsidR="000919DF" w:rsidRPr="00952105">
        <w:t>Okunevičiūtės-Neverauskienės,</w:t>
      </w:r>
      <w:proofErr w:type="spellEnd"/>
      <w:r w:rsidR="000919DF" w:rsidRPr="00952105">
        <w:t xml:space="preserve"> Pociaus</w:t>
      </w:r>
      <w:r w:rsidR="00B535D9" w:rsidRPr="00952105">
        <w:t xml:space="preserve"> </w:t>
      </w:r>
      <w:r w:rsidR="009177B5" w:rsidRPr="00952105">
        <w:t>atlikti tyrimai</w:t>
      </w:r>
      <w:r w:rsidR="00B535D9" w:rsidRPr="00952105">
        <w:t xml:space="preserve"> (2003)</w:t>
      </w:r>
      <w:r w:rsidR="009177B5" w:rsidRPr="00952105">
        <w:t>, ku</w:t>
      </w:r>
      <w:r w:rsidR="00D61681" w:rsidRPr="00952105">
        <w:t>ri</w:t>
      </w:r>
      <w:r w:rsidR="00807A0D" w:rsidRPr="00952105">
        <w:t>e</w:t>
      </w:r>
      <w:r w:rsidR="00721A6C" w:rsidRPr="00952105">
        <w:t xml:space="preserve"> atskleidė</w:t>
      </w:r>
      <w:r w:rsidR="00D61681" w:rsidRPr="00952105">
        <w:t xml:space="preserve">, jog </w:t>
      </w:r>
      <w:r w:rsidR="00721A6C" w:rsidRPr="00952105">
        <w:t>„</w:t>
      </w:r>
      <w:r w:rsidR="00D61681" w:rsidRPr="00952105">
        <w:rPr>
          <w:i/>
        </w:rPr>
        <w:t>ilgalaikiai bedarbiai teikia prioritetą</w:t>
      </w:r>
      <w:r w:rsidR="00D61681" w:rsidRPr="00952105">
        <w:t xml:space="preserve"> </w:t>
      </w:r>
      <w:r w:rsidR="003B6708" w:rsidRPr="00952105">
        <w:t xml:space="preserve">ne profesiniam tobulėjimui, bet </w:t>
      </w:r>
      <w:r w:rsidR="000D1AA3" w:rsidRPr="00952105">
        <w:rPr>
          <w:i/>
        </w:rPr>
        <w:t xml:space="preserve">viešiesiems ar </w:t>
      </w:r>
      <w:r w:rsidR="00595F4A" w:rsidRPr="00952105">
        <w:rPr>
          <w:i/>
        </w:rPr>
        <w:t>laikiniems darbams, nesusijusiems</w:t>
      </w:r>
      <w:r w:rsidR="003B6708" w:rsidRPr="00952105">
        <w:t xml:space="preserve"> </w:t>
      </w:r>
      <w:r w:rsidR="005A261D" w:rsidRPr="00952105">
        <w:t xml:space="preserve">(...) </w:t>
      </w:r>
      <w:r w:rsidR="00595F4A" w:rsidRPr="00952105">
        <w:rPr>
          <w:i/>
        </w:rPr>
        <w:t>su jų kvalifikacijos kėlimu</w:t>
      </w:r>
      <w:r w:rsidR="00064D65" w:rsidRPr="00952105">
        <w:t>“</w:t>
      </w:r>
      <w:r w:rsidR="005706E8" w:rsidRPr="00952105">
        <w:t xml:space="preserve"> (p. 47)</w:t>
      </w:r>
      <w:r w:rsidR="00595F4A" w:rsidRPr="00952105">
        <w:t>.</w:t>
      </w:r>
    </w:p>
    <w:p w:rsidR="006D0FE0" w:rsidRPr="00F228E5" w:rsidRDefault="006A1B43" w:rsidP="00D47B5C">
      <w:r>
        <w:t xml:space="preserve">Apibendrinant, </w:t>
      </w:r>
      <w:r w:rsidR="00080FFF">
        <w:t>galima teigt</w:t>
      </w:r>
      <w:r w:rsidR="00041851">
        <w:t>i</w:t>
      </w:r>
      <w:r w:rsidR="006D0FE0" w:rsidRPr="00F228E5">
        <w:t>, jog</w:t>
      </w:r>
      <w:r w:rsidR="00F228E5">
        <w:t xml:space="preserve"> </w:t>
      </w:r>
      <w:r w:rsidR="00041851">
        <w:t>sąmoningų-</w:t>
      </w:r>
      <w:r w:rsidR="00480826">
        <w:t>neracionaliųjų išmok</w:t>
      </w:r>
      <w:r w:rsidR="00F228E5">
        <w:t xml:space="preserve">ų gavėjų </w:t>
      </w:r>
      <w:r w:rsidR="0084432B">
        <w:t>elgsen</w:t>
      </w:r>
      <w:r w:rsidR="00696C4B">
        <w:t>ą</w:t>
      </w:r>
      <w:r w:rsidR="0084432B">
        <w:t xml:space="preserve"> </w:t>
      </w:r>
      <w:r w:rsidR="001754E4">
        <w:t xml:space="preserve">labiausiai </w:t>
      </w:r>
      <w:r w:rsidR="00696C4B">
        <w:t>veikia</w:t>
      </w:r>
      <w:r w:rsidR="00BD4CB9">
        <w:t xml:space="preserve"> tie</w:t>
      </w:r>
      <w:r w:rsidR="00F228E5">
        <w:t xml:space="preserve"> </w:t>
      </w:r>
      <w:r w:rsidR="00EF24E0" w:rsidRPr="00F228E5">
        <w:t>veiksniai</w:t>
      </w:r>
      <w:r w:rsidR="00BD4CB9">
        <w:t>, kurie</w:t>
      </w:r>
      <w:r w:rsidR="00F228E5">
        <w:t xml:space="preserve"> yra susiję</w:t>
      </w:r>
      <w:r w:rsidR="005E153C">
        <w:t xml:space="preserve"> su </w:t>
      </w:r>
      <w:r w:rsidR="00696C4B">
        <w:t xml:space="preserve">žmogaus </w:t>
      </w:r>
      <w:r w:rsidR="00ED0188">
        <w:t>moral</w:t>
      </w:r>
      <w:r w:rsidR="00696C4B">
        <w:t xml:space="preserve">e </w:t>
      </w:r>
      <w:r w:rsidR="007A1AEE">
        <w:t>ir kitomis vertybėmis</w:t>
      </w:r>
      <w:r w:rsidR="00ED0188">
        <w:t xml:space="preserve">, </w:t>
      </w:r>
      <w:r w:rsidR="005E153C">
        <w:t>todėl</w:t>
      </w:r>
      <w:r w:rsidR="004C458A">
        <w:t>, natūralu,</w:t>
      </w:r>
      <w:r w:rsidR="0081721D">
        <w:t xml:space="preserve"> jog</w:t>
      </w:r>
      <w:r w:rsidR="009C79B0">
        <w:t xml:space="preserve">, neturint stiprių vidinių nuostatų, </w:t>
      </w:r>
      <w:r w:rsidR="00810E23">
        <w:t xml:space="preserve">pajamų </w:t>
      </w:r>
      <w:r w:rsidR="00BF0626">
        <w:t>siekiama</w:t>
      </w:r>
      <w:r w:rsidR="00343314">
        <w:t xml:space="preserve"> gau</w:t>
      </w:r>
      <w:r w:rsidR="00810E23">
        <w:t xml:space="preserve">ti </w:t>
      </w:r>
      <w:r w:rsidR="00BF0626">
        <w:t>lengviausi</w:t>
      </w:r>
      <w:r w:rsidR="00810E23">
        <w:t>u</w:t>
      </w:r>
      <w:r w:rsidR="00BF0626">
        <w:t xml:space="preserve"> keli</w:t>
      </w:r>
      <w:r w:rsidR="00810E23">
        <w:t>u</w:t>
      </w:r>
      <w:r w:rsidR="00824FFE">
        <w:t xml:space="preserve">, t. y. </w:t>
      </w:r>
      <w:r w:rsidR="00A21FB0">
        <w:t>pasinaudojant socialin</w:t>
      </w:r>
      <w:r w:rsidR="007A1AEE">
        <w:t>ės apsaugos sistema</w:t>
      </w:r>
      <w:r w:rsidR="000F2935">
        <w:t xml:space="preserve">. </w:t>
      </w:r>
      <w:r w:rsidR="00410A10">
        <w:t xml:space="preserve">Kadangi </w:t>
      </w:r>
      <w:r w:rsidR="005D112E">
        <w:t>tokiems žmonė</w:t>
      </w:r>
      <w:r w:rsidR="002701E2">
        <w:t xml:space="preserve">ms </w:t>
      </w:r>
      <w:r w:rsidR="00C70113">
        <w:t xml:space="preserve">trūksta </w:t>
      </w:r>
      <w:r w:rsidR="00784667">
        <w:t>motyvacijos</w:t>
      </w:r>
      <w:r w:rsidR="00F93B69">
        <w:t xml:space="preserve"> </w:t>
      </w:r>
      <w:r w:rsidR="00F93B69">
        <w:rPr>
          <w:i/>
        </w:rPr>
        <w:t>dirbti</w:t>
      </w:r>
      <w:r w:rsidR="00F93B69" w:rsidRPr="00F93B69">
        <w:rPr>
          <w:i/>
        </w:rPr>
        <w:t xml:space="preserve"> ir</w:t>
      </w:r>
      <w:r w:rsidR="00C70113">
        <w:t xml:space="preserve"> </w:t>
      </w:r>
      <w:r w:rsidR="00D11CD1">
        <w:rPr>
          <w:i/>
        </w:rPr>
        <w:t>užsi</w:t>
      </w:r>
      <w:r w:rsidR="00C70113" w:rsidRPr="000A2319">
        <w:rPr>
          <w:i/>
        </w:rPr>
        <w:t>dirbti</w:t>
      </w:r>
      <w:r w:rsidR="001E37C1" w:rsidRPr="000A2319">
        <w:rPr>
          <w:i/>
        </w:rPr>
        <w:t xml:space="preserve"> sąžining</w:t>
      </w:r>
      <w:r w:rsidR="00F93B69">
        <w:rPr>
          <w:i/>
        </w:rPr>
        <w:t>u būdu</w:t>
      </w:r>
      <w:r w:rsidR="00820C02">
        <w:t xml:space="preserve">, </w:t>
      </w:r>
      <w:r w:rsidR="00784667">
        <w:t xml:space="preserve">galima daryti prielaidą, jog jie </w:t>
      </w:r>
      <w:r w:rsidR="00820C02">
        <w:t xml:space="preserve">tampa </w:t>
      </w:r>
      <w:r w:rsidR="00D11CD1">
        <w:t xml:space="preserve">itin </w:t>
      </w:r>
      <w:r w:rsidR="00820C02">
        <w:t>pavojinga jėga</w:t>
      </w:r>
      <w:r w:rsidR="005131F0">
        <w:t xml:space="preserve"> tiek sau, tiek </w:t>
      </w:r>
      <w:r w:rsidR="00D11CD1">
        <w:t xml:space="preserve">ir </w:t>
      </w:r>
      <w:r w:rsidR="005131F0">
        <w:t>aplinkinia</w:t>
      </w:r>
      <w:r w:rsidR="00752C16">
        <w:t>m</w:t>
      </w:r>
      <w:r w:rsidR="005131F0">
        <w:t>s</w:t>
      </w:r>
      <w:r w:rsidR="0079298D">
        <w:t xml:space="preserve">: </w:t>
      </w:r>
      <w:r w:rsidR="00790A56">
        <w:t>pavojinga sau, nes</w:t>
      </w:r>
      <w:r w:rsidR="000A2319">
        <w:t xml:space="preserve"> </w:t>
      </w:r>
      <w:r w:rsidR="00D11CD1">
        <w:t>ši</w:t>
      </w:r>
      <w:r w:rsidR="00106A56">
        <w:t xml:space="preserve">taip </w:t>
      </w:r>
      <w:r w:rsidR="002874C9">
        <w:t>galima</w:t>
      </w:r>
      <w:r w:rsidR="005C67F9">
        <w:t xml:space="preserve"> žlugti kaip </w:t>
      </w:r>
      <w:r w:rsidR="002701E2">
        <w:t xml:space="preserve">asmenybėms, </w:t>
      </w:r>
      <w:r w:rsidR="000917FF">
        <w:t xml:space="preserve">o </w:t>
      </w:r>
      <w:r w:rsidR="002701E2">
        <w:t>kitiems</w:t>
      </w:r>
      <w:r w:rsidR="00553579">
        <w:t xml:space="preserve"> –</w:t>
      </w:r>
      <w:r w:rsidR="000917FF">
        <w:t xml:space="preserve"> </w:t>
      </w:r>
      <w:r w:rsidR="00553579">
        <w:t xml:space="preserve">dėl to, kad </w:t>
      </w:r>
      <w:r w:rsidR="00E47442">
        <w:t>sudaromos sąlygos plisti šiam reiškiniui</w:t>
      </w:r>
      <w:r w:rsidR="008A00D7">
        <w:t xml:space="preserve"> į šalis</w:t>
      </w:r>
      <w:r w:rsidR="004F7BA6">
        <w:t xml:space="preserve"> (</w:t>
      </w:r>
      <w:r w:rsidR="00154B16">
        <w:t xml:space="preserve">per </w:t>
      </w:r>
      <w:r w:rsidR="004F7BA6">
        <w:t>grupių įtak</w:t>
      </w:r>
      <w:r w:rsidR="00154B16">
        <w:t>ą</w:t>
      </w:r>
      <w:r w:rsidR="004F7BA6">
        <w:t>).</w:t>
      </w:r>
    </w:p>
    <w:p w:rsidR="009916CE" w:rsidRDefault="00496CAE" w:rsidP="00D47B5C">
      <w:r w:rsidRPr="00E536C1">
        <w:rPr>
          <w:b/>
          <w:i/>
        </w:rPr>
        <w:t xml:space="preserve"> </w:t>
      </w:r>
      <w:r w:rsidR="00B03E05" w:rsidRPr="00C625EC">
        <w:rPr>
          <w:b/>
          <w:i/>
          <w:u w:val="single"/>
        </w:rPr>
        <w:t>„</w:t>
      </w:r>
      <w:proofErr w:type="spellStart"/>
      <w:r w:rsidR="00B03E05" w:rsidRPr="00C625EC">
        <w:rPr>
          <w:b/>
          <w:i/>
          <w:u w:val="single"/>
        </w:rPr>
        <w:t>Neapsisprendėlių</w:t>
      </w:r>
      <w:proofErr w:type="spellEnd"/>
      <w:r w:rsidR="00B03E05" w:rsidRPr="00C625EC">
        <w:rPr>
          <w:b/>
          <w:i/>
          <w:u w:val="single"/>
        </w:rPr>
        <w:t>“</w:t>
      </w:r>
      <w:r w:rsidR="00460FB9" w:rsidRPr="00C625EC">
        <w:rPr>
          <w:b/>
          <w:i/>
          <w:u w:val="single"/>
        </w:rPr>
        <w:t xml:space="preserve"> elgseną lemiantys veiksniai</w:t>
      </w:r>
      <w:r w:rsidR="00460FB9" w:rsidRPr="00E536C1">
        <w:t>.</w:t>
      </w:r>
      <w:r w:rsidR="006A1133">
        <w:t xml:space="preserve"> </w:t>
      </w:r>
      <w:r w:rsidR="00480540">
        <w:t>Kalbant apie r</w:t>
      </w:r>
      <w:r w:rsidR="00413BA4">
        <w:t xml:space="preserve">ibotai racionalios elgsenos </w:t>
      </w:r>
      <w:r w:rsidR="001B210B">
        <w:t>išmok</w:t>
      </w:r>
      <w:r w:rsidR="00480540">
        <w:t>ų gavėjus</w:t>
      </w:r>
      <w:r w:rsidR="00E35D5C">
        <w:t>, reikėtų pasakyti, jog jie</w:t>
      </w:r>
      <w:r w:rsidR="00480540">
        <w:t xml:space="preserve"> sprendimus priima</w:t>
      </w:r>
      <w:r w:rsidR="004F45F8">
        <w:t xml:space="preserve"> atsitiktinai</w:t>
      </w:r>
      <w:r w:rsidR="00E35D5C">
        <w:t xml:space="preserve">, todėl reikėtų aptarti </w:t>
      </w:r>
      <w:r w:rsidR="007C24BD">
        <w:t xml:space="preserve">tuos </w:t>
      </w:r>
      <w:r w:rsidR="000C3C5A">
        <w:t xml:space="preserve">veiksnius, </w:t>
      </w:r>
      <w:r w:rsidR="007C24BD">
        <w:t>kurie atsiranda</w:t>
      </w:r>
      <w:r w:rsidR="000C3C5A">
        <w:t xml:space="preserve"> iš žmogaus</w:t>
      </w:r>
      <w:r w:rsidR="007B0995">
        <w:t xml:space="preserve"> </w:t>
      </w:r>
      <w:r w:rsidR="006924E8">
        <w:t xml:space="preserve">– </w:t>
      </w:r>
      <w:r w:rsidR="007B0995">
        <w:t>kaip asmenybės</w:t>
      </w:r>
      <w:r w:rsidR="00F66690">
        <w:t>.</w:t>
      </w:r>
      <w:r w:rsidR="004F7056">
        <w:t xml:space="preserve"> A</w:t>
      </w:r>
      <w:r w:rsidR="00B056F2">
        <w:t>kivaizdu, jog a</w:t>
      </w:r>
      <w:r w:rsidR="004F7056">
        <w:t>tsitiktinai priimti sprendimai</w:t>
      </w:r>
      <w:r w:rsidR="004032E9">
        <w:t xml:space="preserve"> susiję su tuo</w:t>
      </w:r>
      <w:r w:rsidR="004F7056">
        <w:t xml:space="preserve">, </w:t>
      </w:r>
      <w:r w:rsidR="00392D3B">
        <w:t xml:space="preserve">jog </w:t>
      </w:r>
      <w:r w:rsidR="004F7056">
        <w:t xml:space="preserve">žmogus </w:t>
      </w:r>
      <w:r w:rsidR="006436F1">
        <w:t xml:space="preserve">arba </w:t>
      </w:r>
      <w:r w:rsidR="004F7056" w:rsidRPr="004D5029">
        <w:t>neturi ateities vizijos</w:t>
      </w:r>
      <w:r w:rsidR="006436F1">
        <w:t>,</w:t>
      </w:r>
      <w:r w:rsidR="004F7056" w:rsidRPr="004D5029">
        <w:t xml:space="preserve"> </w:t>
      </w:r>
      <w:r w:rsidR="00187011" w:rsidRPr="004D5029">
        <w:t>arba</w:t>
      </w:r>
      <w:r w:rsidR="005B1F67" w:rsidRPr="004D5029">
        <w:t xml:space="preserve"> </w:t>
      </w:r>
      <w:r w:rsidR="00017BCD" w:rsidRPr="004D5029">
        <w:t xml:space="preserve">nėra </w:t>
      </w:r>
      <w:r w:rsidR="00282C12">
        <w:t xml:space="preserve">pakankamai </w:t>
      </w:r>
      <w:r w:rsidR="00017BCD" w:rsidRPr="004D5029">
        <w:t>subrendęs</w:t>
      </w:r>
      <w:r w:rsidR="005E2BE8" w:rsidRPr="004D5029">
        <w:t>.</w:t>
      </w:r>
      <w:r w:rsidR="00230298" w:rsidRPr="004D5029">
        <w:t xml:space="preserve"> </w:t>
      </w:r>
      <w:r w:rsidR="005E2BE8" w:rsidRPr="004D5029">
        <w:t xml:space="preserve">Kadangi </w:t>
      </w:r>
      <w:r w:rsidR="00DE731D" w:rsidRPr="004D5029">
        <w:t>t</w:t>
      </w:r>
      <w:r w:rsidR="007B63BB" w:rsidRPr="004D5029">
        <w:t>okios savybės</w:t>
      </w:r>
      <w:r w:rsidR="00392D3B" w:rsidRPr="004D5029">
        <w:t xml:space="preserve"> </w:t>
      </w:r>
      <w:r w:rsidR="007B63BB" w:rsidRPr="004D5029">
        <w:t>yra būdingos</w:t>
      </w:r>
      <w:r w:rsidR="009F579D" w:rsidRPr="004D5029">
        <w:t xml:space="preserve"> </w:t>
      </w:r>
      <w:r w:rsidR="00F96607" w:rsidRPr="004D5029">
        <w:t>jaun</w:t>
      </w:r>
      <w:r w:rsidR="005C6F62">
        <w:t>imui</w:t>
      </w:r>
      <w:r w:rsidR="006A5AAA" w:rsidRPr="004D5029">
        <w:t xml:space="preserve">, </w:t>
      </w:r>
      <w:r w:rsidR="00465778" w:rsidRPr="004D5029">
        <w:t>galima</w:t>
      </w:r>
      <w:r w:rsidR="007C24BD">
        <w:t xml:space="preserve"> daryti prielaidą</w:t>
      </w:r>
      <w:r w:rsidR="00465778">
        <w:t xml:space="preserve">, jog </w:t>
      </w:r>
      <w:r w:rsidR="009F579D" w:rsidRPr="00682C8A">
        <w:t>jaunatviškas maksimalizmas</w:t>
      </w:r>
      <w:r w:rsidR="00006C8E">
        <w:t xml:space="preserve">, kuris </w:t>
      </w:r>
      <w:r w:rsidR="009F3DF1">
        <w:t xml:space="preserve">vėliau </w:t>
      </w:r>
      <w:r w:rsidR="00C47C6C">
        <w:t xml:space="preserve">virsta </w:t>
      </w:r>
      <w:r w:rsidR="00F07033">
        <w:t>minimalizm</w:t>
      </w:r>
      <w:r w:rsidR="005C6F62">
        <w:t>u</w:t>
      </w:r>
      <w:r w:rsidR="008B07FE">
        <w:t>,</w:t>
      </w:r>
      <w:r w:rsidR="00F075EE">
        <w:t xml:space="preserve"> yra pirmasis veiksnys, </w:t>
      </w:r>
      <w:r w:rsidR="00050A9F">
        <w:t>nulemiant</w:t>
      </w:r>
      <w:r w:rsidR="00D07228">
        <w:t>is šios grupės atstovų pasirinkimą gyventi iš socialinės apsaugos lėšų.</w:t>
      </w:r>
    </w:p>
    <w:p w:rsidR="00557246" w:rsidRPr="00952105" w:rsidRDefault="00B36D7B" w:rsidP="00D47B5C">
      <w:r w:rsidRPr="00952105">
        <w:t xml:space="preserve">Apie </w:t>
      </w:r>
      <w:r w:rsidRPr="00952105">
        <w:rPr>
          <w:b/>
          <w:i/>
        </w:rPr>
        <w:t>jaunatviško maksimalizmo</w:t>
      </w:r>
      <w:r w:rsidRPr="00952105">
        <w:t xml:space="preserve"> pasekmes </w:t>
      </w:r>
      <w:r w:rsidR="00101FA5" w:rsidRPr="00952105">
        <w:t xml:space="preserve">kalba </w:t>
      </w:r>
      <w:r w:rsidR="00C553AB" w:rsidRPr="00952105">
        <w:t>Guogis, Bitinas</w:t>
      </w:r>
      <w:r w:rsidR="00C474BB" w:rsidRPr="00952105">
        <w:t xml:space="preserve"> (2011)</w:t>
      </w:r>
      <w:r w:rsidRPr="00952105">
        <w:t>, kurie</w:t>
      </w:r>
      <w:r w:rsidR="00A94733" w:rsidRPr="00952105">
        <w:t xml:space="preserve"> teigia</w:t>
      </w:r>
      <w:r w:rsidR="00B40B01" w:rsidRPr="00952105">
        <w:t>, jog jaunesni</w:t>
      </w:r>
      <w:r w:rsidR="00C474BB" w:rsidRPr="00952105">
        <w:t xml:space="preserve"> darbuotojai </w:t>
      </w:r>
      <w:r w:rsidR="009C5251" w:rsidRPr="00952105">
        <w:t>„</w:t>
      </w:r>
      <w:r w:rsidR="00C474BB" w:rsidRPr="00952105">
        <w:t>dažnai negalvoja apie taupymą ir išmokas senatvėje, todėl lengviau susitaria su darbdaviu dėl dalies atlyginimo mokėjimo nelegaliai</w:t>
      </w:r>
      <w:r w:rsidR="005F5F88" w:rsidRPr="00952105">
        <w:t>“</w:t>
      </w:r>
      <w:r w:rsidR="000D1AA3" w:rsidRPr="00952105">
        <w:t xml:space="preserve"> (p. 565)</w:t>
      </w:r>
      <w:r w:rsidR="00C474BB" w:rsidRPr="00952105">
        <w:t>. Nors autoriai tiesiogiai</w:t>
      </w:r>
      <w:r w:rsidR="00640FF1" w:rsidRPr="00952105">
        <w:t xml:space="preserve"> ir</w:t>
      </w:r>
      <w:r w:rsidR="00C474BB" w:rsidRPr="00952105">
        <w:t xml:space="preserve"> nepaliečia </w:t>
      </w:r>
      <w:r w:rsidR="00DF296A" w:rsidRPr="00952105">
        <w:t xml:space="preserve">nedarbo draudimo </w:t>
      </w:r>
      <w:r w:rsidR="002A762C" w:rsidRPr="00952105">
        <w:t>išmokų</w:t>
      </w:r>
      <w:r w:rsidR="009C5251" w:rsidRPr="00952105">
        <w:t xml:space="preserve"> ar socialinės</w:t>
      </w:r>
      <w:r w:rsidR="007322E6" w:rsidRPr="00952105">
        <w:t xml:space="preserve"> </w:t>
      </w:r>
      <w:r w:rsidR="009C5251" w:rsidRPr="00952105">
        <w:t>paramos</w:t>
      </w:r>
      <w:r w:rsidR="009724D4" w:rsidRPr="00952105">
        <w:t xml:space="preserve">, – </w:t>
      </w:r>
      <w:r w:rsidR="009724D4" w:rsidRPr="00952105">
        <w:rPr>
          <w:i/>
        </w:rPr>
        <w:t>kaip</w:t>
      </w:r>
      <w:r w:rsidR="006D0F64" w:rsidRPr="00952105">
        <w:rPr>
          <w:i/>
        </w:rPr>
        <w:t xml:space="preserve"> galim</w:t>
      </w:r>
      <w:r w:rsidR="00640FF1" w:rsidRPr="00952105">
        <w:rPr>
          <w:i/>
        </w:rPr>
        <w:t>ų</w:t>
      </w:r>
      <w:r w:rsidR="009724D4" w:rsidRPr="00952105">
        <w:rPr>
          <w:i/>
        </w:rPr>
        <w:t xml:space="preserve"> </w:t>
      </w:r>
      <w:r w:rsidR="008213E7" w:rsidRPr="00952105">
        <w:rPr>
          <w:i/>
        </w:rPr>
        <w:t xml:space="preserve">įplaukų formavimo </w:t>
      </w:r>
      <w:r w:rsidR="009724D4" w:rsidRPr="00952105">
        <w:rPr>
          <w:i/>
        </w:rPr>
        <w:t>šaltini</w:t>
      </w:r>
      <w:r w:rsidR="00640FF1" w:rsidRPr="00952105">
        <w:rPr>
          <w:i/>
        </w:rPr>
        <w:t>ų</w:t>
      </w:r>
      <w:r w:rsidR="009724D4" w:rsidRPr="00952105">
        <w:t>, –</w:t>
      </w:r>
      <w:r w:rsidR="00052F32" w:rsidRPr="00952105">
        <w:t xml:space="preserve"> </w:t>
      </w:r>
      <w:r w:rsidR="00DA5078" w:rsidRPr="00952105">
        <w:t>klausim</w:t>
      </w:r>
      <w:r w:rsidR="006D0F64" w:rsidRPr="00952105">
        <w:t>o</w:t>
      </w:r>
      <w:r w:rsidR="00FA2F65" w:rsidRPr="00952105">
        <w:t xml:space="preserve">, jie </w:t>
      </w:r>
      <w:r w:rsidR="00E31CDE" w:rsidRPr="00952105">
        <w:t xml:space="preserve">pastebi </w:t>
      </w:r>
      <w:r w:rsidR="00FA2F65" w:rsidRPr="00952105">
        <w:t>svarbų dalyką</w:t>
      </w:r>
      <w:r w:rsidR="00DF296A" w:rsidRPr="00952105">
        <w:t>:</w:t>
      </w:r>
      <w:r w:rsidR="00F75346" w:rsidRPr="00952105">
        <w:t xml:space="preserve"> jaunimas </w:t>
      </w:r>
      <w:r w:rsidR="00421D91" w:rsidRPr="00952105">
        <w:t>yra linkęs</w:t>
      </w:r>
      <w:r w:rsidR="00320A1F" w:rsidRPr="00952105">
        <w:t xml:space="preserve"> ne tik</w:t>
      </w:r>
      <w:r w:rsidR="00421D91" w:rsidRPr="00952105">
        <w:t xml:space="preserve"> </w:t>
      </w:r>
      <w:r w:rsidR="00421D91" w:rsidRPr="00952105">
        <w:rPr>
          <w:i/>
        </w:rPr>
        <w:t>vaikytis naudos</w:t>
      </w:r>
      <w:r w:rsidR="00DF296A" w:rsidRPr="00952105">
        <w:t xml:space="preserve"> (</w:t>
      </w:r>
      <w:r w:rsidR="00DF296A" w:rsidRPr="00952105">
        <w:rPr>
          <w:lang w:val="en-US"/>
        </w:rPr>
        <w:t>!</w:t>
      </w:r>
      <w:r w:rsidR="00DF296A" w:rsidRPr="00952105">
        <w:t>)</w:t>
      </w:r>
      <w:r w:rsidR="00320A1F" w:rsidRPr="00952105">
        <w:t>, bet ir</w:t>
      </w:r>
      <w:r w:rsidR="00421D91" w:rsidRPr="00952105">
        <w:t xml:space="preserve"> </w:t>
      </w:r>
      <w:r w:rsidR="00F75346" w:rsidRPr="00952105">
        <w:rPr>
          <w:i/>
        </w:rPr>
        <w:t>gyven</w:t>
      </w:r>
      <w:r w:rsidR="00320A1F" w:rsidRPr="00952105">
        <w:rPr>
          <w:i/>
        </w:rPr>
        <w:t>ti</w:t>
      </w:r>
      <w:r w:rsidR="00F75346" w:rsidRPr="00952105">
        <w:t xml:space="preserve"> </w:t>
      </w:r>
      <w:r w:rsidR="00F75346" w:rsidRPr="00952105">
        <w:rPr>
          <w:i/>
        </w:rPr>
        <w:t>šia</w:t>
      </w:r>
      <w:r w:rsidR="00DD74E8" w:rsidRPr="00952105">
        <w:rPr>
          <w:i/>
        </w:rPr>
        <w:t xml:space="preserve"> akimirka</w:t>
      </w:r>
      <w:r w:rsidR="00E402F6" w:rsidRPr="00952105">
        <w:t>. Tai</w:t>
      </w:r>
      <w:r w:rsidR="008A2D23" w:rsidRPr="00952105">
        <w:t xml:space="preserve"> reiškia, jog</w:t>
      </w:r>
      <w:r w:rsidR="000E7F4C" w:rsidRPr="00952105">
        <w:t xml:space="preserve"> </w:t>
      </w:r>
      <w:r w:rsidR="00200F38" w:rsidRPr="00952105">
        <w:t xml:space="preserve">šiems </w:t>
      </w:r>
      <w:r w:rsidR="00B40F7D" w:rsidRPr="00952105">
        <w:t xml:space="preserve">žmonėms </w:t>
      </w:r>
      <w:r w:rsidR="00DA5078" w:rsidRPr="00952105">
        <w:t>yra būdingas nuokrypis</w:t>
      </w:r>
      <w:r w:rsidR="00B40F7D" w:rsidRPr="00952105">
        <w:t xml:space="preserve"> nuo racionalios elgsenos</w:t>
      </w:r>
      <w:r w:rsidR="00341AE8" w:rsidRPr="00952105">
        <w:t xml:space="preserve">, t. y. </w:t>
      </w:r>
      <w:r w:rsidR="000E7F4C" w:rsidRPr="00952105">
        <w:rPr>
          <w:b/>
          <w:i/>
        </w:rPr>
        <w:t xml:space="preserve">reprezentatyvumo </w:t>
      </w:r>
      <w:proofErr w:type="spellStart"/>
      <w:r w:rsidR="000E7F4C" w:rsidRPr="00952105">
        <w:rPr>
          <w:b/>
          <w:i/>
        </w:rPr>
        <w:t>euristik</w:t>
      </w:r>
      <w:r w:rsidR="00D86415" w:rsidRPr="00952105">
        <w:rPr>
          <w:b/>
          <w:i/>
        </w:rPr>
        <w:t>a</w:t>
      </w:r>
      <w:proofErr w:type="spellEnd"/>
      <w:r w:rsidR="006C6FCD" w:rsidRPr="00952105">
        <w:t xml:space="preserve">, kuris </w:t>
      </w:r>
      <w:r w:rsidR="00B40F7D" w:rsidRPr="00952105">
        <w:t>byloja</w:t>
      </w:r>
      <w:r w:rsidR="00341AE8" w:rsidRPr="00952105">
        <w:t>, jog,</w:t>
      </w:r>
      <w:r w:rsidR="004848C4" w:rsidRPr="00952105">
        <w:rPr>
          <w:b/>
          <w:i/>
        </w:rPr>
        <w:t xml:space="preserve"> </w:t>
      </w:r>
      <w:r w:rsidR="009726C9" w:rsidRPr="00952105">
        <w:t>ne</w:t>
      </w:r>
      <w:r w:rsidR="00262A15" w:rsidRPr="00952105">
        <w:t>įvertinus</w:t>
      </w:r>
      <w:r w:rsidR="0069649D" w:rsidRPr="00952105">
        <w:t xml:space="preserve"> </w:t>
      </w:r>
      <w:r w:rsidR="00854A51" w:rsidRPr="00952105">
        <w:t>ateities</w:t>
      </w:r>
      <w:r w:rsidR="00262A15" w:rsidRPr="00952105">
        <w:t xml:space="preserve"> tendencijų</w:t>
      </w:r>
      <w:r w:rsidR="000909B7" w:rsidRPr="00952105">
        <w:t xml:space="preserve">, </w:t>
      </w:r>
      <w:r w:rsidR="00A51F17" w:rsidRPr="00952105">
        <w:t xml:space="preserve">priimami </w:t>
      </w:r>
      <w:r w:rsidR="00D86415" w:rsidRPr="00952105">
        <w:t xml:space="preserve">netinkami </w:t>
      </w:r>
      <w:r w:rsidR="00A51F17" w:rsidRPr="00952105">
        <w:t xml:space="preserve">sprendimai, pavyzdžiui, </w:t>
      </w:r>
      <w:r w:rsidR="00D352C5" w:rsidRPr="00952105">
        <w:t>rem</w:t>
      </w:r>
      <w:r w:rsidR="00200821" w:rsidRPr="00952105">
        <w:t>ti</w:t>
      </w:r>
      <w:r w:rsidR="00D86415" w:rsidRPr="00952105">
        <w:t xml:space="preserve"> šešėlinę</w:t>
      </w:r>
      <w:r w:rsidR="00FD38C5" w:rsidRPr="00952105">
        <w:t xml:space="preserve"> ekonomik</w:t>
      </w:r>
      <w:r w:rsidR="00D86415" w:rsidRPr="00952105">
        <w:t>ą</w:t>
      </w:r>
      <w:r w:rsidR="00A51F17" w:rsidRPr="00952105">
        <w:t>.</w:t>
      </w:r>
    </w:p>
    <w:p w:rsidR="002052DA" w:rsidRDefault="009E752C" w:rsidP="00D47B5C">
      <w:r>
        <w:t>P</w:t>
      </w:r>
      <w:r w:rsidR="00C474BB">
        <w:t>ripažįstant šešėlinę ekonomiką</w:t>
      </w:r>
      <w:r w:rsidR="00CF1221">
        <w:t xml:space="preserve"> kaip </w:t>
      </w:r>
      <w:r w:rsidR="00CF1221" w:rsidRPr="00CF1221">
        <w:rPr>
          <w:i/>
        </w:rPr>
        <w:t>visuotinį gėrį</w:t>
      </w:r>
      <w:r w:rsidR="00C474BB">
        <w:t xml:space="preserve">, susiformuoja </w:t>
      </w:r>
      <w:r w:rsidR="00A525C2">
        <w:t xml:space="preserve">ir </w:t>
      </w:r>
      <w:r w:rsidR="00C474BB">
        <w:t xml:space="preserve">specifinis mąstymas, todėl </w:t>
      </w:r>
      <w:r w:rsidR="00CF1221">
        <w:t xml:space="preserve">toliau </w:t>
      </w:r>
      <w:r w:rsidR="00C474BB">
        <w:t xml:space="preserve">būtų galima kalbėti apie tam tikrą </w:t>
      </w:r>
      <w:r w:rsidR="00C474BB">
        <w:rPr>
          <w:b/>
          <w:i/>
        </w:rPr>
        <w:t>protesto</w:t>
      </w:r>
      <w:r w:rsidR="00C474BB" w:rsidRPr="002451C8">
        <w:rPr>
          <w:b/>
          <w:i/>
        </w:rPr>
        <w:t xml:space="preserve"> </w:t>
      </w:r>
      <w:r w:rsidR="00C474BB">
        <w:rPr>
          <w:b/>
          <w:i/>
        </w:rPr>
        <w:t>formą prieš valstybės vykdomą politiką</w:t>
      </w:r>
      <w:r w:rsidR="00C474BB">
        <w:t xml:space="preserve">: manant, jog valstybė mokesčių pavidalu </w:t>
      </w:r>
      <w:r w:rsidR="00D63327">
        <w:t xml:space="preserve">(tiek tiesioginių, tiek </w:t>
      </w:r>
      <w:r w:rsidR="000C787B">
        <w:t xml:space="preserve">ir </w:t>
      </w:r>
      <w:r w:rsidR="00D63327">
        <w:t xml:space="preserve">netiesioginių) </w:t>
      </w:r>
      <w:r w:rsidR="00C474BB">
        <w:t xml:space="preserve">pasiima per didelę dalį </w:t>
      </w:r>
      <w:r w:rsidR="004820CE">
        <w:t xml:space="preserve">asmens </w:t>
      </w:r>
      <w:r w:rsidR="000C787B">
        <w:t xml:space="preserve">gaunamų </w:t>
      </w:r>
      <w:r w:rsidR="00C474BB">
        <w:t>pajamų</w:t>
      </w:r>
      <w:r w:rsidR="00D44052">
        <w:t xml:space="preserve">, </w:t>
      </w:r>
      <w:r w:rsidR="00200821">
        <w:t>kyla</w:t>
      </w:r>
      <w:r w:rsidR="000C787B">
        <w:t xml:space="preserve"> </w:t>
      </w:r>
      <w:r w:rsidR="00C474BB">
        <w:t xml:space="preserve">noras </w:t>
      </w:r>
      <w:r w:rsidR="00D620AB">
        <w:t>prarastu</w:t>
      </w:r>
      <w:r w:rsidR="00697FC6">
        <w:t xml:space="preserve">s </w:t>
      </w:r>
      <w:r w:rsidR="00D620AB">
        <w:t>pinigus</w:t>
      </w:r>
      <w:r w:rsidR="00697FC6">
        <w:t xml:space="preserve"> </w:t>
      </w:r>
      <w:r w:rsidR="00C474BB">
        <w:t>susigrąžinti</w:t>
      </w:r>
      <w:r w:rsidR="00034977">
        <w:t xml:space="preserve"> kitai</w:t>
      </w:r>
      <w:r w:rsidR="00200821">
        <w:t>s</w:t>
      </w:r>
      <w:r w:rsidR="00034977">
        <w:t xml:space="preserve"> būdais</w:t>
      </w:r>
      <w:r w:rsidR="006D0B40">
        <w:t>, t. y.</w:t>
      </w:r>
      <w:r w:rsidR="00523F2F">
        <w:t>:</w:t>
      </w:r>
      <w:r w:rsidR="0054241D">
        <w:t xml:space="preserve"> </w:t>
      </w:r>
      <w:r w:rsidR="00D620AB">
        <w:t xml:space="preserve">pasinaudojus „vokeliais“, </w:t>
      </w:r>
      <w:r w:rsidR="00034977">
        <w:t xml:space="preserve">nuslėpti ar </w:t>
      </w:r>
      <w:r w:rsidR="006D0B40">
        <w:t>sumažinti oficialiąsias pajama</w:t>
      </w:r>
      <w:r w:rsidR="00E17ADF">
        <w:t xml:space="preserve">s </w:t>
      </w:r>
      <w:r w:rsidR="006D0B40">
        <w:t xml:space="preserve">ir </w:t>
      </w:r>
      <w:r w:rsidR="00AD73FF">
        <w:t xml:space="preserve">tokiu būdu </w:t>
      </w:r>
      <w:r w:rsidR="00B94135">
        <w:t xml:space="preserve">įgyti, t. y. </w:t>
      </w:r>
      <w:r w:rsidR="005727E6">
        <w:t>susikurti</w:t>
      </w:r>
      <w:r w:rsidR="00B94135">
        <w:t xml:space="preserve">, </w:t>
      </w:r>
      <w:r w:rsidR="001B53B7">
        <w:t>teis</w:t>
      </w:r>
      <w:r w:rsidR="006D0B40">
        <w:t>ę</w:t>
      </w:r>
      <w:r w:rsidR="009F7478">
        <w:t xml:space="preserve"> į </w:t>
      </w:r>
      <w:r w:rsidR="00B94135">
        <w:t>piniginę ir / ar natūrinę socialinę paramą</w:t>
      </w:r>
      <w:r w:rsidR="006D0B40">
        <w:t>.</w:t>
      </w:r>
    </w:p>
    <w:p w:rsidR="00D734F9" w:rsidRPr="00952105" w:rsidRDefault="00D44052" w:rsidP="00D47B5C">
      <w:r w:rsidRPr="00952105">
        <w:lastRenderedPageBreak/>
        <w:t>Reikėtų akcentuoti, jog p</w:t>
      </w:r>
      <w:r w:rsidR="00C474BB" w:rsidRPr="00952105">
        <w:t xml:space="preserve">rotestas gali atsirasti </w:t>
      </w:r>
      <w:r w:rsidR="00AD73FF" w:rsidRPr="00952105">
        <w:t xml:space="preserve">ne tik prieš </w:t>
      </w:r>
      <w:r w:rsidR="002052DA" w:rsidRPr="00952105">
        <w:t xml:space="preserve">vykdomą </w:t>
      </w:r>
      <w:r w:rsidR="00AD73FF" w:rsidRPr="00952105">
        <w:t xml:space="preserve">mokesčių politiką, bet </w:t>
      </w:r>
      <w:r w:rsidR="00C474BB" w:rsidRPr="00952105">
        <w:t xml:space="preserve">ir prieš </w:t>
      </w:r>
      <w:r w:rsidR="00C474BB" w:rsidRPr="00952105">
        <w:rPr>
          <w:i/>
        </w:rPr>
        <w:t>nedidelį darbo užmokestį</w:t>
      </w:r>
      <w:r w:rsidR="002052DA" w:rsidRPr="00952105">
        <w:t xml:space="preserve">, </w:t>
      </w:r>
      <w:r w:rsidR="00820628" w:rsidRPr="00952105">
        <w:t xml:space="preserve">traktuojant tai kaip </w:t>
      </w:r>
      <w:r w:rsidR="00820628" w:rsidRPr="00952105">
        <w:rPr>
          <w:b/>
          <w:i/>
        </w:rPr>
        <w:t>orumo pažeidimą</w:t>
      </w:r>
      <w:r w:rsidR="00A06902" w:rsidRPr="00952105">
        <w:t xml:space="preserve">: </w:t>
      </w:r>
      <w:r w:rsidRPr="00952105">
        <w:t>jauni</w:t>
      </w:r>
      <w:r w:rsidR="00FE7130" w:rsidRPr="00952105">
        <w:t xml:space="preserve">, ir ypatingai </w:t>
      </w:r>
      <w:r w:rsidR="006C3A19" w:rsidRPr="00952105">
        <w:t xml:space="preserve">neseniai </w:t>
      </w:r>
      <w:r w:rsidR="00FE7130" w:rsidRPr="00952105">
        <w:t>studijas baigę,</w:t>
      </w:r>
      <w:r w:rsidRPr="00952105">
        <w:t xml:space="preserve"> žmonės</w:t>
      </w:r>
      <w:r w:rsidR="00175148" w:rsidRPr="00952105">
        <w:t xml:space="preserve"> save </w:t>
      </w:r>
      <w:r w:rsidR="00A06902" w:rsidRPr="00952105">
        <w:t xml:space="preserve">yra </w:t>
      </w:r>
      <w:r w:rsidR="00175148" w:rsidRPr="00952105">
        <w:t xml:space="preserve">linkę laikyti </w:t>
      </w:r>
      <w:r w:rsidR="002831DF" w:rsidRPr="00952105">
        <w:t xml:space="preserve">vertais </w:t>
      </w:r>
      <w:r w:rsidR="00AC1B78" w:rsidRPr="00952105">
        <w:t>geriausio</w:t>
      </w:r>
      <w:r w:rsidR="00D734F9" w:rsidRPr="00952105">
        <w:t>,</w:t>
      </w:r>
      <w:r w:rsidR="009D599B" w:rsidRPr="00952105">
        <w:t xml:space="preserve"> todėl</w:t>
      </w:r>
      <w:r w:rsidR="008235D2" w:rsidRPr="00952105">
        <w:t xml:space="preserve"> mieliau renkasi bent trumpam pagyventi iš socialinės apsaugos lėšų</w:t>
      </w:r>
      <w:r w:rsidR="00112C78" w:rsidRPr="00952105">
        <w:t>,</w:t>
      </w:r>
      <w:r w:rsidR="00FD03AF" w:rsidRPr="00952105">
        <w:t xml:space="preserve"> nei</w:t>
      </w:r>
      <w:r w:rsidR="008235D2" w:rsidRPr="00952105">
        <w:t xml:space="preserve"> dirbti </w:t>
      </w:r>
      <w:r w:rsidR="0037720D" w:rsidRPr="00952105">
        <w:t>už minimalų atlyg</w:t>
      </w:r>
      <w:r w:rsidR="0065704A" w:rsidRPr="00952105">
        <w:t>į</w:t>
      </w:r>
      <w:r w:rsidR="0037720D" w:rsidRPr="00952105">
        <w:t xml:space="preserve">. </w:t>
      </w:r>
      <w:r w:rsidR="00891F21" w:rsidRPr="00952105">
        <w:t>Tačiau</w:t>
      </w:r>
      <w:r w:rsidR="002A72D4" w:rsidRPr="00952105">
        <w:t>, mūsų</w:t>
      </w:r>
      <w:r w:rsidR="0058771F" w:rsidRPr="00952105">
        <w:t xml:space="preserve"> suvokimu</w:t>
      </w:r>
      <w:r w:rsidR="002A72D4" w:rsidRPr="00952105">
        <w:t>,</w:t>
      </w:r>
      <w:r w:rsidR="00891F21" w:rsidRPr="00952105">
        <w:t xml:space="preserve"> </w:t>
      </w:r>
      <w:r w:rsidR="0065704A" w:rsidRPr="00952105">
        <w:t xml:space="preserve">pajamų dydis </w:t>
      </w:r>
      <w:r w:rsidR="00891F21" w:rsidRPr="00952105">
        <w:t xml:space="preserve">nėra vienintelis orumą žeidžiantis </w:t>
      </w:r>
      <w:r w:rsidR="00E56309" w:rsidRPr="00952105">
        <w:t xml:space="preserve">faktas: </w:t>
      </w:r>
      <w:proofErr w:type="spellStart"/>
      <w:r w:rsidR="005C5250" w:rsidRPr="00952105">
        <w:t>Okunevičiūtės-</w:t>
      </w:r>
      <w:r w:rsidR="00193467" w:rsidRPr="00952105">
        <w:t>Neverauskienės</w:t>
      </w:r>
      <w:r w:rsidR="005C5250" w:rsidRPr="00952105">
        <w:t>,</w:t>
      </w:r>
      <w:proofErr w:type="spellEnd"/>
      <w:r w:rsidR="00193467" w:rsidRPr="00952105">
        <w:t xml:space="preserve"> </w:t>
      </w:r>
      <w:proofErr w:type="spellStart"/>
      <w:r w:rsidR="005C5250" w:rsidRPr="00952105">
        <w:t>Moksvinos</w:t>
      </w:r>
      <w:proofErr w:type="spellEnd"/>
      <w:r w:rsidR="005C5250" w:rsidRPr="00952105">
        <w:t xml:space="preserve">, </w:t>
      </w:r>
      <w:r w:rsidR="003302D0" w:rsidRPr="00952105">
        <w:t xml:space="preserve">(2008) atlikti tyrimai parodė, jog </w:t>
      </w:r>
      <w:r w:rsidR="008A2A44" w:rsidRPr="00952105">
        <w:t xml:space="preserve">jaunimui dažnai </w:t>
      </w:r>
      <w:r w:rsidR="00E56309" w:rsidRPr="00952105">
        <w:t xml:space="preserve">siūlomas </w:t>
      </w:r>
      <w:r w:rsidR="008A2A44" w:rsidRPr="00952105">
        <w:rPr>
          <w:i/>
        </w:rPr>
        <w:t>„juodas“ fizinis darbas</w:t>
      </w:r>
      <w:r w:rsidR="008A2A44" w:rsidRPr="00952105">
        <w:t xml:space="preserve"> arba darbas, </w:t>
      </w:r>
      <w:r w:rsidR="008A2A44" w:rsidRPr="00952105">
        <w:rPr>
          <w:i/>
        </w:rPr>
        <w:t>nereikalaujantis kvalifikacijos</w:t>
      </w:r>
      <w:r w:rsidR="00B532BD" w:rsidRPr="00952105">
        <w:t>, todėl tai</w:t>
      </w:r>
      <w:r w:rsidR="00FD0391" w:rsidRPr="00952105">
        <w:t xml:space="preserve"> gali</w:t>
      </w:r>
      <w:r w:rsidR="00E56309" w:rsidRPr="00952105">
        <w:t xml:space="preserve"> būti</w:t>
      </w:r>
      <w:r w:rsidR="00D71AEC" w:rsidRPr="00952105">
        <w:t xml:space="preserve"> kita priežastis</w:t>
      </w:r>
      <w:r w:rsidR="00E56309" w:rsidRPr="00952105">
        <w:t xml:space="preserve">, kodėl dedamos pastangos </w:t>
      </w:r>
      <w:r w:rsidR="001B50AA" w:rsidRPr="00952105">
        <w:t xml:space="preserve">neįsilieti </w:t>
      </w:r>
      <w:r w:rsidR="00804DC5" w:rsidRPr="00952105">
        <w:t>į darbo rinką –</w:t>
      </w:r>
      <w:r w:rsidR="00382F03" w:rsidRPr="00952105">
        <w:t xml:space="preserve"> žmonės save vertina</w:t>
      </w:r>
      <w:r w:rsidR="00293520" w:rsidRPr="00952105">
        <w:t xml:space="preserve"> geriau negu</w:t>
      </w:r>
      <w:r w:rsidR="0040741F" w:rsidRPr="00952105">
        <w:t xml:space="preserve"> </w:t>
      </w:r>
      <w:r w:rsidR="001401AC" w:rsidRPr="00952105">
        <w:t>darbdaviai</w:t>
      </w:r>
      <w:r w:rsidR="00FD0391" w:rsidRPr="00952105">
        <w:t>.</w:t>
      </w:r>
    </w:p>
    <w:p w:rsidR="00123886" w:rsidRDefault="00602CED" w:rsidP="00D47B5C">
      <w:r>
        <w:t xml:space="preserve">Mūsų manymu, </w:t>
      </w:r>
      <w:r w:rsidRPr="00382F03">
        <w:rPr>
          <w:b/>
          <w:i/>
        </w:rPr>
        <w:t>p</w:t>
      </w:r>
      <w:r w:rsidR="00576485" w:rsidRPr="00382F03">
        <w:rPr>
          <w:b/>
          <w:i/>
        </w:rPr>
        <w:t>erdėta savikliova</w:t>
      </w:r>
      <w:r w:rsidR="00576485">
        <w:t xml:space="preserve"> </w:t>
      </w:r>
      <w:r w:rsidR="002F4C06">
        <w:t xml:space="preserve">yra </w:t>
      </w:r>
      <w:r>
        <w:t xml:space="preserve">būtent ta </w:t>
      </w:r>
      <w:r w:rsidR="002F4C06">
        <w:t>savyb</w:t>
      </w:r>
      <w:r>
        <w:t>ė</w:t>
      </w:r>
      <w:r w:rsidR="002F4C06">
        <w:t xml:space="preserve">, kuri </w:t>
      </w:r>
      <w:r w:rsidR="00580E1B">
        <w:t xml:space="preserve">žmogų </w:t>
      </w:r>
      <w:r w:rsidR="002F4C06">
        <w:t xml:space="preserve">verčia </w:t>
      </w:r>
      <w:r w:rsidR="00580E1B">
        <w:t>tapti bedarbiu</w:t>
      </w:r>
      <w:r w:rsidR="0079394C">
        <w:t xml:space="preserve"> ne vieną, o keletą kartų</w:t>
      </w:r>
      <w:r w:rsidR="005837E4">
        <w:t xml:space="preserve">: </w:t>
      </w:r>
      <w:r w:rsidR="00580E1B">
        <w:t>neturėdamas</w:t>
      </w:r>
      <w:r w:rsidR="009247F1">
        <w:t xml:space="preserve"> pakankamos </w:t>
      </w:r>
      <w:r w:rsidR="009247F1" w:rsidRPr="00644302">
        <w:rPr>
          <w:b/>
          <w:i/>
        </w:rPr>
        <w:t>kompetencijos</w:t>
      </w:r>
      <w:r w:rsidR="009247F1">
        <w:t xml:space="preserve"> ir </w:t>
      </w:r>
      <w:r w:rsidR="00580E1B">
        <w:rPr>
          <w:i/>
        </w:rPr>
        <w:t>nesugebėdamas</w:t>
      </w:r>
      <w:r w:rsidR="00E302C8" w:rsidRPr="006F6A7E">
        <w:rPr>
          <w:i/>
        </w:rPr>
        <w:t xml:space="preserve"> priimti </w:t>
      </w:r>
      <w:r w:rsidR="00580E1B">
        <w:rPr>
          <w:i/>
        </w:rPr>
        <w:t>jo</w:t>
      </w:r>
      <w:r w:rsidR="004739EA" w:rsidRPr="006F6A7E">
        <w:rPr>
          <w:i/>
        </w:rPr>
        <w:t xml:space="preserve"> </w:t>
      </w:r>
      <w:r w:rsidR="004641F2" w:rsidRPr="006F6A7E">
        <w:rPr>
          <w:i/>
        </w:rPr>
        <w:t xml:space="preserve">poreikių neatitinkančio </w:t>
      </w:r>
      <w:r w:rsidR="004739EA" w:rsidRPr="006F6A7E">
        <w:rPr>
          <w:i/>
        </w:rPr>
        <w:t>darbo</w:t>
      </w:r>
      <w:r w:rsidR="00580E1B">
        <w:t>, toks pilietis</w:t>
      </w:r>
      <w:r w:rsidR="004739EA">
        <w:t xml:space="preserve"> yra </w:t>
      </w:r>
      <w:r w:rsidR="000838D7">
        <w:t>„</w:t>
      </w:r>
      <w:r w:rsidR="00580E1B">
        <w:t>priverstas</w:t>
      </w:r>
      <w:r w:rsidR="000838D7">
        <w:t>“</w:t>
      </w:r>
      <w:r w:rsidR="009247F1">
        <w:t xml:space="preserve"> </w:t>
      </w:r>
      <w:r w:rsidR="00FC425A">
        <w:t>pasitraukti iš bedarbių gretų</w:t>
      </w:r>
      <w:r w:rsidR="001C3037">
        <w:rPr>
          <w:rStyle w:val="FootnoteReference"/>
        </w:rPr>
        <w:footnoteReference w:id="8"/>
      </w:r>
      <w:r w:rsidR="00A362AE">
        <w:t xml:space="preserve"> </w:t>
      </w:r>
      <w:r w:rsidR="006E4C18">
        <w:t>ir</w:t>
      </w:r>
      <w:r w:rsidR="00961199">
        <w:t>,</w:t>
      </w:r>
      <w:r w:rsidR="006E4C18">
        <w:t xml:space="preserve"> </w:t>
      </w:r>
      <w:r w:rsidR="00167B1B">
        <w:t>po kiek laiko</w:t>
      </w:r>
      <w:r w:rsidR="00961199">
        <w:t>,</w:t>
      </w:r>
      <w:r w:rsidR="008C6854">
        <w:t xml:space="preserve"> </w:t>
      </w:r>
      <w:r w:rsidR="006E4C18">
        <w:t>kartoti cik</w:t>
      </w:r>
      <w:r w:rsidR="008B1FD3">
        <w:t>lą iš pradžių, t.</w:t>
      </w:r>
      <w:r w:rsidR="003E78E8">
        <w:t> </w:t>
      </w:r>
      <w:r w:rsidR="006E4C18">
        <w:t xml:space="preserve">y. registruotis </w:t>
      </w:r>
      <w:r w:rsidR="003E78E8">
        <w:t xml:space="preserve">teritorinėje </w:t>
      </w:r>
      <w:r w:rsidR="008C6854">
        <w:t xml:space="preserve">darbo biržoje </w:t>
      </w:r>
      <w:r w:rsidR="006E4C18">
        <w:t xml:space="preserve">ir </w:t>
      </w:r>
      <w:r w:rsidR="002E7171">
        <w:t xml:space="preserve">iš naujo </w:t>
      </w:r>
      <w:r w:rsidR="00FF66DC">
        <w:t xml:space="preserve">įgyti teisę į </w:t>
      </w:r>
      <w:r w:rsidR="005A7C4A">
        <w:t>išmok</w:t>
      </w:r>
      <w:r w:rsidR="00FF66DC">
        <w:t>os</w:t>
      </w:r>
      <w:r w:rsidR="004020B7">
        <w:t xml:space="preserve"> gavimą</w:t>
      </w:r>
      <w:r w:rsidR="00DE0316">
        <w:rPr>
          <w:rStyle w:val="FootnoteReference"/>
        </w:rPr>
        <w:footnoteReference w:id="9"/>
      </w:r>
      <w:r w:rsidR="0091509B">
        <w:t>.</w:t>
      </w:r>
      <w:r w:rsidR="00811954">
        <w:t xml:space="preserve"> </w:t>
      </w:r>
      <w:r w:rsidR="00FD7DC9">
        <w:t>Reikėtų pažymėti, jog kitą</w:t>
      </w:r>
      <w:r w:rsidR="002B66A5">
        <w:t xml:space="preserve"> </w:t>
      </w:r>
      <w:r w:rsidR="00811954">
        <w:t>kart</w:t>
      </w:r>
      <w:r w:rsidR="002B66A5">
        <w:t>ą</w:t>
      </w:r>
      <w:r w:rsidR="00811954">
        <w:t xml:space="preserve"> tok</w:t>
      </w:r>
      <w:r w:rsidR="00B76264">
        <w:t>s</w:t>
      </w:r>
      <w:r w:rsidR="00811954">
        <w:t xml:space="preserve"> </w:t>
      </w:r>
      <w:r w:rsidR="00811954" w:rsidRPr="00644302">
        <w:t>žmo</w:t>
      </w:r>
      <w:r w:rsidR="00B76264" w:rsidRPr="00644302">
        <w:t>gus</w:t>
      </w:r>
      <w:r w:rsidR="00761C23" w:rsidRPr="00644302">
        <w:t xml:space="preserve"> gali su</w:t>
      </w:r>
      <w:r w:rsidR="00811954" w:rsidRPr="00644302">
        <w:t xml:space="preserve">grįžti </w:t>
      </w:r>
      <w:r w:rsidR="003E78E8">
        <w:t xml:space="preserve">jau </w:t>
      </w:r>
      <w:r w:rsidR="00811954" w:rsidRPr="00644302">
        <w:t>dėl kitos priežasties, tačiau</w:t>
      </w:r>
      <w:r w:rsidR="00CD770E" w:rsidRPr="00644302">
        <w:t xml:space="preserve"> vėlgi trumpam – kol pakis aplinkybės.</w:t>
      </w:r>
    </w:p>
    <w:p w:rsidR="00182650" w:rsidRPr="00952105" w:rsidRDefault="00AC4C04" w:rsidP="00D47B5C">
      <w:r w:rsidRPr="00952105">
        <w:t xml:space="preserve">Viena </w:t>
      </w:r>
      <w:r w:rsidR="00FC6748" w:rsidRPr="00952105">
        <w:t xml:space="preserve">iš </w:t>
      </w:r>
      <w:r w:rsidRPr="00952105">
        <w:t xml:space="preserve">tokių </w:t>
      </w:r>
      <w:r w:rsidR="00761C23" w:rsidRPr="00952105">
        <w:t xml:space="preserve">priežasčių </w:t>
      </w:r>
      <w:r w:rsidR="00B76264" w:rsidRPr="00952105">
        <w:t>galėtų</w:t>
      </w:r>
      <w:r w:rsidRPr="00952105">
        <w:t xml:space="preserve"> būti</w:t>
      </w:r>
      <w:r w:rsidR="00F145E8" w:rsidRPr="00952105">
        <w:t xml:space="preserve"> </w:t>
      </w:r>
      <w:r w:rsidR="00D567B4" w:rsidRPr="00952105">
        <w:rPr>
          <w:b/>
          <w:i/>
        </w:rPr>
        <w:t>ne</w:t>
      </w:r>
      <w:r w:rsidR="00A24008" w:rsidRPr="00952105">
        <w:rPr>
          <w:b/>
          <w:i/>
        </w:rPr>
        <w:t>norėjimas</w:t>
      </w:r>
      <w:r w:rsidR="004F4BAE" w:rsidRPr="00952105">
        <w:rPr>
          <w:b/>
          <w:i/>
        </w:rPr>
        <w:t xml:space="preserve"> </w:t>
      </w:r>
      <w:r w:rsidR="00B036AC" w:rsidRPr="00952105">
        <w:rPr>
          <w:b/>
          <w:i/>
        </w:rPr>
        <w:t xml:space="preserve">sekti </w:t>
      </w:r>
      <w:r w:rsidR="004F4BAE" w:rsidRPr="00952105">
        <w:rPr>
          <w:b/>
          <w:i/>
        </w:rPr>
        <w:t>paskui</w:t>
      </w:r>
      <w:r w:rsidR="00385B80" w:rsidRPr="00952105">
        <w:rPr>
          <w:b/>
          <w:i/>
        </w:rPr>
        <w:t xml:space="preserve"> </w:t>
      </w:r>
      <w:r w:rsidR="005C6551" w:rsidRPr="00952105">
        <w:rPr>
          <w:b/>
          <w:i/>
        </w:rPr>
        <w:t xml:space="preserve">naujus </w:t>
      </w:r>
      <w:r w:rsidR="00385B80" w:rsidRPr="00952105">
        <w:rPr>
          <w:b/>
          <w:i/>
        </w:rPr>
        <w:t xml:space="preserve">mokslo </w:t>
      </w:r>
      <w:r w:rsidR="005C6551" w:rsidRPr="00952105">
        <w:rPr>
          <w:b/>
          <w:i/>
        </w:rPr>
        <w:t xml:space="preserve">pasiekimus </w:t>
      </w:r>
      <w:r w:rsidR="00D567B4" w:rsidRPr="00952105">
        <w:t>(</w:t>
      </w:r>
      <w:proofErr w:type="spellStart"/>
      <w:r w:rsidR="00D567B4" w:rsidRPr="00952105">
        <w:t>Potrafke</w:t>
      </w:r>
      <w:proofErr w:type="spellEnd"/>
      <w:r w:rsidR="00D567B4" w:rsidRPr="00952105">
        <w:t xml:space="preserve"> 201</w:t>
      </w:r>
      <w:r w:rsidR="00FA6E7A" w:rsidRPr="00952105">
        <w:t>2</w:t>
      </w:r>
      <w:r w:rsidR="00D567B4" w:rsidRPr="00952105">
        <w:t>)</w:t>
      </w:r>
      <w:r w:rsidR="000D7BB4" w:rsidRPr="00952105">
        <w:t xml:space="preserve">, kuris </w:t>
      </w:r>
      <w:r w:rsidR="00E6628F" w:rsidRPr="00952105">
        <w:t>šio</w:t>
      </w:r>
      <w:r w:rsidR="006D4F01" w:rsidRPr="00952105">
        <w:t xml:space="preserve"> tipo žmones </w:t>
      </w:r>
      <w:r w:rsidR="00512B2D" w:rsidRPr="00952105">
        <w:t xml:space="preserve">paverčia </w:t>
      </w:r>
      <w:r w:rsidR="00AA6072" w:rsidRPr="00952105">
        <w:t>ne savo gyvenimo valdovais, o pavaldiniai</w:t>
      </w:r>
      <w:r w:rsidR="002B15CD" w:rsidRPr="00952105">
        <w:t>s, kitaip</w:t>
      </w:r>
      <w:r w:rsidR="000D7BB4" w:rsidRPr="00952105">
        <w:t xml:space="preserve"> tariant</w:t>
      </w:r>
      <w:r w:rsidR="00A55C49" w:rsidRPr="00952105">
        <w:t>:</w:t>
      </w:r>
      <w:r w:rsidR="002B15CD" w:rsidRPr="00952105">
        <w:t xml:space="preserve"> </w:t>
      </w:r>
      <w:r w:rsidR="000D7BB4" w:rsidRPr="00952105">
        <w:t xml:space="preserve">kadangi </w:t>
      </w:r>
      <w:r w:rsidR="00E6628F" w:rsidRPr="00952105">
        <w:t xml:space="preserve">tokie žmonės </w:t>
      </w:r>
      <w:r w:rsidR="00CE2B32" w:rsidRPr="00952105">
        <w:t>ne</w:t>
      </w:r>
      <w:r w:rsidR="00E6628F" w:rsidRPr="00952105">
        <w:t>nor</w:t>
      </w:r>
      <w:r w:rsidR="00832C34" w:rsidRPr="00952105">
        <w:t>i</w:t>
      </w:r>
      <w:r w:rsidR="00CE2B32" w:rsidRPr="00952105">
        <w:t xml:space="preserve"> tobulėti, dirbti </w:t>
      </w:r>
      <w:r w:rsidR="00E6628F" w:rsidRPr="00952105">
        <w:t xml:space="preserve">jie </w:t>
      </w:r>
      <w:r w:rsidR="00CE2B32" w:rsidRPr="00952105">
        <w:t>gali tik tada, kai jų</w:t>
      </w:r>
      <w:r w:rsidR="00EA0247" w:rsidRPr="00952105">
        <w:t xml:space="preserve"> (</w:t>
      </w:r>
      <w:r w:rsidR="005A09C9" w:rsidRPr="00952105">
        <w:t xml:space="preserve">su </w:t>
      </w:r>
      <w:r w:rsidR="004B7684" w:rsidRPr="00952105">
        <w:t xml:space="preserve">savo </w:t>
      </w:r>
      <w:r w:rsidR="00EA0247" w:rsidRPr="00952105">
        <w:t>trūkumais ir ribotumais)</w:t>
      </w:r>
      <w:r w:rsidR="00CE2B32" w:rsidRPr="00952105">
        <w:t xml:space="preserve"> pageidauja rinka</w:t>
      </w:r>
      <w:r w:rsidR="00933652" w:rsidRPr="00952105">
        <w:t>; o</w:t>
      </w:r>
      <w:r w:rsidR="00085478" w:rsidRPr="00952105">
        <w:t xml:space="preserve"> k</w:t>
      </w:r>
      <w:r w:rsidR="009300BB" w:rsidRPr="00952105">
        <w:t xml:space="preserve">ai </w:t>
      </w:r>
      <w:r w:rsidR="0045672D" w:rsidRPr="00952105">
        <w:t>rinka</w:t>
      </w:r>
      <w:r w:rsidR="001A53C8" w:rsidRPr="00952105">
        <w:t>i</w:t>
      </w:r>
      <w:r w:rsidR="0045672D" w:rsidRPr="00952105">
        <w:t xml:space="preserve"> </w:t>
      </w:r>
      <w:r w:rsidR="009300BB" w:rsidRPr="00952105">
        <w:t>jų</w:t>
      </w:r>
      <w:r w:rsidR="001A53C8" w:rsidRPr="00952105">
        <w:t xml:space="preserve"> nereikia</w:t>
      </w:r>
      <w:r w:rsidR="0045672D" w:rsidRPr="00952105">
        <w:t xml:space="preserve">, </w:t>
      </w:r>
      <w:r w:rsidR="002831D6" w:rsidRPr="00952105">
        <w:t xml:space="preserve">žmonės </w:t>
      </w:r>
      <w:r w:rsidR="007D1B1C" w:rsidRPr="00952105">
        <w:t xml:space="preserve">yra </w:t>
      </w:r>
      <w:r w:rsidR="0045672D" w:rsidRPr="00952105">
        <w:t xml:space="preserve">priversti </w:t>
      </w:r>
      <w:r w:rsidR="00017DE7" w:rsidRPr="00952105">
        <w:t xml:space="preserve">gyventi iš </w:t>
      </w:r>
      <w:r w:rsidR="00F01007" w:rsidRPr="00952105">
        <w:t xml:space="preserve">kitų pajamų šaltinių, </w:t>
      </w:r>
      <w:r w:rsidR="004B3432" w:rsidRPr="00952105">
        <w:t>pavyzdžiui,</w:t>
      </w:r>
      <w:r w:rsidR="00F01007" w:rsidRPr="00952105">
        <w:t xml:space="preserve"> </w:t>
      </w:r>
      <w:r w:rsidR="0046153C" w:rsidRPr="00952105">
        <w:t>socialinės apsaugos lėšų</w:t>
      </w:r>
      <w:r w:rsidR="00A85D14" w:rsidRPr="00952105">
        <w:t>.</w:t>
      </w:r>
      <w:r w:rsidR="001A53C8" w:rsidRPr="00952105">
        <w:t xml:space="preserve"> </w:t>
      </w:r>
      <w:r w:rsidR="00E36B66" w:rsidRPr="00952105">
        <w:t xml:space="preserve">Tai tik patvirtina jau išsakytą mintį, jog </w:t>
      </w:r>
      <w:r w:rsidR="00771AC5" w:rsidRPr="00952105">
        <w:t xml:space="preserve">kai kuriuos </w:t>
      </w:r>
      <w:r w:rsidR="00B230B3" w:rsidRPr="00952105">
        <w:t xml:space="preserve">asmenis </w:t>
      </w:r>
      <w:r w:rsidR="00192BD8" w:rsidRPr="00952105">
        <w:t xml:space="preserve">priklausomais nuo </w:t>
      </w:r>
      <w:r w:rsidR="00C00C11" w:rsidRPr="00952105">
        <w:t>valstybės lėš</w:t>
      </w:r>
      <w:r w:rsidR="005D18D5" w:rsidRPr="00952105">
        <w:t xml:space="preserve">ų </w:t>
      </w:r>
      <w:r w:rsidR="00192BD8" w:rsidRPr="00952105">
        <w:t xml:space="preserve">daro </w:t>
      </w:r>
      <w:r w:rsidR="00B21CFC" w:rsidRPr="00952105">
        <w:t>jų vidiniai bruožai</w:t>
      </w:r>
      <w:r w:rsidR="00192BD8" w:rsidRPr="00952105">
        <w:t>, kuri</w:t>
      </w:r>
      <w:r w:rsidR="00B21CFC" w:rsidRPr="00952105">
        <w:t>e</w:t>
      </w:r>
      <w:r w:rsidR="00192BD8" w:rsidRPr="00952105">
        <w:t xml:space="preserve"> </w:t>
      </w:r>
      <w:r w:rsidR="0038171E" w:rsidRPr="00952105">
        <w:t xml:space="preserve">pradeda </w:t>
      </w:r>
      <w:r w:rsidR="00192BD8" w:rsidRPr="00952105">
        <w:t xml:space="preserve">formuotis </w:t>
      </w:r>
      <w:r w:rsidR="004B69DA" w:rsidRPr="00952105">
        <w:t xml:space="preserve">ankstyvuosiuose </w:t>
      </w:r>
      <w:r w:rsidR="00771AC5" w:rsidRPr="00952105">
        <w:t xml:space="preserve">žmogaus </w:t>
      </w:r>
      <w:r w:rsidR="000A0356" w:rsidRPr="00952105">
        <w:t xml:space="preserve">raidos </w:t>
      </w:r>
      <w:r w:rsidR="0046153C" w:rsidRPr="00952105">
        <w:t>etapuose</w:t>
      </w:r>
      <w:r w:rsidR="00771AC5" w:rsidRPr="00952105">
        <w:t>.</w:t>
      </w:r>
    </w:p>
    <w:p w:rsidR="004E4E1F" w:rsidRPr="00952105" w:rsidRDefault="008A1967" w:rsidP="00D47B5C">
      <w:r w:rsidRPr="00952105">
        <w:t>Skučienė (2008)</w:t>
      </w:r>
      <w:r w:rsidR="00BE34FD" w:rsidRPr="00952105">
        <w:t xml:space="preserve"> pastebi</w:t>
      </w:r>
      <w:r w:rsidR="0038171E" w:rsidRPr="00952105">
        <w:t xml:space="preserve">, </w:t>
      </w:r>
      <w:r w:rsidR="00765EF1" w:rsidRPr="00952105">
        <w:t xml:space="preserve">jog </w:t>
      </w:r>
      <w:r w:rsidR="00BE34FD" w:rsidRPr="00952105">
        <w:t>„</w:t>
      </w:r>
      <w:r w:rsidR="00430860" w:rsidRPr="00952105">
        <w:rPr>
          <w:i/>
        </w:rPr>
        <w:t>vaikai iš nepasiturinčių šeimų</w:t>
      </w:r>
      <w:r w:rsidR="00430860" w:rsidRPr="00952105">
        <w:t xml:space="preserve">, ateidami į mokyklą, dažniau </w:t>
      </w:r>
      <w:r w:rsidR="00430860" w:rsidRPr="00952105">
        <w:rPr>
          <w:i/>
        </w:rPr>
        <w:t xml:space="preserve">stokoja </w:t>
      </w:r>
      <w:r w:rsidR="00EE5D59" w:rsidRPr="00952105">
        <w:rPr>
          <w:i/>
        </w:rPr>
        <w:t xml:space="preserve">elgesio </w:t>
      </w:r>
      <w:r w:rsidR="00901B6D" w:rsidRPr="00952105">
        <w:rPr>
          <w:i/>
        </w:rPr>
        <w:t>žinių</w:t>
      </w:r>
      <w:r w:rsidR="00901B6D" w:rsidRPr="00952105">
        <w:t>,</w:t>
      </w:r>
      <w:r w:rsidR="00901B6D" w:rsidRPr="00952105">
        <w:rPr>
          <w:i/>
        </w:rPr>
        <w:t xml:space="preserve"> turi mažesnius ugdymo pasiekimus ir </w:t>
      </w:r>
      <w:r w:rsidR="00901B6D" w:rsidRPr="00952105">
        <w:rPr>
          <w:b/>
          <w:i/>
        </w:rPr>
        <w:t>motyvaciją</w:t>
      </w:r>
      <w:r w:rsidR="00BE34FD" w:rsidRPr="00952105">
        <w:t>“</w:t>
      </w:r>
      <w:r w:rsidR="007000AF" w:rsidRPr="00952105">
        <w:t xml:space="preserve"> (p. 27)</w:t>
      </w:r>
      <w:r w:rsidR="00131E7B" w:rsidRPr="00952105">
        <w:t>, o</w:t>
      </w:r>
      <w:r w:rsidR="003379D1" w:rsidRPr="00952105">
        <w:t xml:space="preserve"> tai</w:t>
      </w:r>
      <w:r w:rsidR="00EF211A" w:rsidRPr="00952105">
        <w:t xml:space="preserve"> byloja</w:t>
      </w:r>
      <w:r w:rsidR="003379D1" w:rsidRPr="00952105">
        <w:t xml:space="preserve">, jog </w:t>
      </w:r>
      <w:r w:rsidR="0088775F" w:rsidRPr="00952105">
        <w:rPr>
          <w:b/>
          <w:i/>
        </w:rPr>
        <w:t>aplinka</w:t>
      </w:r>
      <w:r w:rsidR="00911C9C" w:rsidRPr="00952105">
        <w:rPr>
          <w:b/>
          <w:i/>
        </w:rPr>
        <w:t>, kurioj</w:t>
      </w:r>
      <w:r w:rsidR="00936687" w:rsidRPr="00952105">
        <w:rPr>
          <w:b/>
          <w:i/>
        </w:rPr>
        <w:t>e</w:t>
      </w:r>
      <w:r w:rsidR="00A94611" w:rsidRPr="00952105">
        <w:rPr>
          <w:b/>
          <w:i/>
        </w:rPr>
        <w:t xml:space="preserve"> </w:t>
      </w:r>
      <w:r w:rsidR="00EE5D59" w:rsidRPr="00952105">
        <w:rPr>
          <w:b/>
          <w:i/>
        </w:rPr>
        <w:t>bręst</w:t>
      </w:r>
      <w:r w:rsidR="00AC4F47" w:rsidRPr="00952105">
        <w:rPr>
          <w:b/>
          <w:i/>
        </w:rPr>
        <w:t>a</w:t>
      </w:r>
      <w:r w:rsidR="007000AF" w:rsidRPr="00952105">
        <w:rPr>
          <w:b/>
          <w:i/>
        </w:rPr>
        <w:t xml:space="preserve"> žmogus</w:t>
      </w:r>
      <w:r w:rsidR="00911C9C" w:rsidRPr="00952105">
        <w:t>,</w:t>
      </w:r>
      <w:r w:rsidR="0052514A" w:rsidRPr="00952105">
        <w:t xml:space="preserve"> yra vienas </w:t>
      </w:r>
      <w:r w:rsidR="00DB7E17" w:rsidRPr="00952105">
        <w:t>tų</w:t>
      </w:r>
      <w:r w:rsidR="00BF1360" w:rsidRPr="00952105">
        <w:t xml:space="preserve"> veiksn</w:t>
      </w:r>
      <w:r w:rsidR="0052514A" w:rsidRPr="00952105">
        <w:t>ių, kuri</w:t>
      </w:r>
      <w:r w:rsidR="00456755" w:rsidRPr="00952105">
        <w:t>s</w:t>
      </w:r>
      <w:r w:rsidR="00911C9C" w:rsidRPr="00952105">
        <w:t xml:space="preserve"> </w:t>
      </w:r>
      <w:r w:rsidR="000A264F" w:rsidRPr="00952105">
        <w:t xml:space="preserve">lemia </w:t>
      </w:r>
      <w:r w:rsidR="00AC4F47" w:rsidRPr="00952105">
        <w:t>ateit</w:t>
      </w:r>
      <w:r w:rsidR="00685076" w:rsidRPr="00952105">
        <w:t>ies</w:t>
      </w:r>
      <w:r w:rsidR="004E7AFC" w:rsidRPr="00952105">
        <w:t xml:space="preserve"> </w:t>
      </w:r>
      <w:r w:rsidR="000A264F" w:rsidRPr="00952105">
        <w:t>sprendimus.</w:t>
      </w:r>
      <w:r w:rsidR="000C139C" w:rsidRPr="00952105">
        <w:t xml:space="preserve"> </w:t>
      </w:r>
      <w:r w:rsidR="00F34758" w:rsidRPr="00952105">
        <w:t xml:space="preserve">Vadinasi, </w:t>
      </w:r>
      <w:r w:rsidR="00072682" w:rsidRPr="00952105">
        <w:t>nenor</w:t>
      </w:r>
      <w:r w:rsidR="00123FB9" w:rsidRPr="00952105">
        <w:t>as</w:t>
      </w:r>
      <w:r w:rsidR="00DB7E17" w:rsidRPr="00952105">
        <w:t xml:space="preserve"> keistis</w:t>
      </w:r>
      <w:r w:rsidR="000018FD" w:rsidRPr="00952105">
        <w:t xml:space="preserve">, </w:t>
      </w:r>
      <w:r w:rsidR="0073453A" w:rsidRPr="00952105">
        <w:t xml:space="preserve">dėl kurio </w:t>
      </w:r>
      <w:r w:rsidR="00564836" w:rsidRPr="00952105">
        <w:t>pakliūvama</w:t>
      </w:r>
      <w:r w:rsidR="0073453A" w:rsidRPr="00952105">
        <w:t xml:space="preserve"> į </w:t>
      </w:r>
      <w:r w:rsidR="00D266AB" w:rsidRPr="00952105">
        <w:t xml:space="preserve">mažai </w:t>
      </w:r>
      <w:r w:rsidR="000018FD" w:rsidRPr="00952105">
        <w:t>apmokamo darbo spąstus</w:t>
      </w:r>
      <w:r w:rsidR="00230768" w:rsidRPr="00952105">
        <w:t>,</w:t>
      </w:r>
      <w:r w:rsidR="00960BFB" w:rsidRPr="00952105">
        <w:t xml:space="preserve"> </w:t>
      </w:r>
      <w:r w:rsidR="00E754B9" w:rsidRPr="00952105">
        <w:t>gal</w:t>
      </w:r>
      <w:r w:rsidR="00C53E5D" w:rsidRPr="00952105">
        <w:t>i</w:t>
      </w:r>
      <w:r w:rsidR="00E754B9" w:rsidRPr="00952105">
        <w:t xml:space="preserve"> </w:t>
      </w:r>
      <w:r w:rsidR="00F30766" w:rsidRPr="00952105">
        <w:t xml:space="preserve">būti </w:t>
      </w:r>
      <w:r w:rsidR="00473179" w:rsidRPr="00952105">
        <w:t>praeit</w:t>
      </w:r>
      <w:r w:rsidR="00933652" w:rsidRPr="00952105">
        <w:t>ies</w:t>
      </w:r>
      <w:r w:rsidR="001540AC" w:rsidRPr="00952105">
        <w:t xml:space="preserve"> </w:t>
      </w:r>
      <w:r w:rsidR="00473179" w:rsidRPr="00952105">
        <w:t xml:space="preserve">aplinkybių </w:t>
      </w:r>
      <w:r w:rsidR="00975A90" w:rsidRPr="00952105">
        <w:t>pasekmė</w:t>
      </w:r>
      <w:r w:rsidR="009C4A45" w:rsidRPr="00952105">
        <w:t>, pavyzdžiui,</w:t>
      </w:r>
      <w:r w:rsidR="00975A90" w:rsidRPr="00952105">
        <w:t xml:space="preserve"> </w:t>
      </w:r>
      <w:r w:rsidR="00506556" w:rsidRPr="00952105">
        <w:t xml:space="preserve">menkų paskatų </w:t>
      </w:r>
      <w:r w:rsidR="000A5ED2" w:rsidRPr="00952105">
        <w:t xml:space="preserve">[iš išorės] </w:t>
      </w:r>
      <w:r w:rsidR="00506556" w:rsidRPr="00952105">
        <w:t>mokytis</w:t>
      </w:r>
      <w:r w:rsidR="00D20BDD" w:rsidRPr="00952105">
        <w:t xml:space="preserve"> </w:t>
      </w:r>
      <w:r w:rsidR="00506556" w:rsidRPr="00952105">
        <w:t>rezultatas</w:t>
      </w:r>
      <w:r w:rsidR="00230768" w:rsidRPr="00952105">
        <w:t xml:space="preserve"> (</w:t>
      </w:r>
      <w:proofErr w:type="spellStart"/>
      <w:r w:rsidR="00230768" w:rsidRPr="00952105">
        <w:t>Kangas</w:t>
      </w:r>
      <w:proofErr w:type="spellEnd"/>
      <w:r w:rsidR="00230768" w:rsidRPr="00952105">
        <w:t>, Palme 2009)</w:t>
      </w:r>
      <w:r w:rsidR="000018FD" w:rsidRPr="00952105">
        <w:t>.</w:t>
      </w:r>
      <w:r w:rsidR="00426D80" w:rsidRPr="00952105">
        <w:t xml:space="preserve"> Iš kitos pusės, </w:t>
      </w:r>
      <w:r w:rsidR="00F927DD" w:rsidRPr="00952105">
        <w:t xml:space="preserve">elgsenai </w:t>
      </w:r>
      <w:r w:rsidR="00525A44" w:rsidRPr="00952105">
        <w:t xml:space="preserve">kur kas didesnę </w:t>
      </w:r>
      <w:r w:rsidR="00426D80" w:rsidRPr="00952105">
        <w:t xml:space="preserve">įtaką </w:t>
      </w:r>
      <w:r w:rsidR="00525A44" w:rsidRPr="00952105">
        <w:t xml:space="preserve">gali daryti </w:t>
      </w:r>
      <w:r w:rsidR="00426D80" w:rsidRPr="00952105">
        <w:t>t</w:t>
      </w:r>
      <w:r w:rsidR="00505C7C" w:rsidRPr="00952105">
        <w:t>oji</w:t>
      </w:r>
      <w:r w:rsidR="00426D80" w:rsidRPr="00952105">
        <w:t xml:space="preserve"> </w:t>
      </w:r>
      <w:r w:rsidR="00426D80" w:rsidRPr="00952105">
        <w:rPr>
          <w:b/>
          <w:i/>
        </w:rPr>
        <w:t xml:space="preserve">aplinka, kurioje </w:t>
      </w:r>
      <w:r w:rsidR="00240C6A" w:rsidRPr="00952105">
        <w:rPr>
          <w:b/>
          <w:i/>
        </w:rPr>
        <w:t>funkcionuoja individas</w:t>
      </w:r>
      <w:r w:rsidR="00240C6A" w:rsidRPr="00952105">
        <w:t xml:space="preserve">, </w:t>
      </w:r>
      <w:r w:rsidR="00A46AED" w:rsidRPr="00952105">
        <w:t>o tai</w:t>
      </w:r>
      <w:r w:rsidR="00B91AAD" w:rsidRPr="00952105">
        <w:t xml:space="preserve"> reiškia</w:t>
      </w:r>
      <w:r w:rsidR="00A46AED" w:rsidRPr="00952105">
        <w:t>, jog</w:t>
      </w:r>
      <w:r w:rsidR="004F2E9E" w:rsidRPr="00952105">
        <w:t xml:space="preserve"> </w:t>
      </w:r>
      <w:r w:rsidR="00A55604" w:rsidRPr="00952105">
        <w:t xml:space="preserve">sprendimą tapti </w:t>
      </w:r>
      <w:r w:rsidR="00411B85" w:rsidRPr="00952105">
        <w:t>išmokų gavėj</w:t>
      </w:r>
      <w:r w:rsidR="00A55604" w:rsidRPr="00952105">
        <w:t xml:space="preserve">u </w:t>
      </w:r>
      <w:r w:rsidR="00735F9D" w:rsidRPr="00952105">
        <w:t>žmogus</w:t>
      </w:r>
      <w:r w:rsidR="00DE7609" w:rsidRPr="00952105">
        <w:t xml:space="preserve"> </w:t>
      </w:r>
      <w:r w:rsidR="00A55604" w:rsidRPr="00952105">
        <w:t xml:space="preserve">gali priimti, </w:t>
      </w:r>
      <w:r w:rsidR="00086598" w:rsidRPr="00952105">
        <w:t>tiesiog</w:t>
      </w:r>
      <w:r w:rsidR="00AE3171" w:rsidRPr="00952105">
        <w:t xml:space="preserve"> įvykus pokyčiams</w:t>
      </w:r>
      <w:r w:rsidR="009E1D20" w:rsidRPr="00952105">
        <w:t xml:space="preserve">, </w:t>
      </w:r>
      <w:r w:rsidR="004D2DE7" w:rsidRPr="00952105">
        <w:t>kuri</w:t>
      </w:r>
      <w:r w:rsidR="00AE3171" w:rsidRPr="00952105">
        <w:t>e</w:t>
      </w:r>
      <w:r w:rsidR="004D2DE7" w:rsidRPr="00952105">
        <w:t xml:space="preserve"> nebūtinai turi būti susij</w:t>
      </w:r>
      <w:r w:rsidR="00AE3171" w:rsidRPr="00952105">
        <w:t>ę</w:t>
      </w:r>
      <w:r w:rsidR="004D2DE7" w:rsidRPr="00952105">
        <w:t xml:space="preserve"> su pokyčiais darbo rinkoje</w:t>
      </w:r>
      <w:r w:rsidR="00086598" w:rsidRPr="00952105">
        <w:t>.</w:t>
      </w:r>
    </w:p>
    <w:p w:rsidR="008577E9" w:rsidRDefault="00505C7C" w:rsidP="00EC67E1">
      <w:r>
        <w:t>Apibendrinant, reikėtų pasakyti, jog</w:t>
      </w:r>
      <w:r w:rsidR="00716F50">
        <w:t xml:space="preserve"> ribotai racional</w:t>
      </w:r>
      <w:r w:rsidR="00372EBC">
        <w:t>ių</w:t>
      </w:r>
      <w:r w:rsidR="00036786">
        <w:t xml:space="preserve">, taip pat kaip ir neracionalių, </w:t>
      </w:r>
      <w:r w:rsidR="00411B85">
        <w:t>išmok</w:t>
      </w:r>
      <w:r w:rsidR="00372EBC">
        <w:t>ų gavėjų</w:t>
      </w:r>
      <w:r w:rsidR="00036786">
        <w:t xml:space="preserve"> elgsen</w:t>
      </w:r>
      <w:r w:rsidR="00D23066">
        <w:t>ai</w:t>
      </w:r>
      <w:r w:rsidR="00036786">
        <w:t xml:space="preserve"> </w:t>
      </w:r>
      <w:r w:rsidR="00D23066">
        <w:t xml:space="preserve">didžiausią įtaką daro </w:t>
      </w:r>
      <w:r w:rsidR="00036786">
        <w:t xml:space="preserve">vidiniai </w:t>
      </w:r>
      <w:r w:rsidR="00D23066">
        <w:t xml:space="preserve">asmenybės </w:t>
      </w:r>
      <w:r w:rsidR="00036786">
        <w:t>bruožai</w:t>
      </w:r>
      <w:r w:rsidR="00711955">
        <w:t xml:space="preserve">, </w:t>
      </w:r>
      <w:r w:rsidR="00202412">
        <w:t>tik jie</w:t>
      </w:r>
      <w:r w:rsidR="006108B9">
        <w:t xml:space="preserve"> </w:t>
      </w:r>
      <w:r w:rsidR="00EF6AAF">
        <w:t xml:space="preserve">šiuo atveju </w:t>
      </w:r>
      <w:r w:rsidR="006108B9">
        <w:t xml:space="preserve">daugiau </w:t>
      </w:r>
      <w:r w:rsidR="00FE3E68">
        <w:t xml:space="preserve">yra </w:t>
      </w:r>
      <w:r w:rsidR="006108B9">
        <w:t xml:space="preserve">susiję su jaunu </w:t>
      </w:r>
      <w:r w:rsidR="00D23066">
        <w:t xml:space="preserve">žmogaus </w:t>
      </w:r>
      <w:r w:rsidR="006108B9">
        <w:t>amžiumi</w:t>
      </w:r>
      <w:r w:rsidR="006F7674">
        <w:t xml:space="preserve"> nei su moralinėmis vertybėmis, kurioms formuoti</w:t>
      </w:r>
      <w:r w:rsidR="008519BE">
        <w:t>s</w:t>
      </w:r>
      <w:r w:rsidR="006F7674">
        <w:t xml:space="preserve"> reikia daugiau laiko.</w:t>
      </w:r>
      <w:r w:rsidR="008519BE">
        <w:t xml:space="preserve"> </w:t>
      </w:r>
      <w:r w:rsidR="006E4492">
        <w:t>Pernelyg gerai galvodami apie save, tačiau n</w:t>
      </w:r>
      <w:r w:rsidR="008519BE">
        <w:t>e</w:t>
      </w:r>
      <w:r w:rsidR="00FD3DAC">
        <w:t>mok</w:t>
      </w:r>
      <w:r w:rsidR="008519BE">
        <w:t xml:space="preserve">ėdami </w:t>
      </w:r>
      <w:r w:rsidR="00FD3DAC">
        <w:t xml:space="preserve">tinkamai </w:t>
      </w:r>
      <w:r w:rsidR="00FC2D0B">
        <w:t>į</w:t>
      </w:r>
      <w:r w:rsidR="008519BE">
        <w:t>vertinti</w:t>
      </w:r>
      <w:r w:rsidR="00AB60E7">
        <w:t xml:space="preserve"> </w:t>
      </w:r>
      <w:r w:rsidR="00FD52AA">
        <w:t>ilgalaikių</w:t>
      </w:r>
      <w:r w:rsidR="00407A0C">
        <w:t xml:space="preserve"> </w:t>
      </w:r>
      <w:r w:rsidR="00755B4B">
        <w:t>tendencijų</w:t>
      </w:r>
      <w:r w:rsidR="00B5080E">
        <w:t>,</w:t>
      </w:r>
      <w:r w:rsidR="008519BE">
        <w:t xml:space="preserve"> tokie žmonės</w:t>
      </w:r>
      <w:r w:rsidR="00B5080E">
        <w:t xml:space="preserve"> </w:t>
      </w:r>
      <w:r w:rsidR="00FC2D0B">
        <w:t xml:space="preserve">yra linkę </w:t>
      </w:r>
      <w:r w:rsidR="00A640FA">
        <w:t xml:space="preserve">visko </w:t>
      </w:r>
      <w:r w:rsidR="000B6ED8">
        <w:t>ne</w:t>
      </w:r>
      <w:r w:rsidR="00A640FA">
        <w:t>ap</w:t>
      </w:r>
      <w:r w:rsidR="000B6ED8">
        <w:t xml:space="preserve">mąstyti ir </w:t>
      </w:r>
      <w:r w:rsidR="0050000F">
        <w:t xml:space="preserve">gyventi šia akimirka, </w:t>
      </w:r>
      <w:r w:rsidR="00755B4B">
        <w:t xml:space="preserve">kas paskatina </w:t>
      </w:r>
      <w:r w:rsidR="00F80B9F">
        <w:t xml:space="preserve">rinktis </w:t>
      </w:r>
      <w:r w:rsidR="000131C5">
        <w:t xml:space="preserve">nesunkiai </w:t>
      </w:r>
      <w:r w:rsidR="00F80B9F">
        <w:t>pasiekiamus pajamų šaltinius.</w:t>
      </w:r>
    </w:p>
    <w:p w:rsidR="006C4A51" w:rsidRPr="00D94991" w:rsidRDefault="00E9562A" w:rsidP="00E9562A">
      <w:pPr>
        <w:pStyle w:val="Heading1"/>
      </w:pPr>
      <w:bookmarkStart w:id="17" w:name="_Toc343636881"/>
      <w:r w:rsidRPr="00D94991">
        <w:lastRenderedPageBreak/>
        <w:t>GYVENTOJŲ FINANSINĖS ELGSENOS VERTINIMO METODOLOGIJ</w:t>
      </w:r>
      <w:r>
        <w:t>A</w:t>
      </w:r>
      <w:bookmarkEnd w:id="17"/>
    </w:p>
    <w:p w:rsidR="001E4655" w:rsidRDefault="009722B7" w:rsidP="00EC67E1">
      <w:r>
        <w:t>Žinant</w:t>
      </w:r>
      <w:r w:rsidR="00C407ED">
        <w:t xml:space="preserve">, jog </w:t>
      </w:r>
      <w:r w:rsidR="0048019A">
        <w:t>individ</w:t>
      </w:r>
      <w:r w:rsidR="009A4500">
        <w:t>ų</w:t>
      </w:r>
      <w:r w:rsidR="004F2203">
        <w:t xml:space="preserve"> </w:t>
      </w:r>
      <w:r w:rsidR="00F744FD">
        <w:t>finansin</w:t>
      </w:r>
      <w:r w:rsidR="0003688B">
        <w:t>i</w:t>
      </w:r>
      <w:r w:rsidR="00194DB6">
        <w:t>am</w:t>
      </w:r>
      <w:r w:rsidR="0003688B">
        <w:t>s</w:t>
      </w:r>
      <w:r w:rsidR="00F744FD">
        <w:t xml:space="preserve"> </w:t>
      </w:r>
      <w:r w:rsidR="0003688B">
        <w:t>sprendim</w:t>
      </w:r>
      <w:r w:rsidR="00744E3D">
        <w:t>a</w:t>
      </w:r>
      <w:r w:rsidR="00194DB6">
        <w:t>m</w:t>
      </w:r>
      <w:r w:rsidR="00744E3D">
        <w:t>s įtaką daran</w:t>
      </w:r>
      <w:r w:rsidR="00194DB6">
        <w:t>tys</w:t>
      </w:r>
      <w:r w:rsidR="0003688B">
        <w:t xml:space="preserve"> </w:t>
      </w:r>
      <w:r w:rsidR="000F1CBD" w:rsidRPr="00573446">
        <w:t>veiksni</w:t>
      </w:r>
      <w:r w:rsidR="00194DB6" w:rsidRPr="00573446">
        <w:t>ai</w:t>
      </w:r>
      <w:r w:rsidR="00F57D9E" w:rsidRPr="00573446">
        <w:t xml:space="preserve"> kiekvienu atveju gali</w:t>
      </w:r>
      <w:r w:rsidR="00311077" w:rsidRPr="00573446">
        <w:t xml:space="preserve"> skirti</w:t>
      </w:r>
      <w:r w:rsidR="00FC2CDC" w:rsidRPr="00573446">
        <w:t>s</w:t>
      </w:r>
      <w:r w:rsidR="00283CF4" w:rsidRPr="00573446">
        <w:t xml:space="preserve">, </w:t>
      </w:r>
      <w:r w:rsidR="000131C5" w:rsidRPr="00573446">
        <w:t>tampa akivaizdu, jog</w:t>
      </w:r>
      <w:r w:rsidR="00F744FD" w:rsidRPr="00573446">
        <w:t xml:space="preserve">, norint </w:t>
      </w:r>
      <w:r w:rsidR="000349E4" w:rsidRPr="00573446">
        <w:t xml:space="preserve">tinkamai </w:t>
      </w:r>
      <w:r w:rsidR="00F744FD" w:rsidRPr="00573446">
        <w:t>įvertinti</w:t>
      </w:r>
      <w:r w:rsidR="00D0279B" w:rsidRPr="00573446">
        <w:t xml:space="preserve"> </w:t>
      </w:r>
      <w:r w:rsidR="00FC2CDC" w:rsidRPr="00573446">
        <w:t>socialinių išmokų</w:t>
      </w:r>
      <w:r w:rsidR="00DE46D7" w:rsidRPr="00573446">
        <w:t xml:space="preserve"> </w:t>
      </w:r>
      <w:r w:rsidR="00D0279B" w:rsidRPr="00573446">
        <w:t xml:space="preserve">gavėjų elgseną, būtina </w:t>
      </w:r>
      <w:r w:rsidR="000349E4" w:rsidRPr="00573446">
        <w:t xml:space="preserve">ne tik </w:t>
      </w:r>
      <w:r w:rsidR="00233F5E" w:rsidRPr="00573446">
        <w:t>nustatyti</w:t>
      </w:r>
      <w:r w:rsidR="00145D81">
        <w:t xml:space="preserve"> jos pobūdį,</w:t>
      </w:r>
      <w:r w:rsidRPr="00573446">
        <w:t xml:space="preserve"> bet ir </w:t>
      </w:r>
      <w:r w:rsidR="00222D9C" w:rsidRPr="00573446">
        <w:t xml:space="preserve">suvokti </w:t>
      </w:r>
      <w:r w:rsidR="00BA7CCC">
        <w:t xml:space="preserve">finansinę </w:t>
      </w:r>
      <w:r w:rsidR="00222D9C" w:rsidRPr="00573446">
        <w:t xml:space="preserve">elgseną </w:t>
      </w:r>
      <w:r w:rsidR="00BA7CCC">
        <w:t>nu</w:t>
      </w:r>
      <w:r w:rsidR="004F33AF">
        <w:t xml:space="preserve">lėmusių veiksnių </w:t>
      </w:r>
      <w:r w:rsidR="0081085E">
        <w:t xml:space="preserve">poveikį </w:t>
      </w:r>
      <w:r w:rsidR="00A36A2B">
        <w:t xml:space="preserve">ir </w:t>
      </w:r>
      <w:r w:rsidR="004F33AF">
        <w:t xml:space="preserve">priežastinius </w:t>
      </w:r>
      <w:r w:rsidR="0081085E">
        <w:t xml:space="preserve">jų </w:t>
      </w:r>
      <w:r w:rsidR="004F33AF">
        <w:t>ryšius</w:t>
      </w:r>
      <w:r w:rsidR="004C5C3F" w:rsidRPr="00573446">
        <w:t xml:space="preserve">. Taigi </w:t>
      </w:r>
      <w:r w:rsidR="008C0C66">
        <w:t xml:space="preserve">toliau darbe </w:t>
      </w:r>
      <w:r w:rsidR="00C45AEE">
        <w:t>gvildenam</w:t>
      </w:r>
      <w:r w:rsidR="000654ED">
        <w:t xml:space="preserve">i </w:t>
      </w:r>
      <w:r w:rsidR="00C407ED" w:rsidRPr="00573446">
        <w:t xml:space="preserve">finansinės elgsenos </w:t>
      </w:r>
      <w:r w:rsidR="000654ED">
        <w:t>vertinimo aspektai</w:t>
      </w:r>
      <w:r w:rsidR="00BA7CCC">
        <w:t xml:space="preserve"> </w:t>
      </w:r>
      <w:r w:rsidR="00B467CB">
        <w:t>bei</w:t>
      </w:r>
      <w:r w:rsidR="004B64FE">
        <w:t xml:space="preserve"> </w:t>
      </w:r>
      <w:r w:rsidR="00C45AEE">
        <w:t>formuojamas</w:t>
      </w:r>
      <w:r w:rsidR="00B467CB">
        <w:t xml:space="preserve"> </w:t>
      </w:r>
      <w:r w:rsidR="001D5A37">
        <w:t>elgsenos</w:t>
      </w:r>
      <w:r w:rsidR="00C45AEE">
        <w:t xml:space="preserve"> į</w:t>
      </w:r>
      <w:r w:rsidR="004B64FE">
        <w:t>vertinimo modelis</w:t>
      </w:r>
      <w:r w:rsidR="00C407ED" w:rsidRPr="00573446">
        <w:t>.</w:t>
      </w:r>
    </w:p>
    <w:p w:rsidR="005F0479" w:rsidRPr="00E9562A" w:rsidRDefault="005F0479" w:rsidP="00E9562A">
      <w:pPr>
        <w:pStyle w:val="Heading2"/>
      </w:pPr>
      <w:bookmarkStart w:id="18" w:name="_Toc343636882"/>
      <w:r w:rsidRPr="00E9562A">
        <w:t>Gyventojų</w:t>
      </w:r>
      <w:r w:rsidR="004504B0" w:rsidRPr="00E9562A">
        <w:t xml:space="preserve"> </w:t>
      </w:r>
      <w:r w:rsidRPr="00E9562A">
        <w:t xml:space="preserve">finansinės elgsenos </w:t>
      </w:r>
      <w:r w:rsidR="005B1B22" w:rsidRPr="00E9562A">
        <w:t>vertinimo sudėtingumas</w:t>
      </w:r>
      <w:bookmarkEnd w:id="18"/>
    </w:p>
    <w:p w:rsidR="005D37B1" w:rsidRPr="00D368FF" w:rsidRDefault="00053601" w:rsidP="00EC67E1">
      <w:r w:rsidRPr="00D368FF">
        <w:t>Bendr</w:t>
      </w:r>
      <w:r w:rsidR="00793DF2" w:rsidRPr="00D368FF">
        <w:t>u</w:t>
      </w:r>
      <w:r w:rsidRPr="00D368FF">
        <w:t xml:space="preserve"> požiūriu </w:t>
      </w:r>
      <w:r w:rsidR="005D37B1" w:rsidRPr="00D368FF">
        <w:rPr>
          <w:b/>
          <w:i/>
        </w:rPr>
        <w:t>vertinimas</w:t>
      </w:r>
      <w:r w:rsidR="005D37B1" w:rsidRPr="00D368FF">
        <w:t xml:space="preserve"> </w:t>
      </w:r>
      <w:r w:rsidR="001E5EF7" w:rsidRPr="00D368FF">
        <w:t xml:space="preserve">gali būti </w:t>
      </w:r>
      <w:r w:rsidR="00E22CA6" w:rsidRPr="00D368FF">
        <w:t xml:space="preserve">suprantamas </w:t>
      </w:r>
      <w:r w:rsidR="005D37B1" w:rsidRPr="00D368FF">
        <w:t xml:space="preserve">kaip </w:t>
      </w:r>
      <w:r w:rsidR="00FD680E" w:rsidRPr="00D368FF">
        <w:t>„</w:t>
      </w:r>
      <w:r w:rsidR="005D37B1" w:rsidRPr="00D368FF">
        <w:rPr>
          <w:i/>
        </w:rPr>
        <w:t>sisteminis procesas</w:t>
      </w:r>
      <w:r w:rsidR="005D37B1" w:rsidRPr="00D368FF">
        <w:t>,</w:t>
      </w:r>
      <w:r w:rsidRPr="00D368FF">
        <w:t xml:space="preserve"> </w:t>
      </w:r>
      <w:r w:rsidRPr="00D368FF">
        <w:rPr>
          <w:i/>
        </w:rPr>
        <w:t>kurio metu nustatoma vertinamo objekto</w:t>
      </w:r>
      <w:r w:rsidRPr="00D368FF">
        <w:t xml:space="preserve"> vertė, svarba, svoris, </w:t>
      </w:r>
      <w:r w:rsidRPr="00D368FF">
        <w:rPr>
          <w:i/>
        </w:rPr>
        <w:t>reikšmė</w:t>
      </w:r>
      <w:r w:rsidRPr="00D368FF">
        <w:t xml:space="preserve"> ar k</w:t>
      </w:r>
      <w:r w:rsidR="004B1BEB" w:rsidRPr="00D368FF">
        <w:t>iti</w:t>
      </w:r>
      <w:r w:rsidRPr="00D368FF">
        <w:t xml:space="preserve"> parametrai</w:t>
      </w:r>
      <w:r w:rsidR="00E839EC" w:rsidRPr="00D368FF">
        <w:t xml:space="preserve">, </w:t>
      </w:r>
      <w:r w:rsidR="00E839EC" w:rsidRPr="00D368FF">
        <w:rPr>
          <w:i/>
        </w:rPr>
        <w:t xml:space="preserve">lyginant su </w:t>
      </w:r>
      <w:r w:rsidR="00FE7303" w:rsidRPr="00D368FF">
        <w:t xml:space="preserve">pasirinktu </w:t>
      </w:r>
      <w:r w:rsidR="00FD680E" w:rsidRPr="00D368FF">
        <w:rPr>
          <w:i/>
        </w:rPr>
        <w:t xml:space="preserve">standartu </w:t>
      </w:r>
      <w:r w:rsidR="00FD680E" w:rsidRPr="00D368FF">
        <w:t xml:space="preserve">(...) </w:t>
      </w:r>
      <w:r w:rsidR="00E839EC" w:rsidRPr="00D368FF">
        <w:rPr>
          <w:i/>
        </w:rPr>
        <w:t>ir taika</w:t>
      </w:r>
      <w:r w:rsidR="00D20FE8" w:rsidRPr="00D368FF">
        <w:rPr>
          <w:i/>
        </w:rPr>
        <w:t>nt</w:t>
      </w:r>
      <w:r w:rsidR="00E839EC" w:rsidRPr="00D368FF">
        <w:rPr>
          <w:i/>
        </w:rPr>
        <w:t xml:space="preserve"> </w:t>
      </w:r>
      <w:r w:rsidR="00CD5E1F" w:rsidRPr="00D368FF">
        <w:rPr>
          <w:i/>
        </w:rPr>
        <w:t>apibrėž</w:t>
      </w:r>
      <w:r w:rsidR="00E839EC" w:rsidRPr="00D368FF">
        <w:rPr>
          <w:i/>
        </w:rPr>
        <w:t>tus</w:t>
      </w:r>
      <w:r w:rsidR="004C2974" w:rsidRPr="00D368FF">
        <w:t xml:space="preserve"> (...)</w:t>
      </w:r>
      <w:r w:rsidR="00E839EC" w:rsidRPr="00D368FF">
        <w:rPr>
          <w:i/>
        </w:rPr>
        <w:t xml:space="preserve"> </w:t>
      </w:r>
      <w:r w:rsidR="009E03B0" w:rsidRPr="00D368FF">
        <w:rPr>
          <w:i/>
        </w:rPr>
        <w:t>kriterij</w:t>
      </w:r>
      <w:r w:rsidR="004C2974" w:rsidRPr="00D368FF">
        <w:rPr>
          <w:i/>
        </w:rPr>
        <w:t>us i</w:t>
      </w:r>
      <w:r w:rsidR="00106E52" w:rsidRPr="00D368FF">
        <w:rPr>
          <w:i/>
        </w:rPr>
        <w:t>r</w:t>
      </w:r>
      <w:r w:rsidR="00E839EC" w:rsidRPr="00D368FF">
        <w:rPr>
          <w:i/>
        </w:rPr>
        <w:t xml:space="preserve"> metodiką</w:t>
      </w:r>
      <w:r w:rsidR="000877AA" w:rsidRPr="00D368FF">
        <w:t>“</w:t>
      </w:r>
      <w:r w:rsidRPr="00D368FF">
        <w:t xml:space="preserve"> </w:t>
      </w:r>
      <w:r w:rsidR="00E839EC" w:rsidRPr="00D368FF">
        <w:t>(</w:t>
      </w:r>
      <w:r w:rsidRPr="00D368FF">
        <w:t>Navick</w:t>
      </w:r>
      <w:r w:rsidR="00E839EC" w:rsidRPr="00D368FF">
        <w:t>as</w:t>
      </w:r>
      <w:r w:rsidR="00552842" w:rsidRPr="00D368FF">
        <w:t>,</w:t>
      </w:r>
      <w:r w:rsidRPr="00D368FF">
        <w:t xml:space="preserve"> </w:t>
      </w:r>
      <w:proofErr w:type="spellStart"/>
      <w:r w:rsidR="00552842" w:rsidRPr="00D368FF">
        <w:t>Malakauskaitė</w:t>
      </w:r>
      <w:proofErr w:type="spellEnd"/>
      <w:r w:rsidR="00552842" w:rsidRPr="00D368FF">
        <w:t xml:space="preserve"> </w:t>
      </w:r>
      <w:r w:rsidRPr="00D368FF">
        <w:t>2010</w:t>
      </w:r>
      <w:r w:rsidR="004C2974" w:rsidRPr="00D368FF">
        <w:t>, p. 6</w:t>
      </w:r>
      <w:r w:rsidRPr="00D368FF">
        <w:t>)</w:t>
      </w:r>
      <w:r w:rsidR="00E839EC" w:rsidRPr="00D368FF">
        <w:t>.</w:t>
      </w:r>
      <w:r w:rsidR="00AB0FA9" w:rsidRPr="00D368FF">
        <w:t xml:space="preserve"> </w:t>
      </w:r>
      <w:r w:rsidR="00F84514" w:rsidRPr="00D368FF">
        <w:t>Iš to, kas</w:t>
      </w:r>
      <w:r w:rsidR="00106E52" w:rsidRPr="00D368FF">
        <w:t xml:space="preserve"> aptarta</w:t>
      </w:r>
      <w:r w:rsidR="00F84514" w:rsidRPr="00D368FF">
        <w:t xml:space="preserve">, </w:t>
      </w:r>
      <w:r w:rsidR="00106E52" w:rsidRPr="00D368FF">
        <w:t xml:space="preserve">nėra </w:t>
      </w:r>
      <w:r w:rsidR="00F84514" w:rsidRPr="00D368FF">
        <w:t xml:space="preserve">sunku suvokti, </w:t>
      </w:r>
      <w:r w:rsidR="00C954DC" w:rsidRPr="00D368FF">
        <w:t>jog vertinimo</w:t>
      </w:r>
      <w:r w:rsidR="005A269F" w:rsidRPr="00D368FF">
        <w:t xml:space="preserve"> negali</w:t>
      </w:r>
      <w:r w:rsidR="00C954DC" w:rsidRPr="00D368FF">
        <w:t>ma</w:t>
      </w:r>
      <w:r w:rsidR="005A269F" w:rsidRPr="00D368FF">
        <w:t xml:space="preserve"> </w:t>
      </w:r>
      <w:r w:rsidR="00C954DC" w:rsidRPr="00D368FF">
        <w:t xml:space="preserve">grįsti </w:t>
      </w:r>
      <w:r w:rsidR="007415AA" w:rsidRPr="00D368FF">
        <w:t xml:space="preserve">subjektyvia </w:t>
      </w:r>
      <w:r w:rsidR="002579B4" w:rsidRPr="00D368FF">
        <w:t xml:space="preserve">nuomone – </w:t>
      </w:r>
      <w:r w:rsidR="002579B4" w:rsidRPr="00D368FF">
        <w:rPr>
          <w:i/>
        </w:rPr>
        <w:t>jis</w:t>
      </w:r>
      <w:r w:rsidR="005A269F" w:rsidRPr="00D368FF">
        <w:rPr>
          <w:i/>
        </w:rPr>
        <w:t xml:space="preserve"> </w:t>
      </w:r>
      <w:r w:rsidR="00352334" w:rsidRPr="00D368FF">
        <w:rPr>
          <w:i/>
        </w:rPr>
        <w:t>turi būti atliktas, paisant tam</w:t>
      </w:r>
      <w:r w:rsidR="00E03D44" w:rsidRPr="00D368FF">
        <w:rPr>
          <w:i/>
        </w:rPr>
        <w:t xml:space="preserve"> tikrų taisyklių ir nuoseklumo</w:t>
      </w:r>
      <w:r w:rsidR="00461555" w:rsidRPr="00D368FF">
        <w:t xml:space="preserve">, </w:t>
      </w:r>
      <w:r w:rsidR="00F84514" w:rsidRPr="00D368FF">
        <w:t xml:space="preserve">– </w:t>
      </w:r>
      <w:r w:rsidR="00461555" w:rsidRPr="00D368FF">
        <w:t>o tai reiškia, jog vertinimas, kurio paskirtis</w:t>
      </w:r>
      <w:r w:rsidR="00823F78" w:rsidRPr="00D368FF">
        <w:t>,</w:t>
      </w:r>
      <w:r w:rsidR="00F84514" w:rsidRPr="00D368FF">
        <w:t xml:space="preserve"> iš pirmo žvilgsnio</w:t>
      </w:r>
      <w:r w:rsidR="00823F78" w:rsidRPr="00D368FF">
        <w:t>,</w:t>
      </w:r>
      <w:r w:rsidR="00F84514" w:rsidRPr="00D368FF">
        <w:t xml:space="preserve"> atrodo</w:t>
      </w:r>
      <w:r w:rsidR="0088494A" w:rsidRPr="00D368FF">
        <w:t xml:space="preserve"> paprasta</w:t>
      </w:r>
      <w:r w:rsidR="00461555" w:rsidRPr="00D368FF">
        <w:t xml:space="preserve">, t. y. </w:t>
      </w:r>
      <w:r w:rsidR="002579B4" w:rsidRPr="00D368FF">
        <w:t>nustatyti vertinamo objekto poziciją panašaus</w:t>
      </w:r>
      <w:r w:rsidR="009D0F92" w:rsidRPr="00D368FF">
        <w:t xml:space="preserve"> į jį</w:t>
      </w:r>
      <w:r w:rsidR="002579B4" w:rsidRPr="00D368FF">
        <w:t xml:space="preserve"> objekto </w:t>
      </w:r>
      <w:r w:rsidR="009D0F92" w:rsidRPr="00D368FF">
        <w:t>atžvilgiu, iš</w:t>
      </w:r>
      <w:r w:rsidR="00AF01DB" w:rsidRPr="00D368FF">
        <w:t xml:space="preserve"> </w:t>
      </w:r>
      <w:r w:rsidR="009D0F92" w:rsidRPr="00D368FF">
        <w:t>tie</w:t>
      </w:r>
      <w:r w:rsidR="00841B65" w:rsidRPr="00D368FF">
        <w:t>s</w:t>
      </w:r>
      <w:r w:rsidR="00AF01DB" w:rsidRPr="00D368FF">
        <w:t>ų</w:t>
      </w:r>
      <w:r w:rsidR="009D0F92" w:rsidRPr="00D368FF">
        <w:t xml:space="preserve"> yra sudėtingas procesas</w:t>
      </w:r>
      <w:r w:rsidR="005B30A6" w:rsidRPr="00D368FF">
        <w:t>.</w:t>
      </w:r>
    </w:p>
    <w:p w:rsidR="00841B65" w:rsidRDefault="00864675" w:rsidP="00EC67E1">
      <w:r>
        <w:t>Sudėtingumas</w:t>
      </w:r>
      <w:r w:rsidR="00793DF2">
        <w:t>,</w:t>
      </w:r>
      <w:r>
        <w:t xml:space="preserve"> </w:t>
      </w:r>
      <w:r w:rsidR="001438C9">
        <w:t>pirmiausia</w:t>
      </w:r>
      <w:r w:rsidR="00793DF2">
        <w:t>,</w:t>
      </w:r>
      <w:r w:rsidR="001438C9">
        <w:t xml:space="preserve"> </w:t>
      </w:r>
      <w:r>
        <w:t>gali būti grindžiamas</w:t>
      </w:r>
      <w:r w:rsidR="007046C5">
        <w:t xml:space="preserve"> </w:t>
      </w:r>
      <w:r>
        <w:t xml:space="preserve">tuo, jog </w:t>
      </w:r>
      <w:r w:rsidR="001E2B03">
        <w:t xml:space="preserve">neretai </w:t>
      </w:r>
      <w:r w:rsidR="00C419E9">
        <w:t xml:space="preserve">yra </w:t>
      </w:r>
      <w:r w:rsidR="002D4A57" w:rsidRPr="00FB25BF">
        <w:rPr>
          <w:i/>
        </w:rPr>
        <w:t>sunku</w:t>
      </w:r>
      <w:r w:rsidR="00C419E9" w:rsidRPr="00FB25BF">
        <w:rPr>
          <w:i/>
        </w:rPr>
        <w:t xml:space="preserve"> </w:t>
      </w:r>
      <w:r w:rsidR="002D2C41">
        <w:rPr>
          <w:i/>
        </w:rPr>
        <w:t xml:space="preserve">parinkti </w:t>
      </w:r>
      <w:r w:rsidR="00C419E9" w:rsidRPr="00FB25BF">
        <w:rPr>
          <w:i/>
        </w:rPr>
        <w:t>etaloną</w:t>
      </w:r>
      <w:r w:rsidR="001E2B03">
        <w:t>, nes</w:t>
      </w:r>
      <w:r w:rsidR="001147BC">
        <w:t xml:space="preserve"> jis</w:t>
      </w:r>
      <w:r w:rsidR="004F2548">
        <w:t>, siekiant nepažeisti palyginamum</w:t>
      </w:r>
      <w:r w:rsidR="00E17185">
        <w:t>o</w:t>
      </w:r>
      <w:r w:rsidR="002D4A57">
        <w:t xml:space="preserve"> principo</w:t>
      </w:r>
      <w:r w:rsidR="004F2548">
        <w:t>,</w:t>
      </w:r>
      <w:r w:rsidR="001147BC">
        <w:t xml:space="preserve"> turi pasižymėti tomis pačiomis savybėmis kaip ir vertinama</w:t>
      </w:r>
      <w:r w:rsidR="00906EF2">
        <w:t>s</w:t>
      </w:r>
      <w:r w:rsidR="001147BC">
        <w:t xml:space="preserve"> objektas.</w:t>
      </w:r>
      <w:r w:rsidR="00906EF2">
        <w:t xml:space="preserve"> </w:t>
      </w:r>
      <w:r w:rsidR="00A068BC">
        <w:t xml:space="preserve">Be </w:t>
      </w:r>
      <w:r w:rsidR="00CC3304">
        <w:t xml:space="preserve">to, palyginamojo objekto </w:t>
      </w:r>
      <w:r w:rsidR="00D25453">
        <w:t>svoris</w:t>
      </w:r>
      <w:r w:rsidR="0047646A">
        <w:t xml:space="preserve"> </w:t>
      </w:r>
      <w:r w:rsidR="00B863FF">
        <w:t>turi</w:t>
      </w:r>
      <w:r w:rsidR="00A068BC">
        <w:t xml:space="preserve"> būti </w:t>
      </w:r>
      <w:r w:rsidR="00D25453">
        <w:t xml:space="preserve">(pageidautina) </w:t>
      </w:r>
      <w:r w:rsidR="00A068BC">
        <w:t>geresni</w:t>
      </w:r>
      <w:r w:rsidR="00D25453">
        <w:t>s</w:t>
      </w:r>
      <w:r w:rsidR="00A068BC">
        <w:t xml:space="preserve"> nei </w:t>
      </w:r>
      <w:r w:rsidR="00EB7E2B">
        <w:t xml:space="preserve">vertinamo objekto, nes </w:t>
      </w:r>
      <w:r w:rsidR="0086424D">
        <w:t xml:space="preserve">etalonas </w:t>
      </w:r>
      <w:r w:rsidR="00084557">
        <w:t xml:space="preserve">paprastai </w:t>
      </w:r>
      <w:r w:rsidR="0047646A">
        <w:t xml:space="preserve">yra </w:t>
      </w:r>
      <w:r w:rsidR="0086424D">
        <w:t xml:space="preserve">siejamas su pavyzdžiu, </w:t>
      </w:r>
      <w:r w:rsidR="001539F5">
        <w:t>į kurį reik</w:t>
      </w:r>
      <w:r w:rsidR="0047646A">
        <w:t>ėtų</w:t>
      </w:r>
      <w:r w:rsidR="001539F5">
        <w:t xml:space="preserve"> lygiuotis</w:t>
      </w:r>
      <w:r w:rsidR="0086424D">
        <w:t>.</w:t>
      </w:r>
      <w:r w:rsidR="00084557">
        <w:t xml:space="preserve"> </w:t>
      </w:r>
      <w:r w:rsidR="0091291A">
        <w:t>Kita priežastis, kodėl vertinimas yr</w:t>
      </w:r>
      <w:r w:rsidR="002D2C41">
        <w:t>a sudėtingas, gali</w:t>
      </w:r>
      <w:r w:rsidR="0091291A">
        <w:t xml:space="preserve"> būti ta, jog </w:t>
      </w:r>
      <w:r w:rsidR="00625DF2" w:rsidRPr="00646264">
        <w:rPr>
          <w:i/>
        </w:rPr>
        <w:t>informacij</w:t>
      </w:r>
      <w:r w:rsidR="0013195A">
        <w:rPr>
          <w:i/>
        </w:rPr>
        <w:t>ą</w:t>
      </w:r>
      <w:r w:rsidR="00625DF2" w:rsidRPr="00646264">
        <w:rPr>
          <w:i/>
        </w:rPr>
        <w:t xml:space="preserve"> </w:t>
      </w:r>
      <w:r w:rsidR="001F6BCE">
        <w:rPr>
          <w:i/>
        </w:rPr>
        <w:t xml:space="preserve">vertinimui </w:t>
      </w:r>
      <w:r w:rsidR="002D2C41">
        <w:rPr>
          <w:i/>
        </w:rPr>
        <w:t xml:space="preserve">būtina </w:t>
      </w:r>
      <w:r w:rsidR="0013195A">
        <w:rPr>
          <w:i/>
        </w:rPr>
        <w:t xml:space="preserve">rinkti </w:t>
      </w:r>
      <w:r w:rsidR="00625DF2" w:rsidRPr="00646264">
        <w:rPr>
          <w:i/>
        </w:rPr>
        <w:t xml:space="preserve">apie </w:t>
      </w:r>
      <w:r w:rsidR="001B4D62">
        <w:rPr>
          <w:i/>
        </w:rPr>
        <w:t xml:space="preserve">abu </w:t>
      </w:r>
      <w:r w:rsidR="00376CAD" w:rsidRPr="00646264">
        <w:rPr>
          <w:i/>
        </w:rPr>
        <w:t>objektus</w:t>
      </w:r>
      <w:r w:rsidR="001B4D62">
        <w:rPr>
          <w:i/>
        </w:rPr>
        <w:t>, kuri</w:t>
      </w:r>
      <w:r w:rsidR="002D2C41">
        <w:rPr>
          <w:i/>
        </w:rPr>
        <w:t>,</w:t>
      </w:r>
      <w:r w:rsidR="00376CAD" w:rsidRPr="00646264">
        <w:rPr>
          <w:i/>
        </w:rPr>
        <w:t xml:space="preserve"> </w:t>
      </w:r>
      <w:r w:rsidR="008F29B3">
        <w:rPr>
          <w:i/>
        </w:rPr>
        <w:t>dažni</w:t>
      </w:r>
      <w:r w:rsidR="001B4D62">
        <w:rPr>
          <w:i/>
        </w:rPr>
        <w:t>ausiai</w:t>
      </w:r>
      <w:r w:rsidR="002D2C41">
        <w:rPr>
          <w:i/>
        </w:rPr>
        <w:t>,</w:t>
      </w:r>
      <w:r w:rsidR="008F29B3">
        <w:rPr>
          <w:i/>
        </w:rPr>
        <w:t xml:space="preserve"> nėra </w:t>
      </w:r>
      <w:r w:rsidR="00625DF2" w:rsidRPr="00646264">
        <w:rPr>
          <w:i/>
        </w:rPr>
        <w:t>vienodai patikima ir prieinama</w:t>
      </w:r>
      <w:r w:rsidR="00C546AB">
        <w:rPr>
          <w:i/>
        </w:rPr>
        <w:t xml:space="preserve"> tam pačiam informacijos vartotojui</w:t>
      </w:r>
      <w:r w:rsidR="005474DB">
        <w:t>. T</w:t>
      </w:r>
      <w:r w:rsidR="00CA7D03">
        <w:t>ai</w:t>
      </w:r>
      <w:r w:rsidR="00CA1885">
        <w:t xml:space="preserve"> </w:t>
      </w:r>
      <w:r w:rsidR="005474DB">
        <w:t xml:space="preserve">reiškia, </w:t>
      </w:r>
      <w:r w:rsidR="001D4586">
        <w:t xml:space="preserve">jog </w:t>
      </w:r>
      <w:r w:rsidR="006C17A5">
        <w:t xml:space="preserve">informacijos rinkimo ir apdorojimo </w:t>
      </w:r>
      <w:r w:rsidR="00620DA9">
        <w:t xml:space="preserve">procese galima </w:t>
      </w:r>
      <w:r w:rsidR="00E51F65">
        <w:t>susidur</w:t>
      </w:r>
      <w:r w:rsidR="00620DA9">
        <w:t>ti</w:t>
      </w:r>
      <w:r w:rsidR="00E51F65">
        <w:t xml:space="preserve"> su</w:t>
      </w:r>
      <w:r w:rsidR="00A56BE2">
        <w:t xml:space="preserve"> apribojimais</w:t>
      </w:r>
      <w:r w:rsidR="006C17A5">
        <w:t>, kuri</w:t>
      </w:r>
      <w:r w:rsidR="00A56BE2">
        <w:t>e</w:t>
      </w:r>
      <w:r w:rsidR="006C17A5">
        <w:t xml:space="preserve"> gali paveikti vertinimo rezultatus</w:t>
      </w:r>
      <w:r w:rsidR="007E7066">
        <w:t>.</w:t>
      </w:r>
      <w:r w:rsidR="00B435EB">
        <w:t xml:space="preserve"> </w:t>
      </w:r>
      <w:r w:rsidR="00A0379F">
        <w:t>Taip pat</w:t>
      </w:r>
      <w:r w:rsidR="00814BB2">
        <w:t xml:space="preserve"> reikėtų</w:t>
      </w:r>
      <w:r w:rsidR="00B12282">
        <w:t xml:space="preserve"> pasakyti</w:t>
      </w:r>
      <w:r w:rsidR="00814BB2">
        <w:t xml:space="preserve">, jog, netgi </w:t>
      </w:r>
      <w:r w:rsidR="00814BB2" w:rsidRPr="00A0379F">
        <w:rPr>
          <w:i/>
        </w:rPr>
        <w:t>vertinant tą patį objektą,</w:t>
      </w:r>
      <w:r w:rsidR="009C5EDE" w:rsidRPr="00A0379F">
        <w:rPr>
          <w:i/>
        </w:rPr>
        <w:t xml:space="preserve"> </w:t>
      </w:r>
      <w:r w:rsidR="001B698B" w:rsidRPr="00A0379F">
        <w:rPr>
          <w:i/>
        </w:rPr>
        <w:t>galima</w:t>
      </w:r>
      <w:r w:rsidR="00185552" w:rsidRPr="001E2D8E">
        <w:rPr>
          <w:i/>
        </w:rPr>
        <w:t xml:space="preserve"> gauti </w:t>
      </w:r>
      <w:r w:rsidR="00C80DDB">
        <w:rPr>
          <w:i/>
        </w:rPr>
        <w:t xml:space="preserve">visiškai </w:t>
      </w:r>
      <w:r w:rsidR="00185552" w:rsidRPr="001E2D8E">
        <w:rPr>
          <w:i/>
        </w:rPr>
        <w:t>skirting</w:t>
      </w:r>
      <w:r w:rsidR="00B46437">
        <w:rPr>
          <w:i/>
        </w:rPr>
        <w:t>as išvadas</w:t>
      </w:r>
      <w:r w:rsidR="00831F95">
        <w:t xml:space="preserve">, </w:t>
      </w:r>
      <w:r w:rsidR="00CE4F28">
        <w:t>nes</w:t>
      </w:r>
      <w:r w:rsidR="008863D2">
        <w:t xml:space="preserve"> rezultatai priklauso </w:t>
      </w:r>
      <w:r w:rsidR="00826E76">
        <w:t xml:space="preserve">ne tik </w:t>
      </w:r>
      <w:r w:rsidR="008863D2">
        <w:t>nuo</w:t>
      </w:r>
      <w:r w:rsidR="00826E76">
        <w:t xml:space="preserve"> metodikos</w:t>
      </w:r>
      <w:r w:rsidR="00367A07">
        <w:t xml:space="preserve"> aprėpties</w:t>
      </w:r>
      <w:r w:rsidR="00826E76">
        <w:t>, bet ir nuo</w:t>
      </w:r>
      <w:r w:rsidR="008863D2">
        <w:t xml:space="preserve"> to, </w:t>
      </w:r>
      <w:r w:rsidR="00DD2114">
        <w:t xml:space="preserve">kokie </w:t>
      </w:r>
      <w:r w:rsidR="00DD2114" w:rsidRPr="0005603F">
        <w:t>kriterij</w:t>
      </w:r>
      <w:r w:rsidR="006F7845">
        <w:t>ai (</w:t>
      </w:r>
      <w:r w:rsidR="00A65CCB">
        <w:t>n</w:t>
      </w:r>
      <w:r w:rsidR="00DD2114" w:rsidRPr="0005603F">
        <w:t xml:space="preserve">esant jų </w:t>
      </w:r>
      <w:r w:rsidR="00BB7ACE">
        <w:t>apibrėžtumo</w:t>
      </w:r>
      <w:r w:rsidR="006F7845">
        <w:t>)</w:t>
      </w:r>
      <w:r w:rsidR="00553E95">
        <w:t xml:space="preserve"> vertin</w:t>
      </w:r>
      <w:r w:rsidR="00A65CCB">
        <w:t>am</w:t>
      </w:r>
      <w:r w:rsidR="00F60052">
        <w:t>i</w:t>
      </w:r>
      <w:r w:rsidR="00D12870">
        <w:t>.</w:t>
      </w:r>
    </w:p>
    <w:p w:rsidR="00C0133D" w:rsidRDefault="003C2CE8" w:rsidP="00EC67E1">
      <w:r w:rsidRPr="0005603F">
        <w:t>Kalbant apie konkret</w:t>
      </w:r>
      <w:r w:rsidR="00E80759" w:rsidRPr="0005603F">
        <w:t>aus</w:t>
      </w:r>
      <w:r w:rsidRPr="0005603F">
        <w:t xml:space="preserve"> objekt</w:t>
      </w:r>
      <w:r w:rsidR="00E80759" w:rsidRPr="0005603F">
        <w:t>o</w:t>
      </w:r>
      <w:r w:rsidRPr="0005603F">
        <w:t xml:space="preserve">, t. y. </w:t>
      </w:r>
      <w:r w:rsidR="00F74AB1">
        <w:rPr>
          <w:b/>
          <w:i/>
        </w:rPr>
        <w:t xml:space="preserve">gyventojų </w:t>
      </w:r>
      <w:r w:rsidR="00DE0A23" w:rsidRPr="00F74AB1">
        <w:rPr>
          <w:b/>
          <w:i/>
        </w:rPr>
        <w:t>finansin</w:t>
      </w:r>
      <w:r w:rsidR="00E80759" w:rsidRPr="00F74AB1">
        <w:rPr>
          <w:b/>
          <w:i/>
        </w:rPr>
        <w:t>ės</w:t>
      </w:r>
      <w:r w:rsidR="00DE0A23" w:rsidRPr="00F74AB1">
        <w:rPr>
          <w:b/>
          <w:i/>
        </w:rPr>
        <w:t xml:space="preserve"> </w:t>
      </w:r>
      <w:r w:rsidRPr="00F74AB1">
        <w:rPr>
          <w:b/>
          <w:i/>
        </w:rPr>
        <w:t>elgsen</w:t>
      </w:r>
      <w:r w:rsidR="00E80759" w:rsidRPr="00F74AB1">
        <w:rPr>
          <w:b/>
          <w:i/>
        </w:rPr>
        <w:t>os</w:t>
      </w:r>
      <w:r w:rsidRPr="0005603F">
        <w:t xml:space="preserve">, </w:t>
      </w:r>
      <w:r w:rsidR="00E80759" w:rsidRPr="00F74AB1">
        <w:rPr>
          <w:b/>
          <w:i/>
        </w:rPr>
        <w:t>vertinimą</w:t>
      </w:r>
      <w:r w:rsidR="00E80759" w:rsidRPr="0005603F">
        <w:t xml:space="preserve">, </w:t>
      </w:r>
      <w:r w:rsidR="00F74AB1">
        <w:t>reik</w:t>
      </w:r>
      <w:r w:rsidRPr="0005603F">
        <w:t>tų</w:t>
      </w:r>
      <w:r w:rsidR="000A5437" w:rsidRPr="0005603F">
        <w:t xml:space="preserve"> pastebėti</w:t>
      </w:r>
      <w:r w:rsidRPr="0005603F">
        <w:t>, jog</w:t>
      </w:r>
      <w:r w:rsidR="00E80759" w:rsidRPr="0005603F">
        <w:t xml:space="preserve"> tiek ekonominėje, tiek finansinėje literatūroje </w:t>
      </w:r>
      <w:r w:rsidR="00E80759" w:rsidRPr="0031684B">
        <w:rPr>
          <w:i/>
        </w:rPr>
        <w:t>pasigendama</w:t>
      </w:r>
      <w:r w:rsidR="00001FD8" w:rsidRPr="0031684B">
        <w:rPr>
          <w:i/>
        </w:rPr>
        <w:t xml:space="preserve"> </w:t>
      </w:r>
      <w:proofErr w:type="spellStart"/>
      <w:r w:rsidR="00001FD8" w:rsidRPr="0031684B">
        <w:rPr>
          <w:i/>
        </w:rPr>
        <w:t>metodologiškai</w:t>
      </w:r>
      <w:proofErr w:type="spellEnd"/>
      <w:r w:rsidR="00001FD8" w:rsidRPr="0031684B">
        <w:rPr>
          <w:i/>
        </w:rPr>
        <w:t xml:space="preserve"> pagrįstų modelių</w:t>
      </w:r>
      <w:r w:rsidR="00001FD8" w:rsidRPr="0005603F">
        <w:t xml:space="preserve">, kuriais būtų </w:t>
      </w:r>
      <w:r w:rsidR="008162FF" w:rsidRPr="0005603F">
        <w:t>galima</w:t>
      </w:r>
      <w:r w:rsidR="00E04D62">
        <w:t xml:space="preserve"> remtis,</w:t>
      </w:r>
      <w:r w:rsidR="005C25A9">
        <w:t xml:space="preserve"> siekia</w:t>
      </w:r>
      <w:r w:rsidR="00AB3C82">
        <w:t xml:space="preserve">nt </w:t>
      </w:r>
      <w:r w:rsidR="00E04D62">
        <w:t xml:space="preserve">įvertinti </w:t>
      </w:r>
      <w:r w:rsidR="006F14C2">
        <w:t>individ</w:t>
      </w:r>
      <w:r w:rsidR="00AB3C82">
        <w:t xml:space="preserve">ų </w:t>
      </w:r>
      <w:r w:rsidR="005C25A9">
        <w:t xml:space="preserve">finansinę </w:t>
      </w:r>
      <w:r w:rsidR="00E04D62">
        <w:t>elgseną</w:t>
      </w:r>
      <w:r w:rsidR="00D4482F">
        <w:t xml:space="preserve">. Taip yra dėl to, jog, tyrinėjant elgseną finansų srityje, paprastai yra siekiama ne </w:t>
      </w:r>
      <w:r w:rsidR="00B04B61">
        <w:t xml:space="preserve">nustatyti </w:t>
      </w:r>
      <w:r w:rsidR="00D4482F">
        <w:t>kiekybinę išraišką (vertę,</w:t>
      </w:r>
      <w:r w:rsidR="00B665E7">
        <w:t xml:space="preserve"> svarbą,</w:t>
      </w:r>
      <w:r w:rsidR="00D4482F">
        <w:t xml:space="preserve"> svorį), o išsiaiškinti pokyčius </w:t>
      </w:r>
      <w:r w:rsidR="00C76849">
        <w:t>individ</w:t>
      </w:r>
      <w:r w:rsidR="0046552A">
        <w:t xml:space="preserve">ų </w:t>
      </w:r>
      <w:r w:rsidR="00D4482F" w:rsidRPr="000E14D1">
        <w:t>priim</w:t>
      </w:r>
      <w:r w:rsidR="00B665E7" w:rsidRPr="000E14D1">
        <w:t>am</w:t>
      </w:r>
      <w:r w:rsidR="00D4482F" w:rsidRPr="000E14D1">
        <w:t xml:space="preserve">uose </w:t>
      </w:r>
      <w:r w:rsidR="00E9176C">
        <w:t xml:space="preserve">finansiniuose </w:t>
      </w:r>
      <w:r w:rsidR="00D4482F" w:rsidRPr="000E14D1">
        <w:t xml:space="preserve">sprendimuose, kuriems </w:t>
      </w:r>
      <w:r w:rsidR="00A04CFA" w:rsidRPr="000E14D1">
        <w:t>atskleisti</w:t>
      </w:r>
      <w:r w:rsidR="00C80DDB">
        <w:t xml:space="preserve"> </w:t>
      </w:r>
      <w:r w:rsidR="00484E97" w:rsidRPr="000E14D1">
        <w:t>nereikia</w:t>
      </w:r>
      <w:r w:rsidR="00915467" w:rsidRPr="000E14D1">
        <w:t xml:space="preserve"> </w:t>
      </w:r>
      <w:r w:rsidR="00C76849">
        <w:t xml:space="preserve">jokio </w:t>
      </w:r>
      <w:r w:rsidR="00915467" w:rsidRPr="000E14D1">
        <w:t>matematinio aparato.</w:t>
      </w:r>
      <w:r w:rsidR="00A5738C" w:rsidRPr="000E14D1">
        <w:t xml:space="preserve"> </w:t>
      </w:r>
      <w:r w:rsidR="00C31035" w:rsidRPr="00C8680B">
        <w:t xml:space="preserve">Be to, </w:t>
      </w:r>
      <w:r w:rsidR="00C31035" w:rsidRPr="001F2521">
        <w:t>dažniausiai</w:t>
      </w:r>
      <w:r w:rsidR="00A53E94">
        <w:t xml:space="preserve"> </w:t>
      </w:r>
      <w:r w:rsidR="0017418A">
        <w:t>yra</w:t>
      </w:r>
      <w:r w:rsidR="007A34D5">
        <w:t xml:space="preserve"> žiūrima</w:t>
      </w:r>
      <w:r w:rsidR="00894DED" w:rsidRPr="0076275B">
        <w:t>,</w:t>
      </w:r>
      <w:r w:rsidR="00894DED" w:rsidRPr="001F2521">
        <w:t xml:space="preserve"> </w:t>
      </w:r>
      <w:r w:rsidR="00E914F2" w:rsidRPr="001F2521">
        <w:t>k</w:t>
      </w:r>
      <w:r w:rsidR="000A6901">
        <w:t>ok</w:t>
      </w:r>
      <w:r w:rsidR="00E914F2" w:rsidRPr="001F2521">
        <w:t>ie</w:t>
      </w:r>
      <w:r w:rsidR="00E914F2" w:rsidRPr="00C8680B">
        <w:t xml:space="preserve"> veiksniai </w:t>
      </w:r>
      <w:r w:rsidR="00E01EFB" w:rsidRPr="0039001E">
        <w:rPr>
          <w:i/>
        </w:rPr>
        <w:t>tam tikru</w:t>
      </w:r>
      <w:r w:rsidR="00353A83" w:rsidRPr="0039001E">
        <w:rPr>
          <w:i/>
        </w:rPr>
        <w:t xml:space="preserve"> klausimu</w:t>
      </w:r>
      <w:r w:rsidR="00222445">
        <w:t xml:space="preserve"> </w:t>
      </w:r>
      <w:r w:rsidR="00E914F2" w:rsidRPr="00C8680B">
        <w:t xml:space="preserve">daro </w:t>
      </w:r>
      <w:r w:rsidR="00810206" w:rsidRPr="00C8680B">
        <w:t xml:space="preserve">įtaką </w:t>
      </w:r>
      <w:r w:rsidR="00894DED" w:rsidRPr="003A3173">
        <w:rPr>
          <w:i/>
        </w:rPr>
        <w:t>didesnei</w:t>
      </w:r>
      <w:r w:rsidR="00564251" w:rsidRPr="00C8680B">
        <w:t xml:space="preserve"> </w:t>
      </w:r>
      <w:r w:rsidR="004027AF">
        <w:t>asmen</w:t>
      </w:r>
      <w:r w:rsidR="00564251" w:rsidRPr="00C8680B">
        <w:t>ų grupei</w:t>
      </w:r>
      <w:r w:rsidR="00B91405" w:rsidRPr="00C8680B">
        <w:t xml:space="preserve">, </w:t>
      </w:r>
      <w:r w:rsidR="00A53E94">
        <w:t>kas</w:t>
      </w:r>
      <w:r w:rsidR="00922A24">
        <w:t xml:space="preserve"> reiškia</w:t>
      </w:r>
      <w:r w:rsidR="00B91405" w:rsidRPr="00C8680B">
        <w:t xml:space="preserve">, </w:t>
      </w:r>
      <w:r w:rsidR="00922A24">
        <w:t xml:space="preserve">jog </w:t>
      </w:r>
      <w:r w:rsidR="00C52CF7" w:rsidRPr="0008650A">
        <w:rPr>
          <w:i/>
        </w:rPr>
        <w:t>norim</w:t>
      </w:r>
      <w:r w:rsidR="00A01E57" w:rsidRPr="0008650A">
        <w:rPr>
          <w:i/>
        </w:rPr>
        <w:t xml:space="preserve">a </w:t>
      </w:r>
      <w:r w:rsidR="001B4D60" w:rsidRPr="0008650A">
        <w:rPr>
          <w:i/>
        </w:rPr>
        <w:t xml:space="preserve">ne </w:t>
      </w:r>
      <w:r w:rsidR="00A01E57" w:rsidRPr="0008650A">
        <w:rPr>
          <w:i/>
        </w:rPr>
        <w:t xml:space="preserve">matyti reiškinį </w:t>
      </w:r>
      <w:r w:rsidR="00851043" w:rsidRPr="0008650A">
        <w:rPr>
          <w:i/>
        </w:rPr>
        <w:t xml:space="preserve">kaip visumą, </w:t>
      </w:r>
      <w:r w:rsidR="00A53E94" w:rsidRPr="0008650A">
        <w:rPr>
          <w:i/>
        </w:rPr>
        <w:t>o</w:t>
      </w:r>
      <w:r w:rsidR="00851043" w:rsidRPr="0008650A">
        <w:rPr>
          <w:i/>
        </w:rPr>
        <w:t xml:space="preserve"> </w:t>
      </w:r>
      <w:r w:rsidR="004674DC" w:rsidRPr="0008650A">
        <w:rPr>
          <w:i/>
        </w:rPr>
        <w:t xml:space="preserve">įžvelgti </w:t>
      </w:r>
      <w:r w:rsidR="00851043" w:rsidRPr="0008650A">
        <w:rPr>
          <w:i/>
        </w:rPr>
        <w:t>pagrindines tendencijas</w:t>
      </w:r>
      <w:r w:rsidR="0076275B" w:rsidRPr="0008650A">
        <w:rPr>
          <w:i/>
        </w:rPr>
        <w:t xml:space="preserve"> atskirose jos dalyse</w:t>
      </w:r>
      <w:r w:rsidR="00FE26A6" w:rsidRPr="00C8680B">
        <w:t>.</w:t>
      </w:r>
    </w:p>
    <w:p w:rsidR="00D4482F" w:rsidRPr="00AB6117" w:rsidRDefault="00415512" w:rsidP="00EC67E1">
      <w:r w:rsidRPr="000E14D1">
        <w:t>M</w:t>
      </w:r>
      <w:r w:rsidR="00C53D29">
        <w:t xml:space="preserve">ūsų </w:t>
      </w:r>
      <w:r w:rsidR="00971200">
        <w:t>many</w:t>
      </w:r>
      <w:r w:rsidR="00C53D29">
        <w:t>mu,</w:t>
      </w:r>
      <w:r w:rsidR="00A5738C" w:rsidRPr="000E14D1">
        <w:t xml:space="preserve"> </w:t>
      </w:r>
      <w:r w:rsidR="007A331F" w:rsidRPr="000E14D1">
        <w:t>toks</w:t>
      </w:r>
      <w:r w:rsidR="004B360B">
        <w:t xml:space="preserve">, </w:t>
      </w:r>
      <w:r w:rsidR="003A3173" w:rsidRPr="000E64C8">
        <w:rPr>
          <w:i/>
        </w:rPr>
        <w:t>supaprastintas</w:t>
      </w:r>
      <w:r w:rsidR="003A3173">
        <w:t xml:space="preserve">, </w:t>
      </w:r>
      <w:r w:rsidR="003B4396">
        <w:t xml:space="preserve">požiūris į </w:t>
      </w:r>
      <w:r w:rsidR="00C80493">
        <w:t>individ</w:t>
      </w:r>
      <w:r w:rsidR="00C53D29">
        <w:t xml:space="preserve">ų </w:t>
      </w:r>
      <w:r w:rsidR="00886FF2">
        <w:t xml:space="preserve">finansinės </w:t>
      </w:r>
      <w:r w:rsidR="003B4396">
        <w:t>elgsenos vertinimą</w:t>
      </w:r>
      <w:r w:rsidR="0099297F" w:rsidRPr="000E14D1">
        <w:t xml:space="preserve"> </w:t>
      </w:r>
      <w:r w:rsidR="004B360B">
        <w:t xml:space="preserve">tampa </w:t>
      </w:r>
      <w:r w:rsidR="00C53D29">
        <w:t xml:space="preserve">visiškai </w:t>
      </w:r>
      <w:r w:rsidRPr="000E14D1">
        <w:t>neadekvatus vertinimui keliam</w:t>
      </w:r>
      <w:r w:rsidR="0059209F" w:rsidRPr="000E14D1">
        <w:t>iem</w:t>
      </w:r>
      <w:r w:rsidRPr="000E14D1">
        <w:t xml:space="preserve">s </w:t>
      </w:r>
      <w:r w:rsidR="0059209F" w:rsidRPr="000E14D1">
        <w:t xml:space="preserve">reikalavimams, todėl </w:t>
      </w:r>
      <w:r w:rsidR="001B1726" w:rsidRPr="000E14D1">
        <w:t xml:space="preserve">atsiranda poreikis </w:t>
      </w:r>
      <w:r w:rsidR="000E64C8">
        <w:t xml:space="preserve">parinkti </w:t>
      </w:r>
      <w:r w:rsidR="008F0F98">
        <w:t>ar</w:t>
      </w:r>
      <w:r w:rsidR="000E64C8">
        <w:t>ba</w:t>
      </w:r>
      <w:r w:rsidR="008F0F98">
        <w:t xml:space="preserve"> </w:t>
      </w:r>
      <w:r w:rsidR="00C80493">
        <w:t>suformuoti</w:t>
      </w:r>
      <w:r w:rsidR="00F0048E">
        <w:t xml:space="preserve"> tok</w:t>
      </w:r>
      <w:r w:rsidR="008F0F98">
        <w:t>į</w:t>
      </w:r>
      <w:r w:rsidR="00F0048E">
        <w:t xml:space="preserve"> </w:t>
      </w:r>
      <w:r w:rsidR="00B168DC" w:rsidRPr="000E14D1">
        <w:t xml:space="preserve">finansinės elgsenos </w:t>
      </w:r>
      <w:r w:rsidR="00C16D19">
        <w:t>į</w:t>
      </w:r>
      <w:r w:rsidR="008219E9" w:rsidRPr="000E14D1">
        <w:t xml:space="preserve">vertinimo </w:t>
      </w:r>
      <w:r w:rsidR="00B168DC" w:rsidRPr="000E14D1">
        <w:t>modelį, kur</w:t>
      </w:r>
      <w:r w:rsidR="003C08CD" w:rsidRPr="000E14D1">
        <w:t>iuo</w:t>
      </w:r>
      <w:r w:rsidR="00B168DC" w:rsidRPr="000E14D1">
        <w:t xml:space="preserve"> būtų galima</w:t>
      </w:r>
      <w:r w:rsidR="000E64C8">
        <w:t>:</w:t>
      </w:r>
      <w:r w:rsidR="003C08CD" w:rsidRPr="000E14D1">
        <w:t xml:space="preserve"> ne tik </w:t>
      </w:r>
      <w:r w:rsidR="001B1726" w:rsidRPr="000E14D1">
        <w:t>1) </w:t>
      </w:r>
      <w:r w:rsidR="003C08CD" w:rsidRPr="000E14D1">
        <w:t>nustatyti</w:t>
      </w:r>
      <w:r w:rsidR="00000C2A" w:rsidRPr="000E14D1">
        <w:t xml:space="preserve"> </w:t>
      </w:r>
      <w:r w:rsidR="004B360B">
        <w:t xml:space="preserve">finansinės </w:t>
      </w:r>
      <w:r w:rsidR="006711F0" w:rsidRPr="000E14D1">
        <w:t>elgsen</w:t>
      </w:r>
      <w:r w:rsidR="00971200">
        <w:t>os pobūdį</w:t>
      </w:r>
      <w:r w:rsidR="000E64C8">
        <w:t>;</w:t>
      </w:r>
      <w:r w:rsidR="00CF070C" w:rsidRPr="000E14D1">
        <w:t xml:space="preserve"> bet ir </w:t>
      </w:r>
      <w:r w:rsidR="00862638" w:rsidRPr="000E14D1">
        <w:t>2) </w:t>
      </w:r>
      <w:r w:rsidR="00766F23" w:rsidRPr="000E14D1">
        <w:t xml:space="preserve">apskaičiuoti </w:t>
      </w:r>
      <w:r w:rsidR="008A6221" w:rsidRPr="000E14D1">
        <w:t>ją</w:t>
      </w:r>
      <w:r w:rsidR="006711F0" w:rsidRPr="000E14D1">
        <w:t xml:space="preserve"> </w:t>
      </w:r>
      <w:r w:rsidR="00096D37" w:rsidRPr="000E14D1">
        <w:t>nu</w:t>
      </w:r>
      <w:r w:rsidR="008A6221" w:rsidRPr="000E14D1">
        <w:t>lėmusių</w:t>
      </w:r>
      <w:r w:rsidR="00157C97" w:rsidRPr="000E14D1">
        <w:t xml:space="preserve"> veiksni</w:t>
      </w:r>
      <w:r w:rsidR="008A6221" w:rsidRPr="000E14D1">
        <w:t>ų įtakos dydį</w:t>
      </w:r>
      <w:r w:rsidR="000E64C8">
        <w:t>;</w:t>
      </w:r>
      <w:r w:rsidR="00766F23" w:rsidRPr="000E14D1">
        <w:t xml:space="preserve"> bei </w:t>
      </w:r>
      <w:r w:rsidR="00862638" w:rsidRPr="000E14D1">
        <w:t>3) </w:t>
      </w:r>
      <w:r w:rsidR="008A6221" w:rsidRPr="000E14D1">
        <w:t>palyginti</w:t>
      </w:r>
      <w:r w:rsidR="00C16D19">
        <w:t xml:space="preserve"> visa</w:t>
      </w:r>
      <w:r w:rsidR="008A6221" w:rsidRPr="000E14D1">
        <w:t xml:space="preserve"> </w:t>
      </w:r>
      <w:r w:rsidR="009D4FDB" w:rsidRPr="000E14D1">
        <w:t>tai</w:t>
      </w:r>
      <w:r w:rsidR="007664F7" w:rsidRPr="000E14D1">
        <w:t xml:space="preserve"> su </w:t>
      </w:r>
      <w:r w:rsidR="00C80493">
        <w:t xml:space="preserve">pasirinktu </w:t>
      </w:r>
      <w:r w:rsidR="007664F7" w:rsidRPr="00864E33">
        <w:t>standartu</w:t>
      </w:r>
      <w:r w:rsidR="007B0BB2" w:rsidRPr="00864E33">
        <w:t>.</w:t>
      </w:r>
    </w:p>
    <w:p w:rsidR="008A0084" w:rsidRDefault="00A861EC" w:rsidP="00EC67E1">
      <w:r>
        <w:lastRenderedPageBreak/>
        <w:t>Svarbu pabrėž</w:t>
      </w:r>
      <w:r w:rsidR="00C7612F">
        <w:t>ti</w:t>
      </w:r>
      <w:r w:rsidR="002D301B" w:rsidRPr="001F343E">
        <w:t xml:space="preserve">, jog </w:t>
      </w:r>
      <w:r w:rsidR="00C05B4B" w:rsidRPr="001F343E">
        <w:t xml:space="preserve">finansinės elgsenos </w:t>
      </w:r>
      <w:r w:rsidR="00AD3E0D" w:rsidRPr="00810206">
        <w:t>tyrimą</w:t>
      </w:r>
      <w:r w:rsidR="004A0D66">
        <w:t xml:space="preserve"> komplikuoja ne tik tai</w:t>
      </w:r>
      <w:r w:rsidR="00BB7ACE" w:rsidRPr="001F343E">
        <w:t xml:space="preserve">, </w:t>
      </w:r>
      <w:r w:rsidR="00520171">
        <w:t>kad</w:t>
      </w:r>
      <w:r w:rsidR="007E6CBD" w:rsidRPr="001F343E">
        <w:t xml:space="preserve"> </w:t>
      </w:r>
      <w:r w:rsidR="00794131">
        <w:t>teorinėj</w:t>
      </w:r>
      <w:r w:rsidR="00AD3E0D">
        <w:t>e plotmėje</w:t>
      </w:r>
      <w:r w:rsidR="00FE7C23">
        <w:t xml:space="preserve"> </w:t>
      </w:r>
      <w:r w:rsidR="00870750">
        <w:t>nėra</w:t>
      </w:r>
      <w:r w:rsidR="00FE7C23">
        <w:t xml:space="preserve"> tinkamo</w:t>
      </w:r>
      <w:r w:rsidR="00F03DF6">
        <w:t xml:space="preserve"> modelio, bet ir </w:t>
      </w:r>
      <w:r w:rsidR="00870750">
        <w:t>tai</w:t>
      </w:r>
      <w:r w:rsidR="00F03DF6">
        <w:t xml:space="preserve">, kad </w:t>
      </w:r>
      <w:r w:rsidR="00D43828" w:rsidRPr="00870750">
        <w:t xml:space="preserve">susiduriama su </w:t>
      </w:r>
      <w:r w:rsidR="00D43828" w:rsidRPr="0039001E">
        <w:rPr>
          <w:b/>
          <w:i/>
        </w:rPr>
        <w:t>apribojimais</w:t>
      </w:r>
      <w:r w:rsidR="00A55396" w:rsidRPr="0039001E">
        <w:rPr>
          <w:b/>
          <w:i/>
        </w:rPr>
        <w:t xml:space="preserve"> </w:t>
      </w:r>
      <w:r w:rsidR="0059357C" w:rsidRPr="0039001E">
        <w:rPr>
          <w:b/>
          <w:i/>
        </w:rPr>
        <w:t>praktiniu</w:t>
      </w:r>
      <w:r w:rsidR="00A55396" w:rsidRPr="0039001E">
        <w:rPr>
          <w:b/>
          <w:i/>
        </w:rPr>
        <w:t xml:space="preserve"> lygm</w:t>
      </w:r>
      <w:r w:rsidR="0059357C" w:rsidRPr="0039001E">
        <w:rPr>
          <w:b/>
          <w:i/>
        </w:rPr>
        <w:t>eniu</w:t>
      </w:r>
      <w:r w:rsidR="0039001E">
        <w:t>, t. y.,</w:t>
      </w:r>
      <w:r w:rsidR="001F4B81">
        <w:t xml:space="preserve"> </w:t>
      </w:r>
      <w:r w:rsidR="00BA14D7">
        <w:t xml:space="preserve">vertinant </w:t>
      </w:r>
      <w:r w:rsidR="0057325A">
        <w:t xml:space="preserve">gyventojų </w:t>
      </w:r>
      <w:r w:rsidR="00585A21">
        <w:t>finansinę</w:t>
      </w:r>
      <w:r w:rsidR="001F4B81">
        <w:t xml:space="preserve"> elgseną, </w:t>
      </w:r>
      <w:r w:rsidR="00C0158D" w:rsidRPr="003C6841">
        <w:rPr>
          <w:i/>
        </w:rPr>
        <w:t xml:space="preserve">informaciją reikia rinkti apie labai specifinius </w:t>
      </w:r>
      <w:r w:rsidR="00631D51" w:rsidRPr="003C6841">
        <w:rPr>
          <w:i/>
        </w:rPr>
        <w:t xml:space="preserve">žmogui </w:t>
      </w:r>
      <w:r w:rsidR="00C0158D" w:rsidRPr="003C6841">
        <w:rPr>
          <w:i/>
        </w:rPr>
        <w:t>dalykus</w:t>
      </w:r>
      <w:r w:rsidR="00EE1EFD">
        <w:t>,</w:t>
      </w:r>
      <w:r w:rsidR="007F7A5D">
        <w:t xml:space="preserve"> – ir ypatingai </w:t>
      </w:r>
      <w:r w:rsidR="007F7A5D" w:rsidRPr="00995DE1">
        <w:t>socialinės apsaugos srityje</w:t>
      </w:r>
      <w:r w:rsidR="008D4661" w:rsidRPr="00995DE1">
        <w:t>,</w:t>
      </w:r>
      <w:r w:rsidR="007F7A5D" w:rsidRPr="00995DE1">
        <w:t xml:space="preserve"> –</w:t>
      </w:r>
      <w:r w:rsidR="00370F42" w:rsidRPr="00995DE1">
        <w:t xml:space="preserve"> </w:t>
      </w:r>
      <w:r w:rsidR="0027356D" w:rsidRPr="00995DE1">
        <w:t>kuri gali</w:t>
      </w:r>
      <w:r w:rsidR="00FF7CBE" w:rsidRPr="00995DE1">
        <w:t xml:space="preserve"> </w:t>
      </w:r>
      <w:r w:rsidR="00C37229" w:rsidRPr="00995DE1">
        <w:t xml:space="preserve">būti </w:t>
      </w:r>
      <w:r w:rsidR="008D7ED0" w:rsidRPr="00995DE1">
        <w:t>ne</w:t>
      </w:r>
      <w:r w:rsidR="009B2057" w:rsidRPr="00995DE1">
        <w:t>prieinama</w:t>
      </w:r>
      <w:r w:rsidR="00645AB5" w:rsidRPr="00995DE1">
        <w:t xml:space="preserve"> informacijos rinkėjui</w:t>
      </w:r>
      <w:r w:rsidR="002411BC" w:rsidRPr="00995DE1">
        <w:t>. Be to</w:t>
      </w:r>
      <w:r w:rsidR="002411BC">
        <w:t>, dažniausiai tokia inf</w:t>
      </w:r>
      <w:r w:rsidR="0057325A">
        <w:t>ormacija neturi skait</w:t>
      </w:r>
      <w:r w:rsidR="002411BC">
        <w:t xml:space="preserve">inės išraiškos, </w:t>
      </w:r>
      <w:r w:rsidR="00E82ED1">
        <w:t xml:space="preserve">o tai reiškia, kad, </w:t>
      </w:r>
      <w:r w:rsidR="00E82ED1" w:rsidRPr="003C6841">
        <w:rPr>
          <w:i/>
        </w:rPr>
        <w:t xml:space="preserve">norint </w:t>
      </w:r>
      <w:r w:rsidR="00E82ED1" w:rsidRPr="00A45313">
        <w:rPr>
          <w:i/>
        </w:rPr>
        <w:t>palyginti</w:t>
      </w:r>
      <w:r w:rsidR="00E82ED1" w:rsidRPr="003C6841">
        <w:rPr>
          <w:i/>
        </w:rPr>
        <w:t xml:space="preserve"> ją su</w:t>
      </w:r>
      <w:r w:rsidR="00D176CA" w:rsidRPr="003C6841">
        <w:rPr>
          <w:i/>
        </w:rPr>
        <w:t xml:space="preserve"> kitu objektu</w:t>
      </w:r>
      <w:r w:rsidR="00E82ED1" w:rsidRPr="003C6841">
        <w:rPr>
          <w:i/>
        </w:rPr>
        <w:t xml:space="preserve">, </w:t>
      </w:r>
      <w:r w:rsidR="006746AD">
        <w:rPr>
          <w:i/>
        </w:rPr>
        <w:t>reiki</w:t>
      </w:r>
      <w:r w:rsidR="003C6841">
        <w:rPr>
          <w:i/>
        </w:rPr>
        <w:t xml:space="preserve">a </w:t>
      </w:r>
      <w:r w:rsidR="00E82ED1" w:rsidRPr="003C6841">
        <w:rPr>
          <w:i/>
        </w:rPr>
        <w:t xml:space="preserve">atlikti </w:t>
      </w:r>
      <w:r w:rsidR="00E82ED1" w:rsidRPr="00A52067">
        <w:rPr>
          <w:i/>
        </w:rPr>
        <w:t>transformaciją</w:t>
      </w:r>
      <w:r w:rsidR="00E82ED1">
        <w:t>.</w:t>
      </w:r>
    </w:p>
    <w:p w:rsidR="00406453" w:rsidRDefault="00E008DA" w:rsidP="00EC67E1">
      <w:r>
        <w:t>Kadangi tokios transformacijos neįmanoma</w:t>
      </w:r>
      <w:r w:rsidR="00A50D5B">
        <w:t xml:space="preserve"> </w:t>
      </w:r>
      <w:r w:rsidR="008A0084">
        <w:t>atlik</w:t>
      </w:r>
      <w:r>
        <w:t>ti</w:t>
      </w:r>
      <w:r w:rsidR="00483553">
        <w:t xml:space="preserve"> automatiškai</w:t>
      </w:r>
      <w:r w:rsidR="00A50D5B">
        <w:t>,</w:t>
      </w:r>
      <w:r w:rsidR="005B16BC">
        <w:t xml:space="preserve"> jos kokybė</w:t>
      </w:r>
      <w:r w:rsidR="00A50D5B">
        <w:t xml:space="preserve"> </w:t>
      </w:r>
      <w:r w:rsidR="00A50D5B" w:rsidRPr="006C6E0B">
        <w:t>priklauso</w:t>
      </w:r>
      <w:r w:rsidR="00196A98" w:rsidRPr="006C6E0B">
        <w:t xml:space="preserve"> nuo vertintojo </w:t>
      </w:r>
      <w:r w:rsidR="007C0768" w:rsidRPr="006C6E0B">
        <w:t>gebėjim</w:t>
      </w:r>
      <w:r w:rsidR="008A0084">
        <w:t>o</w:t>
      </w:r>
      <w:r w:rsidR="007C0768" w:rsidRPr="006C6E0B">
        <w:t xml:space="preserve"> interpretuoti informaciją ir</w:t>
      </w:r>
      <w:r w:rsidR="005B7B2A" w:rsidRPr="006C6E0B">
        <w:t xml:space="preserve"> jo suvokimo </w:t>
      </w:r>
      <w:r w:rsidR="00B7696E">
        <w:t>(</w:t>
      </w:r>
      <w:r w:rsidR="005B7B2A" w:rsidRPr="006C6E0B">
        <w:t xml:space="preserve">apie </w:t>
      </w:r>
      <w:r w:rsidR="005B7B2A" w:rsidRPr="00A46A3C">
        <w:t>patį reiškinį</w:t>
      </w:r>
      <w:r w:rsidR="00B7696E">
        <w:t>)</w:t>
      </w:r>
      <w:r w:rsidR="005B7B2A" w:rsidRPr="00A46A3C">
        <w:t xml:space="preserve"> laipsnio</w:t>
      </w:r>
      <w:r w:rsidR="006648AD">
        <w:t xml:space="preserve"> –</w:t>
      </w:r>
      <w:r w:rsidR="006C6E0B" w:rsidRPr="00A46A3C">
        <w:t xml:space="preserve"> tai reiškia, jog </w:t>
      </w:r>
      <w:r w:rsidR="00334519" w:rsidRPr="00A52067">
        <w:rPr>
          <w:i/>
        </w:rPr>
        <w:t xml:space="preserve">finansinės elgsenos </w:t>
      </w:r>
      <w:r w:rsidR="002708B2" w:rsidRPr="00A52067">
        <w:rPr>
          <w:i/>
        </w:rPr>
        <w:t>vertinimas</w:t>
      </w:r>
      <w:r w:rsidR="009B3CF2" w:rsidRPr="00A52067">
        <w:rPr>
          <w:i/>
        </w:rPr>
        <w:t xml:space="preserve"> ne</w:t>
      </w:r>
      <w:r w:rsidR="005F7DE2" w:rsidRPr="00A52067">
        <w:rPr>
          <w:i/>
        </w:rPr>
        <w:t>gali būti</w:t>
      </w:r>
      <w:r w:rsidR="00A52067" w:rsidRPr="00A52067">
        <w:rPr>
          <w:i/>
        </w:rPr>
        <w:t xml:space="preserve"> visiškai </w:t>
      </w:r>
      <w:r w:rsidR="00556053">
        <w:rPr>
          <w:i/>
        </w:rPr>
        <w:t>nešališk</w:t>
      </w:r>
      <w:r w:rsidR="00A52067" w:rsidRPr="00320F4F">
        <w:rPr>
          <w:i/>
        </w:rPr>
        <w:t>as</w:t>
      </w:r>
      <w:r w:rsidR="002708B2" w:rsidRPr="00A46A3C">
        <w:t>.</w:t>
      </w:r>
      <w:r w:rsidR="00A46A3C" w:rsidRPr="00A46A3C">
        <w:t xml:space="preserve"> </w:t>
      </w:r>
      <w:r w:rsidR="0019257D">
        <w:t>S</w:t>
      </w:r>
      <w:r w:rsidR="003B76F9">
        <w:t>ubjektyvumo</w:t>
      </w:r>
      <w:r w:rsidR="003A3F69">
        <w:t xml:space="preserve"> neišvengiama dar ir dėl to</w:t>
      </w:r>
      <w:r w:rsidR="00107126">
        <w:t>, kad</w:t>
      </w:r>
      <w:r w:rsidR="009A6661">
        <w:t>, nesant kriterijų apibrėžties</w:t>
      </w:r>
      <w:r w:rsidR="001B56B3">
        <w:t xml:space="preserve"> (</w:t>
      </w:r>
      <w:r w:rsidR="007F2B9D">
        <w:rPr>
          <w:b/>
          <w:i/>
        </w:rPr>
        <w:t>teorinio lygmens</w:t>
      </w:r>
      <w:r w:rsidR="00E066F0">
        <w:rPr>
          <w:b/>
          <w:i/>
        </w:rPr>
        <w:t xml:space="preserve"> apribojimas</w:t>
      </w:r>
      <w:r w:rsidR="001B56B3">
        <w:t>)</w:t>
      </w:r>
      <w:r w:rsidR="009A6661">
        <w:t xml:space="preserve">, </w:t>
      </w:r>
      <w:r w:rsidR="009A194E">
        <w:t xml:space="preserve">veiksnius vertinimui </w:t>
      </w:r>
      <w:r w:rsidR="006648AD">
        <w:t xml:space="preserve">privalo </w:t>
      </w:r>
      <w:r w:rsidR="0035434F">
        <w:t xml:space="preserve">pateikti </w:t>
      </w:r>
      <w:r w:rsidR="009A194E">
        <w:t xml:space="preserve">pats </w:t>
      </w:r>
      <w:r w:rsidR="009A6661">
        <w:t>vertintoj</w:t>
      </w:r>
      <w:r w:rsidR="0023294F">
        <w:t>as</w:t>
      </w:r>
      <w:r w:rsidR="00426DE5">
        <w:t xml:space="preserve">, kurių </w:t>
      </w:r>
      <w:r w:rsidR="001C21F0">
        <w:t>pasirinkimas</w:t>
      </w:r>
      <w:r w:rsidR="0035434F">
        <w:t xml:space="preserve"> </w:t>
      </w:r>
      <w:r w:rsidR="001C21F0">
        <w:t xml:space="preserve">labai </w:t>
      </w:r>
      <w:r w:rsidR="00E066F0" w:rsidRPr="0096150C">
        <w:rPr>
          <w:i/>
        </w:rPr>
        <w:t xml:space="preserve">priklauso nuo to, kaip </w:t>
      </w:r>
      <w:r w:rsidR="001C21F0">
        <w:rPr>
          <w:i/>
        </w:rPr>
        <w:t xml:space="preserve">yra </w:t>
      </w:r>
      <w:r w:rsidR="008C471B" w:rsidRPr="0096150C">
        <w:rPr>
          <w:i/>
        </w:rPr>
        <w:t>t</w:t>
      </w:r>
      <w:r w:rsidR="00D93380" w:rsidRPr="0096150C">
        <w:rPr>
          <w:i/>
        </w:rPr>
        <w:t xml:space="preserve">raktuojama </w:t>
      </w:r>
      <w:r w:rsidR="00E066F0" w:rsidRPr="0096150C">
        <w:rPr>
          <w:i/>
        </w:rPr>
        <w:t>gyventojų finansinė</w:t>
      </w:r>
      <w:r w:rsidR="00AA4EB9">
        <w:rPr>
          <w:i/>
        </w:rPr>
        <w:t>s</w:t>
      </w:r>
      <w:r w:rsidR="00E066F0" w:rsidRPr="0096150C">
        <w:rPr>
          <w:i/>
        </w:rPr>
        <w:t xml:space="preserve"> elgsen</w:t>
      </w:r>
      <w:r w:rsidR="00D93380" w:rsidRPr="0096150C">
        <w:rPr>
          <w:i/>
        </w:rPr>
        <w:t>os</w:t>
      </w:r>
      <w:r w:rsidR="008C471B" w:rsidRPr="0096150C">
        <w:rPr>
          <w:i/>
        </w:rPr>
        <w:t xml:space="preserve"> koncepcija</w:t>
      </w:r>
      <w:r w:rsidR="008C471B">
        <w:t>.</w:t>
      </w:r>
    </w:p>
    <w:p w:rsidR="009D75EE" w:rsidRDefault="009D75EE" w:rsidP="00EC67E1">
      <w:r>
        <w:t>Taip pat reikėtų</w:t>
      </w:r>
      <w:r w:rsidR="009C5AC6">
        <w:t xml:space="preserve"> paminėti</w:t>
      </w:r>
      <w:r>
        <w:t>, jog</w:t>
      </w:r>
      <w:r w:rsidR="00A45313">
        <w:t>,</w:t>
      </w:r>
      <w:r>
        <w:t xml:space="preserve"> </w:t>
      </w:r>
      <w:r w:rsidR="0062443D">
        <w:t xml:space="preserve">vertinant </w:t>
      </w:r>
      <w:r w:rsidR="0062443D" w:rsidRPr="00E94542">
        <w:rPr>
          <w:i/>
        </w:rPr>
        <w:t>gyventojų</w:t>
      </w:r>
      <w:r w:rsidR="0062443D">
        <w:t xml:space="preserve"> finansinę elgseną, </w:t>
      </w:r>
      <w:r w:rsidR="009C5AC6">
        <w:t xml:space="preserve">yra </w:t>
      </w:r>
      <w:r w:rsidR="0062443D">
        <w:t xml:space="preserve">labai </w:t>
      </w:r>
      <w:r w:rsidR="0062443D" w:rsidRPr="0035685E">
        <w:rPr>
          <w:i/>
        </w:rPr>
        <w:t>su</w:t>
      </w:r>
      <w:r w:rsidR="009C5AC6" w:rsidRPr="0035685E">
        <w:rPr>
          <w:i/>
        </w:rPr>
        <w:t>dėtinga</w:t>
      </w:r>
      <w:r w:rsidR="0062443D" w:rsidRPr="0035685E">
        <w:rPr>
          <w:i/>
        </w:rPr>
        <w:t xml:space="preserve"> </w:t>
      </w:r>
      <w:r w:rsidR="009C5AC6" w:rsidRPr="0035685E">
        <w:rPr>
          <w:i/>
        </w:rPr>
        <w:t xml:space="preserve">identifikuoti </w:t>
      </w:r>
      <w:r w:rsidR="0062443D" w:rsidRPr="0035685E">
        <w:rPr>
          <w:i/>
        </w:rPr>
        <w:t>etaloną</w:t>
      </w:r>
      <w:r w:rsidR="00A45313">
        <w:t>, kadangi</w:t>
      </w:r>
      <w:r w:rsidR="00A45313" w:rsidRPr="00880C88">
        <w:t>, tiriant visumą</w:t>
      </w:r>
      <w:r w:rsidR="00712CE0" w:rsidRPr="00880C88">
        <w:t xml:space="preserve">, </w:t>
      </w:r>
      <w:r w:rsidR="00E94542" w:rsidRPr="00880C88">
        <w:t>pavyzdžiui, konkrečios šalies p</w:t>
      </w:r>
      <w:r w:rsidR="006265A5" w:rsidRPr="00880C88">
        <w:t xml:space="preserve">iliečių elgseną socialinės </w:t>
      </w:r>
      <w:r w:rsidR="00E904EC" w:rsidRPr="00880C88">
        <w:t>apsaugos srityje, etalonu reik</w:t>
      </w:r>
      <w:r w:rsidR="00B628F3" w:rsidRPr="00880C88">
        <w:t>ia</w:t>
      </w:r>
      <w:r w:rsidR="006265A5" w:rsidRPr="00880C88">
        <w:t xml:space="preserve"> rinktis kitą</w:t>
      </w:r>
      <w:r w:rsidR="007A55D3">
        <w:t xml:space="preserve"> – </w:t>
      </w:r>
      <w:r w:rsidR="00C403FF" w:rsidRPr="00880C88">
        <w:t>palyginamą</w:t>
      </w:r>
      <w:r w:rsidR="007A55D3">
        <w:t xml:space="preserve"> –</w:t>
      </w:r>
      <w:r w:rsidR="004A191A" w:rsidRPr="00880C88">
        <w:t xml:space="preserve"> visumą, pavyzdžiui</w:t>
      </w:r>
      <w:r w:rsidR="002C0921">
        <w:t>,</w:t>
      </w:r>
      <w:r w:rsidR="00AE594F">
        <w:t xml:space="preserve"> kitos </w:t>
      </w:r>
      <w:r w:rsidR="002E3084">
        <w:t xml:space="preserve">valstybės </w:t>
      </w:r>
      <w:r w:rsidR="00B628F3">
        <w:t>piliečių</w:t>
      </w:r>
      <w:r w:rsidR="003E4D0A">
        <w:t xml:space="preserve"> elgseną toje pačioje srityje</w:t>
      </w:r>
      <w:r w:rsidR="00D8262E">
        <w:t xml:space="preserve">, </w:t>
      </w:r>
      <w:r w:rsidR="00712CE0">
        <w:t xml:space="preserve">apie kurią </w:t>
      </w:r>
      <w:r w:rsidR="00B7535B" w:rsidRPr="00880C88">
        <w:rPr>
          <w:i/>
        </w:rPr>
        <w:t xml:space="preserve">gali būti sunku surinkti informaciją </w:t>
      </w:r>
      <w:r w:rsidR="004E0D56">
        <w:rPr>
          <w:i/>
        </w:rPr>
        <w:t xml:space="preserve">– </w:t>
      </w:r>
      <w:r w:rsidR="00B7535B" w:rsidRPr="00880C88">
        <w:rPr>
          <w:i/>
        </w:rPr>
        <w:t xml:space="preserve">tiek laiko, tiek </w:t>
      </w:r>
      <w:r w:rsidR="004E0D56">
        <w:rPr>
          <w:i/>
        </w:rPr>
        <w:t xml:space="preserve">ir </w:t>
      </w:r>
      <w:r w:rsidR="00745518" w:rsidRPr="00880C88">
        <w:rPr>
          <w:i/>
        </w:rPr>
        <w:t>pinig</w:t>
      </w:r>
      <w:r w:rsidR="006D24C6" w:rsidRPr="00880C88">
        <w:rPr>
          <w:i/>
        </w:rPr>
        <w:t>inių išteklių</w:t>
      </w:r>
      <w:r w:rsidR="00EA531F" w:rsidRPr="00880C88">
        <w:rPr>
          <w:i/>
        </w:rPr>
        <w:t xml:space="preserve"> imlumo</w:t>
      </w:r>
      <w:r w:rsidR="005300BE" w:rsidRPr="00880C88">
        <w:rPr>
          <w:i/>
        </w:rPr>
        <w:t xml:space="preserve"> prasme</w:t>
      </w:r>
      <w:r w:rsidR="005300BE">
        <w:t>.</w:t>
      </w:r>
      <w:r w:rsidR="00880C88">
        <w:t xml:space="preserve"> Dėl šios priežasties etalono sąvoką reiktų </w:t>
      </w:r>
      <w:r w:rsidR="004C06A5">
        <w:t xml:space="preserve">išplėsti </w:t>
      </w:r>
      <w:r w:rsidR="00320F4F">
        <w:t>ir</w:t>
      </w:r>
      <w:r w:rsidR="006322BB" w:rsidRPr="006322BB">
        <w:t xml:space="preserve"> </w:t>
      </w:r>
      <w:r w:rsidR="006322BB">
        <w:t>palyginamąjį objektą rinktis</w:t>
      </w:r>
      <w:r w:rsidR="004C06A5">
        <w:t>, remiantis nauja samprata</w:t>
      </w:r>
      <w:r w:rsidR="006322BB">
        <w:t>.</w:t>
      </w:r>
    </w:p>
    <w:p w:rsidR="007364BE" w:rsidRDefault="007364BE" w:rsidP="00EC67E1">
      <w:r>
        <w:t xml:space="preserve">Apibendrinant, </w:t>
      </w:r>
      <w:r w:rsidR="004E0D56">
        <w:t>galima</w:t>
      </w:r>
      <w:r w:rsidR="003C22DA">
        <w:t xml:space="preserve"> teigti</w:t>
      </w:r>
      <w:r>
        <w:t xml:space="preserve">, jog gyventojų finansinės elgsenos </w:t>
      </w:r>
      <w:r w:rsidR="00A864B6">
        <w:t>vertinimas yra lydimas</w:t>
      </w:r>
      <w:r w:rsidR="00330589">
        <w:t xml:space="preserve"> įvairių – </w:t>
      </w:r>
      <w:r w:rsidR="00330589" w:rsidRPr="003C22DA">
        <w:rPr>
          <w:i/>
        </w:rPr>
        <w:t>tiek</w:t>
      </w:r>
      <w:r w:rsidR="00A760F3" w:rsidRPr="003C22DA">
        <w:rPr>
          <w:i/>
        </w:rPr>
        <w:t xml:space="preserve"> teorinio, </w:t>
      </w:r>
      <w:r w:rsidR="00330589" w:rsidRPr="003C22DA">
        <w:rPr>
          <w:i/>
        </w:rPr>
        <w:t>tiek</w:t>
      </w:r>
      <w:r w:rsidR="00EC5A87">
        <w:rPr>
          <w:i/>
        </w:rPr>
        <w:t xml:space="preserve"> ir</w:t>
      </w:r>
      <w:r w:rsidR="00330589" w:rsidRPr="003C22DA">
        <w:rPr>
          <w:i/>
        </w:rPr>
        <w:t xml:space="preserve"> </w:t>
      </w:r>
      <w:r w:rsidR="00A760F3" w:rsidRPr="003C22DA">
        <w:rPr>
          <w:i/>
        </w:rPr>
        <w:t>praktinio pobūdžio</w:t>
      </w:r>
      <w:r w:rsidR="00A760F3">
        <w:t xml:space="preserve"> – </w:t>
      </w:r>
      <w:r w:rsidR="00A760F3" w:rsidRPr="00FE4349">
        <w:t>apribojimų</w:t>
      </w:r>
      <w:r w:rsidR="00950932" w:rsidRPr="00FE4349">
        <w:t>, todėl</w:t>
      </w:r>
      <w:r w:rsidR="00330589" w:rsidRPr="00FE4349">
        <w:t xml:space="preserve">, </w:t>
      </w:r>
      <w:r w:rsidR="00E0117D">
        <w:t xml:space="preserve">siekiant </w:t>
      </w:r>
      <w:r w:rsidR="00AD284C" w:rsidRPr="00FE4349">
        <w:t xml:space="preserve">visapusiškai </w:t>
      </w:r>
      <w:r w:rsidR="00273A38" w:rsidRPr="00FE4349">
        <w:t>įvertinti</w:t>
      </w:r>
      <w:r w:rsidR="00BF6D1B" w:rsidRPr="00FE4349">
        <w:t xml:space="preserve"> finansinius </w:t>
      </w:r>
      <w:r w:rsidR="00E0117D">
        <w:t xml:space="preserve">individų </w:t>
      </w:r>
      <w:r w:rsidR="00BF6D1B" w:rsidRPr="00FE4349">
        <w:t xml:space="preserve">sprendimus, </w:t>
      </w:r>
      <w:r w:rsidR="00E0117D">
        <w:t>nepaka</w:t>
      </w:r>
      <w:r w:rsidR="0048066F" w:rsidRPr="00FE4349">
        <w:t xml:space="preserve">nka </w:t>
      </w:r>
      <w:r w:rsidR="00144C2C" w:rsidRPr="00FE4349">
        <w:t>modifikuoti</w:t>
      </w:r>
      <w:r w:rsidR="00AF700D" w:rsidRPr="00FE4349">
        <w:t xml:space="preserve"> </w:t>
      </w:r>
      <w:r w:rsidR="00E0117D">
        <w:t xml:space="preserve">esamų </w:t>
      </w:r>
      <w:r w:rsidR="00A04307" w:rsidRPr="00FE4349">
        <w:t>m</w:t>
      </w:r>
      <w:r w:rsidR="000563F7">
        <w:t xml:space="preserve">odelių. </w:t>
      </w:r>
      <w:r w:rsidR="00A60CD8">
        <w:t>Taigi</w:t>
      </w:r>
      <w:r w:rsidR="00C06F80">
        <w:t>,</w:t>
      </w:r>
      <w:r w:rsidR="003879B8" w:rsidRPr="00FE4349">
        <w:t xml:space="preserve"> atsiranda būtinybė</w:t>
      </w:r>
      <w:r w:rsidR="0048066F" w:rsidRPr="00FE4349">
        <w:t xml:space="preserve"> </w:t>
      </w:r>
      <w:r w:rsidR="008E1673" w:rsidRPr="00FE4349">
        <w:t>su</w:t>
      </w:r>
      <w:r w:rsidR="00C06F80">
        <w:t>formuoti</w:t>
      </w:r>
      <w:r w:rsidR="008E1673" w:rsidRPr="00FE4349">
        <w:t xml:space="preserve"> </w:t>
      </w:r>
      <w:r w:rsidR="00AF700D" w:rsidRPr="00FE4349">
        <w:t>tokį</w:t>
      </w:r>
      <w:r w:rsidR="00500B32" w:rsidRPr="00FE4349">
        <w:t xml:space="preserve"> </w:t>
      </w:r>
      <w:r w:rsidR="00A04307" w:rsidRPr="00FE4349">
        <w:t xml:space="preserve">finansinės elgsenos </w:t>
      </w:r>
      <w:r w:rsidR="00401D9B">
        <w:t>į</w:t>
      </w:r>
      <w:r w:rsidR="00A04307" w:rsidRPr="00FE4349">
        <w:t>vertinimo modelį</w:t>
      </w:r>
      <w:r w:rsidR="00DC4773" w:rsidRPr="00FE4349">
        <w:t>,</w:t>
      </w:r>
      <w:r w:rsidR="00950932" w:rsidRPr="00FE4349">
        <w:t xml:space="preserve"> </w:t>
      </w:r>
      <w:r w:rsidR="00C06F80">
        <w:t xml:space="preserve">kuris, </w:t>
      </w:r>
      <w:r w:rsidR="00401D9B">
        <w:t>pašalin</w:t>
      </w:r>
      <w:r w:rsidR="00C06F80">
        <w:t>us</w:t>
      </w:r>
      <w:r w:rsidR="001E617E">
        <w:t xml:space="preserve"> kiek įmanoma</w:t>
      </w:r>
      <w:r w:rsidR="00C06F80" w:rsidRPr="00FE4349">
        <w:t xml:space="preserve"> daugiau kliūčių</w:t>
      </w:r>
      <w:r w:rsidR="00C06F80">
        <w:t>,</w:t>
      </w:r>
      <w:r w:rsidR="00C06F80" w:rsidRPr="00FE4349">
        <w:t xml:space="preserve"> </w:t>
      </w:r>
      <w:r w:rsidR="005364D5" w:rsidRPr="00FE4349">
        <w:t xml:space="preserve">leistų </w:t>
      </w:r>
      <w:r w:rsidR="00C06F80">
        <w:t xml:space="preserve">daryti </w:t>
      </w:r>
      <w:r w:rsidR="00C06F80" w:rsidRPr="00EC5A87">
        <w:rPr>
          <w:i/>
        </w:rPr>
        <w:t>pagrįstas</w:t>
      </w:r>
      <w:r w:rsidR="00C06F80">
        <w:t xml:space="preserve"> išvadas</w:t>
      </w:r>
      <w:r w:rsidR="005C36D9" w:rsidRPr="00FE4349">
        <w:t>.</w:t>
      </w:r>
    </w:p>
    <w:p w:rsidR="00F57649" w:rsidRDefault="00FE4349" w:rsidP="004774C3">
      <w:pPr>
        <w:pStyle w:val="Heading2"/>
      </w:pPr>
      <w:bookmarkStart w:id="19" w:name="_Toc343636883"/>
      <w:r>
        <w:t xml:space="preserve">Teorinis </w:t>
      </w:r>
      <w:r w:rsidR="004774C3">
        <w:t>socialinių išmokų gavėjų</w:t>
      </w:r>
      <w:r w:rsidR="00EE36C0">
        <w:t xml:space="preserve"> </w:t>
      </w:r>
      <w:r w:rsidR="00F57649">
        <w:t>finansinės elgsenos vertinimo modelis</w:t>
      </w:r>
      <w:bookmarkEnd w:id="19"/>
    </w:p>
    <w:p w:rsidR="00F57649" w:rsidRDefault="003020DA" w:rsidP="00F57649">
      <w:r>
        <w:t xml:space="preserve">Atsižvelgus į </w:t>
      </w:r>
      <w:r w:rsidR="00E04C23">
        <w:t xml:space="preserve">išskirtus </w:t>
      </w:r>
      <w:r>
        <w:t>gyventojų finansinės elgsenos vertinimo</w:t>
      </w:r>
      <w:r w:rsidR="0066249F">
        <w:t xml:space="preserve"> apribojimus</w:t>
      </w:r>
      <w:r w:rsidR="002F215D">
        <w:t>, galima</w:t>
      </w:r>
      <w:r w:rsidR="00E04C23">
        <w:t xml:space="preserve"> daryti prielaidą</w:t>
      </w:r>
      <w:r w:rsidR="002F215D">
        <w:t xml:space="preserve">, </w:t>
      </w:r>
      <w:r w:rsidR="00C420DB">
        <w:t>jog</w:t>
      </w:r>
      <w:r w:rsidR="0031599F">
        <w:t xml:space="preserve">, norint sukurti </w:t>
      </w:r>
      <w:r w:rsidR="004F78DC">
        <w:t xml:space="preserve">tinkamą </w:t>
      </w:r>
      <w:r w:rsidR="0031599F">
        <w:t xml:space="preserve">finansinės elgsenos </w:t>
      </w:r>
      <w:r w:rsidR="00E73639">
        <w:t>į</w:t>
      </w:r>
      <w:r w:rsidR="0031599F">
        <w:t>vertinimo modelį,</w:t>
      </w:r>
      <w:r w:rsidR="00C420DB">
        <w:t xml:space="preserve"> svarbiausia</w:t>
      </w:r>
      <w:r w:rsidR="00717A9F">
        <w:t xml:space="preserve"> </w:t>
      </w:r>
      <w:r w:rsidR="00E73639">
        <w:t xml:space="preserve">yra </w:t>
      </w:r>
      <w:r w:rsidR="00717A9F">
        <w:t>nuspręsti</w:t>
      </w:r>
      <w:r w:rsidR="0025118D">
        <w:t>: 1) </w:t>
      </w:r>
      <w:r w:rsidR="006D3A2C">
        <w:t xml:space="preserve">kokiu būdu </w:t>
      </w:r>
      <w:r w:rsidR="00E73639">
        <w:t xml:space="preserve">rinkti </w:t>
      </w:r>
      <w:r w:rsidR="00717A9F">
        <w:t>informacij</w:t>
      </w:r>
      <w:r w:rsidR="00E73639">
        <w:t>ą</w:t>
      </w:r>
      <w:r w:rsidR="00AB5538">
        <w:t xml:space="preserve">, reikalingą </w:t>
      </w:r>
      <w:r w:rsidR="00F542B8">
        <w:t xml:space="preserve">elgsenai </w:t>
      </w:r>
      <w:r w:rsidR="00AB5538">
        <w:t>į</w:t>
      </w:r>
      <w:r w:rsidR="00F542B8">
        <w:t>vertinti</w:t>
      </w:r>
      <w:r w:rsidR="006D3A2C">
        <w:t>;</w:t>
      </w:r>
      <w:r w:rsidR="00F542B8">
        <w:t xml:space="preserve"> </w:t>
      </w:r>
      <w:r w:rsidR="00845FE3">
        <w:t>bei</w:t>
      </w:r>
      <w:r w:rsidR="00F542B8">
        <w:t xml:space="preserve"> </w:t>
      </w:r>
      <w:r w:rsidR="006D3A2C">
        <w:t>2) </w:t>
      </w:r>
      <w:r w:rsidR="00F542B8">
        <w:t>kok</w:t>
      </w:r>
      <w:r w:rsidR="00AB5538">
        <w:t>į</w:t>
      </w:r>
      <w:r w:rsidR="00F542B8">
        <w:t xml:space="preserve"> etalon</w:t>
      </w:r>
      <w:r w:rsidR="00AB5538">
        <w:t>ą</w:t>
      </w:r>
      <w:r w:rsidR="00F542B8">
        <w:t xml:space="preserve"> pasiri</w:t>
      </w:r>
      <w:r w:rsidR="00AB5538">
        <w:t>nkti</w:t>
      </w:r>
      <w:r w:rsidR="00F542B8">
        <w:t xml:space="preserve"> kaip</w:t>
      </w:r>
      <w:r w:rsidR="00C41B06">
        <w:t xml:space="preserve"> palyginam</w:t>
      </w:r>
      <w:r w:rsidR="003F2A26">
        <w:t>ąjį</w:t>
      </w:r>
      <w:r w:rsidR="00C41B06">
        <w:t xml:space="preserve"> pagrind</w:t>
      </w:r>
      <w:r w:rsidR="003F2A26">
        <w:t>ą.</w:t>
      </w:r>
    </w:p>
    <w:p w:rsidR="00B178F1" w:rsidRDefault="00845FE3" w:rsidP="00F57649">
      <w:r>
        <w:t xml:space="preserve">Akivaizdu, jog, tiriant </w:t>
      </w:r>
      <w:r w:rsidR="00D33F96" w:rsidRPr="00B6653D">
        <w:rPr>
          <w:i/>
        </w:rPr>
        <w:t>individų</w:t>
      </w:r>
      <w:r w:rsidR="00D33F96">
        <w:t xml:space="preserve"> priimamus finansinius sprendimus, </w:t>
      </w:r>
      <w:r w:rsidR="00D33F96" w:rsidRPr="004F78DC">
        <w:rPr>
          <w:i/>
        </w:rPr>
        <w:t xml:space="preserve">labiausiai patikimas informacijos šaltinis </w:t>
      </w:r>
      <w:r w:rsidR="00DB68C8" w:rsidRPr="004F78DC">
        <w:rPr>
          <w:i/>
        </w:rPr>
        <w:t>yra</w:t>
      </w:r>
      <w:r w:rsidR="004C24EC" w:rsidRPr="004F78DC">
        <w:rPr>
          <w:i/>
        </w:rPr>
        <w:t xml:space="preserve"> pat</w:t>
      </w:r>
      <w:r w:rsidR="00F05524" w:rsidRPr="004F78DC">
        <w:rPr>
          <w:i/>
        </w:rPr>
        <w:t>y</w:t>
      </w:r>
      <w:r w:rsidR="004C24EC" w:rsidRPr="004F78DC">
        <w:rPr>
          <w:i/>
        </w:rPr>
        <w:t>s</w:t>
      </w:r>
      <w:r w:rsidR="00F05524" w:rsidRPr="004F78DC">
        <w:rPr>
          <w:i/>
        </w:rPr>
        <w:t xml:space="preserve"> žmonės</w:t>
      </w:r>
      <w:r w:rsidR="004C24EC">
        <w:t>, pri</w:t>
      </w:r>
      <w:r w:rsidR="003C5E2D">
        <w:t>imantys</w:t>
      </w:r>
      <w:r w:rsidR="004C24EC">
        <w:t xml:space="preserve"> </w:t>
      </w:r>
      <w:r w:rsidR="0018615B">
        <w:t>sprendim</w:t>
      </w:r>
      <w:r w:rsidR="00F05524">
        <w:t>us</w:t>
      </w:r>
      <w:r w:rsidR="003C5E2D">
        <w:t xml:space="preserve"> ir žinantys tų sprendimų motyvus</w:t>
      </w:r>
      <w:r w:rsidR="0018615B">
        <w:t>, todėl</w:t>
      </w:r>
      <w:r w:rsidR="00F05524">
        <w:t>,</w:t>
      </w:r>
      <w:r w:rsidR="0018615B">
        <w:t xml:space="preserve"> galima t</w:t>
      </w:r>
      <w:r w:rsidR="00F05524">
        <w:t>virtinti, jog</w:t>
      </w:r>
      <w:r w:rsidR="00A945DE">
        <w:t>,</w:t>
      </w:r>
      <w:r w:rsidR="00F05524">
        <w:t xml:space="preserve"> </w:t>
      </w:r>
      <w:r w:rsidR="003C5E2D">
        <w:t>bene</w:t>
      </w:r>
      <w:r w:rsidR="00A945DE">
        <w:t>,</w:t>
      </w:r>
      <w:r w:rsidR="003C5E2D">
        <w:t xml:space="preserve"> </w:t>
      </w:r>
      <w:r w:rsidR="00F05524">
        <w:t>vienintelė galima elgsenos vertinimo priemonė</w:t>
      </w:r>
      <w:r w:rsidR="00D96797">
        <w:t xml:space="preserve"> yra </w:t>
      </w:r>
      <w:r w:rsidR="00866B42">
        <w:t xml:space="preserve">anketinė </w:t>
      </w:r>
      <w:r w:rsidR="00D96797">
        <w:t>apklausa</w:t>
      </w:r>
      <w:r w:rsidR="00866B42">
        <w:t xml:space="preserve"> arba pokalbis</w:t>
      </w:r>
      <w:r w:rsidR="00844A10">
        <w:t xml:space="preserve"> su </w:t>
      </w:r>
      <w:r w:rsidR="00753DB2">
        <w:t>atrinktais</w:t>
      </w:r>
      <w:r w:rsidR="00537A3F">
        <w:t xml:space="preserve"> individais</w:t>
      </w:r>
      <w:r w:rsidR="00866B42">
        <w:t>, dalyvaujant</w:t>
      </w:r>
      <w:r w:rsidR="00AF71DE">
        <w:t xml:space="preserve"> vertintojui</w:t>
      </w:r>
      <w:r w:rsidR="00A945DE">
        <w:t>,</w:t>
      </w:r>
      <w:r w:rsidR="00537A3F">
        <w:t xml:space="preserve"> – ši</w:t>
      </w:r>
      <w:r w:rsidR="00446DD6">
        <w:t xml:space="preserve">taip </w:t>
      </w:r>
      <w:r w:rsidR="006F59DE">
        <w:t xml:space="preserve">galima </w:t>
      </w:r>
      <w:r w:rsidR="00EE3489">
        <w:t xml:space="preserve">ne tik </w:t>
      </w:r>
      <w:r w:rsidR="00734A2D">
        <w:t>gau</w:t>
      </w:r>
      <w:r w:rsidR="006F59DE">
        <w:t>ti</w:t>
      </w:r>
      <w:r w:rsidR="00734A2D">
        <w:t xml:space="preserve"> </w:t>
      </w:r>
      <w:r w:rsidR="00992A1A">
        <w:t>informacij</w:t>
      </w:r>
      <w:r w:rsidR="00AE41FF">
        <w:t>os</w:t>
      </w:r>
      <w:r w:rsidR="00992A1A">
        <w:t>, bet ir įsitiki</w:t>
      </w:r>
      <w:r w:rsidR="006F59DE">
        <w:t>nti</w:t>
      </w:r>
      <w:r w:rsidR="00992A1A">
        <w:t xml:space="preserve"> jos pagrįstumu.</w:t>
      </w:r>
    </w:p>
    <w:p w:rsidR="00B250F5" w:rsidRDefault="00BC48C4" w:rsidP="00F57649">
      <w:r>
        <w:t>Suvokiant</w:t>
      </w:r>
      <w:r w:rsidR="00B178F1">
        <w:t>, jog</w:t>
      </w:r>
      <w:r w:rsidR="004D22AB">
        <w:t xml:space="preserve">, vertinant elgseną, svarbiausiais tampa </w:t>
      </w:r>
      <w:r w:rsidR="00C10FF9">
        <w:t>sprendimų</w:t>
      </w:r>
      <w:r w:rsidR="00B178F1">
        <w:t xml:space="preserve"> motyvai</w:t>
      </w:r>
      <w:r w:rsidR="004D22AB">
        <w:t xml:space="preserve">, </w:t>
      </w:r>
      <w:r w:rsidR="00B178F1">
        <w:t>galima</w:t>
      </w:r>
      <w:r w:rsidR="00362808">
        <w:t xml:space="preserve"> teigti</w:t>
      </w:r>
      <w:r w:rsidR="00444664">
        <w:t xml:space="preserve">, </w:t>
      </w:r>
      <w:r w:rsidR="005835D2">
        <w:t>jog</w:t>
      </w:r>
      <w:r w:rsidR="004768E7">
        <w:t xml:space="preserve"> skaiti</w:t>
      </w:r>
      <w:r w:rsidR="002C01C9">
        <w:t>nė jų reikšmė</w:t>
      </w:r>
      <w:r w:rsidR="00B178F1">
        <w:t xml:space="preserve"> turėtų</w:t>
      </w:r>
      <w:r w:rsidR="0003357C">
        <w:t xml:space="preserve"> geriau</w:t>
      </w:r>
      <w:r w:rsidR="00B178F1">
        <w:t xml:space="preserve"> perteikti įtakos dydį</w:t>
      </w:r>
      <w:r w:rsidR="00AD59C4">
        <w:t xml:space="preserve"> –</w:t>
      </w:r>
      <w:r w:rsidR="00362808">
        <w:t xml:space="preserve"> </w:t>
      </w:r>
      <w:r w:rsidR="00AD59C4">
        <w:t xml:space="preserve">tai reiškia, jog </w:t>
      </w:r>
      <w:r w:rsidR="009932AF">
        <w:t>klausim</w:t>
      </w:r>
      <w:r w:rsidR="000676F3">
        <w:t>us</w:t>
      </w:r>
      <w:r w:rsidR="009932AF">
        <w:t xml:space="preserve"> </w:t>
      </w:r>
      <w:r w:rsidR="007A4DE4">
        <w:t xml:space="preserve">populiacijai </w:t>
      </w:r>
      <w:r w:rsidR="000676F3">
        <w:t>reik</w:t>
      </w:r>
      <w:r w:rsidR="007837B8">
        <w:t>ė</w:t>
      </w:r>
      <w:r w:rsidR="000676F3">
        <w:t xml:space="preserve">tų </w:t>
      </w:r>
      <w:r w:rsidR="009932AF">
        <w:t>pateikti</w:t>
      </w:r>
      <w:r w:rsidR="000D2D0A">
        <w:t xml:space="preserve"> tokia forma, kad </w:t>
      </w:r>
      <w:r w:rsidR="009932AF">
        <w:t xml:space="preserve">atsakymus </w:t>
      </w:r>
      <w:r w:rsidR="00063739">
        <w:t xml:space="preserve">būtų galima </w:t>
      </w:r>
      <w:r w:rsidR="00A85C84">
        <w:t>pavers</w:t>
      </w:r>
      <w:r w:rsidR="002E6D81">
        <w:t>ti</w:t>
      </w:r>
      <w:r w:rsidR="00727D58">
        <w:t xml:space="preserve"> </w:t>
      </w:r>
      <w:r w:rsidR="009932AF" w:rsidRPr="00565DF6">
        <w:rPr>
          <w:i/>
        </w:rPr>
        <w:t>skaiči</w:t>
      </w:r>
      <w:r w:rsidR="005F2813" w:rsidRPr="00565DF6">
        <w:rPr>
          <w:i/>
        </w:rPr>
        <w:t>ai</w:t>
      </w:r>
      <w:r w:rsidR="009932AF" w:rsidRPr="00565DF6">
        <w:rPr>
          <w:i/>
        </w:rPr>
        <w:t>s</w:t>
      </w:r>
      <w:r w:rsidR="00EA6156">
        <w:t xml:space="preserve">, </w:t>
      </w:r>
      <w:r w:rsidR="00EA6156" w:rsidRPr="006C5ACC">
        <w:rPr>
          <w:i/>
        </w:rPr>
        <w:t>palygin</w:t>
      </w:r>
      <w:r w:rsidR="0031339E" w:rsidRPr="006C5ACC">
        <w:rPr>
          <w:i/>
        </w:rPr>
        <w:t>am</w:t>
      </w:r>
      <w:r w:rsidR="005F2813" w:rsidRPr="006C5ACC">
        <w:rPr>
          <w:i/>
        </w:rPr>
        <w:t>ai</w:t>
      </w:r>
      <w:r w:rsidR="0031339E" w:rsidRPr="006C5ACC">
        <w:rPr>
          <w:i/>
        </w:rPr>
        <w:t>s</w:t>
      </w:r>
      <w:r w:rsidR="00EA6156">
        <w:t xml:space="preserve"> su</w:t>
      </w:r>
      <w:r w:rsidR="00063739">
        <w:t xml:space="preserve"> </w:t>
      </w:r>
      <w:r w:rsidR="00A22A5A">
        <w:t>standartu</w:t>
      </w:r>
      <w:r w:rsidR="009932AF">
        <w:t>.</w:t>
      </w:r>
      <w:r w:rsidR="00161069">
        <w:t xml:space="preserve"> </w:t>
      </w:r>
      <w:r w:rsidR="000676F3">
        <w:t xml:space="preserve">Jau minėta, jog </w:t>
      </w:r>
      <w:r w:rsidR="00C865C7">
        <w:t>„</w:t>
      </w:r>
      <w:r w:rsidR="000676F3">
        <w:t>l</w:t>
      </w:r>
      <w:r w:rsidR="00C865C7">
        <w:t xml:space="preserve">yginti“ </w:t>
      </w:r>
      <w:r w:rsidR="00906B47">
        <w:t xml:space="preserve">reiškia </w:t>
      </w:r>
      <w:r w:rsidR="009E4495">
        <w:t>nustatyti</w:t>
      </w:r>
      <w:r w:rsidR="00E341A9">
        <w:t xml:space="preserve"> vertinamo objekto</w:t>
      </w:r>
      <w:r w:rsidR="009E4495">
        <w:t xml:space="preserve"> </w:t>
      </w:r>
      <w:r w:rsidR="00182E96">
        <w:t>vertę etalono</w:t>
      </w:r>
      <w:r w:rsidR="009A0E35">
        <w:t xml:space="preserve"> atžvilgiu</w:t>
      </w:r>
      <w:r w:rsidR="006C5ACC">
        <w:t>. K</w:t>
      </w:r>
      <w:r w:rsidR="00DA48EB">
        <w:t>adangi</w:t>
      </w:r>
      <w:r w:rsidR="00A2579A">
        <w:t xml:space="preserve"> tok</w:t>
      </w:r>
      <w:r w:rsidR="001F0F06">
        <w:t xml:space="preserve">ia samprata </w:t>
      </w:r>
      <w:r w:rsidR="00803F98">
        <w:t>n</w:t>
      </w:r>
      <w:r w:rsidR="00D64BA0">
        <w:t>eįpareigoja rinktis</w:t>
      </w:r>
      <w:r w:rsidR="00DA48EB">
        <w:t xml:space="preserve"> </w:t>
      </w:r>
      <w:r w:rsidR="00A2579A">
        <w:t>real</w:t>
      </w:r>
      <w:r w:rsidR="00565DF6">
        <w:t>iai egzistuojančio</w:t>
      </w:r>
      <w:r w:rsidR="00C80EBE">
        <w:t xml:space="preserve"> </w:t>
      </w:r>
      <w:r w:rsidR="00DA48EB">
        <w:t xml:space="preserve">objekto, </w:t>
      </w:r>
      <w:r w:rsidR="00382834">
        <w:t>darytina prielaida</w:t>
      </w:r>
      <w:r w:rsidR="00DA48EB">
        <w:t xml:space="preserve">, jog lyginti </w:t>
      </w:r>
      <w:r w:rsidR="00A15986">
        <w:t>galima ir</w:t>
      </w:r>
      <w:r w:rsidR="00EF1A57">
        <w:t xml:space="preserve"> </w:t>
      </w:r>
      <w:r w:rsidR="00DA48EB">
        <w:t xml:space="preserve">su </w:t>
      </w:r>
      <w:r w:rsidR="00EF2AFF">
        <w:t xml:space="preserve">pageidautina </w:t>
      </w:r>
      <w:r w:rsidR="00EF2AFF" w:rsidRPr="00DA6FDA">
        <w:t xml:space="preserve">reikšme </w:t>
      </w:r>
      <w:r w:rsidR="00917F9D" w:rsidRPr="00DA6FDA">
        <w:t>(</w:t>
      </w:r>
      <w:r w:rsidR="00FE4349" w:rsidRPr="00DA6FDA">
        <w:t>žr. 9</w:t>
      </w:r>
      <w:r w:rsidR="00917F9D" w:rsidRPr="00DA6FDA">
        <w:t> pav.)</w:t>
      </w:r>
      <w:r w:rsidR="00CC2D7A" w:rsidRPr="00DA6FDA">
        <w:t>.</w:t>
      </w:r>
    </w:p>
    <w:p w:rsidR="00406453" w:rsidRDefault="00D84BC4" w:rsidP="00B47C44">
      <w:pPr>
        <w:spacing w:line="240" w:lineRule="auto"/>
        <w:ind w:firstLine="0"/>
        <w:jc w:val="center"/>
      </w:pPr>
      <w:r>
        <w:pict>
          <v:group id="_x0000_s1283" editas="canvas" style="width:509.45pt;height:649.05pt;mso-position-horizontal-relative:char;mso-position-vertical-relative:line" coordorigin="1774,-2280" coordsize="7691,9739">
            <o:lock v:ext="edit" aspectratio="t"/>
            <v:shape id="_x0000_s1284" type="#_x0000_t75" style="position:absolute;left:1774;top:-2280;width:7691;height:9739" o:preferrelative="f">
              <v:fill o:detectmouseclick="t"/>
              <v:path o:extrusionok="t" o:connecttype="none"/>
              <o:lock v:ext="edit" text="t"/>
            </v:shape>
            <v:group id="_x0000_s1286" style="position:absolute;left:4462;top:2880;width:409;height:270" coordorigin="4462,2880" coordsize="409,270">
              <v:rect id="_x0000_s1287" style="position:absolute;left:4462;top:2880;width:409;height:270" stroked="f">
                <v:textbox style="mso-next-textbox:#_x0000_s1287">
                  <w:txbxContent>
                    <w:p w:rsidR="00B2438E" w:rsidRPr="00587609" w:rsidRDefault="00B2438E" w:rsidP="0068413E">
                      <w:pPr>
                        <w:jc w:val="center"/>
                        <w:rPr>
                          <w:sz w:val="16"/>
                          <w:szCs w:val="16"/>
                        </w:rPr>
                      </w:pPr>
                      <w:r w:rsidRPr="00587609">
                        <w:rPr>
                          <w:sz w:val="16"/>
                          <w:szCs w:val="16"/>
                        </w:rPr>
                        <w:t>Ne</w:t>
                      </w:r>
                    </w:p>
                  </w:txbxContent>
                </v:textbox>
              </v:rect>
            </v:group>
            <v:rect id="_x0000_s1288" style="position:absolute;left:2075;top:6536;width:373;height:284" fillcolor="#d8d8d8" stroked="f">
              <v:fill opacity="0"/>
              <v:textbox style="mso-next-textbox:#_x0000_s1288">
                <w:txbxContent>
                  <w:p w:rsidR="00B2438E" w:rsidRPr="00197B5F" w:rsidRDefault="00B2438E" w:rsidP="0068413E">
                    <w:pPr>
                      <w:rPr>
                        <w:sz w:val="16"/>
                        <w:szCs w:val="16"/>
                      </w:rPr>
                    </w:pPr>
                    <w:r>
                      <w:rPr>
                        <w:sz w:val="16"/>
                        <w:szCs w:val="16"/>
                      </w:rPr>
                      <w:t>Ne</w:t>
                    </w:r>
                  </w:p>
                </w:txbxContent>
              </v:textbox>
            </v:rect>
            <v:rect id="_x0000_s1289" style="position:absolute;left:8804;top:5130;width:458;height:283" fillcolor="#d8d8d8" stroked="f">
              <v:fill opacity="0"/>
              <v:textbox style="mso-next-textbox:#_x0000_s1289">
                <w:txbxContent>
                  <w:p w:rsidR="00B2438E" w:rsidRPr="00197B5F" w:rsidRDefault="00B2438E" w:rsidP="0068413E">
                    <w:pPr>
                      <w:spacing w:before="40"/>
                      <w:jc w:val="center"/>
                      <w:rPr>
                        <w:sz w:val="16"/>
                        <w:szCs w:val="16"/>
                      </w:rPr>
                    </w:pPr>
                    <w:r>
                      <w:rPr>
                        <w:sz w:val="16"/>
                        <w:szCs w:val="16"/>
                      </w:rPr>
                      <w:t>Ne</w:t>
                    </w:r>
                  </w:p>
                </w:txbxContent>
              </v:textbox>
            </v:rect>
            <v:rect id="_x0000_s1290" style="position:absolute;left:6383;top:6733;width:478;height:283" fillcolor="#d8d8d8" stroked="f">
              <v:fill opacity="0"/>
              <v:textbox style="mso-next-textbox:#_x0000_s1290">
                <w:txbxContent>
                  <w:p w:rsidR="00B2438E" w:rsidRPr="00197B5F" w:rsidRDefault="00B2438E" w:rsidP="0068413E">
                    <w:pPr>
                      <w:rPr>
                        <w:sz w:val="16"/>
                        <w:szCs w:val="16"/>
                      </w:rPr>
                    </w:pPr>
                    <w:r>
                      <w:rPr>
                        <w:sz w:val="16"/>
                        <w:szCs w:val="16"/>
                      </w:rPr>
                      <w:t>Taip</w:t>
                    </w:r>
                  </w:p>
                </w:txbxContent>
              </v:textbox>
            </v:rect>
            <v:rect id="_x0000_s1291" style="position:absolute;left:1774;top:-2280;width:7691;height:920" fillcolor="#daeef3 [664]" strokeweight="1.5pt">
              <v:fill opacity=".5"/>
            </v:rect>
            <v:rect id="_x0000_s1292" style="position:absolute;left:4130;top:-1740;width:2988;height:333">
              <v:textbox style="mso-next-textbox:#_x0000_s1292" inset="2.16pt,2.16pt,2.16pt,1.44pt">
                <w:txbxContent>
                  <w:p w:rsidR="00B2438E" w:rsidRPr="006F59DE" w:rsidRDefault="00B2438E" w:rsidP="0068413E">
                    <w:pPr>
                      <w:spacing w:after="0" w:line="240" w:lineRule="auto"/>
                      <w:ind w:firstLine="0"/>
                      <w:contextualSpacing w:val="0"/>
                      <w:jc w:val="center"/>
                      <w:rPr>
                        <w:sz w:val="16"/>
                        <w:szCs w:val="16"/>
                      </w:rPr>
                    </w:pPr>
                    <w:r w:rsidRPr="006F59DE">
                      <w:rPr>
                        <w:sz w:val="16"/>
                        <w:szCs w:val="16"/>
                      </w:rPr>
                      <w:t>VEIKSNIŲ, LEMIANČI</w:t>
                    </w:r>
                    <w:r>
                      <w:rPr>
                        <w:sz w:val="16"/>
                        <w:szCs w:val="16"/>
                      </w:rPr>
                      <w:t xml:space="preserve">Ų </w:t>
                    </w:r>
                    <w:r w:rsidRPr="00713525">
                      <w:rPr>
                        <w:sz w:val="16"/>
                        <w:szCs w:val="16"/>
                      </w:rPr>
                      <w:t>PAJAMŲ FORMAVIMĄ IŠ SOCI</w:t>
                    </w:r>
                    <w:r>
                      <w:rPr>
                        <w:sz w:val="16"/>
                        <w:szCs w:val="16"/>
                      </w:rPr>
                      <w:t>ALINĖS APSAUGOS LĖŠŲ, PARINKIMAS</w:t>
                    </w:r>
                  </w:p>
                </w:txbxContent>
              </v:textbox>
            </v:rect>
            <v:rect id="_x0000_s1293" style="position:absolute;left:7388;top:-2039;width:1601;height:440">
              <v:textbox style="mso-next-textbox:#_x0000_s1293" inset="2.16pt,2.16pt,2.16pt,2.16pt">
                <w:txbxContent>
                  <w:p w:rsidR="00B2438E" w:rsidRPr="008F47DE" w:rsidRDefault="00B2438E" w:rsidP="0068413E">
                    <w:pPr>
                      <w:spacing w:before="60" w:after="0" w:line="240" w:lineRule="auto"/>
                      <w:ind w:firstLine="0"/>
                      <w:jc w:val="center"/>
                      <w:rPr>
                        <w:sz w:val="16"/>
                        <w:szCs w:val="16"/>
                      </w:rPr>
                    </w:pPr>
                    <w:r>
                      <w:rPr>
                        <w:sz w:val="16"/>
                        <w:szCs w:val="16"/>
                        <w:u w:val="single"/>
                      </w:rPr>
                      <w:t>Metodai</w:t>
                    </w:r>
                    <w:r>
                      <w:rPr>
                        <w:sz w:val="16"/>
                        <w:szCs w:val="16"/>
                      </w:rPr>
                      <w:t>: mokslinės</w:t>
                    </w:r>
                    <w:r>
                      <w:rPr>
                        <w:sz w:val="16"/>
                        <w:szCs w:val="16"/>
                      </w:rPr>
                      <w:br/>
                      <w:t>literatūros analizė</w:t>
                    </w:r>
                  </w:p>
                </w:txbxContent>
              </v:textbox>
            </v:rect>
            <v:rect id="_x0000_s1295" style="position:absolute;left:4128;top:-2212;width:2990;height:345">
              <v:textbox style="mso-next-textbox:#_x0000_s1295" inset="2.16pt,2.16pt,2.16pt,2.16pt">
                <w:txbxContent>
                  <w:p w:rsidR="00B2438E" w:rsidRPr="006A0FF4" w:rsidRDefault="00B2438E" w:rsidP="0068413E">
                    <w:pPr>
                      <w:spacing w:line="240" w:lineRule="auto"/>
                      <w:ind w:firstLine="0"/>
                      <w:jc w:val="center"/>
                      <w:rPr>
                        <w:sz w:val="16"/>
                        <w:szCs w:val="16"/>
                      </w:rPr>
                    </w:pPr>
                    <w:r w:rsidRPr="006A0FF4">
                      <w:rPr>
                        <w:sz w:val="16"/>
                        <w:szCs w:val="16"/>
                      </w:rPr>
                      <w:t>VEIKSNIŲ, DARANČIŲ ĮTAKĄ GYVENTOJŲ FINANSINEI ELGSENAI, NUSTATYMAS</w:t>
                    </w:r>
                  </w:p>
                </w:txbxContent>
              </v:textbox>
            </v:rect>
            <v:shape id="_x0000_s1297" type="#_x0000_t32" style="position:absolute;left:5624;top:-1867;width:1;height:127" o:connectortype="straight">
              <v:stroke endarrow="block"/>
            </v:shape>
            <v:shape id="_x0000_s1302" type="#_x0000_t67" style="position:absolute;left:5473;top:-1360;width:306;height:228" fillcolor="#daeef3 [664]" strokeweight="1.25pt">
              <v:fill opacity=".5"/>
              <v:textbox style="layout-flow:vertical-ideographic"/>
            </v:shape>
            <v:rect id="_x0000_s1323" style="position:absolute;left:1774;top:1743;width:7691;height:5077" fillcolor="#b6dde8 [1304]" strokeweight="1.5pt"/>
            <v:shape id="_x0000_s1335" type="#_x0000_t67" style="position:absolute;left:5471;top:6820;width:307;height:228" fillcolor="#b6dde8 [1304]" strokeweight="1.25pt">
              <v:textbox style="layout-flow:vertical-ideographic"/>
            </v:shape>
            <v:rect id="_x0000_s1339" style="position:absolute;left:1840;top:3361;width:520;height:333" fillcolor="#b6dde8 [1304]" stroked="f">
              <v:textbox style="mso-next-textbox:#_x0000_s1339" inset="2.16pt,2.16pt,2.16pt,1.44pt">
                <w:txbxContent>
                  <w:p w:rsidR="00B2438E" w:rsidRPr="0041000B" w:rsidRDefault="00B2438E" w:rsidP="0068413E">
                    <w:pPr>
                      <w:spacing w:before="60" w:after="0" w:line="240" w:lineRule="auto"/>
                      <w:ind w:firstLine="0"/>
                      <w:contextualSpacing w:val="0"/>
                      <w:jc w:val="center"/>
                      <w:rPr>
                        <w:sz w:val="15"/>
                        <w:szCs w:val="15"/>
                      </w:rPr>
                    </w:pPr>
                    <w:r w:rsidRPr="0041000B">
                      <w:rPr>
                        <w:sz w:val="15"/>
                        <w:szCs w:val="15"/>
                      </w:rPr>
                      <w:t>Taip</w:t>
                    </w:r>
                  </w:p>
                </w:txbxContent>
              </v:textbox>
            </v:rect>
            <v:rect id="_x0000_s1340" style="position:absolute;left:6644;top:3361;width:547;height:333" fillcolor="#b6dde8 [1304]" stroked="f">
              <v:textbox style="mso-next-textbox:#_x0000_s1340" inset="2.16pt,2.16pt,2.16pt,1.44pt">
                <w:txbxContent>
                  <w:p w:rsidR="00B2438E" w:rsidRPr="0041000B" w:rsidRDefault="00B2438E" w:rsidP="0068413E">
                    <w:pPr>
                      <w:spacing w:before="60" w:after="0" w:line="240" w:lineRule="auto"/>
                      <w:ind w:firstLine="0"/>
                      <w:jc w:val="center"/>
                      <w:rPr>
                        <w:sz w:val="15"/>
                        <w:szCs w:val="15"/>
                      </w:rPr>
                    </w:pPr>
                    <w:r>
                      <w:rPr>
                        <w:sz w:val="15"/>
                        <w:szCs w:val="15"/>
                      </w:rPr>
                      <w:t>Ne</w:t>
                    </w:r>
                  </w:p>
                </w:txbxContent>
              </v:textbox>
            </v:rect>
            <v:rect id="_x0000_s1341" style="position:absolute;left:4462;top:5082;width:474;height:331" fillcolor="#b6dde8 [1304]" stroked="f">
              <v:textbox style="mso-next-textbox:#_x0000_s1341" inset="2.16pt,2.16pt,2.16pt,1.44pt">
                <w:txbxContent>
                  <w:p w:rsidR="00B2438E" w:rsidRPr="0041000B" w:rsidRDefault="00B2438E" w:rsidP="0068413E">
                    <w:pPr>
                      <w:spacing w:before="50" w:after="0" w:line="240" w:lineRule="auto"/>
                      <w:ind w:firstLine="0"/>
                      <w:jc w:val="center"/>
                      <w:rPr>
                        <w:sz w:val="15"/>
                        <w:szCs w:val="15"/>
                      </w:rPr>
                    </w:pPr>
                    <w:r w:rsidRPr="0041000B">
                      <w:rPr>
                        <w:sz w:val="15"/>
                        <w:szCs w:val="15"/>
                      </w:rPr>
                      <w:t>Taip</w:t>
                    </w:r>
                  </w:p>
                </w:txbxContent>
              </v:textbox>
            </v:rect>
            <v:rect id="_x0000_s1344" style="position:absolute;left:6644;top:5082;width:474;height:331" fillcolor="#b6dde8 [1304]" stroked="f">
              <v:textbox style="mso-next-textbox:#_x0000_s1344" inset="2.16pt,2.16pt,2.16pt,1.44pt">
                <w:txbxContent>
                  <w:p w:rsidR="00B2438E" w:rsidRPr="0041000B" w:rsidRDefault="00B2438E" w:rsidP="0068413E">
                    <w:pPr>
                      <w:spacing w:before="50" w:after="0" w:line="240" w:lineRule="auto"/>
                      <w:ind w:firstLine="0"/>
                      <w:jc w:val="center"/>
                      <w:rPr>
                        <w:sz w:val="15"/>
                        <w:szCs w:val="15"/>
                      </w:rPr>
                    </w:pPr>
                    <w:r>
                      <w:rPr>
                        <w:sz w:val="15"/>
                        <w:szCs w:val="15"/>
                      </w:rPr>
                      <w:t>Ne</w:t>
                    </w:r>
                  </w:p>
                </w:txbxContent>
              </v:textbox>
            </v:rect>
            <v:shape id="_x0000_s1346" type="#_x0000_t67" style="position:absolute;left:5473;top:1515;width:306;height:228" fillcolor="#92cddc [1944]" strokeweight="1.25pt">
              <v:fill opacity=".5"/>
              <v:textbox style="layout-flow:vertical-ideographic"/>
            </v:shape>
            <v:rect id="_x0000_s1352" style="position:absolute;left:8858;top:3361;width:520;height:333" fillcolor="#b6dde8 [1304]" stroked="f">
              <v:textbox style="mso-next-textbox:#_x0000_s1352" inset="2.16pt,2.16pt,2.16pt,1.44pt">
                <w:txbxContent>
                  <w:p w:rsidR="00B2438E" w:rsidRPr="0041000B" w:rsidRDefault="00B2438E" w:rsidP="0068413E">
                    <w:pPr>
                      <w:spacing w:before="70" w:after="0" w:line="240" w:lineRule="auto"/>
                      <w:ind w:firstLine="0"/>
                      <w:jc w:val="center"/>
                      <w:rPr>
                        <w:sz w:val="15"/>
                        <w:szCs w:val="15"/>
                      </w:rPr>
                    </w:pPr>
                    <w:r w:rsidRPr="0041000B">
                      <w:rPr>
                        <w:sz w:val="15"/>
                        <w:szCs w:val="15"/>
                      </w:rPr>
                      <w:t>Taip</w:t>
                    </w:r>
                  </w:p>
                </w:txbxContent>
              </v:textbox>
            </v:rect>
            <v:rect id="_x0000_s1355" style="position:absolute;left:4140;top:3361;width:475;height:333" fillcolor="#b6dde8 [1304]" stroked="f">
              <v:textbox style="mso-next-textbox:#_x0000_s1355" inset="2.16pt,2.16pt,2.16pt,1.44pt">
                <w:txbxContent>
                  <w:p w:rsidR="00B2438E" w:rsidRPr="0041000B" w:rsidRDefault="00B2438E" w:rsidP="0068413E">
                    <w:pPr>
                      <w:spacing w:before="60" w:after="0" w:line="240" w:lineRule="auto"/>
                      <w:ind w:firstLine="0"/>
                      <w:jc w:val="center"/>
                      <w:rPr>
                        <w:sz w:val="15"/>
                        <w:szCs w:val="15"/>
                      </w:rPr>
                    </w:pPr>
                    <w:r>
                      <w:rPr>
                        <w:sz w:val="15"/>
                        <w:szCs w:val="15"/>
                      </w:rPr>
                      <w:t>Ne</w:t>
                    </w:r>
                  </w:p>
                </w:txbxContent>
              </v:textbox>
            </v:rect>
            <v:rect id="_x0000_s1325" style="position:absolute;left:4524;top:4379;width:2177;height:332" o:regroupid="8">
              <v:textbox style="mso-next-textbox:#_x0000_s1325" inset="2.16pt,2.16pt,2.16pt,2.16pt">
                <w:txbxContent>
                  <w:p w:rsidR="00B2438E" w:rsidRDefault="00B2438E" w:rsidP="0068413E">
                    <w:pPr>
                      <w:spacing w:line="240" w:lineRule="auto"/>
                      <w:ind w:firstLine="0"/>
                      <w:jc w:val="center"/>
                      <w:rPr>
                        <w:sz w:val="16"/>
                        <w:szCs w:val="16"/>
                      </w:rPr>
                    </w:pPr>
                    <w:r>
                      <w:rPr>
                        <w:sz w:val="16"/>
                        <w:szCs w:val="16"/>
                      </w:rPr>
                      <w:t>Ekspertų nuomonių</w:t>
                    </w:r>
                  </w:p>
                  <w:p w:rsidR="00B2438E" w:rsidRPr="0078564E" w:rsidRDefault="00B2438E" w:rsidP="0068413E">
                    <w:pPr>
                      <w:spacing w:line="240" w:lineRule="auto"/>
                      <w:ind w:firstLine="0"/>
                      <w:jc w:val="center"/>
                      <w:rPr>
                        <w:sz w:val="16"/>
                        <w:szCs w:val="16"/>
                      </w:rPr>
                    </w:pPr>
                    <w:r>
                      <w:rPr>
                        <w:sz w:val="16"/>
                        <w:szCs w:val="16"/>
                      </w:rPr>
                      <w:t>suderinamumo tikrinimas</w:t>
                    </w:r>
                  </w:p>
                </w:txbxContent>
              </v:textbox>
            </v:rect>
            <v:rect id="_x0000_s1326" style="position:absolute;left:7088;top:2373;width:2174;height:269" o:regroupid="8">
              <v:textbox style="mso-next-textbox:#_x0000_s1326">
                <w:txbxContent>
                  <w:p w:rsidR="00B2438E" w:rsidRPr="00FB3EFD" w:rsidRDefault="00B2438E" w:rsidP="0068413E">
                    <w:pPr>
                      <w:spacing w:before="20" w:after="0" w:line="240" w:lineRule="auto"/>
                      <w:ind w:firstLine="0"/>
                      <w:jc w:val="center"/>
                      <w:rPr>
                        <w:sz w:val="16"/>
                        <w:szCs w:val="16"/>
                      </w:rPr>
                    </w:pPr>
                    <w:r>
                      <w:rPr>
                        <w:sz w:val="16"/>
                        <w:szCs w:val="16"/>
                      </w:rPr>
                      <w:t>Svertinių balų apskaičiavimas</w:t>
                    </w:r>
                  </w:p>
                </w:txbxContent>
              </v:textbox>
            </v:rect>
            <v:rect id="_x0000_s1327" style="position:absolute;left:7088;top:2776;width:2174;height:270" o:regroupid="8">
              <v:textbox style="mso-next-textbox:#_x0000_s1327">
                <w:txbxContent>
                  <w:p w:rsidR="00B2438E" w:rsidRPr="007E3830" w:rsidRDefault="00B2438E" w:rsidP="0068413E">
                    <w:pPr>
                      <w:spacing w:after="0" w:line="240" w:lineRule="auto"/>
                      <w:ind w:firstLine="0"/>
                      <w:jc w:val="center"/>
                      <w:rPr>
                        <w:sz w:val="16"/>
                        <w:szCs w:val="16"/>
                      </w:rPr>
                    </w:pPr>
                    <w:r w:rsidRPr="007E3830">
                      <w:rPr>
                        <w:sz w:val="16"/>
                        <w:szCs w:val="16"/>
                      </w:rPr>
                      <w:t>Lyginimas su pageidautina reikšme</w:t>
                    </w:r>
                  </w:p>
                </w:txbxContent>
              </v:textbox>
            </v:rect>
            <v:shape id="_x0000_s1328" type="#_x0000_t32" style="position:absolute;left:8175;top:2642;width:1;height:134" o:connectortype="straight" o:regroupid="8">
              <v:stroke endarrow="block"/>
            </v:shape>
            <v:shape id="_x0000_s1329" type="#_x0000_t32" style="position:absolute;left:5612;top:4253;width:3;height:126;flip:x" o:connectortype="straight" o:regroupid="8">
              <v:stroke endarrow="block"/>
            </v:shape>
            <v:shape id="_x0000_s1330" type="#_x0000_t32" style="position:absolute;left:5612;top:4711;width:1;height:155;flip:x" o:connectortype="straight" o:regroupid="8">
              <v:stroke endarrow="block"/>
            </v:shape>
            <v:rect id="_x0000_s1331" style="position:absolute;left:4125;top:5930;width:2977;height:333" o:regroupid="8">
              <v:textbox style="mso-next-textbox:#_x0000_s1331" inset="2.16pt,2.16pt,2.16pt,2.16pt">
                <w:txbxContent>
                  <w:p w:rsidR="00B2438E" w:rsidRPr="00C46B7A" w:rsidRDefault="00B2438E" w:rsidP="0068413E">
                    <w:pPr>
                      <w:spacing w:before="80" w:line="240" w:lineRule="auto"/>
                      <w:ind w:firstLine="0"/>
                      <w:jc w:val="center"/>
                      <w:rPr>
                        <w:sz w:val="16"/>
                        <w:szCs w:val="16"/>
                      </w:rPr>
                    </w:pPr>
                    <w:r>
                      <w:rPr>
                        <w:sz w:val="16"/>
                        <w:szCs w:val="16"/>
                      </w:rPr>
                      <w:t>LYGINIMAS SU APKLAUSOS REZULTATAIS</w:t>
                    </w:r>
                  </w:p>
                  <w:p w:rsidR="00B2438E" w:rsidRPr="00A82FF5" w:rsidRDefault="00B2438E" w:rsidP="0068413E">
                    <w:pPr>
                      <w:jc w:val="center"/>
                      <w:rPr>
                        <w:sz w:val="16"/>
                        <w:szCs w:val="16"/>
                      </w:rPr>
                    </w:pPr>
                  </w:p>
                </w:txbxContent>
              </v:textbox>
            </v:rect>
            <v:rect id="_x0000_s1332" style="position:absolute;left:4128;top:6401;width:2976;height:332" o:regroupid="8">
              <v:textbox style="mso-next-textbox:#_x0000_s1332" inset="2.16pt,2.16pt,2.16pt,2.16pt">
                <w:txbxContent>
                  <w:p w:rsidR="00B2438E" w:rsidRPr="00C46B7A" w:rsidRDefault="00B2438E" w:rsidP="0068413E">
                    <w:pPr>
                      <w:spacing w:before="80" w:line="240" w:lineRule="auto"/>
                      <w:ind w:firstLine="0"/>
                      <w:jc w:val="center"/>
                      <w:rPr>
                        <w:sz w:val="16"/>
                        <w:szCs w:val="16"/>
                      </w:rPr>
                    </w:pPr>
                    <w:r>
                      <w:rPr>
                        <w:sz w:val="16"/>
                        <w:szCs w:val="16"/>
                      </w:rPr>
                      <w:t>GAUTŲ REZULTATŲ APIBENDRINIMAS</w:t>
                    </w:r>
                  </w:p>
                  <w:p w:rsidR="00B2438E" w:rsidRPr="00A82FF5" w:rsidRDefault="00B2438E" w:rsidP="0068413E">
                    <w:pPr>
                      <w:jc w:val="center"/>
                      <w:rPr>
                        <w:sz w:val="16"/>
                        <w:szCs w:val="16"/>
                      </w:rPr>
                    </w:pPr>
                  </w:p>
                </w:txbxContent>
              </v:textbox>
            </v:rect>
            <v:shape id="_x0000_s1333" type="#_x0000_t32" style="position:absolute;left:5614;top:6263;width:1;height:138" o:connectortype="straight" o:regroupid="8">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1342" type="#_x0000_t35" style="position:absolute;left:4799;top:5288;width:815;height:642;rotation:180;flip:x y" o:connectortype="elbow" o:regroupid="8" adj="-7200,16502,109560">
              <v:stroke endarrow="block"/>
            </v:shape>
            <v:shapetype id="_x0000_t4" coordsize="21600,21600" o:spt="4" path="m10800,l,10800,10800,21600,21600,10800xe">
              <v:stroke joinstyle="miter"/>
              <v:path gradientshapeok="t" o:connecttype="rect" textboxrect="5400,5400,16200,16200"/>
            </v:shapetype>
            <v:shape id="_x0000_s1343" type="#_x0000_t4" style="position:absolute;left:4799;top:4866;width:1626;height:844" o:regroupid="8">
              <v:textbox style="mso-next-textbox:#_x0000_s1343" inset="1.44pt,1.44pt,1.44pt,1.44pt">
                <w:txbxContent>
                  <w:p w:rsidR="00B2438E" w:rsidRPr="00550E15" w:rsidRDefault="00B2438E" w:rsidP="0068413E">
                    <w:pPr>
                      <w:spacing w:after="0" w:line="240" w:lineRule="auto"/>
                      <w:ind w:firstLine="0"/>
                      <w:jc w:val="center"/>
                      <w:rPr>
                        <w:sz w:val="15"/>
                        <w:szCs w:val="15"/>
                      </w:rPr>
                    </w:pPr>
                    <w:r w:rsidRPr="00550E15">
                      <w:rPr>
                        <w:sz w:val="15"/>
                        <w:szCs w:val="15"/>
                      </w:rPr>
                      <w:t>Ar</w:t>
                    </w:r>
                    <w:r>
                      <w:rPr>
                        <w:sz w:val="15"/>
                        <w:szCs w:val="15"/>
                      </w:rPr>
                      <w:t xml:space="preserve"> ekspertų nuomonės suderinamos</w:t>
                    </w:r>
                    <w:r w:rsidRPr="00550E15">
                      <w:rPr>
                        <w:sz w:val="15"/>
                        <w:szCs w:val="15"/>
                      </w:rPr>
                      <w:t>?</w:t>
                    </w:r>
                  </w:p>
                </w:txbxContent>
              </v:textbox>
            </v:shape>
            <v:shape id="_x0000_s1345" type="#_x0000_t34" style="position:absolute;left:6425;top:4087;width:679;height:1201;flip:y" o:connectortype="elbow" o:regroupid="8" adj="26285,159047,-183168">
              <v:stroke endarrow="block"/>
            </v:shape>
            <v:rect id="_x0000_s1347" style="position:absolute;left:1966;top:2373;width:2174;height:270" o:regroupid="8">
              <v:textbox style="mso-next-textbox:#_x0000_s1347">
                <w:txbxContent>
                  <w:p w:rsidR="00B2438E" w:rsidRPr="00FB3EFD" w:rsidRDefault="00B2438E" w:rsidP="0068413E">
                    <w:pPr>
                      <w:spacing w:before="20" w:after="0" w:line="240" w:lineRule="auto"/>
                      <w:ind w:firstLine="0"/>
                      <w:jc w:val="center"/>
                      <w:rPr>
                        <w:sz w:val="16"/>
                        <w:szCs w:val="16"/>
                      </w:rPr>
                    </w:pPr>
                    <w:r>
                      <w:rPr>
                        <w:sz w:val="16"/>
                        <w:szCs w:val="16"/>
                      </w:rPr>
                      <w:t>Svertinių balų apskaičiavimas</w:t>
                    </w:r>
                  </w:p>
                </w:txbxContent>
              </v:textbox>
            </v:rect>
            <v:rect id="_x0000_s1348" style="position:absolute;left:1966;top:2777;width:2174;height:269" o:regroupid="8">
              <v:textbox style="mso-next-textbox:#_x0000_s1348">
                <w:txbxContent>
                  <w:p w:rsidR="00B2438E" w:rsidRPr="007E3830" w:rsidRDefault="00B2438E" w:rsidP="0068413E">
                    <w:pPr>
                      <w:spacing w:after="0" w:line="240" w:lineRule="auto"/>
                      <w:ind w:firstLine="0"/>
                      <w:jc w:val="center"/>
                      <w:rPr>
                        <w:sz w:val="16"/>
                        <w:szCs w:val="16"/>
                      </w:rPr>
                    </w:pPr>
                    <w:r w:rsidRPr="007E3830">
                      <w:rPr>
                        <w:sz w:val="16"/>
                        <w:szCs w:val="16"/>
                      </w:rPr>
                      <w:t>Lyginimas su pageidautina reikšme</w:t>
                    </w:r>
                  </w:p>
                </w:txbxContent>
              </v:textbox>
            </v:rect>
            <v:shape id="_x0000_s1349" type="#_x0000_t32" style="position:absolute;left:3053;top:2643;width:1;height:134" o:connectortype="straight" o:regroupid="8">
              <v:stroke endarrow="block"/>
            </v:shape>
            <v:shape id="_x0000_s1350" type="#_x0000_t4" style="position:absolute;left:2240;top:3164;width:1626;height:844" o:regroupid="8">
              <v:textbox style="mso-next-textbox:#_x0000_s1350" inset="1.44pt,1.44pt,1.44pt,1.44pt">
                <w:txbxContent>
                  <w:p w:rsidR="00B2438E" w:rsidRPr="00740893" w:rsidRDefault="00B2438E" w:rsidP="0068413E">
                    <w:pPr>
                      <w:spacing w:after="0" w:line="240" w:lineRule="auto"/>
                      <w:ind w:firstLine="0"/>
                      <w:jc w:val="center"/>
                      <w:rPr>
                        <w:sz w:val="15"/>
                        <w:szCs w:val="15"/>
                      </w:rPr>
                    </w:pPr>
                    <w:r>
                      <w:rPr>
                        <w:sz w:val="15"/>
                        <w:szCs w:val="15"/>
                      </w:rPr>
                      <w:t>Ar įvertinimai pakankamai reprezentatyvū</w:t>
                    </w:r>
                    <w:r w:rsidRPr="00740893">
                      <w:rPr>
                        <w:sz w:val="15"/>
                        <w:szCs w:val="15"/>
                      </w:rPr>
                      <w:t>s?</w:t>
                    </w:r>
                  </w:p>
                </w:txbxContent>
              </v:textbox>
            </v:shape>
            <v:shape id="_x0000_s1351" type="#_x0000_t34" style="position:absolute;left:2240;top:3586;width:1888;height:2981;rotation:180;flip:x y" o:connectortype="elbow" o:regroupid="8" adj="-3108,48756,17853">
              <v:stroke endarrow="block"/>
            </v:shape>
            <v:shape id="_x0000_s1353" type="#_x0000_t34" style="position:absolute;left:7104;top:3587;width:1885;height:2980;flip:x" o:connectortype="elbow" o:regroupid="8" adj="-3114,-48774,95232">
              <v:stroke endarrow="block"/>
            </v:shape>
            <v:shape id="_x0000_s1354" type="#_x0000_t4" style="position:absolute;left:7363;top:3166;width:1626;height:842" o:regroupid="8">
              <v:textbox style="mso-next-textbox:#_x0000_s1354" inset="1.44pt,1.44pt,1.44pt,1.44pt">
                <w:txbxContent>
                  <w:p w:rsidR="00B2438E" w:rsidRPr="00740893" w:rsidRDefault="00B2438E" w:rsidP="0068413E">
                    <w:pPr>
                      <w:spacing w:after="0" w:line="240" w:lineRule="auto"/>
                      <w:ind w:firstLine="0"/>
                      <w:jc w:val="center"/>
                      <w:rPr>
                        <w:sz w:val="15"/>
                        <w:szCs w:val="15"/>
                      </w:rPr>
                    </w:pPr>
                    <w:r>
                      <w:rPr>
                        <w:sz w:val="15"/>
                        <w:szCs w:val="15"/>
                      </w:rPr>
                      <w:t>Ar įvertinimai pakankamai reprezentatyvū</w:t>
                    </w:r>
                    <w:r w:rsidRPr="00740893">
                      <w:rPr>
                        <w:sz w:val="15"/>
                        <w:szCs w:val="15"/>
                      </w:rPr>
                      <w:t>s?</w:t>
                    </w:r>
                  </w:p>
                </w:txbxContent>
              </v:textbox>
            </v:shape>
            <v:rect id="_x0000_s1356" style="position:absolute;left:4128;top:1809;width:2976;height:333" o:regroupid="8">
              <v:textbox style="mso-next-textbox:#_x0000_s1356" inset="2.16pt,2.16pt,2.16pt,1.44pt">
                <w:txbxContent>
                  <w:p w:rsidR="00B2438E" w:rsidRPr="008F47DE" w:rsidRDefault="00B2438E" w:rsidP="0068413E">
                    <w:pPr>
                      <w:spacing w:before="80" w:after="0" w:line="240" w:lineRule="auto"/>
                      <w:ind w:firstLine="0"/>
                      <w:jc w:val="center"/>
                      <w:rPr>
                        <w:sz w:val="16"/>
                        <w:szCs w:val="16"/>
                      </w:rPr>
                    </w:pPr>
                    <w:r>
                      <w:rPr>
                        <w:sz w:val="16"/>
                        <w:szCs w:val="16"/>
                      </w:rPr>
                      <w:t>APKLAUSA</w:t>
                    </w:r>
                  </w:p>
                </w:txbxContent>
              </v:textbox>
            </v:rect>
            <v:shape id="_x0000_s1357" type="#_x0000_t32" style="position:absolute;left:3053;top:3046;width:1;height:118" o:connectortype="straight" o:regroupid="8">
              <v:stroke endarrow="block"/>
            </v:shape>
            <v:shape id="_x0000_s1358" type="#_x0000_t32" style="position:absolute;left:8175;top:3046;width:1;height:120" o:connectortype="straight" o:regroupid="8">
              <v:stroke endarrow="block"/>
            </v:shape>
            <v:shape id="_x0000_s1359" type="#_x0000_t34" style="position:absolute;left:4219;top:976;width:231;height:2563;rotation:90" o:connectortype="elbow" o:regroupid="8" adj=",-44796,-458719">
              <v:stroke endarrow="block"/>
            </v:shape>
            <v:shape id="_x0000_s1360" type="#_x0000_t34" style="position:absolute;left:6780;top:978;width:231;height:2559;rotation:90;flip:x" o:connectortype="elbow" o:regroupid="8" adj=",44876,-458719">
              <v:stroke endarrow="block"/>
            </v:shape>
            <v:rect id="_x0000_s1324" style="position:absolute;left:4128;top:3920;width:2976;height:333" o:regroupid="8">
              <v:textbox style="mso-next-textbox:#_x0000_s1324" inset="2.16pt,2.16pt,2.16pt,2.16pt">
                <w:txbxContent>
                  <w:p w:rsidR="00B2438E" w:rsidRPr="00C46B7A" w:rsidRDefault="00B2438E" w:rsidP="0068413E">
                    <w:pPr>
                      <w:spacing w:before="80" w:line="240" w:lineRule="auto"/>
                      <w:ind w:firstLine="0"/>
                      <w:jc w:val="center"/>
                      <w:rPr>
                        <w:sz w:val="16"/>
                        <w:szCs w:val="16"/>
                      </w:rPr>
                    </w:pPr>
                    <w:r>
                      <w:rPr>
                        <w:sz w:val="16"/>
                        <w:szCs w:val="16"/>
                      </w:rPr>
                      <w:t>EKSPERTINIS VERTINIMAS</w:t>
                    </w:r>
                  </w:p>
                  <w:p w:rsidR="00B2438E" w:rsidRPr="00A82FF5" w:rsidRDefault="00B2438E" w:rsidP="0068413E">
                    <w:pPr>
                      <w:jc w:val="center"/>
                      <w:rPr>
                        <w:sz w:val="16"/>
                        <w:szCs w:val="16"/>
                      </w:rPr>
                    </w:pPr>
                  </w:p>
                </w:txbxContent>
              </v:textbox>
            </v:rect>
            <v:group id="_x0000_s1378" style="position:absolute;left:3866;top:3586;width:1750;height:334" coordorigin="3866,3749" coordsize="1750,334" o:regroupid="8">
              <v:shape id="_x0000_s1362" type="#_x0000_t32" style="position:absolute;left:3866;top:3749;width:947;height:1" o:connectortype="straight" o:regroupid="6"/>
              <v:shape id="_x0000_s1376" type="#_x0000_t32" style="position:absolute;left:4813;top:3749;width:803;height:334" o:connectortype="straight">
                <v:stroke endarrow="block"/>
              </v:shape>
            </v:group>
            <v:group id="_x0000_s1379" style="position:absolute;left:5616;top:3586;width:1747;height:334" coordorigin="5616,3749" coordsize="1747,334" o:regroupid="8">
              <v:shape id="_x0000_s1365" type="#_x0000_t32" style="position:absolute;left:6439;top:3749;width:924;height:1;flip:x y" o:connectortype="straight" o:regroupid="7"/>
              <v:shape id="_x0000_s1377" type="#_x0000_t32" style="position:absolute;left:5616;top:3749;width:823;height:334;flip:x" o:connectortype="straight">
                <v:stroke endarrow="block"/>
              </v:shape>
            </v:group>
            <v:rect id="_x0000_s1367" style="position:absolute;left:1774;top:7048;width:7691;height:345" fillcolor="#92cddc [1944]" strokeweight="1.5pt">
              <v:fill opacity=".5"/>
              <v:textbox style="mso-next-textbox:#_x0000_s1367">
                <w:txbxContent>
                  <w:p w:rsidR="00B2438E" w:rsidRPr="00471BEF" w:rsidRDefault="00B2438E" w:rsidP="0068413E">
                    <w:pPr>
                      <w:spacing w:before="60" w:after="0" w:line="240" w:lineRule="auto"/>
                      <w:ind w:firstLine="0"/>
                      <w:jc w:val="center"/>
                      <w:rPr>
                        <w:b/>
                        <w:sz w:val="16"/>
                        <w:szCs w:val="16"/>
                      </w:rPr>
                    </w:pPr>
                    <w:r>
                      <w:rPr>
                        <w:b/>
                        <w:sz w:val="16"/>
                        <w:szCs w:val="16"/>
                      </w:rPr>
                      <w:t>SKAITINĖS REIKŠMĖS, LYGINANT SU PAGEIDAUTINA REIKŠME, PATEIKIMAS IR PROBLEMŲ IDENTIFIKAVIMAS</w:t>
                    </w:r>
                  </w:p>
                </w:txbxContent>
              </v:textbox>
            </v:rect>
            <v:shape id="_x0000_s1387" type="#_x0000_t34" style="position:absolute;left:7118;top:-2039;width:270;height:220;rotation:180" o:connectortype="elbow" adj="10830,-129600,-537761">
              <v:stroke endarrow="block"/>
            </v:shape>
            <v:shape id="_x0000_s1388" type="#_x0000_t34" style="position:absolute;left:7118;top:-1819;width:270;height:246;rotation:180;flip:y" o:connectortype="elbow" adj="10830,116521,-537761">
              <v:stroke endarrow="block"/>
            </v:shape>
            <v:group id="_x0000_s1809" style="position:absolute;left:1774;top:-1132;width:7691;height:1969" coordorigin="1774,-454" coordsize="7691,1969">
              <v:rect id="_x0000_s1285" style="position:absolute;left:1774;top:-454;width:7691;height:1969" fillcolor="#daeef3 [664]" strokeweight="1.5pt"/>
              <v:rect id="_x0000_s1304" style="position:absolute;left:4128;top:-397;width:2976;height:333">
                <v:textbox style="mso-next-textbox:#_x0000_s1304" inset="2.16pt,2.16pt,2.16pt,1.44pt">
                  <w:txbxContent>
                    <w:p w:rsidR="00B2438E" w:rsidRPr="008F47DE" w:rsidRDefault="00B2438E" w:rsidP="0068413E">
                      <w:pPr>
                        <w:spacing w:before="80" w:after="0" w:line="240" w:lineRule="auto"/>
                        <w:ind w:firstLine="0"/>
                        <w:jc w:val="center"/>
                        <w:rPr>
                          <w:sz w:val="16"/>
                          <w:szCs w:val="16"/>
                        </w:rPr>
                      </w:pPr>
                      <w:r>
                        <w:rPr>
                          <w:sz w:val="16"/>
                          <w:szCs w:val="16"/>
                        </w:rPr>
                        <w:t>VEIKSNIŲ GRUPAVIMAS</w:t>
                      </w:r>
                    </w:p>
                  </w:txbxContent>
                </v:textbox>
              </v:rect>
              <v:shape id="_x0000_s1305" type="#_x0000_t4" style="position:absolute;left:4502;top:87;width:2226;height:805">
                <v:textbox style="mso-next-textbox:#_x0000_s1305" inset="1.44pt,0,1.44pt,0">
                  <w:txbxContent>
                    <w:p w:rsidR="00B2438E" w:rsidRPr="00213242" w:rsidRDefault="00B2438E" w:rsidP="0068413E">
                      <w:pPr>
                        <w:spacing w:after="0" w:line="240" w:lineRule="auto"/>
                        <w:ind w:firstLine="0"/>
                        <w:jc w:val="center"/>
                        <w:rPr>
                          <w:sz w:val="15"/>
                          <w:szCs w:val="15"/>
                        </w:rPr>
                      </w:pPr>
                      <w:r w:rsidRPr="00213242">
                        <w:rPr>
                          <w:sz w:val="15"/>
                          <w:szCs w:val="15"/>
                        </w:rPr>
                        <w:t>Ar veiksnių pasireiškimas priklauso nuo</w:t>
                      </w:r>
                      <w:r>
                        <w:rPr>
                          <w:sz w:val="15"/>
                          <w:szCs w:val="15"/>
                        </w:rPr>
                        <w:t xml:space="preserve"> žmogaus valios?</w:t>
                      </w:r>
                    </w:p>
                  </w:txbxContent>
                </v:textbox>
              </v:shape>
              <v:rect id="_x0000_s1307" style="position:absolute;left:1966;top:220;width:2172;height:270">
                <v:textbox style="mso-next-textbox:#_x0000_s1307">
                  <w:txbxContent>
                    <w:p w:rsidR="00B2438E" w:rsidRPr="00FB3EFD" w:rsidRDefault="00B2438E" w:rsidP="0068413E">
                      <w:pPr>
                        <w:spacing w:before="20" w:after="0" w:line="240" w:lineRule="auto"/>
                        <w:ind w:firstLine="0"/>
                        <w:jc w:val="center"/>
                        <w:rPr>
                          <w:sz w:val="16"/>
                          <w:szCs w:val="16"/>
                        </w:rPr>
                      </w:pPr>
                      <w:r>
                        <w:rPr>
                          <w:sz w:val="16"/>
                          <w:szCs w:val="16"/>
                        </w:rPr>
                        <w:t>Vidiniai</w:t>
                      </w:r>
                      <w:r w:rsidRPr="00FB3EFD">
                        <w:rPr>
                          <w:sz w:val="16"/>
                          <w:szCs w:val="16"/>
                        </w:rPr>
                        <w:t xml:space="preserve"> veiksniai</w:t>
                      </w:r>
                    </w:p>
                  </w:txbxContent>
                </v:textbox>
              </v:rect>
              <v:rect id="_x0000_s1308" style="position:absolute;left:7102;top:221;width:2174;height:270">
                <v:textbox style="mso-next-textbox:#_x0000_s1308">
                  <w:txbxContent>
                    <w:p w:rsidR="00B2438E" w:rsidRPr="00FB3EFD" w:rsidRDefault="00B2438E" w:rsidP="0068413E">
                      <w:pPr>
                        <w:spacing w:before="20" w:after="0" w:line="240" w:lineRule="auto"/>
                        <w:ind w:firstLine="0"/>
                        <w:jc w:val="center"/>
                        <w:rPr>
                          <w:sz w:val="16"/>
                          <w:szCs w:val="16"/>
                        </w:rPr>
                      </w:pPr>
                      <w:r>
                        <w:rPr>
                          <w:sz w:val="16"/>
                          <w:szCs w:val="16"/>
                        </w:rPr>
                        <w:t>Išoriniai</w:t>
                      </w:r>
                      <w:r w:rsidRPr="00FB3EFD">
                        <w:rPr>
                          <w:sz w:val="16"/>
                          <w:szCs w:val="16"/>
                        </w:rPr>
                        <w:t xml:space="preserve"> veiksniai</w:t>
                      </w:r>
                    </w:p>
                  </w:txbxContent>
                </v:textbox>
              </v:rect>
              <v:roundrect id="_x0000_s1309" style="position:absolute;left:1966;top:597;width:1032;height:479" arcsize="10923f">
                <v:textbox style="mso-next-textbox:#_x0000_s1309" inset="1.44pt,1.44pt,1.44pt,1.44pt">
                  <w:txbxContent>
                    <w:p w:rsidR="00B2438E" w:rsidRPr="00E90242" w:rsidRDefault="00B2438E" w:rsidP="0068413E">
                      <w:pPr>
                        <w:spacing w:after="0" w:line="240" w:lineRule="auto"/>
                        <w:ind w:firstLine="0"/>
                        <w:jc w:val="center"/>
                        <w:rPr>
                          <w:sz w:val="15"/>
                          <w:szCs w:val="15"/>
                        </w:rPr>
                      </w:pPr>
                      <w:r>
                        <w:rPr>
                          <w:sz w:val="15"/>
                          <w:szCs w:val="15"/>
                        </w:rPr>
                        <w:t>Emociniai-psichologiniai veiksniai</w:t>
                      </w:r>
                    </w:p>
                  </w:txbxContent>
                </v:textbox>
              </v:roundrect>
              <v:roundrect id="_x0000_s1311" style="position:absolute;left:3094;top:598;width:1034;height:478" arcsize="10923f">
                <v:textbox style="mso-next-textbox:#_x0000_s1311" inset="1.44pt,1.44pt,1.44pt,1.44pt">
                  <w:txbxContent>
                    <w:p w:rsidR="00B2438E" w:rsidRPr="00E90242" w:rsidRDefault="00B2438E" w:rsidP="0068413E">
                      <w:pPr>
                        <w:spacing w:after="0" w:line="240" w:lineRule="auto"/>
                        <w:ind w:firstLine="0"/>
                        <w:jc w:val="center"/>
                        <w:rPr>
                          <w:sz w:val="15"/>
                          <w:szCs w:val="15"/>
                        </w:rPr>
                      </w:pPr>
                      <w:r>
                        <w:rPr>
                          <w:sz w:val="15"/>
                          <w:szCs w:val="15"/>
                        </w:rPr>
                        <w:t>Socialiniai-demografiniai veiksniai</w:t>
                      </w:r>
                    </w:p>
                  </w:txbxContent>
                </v:textbox>
              </v:roundrect>
              <v:roundrect id="_x0000_s1313" style="position:absolute;left:7102;top:600;width:1033;height:478" arcsize="10923f">
                <v:textbox style="mso-next-textbox:#_x0000_s1313" inset="1.44pt,1.44pt,1.44pt,1.44pt">
                  <w:txbxContent>
                    <w:p w:rsidR="00B2438E" w:rsidRPr="00E90242" w:rsidRDefault="00B2438E" w:rsidP="0068413E">
                      <w:pPr>
                        <w:spacing w:before="80" w:after="0" w:line="240" w:lineRule="auto"/>
                        <w:ind w:firstLine="0"/>
                        <w:jc w:val="center"/>
                        <w:rPr>
                          <w:sz w:val="15"/>
                          <w:szCs w:val="15"/>
                        </w:rPr>
                      </w:pPr>
                      <w:r>
                        <w:rPr>
                          <w:sz w:val="15"/>
                          <w:szCs w:val="15"/>
                        </w:rPr>
                        <w:t>Ekonominiai veiksniai</w:t>
                      </w:r>
                    </w:p>
                  </w:txbxContent>
                </v:textbox>
              </v:roundrect>
              <v:roundrect id="_x0000_s1314" style="position:absolute;left:8232;top:600;width:1032;height:478" arcsize="10923f">
                <v:textbox style="mso-next-textbox:#_x0000_s1314" inset="1.44pt,1.44pt,1.44pt,1.44pt">
                  <w:txbxContent>
                    <w:p w:rsidR="00B2438E" w:rsidRPr="00E90242" w:rsidRDefault="00B2438E" w:rsidP="0068413E">
                      <w:pPr>
                        <w:spacing w:before="80" w:after="0" w:line="240" w:lineRule="auto"/>
                        <w:ind w:firstLine="0"/>
                        <w:jc w:val="center"/>
                        <w:rPr>
                          <w:sz w:val="15"/>
                          <w:szCs w:val="15"/>
                        </w:rPr>
                      </w:pPr>
                      <w:r>
                        <w:rPr>
                          <w:sz w:val="15"/>
                          <w:szCs w:val="15"/>
                        </w:rPr>
                        <w:t>Teisiniai-politiniai veiksniai</w:t>
                      </w:r>
                    </w:p>
                  </w:txbxContent>
                </v:textbox>
              </v:roundrect>
              <v:rect id="_x0000_s1317" style="position:absolute;left:1958;top:1191;width:2176;height:271">
                <v:textbox style="mso-next-textbox:#_x0000_s1317">
                  <w:txbxContent>
                    <w:p w:rsidR="00B2438E" w:rsidRPr="00233360" w:rsidRDefault="00B2438E" w:rsidP="0068413E">
                      <w:pPr>
                        <w:spacing w:before="20" w:after="0" w:line="240" w:lineRule="auto"/>
                        <w:ind w:firstLine="0"/>
                        <w:jc w:val="center"/>
                        <w:rPr>
                          <w:sz w:val="16"/>
                          <w:szCs w:val="16"/>
                        </w:rPr>
                      </w:pPr>
                      <w:r>
                        <w:rPr>
                          <w:sz w:val="16"/>
                          <w:szCs w:val="16"/>
                        </w:rPr>
                        <w:t>Reikšmingumo koeficientų</w:t>
                      </w:r>
                      <w:r w:rsidRPr="00233360">
                        <w:rPr>
                          <w:sz w:val="16"/>
                          <w:szCs w:val="16"/>
                        </w:rPr>
                        <w:t xml:space="preserve"> priskyrimas</w:t>
                      </w:r>
                    </w:p>
                  </w:txbxContent>
                </v:textbox>
              </v:rect>
              <v:rect id="_x0000_s1318" style="position:absolute;left:7102;top:1192;width:2175;height:270">
                <v:textbox style="mso-next-textbox:#_x0000_s1318">
                  <w:txbxContent>
                    <w:p w:rsidR="00B2438E" w:rsidRPr="00233360" w:rsidRDefault="00B2438E" w:rsidP="0068413E">
                      <w:pPr>
                        <w:spacing w:before="20" w:after="0" w:line="240" w:lineRule="auto"/>
                        <w:ind w:firstLine="0"/>
                        <w:jc w:val="center"/>
                        <w:rPr>
                          <w:sz w:val="16"/>
                          <w:szCs w:val="16"/>
                        </w:rPr>
                      </w:pPr>
                      <w:r>
                        <w:rPr>
                          <w:sz w:val="16"/>
                          <w:szCs w:val="16"/>
                        </w:rPr>
                        <w:t>Reikšmingumo koeficientų</w:t>
                      </w:r>
                      <w:r w:rsidRPr="00233360">
                        <w:rPr>
                          <w:sz w:val="16"/>
                          <w:szCs w:val="16"/>
                        </w:rPr>
                        <w:t xml:space="preserve"> priskyrimas</w:t>
                      </w:r>
                    </w:p>
                  </w:txbxContent>
                </v:textbox>
              </v:rect>
              <v:rect id="_x0000_s1389" style="position:absolute;left:4524;top:1192;width:2178;height:270">
                <v:textbox style="mso-next-textbox:#_x0000_s1389" inset="2.16pt,2.16pt,2.16pt,2.16pt">
                  <w:txbxContent>
                    <w:p w:rsidR="00B2438E" w:rsidRPr="0078564E" w:rsidRDefault="00B2438E" w:rsidP="0068413E">
                      <w:pPr>
                        <w:spacing w:before="40" w:after="0" w:line="240" w:lineRule="auto"/>
                        <w:ind w:firstLine="0"/>
                        <w:contextualSpacing w:val="0"/>
                        <w:jc w:val="center"/>
                        <w:rPr>
                          <w:sz w:val="16"/>
                          <w:szCs w:val="16"/>
                        </w:rPr>
                      </w:pPr>
                      <w:r w:rsidRPr="006B4745">
                        <w:rPr>
                          <w:sz w:val="16"/>
                          <w:szCs w:val="16"/>
                          <w:u w:val="single"/>
                        </w:rPr>
                        <w:t>Metodai</w:t>
                      </w:r>
                      <w:r>
                        <w:rPr>
                          <w:sz w:val="16"/>
                          <w:szCs w:val="16"/>
                        </w:rPr>
                        <w:t>: ekspertų apklausa</w:t>
                      </w:r>
                    </w:p>
                  </w:txbxContent>
                </v:textbox>
              </v:rect>
            </v:group>
            <v:rect id="_x0000_s1795" style="position:absolute;left:1774;top:-2280;width:192;height:241" strokeweight="1.5pt">
              <v:textbox style="mso-next-textbox:#_x0000_s1795" inset="1.44pt,1.44pt,1.44pt,1.44pt">
                <w:txbxContent>
                  <w:p w:rsidR="00B2438E" w:rsidRPr="000E65C2" w:rsidRDefault="00B2438E" w:rsidP="0068413E">
                    <w:pPr>
                      <w:spacing w:after="0" w:line="240" w:lineRule="auto"/>
                      <w:ind w:firstLine="0"/>
                      <w:jc w:val="center"/>
                      <w:rPr>
                        <w:b/>
                        <w:sz w:val="16"/>
                        <w:szCs w:val="16"/>
                      </w:rPr>
                    </w:pPr>
                    <w:r w:rsidRPr="000E65C2">
                      <w:rPr>
                        <w:b/>
                        <w:sz w:val="16"/>
                        <w:szCs w:val="16"/>
                      </w:rPr>
                      <w:t>1</w:t>
                    </w:r>
                  </w:p>
                </w:txbxContent>
              </v:textbox>
            </v:rect>
            <v:shape id="_x0000_s1306" type="#_x0000_t32" style="position:absolute;left:5605;top:-742;width:5;height:151" o:connectortype="straight" o:regroupid="10">
              <v:stroke endarrow="block"/>
            </v:shape>
            <v:group id="_x0000_s1806" style="position:absolute;left:3045;top:-816;width:1450;height:628" coordorigin="3045,-138" coordsize="1450,628" o:regroupid="10">
              <v:rect id="_x0000_s1334" style="position:absolute;left:3462;top:-138;width:475;height:333" fillcolor="#daeef3 [664]" stroked="f">
                <v:textbox style="mso-next-textbox:#_x0000_s1334" inset="2.16pt,2.16pt,2.16pt,1.44pt">
                  <w:txbxContent>
                    <w:p w:rsidR="00B2438E" w:rsidRPr="0041000B" w:rsidRDefault="00B2438E" w:rsidP="0068413E">
                      <w:pPr>
                        <w:spacing w:before="40" w:after="0" w:line="240" w:lineRule="auto"/>
                        <w:ind w:firstLine="0"/>
                        <w:contextualSpacing w:val="0"/>
                        <w:jc w:val="center"/>
                        <w:rPr>
                          <w:sz w:val="15"/>
                          <w:szCs w:val="15"/>
                        </w:rPr>
                      </w:pPr>
                      <w:r w:rsidRPr="0041000B">
                        <w:rPr>
                          <w:sz w:val="15"/>
                          <w:szCs w:val="15"/>
                        </w:rPr>
                        <w:t>Taip</w:t>
                      </w:r>
                    </w:p>
                  </w:txbxContent>
                </v:textbox>
              </v:rect>
              <v:shape id="_x0000_s1383" type="#_x0000_t35" style="position:absolute;left:3045;top:220;width:1450;height:270;rotation:180" o:connectortype="elbow" adj="2709,33419,-56952">
                <v:stroke endarrow="block"/>
              </v:shape>
            </v:group>
            <v:group id="_x0000_s1807" style="position:absolute;left:6729;top:-816;width:1461;height:626" coordorigin="6729,-137" coordsize="1461,626" o:regroupid="10">
              <v:rect id="_x0000_s1337" style="position:absolute;left:7301;top:-137;width:475;height:332" fillcolor="#daeef3 [664]" stroked="f">
                <v:textbox style="mso-next-textbox:#_x0000_s1337" inset="2.16pt,2.16pt,2.16pt,1.44pt">
                  <w:txbxContent>
                    <w:p w:rsidR="00B2438E" w:rsidRPr="0041000B" w:rsidRDefault="00B2438E" w:rsidP="0068413E">
                      <w:pPr>
                        <w:spacing w:before="50" w:after="0" w:line="240" w:lineRule="auto"/>
                        <w:ind w:firstLine="0"/>
                        <w:jc w:val="center"/>
                        <w:rPr>
                          <w:sz w:val="15"/>
                          <w:szCs w:val="15"/>
                        </w:rPr>
                      </w:pPr>
                      <w:r>
                        <w:rPr>
                          <w:sz w:val="15"/>
                          <w:szCs w:val="15"/>
                        </w:rPr>
                        <w:t>Ne</w:t>
                      </w:r>
                    </w:p>
                  </w:txbxContent>
                </v:textbox>
              </v:rect>
              <v:shape id="_x0000_s1384" type="#_x0000_t35" style="position:absolute;left:6729;top:220;width:1461;height:269;flip:y" o:connectortype="elbow" adj="2756,32610,-89401">
                <v:stroke endarrow="block"/>
              </v:shape>
            </v:group>
            <v:rect id="_x0000_s1797" style="position:absolute;left:1774;top:-1132;width:192;height:238" o:regroupid="10" strokeweight="1.5pt">
              <v:textbox style="mso-next-textbox:#_x0000_s1797" inset="1.44pt,1.44pt,1.44pt,1.44pt">
                <w:txbxContent>
                  <w:p w:rsidR="00B2438E" w:rsidRPr="000E65C2" w:rsidRDefault="00B2438E" w:rsidP="0068413E">
                    <w:pPr>
                      <w:spacing w:after="0" w:line="240" w:lineRule="auto"/>
                      <w:ind w:firstLine="0"/>
                      <w:jc w:val="center"/>
                      <w:rPr>
                        <w:b/>
                        <w:sz w:val="16"/>
                        <w:szCs w:val="16"/>
                      </w:rPr>
                    </w:pPr>
                    <w:r>
                      <w:rPr>
                        <w:b/>
                        <w:sz w:val="16"/>
                        <w:szCs w:val="16"/>
                      </w:rPr>
                      <w:t>2</w:t>
                    </w:r>
                  </w:p>
                </w:txbxContent>
              </v:textbox>
            </v:rect>
            <v:rect id="_x0000_s1798" style="position:absolute;left:1774;top:1743;width:192;height:239" strokeweight="1.5pt">
              <v:textbox style="mso-next-textbox:#_x0000_s1798" inset="1.44pt,1.44pt,1.44pt,1.44pt">
                <w:txbxContent>
                  <w:p w:rsidR="00B2438E" w:rsidRPr="000E65C2" w:rsidRDefault="00B2438E" w:rsidP="0068413E">
                    <w:pPr>
                      <w:spacing w:after="0" w:line="240" w:lineRule="auto"/>
                      <w:ind w:firstLine="0"/>
                      <w:jc w:val="center"/>
                      <w:rPr>
                        <w:b/>
                        <w:sz w:val="16"/>
                        <w:szCs w:val="16"/>
                      </w:rPr>
                    </w:pPr>
                    <w:r>
                      <w:rPr>
                        <w:b/>
                        <w:sz w:val="16"/>
                        <w:szCs w:val="16"/>
                      </w:rPr>
                      <w:t>4</w:t>
                    </w:r>
                  </w:p>
                </w:txbxContent>
              </v:textbox>
            </v:rect>
            <v:rect id="_x0000_s1799" style="position:absolute;left:1774;top:7048;width:192;height:239" strokeweight="1.5pt">
              <v:textbox style="mso-next-textbox:#_x0000_s1799" inset="1.44pt,1.44pt,1.44pt,1.44pt">
                <w:txbxContent>
                  <w:p w:rsidR="00B2438E" w:rsidRPr="000E65C2" w:rsidRDefault="00B2438E" w:rsidP="0068413E">
                    <w:pPr>
                      <w:spacing w:after="0" w:line="240" w:lineRule="auto"/>
                      <w:ind w:firstLine="0"/>
                      <w:jc w:val="center"/>
                      <w:rPr>
                        <w:b/>
                        <w:sz w:val="16"/>
                        <w:szCs w:val="16"/>
                      </w:rPr>
                    </w:pPr>
                    <w:r>
                      <w:rPr>
                        <w:b/>
                        <w:sz w:val="16"/>
                        <w:szCs w:val="16"/>
                      </w:rPr>
                      <w:t>5</w:t>
                    </w:r>
                  </w:p>
                </w:txbxContent>
              </v:textbox>
            </v:rect>
            <v:shape id="_x0000_s1303" type="#_x0000_t67" style="position:absolute;left:5471;top:837;width:307;height:228" o:regroupid="11" fillcolor="#daeef3 [664]" strokeweight="1.25pt">
              <v:textbox style="layout-flow:vertical-ideographic"/>
            </v:shape>
            <v:rect id="_x0000_s1298" style="position:absolute;left:1774;top:1065;width:7691;height:451" o:regroupid="11" fillcolor="#b6dde8 [1304]" strokeweight="1.5pt">
              <v:fill opacity=".5"/>
            </v:rect>
            <v:rect id="_x0000_s1299" style="position:absolute;left:4128;top:1122;width:2976;height:334" o:regroupid="11">
              <v:textbox style="mso-next-textbox:#_x0000_s1299" inset="2.16pt,2.16pt,2.16pt,1.44pt">
                <w:txbxContent>
                  <w:p w:rsidR="00B2438E" w:rsidRPr="008F47DE" w:rsidRDefault="00B2438E" w:rsidP="0068413E">
                    <w:pPr>
                      <w:spacing w:before="80" w:after="0" w:line="240" w:lineRule="auto"/>
                      <w:ind w:firstLine="0"/>
                      <w:jc w:val="center"/>
                      <w:rPr>
                        <w:sz w:val="16"/>
                        <w:szCs w:val="16"/>
                      </w:rPr>
                    </w:pPr>
                    <w:r>
                      <w:rPr>
                        <w:sz w:val="16"/>
                        <w:szCs w:val="16"/>
                      </w:rPr>
                      <w:t xml:space="preserve"> PAGEIDAUTINOS REIKŠMĖS NUSTATYMAS</w:t>
                    </w:r>
                  </w:p>
                </w:txbxContent>
              </v:textbox>
            </v:rect>
            <v:rect id="_x0000_s1300" style="position:absolute;left:7388;top:1122;width:1601;height:334" o:regroupid="11">
              <v:textbox style="mso-next-textbox:#_x0000_s1300" inset="2.16pt,1.44pt,2.16pt,1.44pt">
                <w:txbxContent>
                  <w:p w:rsidR="00B2438E" w:rsidRPr="00510628" w:rsidRDefault="00B2438E" w:rsidP="002375AC">
                    <w:pPr>
                      <w:spacing w:before="80" w:after="0" w:line="240" w:lineRule="auto"/>
                      <w:ind w:firstLine="0"/>
                      <w:contextualSpacing w:val="0"/>
                      <w:jc w:val="center"/>
                      <w:rPr>
                        <w:sz w:val="16"/>
                        <w:szCs w:val="16"/>
                      </w:rPr>
                    </w:pPr>
                    <w:r w:rsidRPr="002375AC">
                      <w:rPr>
                        <w:sz w:val="16"/>
                        <w:szCs w:val="16"/>
                        <w:u w:val="single"/>
                      </w:rPr>
                      <w:t>Metodai</w:t>
                    </w:r>
                    <w:r>
                      <w:rPr>
                        <w:sz w:val="16"/>
                        <w:szCs w:val="16"/>
                      </w:rPr>
                      <w:t>: ekspertų apklausa</w:t>
                    </w:r>
                  </w:p>
                </w:txbxContent>
              </v:textbox>
            </v:rect>
            <v:rect id="_x0000_s1800" style="position:absolute;left:2240;top:1122;width:1626;height:334" o:regroupid="11">
              <v:stroke dashstyle="longDash"/>
              <v:textbox style="mso-next-textbox:#_x0000_s1800" inset="2.16pt,1.44pt,2.16pt,1.44pt">
                <w:txbxContent>
                  <w:p w:rsidR="00B2438E" w:rsidRDefault="00B2438E" w:rsidP="0068413E">
                    <w:pPr>
                      <w:spacing w:line="240" w:lineRule="auto"/>
                      <w:ind w:firstLine="0"/>
                      <w:jc w:val="center"/>
                      <w:rPr>
                        <w:sz w:val="16"/>
                        <w:szCs w:val="16"/>
                      </w:rPr>
                    </w:pPr>
                    <w:r>
                      <w:rPr>
                        <w:sz w:val="16"/>
                        <w:szCs w:val="16"/>
                      </w:rPr>
                      <w:t>Racionalios elgsenos</w:t>
                    </w:r>
                  </w:p>
                  <w:p w:rsidR="00B2438E" w:rsidRPr="00510628" w:rsidRDefault="00B2438E" w:rsidP="0068413E">
                    <w:pPr>
                      <w:spacing w:line="240" w:lineRule="auto"/>
                      <w:ind w:firstLine="0"/>
                      <w:jc w:val="center"/>
                      <w:rPr>
                        <w:sz w:val="16"/>
                        <w:szCs w:val="16"/>
                      </w:rPr>
                    </w:pPr>
                    <w:r>
                      <w:rPr>
                        <w:sz w:val="16"/>
                        <w:szCs w:val="16"/>
                      </w:rPr>
                      <w:t>samprata</w:t>
                    </w:r>
                  </w:p>
                </w:txbxContent>
              </v:textbox>
            </v:rect>
            <v:shape id="_x0000_s1802" type="#_x0000_t32" style="position:absolute;left:7104;top:1289;width:284;height:0;flip:x" o:connectortype="straight" o:regroupid="11">
              <v:stroke endarrow="block"/>
            </v:shape>
            <v:shape id="_x0000_s1803" type="#_x0000_t32" style="position:absolute;left:3866;top:1289;width:262;height:0" o:connectortype="straight" o:regroupid="11">
              <v:stroke endarrow="block"/>
            </v:shape>
            <v:rect id="_x0000_s1796" style="position:absolute;left:1774;top:1065;width:192;height:239" o:regroupid="11" strokeweight="1.5pt">
              <v:textbox style="mso-next-textbox:#_x0000_s1796" inset="1.44pt,1.44pt,1.44pt,1.44pt">
                <w:txbxContent>
                  <w:p w:rsidR="00B2438E" w:rsidRPr="000E65C2" w:rsidRDefault="00B2438E" w:rsidP="0068413E">
                    <w:pPr>
                      <w:spacing w:after="0" w:line="240" w:lineRule="auto"/>
                      <w:ind w:firstLine="0"/>
                      <w:jc w:val="center"/>
                      <w:rPr>
                        <w:b/>
                        <w:sz w:val="16"/>
                        <w:szCs w:val="16"/>
                      </w:rPr>
                    </w:pPr>
                    <w:r>
                      <w:rPr>
                        <w:b/>
                        <w:sz w:val="16"/>
                        <w:szCs w:val="16"/>
                      </w:rPr>
                      <w:t>3</w:t>
                    </w:r>
                  </w:p>
                </w:txbxContent>
              </v:textbox>
            </v:rect>
            <v:shape id="_x0000_s1812" type="#_x0000_t32" style="position:absolute;left:2482;top:-188;width:570;height:107;flip:x" o:connectortype="straight">
              <v:stroke endarrow="block"/>
            </v:shape>
            <v:shape id="_x0000_s1814" type="#_x0000_t32" style="position:absolute;left:3052;top:-188;width:559;height:108" o:connectortype="straight">
              <v:stroke endarrow="block"/>
            </v:shape>
            <v:shape id="_x0000_s1815" type="#_x0000_t32" style="position:absolute;left:2482;top:398;width:565;height:115" o:connectortype="straight">
              <v:stroke endarrow="block"/>
            </v:shape>
            <v:shape id="_x0000_s1816" type="#_x0000_t32" style="position:absolute;left:3047;top:398;width:564;height:115;flip:x" o:connectortype="straight">
              <v:stroke endarrow="block"/>
            </v:shape>
            <v:shape id="_x0000_s1817" type="#_x0000_t32" style="position:absolute;left:4134;top:649;width:390;height:1;flip:x" o:connectortype="straight">
              <v:stroke endarrow="block"/>
            </v:shape>
            <v:shape id="_x0000_s1818" type="#_x0000_t32" style="position:absolute;left:6702;top:649;width:400;height:1" o:connectortype="straight">
              <v:stroke endarrow="block"/>
            </v:shape>
            <v:shape id="_x0000_s1819" type="#_x0000_t32" style="position:absolute;left:7619;top:-187;width:570;height:109;flip:x" o:connectortype="straight">
              <v:stroke endarrow="block"/>
            </v:shape>
            <v:shape id="_x0000_s1820" type="#_x0000_t32" style="position:absolute;left:8189;top:-187;width:560;height:109" o:connectortype="straight">
              <v:stroke endarrow="block"/>
            </v:shape>
            <v:shape id="_x0000_s1821" type="#_x0000_t32" style="position:absolute;left:7619;top:400;width:571;height:114" o:connectortype="straight">
              <v:stroke endarrow="block"/>
            </v:shape>
            <v:shape id="_x0000_s1822" type="#_x0000_t32" style="position:absolute;left:8190;top:400;width:559;height:114;flip:x" o:connectortype="straight">
              <v:stroke endarrow="block"/>
            </v:shape>
            <w10:wrap type="none"/>
            <w10:anchorlock/>
          </v:group>
        </w:pict>
      </w:r>
    </w:p>
    <w:p w:rsidR="00F84749" w:rsidRPr="00F84749" w:rsidRDefault="00F84749" w:rsidP="00F84749">
      <w:pPr>
        <w:spacing w:after="0" w:line="240" w:lineRule="auto"/>
        <w:rPr>
          <w:sz w:val="20"/>
        </w:rPr>
      </w:pPr>
      <w:r w:rsidRPr="00F84749">
        <w:rPr>
          <w:b/>
          <w:sz w:val="20"/>
        </w:rPr>
        <w:t>Šaltinis</w:t>
      </w:r>
      <w:r w:rsidRPr="00F84749">
        <w:rPr>
          <w:sz w:val="20"/>
        </w:rPr>
        <w:t>: sudaryta šio darbo autorės</w:t>
      </w:r>
    </w:p>
    <w:bookmarkStart w:id="20" w:name="_Toc343590406"/>
    <w:p w:rsidR="00B47C44" w:rsidRPr="000A4ACF" w:rsidRDefault="00D84BC4" w:rsidP="00886347">
      <w:pPr>
        <w:pStyle w:val="Caption"/>
      </w:pPr>
      <w:r w:rsidRPr="003D1F4A">
        <w:rPr>
          <w:b w:val="0"/>
        </w:rPr>
        <w:fldChar w:fldCharType="begin"/>
      </w:r>
      <w:r w:rsidR="00DA6FDA" w:rsidRPr="003D1F4A">
        <w:rPr>
          <w:b w:val="0"/>
        </w:rPr>
        <w:instrText xml:space="preserve"> SEQ pav. \* ARABIC </w:instrText>
      </w:r>
      <w:r w:rsidRPr="003D1F4A">
        <w:rPr>
          <w:b w:val="0"/>
        </w:rPr>
        <w:fldChar w:fldCharType="separate"/>
      </w:r>
      <w:r w:rsidR="00DA6FDA" w:rsidRPr="003D1F4A">
        <w:rPr>
          <w:b w:val="0"/>
        </w:rPr>
        <w:t>9</w:t>
      </w:r>
      <w:r w:rsidRPr="003D1F4A">
        <w:rPr>
          <w:b w:val="0"/>
        </w:rPr>
        <w:fldChar w:fldCharType="end"/>
      </w:r>
      <w:r w:rsidR="00DA6FDA" w:rsidRPr="003D1F4A">
        <w:rPr>
          <w:b w:val="0"/>
        </w:rPr>
        <w:t xml:space="preserve"> </w:t>
      </w:r>
      <w:r w:rsidR="00DF742F" w:rsidRPr="003D1F4A">
        <w:rPr>
          <w:b w:val="0"/>
        </w:rPr>
        <w:t>pav.</w:t>
      </w:r>
      <w:r w:rsidR="00DF742F" w:rsidRPr="00DF742F">
        <w:rPr>
          <w:color w:val="FF0000"/>
        </w:rPr>
        <w:t xml:space="preserve"> </w:t>
      </w:r>
      <w:r w:rsidR="003B2A6F">
        <w:t xml:space="preserve">Teorinis </w:t>
      </w:r>
      <w:r w:rsidR="008D7139">
        <w:t xml:space="preserve">socialinių išmokų gavėjų </w:t>
      </w:r>
      <w:r w:rsidR="003B2A6F">
        <w:t>finansinės elgsenos vertinimo modelis</w:t>
      </w:r>
      <w:bookmarkEnd w:id="20"/>
    </w:p>
    <w:p w:rsidR="00C10FF9" w:rsidRDefault="00B14660" w:rsidP="00EE7196">
      <w:r>
        <w:lastRenderedPageBreak/>
        <w:t>Kaip matome</w:t>
      </w:r>
      <w:r w:rsidR="009908CE">
        <w:t xml:space="preserve"> iš </w:t>
      </w:r>
      <w:r w:rsidR="00244359">
        <w:t xml:space="preserve">suformuoto </w:t>
      </w:r>
      <w:r w:rsidR="000D5E11">
        <w:t xml:space="preserve">modelio, </w:t>
      </w:r>
      <w:r w:rsidR="00EA4089">
        <w:t xml:space="preserve">socialinių išmokų gavėjų </w:t>
      </w:r>
      <w:r w:rsidR="000D5E11">
        <w:t xml:space="preserve">finansinės elgsenos vertinimas </w:t>
      </w:r>
      <w:r w:rsidR="003B324B">
        <w:t>apims</w:t>
      </w:r>
      <w:r w:rsidR="0072715C">
        <w:t xml:space="preserve"> </w:t>
      </w:r>
      <w:r w:rsidR="00E5065A">
        <w:t>penkis</w:t>
      </w:r>
      <w:r w:rsidR="003B324B">
        <w:t> </w:t>
      </w:r>
      <w:r w:rsidR="000D5E11">
        <w:t>etapus</w:t>
      </w:r>
      <w:r w:rsidR="001D6BCC">
        <w:t>:</w:t>
      </w:r>
      <w:r w:rsidR="00244359">
        <w:t xml:space="preserve"> pirmasis </w:t>
      </w:r>
      <w:r w:rsidR="003B324B">
        <w:t>bus</w:t>
      </w:r>
      <w:r w:rsidR="00091470">
        <w:t xml:space="preserve"> </w:t>
      </w:r>
      <w:r w:rsidR="00244359">
        <w:t>skirtas aktualiems veiksniams</w:t>
      </w:r>
      <w:r w:rsidR="003B324B">
        <w:t>, remiantis mokslin</w:t>
      </w:r>
      <w:r w:rsidR="00FD3E2D">
        <w:t>ių</w:t>
      </w:r>
      <w:r w:rsidR="003B324B">
        <w:t xml:space="preserve"> </w:t>
      </w:r>
      <w:r>
        <w:t xml:space="preserve">šaltinių </w:t>
      </w:r>
      <w:r w:rsidR="00422009">
        <w:t>analize,</w:t>
      </w:r>
      <w:r w:rsidR="00BA74BF">
        <w:t xml:space="preserve"> nustatyti</w:t>
      </w:r>
      <w:r w:rsidR="00004944">
        <w:t>;</w:t>
      </w:r>
      <w:r w:rsidR="00422009">
        <w:t xml:space="preserve"> antrasis – </w:t>
      </w:r>
      <w:r w:rsidR="00BA74BF">
        <w:t>veiksniams sugrupuoti</w:t>
      </w:r>
      <w:r w:rsidR="009B2FF3">
        <w:t xml:space="preserve">; </w:t>
      </w:r>
      <w:r w:rsidR="00D3663C">
        <w:t>trečiasis –</w:t>
      </w:r>
      <w:r w:rsidR="00FD09C8">
        <w:t xml:space="preserve"> </w:t>
      </w:r>
      <w:r w:rsidR="009B2FF3">
        <w:t xml:space="preserve">pageidautinai reikšmei apibrėžti; </w:t>
      </w:r>
      <w:r w:rsidR="0052696E">
        <w:t xml:space="preserve">o </w:t>
      </w:r>
      <w:r w:rsidR="00004944">
        <w:t>ketvirtasis</w:t>
      </w:r>
      <w:r w:rsidR="00DA355C">
        <w:t xml:space="preserve"> taps</w:t>
      </w:r>
      <w:r w:rsidR="006C4816">
        <w:t xml:space="preserve"> finansinių sprendimų</w:t>
      </w:r>
      <w:r w:rsidR="00513921">
        <w:t xml:space="preserve"> </w:t>
      </w:r>
      <w:r w:rsidR="0074751B">
        <w:t>į</w:t>
      </w:r>
      <w:r w:rsidR="00AC57AC">
        <w:t xml:space="preserve">vertinimo pagrindu, </w:t>
      </w:r>
      <w:r w:rsidR="003923D8">
        <w:t>leidžiančiu penkt</w:t>
      </w:r>
      <w:r w:rsidR="000244DF">
        <w:t>ame</w:t>
      </w:r>
      <w:r w:rsidR="003923D8">
        <w:t xml:space="preserve"> etap</w:t>
      </w:r>
      <w:r w:rsidR="000244DF">
        <w:t>e</w:t>
      </w:r>
      <w:r w:rsidR="003923D8">
        <w:t xml:space="preserve"> </w:t>
      </w:r>
      <w:r w:rsidR="006036DC">
        <w:t>identifikuoti</w:t>
      </w:r>
      <w:r w:rsidR="007848B1">
        <w:t>:</w:t>
      </w:r>
      <w:r w:rsidR="00D6463D">
        <w:t> </w:t>
      </w:r>
      <w:r w:rsidR="007848B1">
        <w:t>1) </w:t>
      </w:r>
      <w:r w:rsidR="00881D29">
        <w:t>fina</w:t>
      </w:r>
      <w:r w:rsidR="00124D9A">
        <w:t>nsinės nedarbo draudimo išmokų bei</w:t>
      </w:r>
      <w:r w:rsidR="003923D8">
        <w:t xml:space="preserve"> socialinės </w:t>
      </w:r>
      <w:r w:rsidR="007C5E7F">
        <w:t xml:space="preserve">paramos gavėjų </w:t>
      </w:r>
      <w:r w:rsidR="00752173">
        <w:t>elgsenos pobūdį</w:t>
      </w:r>
      <w:r w:rsidR="00A745A1">
        <w:t>;</w:t>
      </w:r>
      <w:r w:rsidR="00D6463D">
        <w:t xml:space="preserve"> 2) </w:t>
      </w:r>
      <w:r w:rsidR="00B965D6">
        <w:t xml:space="preserve">skaitinę </w:t>
      </w:r>
      <w:r w:rsidR="005D195A">
        <w:t xml:space="preserve">tokios elgsenos </w:t>
      </w:r>
      <w:r w:rsidR="00DA355C">
        <w:t>išraišką</w:t>
      </w:r>
      <w:r w:rsidR="005703A1">
        <w:t xml:space="preserve"> </w:t>
      </w:r>
      <w:r w:rsidR="00B965D6">
        <w:t>racional</w:t>
      </w:r>
      <w:r w:rsidR="005D195A">
        <w:t>umo</w:t>
      </w:r>
      <w:r w:rsidR="00B965D6">
        <w:t xml:space="preserve"> </w:t>
      </w:r>
      <w:r w:rsidR="007D0408">
        <w:t>atžvilgiu</w:t>
      </w:r>
      <w:r w:rsidR="00513921">
        <w:t xml:space="preserve">; </w:t>
      </w:r>
      <w:r w:rsidR="009903D2">
        <w:t>bei</w:t>
      </w:r>
      <w:r w:rsidR="00387E20">
        <w:t xml:space="preserve"> </w:t>
      </w:r>
      <w:r w:rsidR="00513921">
        <w:t>3)</w:t>
      </w:r>
      <w:r w:rsidR="00387E20">
        <w:t> </w:t>
      </w:r>
      <w:r w:rsidR="007C5E7F">
        <w:t xml:space="preserve">pagrindines </w:t>
      </w:r>
      <w:r w:rsidR="00BC250C">
        <w:t>gyventojų</w:t>
      </w:r>
      <w:r w:rsidR="006036DC">
        <w:t xml:space="preserve"> </w:t>
      </w:r>
      <w:r w:rsidR="00387E20">
        <w:t xml:space="preserve">finansinės elgsenos </w:t>
      </w:r>
      <w:r w:rsidR="007D0408">
        <w:t>problemas socialinės apsaugos srityje</w:t>
      </w:r>
      <w:r w:rsidR="00A40544" w:rsidRPr="002C7E02">
        <w:rPr>
          <w:color w:val="0070C0"/>
        </w:rPr>
        <w:t>.</w:t>
      </w:r>
      <w:r w:rsidR="00BC250C">
        <w:rPr>
          <w:color w:val="0070C0"/>
        </w:rPr>
        <w:t xml:space="preserve"> </w:t>
      </w:r>
    </w:p>
    <w:p w:rsidR="009A11C4" w:rsidRDefault="005E2FA2" w:rsidP="00C73710">
      <w:pPr>
        <w:pStyle w:val="Referatai"/>
      </w:pPr>
      <w:r w:rsidRPr="00EB3CF1">
        <w:t xml:space="preserve">Reikėtų atkreipti dėmesį, jog modelis </w:t>
      </w:r>
      <w:r w:rsidR="005D7DFA">
        <w:t xml:space="preserve">yra </w:t>
      </w:r>
      <w:r w:rsidR="00F82E8B">
        <w:t>paremtas dviem</w:t>
      </w:r>
      <w:r w:rsidR="00AE4403" w:rsidRPr="00EB3CF1">
        <w:t xml:space="preserve"> pirminio </w:t>
      </w:r>
      <w:r w:rsidR="00C66BF6">
        <w:t>tyrimo metodais, t. y. paprasta anketine apklausa</w:t>
      </w:r>
      <w:r w:rsidR="004D2B33">
        <w:t xml:space="preserve"> </w:t>
      </w:r>
      <w:r w:rsidR="00AE4403" w:rsidRPr="00EB3CF1">
        <w:t>i</w:t>
      </w:r>
      <w:r w:rsidR="004D2B33">
        <w:t>r</w:t>
      </w:r>
      <w:r w:rsidR="00AE4403" w:rsidRPr="00EB3CF1">
        <w:t xml:space="preserve"> ekspertin</w:t>
      </w:r>
      <w:r w:rsidR="00C66BF6">
        <w:t>e apklausa</w:t>
      </w:r>
      <w:r w:rsidR="00A12540" w:rsidRPr="00EB3CF1">
        <w:t>, kuri</w:t>
      </w:r>
      <w:r w:rsidR="00AB4067" w:rsidRPr="00EB3CF1">
        <w:t>o</w:t>
      </w:r>
      <w:r w:rsidR="004D2B33">
        <w:t>s</w:t>
      </w:r>
      <w:r w:rsidR="00695F7E" w:rsidRPr="00EB3CF1">
        <w:t xml:space="preserve"> </w:t>
      </w:r>
      <w:r w:rsidR="00AB4067" w:rsidRPr="00EB3CF1">
        <w:t>pa</w:t>
      </w:r>
      <w:r w:rsidR="00695F7E" w:rsidRPr="00EB3CF1">
        <w:t>naudojimas turėtų priklausyti nuo to</w:t>
      </w:r>
      <w:r w:rsidR="004D2B33">
        <w:t>, kiek patikimi bus</w:t>
      </w:r>
      <w:r w:rsidR="007A5069">
        <w:t xml:space="preserve"> pirmojo tyrimo</w:t>
      </w:r>
      <w:r w:rsidR="00AB4067" w:rsidRPr="00EB3CF1">
        <w:t xml:space="preserve"> rezultatai: </w:t>
      </w:r>
      <w:r w:rsidR="004E0737" w:rsidRPr="00EB3CF1">
        <w:t xml:space="preserve">jei </w:t>
      </w:r>
      <w:r w:rsidR="004D2B33">
        <w:t xml:space="preserve">bus </w:t>
      </w:r>
      <w:r w:rsidR="004E0737" w:rsidRPr="00EB3CF1">
        <w:t>manoma, jog</w:t>
      </w:r>
      <w:r w:rsidR="004D2B33">
        <w:t xml:space="preserve"> išmok</w:t>
      </w:r>
      <w:r w:rsidR="007A5069">
        <w:t xml:space="preserve">ų gavėjų </w:t>
      </w:r>
      <w:r w:rsidR="009B2FF3">
        <w:t>atsaky</w:t>
      </w:r>
      <w:r w:rsidR="008E4A93" w:rsidRPr="00EB3CF1">
        <w:t xml:space="preserve">mai </w:t>
      </w:r>
      <w:r w:rsidR="001E3459">
        <w:t xml:space="preserve">neparodo </w:t>
      </w:r>
      <w:r w:rsidR="003765B3">
        <w:t xml:space="preserve">teisingo </w:t>
      </w:r>
      <w:r w:rsidR="001E3459">
        <w:t>„</w:t>
      </w:r>
      <w:r w:rsidR="003765B3">
        <w:t>vaizdo</w:t>
      </w:r>
      <w:r w:rsidR="001E3459">
        <w:t>“</w:t>
      </w:r>
      <w:r w:rsidR="003765B3">
        <w:t>, t</w:t>
      </w:r>
      <w:r w:rsidR="00C16960">
        <w:t>ada</w:t>
      </w:r>
      <w:r w:rsidR="003765B3">
        <w:t xml:space="preserve"> </w:t>
      </w:r>
      <w:r w:rsidR="00B60B39">
        <w:t>reikės</w:t>
      </w:r>
      <w:r w:rsidR="00201028">
        <w:t xml:space="preserve"> atlikti ekspertinę</w:t>
      </w:r>
      <w:r w:rsidR="000D7E55">
        <w:t xml:space="preserve"> apklausą</w:t>
      </w:r>
      <w:r w:rsidR="00027D9A">
        <w:t xml:space="preserve">, t. y. pritaikyti tokį metodą, kuris leidžia ne tik išsiaiškinti savo srities </w:t>
      </w:r>
      <w:r w:rsidR="00C40B8E">
        <w:t xml:space="preserve">specialistų </w:t>
      </w:r>
      <w:r w:rsidR="00027D9A">
        <w:t>nuomones, bet ir</w:t>
      </w:r>
      <w:r w:rsidR="006D2627">
        <w:t>, suderinus jas, pateikti bendrą suvokimą apie konkretaus reiškinio ypatybes.</w:t>
      </w:r>
    </w:p>
    <w:p w:rsidR="00A474DF" w:rsidRDefault="00A474DF" w:rsidP="00A474DF">
      <w:pPr>
        <w:pStyle w:val="Heading2"/>
      </w:pPr>
      <w:bookmarkStart w:id="21" w:name="_Toc343636884"/>
      <w:r>
        <w:t>Statist</w:t>
      </w:r>
      <w:r w:rsidR="00BB48A8">
        <w:t>iniams tyrimams keliami reikalavimai ir jų įgyvendinimas</w:t>
      </w:r>
      <w:bookmarkEnd w:id="21"/>
    </w:p>
    <w:p w:rsidR="00BE6C68" w:rsidRPr="00C73710" w:rsidRDefault="00FE0523" w:rsidP="00C73710">
      <w:pPr>
        <w:pStyle w:val="Referatai"/>
      </w:pPr>
      <w:r w:rsidRPr="00C73710">
        <w:t xml:space="preserve">Kalbant apie </w:t>
      </w:r>
      <w:r w:rsidR="000F1759" w:rsidRPr="00C73710">
        <w:t>pa</w:t>
      </w:r>
      <w:r w:rsidR="00D6390A" w:rsidRPr="00C73710">
        <w:t>čių</w:t>
      </w:r>
      <w:r w:rsidR="000F1759" w:rsidRPr="00C73710">
        <w:t xml:space="preserve"> </w:t>
      </w:r>
      <w:r w:rsidRPr="00C73710">
        <w:t>statistinių</w:t>
      </w:r>
      <w:r w:rsidR="00394D67" w:rsidRPr="00C73710">
        <w:t xml:space="preserve"> tyrimų atlikim</w:t>
      </w:r>
      <w:r w:rsidR="000F1759" w:rsidRPr="00C73710">
        <w:t>o procesą</w:t>
      </w:r>
      <w:r w:rsidR="00394D67" w:rsidRPr="00C73710">
        <w:t>, reikėtų pasakyti, jog</w:t>
      </w:r>
      <w:r w:rsidR="00EA4B0F" w:rsidRPr="00C73710">
        <w:t>, siekiant gauti patikimas išvadas</w:t>
      </w:r>
      <w:r w:rsidR="00624779" w:rsidRPr="00C73710">
        <w:t xml:space="preserve">, </w:t>
      </w:r>
      <w:r w:rsidR="00136365" w:rsidRPr="00C73710">
        <w:t>būtin</w:t>
      </w:r>
      <w:r w:rsidR="006E17BE" w:rsidRPr="00C73710">
        <w:t xml:space="preserve">a paisyti tam tikrų </w:t>
      </w:r>
      <w:r w:rsidR="002566C1" w:rsidRPr="00C73710">
        <w:t>taisykli</w:t>
      </w:r>
      <w:r w:rsidR="006E17BE" w:rsidRPr="00C73710">
        <w:t>ų</w:t>
      </w:r>
      <w:r w:rsidR="00D6390A" w:rsidRPr="00C73710">
        <w:t xml:space="preserve">, kurie </w:t>
      </w:r>
      <w:r w:rsidR="002566C1" w:rsidRPr="00C73710">
        <w:t>dažniausi</w:t>
      </w:r>
      <w:r w:rsidR="00D6390A" w:rsidRPr="00C73710">
        <w:t>ai yra susiję su generalinės aibės</w:t>
      </w:r>
      <w:r w:rsidR="00855CBB" w:rsidRPr="00C73710">
        <w:t xml:space="preserve">, t. y. visumos, </w:t>
      </w:r>
      <w:r w:rsidR="00136365" w:rsidRPr="00C73710">
        <w:t xml:space="preserve">apibrėžimu </w:t>
      </w:r>
      <w:r w:rsidR="00855CBB" w:rsidRPr="00C73710">
        <w:t xml:space="preserve">ir imties </w:t>
      </w:r>
      <w:r w:rsidR="00136365" w:rsidRPr="00C73710">
        <w:t xml:space="preserve">dydžio </w:t>
      </w:r>
      <w:r w:rsidR="00855CBB" w:rsidRPr="00C73710">
        <w:t>nustatymu.</w:t>
      </w:r>
      <w:r w:rsidR="00001A6A" w:rsidRPr="00C73710">
        <w:t xml:space="preserve"> </w:t>
      </w:r>
      <w:r w:rsidR="00855CBB" w:rsidRPr="00C73710">
        <w:t xml:space="preserve">Remiantis </w:t>
      </w:r>
      <w:proofErr w:type="spellStart"/>
      <w:r w:rsidR="00855CBB" w:rsidRPr="00C73710">
        <w:t>Rudzkiene</w:t>
      </w:r>
      <w:proofErr w:type="spellEnd"/>
      <w:r w:rsidR="00855CBB" w:rsidRPr="00C73710">
        <w:t xml:space="preserve"> (200</w:t>
      </w:r>
      <w:r w:rsidR="009903D2" w:rsidRPr="00C73710">
        <w:t>5</w:t>
      </w:r>
      <w:r w:rsidR="00855CBB" w:rsidRPr="00C73710">
        <w:t xml:space="preserve">), </w:t>
      </w:r>
      <w:r w:rsidR="001636EC" w:rsidRPr="00C73710">
        <w:t xml:space="preserve">atliekant statistinį tyrimą, </w:t>
      </w:r>
      <w:r w:rsidRPr="00C73710">
        <w:t xml:space="preserve">paprastai </w:t>
      </w:r>
      <w:r w:rsidR="00941225" w:rsidRPr="00C73710">
        <w:t xml:space="preserve">yra </w:t>
      </w:r>
      <w:r w:rsidR="006B236A" w:rsidRPr="00C73710">
        <w:t xml:space="preserve">tiriama tam tikrų objektų ar </w:t>
      </w:r>
      <w:r w:rsidR="00BE6C68" w:rsidRPr="00C73710">
        <w:t xml:space="preserve">individų grupė, t. y. </w:t>
      </w:r>
      <w:r w:rsidR="00BE6C68" w:rsidRPr="00C73710">
        <w:rPr>
          <w:i/>
        </w:rPr>
        <w:t>aibė</w:t>
      </w:r>
      <w:r w:rsidR="00BE6C68" w:rsidRPr="00C73710">
        <w:t xml:space="preserve"> mus dominančių objektų, iš kurių atrenkama </w:t>
      </w:r>
      <w:r w:rsidR="00BE6C68" w:rsidRPr="00C73710">
        <w:rPr>
          <w:i/>
        </w:rPr>
        <w:t>imtis</w:t>
      </w:r>
      <w:r w:rsidR="00BE6C68" w:rsidRPr="00C73710">
        <w:t xml:space="preserve"> tyrimui</w:t>
      </w:r>
      <w:r w:rsidR="00136365" w:rsidRPr="00C73710">
        <w:t>, – t</w:t>
      </w:r>
      <w:r w:rsidR="00BE6C68" w:rsidRPr="00C73710">
        <w:t>ai reiškia, jog, nepaisant to, kad išvadas siekiama padaryti apie visą generalinę aibę, (šiuo atveju, apie ne</w:t>
      </w:r>
      <w:r w:rsidR="0068306D" w:rsidRPr="00C73710">
        <w:t xml:space="preserve">darbo draudimo išmokas ir / ar socialinę paramą gaunančius </w:t>
      </w:r>
      <w:r w:rsidR="009A4AE1" w:rsidRPr="00C73710">
        <w:t>Lietuvos</w:t>
      </w:r>
      <w:r w:rsidR="003E3010" w:rsidRPr="00C73710">
        <w:t xml:space="preserve"> piliečius)</w:t>
      </w:r>
      <w:r w:rsidR="00BE6C68" w:rsidRPr="00C73710">
        <w:t>, duomenis pakanka rinkti apie vis</w:t>
      </w:r>
      <w:r w:rsidR="008F2C93" w:rsidRPr="00C73710">
        <w:t>umos dalį,</w:t>
      </w:r>
      <w:r w:rsidR="00BE6C68" w:rsidRPr="00C73710">
        <w:t xml:space="preserve"> tačiau ji</w:t>
      </w:r>
      <w:r w:rsidR="008B44B5" w:rsidRPr="00C73710">
        <w:t xml:space="preserve"> </w:t>
      </w:r>
      <w:r w:rsidR="003E3010" w:rsidRPr="00C73710">
        <w:t>[visum</w:t>
      </w:r>
      <w:r w:rsidR="008F2C93" w:rsidRPr="00C73710">
        <w:t xml:space="preserve">os dalis] </w:t>
      </w:r>
      <w:r w:rsidR="00BE6C68" w:rsidRPr="00C73710">
        <w:t xml:space="preserve">turėtų būti </w:t>
      </w:r>
      <w:r w:rsidR="00BE6C68" w:rsidRPr="00C73710">
        <w:rPr>
          <w:i/>
        </w:rPr>
        <w:t>kruopščiai atrinkta</w:t>
      </w:r>
      <w:r w:rsidR="00BE6C68" w:rsidRPr="00C73710">
        <w:t xml:space="preserve"> ir </w:t>
      </w:r>
      <w:r w:rsidR="00BE6C68" w:rsidRPr="00C73710">
        <w:rPr>
          <w:i/>
        </w:rPr>
        <w:t>reprezentatyvi</w:t>
      </w:r>
      <w:r w:rsidR="00BE6C68" w:rsidRPr="00C73710">
        <w:t>.</w:t>
      </w:r>
    </w:p>
    <w:p w:rsidR="00474214" w:rsidRDefault="009409D9" w:rsidP="00C73710">
      <w:pPr>
        <w:pStyle w:val="Referatai"/>
      </w:pPr>
      <w:r>
        <w:t>Pagrind</w:t>
      </w:r>
      <w:r w:rsidR="00BE6C68">
        <w:t xml:space="preserve">inė </w:t>
      </w:r>
      <w:r w:rsidR="00BE6C68" w:rsidRPr="00F62F31">
        <w:rPr>
          <w:b/>
          <w:i/>
        </w:rPr>
        <w:t>imties reprezentatyvumo užtikrinimo sąlygą</w:t>
      </w:r>
      <w:r w:rsidR="00BE6C68">
        <w:t xml:space="preserve"> yra jos </w:t>
      </w:r>
      <w:r w:rsidR="00BE6C68" w:rsidRPr="008D4623">
        <w:rPr>
          <w:i/>
        </w:rPr>
        <w:t>atsitiktinis parinkimas</w:t>
      </w:r>
      <w:r>
        <w:t xml:space="preserve"> iš generalinės </w:t>
      </w:r>
      <w:r w:rsidRPr="00C73710">
        <w:t>aibės</w:t>
      </w:r>
      <w:r w:rsidR="0013107A" w:rsidRPr="00C73710">
        <w:t xml:space="preserve"> (</w:t>
      </w:r>
      <w:r w:rsidR="0013107A" w:rsidRPr="00C73710">
        <w:rPr>
          <w:i/>
          <w:lang w:val="la-Latn"/>
        </w:rPr>
        <w:t>Ibid</w:t>
      </w:r>
      <w:r w:rsidR="0013107A" w:rsidRPr="00C73710">
        <w:t>)</w:t>
      </w:r>
      <w:r w:rsidR="00BE6C68" w:rsidRPr="00C73710">
        <w:t xml:space="preserve">, todėl, atsižvelgiant į tai, imtį šiame darbe </w:t>
      </w:r>
      <w:r w:rsidR="008838B4" w:rsidRPr="00C73710">
        <w:t xml:space="preserve">būtų tikslinga </w:t>
      </w:r>
      <w:r w:rsidR="00BE6C68" w:rsidRPr="00C73710">
        <w:t xml:space="preserve">parinkti, taikant </w:t>
      </w:r>
      <w:r w:rsidR="00BE6C68" w:rsidRPr="00C73710">
        <w:rPr>
          <w:i/>
        </w:rPr>
        <w:t>paprastą tikimybinę</w:t>
      </w:r>
      <w:r w:rsidR="00BE6C68" w:rsidRPr="00172560">
        <w:rPr>
          <w:i/>
        </w:rPr>
        <w:t xml:space="preserve"> </w:t>
      </w:r>
      <w:r w:rsidR="00BE6C68" w:rsidRPr="00C73710">
        <w:rPr>
          <w:i/>
        </w:rPr>
        <w:t>atranką</w:t>
      </w:r>
      <w:r w:rsidR="00DC0B6C" w:rsidRPr="00C73710">
        <w:t>, t. y.</w:t>
      </w:r>
      <w:r w:rsidR="008D4623" w:rsidRPr="00C73710">
        <w:t xml:space="preserve"> </w:t>
      </w:r>
      <w:r w:rsidR="00BE6C68" w:rsidRPr="00C73710">
        <w:t>tokį imties sudarymo būdą, kuomet visi generalinės aibės elementai tu</w:t>
      </w:r>
      <w:r w:rsidR="004712A2" w:rsidRPr="00C73710">
        <w:t>ri galimybę pakliūti į</w:t>
      </w:r>
      <w:r w:rsidR="004712A2">
        <w:t xml:space="preserve"> imtį, </w:t>
      </w:r>
      <w:r w:rsidR="007C6A4C">
        <w:t xml:space="preserve">– </w:t>
      </w:r>
      <w:r w:rsidR="00DC0B6C">
        <w:t>kadangi</w:t>
      </w:r>
      <w:r w:rsidR="00BE6C68">
        <w:t xml:space="preserve"> yra parenkami visiškai atsitiktinai. </w:t>
      </w:r>
      <w:r w:rsidR="00C712F4">
        <w:t>Šiam tikslui anketas reikėtų</w:t>
      </w:r>
      <w:r w:rsidR="006B4938">
        <w:t xml:space="preserve"> </w:t>
      </w:r>
      <w:r w:rsidR="00DC0B6C">
        <w:t>„</w:t>
      </w:r>
      <w:r w:rsidR="006B4938">
        <w:t>paskleisti</w:t>
      </w:r>
      <w:r w:rsidR="00DC0B6C">
        <w:t>“</w:t>
      </w:r>
      <w:r w:rsidR="006B4938">
        <w:t xml:space="preserve"> </w:t>
      </w:r>
      <w:r w:rsidR="00445C99">
        <w:t>kiek įmanoma įvairesniais būdais ir kanalais</w:t>
      </w:r>
      <w:r w:rsidR="00237B1B">
        <w:t xml:space="preserve">, kad </w:t>
      </w:r>
      <w:r w:rsidR="008143C7">
        <w:t>jos būtų prieinamos</w:t>
      </w:r>
      <w:r w:rsidR="00543B01">
        <w:t xml:space="preserve"> </w:t>
      </w:r>
      <w:r w:rsidR="008143C7">
        <w:t xml:space="preserve">skirtingo </w:t>
      </w:r>
      <w:r w:rsidR="00292024">
        <w:t>amžiaus ir išsilavinimo</w:t>
      </w:r>
      <w:r w:rsidR="007C6A4C">
        <w:t xml:space="preserve"> </w:t>
      </w:r>
      <w:r w:rsidR="00292024">
        <w:t xml:space="preserve">lygio </w:t>
      </w:r>
      <w:r w:rsidR="008143C7">
        <w:t>žmonėm</w:t>
      </w:r>
      <w:r w:rsidR="00D2021B">
        <w:t>s</w:t>
      </w:r>
      <w:r w:rsidR="00445C99">
        <w:t>.</w:t>
      </w:r>
    </w:p>
    <w:p w:rsidR="00C44CF2" w:rsidRPr="00C73710" w:rsidRDefault="00BE6C68" w:rsidP="00C73710">
      <w:pPr>
        <w:pStyle w:val="Referatai"/>
      </w:pPr>
      <w:r w:rsidRPr="00411B59">
        <w:t>Reikėtų atkreipti dėmesį,</w:t>
      </w:r>
      <w:r>
        <w:t xml:space="preserve"> jog</w:t>
      </w:r>
      <w:r w:rsidR="00C053C9">
        <w:t xml:space="preserve">, tiksliai apibrėžus generalinę </w:t>
      </w:r>
      <w:r w:rsidR="00C053C9" w:rsidRPr="00901010">
        <w:t>aibę</w:t>
      </w:r>
      <w:r w:rsidR="004712A2" w:rsidRPr="00901010">
        <w:t>,</w:t>
      </w:r>
      <w:r w:rsidRPr="00901010">
        <w:t xml:space="preserve"> </w:t>
      </w:r>
      <w:r w:rsidR="00474214" w:rsidRPr="00901010">
        <w:t xml:space="preserve">imties dydį </w:t>
      </w:r>
      <w:r w:rsidR="00C053C9" w:rsidRPr="00901010">
        <w:t>tampa nesunku nustatyti</w:t>
      </w:r>
      <w:r w:rsidR="009D4D6D" w:rsidRPr="00901010">
        <w:t>,</w:t>
      </w:r>
      <w:r w:rsidR="00C053C9" w:rsidRPr="00901010">
        <w:t xml:space="preserve"> </w:t>
      </w:r>
      <w:r w:rsidR="007C6A4C" w:rsidRPr="00C73710">
        <w:t>kadangi</w:t>
      </w:r>
      <w:r w:rsidR="009D4D6D" w:rsidRPr="00C73710">
        <w:t xml:space="preserve"> jį </w:t>
      </w:r>
      <w:r w:rsidR="00A94D80" w:rsidRPr="00C73710">
        <w:t xml:space="preserve">galima tiesiog apskaičiuoti, </w:t>
      </w:r>
      <w:r w:rsidR="004712A2" w:rsidRPr="00C73710">
        <w:t>pritaik</w:t>
      </w:r>
      <w:r w:rsidR="00A94D80" w:rsidRPr="00C73710">
        <w:t>ius</w:t>
      </w:r>
      <w:r w:rsidR="00816634" w:rsidRPr="00C73710">
        <w:t xml:space="preserve"> nesudėtingą, t. y.</w:t>
      </w:r>
      <w:r w:rsidR="004712A2" w:rsidRPr="00C73710">
        <w:t xml:space="preserve"> </w:t>
      </w:r>
      <w:proofErr w:type="spellStart"/>
      <w:r w:rsidRPr="00C73710">
        <w:rPr>
          <w:i/>
        </w:rPr>
        <w:t>Schwarze</w:t>
      </w:r>
      <w:proofErr w:type="spellEnd"/>
      <w:r w:rsidRPr="00C73710">
        <w:t xml:space="preserve"> </w:t>
      </w:r>
      <w:r w:rsidR="00901010" w:rsidRPr="00C73710">
        <w:t>(1993)</w:t>
      </w:r>
      <w:r w:rsidR="00AC2BA9" w:rsidRPr="00C73710">
        <w:t>,</w:t>
      </w:r>
      <w:r w:rsidR="00901010" w:rsidRPr="00C73710">
        <w:t xml:space="preserve"> </w:t>
      </w:r>
      <w:r w:rsidR="004712A2" w:rsidRPr="00C73710">
        <w:t>formulę</w:t>
      </w:r>
      <w:r w:rsidR="00A162A2" w:rsidRPr="00C73710">
        <w:t xml:space="preserve"> (</w:t>
      </w:r>
      <w:r w:rsidR="00A162A2" w:rsidRPr="00C73710">
        <w:rPr>
          <w:i/>
          <w:lang w:val="la-Latn"/>
        </w:rPr>
        <w:t>Ibid</w:t>
      </w:r>
      <w:r w:rsidR="00A162A2" w:rsidRPr="00C73710">
        <w:t>):</w:t>
      </w:r>
    </w:p>
    <w:p w:rsidR="00BE6C68" w:rsidRDefault="00BE6C68" w:rsidP="00C73710">
      <w:pPr>
        <w:pStyle w:val="Referatai"/>
      </w:pPr>
      <m:oMathPara>
        <m:oMathParaPr>
          <m:jc m:val="right"/>
        </m:oMathParaPr>
        <m:oMath>
          <m:r>
            <w:rPr>
              <w:rFonts w:ascii="Cambria Math" w:hAnsi="Cambria Math"/>
            </w:rPr>
            <m:t>n</m:t>
          </m:r>
          <m:r>
            <m:rPr>
              <m:sty m:val="p"/>
            </m:rPr>
            <w:rPr>
              <w:rFonts w:ascii="Cambria Math" w:hAnsi="Cambria Math"/>
            </w:rPr>
            <m:t>=</m:t>
          </m:r>
          <m:f>
            <m:fPr>
              <m:ctrlPr>
                <w:rPr>
                  <w:rFonts w:ascii="Cambria Math" w:hAnsi="Cambria Math"/>
                </w:rPr>
              </m:ctrlPr>
            </m:fPr>
            <m:num>
              <m:r>
                <w:rPr>
                  <w:rFonts w:ascii="Cambria Math" w:hAnsi="Cambria Math"/>
                </w:rPr>
                <m:t>N</m:t>
              </m:r>
              <m:r>
                <m:rPr>
                  <m:sty m:val="p"/>
                </m:rPr>
                <w:rPr>
                  <w:rFonts w:ascii="Cambria Math" w:hAnsi="Cambria Math"/>
                </w:rPr>
                <m:t>×</m:t>
              </m:r>
              <m:sSup>
                <m:sSupPr>
                  <m:ctrlPr>
                    <w:rPr>
                      <w:rFonts w:ascii="Cambria Math" w:hAnsi="Cambria Math"/>
                    </w:rPr>
                  </m:ctrlPr>
                </m:sSupPr>
                <m:e>
                  <m:r>
                    <m:rPr>
                      <m:sty m:val="p"/>
                    </m:rPr>
                    <w:rPr>
                      <w:rFonts w:ascii="Cambria Math" w:hAnsi="Cambria Math"/>
                    </w:rPr>
                    <m:t>1,96</m:t>
                  </m:r>
                </m:e>
                <m:sup>
                  <m:r>
                    <m:rPr>
                      <m:sty m:val="p"/>
                    </m:rPr>
                    <w:rPr>
                      <w:rFonts w:ascii="Cambria Math" w:hAnsi="Cambria Math"/>
                    </w:rPr>
                    <m:t>2</m:t>
                  </m:r>
                </m:sup>
              </m:s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q</m:t>
              </m:r>
            </m:num>
            <m:den>
              <m:sSup>
                <m:sSupPr>
                  <m:ctrlPr>
                    <w:rPr>
                      <w:rFonts w:ascii="Cambria Math" w:hAnsi="Cambria Math"/>
                    </w:rPr>
                  </m:ctrlPr>
                </m:sSupPr>
                <m:e>
                  <m:r>
                    <w:rPr>
                      <w:rFonts w:ascii="Cambria Math" w:hAnsi="Cambria Math"/>
                    </w:rPr>
                    <m:t>ε</m:t>
                  </m:r>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-1</m:t>
                  </m:r>
                </m:e>
              </m:d>
              <m:r>
                <m:rPr>
                  <m:sty m:val="p"/>
                </m:rPr>
                <w:rPr>
                  <w:rFonts w:ascii="Cambria Math" w:hAnsi="Cambria Math"/>
                </w:rPr>
                <m:t>+</m:t>
              </m:r>
              <m:sSup>
                <m:sSupPr>
                  <m:ctrlPr>
                    <w:rPr>
                      <w:rFonts w:ascii="Cambria Math" w:hAnsi="Cambria Math"/>
                    </w:rPr>
                  </m:ctrlPr>
                </m:sSupPr>
                <m:e>
                  <m:r>
                    <m:rPr>
                      <m:sty m:val="p"/>
                    </m:rPr>
                    <w:rPr>
                      <w:rFonts w:ascii="Cambria Math" w:hAnsi="Cambria Math"/>
                    </w:rPr>
                    <m:t>1,96</m:t>
                  </m:r>
                </m:e>
                <m:sup>
                  <m:r>
                    <m:rPr>
                      <m:sty m:val="p"/>
                    </m:rPr>
                    <w:rPr>
                      <w:rFonts w:ascii="Cambria Math" w:hAnsi="Cambria Math"/>
                    </w:rPr>
                    <m:t>2</m:t>
                  </m:r>
                </m:sup>
              </m:s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q</m:t>
              </m:r>
            </m:den>
          </m:f>
          <m:r>
            <m:rPr>
              <m:sty m:val="p"/>
            </m:rPr>
            <w:rPr>
              <w:rFonts w:ascii="Cambria Math" w:hAnsi="Cambria Math"/>
            </w:rPr>
            <m:t>;                                                      (1)</m:t>
          </m:r>
        </m:oMath>
      </m:oMathPara>
    </w:p>
    <w:p w:rsidR="00BE6C68" w:rsidRPr="00B65497" w:rsidRDefault="00BE6C68" w:rsidP="00C73710">
      <w:pPr>
        <w:pStyle w:val="Referatai"/>
      </w:pPr>
      <w:r>
        <w:t xml:space="preserve">čia: </w:t>
      </w:r>
      <w:r w:rsidRPr="002A210A">
        <w:rPr>
          <w:i/>
        </w:rPr>
        <w:t>N</w:t>
      </w:r>
      <w:r>
        <w:t xml:space="preserve"> – generalinė aibė; ε – pageidautinas tikslumas (paprastai 0,05); </w:t>
      </w:r>
      <w:r w:rsidRPr="009F5AAA">
        <w:rPr>
          <w:i/>
        </w:rPr>
        <w:t>p</w:t>
      </w:r>
      <w:r>
        <w:t xml:space="preserve"> – numatoma įvykio baigmės tikimybė, kad nagrinėjamas požymis pasireikš tiriamoje generalinėje aibėje (dažniausiai imama blogiausio varianto tikimybė, kad požymis </w:t>
      </w:r>
      <w:r w:rsidR="0035682B">
        <w:t xml:space="preserve">yra </w:t>
      </w:r>
      <w:r>
        <w:t>b</w:t>
      </w:r>
      <w:r w:rsidR="0035682B">
        <w:t>ūdingas pusei, t. y. 50 proc., generalinės aibės, todėl</w:t>
      </w:r>
      <w:r>
        <w:t xml:space="preserve"> naudojama 0,5); </w:t>
      </w:r>
      <w:r w:rsidRPr="00F71790">
        <w:rPr>
          <w:i/>
        </w:rPr>
        <w:t>q</w:t>
      </w:r>
      <w:r>
        <w:t> – tikimybė, kad nagrinėjamas požymis nepasireikš tiriamoje generalinėje aibėje (</w:t>
      </w:r>
      <w:r w:rsidRPr="00B65497">
        <w:rPr>
          <w:i/>
        </w:rPr>
        <w:t>q</w:t>
      </w:r>
      <w:r>
        <w:t> </w:t>
      </w:r>
      <w:r w:rsidRPr="00B65497">
        <w:t>=</w:t>
      </w:r>
      <w:r>
        <w:t xml:space="preserve"> 1 – </w:t>
      </w:r>
      <w:r w:rsidRPr="00B65497">
        <w:rPr>
          <w:i/>
        </w:rPr>
        <w:t>p</w:t>
      </w:r>
      <w:r w:rsidR="00B0165B">
        <w:t> </w:t>
      </w:r>
      <w:r w:rsidR="00B0165B">
        <w:rPr>
          <w:lang w:val="en-US"/>
        </w:rPr>
        <w:t>= 0,5</w:t>
      </w:r>
      <w:r>
        <w:t>).</w:t>
      </w:r>
    </w:p>
    <w:p w:rsidR="001D78E3" w:rsidRDefault="00DE0D79" w:rsidP="00C73710">
      <w:pPr>
        <w:pStyle w:val="Referatai"/>
      </w:pPr>
      <w:r>
        <w:lastRenderedPageBreak/>
        <w:t xml:space="preserve">Kalbant apie </w:t>
      </w:r>
      <w:r w:rsidRPr="00172560">
        <w:rPr>
          <w:b/>
          <w:i/>
        </w:rPr>
        <w:t>tiriamos visumos dydį</w:t>
      </w:r>
      <w:r>
        <w:t>, reik</w:t>
      </w:r>
      <w:r w:rsidR="00D76F05">
        <w:t>ė</w:t>
      </w:r>
      <w:r>
        <w:t>tų pasakyti, jog, r</w:t>
      </w:r>
      <w:r w:rsidR="00BE6C68">
        <w:t>emiantis socialinės statistikos rodikliais</w:t>
      </w:r>
      <w:r w:rsidR="00524EDB">
        <w:t xml:space="preserve">, </w:t>
      </w:r>
      <w:r w:rsidR="00524EDB" w:rsidRPr="00B03B75">
        <w:t>201</w:t>
      </w:r>
      <w:r w:rsidR="003D1242" w:rsidRPr="00B03B75">
        <w:t>1</w:t>
      </w:r>
      <w:r w:rsidR="00BE6C68" w:rsidRPr="00B03B75">
        <w:t xml:space="preserve"> m.</w:t>
      </w:r>
      <w:r w:rsidR="00BE6C68" w:rsidRPr="00B46634">
        <w:t xml:space="preserve"> </w:t>
      </w:r>
      <w:r w:rsidR="003D1242" w:rsidRPr="00B46634">
        <w:t xml:space="preserve">registruotų </w:t>
      </w:r>
      <w:r w:rsidR="00BE6C68" w:rsidRPr="00B46634">
        <w:t>bedarb</w:t>
      </w:r>
      <w:r w:rsidR="00524EDB" w:rsidRPr="00B46634">
        <w:t>ių skaičius Lietuvoje siekė</w:t>
      </w:r>
      <w:r w:rsidR="00D76F05">
        <w:rPr>
          <w:rStyle w:val="FootnoteReference"/>
          <w:bCs/>
        </w:rPr>
        <w:footnoteReference w:id="10"/>
      </w:r>
      <w:r w:rsidR="00524EDB" w:rsidRPr="00B46634">
        <w:t xml:space="preserve"> </w:t>
      </w:r>
      <w:r w:rsidR="00954CDE" w:rsidRPr="00B46634">
        <w:t>247</w:t>
      </w:r>
      <w:r w:rsidR="00524EDB" w:rsidRPr="00B46634">
        <w:t> </w:t>
      </w:r>
      <w:r w:rsidR="00B34AF2">
        <w:t>tūkst.</w:t>
      </w:r>
      <w:r w:rsidR="00BE6C68" w:rsidRPr="00B46634">
        <w:t>, o soc</w:t>
      </w:r>
      <w:r w:rsidR="00DE5AAD">
        <w:t>ialinę</w:t>
      </w:r>
      <w:r w:rsidR="003B658F">
        <w:t xml:space="preserve"> paramą</w:t>
      </w:r>
      <w:r w:rsidR="00217DF1">
        <w:t xml:space="preserve"> gavo</w:t>
      </w:r>
      <w:r w:rsidR="00101989">
        <w:rPr>
          <w:rStyle w:val="FootnoteReference"/>
        </w:rPr>
        <w:footnoteReference w:id="11"/>
      </w:r>
      <w:r w:rsidR="00BE6C68" w:rsidRPr="006772D9">
        <w:t xml:space="preserve"> </w:t>
      </w:r>
      <w:r w:rsidR="001A1815" w:rsidRPr="006772D9">
        <w:t>584</w:t>
      </w:r>
      <w:r w:rsidR="00B34AF2">
        <w:t xml:space="preserve"> tūkst.</w:t>
      </w:r>
      <w:r w:rsidR="00BE6C68">
        <w:t xml:space="preserve"> gyventojų</w:t>
      </w:r>
      <w:r w:rsidR="001A1815">
        <w:t xml:space="preserve"> (iš jų: 221 tūks</w:t>
      </w:r>
      <w:r w:rsidR="00B34AF2">
        <w:t>t.</w:t>
      </w:r>
      <w:r w:rsidR="001A1815">
        <w:t xml:space="preserve"> gavo sociali</w:t>
      </w:r>
      <w:r w:rsidR="00B34AF2">
        <w:t>nes</w:t>
      </w:r>
      <w:r w:rsidR="001A1815">
        <w:t xml:space="preserve"> pašal</w:t>
      </w:r>
      <w:r w:rsidR="00B34AF2">
        <w:t>pas</w:t>
      </w:r>
      <w:r w:rsidR="00535782">
        <w:t>; 142 tūkst</w:t>
      </w:r>
      <w:r w:rsidR="00B34AF2">
        <w:t>.</w:t>
      </w:r>
      <w:r w:rsidR="00535782">
        <w:t xml:space="preserve"> </w:t>
      </w:r>
      <w:r w:rsidR="00217DF1">
        <w:t>moksleivių buvo aprūpinti</w:t>
      </w:r>
      <w:r w:rsidR="00535782">
        <w:t xml:space="preserve"> nemokam</w:t>
      </w:r>
      <w:r w:rsidR="00217DF1">
        <w:t>u</w:t>
      </w:r>
      <w:r w:rsidR="00535782">
        <w:t xml:space="preserve"> maitini</w:t>
      </w:r>
      <w:r w:rsidR="00217DF1">
        <w:t>mu</w:t>
      </w:r>
      <w:r w:rsidR="00535782">
        <w:t xml:space="preserve"> mokykloje</w:t>
      </w:r>
      <w:r w:rsidR="00217DF1">
        <w:t xml:space="preserve">; </w:t>
      </w:r>
      <w:r w:rsidR="00535782">
        <w:t>221 tūkst</w:t>
      </w:r>
      <w:r w:rsidR="00B34AF2">
        <w:t>.</w:t>
      </w:r>
      <w:r w:rsidR="00535782">
        <w:t xml:space="preserve"> </w:t>
      </w:r>
      <w:r w:rsidR="00217DF1">
        <w:t>gavo</w:t>
      </w:r>
      <w:r w:rsidR="00535782">
        <w:t xml:space="preserve"> </w:t>
      </w:r>
      <w:r w:rsidR="00C47026">
        <w:t xml:space="preserve">kompensacijas už </w:t>
      </w:r>
      <w:r w:rsidR="00535782">
        <w:t>būsto šildym</w:t>
      </w:r>
      <w:r w:rsidR="00C47026">
        <w:t>ą</w:t>
      </w:r>
      <w:r w:rsidR="00535782">
        <w:t>)</w:t>
      </w:r>
      <w:r w:rsidR="00D27CB9">
        <w:t xml:space="preserve">, </w:t>
      </w:r>
      <w:r w:rsidR="001E54E5">
        <w:t xml:space="preserve">t. y. iš viso nedarbo socialinio draudimo išmokomis bei socialine parama naudojosi apie </w:t>
      </w:r>
      <w:r w:rsidR="00702FE3">
        <w:t xml:space="preserve">831 tūkstantis </w:t>
      </w:r>
      <w:r w:rsidR="00ED702D">
        <w:t>individ</w:t>
      </w:r>
      <w:r w:rsidR="00702FE3">
        <w:t>ų</w:t>
      </w:r>
      <w:r w:rsidR="004A2890">
        <w:t>.</w:t>
      </w:r>
      <w:r w:rsidR="00702FE3">
        <w:t xml:space="preserve"> </w:t>
      </w:r>
      <w:r w:rsidR="00C005A4">
        <w:t>Tačiau, b</w:t>
      </w:r>
      <w:r w:rsidR="00ED702D">
        <w:t>ūtina atkreipti</w:t>
      </w:r>
      <w:r w:rsidR="00112E99">
        <w:t xml:space="preserve"> dėmes</w:t>
      </w:r>
      <w:r w:rsidR="00ED702D">
        <w:t>į</w:t>
      </w:r>
      <w:r w:rsidR="00112E99">
        <w:t xml:space="preserve">, </w:t>
      </w:r>
      <w:r w:rsidR="00BE6C68">
        <w:t>jog</w:t>
      </w:r>
      <w:r w:rsidR="00E8222D">
        <w:t xml:space="preserve"> šeim</w:t>
      </w:r>
      <w:r w:rsidR="004F3327">
        <w:t>ų</w:t>
      </w:r>
      <w:r w:rsidR="004A4DAA">
        <w:t xml:space="preserve">, </w:t>
      </w:r>
      <w:r w:rsidR="00E8222D">
        <w:t>ku</w:t>
      </w:r>
      <w:r w:rsidR="00405FD2">
        <w:t>rių materialinė padėtis</w:t>
      </w:r>
      <w:r w:rsidR="006B0A93">
        <w:t xml:space="preserve"> </w:t>
      </w:r>
      <w:r w:rsidR="001E54E5">
        <w:t>buvo</w:t>
      </w:r>
      <w:r w:rsidR="006B0A93">
        <w:t xml:space="preserve"> itin pras</w:t>
      </w:r>
      <w:r w:rsidR="00237256">
        <w:t>t</w:t>
      </w:r>
      <w:r w:rsidR="00641CE2">
        <w:t>o lygio</w:t>
      </w:r>
      <w:r w:rsidR="004A4DAA">
        <w:t>,</w:t>
      </w:r>
      <w:r w:rsidR="00405FD2">
        <w:t xml:space="preserve"> </w:t>
      </w:r>
      <w:r w:rsidR="006B0A93">
        <w:t xml:space="preserve">nariai </w:t>
      </w:r>
      <w:r w:rsidR="001E54E5">
        <w:t xml:space="preserve">galėjo </w:t>
      </w:r>
      <w:r w:rsidR="006B0A93">
        <w:t>įg</w:t>
      </w:r>
      <w:r w:rsidR="001E54E5">
        <w:t>yti</w:t>
      </w:r>
      <w:r w:rsidR="001A1CC7">
        <w:t xml:space="preserve"> </w:t>
      </w:r>
      <w:r w:rsidR="00ED0DA4">
        <w:t>(</w:t>
      </w:r>
      <w:r w:rsidR="001A1CC7">
        <w:t>ir, tikriausiai, įgijo</w:t>
      </w:r>
      <w:r w:rsidR="00ED0DA4">
        <w:t>)</w:t>
      </w:r>
      <w:r w:rsidR="006B0A93">
        <w:t xml:space="preserve"> teisę</w:t>
      </w:r>
      <w:r w:rsidR="00C26A3C">
        <w:t xml:space="preserve"> netgi</w:t>
      </w:r>
      <w:r w:rsidR="00527388">
        <w:t xml:space="preserve"> </w:t>
      </w:r>
      <w:r w:rsidR="006215DC">
        <w:t>į</w:t>
      </w:r>
      <w:r w:rsidR="00641CE2">
        <w:t xml:space="preserve"> keleto skirtingų </w:t>
      </w:r>
      <w:r w:rsidR="005A1358">
        <w:t xml:space="preserve">valstybės finansuojamų </w:t>
      </w:r>
      <w:r w:rsidR="001E70A1">
        <w:t xml:space="preserve">išmokų </w:t>
      </w:r>
      <w:r w:rsidR="004D666E">
        <w:t>gavimą</w:t>
      </w:r>
      <w:r w:rsidR="001E70A1">
        <w:t xml:space="preserve"> </w:t>
      </w:r>
      <w:r w:rsidR="002F436D">
        <w:t xml:space="preserve">(dėl </w:t>
      </w:r>
      <w:r w:rsidR="00237256">
        <w:t xml:space="preserve">lėšų </w:t>
      </w:r>
      <w:r w:rsidR="00193995">
        <w:t xml:space="preserve">vienam </w:t>
      </w:r>
      <w:r w:rsidR="008F19DE">
        <w:t xml:space="preserve">šeimos </w:t>
      </w:r>
      <w:r w:rsidR="00193995">
        <w:t xml:space="preserve">ūkio nariui </w:t>
      </w:r>
      <w:r w:rsidR="00237256">
        <w:t>nepakankamum</w:t>
      </w:r>
      <w:r w:rsidR="002F436D">
        <w:t>o</w:t>
      </w:r>
      <w:r w:rsidR="00237256">
        <w:t>)</w:t>
      </w:r>
      <w:r w:rsidR="00616EE3">
        <w:t xml:space="preserve"> – o tai</w:t>
      </w:r>
      <w:r w:rsidR="005A1358">
        <w:t xml:space="preserve"> </w:t>
      </w:r>
      <w:r w:rsidR="00C005A4">
        <w:t xml:space="preserve">įpareigoja </w:t>
      </w:r>
      <w:r w:rsidR="00616EE3">
        <w:t>koreguo</w:t>
      </w:r>
      <w:r w:rsidR="00A75540">
        <w:t>ti</w:t>
      </w:r>
      <w:r w:rsidR="00C005A4" w:rsidRPr="00C005A4">
        <w:t xml:space="preserve"> </w:t>
      </w:r>
      <w:r w:rsidR="00C005A4">
        <w:t>tiriamos visumos dydį</w:t>
      </w:r>
      <w:r w:rsidR="00193995">
        <w:t xml:space="preserve">, </w:t>
      </w:r>
      <w:r w:rsidR="00195CA0">
        <w:t>naiki</w:t>
      </w:r>
      <w:r w:rsidR="00616EE3">
        <w:t>n</w:t>
      </w:r>
      <w:r w:rsidR="00193995">
        <w:t>ant</w:t>
      </w:r>
      <w:r w:rsidR="008F19DE">
        <w:t xml:space="preserve"> pasikartoja</w:t>
      </w:r>
      <w:r w:rsidR="005F24AD">
        <w:t>nčius objektus</w:t>
      </w:r>
      <w:r w:rsidR="008F19DE">
        <w:t>.</w:t>
      </w:r>
    </w:p>
    <w:p w:rsidR="00662404" w:rsidRDefault="00195CA0" w:rsidP="00C73710">
      <w:pPr>
        <w:pStyle w:val="Referatai"/>
      </w:pPr>
      <w:r>
        <w:t xml:space="preserve">Suvokiant, jog didžiausia tikimybė </w:t>
      </w:r>
      <w:r w:rsidR="00C42729" w:rsidRPr="008D277C">
        <w:rPr>
          <w:i/>
        </w:rPr>
        <w:t>vienu</w:t>
      </w:r>
      <w:r w:rsidR="00CD278A" w:rsidRPr="008D277C">
        <w:rPr>
          <w:i/>
        </w:rPr>
        <w:t xml:space="preserve"> metu </w:t>
      </w:r>
      <w:r w:rsidR="009F3AAE" w:rsidRPr="008D277C">
        <w:rPr>
          <w:i/>
        </w:rPr>
        <w:t>gauti keletą socialinių išmokų</w:t>
      </w:r>
      <w:r w:rsidR="009F3AAE">
        <w:t xml:space="preserve"> </w:t>
      </w:r>
      <w:r w:rsidR="00C42729">
        <w:t xml:space="preserve">yra </w:t>
      </w:r>
      <w:r w:rsidR="00CD278A">
        <w:t>galim</w:t>
      </w:r>
      <w:r w:rsidR="00081625">
        <w:t>a</w:t>
      </w:r>
      <w:r w:rsidR="008D277C">
        <w:t xml:space="preserve"> </w:t>
      </w:r>
      <w:r w:rsidR="006D66E9">
        <w:t>tose žmonių grupėse</w:t>
      </w:r>
      <w:r w:rsidR="00FF3ED2">
        <w:t>, kurios</w:t>
      </w:r>
      <w:r w:rsidR="00B46234">
        <w:t xml:space="preserve"> </w:t>
      </w:r>
      <w:r w:rsidR="00CF0C9A">
        <w:t xml:space="preserve">be išmokų daugiau </w:t>
      </w:r>
      <w:r w:rsidR="00B46234">
        <w:t>neturi jokių pajamų šaltinių</w:t>
      </w:r>
      <w:r w:rsidR="00CF0C9A">
        <w:t xml:space="preserve"> ir kurių didžiąją dalį sudaro d</w:t>
      </w:r>
      <w:r w:rsidR="00C1600A">
        <w:t>ar negalintys dirbti asmenys</w:t>
      </w:r>
      <w:r w:rsidR="004B18B2">
        <w:t xml:space="preserve">, t. y. </w:t>
      </w:r>
      <w:r w:rsidR="00CF0C9A">
        <w:t>vaikai</w:t>
      </w:r>
      <w:r w:rsidR="004B18B2">
        <w:t xml:space="preserve"> (</w:t>
      </w:r>
      <w:r w:rsidR="00CB0A48">
        <w:t>skiriant socialinę</w:t>
      </w:r>
      <w:r w:rsidR="009711ED">
        <w:t xml:space="preserve"> paramą</w:t>
      </w:r>
      <w:r w:rsidR="00CB0A48">
        <w:t>, išmokos vaikams į šeimos pajamas n</w:t>
      </w:r>
      <w:r w:rsidR="00432BE4">
        <w:t>e</w:t>
      </w:r>
      <w:r w:rsidR="00CB0A48">
        <w:t>įskaitomos</w:t>
      </w:r>
      <w:r w:rsidR="00352608">
        <w:rPr>
          <w:rStyle w:val="FootnoteReference"/>
        </w:rPr>
        <w:footnoteReference w:id="12"/>
      </w:r>
      <w:r w:rsidR="00CB0A48">
        <w:t>)</w:t>
      </w:r>
      <w:r w:rsidR="00CF0C9A">
        <w:t>, tampa akivaizdu, jog</w:t>
      </w:r>
      <w:r w:rsidR="00302D48">
        <w:t xml:space="preserve"> dubliuotis </w:t>
      </w:r>
      <w:r w:rsidR="00336BF6">
        <w:t>turėtų tie</w:t>
      </w:r>
      <w:r w:rsidR="00C1600A">
        <w:t xml:space="preserve"> individai</w:t>
      </w:r>
      <w:r w:rsidR="00336BF6">
        <w:t>, kurie</w:t>
      </w:r>
      <w:r w:rsidR="00153BCD">
        <w:t xml:space="preserve"> patenka į </w:t>
      </w:r>
      <w:r w:rsidR="00B731C9">
        <w:t xml:space="preserve">taip vadinamą </w:t>
      </w:r>
      <w:r w:rsidR="00282295" w:rsidRPr="0067459C">
        <w:rPr>
          <w:i/>
        </w:rPr>
        <w:t>„daugiavaikių šeimų“</w:t>
      </w:r>
      <w:r w:rsidR="00282295">
        <w:t xml:space="preserve">, kuriose </w:t>
      </w:r>
      <w:r w:rsidR="000A3CBE">
        <w:t>nė</w:t>
      </w:r>
      <w:r w:rsidR="00282295">
        <w:t xml:space="preserve"> vienas iš tėvų</w:t>
      </w:r>
      <w:r w:rsidR="008C1CFA">
        <w:t xml:space="preserve"> negauna</w:t>
      </w:r>
      <w:r w:rsidR="00662404">
        <w:t xml:space="preserve"> pajamų</w:t>
      </w:r>
      <w:r w:rsidR="0067459C">
        <w:t>,</w:t>
      </w:r>
      <w:r w:rsidR="00282295">
        <w:t xml:space="preserve"> </w:t>
      </w:r>
      <w:r w:rsidR="00153BCD" w:rsidRPr="0067459C">
        <w:rPr>
          <w:i/>
        </w:rPr>
        <w:t>kategoriją</w:t>
      </w:r>
      <w:r w:rsidR="00380144">
        <w:t xml:space="preserve">. </w:t>
      </w:r>
      <w:r w:rsidR="00466B52">
        <w:t xml:space="preserve">Deja, dėl </w:t>
      </w:r>
      <w:r w:rsidR="0067459C">
        <w:t>oficialiosios statistikos</w:t>
      </w:r>
      <w:r w:rsidR="00662404">
        <w:t xml:space="preserve"> trūkumo</w:t>
      </w:r>
      <w:r w:rsidR="006D05DE">
        <w:t xml:space="preserve">, </w:t>
      </w:r>
      <w:r w:rsidR="00D71BCB">
        <w:t>su</w:t>
      </w:r>
      <w:r w:rsidR="00F53554">
        <w:t>nku</w:t>
      </w:r>
      <w:r w:rsidR="00D71BCB">
        <w:t xml:space="preserve"> pasakyti, kiek realiai yra tokių šeimų, </w:t>
      </w:r>
      <w:r w:rsidR="0084332F">
        <w:t xml:space="preserve">kuriose ne tik </w:t>
      </w:r>
      <w:r w:rsidR="00B72558">
        <w:t xml:space="preserve">nedirba </w:t>
      </w:r>
      <w:r w:rsidR="0084332F">
        <w:t>nė vienas šeimos narys</w:t>
      </w:r>
      <w:r w:rsidR="00DB51AC">
        <w:t>, bet</w:t>
      </w:r>
      <w:r w:rsidR="00F86F92">
        <w:t xml:space="preserve"> ir</w:t>
      </w:r>
      <w:r w:rsidR="00DB51AC">
        <w:t xml:space="preserve"> </w:t>
      </w:r>
      <w:r w:rsidR="00AC2F04">
        <w:t xml:space="preserve">tuo pačiu </w:t>
      </w:r>
      <w:r w:rsidR="00D71BCB">
        <w:t>gauna</w:t>
      </w:r>
      <w:r w:rsidR="00F53554">
        <w:t xml:space="preserve"> </w:t>
      </w:r>
      <w:r w:rsidR="00662404">
        <w:t xml:space="preserve">skirtingas </w:t>
      </w:r>
      <w:r w:rsidR="00F53554">
        <w:t>socialin</w:t>
      </w:r>
      <w:r w:rsidR="00B91C3F">
        <w:t>e</w:t>
      </w:r>
      <w:r w:rsidR="00F53554">
        <w:t>s išmok</w:t>
      </w:r>
      <w:r w:rsidR="00B91C3F">
        <w:t>a</w:t>
      </w:r>
      <w:r w:rsidR="00F53554">
        <w:t>s</w:t>
      </w:r>
      <w:r w:rsidR="002049AA">
        <w:t>, todėl</w:t>
      </w:r>
      <w:r w:rsidR="00F86F92">
        <w:t xml:space="preserve"> tai </w:t>
      </w:r>
      <w:r w:rsidR="00A27013">
        <w:t>negali tapti</w:t>
      </w:r>
      <w:r w:rsidR="00F86F92">
        <w:t xml:space="preserve"> pakankamu pagrindu mažinti </w:t>
      </w:r>
      <w:r w:rsidR="00191F2D">
        <w:t>generalinės aibės dyd</w:t>
      </w:r>
      <w:r w:rsidR="00A27013">
        <w:t>į</w:t>
      </w:r>
      <w:r w:rsidR="00191F2D">
        <w:t>.</w:t>
      </w:r>
    </w:p>
    <w:p w:rsidR="00466B52" w:rsidRDefault="006D66E9" w:rsidP="00C73710">
      <w:pPr>
        <w:pStyle w:val="Referatai"/>
      </w:pPr>
      <w:r>
        <w:t>Šiek tiek kitokia situacija yra su socialines pašalpas gaunanči</w:t>
      </w:r>
      <w:r w:rsidR="00662404">
        <w:t>ais individais</w:t>
      </w:r>
      <w:r w:rsidR="00657F62">
        <w:t xml:space="preserve">: </w:t>
      </w:r>
      <w:r w:rsidR="007B7CE7" w:rsidRPr="008071D8">
        <w:rPr>
          <w:i/>
        </w:rPr>
        <w:t xml:space="preserve">kadangi </w:t>
      </w:r>
      <w:r w:rsidR="00DB0CA2" w:rsidRPr="008071D8">
        <w:rPr>
          <w:i/>
        </w:rPr>
        <w:t xml:space="preserve">nepasiturintys </w:t>
      </w:r>
      <w:r w:rsidR="00E751C3">
        <w:rPr>
          <w:i/>
        </w:rPr>
        <w:t>žmonės</w:t>
      </w:r>
      <w:r w:rsidR="001D25AF" w:rsidRPr="008071D8">
        <w:rPr>
          <w:i/>
        </w:rPr>
        <w:t xml:space="preserve"> </w:t>
      </w:r>
      <w:r w:rsidR="009F6D12" w:rsidRPr="008071D8">
        <w:rPr>
          <w:i/>
        </w:rPr>
        <w:t xml:space="preserve">privalo mokėti </w:t>
      </w:r>
      <w:r w:rsidR="001D25AF" w:rsidRPr="008071D8">
        <w:rPr>
          <w:i/>
        </w:rPr>
        <w:t>tik tam tikrą dalį</w:t>
      </w:r>
      <w:r w:rsidR="003F7B6F">
        <w:rPr>
          <w:i/>
        </w:rPr>
        <w:t xml:space="preserve"> </w:t>
      </w:r>
      <w:r w:rsidR="00C456F9">
        <w:rPr>
          <w:i/>
        </w:rPr>
        <w:t>kai kurių būsto išlaikymo</w:t>
      </w:r>
      <w:r w:rsidR="009F6D12">
        <w:rPr>
          <w:i/>
        </w:rPr>
        <w:t xml:space="preserve"> išlaidų</w:t>
      </w:r>
      <w:r w:rsidR="008071D8">
        <w:t xml:space="preserve">, </w:t>
      </w:r>
      <w:r w:rsidR="001D25AF" w:rsidRPr="008071D8">
        <w:t>pavyzdžiui</w:t>
      </w:r>
      <w:r w:rsidR="00017787" w:rsidRPr="008071D8">
        <w:t>,</w:t>
      </w:r>
      <w:r w:rsidR="001D25AF" w:rsidRPr="008071D8">
        <w:t xml:space="preserve"> penktadalį </w:t>
      </w:r>
      <w:r w:rsidR="000D3FE8" w:rsidRPr="008071D8">
        <w:t>skirtumo tarp bendrai gyvenančių asmenų</w:t>
      </w:r>
      <w:r w:rsidR="00844FFE">
        <w:t xml:space="preserve"> </w:t>
      </w:r>
      <w:r w:rsidR="009E70B0" w:rsidRPr="008071D8">
        <w:t>pajamų</w:t>
      </w:r>
      <w:r w:rsidR="00862EEB" w:rsidRPr="008071D8">
        <w:t xml:space="preserve"> ir </w:t>
      </w:r>
      <w:r w:rsidR="00754E9C" w:rsidRPr="008071D8">
        <w:t>valstybės remiamų pajamų</w:t>
      </w:r>
      <w:r w:rsidR="007A693C" w:rsidRPr="008071D8">
        <w:t xml:space="preserve">, skaičiuojant kompensaciją už </w:t>
      </w:r>
      <w:r w:rsidR="00134A74">
        <w:t>būsto</w:t>
      </w:r>
      <w:r w:rsidR="00B25D07">
        <w:t xml:space="preserve"> </w:t>
      </w:r>
      <w:r w:rsidR="00EA25A6">
        <w:t xml:space="preserve">naudingojo ploto </w:t>
      </w:r>
      <w:r w:rsidR="007A693C" w:rsidRPr="008071D8">
        <w:t>šildymą</w:t>
      </w:r>
      <w:r w:rsidR="009E70B0">
        <w:rPr>
          <w:rStyle w:val="FootnoteReference"/>
        </w:rPr>
        <w:footnoteReference w:id="13"/>
      </w:r>
      <w:r w:rsidR="008071D8">
        <w:t xml:space="preserve">, </w:t>
      </w:r>
      <w:r w:rsidR="00DF1CFE" w:rsidRPr="00DF1CFE">
        <w:rPr>
          <w:i/>
        </w:rPr>
        <w:t xml:space="preserve">mokėtina </w:t>
      </w:r>
      <w:r w:rsidR="00FC6B9F" w:rsidRPr="00DF1CFE">
        <w:rPr>
          <w:i/>
        </w:rPr>
        <w:t>tokių</w:t>
      </w:r>
      <w:r w:rsidR="00FC6B9F">
        <w:rPr>
          <w:i/>
        </w:rPr>
        <w:t xml:space="preserve"> išlaidų suma dažnai</w:t>
      </w:r>
      <w:r w:rsidR="0083493A" w:rsidRPr="00CA6F6E">
        <w:rPr>
          <w:i/>
        </w:rPr>
        <w:t xml:space="preserve"> tampa </w:t>
      </w:r>
      <w:r w:rsidR="00202AE9" w:rsidRPr="00CA6F6E">
        <w:rPr>
          <w:i/>
        </w:rPr>
        <w:t>„</w:t>
      </w:r>
      <w:r w:rsidR="0083493A" w:rsidRPr="00CA6F6E">
        <w:rPr>
          <w:i/>
        </w:rPr>
        <w:t>nulinė</w:t>
      </w:r>
      <w:r w:rsidR="00202AE9" w:rsidRPr="00CA6F6E">
        <w:rPr>
          <w:i/>
        </w:rPr>
        <w:t>“</w:t>
      </w:r>
      <w:r w:rsidR="0083493A" w:rsidRPr="00CA6F6E">
        <w:rPr>
          <w:i/>
        </w:rPr>
        <w:t xml:space="preserve">, nes </w:t>
      </w:r>
      <w:r w:rsidR="00B25D07" w:rsidRPr="00CA6F6E">
        <w:rPr>
          <w:i/>
        </w:rPr>
        <w:t>šeimų</w:t>
      </w:r>
      <w:r w:rsidR="00AE4CC7" w:rsidRPr="00CA6F6E">
        <w:rPr>
          <w:i/>
        </w:rPr>
        <w:t xml:space="preserve">, </w:t>
      </w:r>
      <w:r w:rsidR="00034B7C" w:rsidRPr="00CA6F6E">
        <w:rPr>
          <w:i/>
        </w:rPr>
        <w:t xml:space="preserve">gaunančių </w:t>
      </w:r>
      <w:r w:rsidR="00A27EAD" w:rsidRPr="00DF1CFE">
        <w:rPr>
          <w:i/>
          <w:u w:val="single"/>
        </w:rPr>
        <w:t>tik</w:t>
      </w:r>
      <w:r w:rsidR="00A27EAD" w:rsidRPr="00CA6F6E">
        <w:rPr>
          <w:i/>
        </w:rPr>
        <w:t xml:space="preserve"> </w:t>
      </w:r>
      <w:r w:rsidR="00CF5315" w:rsidRPr="00CA6F6E">
        <w:rPr>
          <w:i/>
        </w:rPr>
        <w:t>socialines pašalpas</w:t>
      </w:r>
      <w:r w:rsidR="00AE4CC7" w:rsidRPr="00CA6F6E">
        <w:rPr>
          <w:i/>
        </w:rPr>
        <w:t>,</w:t>
      </w:r>
      <w:r w:rsidR="00CF5315" w:rsidRPr="00CA6F6E">
        <w:rPr>
          <w:i/>
        </w:rPr>
        <w:t xml:space="preserve"> </w:t>
      </w:r>
      <w:r w:rsidR="00A27EAD" w:rsidRPr="00CA6F6E">
        <w:rPr>
          <w:i/>
        </w:rPr>
        <w:t>pajam</w:t>
      </w:r>
      <w:r w:rsidR="00034B7C" w:rsidRPr="00CA6F6E">
        <w:rPr>
          <w:i/>
        </w:rPr>
        <w:t xml:space="preserve">os </w:t>
      </w:r>
      <w:r w:rsidR="00487CF5" w:rsidRPr="00CA6F6E">
        <w:rPr>
          <w:i/>
        </w:rPr>
        <w:t xml:space="preserve">paprastai </w:t>
      </w:r>
      <w:r w:rsidR="00034B7C" w:rsidRPr="00CA6F6E">
        <w:rPr>
          <w:i/>
        </w:rPr>
        <w:t>būna lygios valstybės</w:t>
      </w:r>
      <w:r w:rsidR="00AE4CC7" w:rsidRPr="00CA6F6E">
        <w:rPr>
          <w:i/>
        </w:rPr>
        <w:t xml:space="preserve"> remiamoms pajamoms</w:t>
      </w:r>
      <w:r w:rsidR="00DF1CFE">
        <w:t>. Tai leidžia daryti</w:t>
      </w:r>
      <w:r w:rsidR="00E1695E">
        <w:t xml:space="preserve"> </w:t>
      </w:r>
      <w:r w:rsidR="00D32C69">
        <w:t>išva</w:t>
      </w:r>
      <w:r w:rsidR="00E1695E">
        <w:t>dą</w:t>
      </w:r>
      <w:r w:rsidR="00DF1CFE">
        <w:t>, jog</w:t>
      </w:r>
      <w:r w:rsidR="002B7510">
        <w:t xml:space="preserve"> socialinės paramos gavėjų skaiči</w:t>
      </w:r>
      <w:r w:rsidR="00B22A2B">
        <w:t>ų</w:t>
      </w:r>
      <w:r w:rsidR="00E1695E">
        <w:t xml:space="preserve"> t</w:t>
      </w:r>
      <w:r w:rsidR="00B22A2B">
        <w:t>ikslinga</w:t>
      </w:r>
      <w:r w:rsidR="00E1695E">
        <w:t xml:space="preserve"> </w:t>
      </w:r>
      <w:r w:rsidR="00D32C69">
        <w:t>būt</w:t>
      </w:r>
      <w:r w:rsidR="00B22A2B">
        <w:t>ų</w:t>
      </w:r>
      <w:r w:rsidR="00D32C69">
        <w:t xml:space="preserve"> sumažint</w:t>
      </w:r>
      <w:r w:rsidR="00B22A2B">
        <w:t>i</w:t>
      </w:r>
      <w:r w:rsidR="00D32C69">
        <w:t xml:space="preserve"> </w:t>
      </w:r>
      <w:r w:rsidR="00E1695E">
        <w:t xml:space="preserve">bent trečdaliu, </w:t>
      </w:r>
      <w:r w:rsidR="00B22A2B">
        <w:t>kadangi</w:t>
      </w:r>
      <w:r w:rsidR="00E1695E">
        <w:t xml:space="preserve"> </w:t>
      </w:r>
      <w:r w:rsidR="00D32C69">
        <w:t>iš</w:t>
      </w:r>
      <w:r w:rsidR="00E1695E">
        <w:t xml:space="preserve"> socialines pašalpas</w:t>
      </w:r>
      <w:r w:rsidR="00A916BE">
        <w:t xml:space="preserve"> gaunančių </w:t>
      </w:r>
      <w:r w:rsidR="00C11EF5">
        <w:t>žmoni</w:t>
      </w:r>
      <w:r w:rsidR="00230CA5">
        <w:t>ų</w:t>
      </w:r>
      <w:r w:rsidR="00A916BE">
        <w:t xml:space="preserve"> didžioji</w:t>
      </w:r>
      <w:r w:rsidR="00D32C69">
        <w:t xml:space="preserve"> dalis gau</w:t>
      </w:r>
      <w:r w:rsidR="00C11EF5">
        <w:t>na</w:t>
      </w:r>
      <w:r w:rsidR="00E1736A">
        <w:t xml:space="preserve"> kompensacijas, o kai kurie jų – ir nemokamą maitinimą.</w:t>
      </w:r>
    </w:p>
    <w:p w:rsidR="00BE6C68" w:rsidRDefault="00C11EF5" w:rsidP="00C73710">
      <w:pPr>
        <w:pStyle w:val="Referatai"/>
      </w:pPr>
      <w:r>
        <w:t xml:space="preserve">Taigi, apibrėžus generalinę aibę, t. y. nustačius, jog į ją turėtų patekti </w:t>
      </w:r>
      <w:r w:rsidRPr="008969E0">
        <w:rPr>
          <w:b/>
          <w:i/>
        </w:rPr>
        <w:t>636 tūkst</w:t>
      </w:r>
      <w:r w:rsidR="00F5429C" w:rsidRPr="008969E0">
        <w:rPr>
          <w:b/>
          <w:i/>
        </w:rPr>
        <w:t>.</w:t>
      </w:r>
      <w:r w:rsidRPr="008969E0">
        <w:rPr>
          <w:b/>
          <w:i/>
        </w:rPr>
        <w:t xml:space="preserve"> individų</w:t>
      </w:r>
      <w:r>
        <w:t xml:space="preserve"> (247</w:t>
      </w:r>
      <w:r w:rsidR="00F5429C">
        <w:t xml:space="preserve"> tūkst. nedarbo socialinio draudimo išmok</w:t>
      </w:r>
      <w:r w:rsidR="003E30AA">
        <w:t>ų gavėjai</w:t>
      </w:r>
      <w:r w:rsidR="00F5429C">
        <w:t xml:space="preserve"> </w:t>
      </w:r>
      <w:r w:rsidR="00B02946">
        <w:t>ir</w:t>
      </w:r>
      <w:r w:rsidR="00F5429C">
        <w:t xml:space="preserve"> 389 tūkst. socialin</w:t>
      </w:r>
      <w:r w:rsidR="00D474AC">
        <w:t>ę</w:t>
      </w:r>
      <w:r w:rsidR="00F5429C">
        <w:t xml:space="preserve"> param</w:t>
      </w:r>
      <w:r w:rsidR="00D474AC">
        <w:t>ą</w:t>
      </w:r>
      <w:r w:rsidR="00F5429C">
        <w:t xml:space="preserve"> ga</w:t>
      </w:r>
      <w:r w:rsidR="00D474AC">
        <w:t>unantys žmonės</w:t>
      </w:r>
      <w:r w:rsidR="00D54323">
        <w:t>);</w:t>
      </w:r>
      <w:r w:rsidR="008969E0">
        <w:t xml:space="preserve"> pasirinkus</w:t>
      </w:r>
      <w:r w:rsidR="00D474AC">
        <w:t xml:space="preserve"> 95 </w:t>
      </w:r>
      <w:r w:rsidR="008969E0">
        <w:t>proc.</w:t>
      </w:r>
      <w:r w:rsidR="00BE6C68">
        <w:t xml:space="preserve"> pati</w:t>
      </w:r>
      <w:r w:rsidR="00B02946">
        <w:t>kimumo lygmenį su 5 proc.</w:t>
      </w:r>
      <w:r w:rsidR="00BE6C68">
        <w:t xml:space="preserve"> paklaida</w:t>
      </w:r>
      <w:r w:rsidR="00D54323">
        <w:t>;</w:t>
      </w:r>
      <w:r w:rsidR="008912A5">
        <w:t xml:space="preserve"> ir įstačius visa tai į (1) formulę</w:t>
      </w:r>
      <w:r w:rsidR="00BE6C68">
        <w:t xml:space="preserve">, </w:t>
      </w:r>
      <w:r w:rsidR="002E520B">
        <w:t>galima teigti</w:t>
      </w:r>
      <w:r w:rsidR="008912A5">
        <w:t>,</w:t>
      </w:r>
      <w:r w:rsidR="002E520B">
        <w:t xml:space="preserve"> </w:t>
      </w:r>
      <w:r w:rsidR="00BE6C68">
        <w:t xml:space="preserve">jog </w:t>
      </w:r>
      <w:r w:rsidR="00BE6C68" w:rsidRPr="009237E9">
        <w:rPr>
          <w:b/>
          <w:i/>
        </w:rPr>
        <w:t>reikia apklausti</w:t>
      </w:r>
      <w:r w:rsidR="0000729B" w:rsidRPr="009237E9">
        <w:rPr>
          <w:b/>
          <w:i/>
        </w:rPr>
        <w:t xml:space="preserve"> 384</w:t>
      </w:r>
      <w:r w:rsidR="00BE6C68" w:rsidRPr="009237E9">
        <w:rPr>
          <w:b/>
          <w:i/>
        </w:rPr>
        <w:t xml:space="preserve"> </w:t>
      </w:r>
      <w:r w:rsidR="00BE6C68" w:rsidRPr="006E669F">
        <w:rPr>
          <w:b/>
          <w:i/>
        </w:rPr>
        <w:t>nedarbo socialinio draudimo išmokų ir / ar socialinės paramos gavėjus</w:t>
      </w:r>
      <w:r w:rsidR="00BE6C68" w:rsidRPr="006E669F">
        <w:t>,</w:t>
      </w:r>
      <w:r w:rsidR="00BE6C68" w:rsidRPr="00DF01E6">
        <w:t xml:space="preserve"> </w:t>
      </w:r>
      <w:r w:rsidR="00BE6C68">
        <w:t>kad būtų galima gauti reprezentatyvius duomenis, reikalingus išvadoms apie visą generalinę aibę padaryti.</w:t>
      </w:r>
      <w:r w:rsidR="006E669F">
        <w:t xml:space="preserve"> Būtina atkreipti</w:t>
      </w:r>
      <w:r w:rsidR="00974F7E">
        <w:t xml:space="preserve"> </w:t>
      </w:r>
      <w:r w:rsidR="006E669F">
        <w:t xml:space="preserve">dėmesį, jog, netgi </w:t>
      </w:r>
      <w:r w:rsidR="00A60759">
        <w:t>priskyrus generalinei aibei visus 831 tūkst. individų</w:t>
      </w:r>
      <w:r w:rsidR="002D7517">
        <w:t xml:space="preserve">, skaičiuojant imties dydį, rezultatas neturėtų pakisti, </w:t>
      </w:r>
      <w:r w:rsidR="00D54323">
        <w:t>– o tai</w:t>
      </w:r>
      <w:r w:rsidR="002D7517">
        <w:t xml:space="preserve"> reiškia, jog </w:t>
      </w:r>
      <w:r w:rsidR="00180D83">
        <w:t xml:space="preserve">bet kuriuo atveju </w:t>
      </w:r>
      <w:r w:rsidR="00D54323">
        <w:t>nustatytas imties dydis</w:t>
      </w:r>
      <w:r w:rsidR="00180D83" w:rsidRPr="00180D83">
        <w:t xml:space="preserve"> </w:t>
      </w:r>
      <w:r w:rsidR="00180D83">
        <w:t>yra teisingas ir optimalus.</w:t>
      </w:r>
    </w:p>
    <w:p w:rsidR="00180D83" w:rsidRPr="00C73710" w:rsidRDefault="000939C4" w:rsidP="00C73710">
      <w:pPr>
        <w:pStyle w:val="Referatai"/>
      </w:pPr>
      <w:r w:rsidRPr="00C73710">
        <w:lastRenderedPageBreak/>
        <w:t xml:space="preserve">Kalbant apie </w:t>
      </w:r>
      <w:r w:rsidR="0081599C" w:rsidRPr="00C73710">
        <w:t>eksper</w:t>
      </w:r>
      <w:r w:rsidR="00061CFC" w:rsidRPr="00C73710">
        <w:t>t</w:t>
      </w:r>
      <w:r w:rsidR="00C62386" w:rsidRPr="00C73710">
        <w:t>inę</w:t>
      </w:r>
      <w:r w:rsidR="00061CFC" w:rsidRPr="00C73710">
        <w:t xml:space="preserve"> apklausą, rei</w:t>
      </w:r>
      <w:r w:rsidR="00E71E10" w:rsidRPr="00C73710">
        <w:t>kė</w:t>
      </w:r>
      <w:r w:rsidR="00061CFC" w:rsidRPr="00C73710">
        <w:t>tų</w:t>
      </w:r>
      <w:r w:rsidR="00E71E10" w:rsidRPr="00C73710">
        <w:t xml:space="preserve"> pabrėžti</w:t>
      </w:r>
      <w:r w:rsidR="00061CFC" w:rsidRPr="00C73710">
        <w:t xml:space="preserve">, jog </w:t>
      </w:r>
      <w:r w:rsidR="00061CFC" w:rsidRPr="00C73710">
        <w:rPr>
          <w:b/>
          <w:i/>
        </w:rPr>
        <w:t>ekspertinio vertinimo patikimumas</w:t>
      </w:r>
      <w:r w:rsidR="00061CFC" w:rsidRPr="00C73710">
        <w:t xml:space="preserve"> priklauso nuo</w:t>
      </w:r>
      <w:r w:rsidR="003D1C3B" w:rsidRPr="00C73710">
        <w:t xml:space="preserve"> ekspertų grupės dydžio</w:t>
      </w:r>
      <w:r w:rsidR="000F0A12" w:rsidRPr="00C73710">
        <w:t>;</w:t>
      </w:r>
      <w:r w:rsidR="003D1C3B" w:rsidRPr="00C73710">
        <w:t xml:space="preserve"> jų sudėties pagal specialybes</w:t>
      </w:r>
      <w:r w:rsidR="000F0A12" w:rsidRPr="00C73710">
        <w:t>;</w:t>
      </w:r>
      <w:r w:rsidR="003D1C3B" w:rsidRPr="00C73710">
        <w:t xml:space="preserve"> bei individualių ekspertų savybių (</w:t>
      </w:r>
      <w:proofErr w:type="spellStart"/>
      <w:r w:rsidR="003D1C3B" w:rsidRPr="00C73710">
        <w:t>Rudzkienė</w:t>
      </w:r>
      <w:proofErr w:type="spellEnd"/>
      <w:r w:rsidR="003D1C3B" w:rsidRPr="00C73710">
        <w:t xml:space="preserve"> 200</w:t>
      </w:r>
      <w:r w:rsidR="003314B0" w:rsidRPr="00C73710">
        <w:t>5</w:t>
      </w:r>
      <w:r w:rsidR="003D1C3B" w:rsidRPr="00C73710">
        <w:t>)</w:t>
      </w:r>
      <w:r w:rsidR="001D0A8D" w:rsidRPr="00C73710">
        <w:t xml:space="preserve">. </w:t>
      </w:r>
      <w:r w:rsidR="001F0C7F" w:rsidRPr="00C73710">
        <w:t>Atkreiptinas dėmesys</w:t>
      </w:r>
      <w:r w:rsidR="00192C6A" w:rsidRPr="00C73710">
        <w:t>, jog</w:t>
      </w:r>
      <w:r w:rsidR="00C74264" w:rsidRPr="00C73710">
        <w:t xml:space="preserve">, </w:t>
      </w:r>
      <w:r w:rsidR="00C74264" w:rsidRPr="00C73710">
        <w:rPr>
          <w:i/>
        </w:rPr>
        <w:t xml:space="preserve">didėjant ekspertų skaičiui, </w:t>
      </w:r>
      <w:r w:rsidR="000C591C" w:rsidRPr="00C73710">
        <w:rPr>
          <w:i/>
        </w:rPr>
        <w:t>vertinimo patikimumas</w:t>
      </w:r>
      <w:r w:rsidR="00C74264" w:rsidRPr="00C73710">
        <w:rPr>
          <w:i/>
        </w:rPr>
        <w:t xml:space="preserve"> </w:t>
      </w:r>
      <w:r w:rsidR="000C591C" w:rsidRPr="00C73710">
        <w:rPr>
          <w:i/>
          <w:u w:val="single"/>
        </w:rPr>
        <w:t>ženkliai</w:t>
      </w:r>
      <w:r w:rsidR="000C591C" w:rsidRPr="00C73710">
        <w:rPr>
          <w:i/>
        </w:rPr>
        <w:t xml:space="preserve"> didėja tik iki </w:t>
      </w:r>
      <w:r w:rsidR="00C74264" w:rsidRPr="00C73710">
        <w:rPr>
          <w:i/>
        </w:rPr>
        <w:t>tam tikros ribos</w:t>
      </w:r>
      <w:r w:rsidR="004E6C2B" w:rsidRPr="00C73710">
        <w:t>, todėl</w:t>
      </w:r>
      <w:r w:rsidR="00A1219E" w:rsidRPr="00C73710">
        <w:t>, atliekant ekspertų apklausą</w:t>
      </w:r>
      <w:r w:rsidR="006C378D" w:rsidRPr="00C73710">
        <w:t>, nebūtina siekti to paties</w:t>
      </w:r>
      <w:r w:rsidR="00ED7CF5" w:rsidRPr="00C73710">
        <w:t xml:space="preserve"> patikimumo lygmens</w:t>
      </w:r>
      <w:r w:rsidR="005A0A81" w:rsidRPr="00C73710">
        <w:t>,</w:t>
      </w:r>
      <w:r w:rsidR="00ED7CF5" w:rsidRPr="00C73710">
        <w:t xml:space="preserve"> kaip ir </w:t>
      </w:r>
      <w:r w:rsidR="005A0A81" w:rsidRPr="00C73710">
        <w:t>atliekant anketinę apklausą</w:t>
      </w:r>
      <w:r w:rsidR="00C74264" w:rsidRPr="00C73710">
        <w:t>:</w:t>
      </w:r>
      <w:r w:rsidR="00085F36" w:rsidRPr="00C73710">
        <w:t xml:space="preserve"> jei</w:t>
      </w:r>
      <w:r w:rsidR="004E6C2B" w:rsidRPr="00C73710">
        <w:t xml:space="preserve"> ketvirtasis ek</w:t>
      </w:r>
      <w:r w:rsidR="005A0A81" w:rsidRPr="00C73710">
        <w:t>sp</w:t>
      </w:r>
      <w:r w:rsidR="004E6C2B" w:rsidRPr="00C73710">
        <w:t>ertas</w:t>
      </w:r>
      <w:r w:rsidR="0006470D" w:rsidRPr="00C73710">
        <w:t xml:space="preserve"> </w:t>
      </w:r>
      <w:r w:rsidR="00AC5F02" w:rsidRPr="00C73710">
        <w:t xml:space="preserve">patikimumą </w:t>
      </w:r>
      <w:r w:rsidR="0006470D" w:rsidRPr="00C73710">
        <w:t>padidina iki 75 proc., penktojo eksperto indėlis</w:t>
      </w:r>
      <w:r w:rsidR="00F26BE7" w:rsidRPr="00C73710">
        <w:t xml:space="preserve"> yra </w:t>
      </w:r>
      <w:r w:rsidR="00D96F56" w:rsidRPr="00C73710">
        <w:t xml:space="preserve">tik </w:t>
      </w:r>
      <w:r w:rsidR="00F26BE7" w:rsidRPr="00C73710">
        <w:t>5 proc., todėl, mūsų</w:t>
      </w:r>
      <w:r w:rsidR="00AC5F02" w:rsidRPr="00C73710">
        <w:t xml:space="preserve"> požiūri</w:t>
      </w:r>
      <w:r w:rsidR="00B55F43" w:rsidRPr="00C73710">
        <w:t>u</w:t>
      </w:r>
      <w:r w:rsidR="00F26BE7" w:rsidRPr="00C73710">
        <w:t xml:space="preserve">, </w:t>
      </w:r>
      <w:r w:rsidR="00085F36" w:rsidRPr="00C73710">
        <w:rPr>
          <w:b/>
          <w:i/>
        </w:rPr>
        <w:t xml:space="preserve">optimalus </w:t>
      </w:r>
      <w:r w:rsidR="003D6EB9" w:rsidRPr="00C73710">
        <w:rPr>
          <w:b/>
          <w:i/>
        </w:rPr>
        <w:t xml:space="preserve">respondentų </w:t>
      </w:r>
      <w:r w:rsidR="00B55F43" w:rsidRPr="00C73710">
        <w:rPr>
          <w:b/>
          <w:i/>
        </w:rPr>
        <w:t>skaičius turėtų būti nuo 7 iki 10</w:t>
      </w:r>
      <w:r w:rsidR="00B55F43" w:rsidRPr="00C73710">
        <w:t>, kas</w:t>
      </w:r>
      <w:r w:rsidR="00257A12" w:rsidRPr="00C73710">
        <w:t xml:space="preserve"> ver</w:t>
      </w:r>
      <w:r w:rsidR="00612908" w:rsidRPr="00C73710">
        <w:t>tinimui suteikt</w:t>
      </w:r>
      <w:r w:rsidR="00D85A01" w:rsidRPr="00C73710">
        <w:t>ų 85-</w:t>
      </w:r>
      <w:r w:rsidR="00085F36" w:rsidRPr="00C73710">
        <w:t>90 proc.</w:t>
      </w:r>
      <w:r w:rsidR="00D85A01" w:rsidRPr="00C73710">
        <w:t xml:space="preserve"> patikimumo</w:t>
      </w:r>
      <w:r w:rsidR="00886D1B" w:rsidRPr="00C73710">
        <w:t xml:space="preserve"> lyg</w:t>
      </w:r>
      <w:r w:rsidR="00612908" w:rsidRPr="00C73710">
        <w:t>men</w:t>
      </w:r>
      <w:r w:rsidR="00886D1B" w:rsidRPr="00C73710">
        <w:t>į (</w:t>
      </w:r>
      <w:r w:rsidR="00886D1B" w:rsidRPr="00C73710">
        <w:rPr>
          <w:i/>
          <w:lang w:val="la-Latn"/>
        </w:rPr>
        <w:t>Ibid</w:t>
      </w:r>
      <w:r w:rsidR="00886D1B" w:rsidRPr="00C73710">
        <w:t>)</w:t>
      </w:r>
      <w:r w:rsidR="00D85A01" w:rsidRPr="00C73710">
        <w:t>.</w:t>
      </w:r>
      <w:r w:rsidR="00085F36" w:rsidRPr="00C73710">
        <w:t xml:space="preserve"> Kalbant apie ekspertų sudėtį</w:t>
      </w:r>
      <w:r w:rsidR="003D6EB9" w:rsidRPr="00C73710">
        <w:t xml:space="preserve"> </w:t>
      </w:r>
      <w:r w:rsidR="009F735C" w:rsidRPr="00C73710">
        <w:t>(</w:t>
      </w:r>
      <w:r w:rsidR="003D6EB9" w:rsidRPr="00C73710">
        <w:t xml:space="preserve">ir individualias jų </w:t>
      </w:r>
      <w:r w:rsidR="00E75308" w:rsidRPr="00C73710">
        <w:t>savybes</w:t>
      </w:r>
      <w:r w:rsidR="009F735C" w:rsidRPr="00C73710">
        <w:t>)</w:t>
      </w:r>
      <w:r w:rsidR="003D6EB9" w:rsidRPr="00C73710">
        <w:t>, reiktų</w:t>
      </w:r>
      <w:r w:rsidR="00E75308" w:rsidRPr="00C73710">
        <w:t xml:space="preserve"> pasakyti, jog apklausti tikslinga</w:t>
      </w:r>
      <w:r w:rsidR="009F735C" w:rsidRPr="00C73710">
        <w:t xml:space="preserve"> būtų tuos asmenis, kuri</w:t>
      </w:r>
      <w:r w:rsidR="00E132BA" w:rsidRPr="00C73710">
        <w:t xml:space="preserve">e arba </w:t>
      </w:r>
      <w:r w:rsidR="001309DC" w:rsidRPr="00C73710">
        <w:t>teik</w:t>
      </w:r>
      <w:r w:rsidR="00E132BA" w:rsidRPr="00C73710">
        <w:t>ia socialines išmokas</w:t>
      </w:r>
      <w:r w:rsidR="00065217" w:rsidRPr="00C73710">
        <w:t>, arba turi kitokį kontaktą su socialinių išmokų gavėjais,</w:t>
      </w:r>
      <w:r w:rsidR="001F0C7F" w:rsidRPr="00C73710">
        <w:t xml:space="preserve"> – </w:t>
      </w:r>
      <w:r w:rsidR="001F0C7F" w:rsidRPr="00C73710">
        <w:rPr>
          <w:i/>
        </w:rPr>
        <w:t xml:space="preserve">ir dėl to </w:t>
      </w:r>
      <w:r w:rsidR="001309DC" w:rsidRPr="00C73710">
        <w:rPr>
          <w:i/>
        </w:rPr>
        <w:t xml:space="preserve">geba suvokti </w:t>
      </w:r>
      <w:r w:rsidR="00D05A4F" w:rsidRPr="00C73710">
        <w:rPr>
          <w:i/>
        </w:rPr>
        <w:t xml:space="preserve">atliktų sprendimų </w:t>
      </w:r>
      <w:r w:rsidR="001309DC" w:rsidRPr="00C73710">
        <w:rPr>
          <w:i/>
        </w:rPr>
        <w:t>motyvus</w:t>
      </w:r>
      <w:r w:rsidR="001309DC" w:rsidRPr="00C73710">
        <w:t>.</w:t>
      </w:r>
    </w:p>
    <w:p w:rsidR="005E2FA2" w:rsidRDefault="00AE7241" w:rsidP="00C73710">
      <w:pPr>
        <w:pStyle w:val="Referatai"/>
      </w:pPr>
      <w:r>
        <w:t xml:space="preserve">Atkreiptinas dėmesys, jog </w:t>
      </w:r>
      <w:r w:rsidR="00BD0730">
        <w:t xml:space="preserve">ekspertinis vertinimas </w:t>
      </w:r>
      <w:r>
        <w:t>taip</w:t>
      </w:r>
      <w:r w:rsidR="00437403">
        <w:t>ogi</w:t>
      </w:r>
      <w:r>
        <w:t xml:space="preserve"> </w:t>
      </w:r>
      <w:r w:rsidR="00BD0730">
        <w:t>remiasi prielaida, jog patikimos išvados gali būt</w:t>
      </w:r>
      <w:r>
        <w:t>i gaut</w:t>
      </w:r>
      <w:r w:rsidR="000C656F">
        <w:t>os</w:t>
      </w:r>
      <w:r w:rsidR="004E0867">
        <w:t xml:space="preserve"> tik</w:t>
      </w:r>
      <w:r w:rsidR="000C656F">
        <w:t>,</w:t>
      </w:r>
      <w:r w:rsidR="004E0867">
        <w:t xml:space="preserve"> esant </w:t>
      </w:r>
      <w:r w:rsidR="005B7097">
        <w:t xml:space="preserve">ekspertų </w:t>
      </w:r>
      <w:r w:rsidR="00BD0730" w:rsidRPr="004E0867">
        <w:rPr>
          <w:b/>
          <w:i/>
        </w:rPr>
        <w:t>nuomoni</w:t>
      </w:r>
      <w:r w:rsidR="000141FB" w:rsidRPr="004E0867">
        <w:rPr>
          <w:b/>
          <w:i/>
        </w:rPr>
        <w:t>ų suderinamumui</w:t>
      </w:r>
      <w:r w:rsidR="000141FB">
        <w:t xml:space="preserve">, </w:t>
      </w:r>
      <w:r w:rsidR="00437403">
        <w:t xml:space="preserve">vadinasi, </w:t>
      </w:r>
      <w:r w:rsidR="000141FB">
        <w:t>darbo eigoje</w:t>
      </w:r>
      <w:r w:rsidR="004E0867">
        <w:t xml:space="preserve"> </w:t>
      </w:r>
      <w:r w:rsidR="0019737F">
        <w:t xml:space="preserve">gali reikėti </w:t>
      </w:r>
      <w:r w:rsidR="004E0867">
        <w:t>atlikti keletą papildomų</w:t>
      </w:r>
      <w:r w:rsidR="0019737F">
        <w:t xml:space="preserve"> žingsnių</w:t>
      </w:r>
      <w:r w:rsidR="00A8676F">
        <w:t>, k</w:t>
      </w:r>
      <w:r w:rsidR="00825817">
        <w:t>uriais būtų</w:t>
      </w:r>
      <w:r w:rsidR="00A8676F">
        <w:t xml:space="preserve"> įsitikinta</w:t>
      </w:r>
      <w:r w:rsidR="00825817">
        <w:t>, jog vertinimai yra panašūs</w:t>
      </w:r>
      <w:r w:rsidR="00436513">
        <w:t>,</w:t>
      </w:r>
      <w:r w:rsidR="00F819D8">
        <w:t xml:space="preserve"> – taigi</w:t>
      </w:r>
      <w:r w:rsidR="00436513">
        <w:t xml:space="preserve"> ir tinkami išvadoms pateikti.</w:t>
      </w:r>
    </w:p>
    <w:p w:rsidR="0019737F" w:rsidRDefault="0019737F" w:rsidP="00C73710">
      <w:pPr>
        <w:pStyle w:val="Referatai"/>
      </w:pPr>
      <w:r w:rsidRPr="00B60B39">
        <w:rPr>
          <w:i/>
          <w:u w:val="single"/>
        </w:rPr>
        <w:t>1 žingsnis</w:t>
      </w:r>
      <w:r>
        <w:t>: suformuluojamos hipotezės:</w:t>
      </w:r>
    </w:p>
    <w:p w:rsidR="003509A6" w:rsidRDefault="003509A6" w:rsidP="00C73710">
      <w:pPr>
        <w:pStyle w:val="Referatai"/>
        <w:rPr>
          <w:lang w:val="en-US"/>
        </w:rPr>
      </w:pPr>
      <w:r w:rsidRPr="001E3459">
        <w:rPr>
          <w:i/>
        </w:rPr>
        <w:t>H</w:t>
      </w:r>
      <w:r w:rsidRPr="001E3459">
        <w:rPr>
          <w:i/>
          <w:vertAlign w:val="subscript"/>
        </w:rPr>
        <w:t>0</w:t>
      </w:r>
      <w:r>
        <w:t>: ekspertų vertinimai prieštaringi (konkordancijos koeficientas lygus nuliui, t. y. W</w:t>
      </w:r>
      <w:r w:rsidR="00F769F5">
        <w:t> </w:t>
      </w:r>
      <w:r w:rsidR="00F769F5">
        <w:rPr>
          <w:lang w:val="en-US"/>
        </w:rPr>
        <w:t>= 0);</w:t>
      </w:r>
    </w:p>
    <w:p w:rsidR="00F769F5" w:rsidRDefault="00F769F5" w:rsidP="00C73710">
      <w:pPr>
        <w:pStyle w:val="Referatai"/>
      </w:pPr>
      <w:r w:rsidRPr="001E3459">
        <w:rPr>
          <w:i/>
        </w:rPr>
        <w:t>H</w:t>
      </w:r>
      <w:r w:rsidRPr="001E3459">
        <w:rPr>
          <w:i/>
          <w:vertAlign w:val="subscript"/>
        </w:rPr>
        <w:t>A</w:t>
      </w:r>
      <w:r w:rsidRPr="00F769F5">
        <w:t>: ekspe</w:t>
      </w:r>
      <w:r>
        <w:t>r</w:t>
      </w:r>
      <w:r w:rsidRPr="00F769F5">
        <w:t>tų vertinimai panašūs</w:t>
      </w:r>
      <w:r w:rsidR="009B411D">
        <w:t xml:space="preserve"> (konkordancijos koeficientas nelygus nuliui, t. y. W </w:t>
      </w:r>
      <w:r w:rsidR="009B411D">
        <w:rPr>
          <w:rFonts w:cs="Times New Roman"/>
        </w:rPr>
        <w:t>≠</w:t>
      </w:r>
      <w:r w:rsidR="009B411D">
        <w:t> 0).</w:t>
      </w:r>
    </w:p>
    <w:p w:rsidR="009B411D" w:rsidRDefault="009B411D" w:rsidP="00C73710">
      <w:pPr>
        <w:pStyle w:val="Referatai"/>
      </w:pPr>
      <w:r w:rsidRPr="00702BCC">
        <w:rPr>
          <w:i/>
          <w:u w:val="single"/>
        </w:rPr>
        <w:t>2 žingsnis</w:t>
      </w:r>
      <w:r>
        <w:t xml:space="preserve">: </w:t>
      </w:r>
      <w:r w:rsidR="00836C4F">
        <w:t>apskaičiuojamas konkordancijos koeficientas (kai ekspertų yra daugiau nei</w:t>
      </w:r>
      <w:r w:rsidR="001A2358">
        <w:t xml:space="preserve"> 2</w:t>
      </w:r>
      <w:r w:rsidR="00836C4F">
        <w:t xml:space="preserve">, tuomet </w:t>
      </w:r>
      <w:r w:rsidR="001A2358">
        <w:t xml:space="preserve">yra </w:t>
      </w:r>
      <w:r w:rsidR="00836C4F">
        <w:t xml:space="preserve">skaičiuojamas </w:t>
      </w:r>
      <w:proofErr w:type="spellStart"/>
      <w:r w:rsidR="00836C4F" w:rsidRPr="001A2358">
        <w:rPr>
          <w:i/>
        </w:rPr>
        <w:t>Kendall</w:t>
      </w:r>
      <w:proofErr w:type="spellEnd"/>
      <w:r w:rsidR="00836C4F">
        <w:t xml:space="preserve"> konkordancijos koeficientas</w:t>
      </w:r>
      <w:r w:rsidR="001A2358">
        <w:t xml:space="preserve"> (W)):</w:t>
      </w:r>
    </w:p>
    <w:p w:rsidR="001A2358" w:rsidRDefault="00651616" w:rsidP="00C73710">
      <w:pPr>
        <w:pStyle w:val="Referatai"/>
      </w:pPr>
      <m:oMathPara>
        <m:oMathParaPr>
          <m:jc m:val="right"/>
        </m:oMathParaPr>
        <m:oMath>
          <m:r>
            <w:rPr>
              <w:rFonts w:ascii="Cambria Math" w:hAnsi="Cambria Math"/>
            </w:rPr>
            <m:t>W</m:t>
          </m:r>
          <m:r>
            <m:rPr>
              <m:sty m:val="p"/>
            </m:rPr>
            <w:rPr>
              <w:rFonts w:ascii="Cambria Math" w:hAnsi="Cambria Math"/>
            </w:rPr>
            <m:t>=</m:t>
          </m:r>
          <m:f>
            <m:fPr>
              <m:ctrlPr>
                <w:rPr>
                  <w:rFonts w:ascii="Cambria Math" w:hAnsi="Cambria Math"/>
                </w:rPr>
              </m:ctrlPr>
            </m:fPr>
            <m:num>
              <m:r>
                <m:rPr>
                  <m:sty m:val="p"/>
                </m:rPr>
                <w:rPr>
                  <w:rFonts w:ascii="Cambria Math" w:hAnsi="Cambria Math"/>
                </w:rPr>
                <m:t>12</m:t>
              </m:r>
              <m:sSup>
                <m:sSupPr>
                  <m:ctrlPr>
                    <w:rPr>
                      <w:rFonts w:ascii="Cambria Math" w:hAnsi="Cambria Math"/>
                    </w:rPr>
                  </m:ctrlPr>
                </m:sSupPr>
                <m:e>
                  <m:r>
                    <w:rPr>
                      <w:rFonts w:ascii="Cambria Math" w:hAnsi="Cambria Math"/>
                    </w:rPr>
                    <m:t>S</m:t>
                  </m:r>
                </m:e>
                <m:sup>
                  <m:r>
                    <m:rPr>
                      <m:sty m:val="p"/>
                    </m:rPr>
                    <w:rPr>
                      <w:rFonts w:ascii="Cambria Math" w:hAnsi="Cambria Math"/>
                    </w:rPr>
                    <m:t>2</m:t>
                  </m:r>
                </m:sup>
              </m:sSup>
            </m:num>
            <m:den>
              <m:sSup>
                <m:sSupPr>
                  <m:ctrlPr>
                    <w:rPr>
                      <w:rFonts w:ascii="Cambria Math" w:hAnsi="Cambria Math"/>
                    </w:rPr>
                  </m:ctrlPr>
                </m:sSupPr>
                <m:e>
                  <m:r>
                    <w:rPr>
                      <w:rFonts w:ascii="Cambria Math" w:hAnsi="Cambria Math"/>
                    </w:rPr>
                    <m:t>m</m:t>
                  </m:r>
                </m:e>
                <m:sup>
                  <m:r>
                    <m:rPr>
                      <m:sty m:val="p"/>
                    </m:rPr>
                    <w:rPr>
                      <w:rFonts w:ascii="Cambria Math" w:hAnsi="Cambria Math"/>
                    </w:rPr>
                    <m:t>2</m:t>
                  </m:r>
                </m:sup>
              </m:sSup>
              <m:d>
                <m:dPr>
                  <m:ctrlPr>
                    <w:rPr>
                      <w:rFonts w:ascii="Cambria Math" w:hAnsi="Cambria Math"/>
                    </w:rPr>
                  </m:ctrlPr>
                </m:dPr>
                <m:e>
                  <m:sSup>
                    <m:sSupPr>
                      <m:ctrlPr>
                        <w:rPr>
                          <w:rFonts w:ascii="Cambria Math" w:hAnsi="Cambria Math"/>
                        </w:rPr>
                      </m:ctrlPr>
                    </m:sSupPr>
                    <m:e>
                      <m:r>
                        <w:rPr>
                          <w:rFonts w:ascii="Cambria Math" w:hAnsi="Cambria Math"/>
                        </w:rPr>
                        <m:t>k</m:t>
                      </m:r>
                    </m:e>
                    <m:sup>
                      <m:r>
                        <m:rPr>
                          <m:sty m:val="p"/>
                        </m:rPr>
                        <w:rPr>
                          <w:rFonts w:ascii="Cambria Math" w:hAnsi="Cambria Math"/>
                        </w:rPr>
                        <m:t>3</m:t>
                      </m:r>
                    </m:sup>
                  </m:sSup>
                  <m:r>
                    <m:rPr>
                      <m:sty m:val="p"/>
                    </m:rPr>
                    <w:rPr>
                      <w:rFonts w:ascii="Cambria Math" w:hAnsi="Cambria Math"/>
                    </w:rPr>
                    <m:t>-</m:t>
                  </m:r>
                  <m:r>
                    <w:rPr>
                      <w:rFonts w:ascii="Cambria Math" w:hAnsi="Cambria Math"/>
                    </w:rPr>
                    <m:t>k</m:t>
                  </m:r>
                </m:e>
              </m:d>
            </m:den>
          </m:f>
          <m:r>
            <m:rPr>
              <m:sty m:val="p"/>
            </m:rPr>
            <w:rPr>
              <w:rFonts w:ascii="Cambria Math" w:hAnsi="Cambria Math"/>
            </w:rPr>
            <m:t>;                                                                           (2)</m:t>
          </m:r>
        </m:oMath>
      </m:oMathPara>
    </w:p>
    <w:p w:rsidR="00375AD1" w:rsidRDefault="00375AD1" w:rsidP="00C73710">
      <w:pPr>
        <w:pStyle w:val="Referatai"/>
      </w:pPr>
      <w:r>
        <w:t xml:space="preserve">čia: </w:t>
      </w:r>
      <w:r w:rsidRPr="00063C7D">
        <w:rPr>
          <w:i/>
        </w:rPr>
        <w:t>S</w:t>
      </w:r>
      <w:r w:rsidRPr="00063C7D">
        <w:rPr>
          <w:i/>
          <w:vertAlign w:val="superscript"/>
        </w:rPr>
        <w:t>2</w:t>
      </w:r>
      <w:r>
        <w:t xml:space="preserve"> – nuokrypio nuo rangų vidurkio kvadratų suma; </w:t>
      </w:r>
      <w:r w:rsidRPr="00063C7D">
        <w:rPr>
          <w:i/>
        </w:rPr>
        <w:t>m</w:t>
      </w:r>
      <w:r>
        <w:t> – ekspertų s</w:t>
      </w:r>
      <w:r w:rsidR="00F71790">
        <w:t>kaičius</w:t>
      </w:r>
      <w:r>
        <w:t xml:space="preserve">; </w:t>
      </w:r>
      <w:r w:rsidR="00063C7D" w:rsidRPr="00063C7D">
        <w:rPr>
          <w:i/>
        </w:rPr>
        <w:t>k</w:t>
      </w:r>
      <w:r w:rsidR="00063C7D">
        <w:t> – </w:t>
      </w:r>
      <w:r w:rsidR="00F71790">
        <w:t>objektų skaičius.</w:t>
      </w:r>
    </w:p>
    <w:p w:rsidR="00063C7D" w:rsidRDefault="0030079E" w:rsidP="00C73710">
      <w:pPr>
        <w:pStyle w:val="Referatai"/>
      </w:pPr>
      <w:r>
        <w:t>Nuokrypio nuo rangų vidurkio kvadratų suma (S</w:t>
      </w:r>
      <w:r>
        <w:rPr>
          <w:vertAlign w:val="superscript"/>
        </w:rPr>
        <w:t>2</w:t>
      </w:r>
      <w:r>
        <w:t>)</w:t>
      </w:r>
      <w:r w:rsidR="008B497F">
        <w:t xml:space="preserve"> apskaičiuojama pagal tokią formulę:</w:t>
      </w:r>
    </w:p>
    <w:p w:rsidR="008B497F" w:rsidRDefault="00D84BC4" w:rsidP="00C73710">
      <w:pPr>
        <w:pStyle w:val="Referatai"/>
      </w:pPr>
      <m:oMathPara>
        <m:oMathParaPr>
          <m:jc m:val="right"/>
        </m:oMathParaPr>
        <m:oMath>
          <m:sSup>
            <m:sSupPr>
              <m:ctrlPr>
                <w:rPr>
                  <w:rFonts w:ascii="Cambria Math" w:hAnsi="Cambria Math"/>
                </w:rPr>
              </m:ctrlPr>
            </m:sSupPr>
            <m:e>
              <m:r>
                <w:rPr>
                  <w:rFonts w:ascii="Cambria Math" w:hAnsi="Cambria Math"/>
                </w:rPr>
                <m:t>S</m:t>
              </m:r>
            </m:e>
            <m:sup>
              <m:r>
                <m:rPr>
                  <m:sty m:val="p"/>
                </m:rPr>
                <w:rPr>
                  <w:rFonts w:ascii="Cambria Math" w:hAnsi="Cambria Math"/>
                </w:rPr>
                <m:t>2</m:t>
              </m:r>
            </m:sup>
          </m:s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k</m:t>
              </m:r>
            </m:sup>
            <m:e>
              <m:sSup>
                <m:sSupPr>
                  <m:ctrlPr>
                    <w:rPr>
                      <w:rFonts w:ascii="Cambria Math" w:hAnsi="Cambria Math"/>
                    </w:rPr>
                  </m:ctrlPr>
                </m:sSupPr>
                <m:e>
                  <m:d>
                    <m:dPr>
                      <m:ctrlPr>
                        <w:rPr>
                          <w:rFonts w:ascii="Cambria Math" w:hAnsi="Cambria Math"/>
                        </w:rPr>
                      </m:ctrlPr>
                    </m:dPr>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m</m:t>
                          </m:r>
                        </m:sup>
                        <m:e>
                          <m:sSub>
                            <m:sSubPr>
                              <m:ctrlPr>
                                <w:rPr>
                                  <w:rFonts w:ascii="Cambria Math" w:hAnsi="Cambria Math"/>
                                </w:rPr>
                              </m:ctrlPr>
                            </m:sSubPr>
                            <m:e>
                              <m:r>
                                <w:rPr>
                                  <w:rFonts w:ascii="Cambria Math" w:hAnsi="Cambria Math"/>
                                </w:rPr>
                                <m:t>x</m:t>
                              </m:r>
                            </m:e>
                            <m:sub>
                              <m:r>
                                <w:rPr>
                                  <w:rFonts w:ascii="Cambria Math" w:hAnsi="Cambria Math"/>
                                </w:rPr>
                                <m:t>ij</m:t>
                              </m:r>
                            </m:sub>
                          </m:sSub>
                          <m:r>
                            <m:rPr>
                              <m:sty m:val="p"/>
                            </m:rPr>
                            <w:rPr>
                              <w:rFonts w:ascii="Cambria Math" w:hAnsi="Cambria Math"/>
                            </w:rPr>
                            <m:t>-</m:t>
                          </m:r>
                          <m:r>
                            <w:rPr>
                              <w:rFonts w:ascii="Cambria Math" w:hAnsi="Cambria Math"/>
                            </w:rPr>
                            <m:t>a</m:t>
                          </m:r>
                        </m:e>
                      </m:nary>
                    </m:e>
                  </m:d>
                </m:e>
                <m:sup>
                  <m:r>
                    <m:rPr>
                      <m:sty m:val="p"/>
                    </m:rPr>
                    <w:rPr>
                      <w:rFonts w:ascii="Cambria Math" w:hAnsi="Cambria Math"/>
                    </w:rPr>
                    <m:t>2</m:t>
                  </m:r>
                </m:sup>
              </m:sSup>
              <m:r>
                <m:rPr>
                  <m:sty m:val="p"/>
                </m:rPr>
                <w:rPr>
                  <w:rFonts w:ascii="Cambria Math" w:hAnsi="Cambria Math"/>
                </w:rPr>
                <m:t>;                                                                   (3)</m:t>
              </m:r>
            </m:e>
          </m:nary>
        </m:oMath>
      </m:oMathPara>
    </w:p>
    <w:p w:rsidR="008E34DE" w:rsidRDefault="008E34DE" w:rsidP="00C73710">
      <w:pPr>
        <w:pStyle w:val="Referatai"/>
      </w:pPr>
      <w:r>
        <w:t xml:space="preserve">čia: </w:t>
      </w:r>
      <w:r w:rsidRPr="008955B9">
        <w:rPr>
          <w:i/>
        </w:rPr>
        <w:t>a</w:t>
      </w:r>
      <w:r>
        <w:t> – rangų sumų vidurkis, kurį galima apskaičiuoti pagal tokią formulę:</w:t>
      </w:r>
    </w:p>
    <w:p w:rsidR="008955B9" w:rsidRDefault="008955B9" w:rsidP="00C73710">
      <w:pPr>
        <w:pStyle w:val="Referatai"/>
      </w:pPr>
      <m:oMathPara>
        <m:oMathParaPr>
          <m:jc m:val="right"/>
        </m:oMathParaPr>
        <m:oMath>
          <m:r>
            <w:rPr>
              <w:rFonts w:ascii="Cambria Math" w:hAnsi="Cambria Math"/>
            </w:rPr>
            <m:t>a</m:t>
          </m:r>
          <m:r>
            <m:rPr>
              <m:sty m:val="p"/>
            </m:rPr>
            <w:rPr>
              <w:rFonts w:ascii="Cambria Math" w:hAnsi="Cambria Math"/>
            </w:rPr>
            <m:t xml:space="preserve">=0,5 </m:t>
          </m:r>
          <m:r>
            <w:rPr>
              <w:rFonts w:ascii="Cambria Math" w:hAnsi="Cambria Math"/>
            </w:rPr>
            <m:t>m</m:t>
          </m:r>
          <m:r>
            <m:rPr>
              <m:sty m:val="p"/>
            </m:rPr>
            <w:rPr>
              <w:rFonts w:ascii="Cambria Math" w:hAnsi="Cambria Math"/>
            </w:rPr>
            <m:t xml:space="preserve"> </m:t>
          </m:r>
          <m:d>
            <m:dPr>
              <m:ctrlPr>
                <w:rPr>
                  <w:rFonts w:ascii="Cambria Math" w:hAnsi="Cambria Math"/>
                </w:rPr>
              </m:ctrlPr>
            </m:dPr>
            <m:e>
              <m:r>
                <w:rPr>
                  <w:rFonts w:ascii="Cambria Math" w:hAnsi="Cambria Math"/>
                </w:rPr>
                <m:t>k</m:t>
              </m:r>
              <m:r>
                <m:rPr>
                  <m:sty m:val="p"/>
                </m:rPr>
                <w:rPr>
                  <w:rFonts w:ascii="Cambria Math" w:hAnsi="Cambria Math"/>
                </w:rPr>
                <m:t>+1</m:t>
              </m:r>
            </m:e>
          </m:d>
          <m:r>
            <m:rPr>
              <m:sty m:val="p"/>
            </m:rPr>
            <w:rPr>
              <w:rFonts w:ascii="Cambria Math" w:hAnsi="Cambria Math"/>
            </w:rPr>
            <m:t>;                                                                        (4)</m:t>
          </m:r>
        </m:oMath>
      </m:oMathPara>
    </w:p>
    <w:p w:rsidR="00E60CD5" w:rsidRDefault="000D2320" w:rsidP="00C73710">
      <w:pPr>
        <w:pStyle w:val="Referatai"/>
      </w:pPr>
      <w:r w:rsidRPr="00702BCC">
        <w:rPr>
          <w:i/>
          <w:u w:val="single"/>
        </w:rPr>
        <w:t>3 žingsnis</w:t>
      </w:r>
      <w:r>
        <w:t>: tikrinamas konkor</w:t>
      </w:r>
      <w:r w:rsidR="00E06224">
        <w:t xml:space="preserve">dancijos koeficiento reikšmingumas. Tai atliekama, </w:t>
      </w:r>
      <w:r w:rsidR="00E06224" w:rsidRPr="006E5EFD">
        <w:t xml:space="preserve">taikant </w:t>
      </w:r>
      <w:r w:rsidR="00E06224" w:rsidRPr="006E5EFD">
        <w:rPr>
          <w:i/>
        </w:rPr>
        <w:t>χ</w:t>
      </w:r>
      <w:r w:rsidR="00E06224" w:rsidRPr="006E5EFD">
        <w:rPr>
          <w:i/>
          <w:vertAlign w:val="superscript"/>
        </w:rPr>
        <w:t>2</w:t>
      </w:r>
      <w:r w:rsidR="006E5EFD">
        <w:t xml:space="preserve"> kriterijų: jei</w:t>
      </w:r>
      <w:r w:rsidR="00AE3BA6">
        <w:t>gu</w:t>
      </w:r>
      <w:r w:rsidR="006E5EFD">
        <w:t xml:space="preserve"> apskaičiuota statistikos </w:t>
      </w:r>
      <w:r w:rsidR="006E5EFD" w:rsidRPr="00744E6A">
        <w:rPr>
          <w:i/>
        </w:rPr>
        <w:t>W </w:t>
      </w:r>
      <w:r w:rsidR="00744E6A" w:rsidRPr="00744E6A">
        <w:rPr>
          <w:rFonts w:cs="Times New Roman"/>
          <w:i/>
        </w:rPr>
        <w:t>×</w:t>
      </w:r>
      <w:r w:rsidR="00744E6A" w:rsidRPr="00744E6A">
        <w:rPr>
          <w:i/>
        </w:rPr>
        <w:t> m </w:t>
      </w:r>
      <w:r w:rsidR="00744E6A" w:rsidRPr="00744E6A">
        <w:rPr>
          <w:rFonts w:cs="Times New Roman"/>
          <w:i/>
        </w:rPr>
        <w:t>×</w:t>
      </w:r>
      <w:r w:rsidR="00744E6A" w:rsidRPr="00744E6A">
        <w:rPr>
          <w:i/>
        </w:rPr>
        <w:t> (k – 1)</w:t>
      </w:r>
      <w:r w:rsidR="00744E6A">
        <w:t xml:space="preserve"> reikšmė (turinti</w:t>
      </w:r>
      <w:r w:rsidR="00744E6A" w:rsidRPr="00744E6A">
        <w:t xml:space="preserve"> </w:t>
      </w:r>
      <w:r w:rsidR="00744E6A" w:rsidRPr="00744E6A">
        <w:rPr>
          <w:i/>
        </w:rPr>
        <w:t>χ</w:t>
      </w:r>
      <w:r w:rsidR="00744E6A" w:rsidRPr="00744E6A">
        <w:rPr>
          <w:i/>
          <w:vertAlign w:val="superscript"/>
        </w:rPr>
        <w:t>2</w:t>
      </w:r>
      <w:r w:rsidR="00744E6A">
        <w:t xml:space="preserve"> skirstinį su</w:t>
      </w:r>
      <w:r w:rsidR="00061494">
        <w:t xml:space="preserve"> </w:t>
      </w:r>
      <w:r w:rsidR="00061494" w:rsidRPr="00AE3BA6">
        <w:rPr>
          <w:i/>
        </w:rPr>
        <w:t>f = k – 1</w:t>
      </w:r>
      <w:r w:rsidR="00061494">
        <w:t xml:space="preserve"> laisvės laipsniu)</w:t>
      </w:r>
      <w:r w:rsidR="00AE3BA6">
        <w:t xml:space="preserve"> prie pasirinkto reikšmingumo lygmens </w:t>
      </w:r>
      <w:r w:rsidR="00AE3BA6">
        <w:rPr>
          <w:rFonts w:cs="Times New Roman"/>
        </w:rPr>
        <w:t>α</w:t>
      </w:r>
      <w:r w:rsidR="00745836">
        <w:t xml:space="preserve"> ir laisvės laipsnių skaičiaus </w:t>
      </w:r>
      <w:r w:rsidR="00745836" w:rsidRPr="008D28F1">
        <w:rPr>
          <w:i/>
        </w:rPr>
        <w:t>f</w:t>
      </w:r>
      <w:r w:rsidR="00745836">
        <w:t xml:space="preserve"> viršija kritinę reikšm</w:t>
      </w:r>
      <w:r w:rsidR="008D28F1">
        <w:t>ę</w:t>
      </w:r>
      <w:r w:rsidR="005723CF">
        <w:t xml:space="preserve"> (</w:t>
      </w:r>
      <w:r w:rsidR="005723CF" w:rsidRPr="006E5EFD">
        <w:rPr>
          <w:i/>
        </w:rPr>
        <w:t>χ</w:t>
      </w:r>
      <w:r w:rsidR="009365A3" w:rsidRPr="006E5EFD">
        <w:rPr>
          <w:i/>
          <w:vertAlign w:val="superscript"/>
        </w:rPr>
        <w:t>2</w:t>
      </w:r>
      <w:r w:rsidR="005723CF">
        <w:rPr>
          <w:i/>
          <w:vertAlign w:val="subscript"/>
        </w:rPr>
        <w:t>kri</w:t>
      </w:r>
      <w:r w:rsidR="009365A3">
        <w:rPr>
          <w:i/>
          <w:vertAlign w:val="subscript"/>
        </w:rPr>
        <w:t>t</w:t>
      </w:r>
      <w:r w:rsidR="00D82E71">
        <w:rPr>
          <w:i/>
          <w:vertAlign w:val="subscript"/>
        </w:rPr>
        <w:t>.</w:t>
      </w:r>
      <w:r w:rsidR="00D82E71">
        <w:t>)</w:t>
      </w:r>
      <w:r w:rsidR="0034760D">
        <w:t xml:space="preserve">, tuomet hipotezė </w:t>
      </w:r>
      <w:r w:rsidR="0034760D" w:rsidRPr="003C2A4A">
        <w:rPr>
          <w:i/>
        </w:rPr>
        <w:t>H</w:t>
      </w:r>
      <w:r w:rsidR="0034760D" w:rsidRPr="003C2A4A">
        <w:rPr>
          <w:i/>
          <w:vertAlign w:val="subscript"/>
        </w:rPr>
        <w:t>0</w:t>
      </w:r>
      <w:r w:rsidR="00210E2C">
        <w:t>, kad ekspertų vertinimai prieštaringi, yra atmetama</w:t>
      </w:r>
      <w:r w:rsidR="0095451E">
        <w:t>, ir daroma išvada, jog ekspertų nuomonės suderinamo</w:t>
      </w:r>
      <w:r w:rsidR="00FE3185">
        <w:t xml:space="preserve">s (esant priešingai situacijai, daromas pakartotinis vertinimas, kurio metu ekspertai </w:t>
      </w:r>
      <w:r w:rsidR="001878D1">
        <w:t>nuomonę</w:t>
      </w:r>
      <w:r w:rsidR="00FE3185">
        <w:t xml:space="preserve"> </w:t>
      </w:r>
      <w:r w:rsidR="001878D1">
        <w:t xml:space="preserve">keičia, </w:t>
      </w:r>
      <w:r w:rsidR="001E6EC2">
        <w:t xml:space="preserve">paisydami </w:t>
      </w:r>
      <w:r w:rsidR="001878D1">
        <w:t>kolegų argumen</w:t>
      </w:r>
      <w:r w:rsidR="001E6EC2">
        <w:t>tų</w:t>
      </w:r>
      <w:r w:rsidR="00FE3185">
        <w:t xml:space="preserve">) </w:t>
      </w:r>
      <w:r w:rsidR="00720104">
        <w:t xml:space="preserve">– </w:t>
      </w:r>
      <w:r w:rsidR="00720104" w:rsidRPr="00720104">
        <w:rPr>
          <w:b/>
          <w:i/>
        </w:rPr>
        <w:t>t</w:t>
      </w:r>
      <w:r w:rsidR="0095451E" w:rsidRPr="00720104">
        <w:rPr>
          <w:b/>
          <w:i/>
        </w:rPr>
        <w:t>ai</w:t>
      </w:r>
      <w:r w:rsidR="00D53DB1">
        <w:rPr>
          <w:b/>
          <w:i/>
        </w:rPr>
        <w:t xml:space="preserve">, remiantis </w:t>
      </w:r>
      <w:r w:rsidR="009E26C1">
        <w:rPr>
          <w:b/>
          <w:i/>
        </w:rPr>
        <w:t xml:space="preserve">ekspertų </w:t>
      </w:r>
      <w:r w:rsidR="00EC288A" w:rsidRPr="00720104">
        <w:rPr>
          <w:b/>
          <w:i/>
        </w:rPr>
        <w:t>vertinimais</w:t>
      </w:r>
      <w:r w:rsidR="0013249E">
        <w:rPr>
          <w:b/>
          <w:i/>
        </w:rPr>
        <w:t xml:space="preserve"> ir pastebėjimais</w:t>
      </w:r>
      <w:r w:rsidR="007E60E3" w:rsidRPr="00720104">
        <w:rPr>
          <w:b/>
          <w:i/>
        </w:rPr>
        <w:t>,</w:t>
      </w:r>
      <w:r w:rsidR="00EC288A" w:rsidRPr="00720104">
        <w:rPr>
          <w:b/>
          <w:i/>
        </w:rPr>
        <w:t xml:space="preserve"> </w:t>
      </w:r>
      <w:r w:rsidR="00D53DB1">
        <w:rPr>
          <w:b/>
          <w:i/>
        </w:rPr>
        <w:t>leis</w:t>
      </w:r>
      <w:r w:rsidR="007E60E3" w:rsidRPr="00720104">
        <w:rPr>
          <w:b/>
          <w:i/>
        </w:rPr>
        <w:t xml:space="preserve"> atskleisti </w:t>
      </w:r>
      <w:r w:rsidR="0012744E" w:rsidRPr="00720104">
        <w:rPr>
          <w:b/>
          <w:i/>
        </w:rPr>
        <w:t xml:space="preserve">nagrinėjamo reiškinio </w:t>
      </w:r>
      <w:r w:rsidR="00C6532C">
        <w:rPr>
          <w:b/>
          <w:i/>
        </w:rPr>
        <w:t xml:space="preserve">ypatybes </w:t>
      </w:r>
      <w:r w:rsidR="0013249E">
        <w:rPr>
          <w:b/>
          <w:i/>
        </w:rPr>
        <w:t>i</w:t>
      </w:r>
      <w:r w:rsidR="00A4699E">
        <w:rPr>
          <w:b/>
          <w:i/>
        </w:rPr>
        <w:t>r</w:t>
      </w:r>
      <w:r w:rsidR="0012744E" w:rsidRPr="00720104">
        <w:rPr>
          <w:b/>
          <w:i/>
        </w:rPr>
        <w:t xml:space="preserve"> pateikti pagrįstas išvadas</w:t>
      </w:r>
      <w:r w:rsidR="001B2CE7" w:rsidRPr="00720104">
        <w:rPr>
          <w:b/>
          <w:i/>
        </w:rPr>
        <w:t>, lyginant su pirmojo tyrimo rezultatais</w:t>
      </w:r>
      <w:r w:rsidR="001B2CE7">
        <w:t>.</w:t>
      </w:r>
      <w:r w:rsidR="00E60CD5">
        <w:br w:type="page"/>
      </w:r>
    </w:p>
    <w:p w:rsidR="00BD24FC" w:rsidRDefault="003B6B82" w:rsidP="00FC2F0C">
      <w:pPr>
        <w:pStyle w:val="Heading1"/>
      </w:pPr>
      <w:bookmarkStart w:id="22" w:name="_Toc343636885"/>
      <w:r>
        <w:lastRenderedPageBreak/>
        <w:t>NE</w:t>
      </w:r>
      <w:r w:rsidR="003E1D0D">
        <w:t>DAR</w:t>
      </w:r>
      <w:r w:rsidR="005F1CCD">
        <w:t xml:space="preserve">BO SOCIALINIO DRAUDIMO IŠMOKAS </w:t>
      </w:r>
      <w:r w:rsidR="00DF019F">
        <w:t>IR / AR</w:t>
      </w:r>
      <w:r>
        <w:t xml:space="preserve"> </w:t>
      </w:r>
      <w:r w:rsidR="002A0DBF">
        <w:t> </w:t>
      </w:r>
      <w:r w:rsidR="003E1D0D">
        <w:t>SOCIALINĘ PARAMĄ GAUNANČIŲ</w:t>
      </w:r>
      <w:r>
        <w:t xml:space="preserve"> </w:t>
      </w:r>
      <w:r w:rsidR="003E1D0D">
        <w:t xml:space="preserve">LIETUVOS GYVENTOJŲ </w:t>
      </w:r>
      <w:r w:rsidR="005F1CCD">
        <w:t xml:space="preserve">FINANSINĖS </w:t>
      </w:r>
      <w:r>
        <w:t>ELGSENOS VERTINIMAS</w:t>
      </w:r>
      <w:bookmarkEnd w:id="22"/>
    </w:p>
    <w:p w:rsidR="00D85147" w:rsidRDefault="0049486B" w:rsidP="00C73710">
      <w:pPr>
        <w:pStyle w:val="Referatai"/>
      </w:pPr>
      <w:r>
        <w:t xml:space="preserve">Siekiant </w:t>
      </w:r>
      <w:r w:rsidR="005C5AE1">
        <w:t xml:space="preserve">visapusiškai </w:t>
      </w:r>
      <w:r w:rsidR="009861A4">
        <w:t xml:space="preserve">įvertinti </w:t>
      </w:r>
      <w:r w:rsidR="00FE6BF5">
        <w:t xml:space="preserve">bedarbių </w:t>
      </w:r>
      <w:r w:rsidR="00444AC6">
        <w:t>i</w:t>
      </w:r>
      <w:r w:rsidR="00FE6BF5">
        <w:t>r</w:t>
      </w:r>
      <w:r w:rsidR="009861A4">
        <w:t xml:space="preserve"> </w:t>
      </w:r>
      <w:r w:rsidR="00D85147">
        <w:t>socialin</w:t>
      </w:r>
      <w:r w:rsidR="00A13021">
        <w:t>ės</w:t>
      </w:r>
      <w:r w:rsidR="00D85147">
        <w:t xml:space="preserve"> param</w:t>
      </w:r>
      <w:r w:rsidR="00A13021">
        <w:t>os</w:t>
      </w:r>
      <w:r w:rsidR="00D85147">
        <w:t xml:space="preserve"> </w:t>
      </w:r>
      <w:r w:rsidR="00A13021">
        <w:t xml:space="preserve">gavėjų </w:t>
      </w:r>
      <w:r w:rsidR="00870366">
        <w:t>elgsen</w:t>
      </w:r>
      <w:r>
        <w:t>ą</w:t>
      </w:r>
      <w:r w:rsidR="00870366">
        <w:t xml:space="preserve">, </w:t>
      </w:r>
      <w:r w:rsidR="007F4F73">
        <w:t xml:space="preserve">pirmojoje darbo dalyje buvo </w:t>
      </w:r>
      <w:r w:rsidR="00870366">
        <w:t xml:space="preserve">sukurtas teorinis </w:t>
      </w:r>
      <w:r w:rsidR="00FE6BF5">
        <w:t xml:space="preserve">gyventojų </w:t>
      </w:r>
      <w:r w:rsidR="00033A44">
        <w:t xml:space="preserve">finansinės </w:t>
      </w:r>
      <w:r w:rsidR="005877B3">
        <w:t>el</w:t>
      </w:r>
      <w:r w:rsidR="007F4F73">
        <w:t>gsenos į</w:t>
      </w:r>
      <w:r w:rsidR="005877B3">
        <w:t>vertinimo modelis</w:t>
      </w:r>
      <w:r w:rsidR="00033A44">
        <w:t xml:space="preserve">, pagrįstas </w:t>
      </w:r>
      <w:r w:rsidR="00AF4BC6">
        <w:t xml:space="preserve">skirtingų </w:t>
      </w:r>
      <w:r w:rsidR="00033A44">
        <w:t>veiksnių</w:t>
      </w:r>
      <w:r w:rsidR="00C61799">
        <w:t xml:space="preserve"> įtaka žmogaus </w:t>
      </w:r>
      <w:r w:rsidR="00DA249C">
        <w:t>pasirinkimui gyventi</w:t>
      </w:r>
      <w:r w:rsidR="00C61799">
        <w:t xml:space="preserve"> </w:t>
      </w:r>
      <w:r w:rsidR="009C4D16">
        <w:t>iš socialinės apsaugos lėšų</w:t>
      </w:r>
      <w:r w:rsidR="000B4A1C">
        <w:t>.</w:t>
      </w:r>
      <w:r w:rsidR="00BD3FCD">
        <w:t xml:space="preserve"> </w:t>
      </w:r>
      <w:r w:rsidR="006537B3">
        <w:t xml:space="preserve">Kadangi, </w:t>
      </w:r>
      <w:r w:rsidR="00DA249C">
        <w:t>vadovaujantis</w:t>
      </w:r>
      <w:r w:rsidR="006537B3">
        <w:t xml:space="preserve"> šiuo</w:t>
      </w:r>
      <w:r w:rsidR="00BD3FCD">
        <w:t xml:space="preserve"> </w:t>
      </w:r>
      <w:r w:rsidR="00A83AC7">
        <w:t xml:space="preserve">modeliu, </w:t>
      </w:r>
      <w:r w:rsidR="007F4F73">
        <w:t>veiksnių</w:t>
      </w:r>
      <w:r w:rsidR="00170824">
        <w:t xml:space="preserve"> </w:t>
      </w:r>
      <w:r w:rsidR="00932EB1">
        <w:t>įtakos dydis</w:t>
      </w:r>
      <w:r w:rsidR="00FE6BF5">
        <w:t xml:space="preserve"> turėtų būti apskaičiuotas</w:t>
      </w:r>
      <w:r w:rsidR="006537B3">
        <w:t>, atsižvelgiant į</w:t>
      </w:r>
      <w:r w:rsidR="0069145E">
        <w:t xml:space="preserve"> </w:t>
      </w:r>
      <w:r w:rsidR="003C6AFD">
        <w:t>bedarbių bei</w:t>
      </w:r>
      <w:r w:rsidR="00FE6BF5">
        <w:t xml:space="preserve"> </w:t>
      </w:r>
      <w:r w:rsidR="0069145E">
        <w:t>s</w:t>
      </w:r>
      <w:r w:rsidR="00FE6BF5">
        <w:t>ocialinės</w:t>
      </w:r>
      <w:r w:rsidR="006537B3">
        <w:t xml:space="preserve"> </w:t>
      </w:r>
      <w:r w:rsidR="00FE6BF5">
        <w:t xml:space="preserve">paramos </w:t>
      </w:r>
      <w:r w:rsidR="006537B3">
        <w:t>gavėjų</w:t>
      </w:r>
      <w:r w:rsidR="00C02811">
        <w:t xml:space="preserve"> </w:t>
      </w:r>
      <w:r w:rsidR="00C02811" w:rsidRPr="00EF100C">
        <w:t>nuomones</w:t>
      </w:r>
      <w:r w:rsidR="00DB1B41">
        <w:t xml:space="preserve">, </w:t>
      </w:r>
      <w:r w:rsidR="00BD1837">
        <w:t xml:space="preserve">prieš atliekant </w:t>
      </w:r>
      <w:r w:rsidR="00FA1695">
        <w:t xml:space="preserve">elgsenos </w:t>
      </w:r>
      <w:r w:rsidR="00FA1695" w:rsidRPr="00F660DD">
        <w:t xml:space="preserve">vertinimą, </w:t>
      </w:r>
      <w:r w:rsidR="0069145E" w:rsidRPr="00F660DD">
        <w:t xml:space="preserve">tikslinga </w:t>
      </w:r>
      <w:r w:rsidR="00FA1695" w:rsidRPr="00F660DD">
        <w:t xml:space="preserve">būtų </w:t>
      </w:r>
      <w:r w:rsidR="00DD3258" w:rsidRPr="00F660DD">
        <w:t>padaryti</w:t>
      </w:r>
      <w:r w:rsidR="00DF635E" w:rsidRPr="00F660DD">
        <w:t xml:space="preserve"> </w:t>
      </w:r>
      <w:r w:rsidR="00DD7011" w:rsidRPr="00F660DD">
        <w:t xml:space="preserve">keletą </w:t>
      </w:r>
      <w:r w:rsidR="00FC378A" w:rsidRPr="00F660DD">
        <w:t>svarbių</w:t>
      </w:r>
      <w:r w:rsidR="00D01FA0">
        <w:t xml:space="preserve"> žingsnių</w:t>
      </w:r>
      <w:r w:rsidR="00841695" w:rsidRPr="00F660DD">
        <w:t xml:space="preserve">, t. y.: </w:t>
      </w:r>
      <w:r w:rsidR="00D8373D" w:rsidRPr="00F660DD">
        <w:t>1) </w:t>
      </w:r>
      <w:r w:rsidR="0093249C">
        <w:t xml:space="preserve">remiantis atlikta </w:t>
      </w:r>
      <w:r w:rsidR="00D87948">
        <w:t>mokslin</w:t>
      </w:r>
      <w:r w:rsidR="00942489">
        <w:t>ių</w:t>
      </w:r>
      <w:r w:rsidR="00D87948">
        <w:t xml:space="preserve"> </w:t>
      </w:r>
      <w:r w:rsidR="00350270">
        <w:t>šaltin</w:t>
      </w:r>
      <w:r w:rsidR="00715186">
        <w:t xml:space="preserve">ių </w:t>
      </w:r>
      <w:r w:rsidR="0093249C">
        <w:t>analize,</w:t>
      </w:r>
      <w:r w:rsidR="00D01FA0">
        <w:t xml:space="preserve"> </w:t>
      </w:r>
      <w:r w:rsidR="00322957">
        <w:t>parinkti</w:t>
      </w:r>
      <w:r w:rsidR="004369FA">
        <w:t xml:space="preserve"> veiksnius </w:t>
      </w:r>
      <w:r w:rsidR="00D01FA0">
        <w:t>vertinimui</w:t>
      </w:r>
      <w:r w:rsidR="00D87948">
        <w:t>;</w:t>
      </w:r>
      <w:r w:rsidR="00B92AC9">
        <w:t xml:space="preserve"> </w:t>
      </w:r>
      <w:r w:rsidR="003C6AFD">
        <w:t xml:space="preserve">ir </w:t>
      </w:r>
      <w:r w:rsidR="001A76C7">
        <w:t>2) </w:t>
      </w:r>
      <w:r w:rsidR="003C6AFD">
        <w:t>atsižvelgus</w:t>
      </w:r>
      <w:r w:rsidR="00D87948">
        <w:t xml:space="preserve"> į</w:t>
      </w:r>
      <w:r w:rsidR="00547F1D">
        <w:t xml:space="preserve"> </w:t>
      </w:r>
      <w:r w:rsidR="00547F1D" w:rsidRPr="00556B8E">
        <w:t>racionalios</w:t>
      </w:r>
      <w:r w:rsidR="0091579C">
        <w:t xml:space="preserve"> </w:t>
      </w:r>
      <w:r w:rsidR="00350270">
        <w:t xml:space="preserve">finansinės </w:t>
      </w:r>
      <w:r w:rsidR="00942489">
        <w:t>elgsenos</w:t>
      </w:r>
      <w:r w:rsidR="00350270">
        <w:t xml:space="preserve"> sampratą, </w:t>
      </w:r>
      <w:r w:rsidR="0060403A">
        <w:t>nustatyti (</w:t>
      </w:r>
      <w:r w:rsidR="00622571">
        <w:t>apskaičiuoti</w:t>
      </w:r>
      <w:r w:rsidR="00DA1BBB">
        <w:t>)</w:t>
      </w:r>
      <w:r w:rsidR="00622571">
        <w:t xml:space="preserve"> </w:t>
      </w:r>
      <w:r w:rsidR="00437265">
        <w:t xml:space="preserve">rodiklį, atspindintį </w:t>
      </w:r>
      <w:r w:rsidR="008256AA" w:rsidRPr="003C6AFD">
        <w:rPr>
          <w:i/>
        </w:rPr>
        <w:t>tinkam</w:t>
      </w:r>
      <w:r w:rsidR="008858E4" w:rsidRPr="003C6AFD">
        <w:rPr>
          <w:i/>
        </w:rPr>
        <w:t>ą</w:t>
      </w:r>
      <w:r w:rsidR="008858E4">
        <w:t xml:space="preserve"> </w:t>
      </w:r>
      <w:r w:rsidR="0070742C">
        <w:t xml:space="preserve">finansinę </w:t>
      </w:r>
      <w:r w:rsidR="008858E4">
        <w:t>elgseną</w:t>
      </w:r>
      <w:r w:rsidR="0070742C">
        <w:t xml:space="preserve"> socialinės apsaugos srityje</w:t>
      </w:r>
      <w:r w:rsidR="008B7CD4">
        <w:t>.</w:t>
      </w:r>
    </w:p>
    <w:p w:rsidR="00A25960" w:rsidRDefault="00C474ED" w:rsidP="00E9562A">
      <w:pPr>
        <w:pStyle w:val="Heading2"/>
      </w:pPr>
      <w:bookmarkStart w:id="23" w:name="_Toc343636886"/>
      <w:r>
        <w:t>Veiksnių, lemiančių</w:t>
      </w:r>
      <w:r w:rsidR="00CF10CC">
        <w:t xml:space="preserve"> pajamų </w:t>
      </w:r>
      <w:r w:rsidR="00CF10CC" w:rsidRPr="000D7E78">
        <w:t>formavimą</w:t>
      </w:r>
      <w:r w:rsidR="00CF10CC">
        <w:t xml:space="preserve"> iš socialinės </w:t>
      </w:r>
      <w:r w:rsidR="00CF10CC" w:rsidRPr="00FE21A5">
        <w:t xml:space="preserve">apsaugos lėšų, </w:t>
      </w:r>
      <w:r w:rsidR="000D7E78" w:rsidRPr="00FE21A5">
        <w:t>parinkimas</w:t>
      </w:r>
      <w:bookmarkEnd w:id="23"/>
    </w:p>
    <w:p w:rsidR="002077FD" w:rsidRDefault="00B803F0" w:rsidP="002077FD">
      <w:r>
        <w:t>Pirmoj</w:t>
      </w:r>
      <w:r w:rsidR="00AA0702">
        <w:t>oj</w:t>
      </w:r>
      <w:r>
        <w:t xml:space="preserve">e darbo dalyje, kalbant apie </w:t>
      </w:r>
      <w:r w:rsidR="00AA0702">
        <w:t xml:space="preserve">žmogaus pasirinkimui </w:t>
      </w:r>
      <w:r w:rsidR="00AA0702" w:rsidRPr="00AA0702">
        <w:rPr>
          <w:i/>
        </w:rPr>
        <w:t>pajamas formuoti iš socialinės apsaugos lėšų</w:t>
      </w:r>
      <w:r w:rsidR="00AA0702">
        <w:t xml:space="preserve"> </w:t>
      </w:r>
      <w:r w:rsidR="00B87BCC">
        <w:t>įtaką darančius veiksnius</w:t>
      </w:r>
      <w:r w:rsidR="00784087">
        <w:t>, buvo</w:t>
      </w:r>
      <w:r w:rsidR="0028338B">
        <w:t xml:space="preserve"> padaryta išvada</w:t>
      </w:r>
      <w:r w:rsidR="00784087">
        <w:t xml:space="preserve">, jog </w:t>
      </w:r>
      <w:r w:rsidR="00DD25D0">
        <w:t>mokslininkai nėra priėję bendros nuomonės</w:t>
      </w:r>
      <w:r w:rsidR="008B3C18">
        <w:t>, kokį veiksnių rinkinį reikėtų laikyti optimaliu</w:t>
      </w:r>
      <w:r w:rsidR="00DF534D">
        <w:t>,</w:t>
      </w:r>
      <w:r w:rsidR="007B4F31">
        <w:t xml:space="preserve"> –</w:t>
      </w:r>
      <w:r w:rsidR="00BF4BF6">
        <w:t xml:space="preserve"> </w:t>
      </w:r>
      <w:r w:rsidR="00D00EA5">
        <w:t>mat,</w:t>
      </w:r>
      <w:r w:rsidR="00DF534D">
        <w:t xml:space="preserve"> kiekvienas </w:t>
      </w:r>
      <w:r w:rsidR="00AF100D">
        <w:t xml:space="preserve">individas </w:t>
      </w:r>
      <w:r w:rsidR="00DF534D">
        <w:t>yra</w:t>
      </w:r>
      <w:r w:rsidR="00AF100D">
        <w:t xml:space="preserve"> skirtingas</w:t>
      </w:r>
      <w:r w:rsidR="00DF534D">
        <w:t xml:space="preserve">, todėl ir sprendimų </w:t>
      </w:r>
      <w:r w:rsidR="00DA3F30">
        <w:t xml:space="preserve">motyvai </w:t>
      </w:r>
      <w:r w:rsidR="00191489">
        <w:t>būna</w:t>
      </w:r>
      <w:r w:rsidR="00AF100D">
        <w:t xml:space="preserve"> individualūs</w:t>
      </w:r>
      <w:r w:rsidR="00191489">
        <w:t>. Vis dėlto, pripažįstant, jog elgsena</w:t>
      </w:r>
      <w:r w:rsidR="001006C9">
        <w:t xml:space="preserve"> yra </w:t>
      </w:r>
      <w:r w:rsidR="005D7208">
        <w:t xml:space="preserve">toks </w:t>
      </w:r>
      <w:r w:rsidR="001006C9">
        <w:t>atsakas</w:t>
      </w:r>
      <w:r w:rsidR="005D7208">
        <w:t xml:space="preserve"> į </w:t>
      </w:r>
      <w:r w:rsidR="0028338B">
        <w:t xml:space="preserve">įvairius </w:t>
      </w:r>
      <w:r w:rsidR="005D7208">
        <w:t>dirgiklius</w:t>
      </w:r>
      <w:r w:rsidR="001006C9">
        <w:t xml:space="preserve">, </w:t>
      </w:r>
      <w:r w:rsidR="001006C9" w:rsidRPr="00066A69">
        <w:rPr>
          <w:i/>
        </w:rPr>
        <w:t>kur</w:t>
      </w:r>
      <w:r w:rsidR="00677D30" w:rsidRPr="00066A69">
        <w:rPr>
          <w:i/>
        </w:rPr>
        <w:t xml:space="preserve">is yra </w:t>
      </w:r>
      <w:r w:rsidR="0028338B" w:rsidRPr="00066A69">
        <w:rPr>
          <w:i/>
        </w:rPr>
        <w:t>skatinamas</w:t>
      </w:r>
      <w:r w:rsidR="0028338B" w:rsidRPr="006B36FD">
        <w:t xml:space="preserve"> </w:t>
      </w:r>
      <w:r w:rsidR="007B4F31" w:rsidRPr="006B36FD">
        <w:t>psichologinių</w:t>
      </w:r>
      <w:r w:rsidR="00DA3F30" w:rsidRPr="006B36FD">
        <w:t xml:space="preserve"> vyksmų</w:t>
      </w:r>
      <w:r w:rsidR="00EE499E" w:rsidRPr="006B36FD">
        <w:t>,</w:t>
      </w:r>
      <w:r w:rsidR="00EE499E">
        <w:t xml:space="preserve"> galima</w:t>
      </w:r>
      <w:r w:rsidR="00EF100C">
        <w:t xml:space="preserve"> teig</w:t>
      </w:r>
      <w:r w:rsidR="00463965">
        <w:t>ti</w:t>
      </w:r>
      <w:r w:rsidR="00EE499E">
        <w:t>, jog</w:t>
      </w:r>
      <w:r w:rsidR="00EF100C">
        <w:t>,</w:t>
      </w:r>
      <w:r w:rsidR="00EA7B93">
        <w:t xml:space="preserve"> </w:t>
      </w:r>
      <w:r w:rsidR="000C37F6">
        <w:t>pirmiausia</w:t>
      </w:r>
      <w:r w:rsidR="00EF100C">
        <w:t>,</w:t>
      </w:r>
      <w:r w:rsidR="000C37F6">
        <w:t xml:space="preserve"> </w:t>
      </w:r>
      <w:r w:rsidR="00EA7B93">
        <w:t xml:space="preserve">dėmesys turėtų būti </w:t>
      </w:r>
      <w:r w:rsidR="00463965">
        <w:t xml:space="preserve">skiriamas </w:t>
      </w:r>
      <w:r w:rsidR="00EA7B93">
        <w:t>t</w:t>
      </w:r>
      <w:r w:rsidR="00463965">
        <w:t>iem</w:t>
      </w:r>
      <w:r w:rsidR="00D064F3">
        <w:t>s veiksni</w:t>
      </w:r>
      <w:r w:rsidR="00463965">
        <w:t>am</w:t>
      </w:r>
      <w:r w:rsidR="00D064F3">
        <w:t>s</w:t>
      </w:r>
      <w:r w:rsidR="00420438">
        <w:t>, kurie yra susiję su vidiniais asmenybės</w:t>
      </w:r>
      <w:r w:rsidR="0001573F">
        <w:t xml:space="preserve"> bruožais ir kurie yra kontroliuotini paties individo</w:t>
      </w:r>
      <w:r w:rsidR="00E125A0">
        <w:t>.</w:t>
      </w:r>
    </w:p>
    <w:p w:rsidR="00E125A0" w:rsidRDefault="00A33775" w:rsidP="002077FD">
      <w:r w:rsidRPr="00841F75">
        <w:t xml:space="preserve">Suvokiant, jog žmogaus sprendimai, arba pasirinkimai, yra labai priklausomi nuo požiūrio į konkretų gyvenimo reiškinį, tampa akivaizdu, jog </w:t>
      </w:r>
      <w:r w:rsidR="00BE6D38" w:rsidRPr="00841F75">
        <w:t>socialinių išmokų gavėjų finansin</w:t>
      </w:r>
      <w:r w:rsidR="00255C02" w:rsidRPr="00841F75">
        <w:t>ei</w:t>
      </w:r>
      <w:r w:rsidR="00BE6D38" w:rsidRPr="00841F75">
        <w:t xml:space="preserve"> elgsen</w:t>
      </w:r>
      <w:r w:rsidR="00255C02" w:rsidRPr="00841F75">
        <w:t xml:space="preserve">ai didelės reikšmės turi </w:t>
      </w:r>
      <w:r w:rsidR="00387987" w:rsidRPr="00841F75">
        <w:t xml:space="preserve">žmonių </w:t>
      </w:r>
      <w:r w:rsidR="0080411C" w:rsidRPr="00841F75">
        <w:t>siekiai ir „varomosios jėgos“, todėl</w:t>
      </w:r>
      <w:r w:rsidR="003F52D9" w:rsidRPr="00841F75">
        <w:t xml:space="preserve"> </w:t>
      </w:r>
      <w:r w:rsidR="00221AC9" w:rsidRPr="00841F75">
        <w:t xml:space="preserve">į vertinimo procesą </w:t>
      </w:r>
      <w:r w:rsidR="003F52D9" w:rsidRPr="00841F75">
        <w:t xml:space="preserve">iš </w:t>
      </w:r>
      <w:r w:rsidR="003F52D9" w:rsidRPr="00221AC9">
        <w:rPr>
          <w:i/>
        </w:rPr>
        <w:t xml:space="preserve">emocinių-psichologinių veiksnių </w:t>
      </w:r>
      <w:r w:rsidR="000C3D28">
        <w:t>reik</w:t>
      </w:r>
      <w:r w:rsidR="00841F75" w:rsidRPr="00841F75">
        <w:t xml:space="preserve">ėtų </w:t>
      </w:r>
      <w:r w:rsidR="00246466" w:rsidRPr="00841F75">
        <w:t>įtraukti: mentalines sąskaitas; mentalitetą; šeimyniškumą; poreikius; orum</w:t>
      </w:r>
      <w:r w:rsidR="008B42F3">
        <w:t>ą</w:t>
      </w:r>
      <w:r w:rsidR="00246466" w:rsidRPr="00841F75">
        <w:t>;</w:t>
      </w:r>
      <w:r w:rsidR="008B42F3">
        <w:t xml:space="preserve"> motyvus</w:t>
      </w:r>
      <w:r w:rsidR="004D6D24">
        <w:t>; savikliovą; grupių įtaką; ir</w:t>
      </w:r>
      <w:r w:rsidR="00CC5402">
        <w:t xml:space="preserve"> vertybes</w:t>
      </w:r>
      <w:r w:rsidR="00387987" w:rsidRPr="00841F75">
        <w:t>.</w:t>
      </w:r>
      <w:r w:rsidR="00E0345C">
        <w:t xml:space="preserve"> </w:t>
      </w:r>
      <w:r w:rsidR="000C3D28">
        <w:t xml:space="preserve">Deramą </w:t>
      </w:r>
      <w:r w:rsidR="00E0345C">
        <w:t xml:space="preserve">dėmesį </w:t>
      </w:r>
      <w:r w:rsidR="000C3D28">
        <w:t xml:space="preserve">reikėtų skirti ir tiems </w:t>
      </w:r>
      <w:r w:rsidR="00E0345C">
        <w:t>veiksni</w:t>
      </w:r>
      <w:r w:rsidR="000C3D28">
        <w:t>am</w:t>
      </w:r>
      <w:r w:rsidR="00E0345C">
        <w:t xml:space="preserve">s, kurie </w:t>
      </w:r>
      <w:r w:rsidR="00341B23">
        <w:t xml:space="preserve">su žmogaus </w:t>
      </w:r>
      <w:r w:rsidR="004D6D24">
        <w:t xml:space="preserve">gebėjimais </w:t>
      </w:r>
      <w:r w:rsidR="00620775">
        <w:t>formuoti pajamas</w:t>
      </w:r>
      <w:r w:rsidR="001D0F23">
        <w:t xml:space="preserve"> yra susiję tiesiogiai</w:t>
      </w:r>
      <w:r w:rsidR="008F16E6">
        <w:t xml:space="preserve">, t. y. </w:t>
      </w:r>
      <w:r w:rsidR="00247A9A" w:rsidRPr="00247A9A">
        <w:rPr>
          <w:i/>
        </w:rPr>
        <w:t>socialini</w:t>
      </w:r>
      <w:r w:rsidR="00F00673">
        <w:rPr>
          <w:i/>
        </w:rPr>
        <w:t>am</w:t>
      </w:r>
      <w:r w:rsidR="00247A9A" w:rsidRPr="00247A9A">
        <w:rPr>
          <w:i/>
        </w:rPr>
        <w:t>s-demografini</w:t>
      </w:r>
      <w:r w:rsidR="00F00673">
        <w:rPr>
          <w:i/>
        </w:rPr>
        <w:t>am</w:t>
      </w:r>
      <w:r w:rsidR="00247A9A" w:rsidRPr="00247A9A">
        <w:rPr>
          <w:i/>
        </w:rPr>
        <w:t>s</w:t>
      </w:r>
      <w:r w:rsidR="00247A9A">
        <w:t xml:space="preserve"> </w:t>
      </w:r>
      <w:r w:rsidR="00341B23">
        <w:t>veiksni</w:t>
      </w:r>
      <w:r w:rsidR="00F00673">
        <w:t>am</w:t>
      </w:r>
      <w:r w:rsidR="00341B23">
        <w:t>s, kuri</w:t>
      </w:r>
      <w:r w:rsidR="00872508">
        <w:t>e</w:t>
      </w:r>
      <w:r w:rsidR="00341B23">
        <w:t xml:space="preserve"> </w:t>
      </w:r>
      <w:r w:rsidR="00B55C18">
        <w:t xml:space="preserve">ne tik </w:t>
      </w:r>
      <w:r w:rsidR="00F06B70">
        <w:t xml:space="preserve">atspindi </w:t>
      </w:r>
      <w:r w:rsidR="009B192A">
        <w:t>žmogaus statusą</w:t>
      </w:r>
      <w:r w:rsidR="00095DBD">
        <w:t xml:space="preserve"> </w:t>
      </w:r>
      <w:r w:rsidR="00651957">
        <w:t xml:space="preserve">visuomenėje </w:t>
      </w:r>
      <w:r w:rsidR="00220091">
        <w:t>(</w:t>
      </w:r>
      <w:r w:rsidR="00620775">
        <w:t xml:space="preserve">išsilavinimas; profesija; </w:t>
      </w:r>
      <w:r w:rsidR="0010709E">
        <w:t>šeimos</w:t>
      </w:r>
      <w:r w:rsidR="009B7653">
        <w:t xml:space="preserve"> struktūra</w:t>
      </w:r>
      <w:r w:rsidR="0085653A">
        <w:t xml:space="preserve">), bet </w:t>
      </w:r>
      <w:r w:rsidR="00EC49E4">
        <w:t xml:space="preserve">ir </w:t>
      </w:r>
      <w:r w:rsidR="00A36E0B">
        <w:t xml:space="preserve">prisideda prie </w:t>
      </w:r>
      <w:r w:rsidR="00C0232E">
        <w:t xml:space="preserve">jo </w:t>
      </w:r>
      <w:r w:rsidR="00A36E0B">
        <w:t xml:space="preserve">kūrimo </w:t>
      </w:r>
      <w:r w:rsidR="00651957">
        <w:t>(</w:t>
      </w:r>
      <w:r w:rsidR="00C0232E">
        <w:t>gyvenimo būdas</w:t>
      </w:r>
      <w:r w:rsidR="002859B8">
        <w:t>;</w:t>
      </w:r>
      <w:r w:rsidR="002859B8" w:rsidRPr="002859B8">
        <w:t xml:space="preserve"> </w:t>
      </w:r>
      <w:r w:rsidR="002859B8">
        <w:t>jaunatviškas maksimalizmas</w:t>
      </w:r>
      <w:r w:rsidR="00556B3A">
        <w:t>)</w:t>
      </w:r>
      <w:r w:rsidR="00D75901">
        <w:t xml:space="preserve"> </w:t>
      </w:r>
      <w:r w:rsidR="00A36E0B">
        <w:t xml:space="preserve">bei tam tikrų </w:t>
      </w:r>
      <w:r w:rsidR="00095DBD">
        <w:t>sprendimų priėmim</w:t>
      </w:r>
      <w:r w:rsidR="00A36E0B">
        <w:t>o</w:t>
      </w:r>
      <w:r w:rsidR="00556B3A">
        <w:t xml:space="preserve"> </w:t>
      </w:r>
      <w:r w:rsidR="009B7653">
        <w:t>(</w:t>
      </w:r>
      <w:r w:rsidR="002859B8">
        <w:t>kompetencija</w:t>
      </w:r>
      <w:r w:rsidR="00556B3A">
        <w:t>; darbo patirtis</w:t>
      </w:r>
      <w:r w:rsidR="00095DBD">
        <w:t>)</w:t>
      </w:r>
      <w:r w:rsidR="00241A75">
        <w:t>.</w:t>
      </w:r>
      <w:r w:rsidR="00106839">
        <w:t xml:space="preserve"> </w:t>
      </w:r>
    </w:p>
    <w:p w:rsidR="00F660DD" w:rsidRDefault="00853356" w:rsidP="002077FD">
      <w:r>
        <w:t xml:space="preserve">Kalbant apie veiksnius, kurių pasireiškimas nėra priklausomas nuo </w:t>
      </w:r>
      <w:r w:rsidR="00C75098">
        <w:t xml:space="preserve">žmogaus </w:t>
      </w:r>
      <w:r w:rsidR="00B061BA">
        <w:t xml:space="preserve">valios, tačiau svarbus, </w:t>
      </w:r>
      <w:r w:rsidR="00F24BC7">
        <w:t xml:space="preserve">formuojant </w:t>
      </w:r>
      <w:r w:rsidR="00A72018">
        <w:t xml:space="preserve">įplaukų </w:t>
      </w:r>
      <w:r w:rsidR="00B061BA">
        <w:t>šaltinius, reikėtų</w:t>
      </w:r>
      <w:r w:rsidR="00D3310A">
        <w:t xml:space="preserve"> akcentuoti</w:t>
      </w:r>
      <w:r w:rsidR="001C4CC8">
        <w:t>, jog kiekvienam</w:t>
      </w:r>
      <w:r w:rsidR="00F619CD">
        <w:t xml:space="preserve"> </w:t>
      </w:r>
      <w:r w:rsidR="004D5C62">
        <w:t xml:space="preserve">individui vienokią ar kitokią įtaką daro </w:t>
      </w:r>
      <w:r w:rsidR="00D3310A">
        <w:t xml:space="preserve">gyventojų </w:t>
      </w:r>
      <w:r w:rsidR="004D5C62">
        <w:t>užimtumo pokyčiai</w:t>
      </w:r>
      <w:r w:rsidR="00A31197">
        <w:t>; šešėlinė ekonomik</w:t>
      </w:r>
      <w:r w:rsidR="00BC394F">
        <w:t>a</w:t>
      </w:r>
      <w:r w:rsidR="00594AC4">
        <w:t xml:space="preserve">; </w:t>
      </w:r>
      <w:r w:rsidR="00F06B70">
        <w:t xml:space="preserve">santykinė </w:t>
      </w:r>
      <w:r w:rsidR="00594AC4">
        <w:t>mokesčių našta; s</w:t>
      </w:r>
      <w:r w:rsidR="000A3F42">
        <w:t>ocialinių išmokų dydžiai</w:t>
      </w:r>
      <w:r w:rsidR="00B5459E">
        <w:t>;</w:t>
      </w:r>
      <w:r w:rsidR="00D3310A">
        <w:t xml:space="preserve"> </w:t>
      </w:r>
      <w:r w:rsidR="000A3F42">
        <w:t>jų</w:t>
      </w:r>
      <w:r w:rsidR="00594AC4">
        <w:t xml:space="preserve"> mokėjimo trukmė</w:t>
      </w:r>
      <w:r w:rsidR="00977F71">
        <w:t xml:space="preserve">, todėl į vertinimą </w:t>
      </w:r>
      <w:r w:rsidR="00A72018">
        <w:t>t</w:t>
      </w:r>
      <w:r w:rsidR="00B77338">
        <w:t>ikslinga būt</w:t>
      </w:r>
      <w:r w:rsidR="00B5459E">
        <w:t>ų įtraukti</w:t>
      </w:r>
      <w:r w:rsidR="00977F71">
        <w:t xml:space="preserve"> keletą</w:t>
      </w:r>
      <w:r w:rsidR="00B77338">
        <w:t xml:space="preserve"> </w:t>
      </w:r>
      <w:r w:rsidR="00977F71">
        <w:rPr>
          <w:i/>
        </w:rPr>
        <w:t>ekonominių</w:t>
      </w:r>
      <w:r w:rsidR="00B77338" w:rsidRPr="000D368C">
        <w:rPr>
          <w:i/>
        </w:rPr>
        <w:t xml:space="preserve"> veiksni</w:t>
      </w:r>
      <w:r w:rsidR="00977F71">
        <w:rPr>
          <w:i/>
        </w:rPr>
        <w:t>ų</w:t>
      </w:r>
      <w:r w:rsidR="00385DFB">
        <w:t>.</w:t>
      </w:r>
      <w:r w:rsidR="00D8261B">
        <w:t xml:space="preserve"> </w:t>
      </w:r>
      <w:r w:rsidR="008E060F">
        <w:t>Netiesioginiams</w:t>
      </w:r>
      <w:r w:rsidR="00717F95">
        <w:t xml:space="preserve"> veiksniams taip pat </w:t>
      </w:r>
      <w:r w:rsidR="006D3E22">
        <w:t xml:space="preserve">būtų galima </w:t>
      </w:r>
      <w:r w:rsidR="008E060F">
        <w:t xml:space="preserve">priskirti </w:t>
      </w:r>
      <w:r w:rsidR="008E060F" w:rsidRPr="008E060F">
        <w:rPr>
          <w:i/>
        </w:rPr>
        <w:t>teisinius-politinius</w:t>
      </w:r>
      <w:r w:rsidR="008E060F">
        <w:t xml:space="preserve"> veiksnius, kurie</w:t>
      </w:r>
      <w:r w:rsidR="009136D9">
        <w:t xml:space="preserve">, </w:t>
      </w:r>
      <w:r w:rsidR="006D3E22">
        <w:t xml:space="preserve">beveik </w:t>
      </w:r>
      <w:r w:rsidR="009136D9">
        <w:t>ne</w:t>
      </w:r>
      <w:r w:rsidR="00BE0E07">
        <w:t>kisdami</w:t>
      </w:r>
      <w:r w:rsidR="00717F95">
        <w:t xml:space="preserve"> ar</w:t>
      </w:r>
      <w:r w:rsidR="00C8543B">
        <w:t xml:space="preserve"> kisdami netinkama linkme,</w:t>
      </w:r>
      <w:r w:rsidR="009136D9">
        <w:t xml:space="preserve"> skatina žmones</w:t>
      </w:r>
      <w:r w:rsidR="00811EEE">
        <w:t xml:space="preserve"> </w:t>
      </w:r>
      <w:r w:rsidR="001C49A7">
        <w:t>priimti netinkamus sprendimus</w:t>
      </w:r>
      <w:r w:rsidR="00DF685F">
        <w:t xml:space="preserve">. </w:t>
      </w:r>
      <w:r w:rsidR="00F83FB6">
        <w:t xml:space="preserve">Iš tokių veiksnių paminėtini: socialinės apsaugos sistemos </w:t>
      </w:r>
      <w:r w:rsidR="00EF0ACD">
        <w:t xml:space="preserve">„įvaizdis“; </w:t>
      </w:r>
      <w:r w:rsidR="006B353F">
        <w:t xml:space="preserve">teisės aktų </w:t>
      </w:r>
      <w:r w:rsidR="00EF0ACD">
        <w:t xml:space="preserve">spragos; </w:t>
      </w:r>
      <w:r w:rsidR="001C3780">
        <w:t>bei</w:t>
      </w:r>
      <w:r w:rsidR="00EF0ACD">
        <w:t xml:space="preserve"> </w:t>
      </w:r>
      <w:r w:rsidR="001C3780">
        <w:t xml:space="preserve">požiūris į </w:t>
      </w:r>
      <w:r w:rsidR="008B0B59">
        <w:t>solidarum</w:t>
      </w:r>
      <w:r w:rsidR="001C3780">
        <w:t>ą</w:t>
      </w:r>
      <w:r w:rsidR="003D2373">
        <w:t>, kitaip</w:t>
      </w:r>
      <w:r w:rsidR="002843CA">
        <w:t xml:space="preserve"> tariant, –</w:t>
      </w:r>
      <w:r w:rsidR="008F581D">
        <w:t xml:space="preserve"> </w:t>
      </w:r>
      <w:r w:rsidR="001C3780">
        <w:t xml:space="preserve">tie </w:t>
      </w:r>
      <w:r w:rsidR="002843CA">
        <w:t>veiksniai, kurie</w:t>
      </w:r>
      <w:r w:rsidR="008F581D">
        <w:t xml:space="preserve"> sudaro </w:t>
      </w:r>
      <w:r w:rsidR="0078662E">
        <w:t>sąlygas socialinė</w:t>
      </w:r>
      <w:r w:rsidR="008F581D">
        <w:t xml:space="preserve">s </w:t>
      </w:r>
      <w:r w:rsidR="0078662E">
        <w:t>apsaugos lėšo</w:t>
      </w:r>
      <w:r w:rsidR="008F581D">
        <w:t>mis pasinaudoti</w:t>
      </w:r>
      <w:r w:rsidR="00281B3C">
        <w:t xml:space="preserve"> </w:t>
      </w:r>
      <w:r w:rsidR="002733C0">
        <w:t xml:space="preserve">(lyg ir) </w:t>
      </w:r>
      <w:r w:rsidR="00281B3C">
        <w:t xml:space="preserve">teisėtai, </w:t>
      </w:r>
      <w:r w:rsidR="00CD5EC2" w:rsidRPr="00F00CF2">
        <w:t xml:space="preserve">tačiau </w:t>
      </w:r>
      <w:r w:rsidR="00D75901" w:rsidRPr="00F00CF2">
        <w:t>ne</w:t>
      </w:r>
      <w:r w:rsidR="00F00CF2" w:rsidRPr="00F00CF2">
        <w:t xml:space="preserve"> </w:t>
      </w:r>
      <w:r w:rsidR="000F122E" w:rsidRPr="00F00CF2">
        <w:t xml:space="preserve">visiškai </w:t>
      </w:r>
      <w:r w:rsidR="00281B3C" w:rsidRPr="00F00CF2">
        <w:t>pagrįstai.</w:t>
      </w:r>
    </w:p>
    <w:p w:rsidR="00BF05EC" w:rsidRDefault="0078662E" w:rsidP="00542AD8">
      <w:r>
        <w:lastRenderedPageBreak/>
        <w:t>Reikėtų pastebėti</w:t>
      </w:r>
      <w:r w:rsidR="00B8220C">
        <w:t>, jog</w:t>
      </w:r>
      <w:r>
        <w:t>, siekiant patikrinti</w:t>
      </w:r>
      <w:r w:rsidRPr="00DD4A28">
        <w:t xml:space="preserve"> hipotezę</w:t>
      </w:r>
      <w:r>
        <w:t xml:space="preserve"> </w:t>
      </w:r>
      <w:r w:rsidRPr="00EC18F2">
        <w:rPr>
          <w:i/>
        </w:rPr>
        <w:t>H</w:t>
      </w:r>
      <w:r w:rsidRPr="00EC18F2">
        <w:rPr>
          <w:i/>
          <w:vertAlign w:val="subscript"/>
        </w:rPr>
        <w:t>1</w:t>
      </w:r>
      <w:r w:rsidR="00B8220C">
        <w:t>, kad</w:t>
      </w:r>
      <w:r w:rsidRPr="00DD4A28">
        <w:t xml:space="preserve"> didžioji </w:t>
      </w:r>
      <w:r w:rsidR="00B8220C">
        <w:t xml:space="preserve">dauguma </w:t>
      </w:r>
      <w:r w:rsidR="006C7A0F">
        <w:t xml:space="preserve">bedarbių </w:t>
      </w:r>
      <w:r w:rsidR="00B8220C">
        <w:t xml:space="preserve">ir </w:t>
      </w:r>
      <w:r w:rsidR="0009704A">
        <w:t>socialin</w:t>
      </w:r>
      <w:r w:rsidR="00194607">
        <w:t>ės</w:t>
      </w:r>
      <w:r w:rsidR="0009704A">
        <w:t xml:space="preserve"> param</w:t>
      </w:r>
      <w:r w:rsidR="00194607">
        <w:t>os gavėjų</w:t>
      </w:r>
      <w:r w:rsidRPr="00DD4A28">
        <w:t xml:space="preserve"> p</w:t>
      </w:r>
      <w:r w:rsidR="0009704A">
        <w:t>ajamas</w:t>
      </w:r>
      <w:r w:rsidR="00A87157">
        <w:t xml:space="preserve"> iš socialinės apsaugos lėšų</w:t>
      </w:r>
      <w:r w:rsidR="0009704A">
        <w:t xml:space="preserve"> formuoj</w:t>
      </w:r>
      <w:r w:rsidR="007F5600">
        <w:t>a</w:t>
      </w:r>
      <w:r w:rsidR="00A87157">
        <w:t xml:space="preserve"> arba</w:t>
      </w:r>
      <w:r w:rsidR="007F5600">
        <w:t xml:space="preserve"> nepagrįstai</w:t>
      </w:r>
      <w:r w:rsidR="00A87157">
        <w:t>,</w:t>
      </w:r>
      <w:r w:rsidR="007F5600">
        <w:t xml:space="preserve"> arba</w:t>
      </w:r>
      <w:r w:rsidR="00B8220C">
        <w:t xml:space="preserve"> neteisėtai</w:t>
      </w:r>
      <w:r w:rsidRPr="00DD4A28">
        <w:t xml:space="preserve">, </w:t>
      </w:r>
      <w:r>
        <w:t xml:space="preserve">veiksniams </w:t>
      </w:r>
      <w:r w:rsidR="00194607">
        <w:t xml:space="preserve">reikėtų </w:t>
      </w:r>
      <w:r>
        <w:t>suteikt</w:t>
      </w:r>
      <w:r w:rsidR="00194607">
        <w:t>i</w:t>
      </w:r>
      <w:r w:rsidRPr="00DD4A28">
        <w:t xml:space="preserve"> neigiamo pobūdžio for</w:t>
      </w:r>
      <w:r w:rsidR="00194607">
        <w:t>muluote</w:t>
      </w:r>
      <w:r w:rsidRPr="00DD4A28">
        <w:t>s</w:t>
      </w:r>
      <w:r>
        <w:t xml:space="preserve">, </w:t>
      </w:r>
      <w:r w:rsidR="003D2FEA">
        <w:t xml:space="preserve">– </w:t>
      </w:r>
      <w:r w:rsidRPr="003D2FEA">
        <w:rPr>
          <w:i/>
        </w:rPr>
        <w:t xml:space="preserve">tokiu būdu užtikrinant, jog hipotezė bus </w:t>
      </w:r>
      <w:r w:rsidR="000F7C35" w:rsidRPr="003D2FEA">
        <w:rPr>
          <w:i/>
        </w:rPr>
        <w:t>patvirtinta</w:t>
      </w:r>
      <w:r w:rsidR="008E1EC3" w:rsidRPr="003D2FEA">
        <w:rPr>
          <w:i/>
        </w:rPr>
        <w:t xml:space="preserve"> arba atmesta</w:t>
      </w:r>
      <w:r w:rsidR="003D2FEA">
        <w:t>,</w:t>
      </w:r>
      <w:r w:rsidR="008E1EC3">
        <w:t xml:space="preserve"> – </w:t>
      </w:r>
      <w:r w:rsidR="005133D2">
        <w:t>nes</w:t>
      </w:r>
      <w:r w:rsidR="003D2FEA">
        <w:t xml:space="preserve">, </w:t>
      </w:r>
      <w:r w:rsidR="00705A4C">
        <w:t>vertin</w:t>
      </w:r>
      <w:r w:rsidR="00514DDC" w:rsidRPr="00514DDC">
        <w:t>ant</w:t>
      </w:r>
      <w:r w:rsidR="00705A4C">
        <w:t xml:space="preserve"> </w:t>
      </w:r>
      <w:r w:rsidR="00A75FF6">
        <w:t xml:space="preserve">neigiamai </w:t>
      </w:r>
      <w:r w:rsidR="00705A4C">
        <w:t>išreikštus veiksnius</w:t>
      </w:r>
      <w:r>
        <w:t xml:space="preserve">, </w:t>
      </w:r>
      <w:r w:rsidR="00F574B1">
        <w:t>galima</w:t>
      </w:r>
      <w:r w:rsidR="00F60FE5">
        <w:t xml:space="preserve"> </w:t>
      </w:r>
      <w:r>
        <w:t xml:space="preserve">kritiškiau pažvelgti </w:t>
      </w:r>
      <w:r w:rsidR="00F574B1">
        <w:t>į</w:t>
      </w:r>
      <w:r>
        <w:t xml:space="preserve"> </w:t>
      </w:r>
      <w:r w:rsidR="00A75FF6">
        <w:t xml:space="preserve">savo paties </w:t>
      </w:r>
      <w:r w:rsidR="005133D2">
        <w:t xml:space="preserve">priimtus </w:t>
      </w:r>
      <w:r w:rsidR="00BF05EC">
        <w:t>sprendimus</w:t>
      </w:r>
      <w:r w:rsidR="009463A8">
        <w:t xml:space="preserve">, ir dėl to </w:t>
      </w:r>
      <w:r w:rsidR="00581E33">
        <w:t xml:space="preserve">perteikti </w:t>
      </w:r>
      <w:r w:rsidR="009463A8">
        <w:t xml:space="preserve">aiškesnį </w:t>
      </w:r>
      <w:r w:rsidR="00581E33">
        <w:t xml:space="preserve">suvokimą apie </w:t>
      </w:r>
      <w:r w:rsidR="005133D2">
        <w:t>sociali</w:t>
      </w:r>
      <w:r w:rsidR="00581E33">
        <w:t>nių</w:t>
      </w:r>
      <w:r w:rsidR="005133D2">
        <w:t xml:space="preserve"> </w:t>
      </w:r>
      <w:r w:rsidR="00581E33">
        <w:t>išmokų</w:t>
      </w:r>
      <w:r w:rsidR="00A44AE4">
        <w:t xml:space="preserve"> </w:t>
      </w:r>
      <w:r w:rsidR="00142862">
        <w:t xml:space="preserve">paskirtį </w:t>
      </w:r>
      <w:r w:rsidR="00DF114C">
        <w:t>ir vietą žmonių gyvenime.</w:t>
      </w:r>
    </w:p>
    <w:p w:rsidR="00542AD8" w:rsidRDefault="00542AD8" w:rsidP="00542AD8">
      <w:r>
        <w:t xml:space="preserve">Kadangi, vadovaujantis modeliu, </w:t>
      </w:r>
      <w:r w:rsidRPr="00415F4C">
        <w:t>veiksnių suformavimo procesas</w:t>
      </w:r>
      <w:r>
        <w:t xml:space="preserve"> baigiasi reikšmingumo koeficientų veiksniams suteikimu, tikslinga būtų aptarti jų nustatymo ypatumus. Reiktų pabrėžti, jog, siekiant išvengti subjektyvumo, svorius veiksniams priskirti buvo </w:t>
      </w:r>
      <w:r w:rsidR="008A76B7">
        <w:t xml:space="preserve">patikėta </w:t>
      </w:r>
      <w:r w:rsidR="008A76B7" w:rsidRPr="00703D6A">
        <w:t>ekspertams (</w:t>
      </w:r>
      <w:r w:rsidR="007430FF" w:rsidRPr="00703D6A">
        <w:t>žr. 3</w:t>
      </w:r>
      <w:r w:rsidR="008A76B7" w:rsidRPr="00703D6A">
        <w:t> priedą),</w:t>
      </w:r>
      <w:r w:rsidR="008A76B7">
        <w:t xml:space="preserve"> t. y.</w:t>
      </w:r>
      <w:r>
        <w:t xml:space="preserve"> žmonėms, kurie</w:t>
      </w:r>
      <w:r w:rsidR="00945089">
        <w:t>, turėdami</w:t>
      </w:r>
      <w:r>
        <w:t xml:space="preserve"> glaudų darbinį ryšį su </w:t>
      </w:r>
      <w:r w:rsidR="008A76B7">
        <w:t xml:space="preserve">bedarbiais ir socialinės paramos </w:t>
      </w:r>
      <w:r>
        <w:t>gavėjais</w:t>
      </w:r>
      <w:r w:rsidR="00945089">
        <w:t>,</w:t>
      </w:r>
      <w:r w:rsidR="008A76B7">
        <w:t xml:space="preserve"> </w:t>
      </w:r>
      <w:r w:rsidR="00272027">
        <w:t>buvo</w:t>
      </w:r>
      <w:r w:rsidR="00945089">
        <w:t xml:space="preserve"> </w:t>
      </w:r>
      <w:r w:rsidR="008A76B7">
        <w:t>geba</w:t>
      </w:r>
      <w:r w:rsidR="00945089">
        <w:t>ntys</w:t>
      </w:r>
      <w:r w:rsidR="008A76B7">
        <w:t xml:space="preserve"> </w:t>
      </w:r>
      <w:r w:rsidR="00272027">
        <w:t xml:space="preserve">geriau </w:t>
      </w:r>
      <w:r w:rsidR="008A76B7">
        <w:t>įvertinti jų</w:t>
      </w:r>
      <w:r w:rsidR="00E71461">
        <w:t xml:space="preserve"> įtaką </w:t>
      </w:r>
      <w:r w:rsidR="00901C6E">
        <w:t>individų finansiniams sprendimams</w:t>
      </w:r>
      <w:r>
        <w:t>.</w:t>
      </w:r>
      <w:r w:rsidR="00272027">
        <w:t xml:space="preserve"> </w:t>
      </w:r>
      <w:r w:rsidRPr="009B5361">
        <w:rPr>
          <w:i/>
        </w:rPr>
        <w:t>Principas</w:t>
      </w:r>
      <w:r>
        <w:t xml:space="preserve"> </w:t>
      </w:r>
      <w:r w:rsidR="00890EA3">
        <w:t xml:space="preserve">pasirinktas </w:t>
      </w:r>
      <w:r>
        <w:t>nesudėtingas: ekspertų paprašius priskirti veiksniams svorius pagal tai, kiek jie</w:t>
      </w:r>
      <w:r w:rsidR="009B5361">
        <w:t xml:space="preserve"> yra</w:t>
      </w:r>
      <w:r>
        <w:t xml:space="preserve"> reikšmingi sprendimams pajamas formuoti iš </w:t>
      </w:r>
      <w:r w:rsidR="009B5361">
        <w:t>socialinės apsaugos lėšų</w:t>
      </w:r>
      <w:r>
        <w:t xml:space="preserve"> (kur: </w:t>
      </w:r>
      <w:r w:rsidRPr="003A238B">
        <w:rPr>
          <w:i/>
        </w:rPr>
        <w:t>1</w:t>
      </w:r>
      <w:r>
        <w:t xml:space="preserve"> – labai reikšmingi; </w:t>
      </w:r>
      <w:r w:rsidRPr="003A238B">
        <w:rPr>
          <w:i/>
        </w:rPr>
        <w:t>2</w:t>
      </w:r>
      <w:r>
        <w:t xml:space="preserve"> – vidutiniškai reikšmingi; </w:t>
      </w:r>
      <w:r w:rsidRPr="003A238B">
        <w:rPr>
          <w:i/>
        </w:rPr>
        <w:t>3</w:t>
      </w:r>
      <w:r>
        <w:t xml:space="preserve"> – mažai reikšmingi</w:t>
      </w:r>
      <w:r w:rsidRPr="007419A1">
        <w:t xml:space="preserve">), </w:t>
      </w:r>
      <w:r>
        <w:t>buvo r</w:t>
      </w:r>
      <w:r w:rsidR="00284F6A">
        <w:t>a</w:t>
      </w:r>
      <w:r w:rsidR="00874D71">
        <w:t>sta</w:t>
      </w:r>
      <w:r w:rsidRPr="007419A1">
        <w:t xml:space="preserve"> </w:t>
      </w:r>
      <w:r w:rsidRPr="007419A1">
        <w:rPr>
          <w:i/>
        </w:rPr>
        <w:t>moda</w:t>
      </w:r>
      <w:r w:rsidR="009B5361">
        <w:rPr>
          <w:i/>
        </w:rPr>
        <w:t xml:space="preserve"> </w:t>
      </w:r>
      <w:r w:rsidR="009B5361" w:rsidRPr="00284F6A">
        <w:t>(</w:t>
      </w:r>
      <w:proofErr w:type="spellStart"/>
      <w:r w:rsidR="009B5361">
        <w:rPr>
          <w:i/>
        </w:rPr>
        <w:t>Mo</w:t>
      </w:r>
      <w:proofErr w:type="spellEnd"/>
      <w:r w:rsidR="009B5361" w:rsidRPr="00284F6A">
        <w:t>)</w:t>
      </w:r>
      <w:r w:rsidRPr="007419A1">
        <w:t xml:space="preserve">, t. y. dažniausiai </w:t>
      </w:r>
      <w:r w:rsidR="00874D71">
        <w:t xml:space="preserve">aibėje </w:t>
      </w:r>
      <w:r w:rsidRPr="007419A1">
        <w:t>pasikartojusi reikšmė</w:t>
      </w:r>
      <w:r>
        <w:t xml:space="preserve">, kuri </w:t>
      </w:r>
      <w:r w:rsidR="009D3F2F">
        <w:t xml:space="preserve">buvo </w:t>
      </w:r>
      <w:r>
        <w:t>transformuota į didesnį ar mažesnį koeficientą</w:t>
      </w:r>
      <w:r w:rsidR="009D3F2F">
        <w:t xml:space="preserve"> (</w:t>
      </w:r>
      <w:r w:rsidR="009D3F2F" w:rsidRPr="009D3F2F">
        <w:rPr>
          <w:i/>
        </w:rPr>
        <w:t>K</w:t>
      </w:r>
      <w:r w:rsidR="009D3F2F">
        <w:t>)</w:t>
      </w:r>
      <w:r>
        <w:t>.</w:t>
      </w:r>
    </w:p>
    <w:bookmarkStart w:id="24" w:name="_Toc343026501"/>
    <w:bookmarkStart w:id="25" w:name="_Toc343638396"/>
    <w:p w:rsidR="00490E71" w:rsidRPr="00683AF0" w:rsidRDefault="00D84BC4" w:rsidP="00886347">
      <w:pPr>
        <w:pStyle w:val="Caption"/>
      </w:pPr>
      <w:r w:rsidRPr="00703D6A">
        <w:fldChar w:fldCharType="begin"/>
      </w:r>
      <w:r w:rsidR="00703D6A" w:rsidRPr="00703D6A">
        <w:instrText xml:space="preserve"> SEQ lentelė \* ARABIC </w:instrText>
      </w:r>
      <w:r w:rsidRPr="00703D6A">
        <w:fldChar w:fldCharType="separate"/>
      </w:r>
      <w:r w:rsidR="00703D6A" w:rsidRPr="00703D6A">
        <w:t>1</w:t>
      </w:r>
      <w:r w:rsidRPr="00703D6A">
        <w:fldChar w:fldCharType="end"/>
      </w:r>
      <w:r w:rsidR="00703D6A" w:rsidRPr="00703D6A">
        <w:t xml:space="preserve"> </w:t>
      </w:r>
      <w:r w:rsidR="00144BB5" w:rsidRPr="00703D6A">
        <w:t>lentelė</w:t>
      </w:r>
      <w:r w:rsidR="00703D6A" w:rsidRPr="00703D6A">
        <w:t>.</w:t>
      </w:r>
      <w:r w:rsidR="00144BB5" w:rsidRPr="00144BB5">
        <w:rPr>
          <w:color w:val="FF0000"/>
        </w:rPr>
        <w:t xml:space="preserve"> </w:t>
      </w:r>
      <w:r w:rsidR="001F306F">
        <w:t xml:space="preserve">Veiksnių, </w:t>
      </w:r>
      <w:r w:rsidR="00472816">
        <w:t>įtrauktų į vertinimo procesą</w:t>
      </w:r>
      <w:r w:rsidR="001F306F">
        <w:t>,</w:t>
      </w:r>
      <w:r w:rsidR="007A0DED">
        <w:t xml:space="preserve"> reikšmingumo koeficientai</w:t>
      </w:r>
      <w:bookmarkEnd w:id="24"/>
      <w:r w:rsidR="00472816">
        <w:t xml:space="preserve"> (</w:t>
      </w:r>
      <w:r w:rsidR="00472816" w:rsidRPr="00D86E52">
        <w:rPr>
          <w:i/>
        </w:rPr>
        <w:t>K</w:t>
      </w:r>
      <w:r w:rsidR="00472816">
        <w:t>)</w:t>
      </w:r>
      <w:bookmarkEnd w:id="25"/>
    </w:p>
    <w:tbl>
      <w:tblPr>
        <w:tblStyle w:val="TableGrid"/>
        <w:tblW w:w="0" w:type="auto"/>
        <w:tblBorders>
          <w:top w:val="single" w:sz="12" w:space="0" w:color="auto"/>
          <w:left w:val="single" w:sz="12" w:space="0" w:color="auto"/>
          <w:bottom w:val="single" w:sz="12" w:space="0" w:color="auto"/>
          <w:right w:val="single" w:sz="12" w:space="0" w:color="auto"/>
          <w:insideV w:val="single" w:sz="2" w:space="0" w:color="auto"/>
        </w:tblBorders>
        <w:tblLook w:val="04A0"/>
      </w:tblPr>
      <w:tblGrid>
        <w:gridCol w:w="2880"/>
        <w:gridCol w:w="1152"/>
        <w:gridCol w:w="1152"/>
        <w:gridCol w:w="2880"/>
        <w:gridCol w:w="1152"/>
        <w:gridCol w:w="1152"/>
      </w:tblGrid>
      <w:tr w:rsidR="00231662" w:rsidRPr="00211B50" w:rsidTr="00200014">
        <w:tc>
          <w:tcPr>
            <w:tcW w:w="10368" w:type="dxa"/>
            <w:gridSpan w:val="6"/>
            <w:tcBorders>
              <w:top w:val="single" w:sz="12" w:space="0" w:color="auto"/>
              <w:bottom w:val="single" w:sz="12" w:space="0" w:color="auto"/>
              <w:right w:val="single" w:sz="12" w:space="0" w:color="auto"/>
            </w:tcBorders>
            <w:shd w:val="clear" w:color="auto" w:fill="D9D9D9" w:themeFill="background1" w:themeFillShade="D9"/>
            <w:vAlign w:val="center"/>
          </w:tcPr>
          <w:p w:rsidR="00231662" w:rsidRPr="00211B50" w:rsidRDefault="00231662" w:rsidP="00F72189">
            <w:pPr>
              <w:spacing w:after="0" w:line="240" w:lineRule="auto"/>
              <w:ind w:firstLine="0"/>
              <w:jc w:val="center"/>
              <w:rPr>
                <w:b/>
                <w:i/>
                <w:sz w:val="18"/>
                <w:szCs w:val="18"/>
              </w:rPr>
            </w:pPr>
            <w:r>
              <w:rPr>
                <w:b/>
                <w:i/>
                <w:sz w:val="18"/>
                <w:szCs w:val="18"/>
              </w:rPr>
              <w:t>VIDINIAI VEIKSNIAI</w:t>
            </w:r>
          </w:p>
        </w:tc>
      </w:tr>
      <w:tr w:rsidR="007A0DED" w:rsidRPr="00211B50" w:rsidTr="00E33548">
        <w:tc>
          <w:tcPr>
            <w:tcW w:w="2880" w:type="dxa"/>
            <w:tcBorders>
              <w:top w:val="single" w:sz="12" w:space="0" w:color="auto"/>
              <w:bottom w:val="single" w:sz="12" w:space="0" w:color="auto"/>
              <w:right w:val="single" w:sz="12" w:space="0" w:color="auto"/>
            </w:tcBorders>
            <w:shd w:val="clear" w:color="auto" w:fill="D9D9D9" w:themeFill="background1" w:themeFillShade="D9"/>
            <w:vAlign w:val="center"/>
          </w:tcPr>
          <w:p w:rsidR="007A0DED" w:rsidRPr="00211B50" w:rsidRDefault="007A0DED" w:rsidP="00200014">
            <w:pPr>
              <w:spacing w:after="0" w:line="240" w:lineRule="auto"/>
              <w:ind w:firstLine="0"/>
              <w:jc w:val="center"/>
              <w:rPr>
                <w:b/>
                <w:i/>
                <w:sz w:val="18"/>
                <w:szCs w:val="18"/>
              </w:rPr>
            </w:pPr>
            <w:r w:rsidRPr="00211B50">
              <w:rPr>
                <w:b/>
                <w:i/>
                <w:sz w:val="18"/>
                <w:szCs w:val="18"/>
              </w:rPr>
              <w:t>- A -</w:t>
            </w:r>
          </w:p>
          <w:p w:rsidR="007A0DED" w:rsidRPr="00211B50" w:rsidRDefault="007A0DED" w:rsidP="00200014">
            <w:pPr>
              <w:spacing w:after="0" w:line="240" w:lineRule="auto"/>
              <w:ind w:firstLine="0"/>
              <w:jc w:val="center"/>
              <w:rPr>
                <w:b/>
                <w:i/>
                <w:sz w:val="18"/>
                <w:szCs w:val="18"/>
              </w:rPr>
            </w:pPr>
            <w:r w:rsidRPr="00211B50">
              <w:rPr>
                <w:b/>
                <w:i/>
                <w:sz w:val="18"/>
                <w:szCs w:val="18"/>
              </w:rPr>
              <w:t>(emociniai-psichologiniai)</w:t>
            </w:r>
          </w:p>
        </w:tc>
        <w:tc>
          <w:tcPr>
            <w:tcW w:w="1152" w:type="dxa"/>
            <w:tcBorders>
              <w:top w:val="single" w:sz="12" w:space="0" w:color="auto"/>
              <w:bottom w:val="single" w:sz="12" w:space="0" w:color="auto"/>
              <w:right w:val="single" w:sz="12" w:space="0" w:color="auto"/>
            </w:tcBorders>
            <w:shd w:val="clear" w:color="auto" w:fill="D9D9D9" w:themeFill="background1" w:themeFillShade="D9"/>
            <w:vAlign w:val="center"/>
          </w:tcPr>
          <w:p w:rsidR="007A0DED" w:rsidRPr="00211B50" w:rsidRDefault="007A0DED" w:rsidP="00200014">
            <w:pPr>
              <w:spacing w:after="0" w:line="240" w:lineRule="auto"/>
              <w:ind w:firstLine="0"/>
              <w:jc w:val="center"/>
              <w:rPr>
                <w:b/>
                <w:i/>
                <w:sz w:val="18"/>
                <w:szCs w:val="18"/>
              </w:rPr>
            </w:pPr>
            <w:proofErr w:type="spellStart"/>
            <w:r w:rsidRPr="00211B50">
              <w:rPr>
                <w:b/>
                <w:i/>
                <w:sz w:val="18"/>
                <w:szCs w:val="18"/>
              </w:rPr>
              <w:t>Mo</w:t>
            </w:r>
            <w:proofErr w:type="spellEnd"/>
          </w:p>
        </w:tc>
        <w:tc>
          <w:tcPr>
            <w:tcW w:w="1152" w:type="dxa"/>
            <w:tcBorders>
              <w:top w:val="single" w:sz="12" w:space="0" w:color="auto"/>
              <w:bottom w:val="single" w:sz="12" w:space="0" w:color="auto"/>
              <w:right w:val="single" w:sz="12" w:space="0" w:color="auto"/>
            </w:tcBorders>
            <w:shd w:val="clear" w:color="auto" w:fill="D9D9D9" w:themeFill="background1" w:themeFillShade="D9"/>
            <w:vAlign w:val="center"/>
          </w:tcPr>
          <w:p w:rsidR="007A0DED" w:rsidRPr="00211B50" w:rsidRDefault="007A0DED" w:rsidP="00200014">
            <w:pPr>
              <w:spacing w:after="0" w:line="240" w:lineRule="auto"/>
              <w:ind w:firstLine="0"/>
              <w:jc w:val="center"/>
              <w:rPr>
                <w:b/>
                <w:i/>
                <w:sz w:val="18"/>
                <w:szCs w:val="18"/>
              </w:rPr>
            </w:pPr>
            <w:r w:rsidRPr="00211B50">
              <w:rPr>
                <w:b/>
                <w:i/>
                <w:sz w:val="18"/>
                <w:szCs w:val="18"/>
              </w:rPr>
              <w:t>K</w:t>
            </w:r>
          </w:p>
        </w:tc>
        <w:tc>
          <w:tcPr>
            <w:tcW w:w="288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A0DED" w:rsidRPr="00211B50" w:rsidRDefault="007A0DED" w:rsidP="00200014">
            <w:pPr>
              <w:spacing w:after="0" w:line="240" w:lineRule="auto"/>
              <w:ind w:firstLine="0"/>
              <w:jc w:val="center"/>
              <w:rPr>
                <w:b/>
                <w:i/>
                <w:sz w:val="18"/>
                <w:szCs w:val="18"/>
              </w:rPr>
            </w:pPr>
            <w:r w:rsidRPr="00211B50">
              <w:rPr>
                <w:b/>
                <w:i/>
                <w:sz w:val="18"/>
                <w:szCs w:val="18"/>
              </w:rPr>
              <w:t>- B -</w:t>
            </w:r>
          </w:p>
          <w:p w:rsidR="007A0DED" w:rsidRPr="00211B50" w:rsidRDefault="007A0DED" w:rsidP="00200014">
            <w:pPr>
              <w:spacing w:after="0" w:line="240" w:lineRule="auto"/>
              <w:ind w:firstLine="0"/>
              <w:jc w:val="center"/>
              <w:rPr>
                <w:b/>
                <w:i/>
                <w:sz w:val="18"/>
                <w:szCs w:val="18"/>
              </w:rPr>
            </w:pPr>
            <w:r w:rsidRPr="00211B50">
              <w:rPr>
                <w:b/>
                <w:i/>
                <w:sz w:val="18"/>
                <w:szCs w:val="18"/>
              </w:rPr>
              <w:t>(socialiniai-demografiniai)</w:t>
            </w:r>
          </w:p>
        </w:tc>
        <w:tc>
          <w:tcPr>
            <w:tcW w:w="115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A0DED" w:rsidRPr="00211B50" w:rsidRDefault="007A0DED" w:rsidP="00200014">
            <w:pPr>
              <w:spacing w:after="0" w:line="240" w:lineRule="auto"/>
              <w:ind w:firstLine="0"/>
              <w:jc w:val="center"/>
              <w:rPr>
                <w:b/>
                <w:i/>
                <w:sz w:val="18"/>
                <w:szCs w:val="18"/>
              </w:rPr>
            </w:pPr>
            <w:proofErr w:type="spellStart"/>
            <w:r w:rsidRPr="00211B50">
              <w:rPr>
                <w:b/>
                <w:i/>
                <w:sz w:val="18"/>
                <w:szCs w:val="18"/>
              </w:rPr>
              <w:t>Mo</w:t>
            </w:r>
            <w:proofErr w:type="spellEnd"/>
          </w:p>
        </w:tc>
        <w:tc>
          <w:tcPr>
            <w:tcW w:w="115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A0DED" w:rsidRPr="00211B50" w:rsidRDefault="007A0DED" w:rsidP="00200014">
            <w:pPr>
              <w:spacing w:after="0" w:line="240" w:lineRule="auto"/>
              <w:ind w:firstLine="0"/>
              <w:jc w:val="center"/>
              <w:rPr>
                <w:b/>
                <w:i/>
                <w:sz w:val="18"/>
                <w:szCs w:val="18"/>
              </w:rPr>
            </w:pPr>
            <w:r w:rsidRPr="00211B50">
              <w:rPr>
                <w:b/>
                <w:i/>
                <w:sz w:val="18"/>
                <w:szCs w:val="18"/>
              </w:rPr>
              <w:t>K</w:t>
            </w:r>
          </w:p>
        </w:tc>
      </w:tr>
      <w:tr w:rsidR="00587AFE" w:rsidRPr="00211B50" w:rsidTr="00E33548">
        <w:tc>
          <w:tcPr>
            <w:tcW w:w="2880" w:type="dxa"/>
            <w:tcBorders>
              <w:top w:val="single" w:sz="12" w:space="0" w:color="auto"/>
              <w:right w:val="single" w:sz="12" w:space="0" w:color="auto"/>
            </w:tcBorders>
            <w:shd w:val="clear" w:color="auto" w:fill="B8CCE4" w:themeFill="accent1" w:themeFillTint="66"/>
          </w:tcPr>
          <w:p w:rsidR="00587AFE" w:rsidRPr="00211B50" w:rsidRDefault="00587AFE" w:rsidP="00153029">
            <w:pPr>
              <w:spacing w:after="0" w:line="240" w:lineRule="auto"/>
              <w:ind w:firstLine="0"/>
              <w:rPr>
                <w:i/>
                <w:sz w:val="18"/>
                <w:szCs w:val="18"/>
              </w:rPr>
            </w:pPr>
            <w:r w:rsidRPr="00211B50">
              <w:rPr>
                <w:i/>
                <w:sz w:val="18"/>
                <w:szCs w:val="18"/>
              </w:rPr>
              <w:t>Mentalinės sąskaitos (a</w:t>
            </w:r>
            <w:r w:rsidRPr="00211B50">
              <w:rPr>
                <w:i/>
                <w:sz w:val="18"/>
                <w:szCs w:val="18"/>
                <w:vertAlign w:val="subscript"/>
              </w:rPr>
              <w:t>1</w:t>
            </w:r>
            <w:r w:rsidRPr="00211B50">
              <w:rPr>
                <w:i/>
                <w:sz w:val="18"/>
                <w:szCs w:val="18"/>
              </w:rPr>
              <w:t>)</w:t>
            </w:r>
          </w:p>
        </w:tc>
        <w:tc>
          <w:tcPr>
            <w:tcW w:w="1152" w:type="dxa"/>
            <w:tcBorders>
              <w:top w:val="single" w:sz="12" w:space="0" w:color="auto"/>
              <w:bottom w:val="single" w:sz="4" w:space="0" w:color="auto"/>
              <w:right w:val="single" w:sz="12" w:space="0" w:color="auto"/>
            </w:tcBorders>
            <w:shd w:val="clear" w:color="auto" w:fill="B8CCE4" w:themeFill="accent1" w:themeFillTint="66"/>
          </w:tcPr>
          <w:p w:rsidR="00587AFE" w:rsidRPr="00211B50" w:rsidRDefault="00587AFE" w:rsidP="00200014">
            <w:pPr>
              <w:spacing w:after="0" w:line="240" w:lineRule="auto"/>
              <w:ind w:firstLine="0"/>
              <w:jc w:val="center"/>
              <w:rPr>
                <w:b/>
                <w:sz w:val="18"/>
                <w:szCs w:val="18"/>
              </w:rPr>
            </w:pPr>
            <w:r w:rsidRPr="00211B50">
              <w:rPr>
                <w:b/>
                <w:sz w:val="18"/>
                <w:szCs w:val="18"/>
              </w:rPr>
              <w:t>2</w:t>
            </w:r>
          </w:p>
        </w:tc>
        <w:tc>
          <w:tcPr>
            <w:tcW w:w="1152" w:type="dxa"/>
            <w:tcBorders>
              <w:top w:val="single" w:sz="12" w:space="0" w:color="auto"/>
              <w:bottom w:val="single" w:sz="4" w:space="0" w:color="auto"/>
              <w:right w:val="single" w:sz="12" w:space="0" w:color="auto"/>
            </w:tcBorders>
            <w:shd w:val="clear" w:color="auto" w:fill="B8CCE4" w:themeFill="accent1" w:themeFillTint="66"/>
          </w:tcPr>
          <w:p w:rsidR="00587AFE" w:rsidRPr="00211B50" w:rsidRDefault="00587AFE" w:rsidP="00200014">
            <w:pPr>
              <w:spacing w:after="0" w:line="240" w:lineRule="auto"/>
              <w:ind w:firstLine="0"/>
              <w:jc w:val="center"/>
              <w:rPr>
                <w:b/>
                <w:color w:val="0070C0"/>
                <w:sz w:val="18"/>
                <w:szCs w:val="18"/>
              </w:rPr>
            </w:pPr>
            <w:r w:rsidRPr="00211B50">
              <w:rPr>
                <w:b/>
                <w:color w:val="0070C0"/>
                <w:sz w:val="18"/>
                <w:szCs w:val="18"/>
              </w:rPr>
              <w:t>1,5</w:t>
            </w:r>
          </w:p>
        </w:tc>
        <w:tc>
          <w:tcPr>
            <w:tcW w:w="2880" w:type="dxa"/>
            <w:tcBorders>
              <w:top w:val="single" w:sz="12" w:space="0" w:color="auto"/>
              <w:left w:val="single" w:sz="12" w:space="0" w:color="auto"/>
              <w:right w:val="single" w:sz="12" w:space="0" w:color="auto"/>
            </w:tcBorders>
            <w:shd w:val="clear" w:color="auto" w:fill="CCC0D9" w:themeFill="accent4" w:themeFillTint="66"/>
          </w:tcPr>
          <w:p w:rsidR="00587AFE" w:rsidRPr="00211B50" w:rsidRDefault="00587AFE" w:rsidP="00153029">
            <w:pPr>
              <w:spacing w:after="0" w:line="240" w:lineRule="auto"/>
              <w:ind w:firstLine="0"/>
              <w:rPr>
                <w:i/>
                <w:sz w:val="18"/>
                <w:szCs w:val="18"/>
              </w:rPr>
            </w:pPr>
            <w:r w:rsidRPr="00211B50">
              <w:rPr>
                <w:i/>
                <w:sz w:val="18"/>
                <w:szCs w:val="18"/>
              </w:rPr>
              <w:t>Menkas išsilavinimas (b</w:t>
            </w:r>
            <w:r w:rsidRPr="00211B50">
              <w:rPr>
                <w:i/>
                <w:sz w:val="18"/>
                <w:szCs w:val="18"/>
                <w:vertAlign w:val="subscript"/>
              </w:rPr>
              <w:t>1</w:t>
            </w:r>
            <w:r w:rsidRPr="00211B50">
              <w:rPr>
                <w:i/>
                <w:sz w:val="18"/>
                <w:szCs w:val="18"/>
              </w:rPr>
              <w:t>)</w:t>
            </w:r>
          </w:p>
        </w:tc>
        <w:tc>
          <w:tcPr>
            <w:tcW w:w="1152" w:type="dxa"/>
            <w:tcBorders>
              <w:top w:val="single" w:sz="12" w:space="0" w:color="auto"/>
              <w:left w:val="single" w:sz="12" w:space="0" w:color="auto"/>
              <w:right w:val="single" w:sz="12" w:space="0" w:color="auto"/>
            </w:tcBorders>
            <w:shd w:val="clear" w:color="auto" w:fill="CCC0D9" w:themeFill="accent4" w:themeFillTint="66"/>
          </w:tcPr>
          <w:p w:rsidR="00587AFE" w:rsidRPr="00211B50" w:rsidRDefault="00587AFE" w:rsidP="00200014">
            <w:pPr>
              <w:spacing w:after="0" w:line="240" w:lineRule="auto"/>
              <w:ind w:firstLine="0"/>
              <w:jc w:val="center"/>
              <w:rPr>
                <w:b/>
                <w:sz w:val="18"/>
                <w:szCs w:val="18"/>
              </w:rPr>
            </w:pPr>
            <w:r w:rsidRPr="00211B50">
              <w:rPr>
                <w:b/>
                <w:sz w:val="18"/>
                <w:szCs w:val="18"/>
              </w:rPr>
              <w:t>1</w:t>
            </w:r>
          </w:p>
        </w:tc>
        <w:tc>
          <w:tcPr>
            <w:tcW w:w="1152" w:type="dxa"/>
            <w:tcBorders>
              <w:top w:val="single" w:sz="12" w:space="0" w:color="auto"/>
              <w:left w:val="single" w:sz="12" w:space="0" w:color="auto"/>
              <w:right w:val="single" w:sz="12" w:space="0" w:color="auto"/>
            </w:tcBorders>
            <w:shd w:val="clear" w:color="auto" w:fill="CCC0D9" w:themeFill="accent4" w:themeFillTint="66"/>
          </w:tcPr>
          <w:p w:rsidR="00587AFE" w:rsidRPr="00B53367" w:rsidRDefault="00587AFE" w:rsidP="00200014">
            <w:pPr>
              <w:spacing w:after="0" w:line="240" w:lineRule="auto"/>
              <w:ind w:firstLine="0"/>
              <w:jc w:val="center"/>
              <w:rPr>
                <w:b/>
                <w:color w:val="7030A0"/>
                <w:sz w:val="18"/>
                <w:szCs w:val="18"/>
              </w:rPr>
            </w:pPr>
            <w:r w:rsidRPr="00B53367">
              <w:rPr>
                <w:b/>
                <w:color w:val="7030A0"/>
                <w:sz w:val="18"/>
                <w:szCs w:val="18"/>
              </w:rPr>
              <w:t>2,0</w:t>
            </w:r>
          </w:p>
        </w:tc>
      </w:tr>
      <w:tr w:rsidR="00587AFE" w:rsidRPr="00211B50" w:rsidTr="00E33548">
        <w:tc>
          <w:tcPr>
            <w:tcW w:w="2880" w:type="dxa"/>
            <w:tcBorders>
              <w:right w:val="single" w:sz="12" w:space="0" w:color="auto"/>
            </w:tcBorders>
            <w:shd w:val="clear" w:color="auto" w:fill="B8CCE4" w:themeFill="accent1" w:themeFillTint="66"/>
          </w:tcPr>
          <w:p w:rsidR="00587AFE" w:rsidRPr="00211B50" w:rsidRDefault="00587AFE" w:rsidP="00153029">
            <w:pPr>
              <w:spacing w:after="0" w:line="240" w:lineRule="auto"/>
              <w:ind w:firstLine="0"/>
              <w:rPr>
                <w:i/>
                <w:sz w:val="18"/>
                <w:szCs w:val="18"/>
              </w:rPr>
            </w:pPr>
            <w:r w:rsidRPr="00211B50">
              <w:rPr>
                <w:i/>
                <w:sz w:val="18"/>
                <w:szCs w:val="18"/>
              </w:rPr>
              <w:t>„Sovietinis“ mentalitetas (a</w:t>
            </w:r>
            <w:r w:rsidRPr="00211B50">
              <w:rPr>
                <w:i/>
                <w:sz w:val="18"/>
                <w:szCs w:val="18"/>
                <w:vertAlign w:val="subscript"/>
              </w:rPr>
              <w:t>2</w:t>
            </w:r>
            <w:r w:rsidRPr="00211B50">
              <w:rPr>
                <w:i/>
                <w:sz w:val="18"/>
                <w:szCs w:val="18"/>
              </w:rPr>
              <w:t>)</w:t>
            </w:r>
          </w:p>
        </w:tc>
        <w:tc>
          <w:tcPr>
            <w:tcW w:w="1152" w:type="dxa"/>
            <w:tcBorders>
              <w:top w:val="single" w:sz="4" w:space="0" w:color="auto"/>
              <w:bottom w:val="single" w:sz="4" w:space="0" w:color="auto"/>
              <w:right w:val="single" w:sz="12" w:space="0" w:color="auto"/>
            </w:tcBorders>
            <w:shd w:val="clear" w:color="auto" w:fill="B8CCE4" w:themeFill="accent1" w:themeFillTint="66"/>
          </w:tcPr>
          <w:p w:rsidR="00587AFE" w:rsidRPr="00211B50" w:rsidRDefault="00587AFE" w:rsidP="00200014">
            <w:pPr>
              <w:spacing w:after="0" w:line="240" w:lineRule="auto"/>
              <w:ind w:firstLine="0"/>
              <w:jc w:val="center"/>
              <w:rPr>
                <w:b/>
                <w:sz w:val="18"/>
                <w:szCs w:val="18"/>
              </w:rPr>
            </w:pPr>
            <w:r w:rsidRPr="00211B50">
              <w:rPr>
                <w:b/>
                <w:sz w:val="18"/>
                <w:szCs w:val="18"/>
              </w:rPr>
              <w:t>2</w:t>
            </w:r>
          </w:p>
        </w:tc>
        <w:tc>
          <w:tcPr>
            <w:tcW w:w="1152" w:type="dxa"/>
            <w:tcBorders>
              <w:top w:val="single" w:sz="4" w:space="0" w:color="auto"/>
              <w:bottom w:val="single" w:sz="4" w:space="0" w:color="auto"/>
              <w:right w:val="single" w:sz="12" w:space="0" w:color="auto"/>
            </w:tcBorders>
            <w:shd w:val="clear" w:color="auto" w:fill="B8CCE4" w:themeFill="accent1" w:themeFillTint="66"/>
          </w:tcPr>
          <w:p w:rsidR="00587AFE" w:rsidRPr="00211B50" w:rsidRDefault="00587AFE" w:rsidP="00200014">
            <w:pPr>
              <w:spacing w:after="0" w:line="240" w:lineRule="auto"/>
              <w:ind w:firstLine="0"/>
              <w:jc w:val="center"/>
              <w:rPr>
                <w:b/>
                <w:color w:val="0070C0"/>
                <w:sz w:val="18"/>
                <w:szCs w:val="18"/>
              </w:rPr>
            </w:pPr>
            <w:r w:rsidRPr="00211B50">
              <w:rPr>
                <w:b/>
                <w:color w:val="0070C0"/>
                <w:sz w:val="18"/>
                <w:szCs w:val="18"/>
              </w:rPr>
              <w:t>1,5</w:t>
            </w:r>
          </w:p>
        </w:tc>
        <w:tc>
          <w:tcPr>
            <w:tcW w:w="2880" w:type="dxa"/>
            <w:tcBorders>
              <w:left w:val="single" w:sz="12" w:space="0" w:color="auto"/>
              <w:right w:val="single" w:sz="12" w:space="0" w:color="auto"/>
            </w:tcBorders>
            <w:shd w:val="clear" w:color="auto" w:fill="CCC0D9" w:themeFill="accent4" w:themeFillTint="66"/>
          </w:tcPr>
          <w:p w:rsidR="00587AFE" w:rsidRPr="00211B50" w:rsidRDefault="00587AFE" w:rsidP="00153029">
            <w:pPr>
              <w:spacing w:after="0" w:line="240" w:lineRule="auto"/>
              <w:ind w:firstLine="0"/>
              <w:rPr>
                <w:i/>
                <w:sz w:val="18"/>
                <w:szCs w:val="18"/>
              </w:rPr>
            </w:pPr>
            <w:r w:rsidRPr="00211B50">
              <w:rPr>
                <w:i/>
                <w:sz w:val="18"/>
                <w:szCs w:val="18"/>
              </w:rPr>
              <w:t>Nepaklausi profesija (b</w:t>
            </w:r>
            <w:r w:rsidRPr="00211B50">
              <w:rPr>
                <w:i/>
                <w:sz w:val="18"/>
                <w:szCs w:val="18"/>
                <w:vertAlign w:val="subscript"/>
              </w:rPr>
              <w:t>2</w:t>
            </w:r>
            <w:r w:rsidRPr="00211B50">
              <w:rPr>
                <w:i/>
                <w:sz w:val="18"/>
                <w:szCs w:val="18"/>
              </w:rPr>
              <w:t>)</w:t>
            </w:r>
          </w:p>
        </w:tc>
        <w:tc>
          <w:tcPr>
            <w:tcW w:w="1152" w:type="dxa"/>
            <w:tcBorders>
              <w:left w:val="single" w:sz="12" w:space="0" w:color="auto"/>
              <w:right w:val="single" w:sz="12" w:space="0" w:color="auto"/>
            </w:tcBorders>
            <w:shd w:val="clear" w:color="auto" w:fill="CCC0D9" w:themeFill="accent4" w:themeFillTint="66"/>
          </w:tcPr>
          <w:p w:rsidR="00587AFE" w:rsidRPr="00211B50" w:rsidRDefault="00587AFE" w:rsidP="00200014">
            <w:pPr>
              <w:spacing w:after="0" w:line="240" w:lineRule="auto"/>
              <w:ind w:firstLine="0"/>
              <w:jc w:val="center"/>
              <w:rPr>
                <w:b/>
                <w:sz w:val="18"/>
                <w:szCs w:val="18"/>
              </w:rPr>
            </w:pPr>
            <w:r w:rsidRPr="00211B50">
              <w:rPr>
                <w:b/>
                <w:sz w:val="18"/>
                <w:szCs w:val="18"/>
              </w:rPr>
              <w:t>2</w:t>
            </w:r>
          </w:p>
        </w:tc>
        <w:tc>
          <w:tcPr>
            <w:tcW w:w="1152" w:type="dxa"/>
            <w:tcBorders>
              <w:left w:val="single" w:sz="12" w:space="0" w:color="auto"/>
              <w:right w:val="single" w:sz="12" w:space="0" w:color="auto"/>
            </w:tcBorders>
            <w:shd w:val="clear" w:color="auto" w:fill="CCC0D9" w:themeFill="accent4" w:themeFillTint="66"/>
          </w:tcPr>
          <w:p w:rsidR="00587AFE" w:rsidRPr="00B53367" w:rsidRDefault="00587AFE" w:rsidP="00200014">
            <w:pPr>
              <w:spacing w:after="0" w:line="240" w:lineRule="auto"/>
              <w:ind w:firstLine="0"/>
              <w:jc w:val="center"/>
              <w:rPr>
                <w:b/>
                <w:color w:val="7030A0"/>
                <w:sz w:val="18"/>
                <w:szCs w:val="18"/>
              </w:rPr>
            </w:pPr>
            <w:r w:rsidRPr="00B53367">
              <w:rPr>
                <w:b/>
                <w:color w:val="7030A0"/>
                <w:sz w:val="18"/>
                <w:szCs w:val="18"/>
              </w:rPr>
              <w:t>1,5</w:t>
            </w:r>
          </w:p>
        </w:tc>
      </w:tr>
      <w:tr w:rsidR="00587AFE" w:rsidRPr="00211B50" w:rsidTr="00E33548">
        <w:tc>
          <w:tcPr>
            <w:tcW w:w="2880" w:type="dxa"/>
            <w:tcBorders>
              <w:right w:val="single" w:sz="12" w:space="0" w:color="auto"/>
            </w:tcBorders>
            <w:shd w:val="clear" w:color="auto" w:fill="B8CCE4" w:themeFill="accent1" w:themeFillTint="66"/>
          </w:tcPr>
          <w:p w:rsidR="00587AFE" w:rsidRPr="00211B50" w:rsidRDefault="00587AFE" w:rsidP="00153029">
            <w:pPr>
              <w:spacing w:after="0" w:line="240" w:lineRule="auto"/>
              <w:ind w:firstLine="0"/>
              <w:rPr>
                <w:i/>
                <w:sz w:val="18"/>
                <w:szCs w:val="18"/>
              </w:rPr>
            </w:pPr>
            <w:r w:rsidRPr="00211B50">
              <w:rPr>
                <w:i/>
                <w:sz w:val="18"/>
                <w:szCs w:val="18"/>
              </w:rPr>
              <w:t>Amoralus šeimyniškumas (a</w:t>
            </w:r>
            <w:r w:rsidRPr="00211B50">
              <w:rPr>
                <w:i/>
                <w:sz w:val="18"/>
                <w:szCs w:val="18"/>
                <w:vertAlign w:val="subscript"/>
              </w:rPr>
              <w:t>3</w:t>
            </w:r>
            <w:r w:rsidRPr="00211B50">
              <w:rPr>
                <w:i/>
                <w:sz w:val="18"/>
                <w:szCs w:val="18"/>
              </w:rPr>
              <w:t>)</w:t>
            </w:r>
          </w:p>
        </w:tc>
        <w:tc>
          <w:tcPr>
            <w:tcW w:w="1152" w:type="dxa"/>
            <w:tcBorders>
              <w:top w:val="single" w:sz="4" w:space="0" w:color="auto"/>
              <w:bottom w:val="single" w:sz="4" w:space="0" w:color="auto"/>
              <w:right w:val="single" w:sz="12" w:space="0" w:color="auto"/>
            </w:tcBorders>
            <w:shd w:val="clear" w:color="auto" w:fill="B8CCE4" w:themeFill="accent1" w:themeFillTint="66"/>
          </w:tcPr>
          <w:p w:rsidR="00587AFE" w:rsidRPr="00211B50" w:rsidRDefault="00587AFE" w:rsidP="00200014">
            <w:pPr>
              <w:spacing w:after="0" w:line="240" w:lineRule="auto"/>
              <w:ind w:firstLine="0"/>
              <w:jc w:val="center"/>
              <w:rPr>
                <w:b/>
                <w:sz w:val="18"/>
                <w:szCs w:val="18"/>
              </w:rPr>
            </w:pPr>
            <w:r w:rsidRPr="00211B50">
              <w:rPr>
                <w:b/>
                <w:sz w:val="18"/>
                <w:szCs w:val="18"/>
              </w:rPr>
              <w:t>2</w:t>
            </w:r>
          </w:p>
        </w:tc>
        <w:tc>
          <w:tcPr>
            <w:tcW w:w="1152" w:type="dxa"/>
            <w:tcBorders>
              <w:top w:val="single" w:sz="4" w:space="0" w:color="auto"/>
              <w:bottom w:val="single" w:sz="4" w:space="0" w:color="auto"/>
              <w:right w:val="single" w:sz="12" w:space="0" w:color="auto"/>
            </w:tcBorders>
            <w:shd w:val="clear" w:color="auto" w:fill="B8CCE4" w:themeFill="accent1" w:themeFillTint="66"/>
          </w:tcPr>
          <w:p w:rsidR="00587AFE" w:rsidRPr="00211B50" w:rsidRDefault="00587AFE" w:rsidP="00200014">
            <w:pPr>
              <w:spacing w:after="0" w:line="240" w:lineRule="auto"/>
              <w:ind w:firstLine="0"/>
              <w:jc w:val="center"/>
              <w:rPr>
                <w:b/>
                <w:color w:val="0070C0"/>
                <w:sz w:val="18"/>
                <w:szCs w:val="18"/>
              </w:rPr>
            </w:pPr>
            <w:r w:rsidRPr="00211B50">
              <w:rPr>
                <w:b/>
                <w:color w:val="0070C0"/>
                <w:sz w:val="18"/>
                <w:szCs w:val="18"/>
              </w:rPr>
              <w:t>1,5</w:t>
            </w:r>
          </w:p>
        </w:tc>
        <w:tc>
          <w:tcPr>
            <w:tcW w:w="2880" w:type="dxa"/>
            <w:tcBorders>
              <w:left w:val="single" w:sz="12" w:space="0" w:color="auto"/>
              <w:right w:val="single" w:sz="12" w:space="0" w:color="auto"/>
            </w:tcBorders>
            <w:shd w:val="clear" w:color="auto" w:fill="CCC0D9" w:themeFill="accent4" w:themeFillTint="66"/>
          </w:tcPr>
          <w:p w:rsidR="00587AFE" w:rsidRPr="00211B50" w:rsidRDefault="00587AFE" w:rsidP="00DE6A32">
            <w:pPr>
              <w:spacing w:after="0" w:line="240" w:lineRule="auto"/>
              <w:ind w:firstLine="0"/>
              <w:rPr>
                <w:i/>
                <w:sz w:val="18"/>
                <w:szCs w:val="18"/>
              </w:rPr>
            </w:pPr>
            <w:r w:rsidRPr="00211B50">
              <w:rPr>
                <w:i/>
                <w:sz w:val="18"/>
                <w:szCs w:val="18"/>
              </w:rPr>
              <w:t>Kompetencijos stoka (b</w:t>
            </w:r>
            <w:r w:rsidRPr="00211B50">
              <w:rPr>
                <w:i/>
                <w:sz w:val="18"/>
                <w:szCs w:val="18"/>
                <w:vertAlign w:val="subscript"/>
              </w:rPr>
              <w:t>3</w:t>
            </w:r>
            <w:r w:rsidRPr="00211B50">
              <w:rPr>
                <w:i/>
                <w:sz w:val="18"/>
                <w:szCs w:val="18"/>
              </w:rPr>
              <w:t>)</w:t>
            </w:r>
          </w:p>
        </w:tc>
        <w:tc>
          <w:tcPr>
            <w:tcW w:w="1152" w:type="dxa"/>
            <w:tcBorders>
              <w:left w:val="single" w:sz="12" w:space="0" w:color="auto"/>
              <w:right w:val="single" w:sz="12" w:space="0" w:color="auto"/>
            </w:tcBorders>
            <w:shd w:val="clear" w:color="auto" w:fill="CCC0D9" w:themeFill="accent4" w:themeFillTint="66"/>
          </w:tcPr>
          <w:p w:rsidR="00587AFE" w:rsidRPr="00211B50" w:rsidRDefault="00587AFE" w:rsidP="00200014">
            <w:pPr>
              <w:spacing w:after="0" w:line="240" w:lineRule="auto"/>
              <w:ind w:firstLine="0"/>
              <w:jc w:val="center"/>
              <w:rPr>
                <w:b/>
                <w:sz w:val="18"/>
                <w:szCs w:val="18"/>
              </w:rPr>
            </w:pPr>
            <w:r w:rsidRPr="00211B50">
              <w:rPr>
                <w:b/>
                <w:sz w:val="18"/>
                <w:szCs w:val="18"/>
              </w:rPr>
              <w:t>2</w:t>
            </w:r>
          </w:p>
        </w:tc>
        <w:tc>
          <w:tcPr>
            <w:tcW w:w="1152" w:type="dxa"/>
            <w:tcBorders>
              <w:left w:val="single" w:sz="12" w:space="0" w:color="auto"/>
              <w:right w:val="single" w:sz="12" w:space="0" w:color="auto"/>
            </w:tcBorders>
            <w:shd w:val="clear" w:color="auto" w:fill="CCC0D9" w:themeFill="accent4" w:themeFillTint="66"/>
          </w:tcPr>
          <w:p w:rsidR="00587AFE" w:rsidRPr="00B53367" w:rsidRDefault="00587AFE" w:rsidP="00200014">
            <w:pPr>
              <w:spacing w:after="0" w:line="240" w:lineRule="auto"/>
              <w:ind w:firstLine="0"/>
              <w:jc w:val="center"/>
              <w:rPr>
                <w:b/>
                <w:color w:val="7030A0"/>
                <w:sz w:val="18"/>
                <w:szCs w:val="18"/>
              </w:rPr>
            </w:pPr>
            <w:r w:rsidRPr="00B53367">
              <w:rPr>
                <w:b/>
                <w:color w:val="7030A0"/>
                <w:sz w:val="18"/>
                <w:szCs w:val="18"/>
              </w:rPr>
              <w:t>1,5</w:t>
            </w:r>
          </w:p>
        </w:tc>
      </w:tr>
      <w:tr w:rsidR="00587AFE" w:rsidRPr="00211B50" w:rsidTr="00E33548">
        <w:tc>
          <w:tcPr>
            <w:tcW w:w="2880" w:type="dxa"/>
            <w:tcBorders>
              <w:right w:val="single" w:sz="12" w:space="0" w:color="auto"/>
            </w:tcBorders>
            <w:shd w:val="clear" w:color="auto" w:fill="B8CCE4" w:themeFill="accent1" w:themeFillTint="66"/>
          </w:tcPr>
          <w:p w:rsidR="00587AFE" w:rsidRPr="00211B50" w:rsidRDefault="00587AFE" w:rsidP="00153029">
            <w:pPr>
              <w:spacing w:after="0" w:line="240" w:lineRule="auto"/>
              <w:ind w:firstLine="0"/>
              <w:rPr>
                <w:i/>
                <w:sz w:val="18"/>
                <w:szCs w:val="18"/>
              </w:rPr>
            </w:pPr>
            <w:r w:rsidRPr="00211B50">
              <w:rPr>
                <w:i/>
                <w:sz w:val="18"/>
                <w:szCs w:val="18"/>
              </w:rPr>
              <w:t>Minimalūs poreikiai (a</w:t>
            </w:r>
            <w:r w:rsidRPr="00211B50">
              <w:rPr>
                <w:i/>
                <w:sz w:val="18"/>
                <w:szCs w:val="18"/>
                <w:vertAlign w:val="subscript"/>
              </w:rPr>
              <w:t>4</w:t>
            </w:r>
            <w:r w:rsidRPr="00211B50">
              <w:rPr>
                <w:i/>
                <w:sz w:val="18"/>
                <w:szCs w:val="18"/>
              </w:rPr>
              <w:t>)</w:t>
            </w:r>
          </w:p>
        </w:tc>
        <w:tc>
          <w:tcPr>
            <w:tcW w:w="1152" w:type="dxa"/>
            <w:tcBorders>
              <w:top w:val="single" w:sz="4" w:space="0" w:color="auto"/>
              <w:bottom w:val="single" w:sz="4" w:space="0" w:color="auto"/>
              <w:right w:val="single" w:sz="12" w:space="0" w:color="auto"/>
            </w:tcBorders>
            <w:shd w:val="clear" w:color="auto" w:fill="B8CCE4" w:themeFill="accent1" w:themeFillTint="66"/>
          </w:tcPr>
          <w:p w:rsidR="00587AFE" w:rsidRPr="00211B50" w:rsidRDefault="00587AFE" w:rsidP="00200014">
            <w:pPr>
              <w:spacing w:after="0" w:line="240" w:lineRule="auto"/>
              <w:ind w:firstLine="0"/>
              <w:jc w:val="center"/>
              <w:rPr>
                <w:b/>
                <w:sz w:val="18"/>
                <w:szCs w:val="18"/>
              </w:rPr>
            </w:pPr>
            <w:r w:rsidRPr="00211B50">
              <w:rPr>
                <w:b/>
                <w:sz w:val="18"/>
                <w:szCs w:val="18"/>
              </w:rPr>
              <w:t>2</w:t>
            </w:r>
          </w:p>
        </w:tc>
        <w:tc>
          <w:tcPr>
            <w:tcW w:w="1152" w:type="dxa"/>
            <w:tcBorders>
              <w:top w:val="single" w:sz="4" w:space="0" w:color="auto"/>
              <w:bottom w:val="single" w:sz="4" w:space="0" w:color="auto"/>
              <w:right w:val="single" w:sz="12" w:space="0" w:color="auto"/>
            </w:tcBorders>
            <w:shd w:val="clear" w:color="auto" w:fill="B8CCE4" w:themeFill="accent1" w:themeFillTint="66"/>
          </w:tcPr>
          <w:p w:rsidR="00587AFE" w:rsidRPr="00211B50" w:rsidRDefault="00587AFE" w:rsidP="00200014">
            <w:pPr>
              <w:spacing w:after="0" w:line="240" w:lineRule="auto"/>
              <w:ind w:firstLine="0"/>
              <w:jc w:val="center"/>
              <w:rPr>
                <w:b/>
                <w:color w:val="0070C0"/>
                <w:sz w:val="18"/>
                <w:szCs w:val="18"/>
              </w:rPr>
            </w:pPr>
            <w:r w:rsidRPr="00211B50">
              <w:rPr>
                <w:b/>
                <w:color w:val="0070C0"/>
                <w:sz w:val="18"/>
                <w:szCs w:val="18"/>
              </w:rPr>
              <w:t>1,5</w:t>
            </w:r>
          </w:p>
        </w:tc>
        <w:tc>
          <w:tcPr>
            <w:tcW w:w="2880" w:type="dxa"/>
            <w:tcBorders>
              <w:left w:val="single" w:sz="12" w:space="0" w:color="auto"/>
              <w:right w:val="single" w:sz="12" w:space="0" w:color="auto"/>
            </w:tcBorders>
            <w:shd w:val="clear" w:color="auto" w:fill="CCC0D9" w:themeFill="accent4" w:themeFillTint="66"/>
          </w:tcPr>
          <w:p w:rsidR="00587AFE" w:rsidRPr="00211B50" w:rsidRDefault="00587AFE" w:rsidP="00153029">
            <w:pPr>
              <w:spacing w:after="0" w:line="240" w:lineRule="auto"/>
              <w:ind w:firstLine="0"/>
              <w:rPr>
                <w:i/>
                <w:sz w:val="18"/>
                <w:szCs w:val="18"/>
              </w:rPr>
            </w:pPr>
            <w:r w:rsidRPr="00211B50">
              <w:rPr>
                <w:i/>
                <w:sz w:val="18"/>
                <w:szCs w:val="18"/>
              </w:rPr>
              <w:t>Minimali darbo patirtis (b</w:t>
            </w:r>
            <w:r w:rsidRPr="00211B50">
              <w:rPr>
                <w:i/>
                <w:sz w:val="18"/>
                <w:szCs w:val="18"/>
                <w:vertAlign w:val="subscript"/>
              </w:rPr>
              <w:t>4</w:t>
            </w:r>
            <w:r w:rsidRPr="00211B50">
              <w:rPr>
                <w:i/>
                <w:sz w:val="18"/>
                <w:szCs w:val="18"/>
              </w:rPr>
              <w:t>)</w:t>
            </w:r>
          </w:p>
        </w:tc>
        <w:tc>
          <w:tcPr>
            <w:tcW w:w="1152" w:type="dxa"/>
            <w:tcBorders>
              <w:left w:val="single" w:sz="12" w:space="0" w:color="auto"/>
              <w:right w:val="single" w:sz="12" w:space="0" w:color="auto"/>
            </w:tcBorders>
            <w:shd w:val="clear" w:color="auto" w:fill="CCC0D9" w:themeFill="accent4" w:themeFillTint="66"/>
          </w:tcPr>
          <w:p w:rsidR="00587AFE" w:rsidRPr="00211B50" w:rsidRDefault="00587AFE" w:rsidP="00200014">
            <w:pPr>
              <w:spacing w:after="0" w:line="240" w:lineRule="auto"/>
              <w:ind w:firstLine="0"/>
              <w:jc w:val="center"/>
              <w:rPr>
                <w:b/>
                <w:sz w:val="18"/>
                <w:szCs w:val="18"/>
              </w:rPr>
            </w:pPr>
            <w:r w:rsidRPr="00211B50">
              <w:rPr>
                <w:b/>
                <w:sz w:val="18"/>
                <w:szCs w:val="18"/>
              </w:rPr>
              <w:t>2</w:t>
            </w:r>
          </w:p>
        </w:tc>
        <w:tc>
          <w:tcPr>
            <w:tcW w:w="1152" w:type="dxa"/>
            <w:tcBorders>
              <w:left w:val="single" w:sz="12" w:space="0" w:color="auto"/>
              <w:right w:val="single" w:sz="12" w:space="0" w:color="auto"/>
            </w:tcBorders>
            <w:shd w:val="clear" w:color="auto" w:fill="CCC0D9" w:themeFill="accent4" w:themeFillTint="66"/>
          </w:tcPr>
          <w:p w:rsidR="00587AFE" w:rsidRPr="00B53367" w:rsidRDefault="00587AFE" w:rsidP="00200014">
            <w:pPr>
              <w:spacing w:after="0" w:line="240" w:lineRule="auto"/>
              <w:ind w:firstLine="0"/>
              <w:jc w:val="center"/>
              <w:rPr>
                <w:b/>
                <w:color w:val="7030A0"/>
                <w:sz w:val="18"/>
                <w:szCs w:val="18"/>
              </w:rPr>
            </w:pPr>
            <w:r w:rsidRPr="00B53367">
              <w:rPr>
                <w:b/>
                <w:color w:val="7030A0"/>
                <w:sz w:val="18"/>
                <w:szCs w:val="18"/>
              </w:rPr>
              <w:t>1,5</w:t>
            </w:r>
          </w:p>
        </w:tc>
      </w:tr>
      <w:tr w:rsidR="00587AFE" w:rsidRPr="00211B50" w:rsidTr="00E33548">
        <w:tc>
          <w:tcPr>
            <w:tcW w:w="2880" w:type="dxa"/>
            <w:tcBorders>
              <w:right w:val="single" w:sz="12" w:space="0" w:color="auto"/>
            </w:tcBorders>
            <w:shd w:val="clear" w:color="auto" w:fill="B8CCE4" w:themeFill="accent1" w:themeFillTint="66"/>
          </w:tcPr>
          <w:p w:rsidR="00587AFE" w:rsidRPr="00211B50" w:rsidRDefault="00587AFE" w:rsidP="00153029">
            <w:pPr>
              <w:spacing w:after="0" w:line="240" w:lineRule="auto"/>
              <w:ind w:firstLine="0"/>
              <w:rPr>
                <w:i/>
                <w:sz w:val="18"/>
                <w:szCs w:val="18"/>
              </w:rPr>
            </w:pPr>
            <w:r w:rsidRPr="00211B50">
              <w:rPr>
                <w:i/>
                <w:sz w:val="18"/>
                <w:szCs w:val="18"/>
              </w:rPr>
              <w:t>Orumo jausmas (a</w:t>
            </w:r>
            <w:r w:rsidRPr="00211B50">
              <w:rPr>
                <w:i/>
                <w:sz w:val="18"/>
                <w:szCs w:val="18"/>
                <w:vertAlign w:val="subscript"/>
              </w:rPr>
              <w:t>5</w:t>
            </w:r>
            <w:r w:rsidRPr="00211B50">
              <w:rPr>
                <w:i/>
                <w:sz w:val="18"/>
                <w:szCs w:val="18"/>
              </w:rPr>
              <w:t>)</w:t>
            </w:r>
          </w:p>
        </w:tc>
        <w:tc>
          <w:tcPr>
            <w:tcW w:w="1152" w:type="dxa"/>
            <w:tcBorders>
              <w:top w:val="single" w:sz="4" w:space="0" w:color="auto"/>
              <w:bottom w:val="single" w:sz="4" w:space="0" w:color="auto"/>
              <w:right w:val="single" w:sz="12" w:space="0" w:color="auto"/>
            </w:tcBorders>
            <w:shd w:val="clear" w:color="auto" w:fill="B8CCE4" w:themeFill="accent1" w:themeFillTint="66"/>
          </w:tcPr>
          <w:p w:rsidR="00587AFE" w:rsidRPr="00211B50" w:rsidRDefault="00587AFE" w:rsidP="00200014">
            <w:pPr>
              <w:spacing w:after="0" w:line="240" w:lineRule="auto"/>
              <w:ind w:firstLine="0"/>
              <w:jc w:val="center"/>
              <w:rPr>
                <w:b/>
                <w:sz w:val="18"/>
                <w:szCs w:val="18"/>
              </w:rPr>
            </w:pPr>
            <w:r w:rsidRPr="00211B50">
              <w:rPr>
                <w:b/>
                <w:sz w:val="18"/>
                <w:szCs w:val="18"/>
              </w:rPr>
              <w:t>2</w:t>
            </w:r>
          </w:p>
        </w:tc>
        <w:tc>
          <w:tcPr>
            <w:tcW w:w="1152" w:type="dxa"/>
            <w:tcBorders>
              <w:top w:val="single" w:sz="4" w:space="0" w:color="auto"/>
              <w:bottom w:val="single" w:sz="4" w:space="0" w:color="auto"/>
              <w:right w:val="single" w:sz="12" w:space="0" w:color="auto"/>
            </w:tcBorders>
            <w:shd w:val="clear" w:color="auto" w:fill="B8CCE4" w:themeFill="accent1" w:themeFillTint="66"/>
          </w:tcPr>
          <w:p w:rsidR="00587AFE" w:rsidRPr="00211B50" w:rsidRDefault="00587AFE" w:rsidP="00200014">
            <w:pPr>
              <w:spacing w:after="0" w:line="240" w:lineRule="auto"/>
              <w:ind w:firstLine="0"/>
              <w:jc w:val="center"/>
              <w:rPr>
                <w:b/>
                <w:color w:val="0070C0"/>
                <w:sz w:val="18"/>
                <w:szCs w:val="18"/>
              </w:rPr>
            </w:pPr>
            <w:r w:rsidRPr="00211B50">
              <w:rPr>
                <w:b/>
                <w:color w:val="0070C0"/>
                <w:sz w:val="18"/>
                <w:szCs w:val="18"/>
              </w:rPr>
              <w:t>1,5</w:t>
            </w:r>
          </w:p>
        </w:tc>
        <w:tc>
          <w:tcPr>
            <w:tcW w:w="2880" w:type="dxa"/>
            <w:tcBorders>
              <w:left w:val="single" w:sz="12" w:space="0" w:color="auto"/>
              <w:right w:val="single" w:sz="12" w:space="0" w:color="auto"/>
            </w:tcBorders>
            <w:shd w:val="clear" w:color="auto" w:fill="CCC0D9" w:themeFill="accent4" w:themeFillTint="66"/>
          </w:tcPr>
          <w:p w:rsidR="00587AFE" w:rsidRPr="00211B50" w:rsidRDefault="00587AFE" w:rsidP="002E5098">
            <w:pPr>
              <w:spacing w:after="0" w:line="240" w:lineRule="auto"/>
              <w:ind w:firstLine="0"/>
              <w:rPr>
                <w:i/>
                <w:sz w:val="18"/>
                <w:szCs w:val="18"/>
              </w:rPr>
            </w:pPr>
            <w:r w:rsidRPr="00211B50">
              <w:rPr>
                <w:i/>
                <w:sz w:val="18"/>
                <w:szCs w:val="18"/>
              </w:rPr>
              <w:t>Didelė šeimos struktūra (b</w:t>
            </w:r>
            <w:r w:rsidRPr="00211B50">
              <w:rPr>
                <w:i/>
                <w:sz w:val="18"/>
                <w:szCs w:val="18"/>
                <w:vertAlign w:val="subscript"/>
              </w:rPr>
              <w:t>5</w:t>
            </w:r>
            <w:r w:rsidRPr="00211B50">
              <w:rPr>
                <w:i/>
                <w:sz w:val="18"/>
                <w:szCs w:val="18"/>
              </w:rPr>
              <w:t>)</w:t>
            </w:r>
          </w:p>
        </w:tc>
        <w:tc>
          <w:tcPr>
            <w:tcW w:w="1152" w:type="dxa"/>
            <w:tcBorders>
              <w:left w:val="single" w:sz="12" w:space="0" w:color="auto"/>
              <w:right w:val="single" w:sz="12" w:space="0" w:color="auto"/>
            </w:tcBorders>
            <w:shd w:val="clear" w:color="auto" w:fill="CCC0D9" w:themeFill="accent4" w:themeFillTint="66"/>
          </w:tcPr>
          <w:p w:rsidR="00587AFE" w:rsidRPr="00211B50" w:rsidRDefault="00587AFE" w:rsidP="00200014">
            <w:pPr>
              <w:spacing w:after="0" w:line="240" w:lineRule="auto"/>
              <w:ind w:firstLine="0"/>
              <w:jc w:val="center"/>
              <w:rPr>
                <w:b/>
                <w:sz w:val="18"/>
                <w:szCs w:val="18"/>
              </w:rPr>
            </w:pPr>
            <w:r w:rsidRPr="00211B50">
              <w:rPr>
                <w:b/>
                <w:sz w:val="18"/>
                <w:szCs w:val="18"/>
              </w:rPr>
              <w:t>2</w:t>
            </w:r>
          </w:p>
        </w:tc>
        <w:tc>
          <w:tcPr>
            <w:tcW w:w="1152" w:type="dxa"/>
            <w:tcBorders>
              <w:left w:val="single" w:sz="12" w:space="0" w:color="auto"/>
              <w:right w:val="single" w:sz="12" w:space="0" w:color="auto"/>
            </w:tcBorders>
            <w:shd w:val="clear" w:color="auto" w:fill="CCC0D9" w:themeFill="accent4" w:themeFillTint="66"/>
          </w:tcPr>
          <w:p w:rsidR="00587AFE" w:rsidRPr="00B53367" w:rsidRDefault="00587AFE" w:rsidP="00200014">
            <w:pPr>
              <w:spacing w:after="0" w:line="240" w:lineRule="auto"/>
              <w:ind w:firstLine="0"/>
              <w:jc w:val="center"/>
              <w:rPr>
                <w:b/>
                <w:color w:val="7030A0"/>
                <w:sz w:val="18"/>
                <w:szCs w:val="18"/>
              </w:rPr>
            </w:pPr>
            <w:r w:rsidRPr="00B53367">
              <w:rPr>
                <w:b/>
                <w:color w:val="7030A0"/>
                <w:sz w:val="18"/>
                <w:szCs w:val="18"/>
              </w:rPr>
              <w:t>1,5</w:t>
            </w:r>
          </w:p>
        </w:tc>
      </w:tr>
      <w:tr w:rsidR="00587AFE" w:rsidRPr="00211B50" w:rsidTr="00E33548">
        <w:tc>
          <w:tcPr>
            <w:tcW w:w="2880" w:type="dxa"/>
            <w:tcBorders>
              <w:right w:val="single" w:sz="12" w:space="0" w:color="auto"/>
            </w:tcBorders>
            <w:shd w:val="clear" w:color="auto" w:fill="B8CCE4" w:themeFill="accent1" w:themeFillTint="66"/>
          </w:tcPr>
          <w:p w:rsidR="00587AFE" w:rsidRPr="00211B50" w:rsidRDefault="00587AFE" w:rsidP="00153029">
            <w:pPr>
              <w:spacing w:after="0" w:line="240" w:lineRule="auto"/>
              <w:ind w:firstLine="0"/>
              <w:rPr>
                <w:i/>
                <w:sz w:val="18"/>
                <w:szCs w:val="18"/>
              </w:rPr>
            </w:pPr>
            <w:r w:rsidRPr="00211B50">
              <w:rPr>
                <w:i/>
                <w:sz w:val="18"/>
                <w:szCs w:val="18"/>
              </w:rPr>
              <w:t>Motyvacijos stoka (a</w:t>
            </w:r>
            <w:r w:rsidRPr="00211B50">
              <w:rPr>
                <w:i/>
                <w:sz w:val="18"/>
                <w:szCs w:val="18"/>
                <w:vertAlign w:val="subscript"/>
              </w:rPr>
              <w:t>6</w:t>
            </w:r>
            <w:r w:rsidRPr="00211B50">
              <w:rPr>
                <w:i/>
                <w:sz w:val="18"/>
                <w:szCs w:val="18"/>
              </w:rPr>
              <w:t>)</w:t>
            </w:r>
          </w:p>
        </w:tc>
        <w:tc>
          <w:tcPr>
            <w:tcW w:w="1152" w:type="dxa"/>
            <w:tcBorders>
              <w:top w:val="single" w:sz="4" w:space="0" w:color="auto"/>
              <w:bottom w:val="single" w:sz="4" w:space="0" w:color="auto"/>
              <w:right w:val="single" w:sz="12" w:space="0" w:color="auto"/>
            </w:tcBorders>
            <w:shd w:val="clear" w:color="auto" w:fill="B8CCE4" w:themeFill="accent1" w:themeFillTint="66"/>
          </w:tcPr>
          <w:p w:rsidR="00587AFE" w:rsidRPr="00211B50" w:rsidRDefault="00587AFE" w:rsidP="00200014">
            <w:pPr>
              <w:spacing w:after="0" w:line="240" w:lineRule="auto"/>
              <w:ind w:firstLine="0"/>
              <w:jc w:val="center"/>
              <w:rPr>
                <w:b/>
                <w:sz w:val="18"/>
                <w:szCs w:val="18"/>
              </w:rPr>
            </w:pPr>
            <w:r w:rsidRPr="00211B50">
              <w:rPr>
                <w:b/>
                <w:sz w:val="18"/>
                <w:szCs w:val="18"/>
              </w:rPr>
              <w:t>1</w:t>
            </w:r>
          </w:p>
        </w:tc>
        <w:tc>
          <w:tcPr>
            <w:tcW w:w="1152" w:type="dxa"/>
            <w:tcBorders>
              <w:top w:val="single" w:sz="4" w:space="0" w:color="auto"/>
              <w:bottom w:val="single" w:sz="4" w:space="0" w:color="auto"/>
              <w:right w:val="single" w:sz="12" w:space="0" w:color="auto"/>
            </w:tcBorders>
            <w:shd w:val="clear" w:color="auto" w:fill="B8CCE4" w:themeFill="accent1" w:themeFillTint="66"/>
          </w:tcPr>
          <w:p w:rsidR="00587AFE" w:rsidRPr="00211B50" w:rsidRDefault="00587AFE" w:rsidP="00200014">
            <w:pPr>
              <w:spacing w:after="0" w:line="240" w:lineRule="auto"/>
              <w:ind w:firstLine="0"/>
              <w:jc w:val="center"/>
              <w:rPr>
                <w:b/>
                <w:color w:val="0070C0"/>
                <w:sz w:val="18"/>
                <w:szCs w:val="18"/>
              </w:rPr>
            </w:pPr>
            <w:r w:rsidRPr="00211B50">
              <w:rPr>
                <w:b/>
                <w:color w:val="0070C0"/>
                <w:sz w:val="18"/>
                <w:szCs w:val="18"/>
              </w:rPr>
              <w:t>2,0</w:t>
            </w:r>
          </w:p>
        </w:tc>
        <w:tc>
          <w:tcPr>
            <w:tcW w:w="2880" w:type="dxa"/>
            <w:tcBorders>
              <w:left w:val="single" w:sz="12" w:space="0" w:color="auto"/>
              <w:bottom w:val="single" w:sz="2" w:space="0" w:color="auto"/>
              <w:right w:val="single" w:sz="12" w:space="0" w:color="auto"/>
            </w:tcBorders>
            <w:shd w:val="clear" w:color="auto" w:fill="CCC0D9" w:themeFill="accent4" w:themeFillTint="66"/>
          </w:tcPr>
          <w:p w:rsidR="00587AFE" w:rsidRPr="00211B50" w:rsidRDefault="00587AFE" w:rsidP="00153029">
            <w:pPr>
              <w:spacing w:after="0" w:line="240" w:lineRule="auto"/>
              <w:ind w:firstLine="0"/>
              <w:rPr>
                <w:i/>
                <w:sz w:val="18"/>
                <w:szCs w:val="18"/>
              </w:rPr>
            </w:pPr>
            <w:r w:rsidRPr="00211B50">
              <w:rPr>
                <w:i/>
                <w:sz w:val="18"/>
                <w:szCs w:val="18"/>
              </w:rPr>
              <w:t>Jaunatviškas maksimalizmas (b</w:t>
            </w:r>
            <w:r w:rsidRPr="00211B50">
              <w:rPr>
                <w:i/>
                <w:sz w:val="18"/>
                <w:szCs w:val="18"/>
                <w:vertAlign w:val="subscript"/>
              </w:rPr>
              <w:t>6</w:t>
            </w:r>
            <w:r w:rsidRPr="00211B50">
              <w:rPr>
                <w:i/>
                <w:sz w:val="18"/>
                <w:szCs w:val="18"/>
              </w:rPr>
              <w:t>)</w:t>
            </w:r>
          </w:p>
        </w:tc>
        <w:tc>
          <w:tcPr>
            <w:tcW w:w="1152" w:type="dxa"/>
            <w:tcBorders>
              <w:left w:val="single" w:sz="12" w:space="0" w:color="auto"/>
              <w:bottom w:val="single" w:sz="2" w:space="0" w:color="auto"/>
              <w:right w:val="single" w:sz="12" w:space="0" w:color="auto"/>
            </w:tcBorders>
            <w:shd w:val="clear" w:color="auto" w:fill="CCC0D9" w:themeFill="accent4" w:themeFillTint="66"/>
          </w:tcPr>
          <w:p w:rsidR="00587AFE" w:rsidRPr="00211B50" w:rsidRDefault="00587AFE" w:rsidP="00200014">
            <w:pPr>
              <w:spacing w:after="0" w:line="240" w:lineRule="auto"/>
              <w:ind w:firstLine="0"/>
              <w:jc w:val="center"/>
              <w:rPr>
                <w:b/>
                <w:sz w:val="18"/>
                <w:szCs w:val="18"/>
              </w:rPr>
            </w:pPr>
            <w:r w:rsidRPr="00211B50">
              <w:rPr>
                <w:b/>
                <w:sz w:val="18"/>
                <w:szCs w:val="18"/>
              </w:rPr>
              <w:t>2</w:t>
            </w:r>
          </w:p>
        </w:tc>
        <w:tc>
          <w:tcPr>
            <w:tcW w:w="1152" w:type="dxa"/>
            <w:tcBorders>
              <w:left w:val="single" w:sz="12" w:space="0" w:color="auto"/>
              <w:bottom w:val="single" w:sz="2" w:space="0" w:color="auto"/>
              <w:right w:val="single" w:sz="12" w:space="0" w:color="auto"/>
            </w:tcBorders>
            <w:shd w:val="clear" w:color="auto" w:fill="CCC0D9" w:themeFill="accent4" w:themeFillTint="66"/>
          </w:tcPr>
          <w:p w:rsidR="00587AFE" w:rsidRPr="00B53367" w:rsidRDefault="00587AFE" w:rsidP="00200014">
            <w:pPr>
              <w:spacing w:after="0" w:line="240" w:lineRule="auto"/>
              <w:ind w:firstLine="0"/>
              <w:jc w:val="center"/>
              <w:rPr>
                <w:b/>
                <w:color w:val="7030A0"/>
                <w:sz w:val="18"/>
                <w:szCs w:val="18"/>
              </w:rPr>
            </w:pPr>
            <w:r w:rsidRPr="00B53367">
              <w:rPr>
                <w:b/>
                <w:color w:val="7030A0"/>
                <w:sz w:val="18"/>
                <w:szCs w:val="18"/>
              </w:rPr>
              <w:t>1,5</w:t>
            </w:r>
          </w:p>
        </w:tc>
      </w:tr>
      <w:tr w:rsidR="00587AFE" w:rsidRPr="00211B50" w:rsidTr="00E33548">
        <w:tc>
          <w:tcPr>
            <w:tcW w:w="2880" w:type="dxa"/>
            <w:tcBorders>
              <w:bottom w:val="single" w:sz="2" w:space="0" w:color="auto"/>
              <w:right w:val="single" w:sz="12" w:space="0" w:color="auto"/>
            </w:tcBorders>
            <w:shd w:val="clear" w:color="auto" w:fill="B8CCE4" w:themeFill="accent1" w:themeFillTint="66"/>
          </w:tcPr>
          <w:p w:rsidR="00587AFE" w:rsidRPr="00211B50" w:rsidRDefault="00587AFE" w:rsidP="00153029">
            <w:pPr>
              <w:spacing w:after="0" w:line="240" w:lineRule="auto"/>
              <w:ind w:firstLine="0"/>
              <w:rPr>
                <w:i/>
                <w:sz w:val="18"/>
                <w:szCs w:val="18"/>
              </w:rPr>
            </w:pPr>
            <w:r w:rsidRPr="00211B50">
              <w:rPr>
                <w:i/>
                <w:sz w:val="18"/>
                <w:szCs w:val="18"/>
              </w:rPr>
              <w:t>Perdėta savikliova (a</w:t>
            </w:r>
            <w:r w:rsidRPr="00211B50">
              <w:rPr>
                <w:i/>
                <w:sz w:val="18"/>
                <w:szCs w:val="18"/>
                <w:vertAlign w:val="subscript"/>
              </w:rPr>
              <w:t>7</w:t>
            </w:r>
            <w:r w:rsidRPr="00211B50">
              <w:rPr>
                <w:i/>
                <w:sz w:val="18"/>
                <w:szCs w:val="18"/>
              </w:rPr>
              <w:t>)</w:t>
            </w:r>
          </w:p>
        </w:tc>
        <w:tc>
          <w:tcPr>
            <w:tcW w:w="1152" w:type="dxa"/>
            <w:tcBorders>
              <w:top w:val="single" w:sz="4" w:space="0" w:color="auto"/>
              <w:bottom w:val="single" w:sz="4" w:space="0" w:color="auto"/>
              <w:right w:val="single" w:sz="12" w:space="0" w:color="auto"/>
            </w:tcBorders>
            <w:shd w:val="clear" w:color="auto" w:fill="B8CCE4" w:themeFill="accent1" w:themeFillTint="66"/>
          </w:tcPr>
          <w:p w:rsidR="00587AFE" w:rsidRPr="00211B50" w:rsidRDefault="00587AFE" w:rsidP="00200014">
            <w:pPr>
              <w:spacing w:after="0" w:line="240" w:lineRule="auto"/>
              <w:ind w:firstLine="0"/>
              <w:jc w:val="center"/>
              <w:rPr>
                <w:b/>
                <w:sz w:val="18"/>
                <w:szCs w:val="18"/>
              </w:rPr>
            </w:pPr>
            <w:r w:rsidRPr="00211B50">
              <w:rPr>
                <w:b/>
                <w:sz w:val="18"/>
                <w:szCs w:val="18"/>
              </w:rPr>
              <w:t>2</w:t>
            </w:r>
          </w:p>
        </w:tc>
        <w:tc>
          <w:tcPr>
            <w:tcW w:w="1152" w:type="dxa"/>
            <w:tcBorders>
              <w:top w:val="single" w:sz="4" w:space="0" w:color="auto"/>
              <w:bottom w:val="single" w:sz="4" w:space="0" w:color="auto"/>
              <w:right w:val="single" w:sz="12" w:space="0" w:color="auto"/>
            </w:tcBorders>
            <w:shd w:val="clear" w:color="auto" w:fill="B8CCE4" w:themeFill="accent1" w:themeFillTint="66"/>
          </w:tcPr>
          <w:p w:rsidR="00587AFE" w:rsidRPr="00211B50" w:rsidRDefault="00587AFE" w:rsidP="00200014">
            <w:pPr>
              <w:spacing w:after="0" w:line="240" w:lineRule="auto"/>
              <w:ind w:firstLine="0"/>
              <w:jc w:val="center"/>
              <w:rPr>
                <w:b/>
                <w:color w:val="0070C0"/>
                <w:sz w:val="18"/>
                <w:szCs w:val="18"/>
              </w:rPr>
            </w:pPr>
            <w:r w:rsidRPr="00211B50">
              <w:rPr>
                <w:b/>
                <w:color w:val="0070C0"/>
                <w:sz w:val="18"/>
                <w:szCs w:val="18"/>
              </w:rPr>
              <w:t>1,5</w:t>
            </w:r>
          </w:p>
        </w:tc>
        <w:tc>
          <w:tcPr>
            <w:tcW w:w="2880" w:type="dxa"/>
            <w:tcBorders>
              <w:left w:val="single" w:sz="12" w:space="0" w:color="auto"/>
              <w:bottom w:val="single" w:sz="2" w:space="0" w:color="auto"/>
              <w:right w:val="single" w:sz="12" w:space="0" w:color="auto"/>
            </w:tcBorders>
            <w:shd w:val="clear" w:color="auto" w:fill="CCC0D9" w:themeFill="accent4" w:themeFillTint="66"/>
          </w:tcPr>
          <w:p w:rsidR="00587AFE" w:rsidRPr="00211B50" w:rsidRDefault="00587AFE" w:rsidP="009C4100">
            <w:pPr>
              <w:spacing w:after="0" w:line="240" w:lineRule="auto"/>
              <w:ind w:firstLine="0"/>
              <w:rPr>
                <w:i/>
                <w:sz w:val="18"/>
                <w:szCs w:val="18"/>
              </w:rPr>
            </w:pPr>
            <w:r w:rsidRPr="00211B50">
              <w:rPr>
                <w:i/>
                <w:sz w:val="18"/>
                <w:szCs w:val="18"/>
              </w:rPr>
              <w:t>Gyvenimo būdas (b</w:t>
            </w:r>
            <w:r w:rsidRPr="00211B50">
              <w:rPr>
                <w:i/>
                <w:sz w:val="18"/>
                <w:szCs w:val="18"/>
                <w:vertAlign w:val="subscript"/>
              </w:rPr>
              <w:t>7</w:t>
            </w:r>
            <w:r w:rsidRPr="00211B50">
              <w:rPr>
                <w:i/>
                <w:sz w:val="18"/>
                <w:szCs w:val="18"/>
              </w:rPr>
              <w:t>)</w:t>
            </w:r>
          </w:p>
        </w:tc>
        <w:tc>
          <w:tcPr>
            <w:tcW w:w="1152" w:type="dxa"/>
            <w:tcBorders>
              <w:left w:val="single" w:sz="12" w:space="0" w:color="auto"/>
              <w:bottom w:val="single" w:sz="2" w:space="0" w:color="auto"/>
              <w:right w:val="single" w:sz="12" w:space="0" w:color="auto"/>
            </w:tcBorders>
            <w:shd w:val="clear" w:color="auto" w:fill="CCC0D9" w:themeFill="accent4" w:themeFillTint="66"/>
          </w:tcPr>
          <w:p w:rsidR="00587AFE" w:rsidRPr="00211B50" w:rsidRDefault="00587AFE" w:rsidP="00200014">
            <w:pPr>
              <w:spacing w:after="0" w:line="240" w:lineRule="auto"/>
              <w:ind w:firstLine="0"/>
              <w:jc w:val="center"/>
              <w:rPr>
                <w:b/>
                <w:sz w:val="18"/>
                <w:szCs w:val="18"/>
              </w:rPr>
            </w:pPr>
            <w:r w:rsidRPr="00211B50">
              <w:rPr>
                <w:b/>
                <w:sz w:val="18"/>
                <w:szCs w:val="18"/>
              </w:rPr>
              <w:t>3</w:t>
            </w:r>
          </w:p>
        </w:tc>
        <w:tc>
          <w:tcPr>
            <w:tcW w:w="1152" w:type="dxa"/>
            <w:tcBorders>
              <w:left w:val="single" w:sz="12" w:space="0" w:color="auto"/>
              <w:bottom w:val="single" w:sz="2" w:space="0" w:color="auto"/>
              <w:right w:val="single" w:sz="12" w:space="0" w:color="auto"/>
            </w:tcBorders>
            <w:shd w:val="clear" w:color="auto" w:fill="CCC0D9" w:themeFill="accent4" w:themeFillTint="66"/>
          </w:tcPr>
          <w:p w:rsidR="00587AFE" w:rsidRPr="00B53367" w:rsidRDefault="00587AFE" w:rsidP="00200014">
            <w:pPr>
              <w:spacing w:after="0" w:line="240" w:lineRule="auto"/>
              <w:ind w:firstLine="0"/>
              <w:jc w:val="center"/>
              <w:rPr>
                <w:b/>
                <w:color w:val="7030A0"/>
                <w:sz w:val="18"/>
                <w:szCs w:val="18"/>
              </w:rPr>
            </w:pPr>
            <w:r w:rsidRPr="00B53367">
              <w:rPr>
                <w:b/>
                <w:color w:val="7030A0"/>
                <w:sz w:val="18"/>
                <w:szCs w:val="18"/>
              </w:rPr>
              <w:t>1,0</w:t>
            </w:r>
          </w:p>
        </w:tc>
      </w:tr>
      <w:tr w:rsidR="006C25D6" w:rsidRPr="00211B50" w:rsidTr="00E33548">
        <w:tc>
          <w:tcPr>
            <w:tcW w:w="2880" w:type="dxa"/>
            <w:tcBorders>
              <w:right w:val="single" w:sz="12" w:space="0" w:color="auto"/>
            </w:tcBorders>
            <w:shd w:val="clear" w:color="auto" w:fill="B8CCE4" w:themeFill="accent1" w:themeFillTint="66"/>
          </w:tcPr>
          <w:p w:rsidR="006C25D6" w:rsidRPr="00211B50" w:rsidRDefault="006C25D6" w:rsidP="00153029">
            <w:pPr>
              <w:spacing w:after="0" w:line="240" w:lineRule="auto"/>
              <w:ind w:firstLine="0"/>
              <w:rPr>
                <w:i/>
                <w:sz w:val="18"/>
                <w:szCs w:val="18"/>
              </w:rPr>
            </w:pPr>
            <w:r w:rsidRPr="00211B50">
              <w:rPr>
                <w:i/>
                <w:sz w:val="18"/>
                <w:szCs w:val="18"/>
              </w:rPr>
              <w:t>Grupių įtaka (a</w:t>
            </w:r>
            <w:r w:rsidRPr="00211B50">
              <w:rPr>
                <w:i/>
                <w:sz w:val="18"/>
                <w:szCs w:val="18"/>
                <w:vertAlign w:val="subscript"/>
              </w:rPr>
              <w:t>8</w:t>
            </w:r>
            <w:r w:rsidRPr="00211B50">
              <w:rPr>
                <w:i/>
                <w:sz w:val="18"/>
                <w:szCs w:val="18"/>
              </w:rPr>
              <w:t>)</w:t>
            </w:r>
          </w:p>
        </w:tc>
        <w:tc>
          <w:tcPr>
            <w:tcW w:w="1152" w:type="dxa"/>
            <w:tcBorders>
              <w:top w:val="single" w:sz="4" w:space="0" w:color="auto"/>
              <w:bottom w:val="single" w:sz="4" w:space="0" w:color="auto"/>
              <w:right w:val="single" w:sz="12" w:space="0" w:color="auto"/>
            </w:tcBorders>
            <w:shd w:val="clear" w:color="auto" w:fill="B8CCE4" w:themeFill="accent1" w:themeFillTint="66"/>
          </w:tcPr>
          <w:p w:rsidR="006C25D6" w:rsidRPr="00211B50" w:rsidRDefault="006C25D6" w:rsidP="00200014">
            <w:pPr>
              <w:spacing w:after="0" w:line="240" w:lineRule="auto"/>
              <w:ind w:firstLine="0"/>
              <w:jc w:val="center"/>
              <w:rPr>
                <w:b/>
                <w:sz w:val="18"/>
                <w:szCs w:val="18"/>
              </w:rPr>
            </w:pPr>
            <w:r w:rsidRPr="00211B50">
              <w:rPr>
                <w:b/>
                <w:sz w:val="18"/>
                <w:szCs w:val="18"/>
              </w:rPr>
              <w:t>3</w:t>
            </w:r>
          </w:p>
        </w:tc>
        <w:tc>
          <w:tcPr>
            <w:tcW w:w="1152" w:type="dxa"/>
            <w:tcBorders>
              <w:top w:val="single" w:sz="4" w:space="0" w:color="auto"/>
              <w:bottom w:val="single" w:sz="4" w:space="0" w:color="auto"/>
              <w:right w:val="single" w:sz="12" w:space="0" w:color="auto"/>
            </w:tcBorders>
            <w:shd w:val="clear" w:color="auto" w:fill="B8CCE4" w:themeFill="accent1" w:themeFillTint="66"/>
          </w:tcPr>
          <w:p w:rsidR="006C25D6" w:rsidRPr="00211B50" w:rsidRDefault="006C25D6" w:rsidP="00200014">
            <w:pPr>
              <w:spacing w:after="0" w:line="240" w:lineRule="auto"/>
              <w:ind w:firstLine="0"/>
              <w:jc w:val="center"/>
              <w:rPr>
                <w:b/>
                <w:color w:val="0070C0"/>
                <w:sz w:val="18"/>
                <w:szCs w:val="18"/>
              </w:rPr>
            </w:pPr>
            <w:r w:rsidRPr="00211B50">
              <w:rPr>
                <w:b/>
                <w:color w:val="0070C0"/>
                <w:sz w:val="18"/>
                <w:szCs w:val="18"/>
              </w:rPr>
              <w:t>1,0</w:t>
            </w:r>
          </w:p>
        </w:tc>
        <w:tc>
          <w:tcPr>
            <w:tcW w:w="2880" w:type="dxa"/>
            <w:tcBorders>
              <w:left w:val="single" w:sz="12" w:space="0" w:color="auto"/>
              <w:bottom w:val="single" w:sz="2" w:space="0" w:color="auto"/>
              <w:right w:val="single" w:sz="12" w:space="0" w:color="auto"/>
            </w:tcBorders>
            <w:shd w:val="clear" w:color="auto" w:fill="CCC0D9" w:themeFill="accent4" w:themeFillTint="66"/>
          </w:tcPr>
          <w:p w:rsidR="006C25D6" w:rsidRPr="00211B50" w:rsidRDefault="006C25D6" w:rsidP="00153029">
            <w:pPr>
              <w:spacing w:after="0" w:line="240" w:lineRule="auto"/>
              <w:ind w:firstLine="0"/>
              <w:rPr>
                <w:i/>
                <w:sz w:val="18"/>
                <w:szCs w:val="18"/>
              </w:rPr>
            </w:pPr>
          </w:p>
        </w:tc>
        <w:tc>
          <w:tcPr>
            <w:tcW w:w="1152" w:type="dxa"/>
            <w:tcBorders>
              <w:left w:val="single" w:sz="12" w:space="0" w:color="auto"/>
              <w:bottom w:val="single" w:sz="2" w:space="0" w:color="auto"/>
              <w:right w:val="single" w:sz="12" w:space="0" w:color="auto"/>
            </w:tcBorders>
            <w:shd w:val="clear" w:color="auto" w:fill="CCC0D9" w:themeFill="accent4" w:themeFillTint="66"/>
          </w:tcPr>
          <w:p w:rsidR="006C25D6" w:rsidRPr="00211B50" w:rsidRDefault="006C25D6" w:rsidP="00153029">
            <w:pPr>
              <w:spacing w:after="0" w:line="240" w:lineRule="auto"/>
              <w:ind w:firstLine="0"/>
              <w:rPr>
                <w:i/>
                <w:sz w:val="18"/>
                <w:szCs w:val="18"/>
              </w:rPr>
            </w:pPr>
          </w:p>
        </w:tc>
        <w:tc>
          <w:tcPr>
            <w:tcW w:w="1152" w:type="dxa"/>
            <w:tcBorders>
              <w:left w:val="single" w:sz="12" w:space="0" w:color="auto"/>
              <w:bottom w:val="single" w:sz="2" w:space="0" w:color="auto"/>
              <w:right w:val="single" w:sz="12" w:space="0" w:color="auto"/>
            </w:tcBorders>
            <w:shd w:val="clear" w:color="auto" w:fill="CCC0D9" w:themeFill="accent4" w:themeFillTint="66"/>
          </w:tcPr>
          <w:p w:rsidR="006C25D6" w:rsidRPr="00211B50" w:rsidRDefault="006C25D6" w:rsidP="00153029">
            <w:pPr>
              <w:spacing w:after="0" w:line="240" w:lineRule="auto"/>
              <w:ind w:firstLine="0"/>
              <w:rPr>
                <w:i/>
                <w:sz w:val="18"/>
                <w:szCs w:val="18"/>
              </w:rPr>
            </w:pPr>
          </w:p>
        </w:tc>
      </w:tr>
      <w:tr w:rsidR="006C25D6" w:rsidRPr="00211B50" w:rsidTr="00E33548">
        <w:tc>
          <w:tcPr>
            <w:tcW w:w="2880" w:type="dxa"/>
            <w:tcBorders>
              <w:bottom w:val="single" w:sz="12" w:space="0" w:color="auto"/>
              <w:right w:val="single" w:sz="12" w:space="0" w:color="auto"/>
            </w:tcBorders>
            <w:shd w:val="clear" w:color="auto" w:fill="B8CCE4" w:themeFill="accent1" w:themeFillTint="66"/>
          </w:tcPr>
          <w:p w:rsidR="006C25D6" w:rsidRPr="00211B50" w:rsidRDefault="006C25D6" w:rsidP="00153029">
            <w:pPr>
              <w:spacing w:after="0" w:line="240" w:lineRule="auto"/>
              <w:ind w:firstLine="0"/>
              <w:rPr>
                <w:i/>
                <w:sz w:val="18"/>
                <w:szCs w:val="18"/>
              </w:rPr>
            </w:pPr>
            <w:r w:rsidRPr="00211B50">
              <w:rPr>
                <w:i/>
                <w:sz w:val="18"/>
                <w:szCs w:val="18"/>
              </w:rPr>
              <w:t>Materialios vertybės (a</w:t>
            </w:r>
            <w:r w:rsidRPr="00211B50">
              <w:rPr>
                <w:i/>
                <w:sz w:val="18"/>
                <w:szCs w:val="18"/>
                <w:vertAlign w:val="subscript"/>
              </w:rPr>
              <w:t>9</w:t>
            </w:r>
            <w:r w:rsidRPr="00211B50">
              <w:rPr>
                <w:i/>
                <w:sz w:val="18"/>
                <w:szCs w:val="18"/>
              </w:rPr>
              <w:t>)</w:t>
            </w:r>
          </w:p>
        </w:tc>
        <w:tc>
          <w:tcPr>
            <w:tcW w:w="1152" w:type="dxa"/>
            <w:tcBorders>
              <w:top w:val="single" w:sz="4" w:space="0" w:color="auto"/>
              <w:bottom w:val="single" w:sz="12" w:space="0" w:color="auto"/>
              <w:right w:val="single" w:sz="12" w:space="0" w:color="auto"/>
            </w:tcBorders>
            <w:shd w:val="clear" w:color="auto" w:fill="B8CCE4" w:themeFill="accent1" w:themeFillTint="66"/>
          </w:tcPr>
          <w:p w:rsidR="006C25D6" w:rsidRPr="00211B50" w:rsidRDefault="006C25D6" w:rsidP="00200014">
            <w:pPr>
              <w:spacing w:after="0" w:line="240" w:lineRule="auto"/>
              <w:ind w:firstLine="0"/>
              <w:jc w:val="center"/>
              <w:rPr>
                <w:b/>
                <w:sz w:val="18"/>
                <w:szCs w:val="18"/>
              </w:rPr>
            </w:pPr>
            <w:r w:rsidRPr="00211B50">
              <w:rPr>
                <w:b/>
                <w:sz w:val="18"/>
                <w:szCs w:val="18"/>
              </w:rPr>
              <w:t>2</w:t>
            </w:r>
          </w:p>
        </w:tc>
        <w:tc>
          <w:tcPr>
            <w:tcW w:w="1152" w:type="dxa"/>
            <w:tcBorders>
              <w:top w:val="single" w:sz="4" w:space="0" w:color="auto"/>
              <w:bottom w:val="single" w:sz="12" w:space="0" w:color="auto"/>
              <w:right w:val="single" w:sz="12" w:space="0" w:color="auto"/>
            </w:tcBorders>
            <w:shd w:val="clear" w:color="auto" w:fill="B8CCE4" w:themeFill="accent1" w:themeFillTint="66"/>
          </w:tcPr>
          <w:p w:rsidR="006C25D6" w:rsidRPr="00211B50" w:rsidRDefault="006C25D6" w:rsidP="00200014">
            <w:pPr>
              <w:spacing w:after="0" w:line="240" w:lineRule="auto"/>
              <w:ind w:firstLine="0"/>
              <w:jc w:val="center"/>
              <w:rPr>
                <w:b/>
                <w:color w:val="0070C0"/>
                <w:sz w:val="18"/>
                <w:szCs w:val="18"/>
              </w:rPr>
            </w:pPr>
            <w:r w:rsidRPr="00211B50">
              <w:rPr>
                <w:b/>
                <w:color w:val="0070C0"/>
                <w:sz w:val="18"/>
                <w:szCs w:val="18"/>
              </w:rPr>
              <w:t>1,5</w:t>
            </w:r>
          </w:p>
        </w:tc>
        <w:tc>
          <w:tcPr>
            <w:tcW w:w="2880"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6C25D6" w:rsidRPr="00211B50" w:rsidRDefault="006C25D6" w:rsidP="00153029">
            <w:pPr>
              <w:spacing w:after="0" w:line="240" w:lineRule="auto"/>
              <w:ind w:firstLine="0"/>
              <w:rPr>
                <w:i/>
                <w:sz w:val="18"/>
                <w:szCs w:val="18"/>
              </w:rPr>
            </w:pPr>
          </w:p>
        </w:tc>
        <w:tc>
          <w:tcPr>
            <w:tcW w:w="1152"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6C25D6" w:rsidRPr="00211B50" w:rsidRDefault="006C25D6" w:rsidP="00153029">
            <w:pPr>
              <w:spacing w:after="0" w:line="240" w:lineRule="auto"/>
              <w:ind w:firstLine="0"/>
              <w:rPr>
                <w:i/>
                <w:sz w:val="18"/>
                <w:szCs w:val="18"/>
              </w:rPr>
            </w:pPr>
          </w:p>
        </w:tc>
        <w:tc>
          <w:tcPr>
            <w:tcW w:w="1152"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6C25D6" w:rsidRPr="00211B50" w:rsidRDefault="006C25D6" w:rsidP="00153029">
            <w:pPr>
              <w:spacing w:after="0" w:line="240" w:lineRule="auto"/>
              <w:ind w:firstLine="0"/>
              <w:rPr>
                <w:i/>
                <w:sz w:val="18"/>
                <w:szCs w:val="18"/>
              </w:rPr>
            </w:pPr>
          </w:p>
        </w:tc>
      </w:tr>
      <w:tr w:rsidR="006C406E" w:rsidRPr="00C3642B" w:rsidTr="00200014">
        <w:tc>
          <w:tcPr>
            <w:tcW w:w="10368" w:type="dxa"/>
            <w:gridSpan w:val="6"/>
            <w:tcBorders>
              <w:bottom w:val="single" w:sz="12" w:space="0" w:color="auto"/>
              <w:right w:val="single" w:sz="12" w:space="0" w:color="auto"/>
            </w:tcBorders>
            <w:shd w:val="clear" w:color="auto" w:fill="auto"/>
          </w:tcPr>
          <w:p w:rsidR="006C406E" w:rsidRPr="00C3642B" w:rsidRDefault="006C406E" w:rsidP="00153029">
            <w:pPr>
              <w:spacing w:after="0" w:line="240" w:lineRule="auto"/>
              <w:ind w:firstLine="0"/>
              <w:rPr>
                <w:b/>
                <w:i/>
                <w:sz w:val="6"/>
                <w:szCs w:val="6"/>
              </w:rPr>
            </w:pPr>
          </w:p>
        </w:tc>
      </w:tr>
      <w:tr w:rsidR="00231662" w:rsidRPr="00211B50" w:rsidTr="00200014">
        <w:tc>
          <w:tcPr>
            <w:tcW w:w="10368" w:type="dxa"/>
            <w:gridSpan w:val="6"/>
            <w:tcBorders>
              <w:top w:val="single" w:sz="12" w:space="0" w:color="auto"/>
              <w:bottom w:val="single" w:sz="12" w:space="0" w:color="auto"/>
              <w:right w:val="single" w:sz="12" w:space="0" w:color="auto"/>
            </w:tcBorders>
            <w:shd w:val="clear" w:color="auto" w:fill="D9D9D9" w:themeFill="background1" w:themeFillShade="D9"/>
            <w:vAlign w:val="center"/>
          </w:tcPr>
          <w:p w:rsidR="00231662" w:rsidRPr="00211B50" w:rsidRDefault="00231662" w:rsidP="00200014">
            <w:pPr>
              <w:spacing w:after="0" w:line="240" w:lineRule="auto"/>
              <w:ind w:firstLine="0"/>
              <w:jc w:val="center"/>
              <w:rPr>
                <w:b/>
                <w:i/>
                <w:sz w:val="18"/>
                <w:szCs w:val="18"/>
              </w:rPr>
            </w:pPr>
            <w:r>
              <w:rPr>
                <w:b/>
                <w:i/>
                <w:sz w:val="18"/>
                <w:szCs w:val="18"/>
              </w:rPr>
              <w:t>IŠORINIAI VEIKSNIAI</w:t>
            </w:r>
          </w:p>
        </w:tc>
      </w:tr>
      <w:tr w:rsidR="00231662" w:rsidRPr="00211B50" w:rsidTr="00E33548">
        <w:tc>
          <w:tcPr>
            <w:tcW w:w="2880" w:type="dxa"/>
            <w:tcBorders>
              <w:top w:val="single" w:sz="12" w:space="0" w:color="auto"/>
              <w:bottom w:val="single" w:sz="12" w:space="0" w:color="auto"/>
              <w:right w:val="single" w:sz="12" w:space="0" w:color="auto"/>
            </w:tcBorders>
            <w:shd w:val="clear" w:color="auto" w:fill="D9D9D9" w:themeFill="background1" w:themeFillShade="D9"/>
            <w:vAlign w:val="center"/>
          </w:tcPr>
          <w:p w:rsidR="00231662" w:rsidRPr="00211B50" w:rsidRDefault="00231662" w:rsidP="00200014">
            <w:pPr>
              <w:spacing w:after="0" w:line="240" w:lineRule="auto"/>
              <w:ind w:firstLine="0"/>
              <w:jc w:val="center"/>
              <w:rPr>
                <w:b/>
                <w:i/>
                <w:sz w:val="18"/>
                <w:szCs w:val="18"/>
              </w:rPr>
            </w:pPr>
            <w:r w:rsidRPr="00211B50">
              <w:rPr>
                <w:b/>
                <w:i/>
                <w:sz w:val="18"/>
                <w:szCs w:val="18"/>
              </w:rPr>
              <w:t>- C -</w:t>
            </w:r>
          </w:p>
          <w:p w:rsidR="00231662" w:rsidRPr="00211B50" w:rsidRDefault="00231662" w:rsidP="00200014">
            <w:pPr>
              <w:spacing w:after="0" w:line="240" w:lineRule="auto"/>
              <w:ind w:firstLine="0"/>
              <w:jc w:val="center"/>
              <w:rPr>
                <w:b/>
                <w:i/>
                <w:sz w:val="18"/>
                <w:szCs w:val="18"/>
              </w:rPr>
            </w:pPr>
            <w:r w:rsidRPr="00211B50">
              <w:rPr>
                <w:b/>
                <w:i/>
                <w:sz w:val="18"/>
                <w:szCs w:val="18"/>
              </w:rPr>
              <w:t>(ekonominiai)</w:t>
            </w:r>
          </w:p>
        </w:tc>
        <w:tc>
          <w:tcPr>
            <w:tcW w:w="1152" w:type="dxa"/>
            <w:tcBorders>
              <w:top w:val="single" w:sz="12" w:space="0" w:color="auto"/>
              <w:bottom w:val="single" w:sz="12" w:space="0" w:color="auto"/>
              <w:right w:val="single" w:sz="12" w:space="0" w:color="auto"/>
            </w:tcBorders>
            <w:shd w:val="clear" w:color="auto" w:fill="D9D9D9" w:themeFill="background1" w:themeFillShade="D9"/>
            <w:vAlign w:val="center"/>
          </w:tcPr>
          <w:p w:rsidR="00231662" w:rsidRPr="00211B50" w:rsidRDefault="00231662" w:rsidP="00200014">
            <w:pPr>
              <w:spacing w:after="0" w:line="240" w:lineRule="auto"/>
              <w:ind w:firstLine="0"/>
              <w:jc w:val="center"/>
              <w:rPr>
                <w:b/>
                <w:i/>
                <w:sz w:val="18"/>
                <w:szCs w:val="18"/>
              </w:rPr>
            </w:pPr>
            <w:proofErr w:type="spellStart"/>
            <w:r w:rsidRPr="00211B50">
              <w:rPr>
                <w:b/>
                <w:i/>
                <w:sz w:val="18"/>
                <w:szCs w:val="18"/>
              </w:rPr>
              <w:t>Mo</w:t>
            </w:r>
            <w:proofErr w:type="spellEnd"/>
          </w:p>
        </w:tc>
        <w:tc>
          <w:tcPr>
            <w:tcW w:w="1152" w:type="dxa"/>
            <w:tcBorders>
              <w:top w:val="single" w:sz="12" w:space="0" w:color="auto"/>
              <w:bottom w:val="single" w:sz="12" w:space="0" w:color="auto"/>
              <w:right w:val="single" w:sz="12" w:space="0" w:color="auto"/>
            </w:tcBorders>
            <w:shd w:val="clear" w:color="auto" w:fill="D9D9D9" w:themeFill="background1" w:themeFillShade="D9"/>
            <w:vAlign w:val="center"/>
          </w:tcPr>
          <w:p w:rsidR="00231662" w:rsidRPr="00211B50" w:rsidRDefault="00231662" w:rsidP="00200014">
            <w:pPr>
              <w:spacing w:after="0" w:line="240" w:lineRule="auto"/>
              <w:ind w:firstLine="0"/>
              <w:jc w:val="center"/>
              <w:rPr>
                <w:b/>
                <w:i/>
                <w:sz w:val="18"/>
                <w:szCs w:val="18"/>
              </w:rPr>
            </w:pPr>
            <w:r w:rsidRPr="00211B50">
              <w:rPr>
                <w:b/>
                <w:i/>
                <w:sz w:val="18"/>
                <w:szCs w:val="18"/>
              </w:rPr>
              <w:t>K</w:t>
            </w:r>
          </w:p>
        </w:tc>
        <w:tc>
          <w:tcPr>
            <w:tcW w:w="288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231662" w:rsidRPr="00211B50" w:rsidRDefault="00231662" w:rsidP="00200014">
            <w:pPr>
              <w:spacing w:after="0" w:line="240" w:lineRule="auto"/>
              <w:ind w:firstLine="0"/>
              <w:jc w:val="center"/>
              <w:rPr>
                <w:b/>
                <w:i/>
                <w:sz w:val="18"/>
                <w:szCs w:val="18"/>
              </w:rPr>
            </w:pPr>
            <w:r w:rsidRPr="00211B50">
              <w:rPr>
                <w:b/>
                <w:i/>
                <w:sz w:val="18"/>
                <w:szCs w:val="18"/>
              </w:rPr>
              <w:t>- D -</w:t>
            </w:r>
          </w:p>
          <w:p w:rsidR="00231662" w:rsidRPr="00211B50" w:rsidRDefault="00231662" w:rsidP="00200014">
            <w:pPr>
              <w:spacing w:after="0" w:line="240" w:lineRule="auto"/>
              <w:ind w:firstLine="0"/>
              <w:jc w:val="center"/>
              <w:rPr>
                <w:b/>
                <w:i/>
                <w:sz w:val="18"/>
                <w:szCs w:val="18"/>
              </w:rPr>
            </w:pPr>
            <w:r w:rsidRPr="00211B50">
              <w:rPr>
                <w:b/>
                <w:i/>
                <w:sz w:val="18"/>
                <w:szCs w:val="18"/>
              </w:rPr>
              <w:t>(teisiniai-politiniai)</w:t>
            </w:r>
          </w:p>
        </w:tc>
        <w:tc>
          <w:tcPr>
            <w:tcW w:w="115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231662" w:rsidRPr="00211B50" w:rsidRDefault="00231662" w:rsidP="00200014">
            <w:pPr>
              <w:spacing w:after="0" w:line="240" w:lineRule="auto"/>
              <w:ind w:firstLine="0"/>
              <w:jc w:val="center"/>
              <w:rPr>
                <w:b/>
                <w:i/>
                <w:sz w:val="18"/>
                <w:szCs w:val="18"/>
              </w:rPr>
            </w:pPr>
            <w:proofErr w:type="spellStart"/>
            <w:r w:rsidRPr="00211B50">
              <w:rPr>
                <w:b/>
                <w:i/>
                <w:sz w:val="18"/>
                <w:szCs w:val="18"/>
              </w:rPr>
              <w:t>Mo</w:t>
            </w:r>
            <w:proofErr w:type="spellEnd"/>
          </w:p>
        </w:tc>
        <w:tc>
          <w:tcPr>
            <w:tcW w:w="115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231662" w:rsidRPr="00211B50" w:rsidRDefault="00231662" w:rsidP="00200014">
            <w:pPr>
              <w:spacing w:after="0" w:line="240" w:lineRule="auto"/>
              <w:ind w:firstLine="0"/>
              <w:jc w:val="center"/>
              <w:rPr>
                <w:b/>
                <w:i/>
                <w:sz w:val="18"/>
                <w:szCs w:val="18"/>
              </w:rPr>
            </w:pPr>
            <w:r w:rsidRPr="00211B50">
              <w:rPr>
                <w:b/>
                <w:i/>
                <w:sz w:val="18"/>
                <w:szCs w:val="18"/>
              </w:rPr>
              <w:t>K</w:t>
            </w:r>
          </w:p>
        </w:tc>
      </w:tr>
      <w:tr w:rsidR="005837C3" w:rsidRPr="00211B50" w:rsidTr="00E33548">
        <w:tc>
          <w:tcPr>
            <w:tcW w:w="2880" w:type="dxa"/>
            <w:tcBorders>
              <w:top w:val="single" w:sz="12" w:space="0" w:color="auto"/>
              <w:bottom w:val="single" w:sz="4" w:space="0" w:color="auto"/>
              <w:right w:val="single" w:sz="12" w:space="0" w:color="auto"/>
            </w:tcBorders>
            <w:shd w:val="clear" w:color="auto" w:fill="E5B8B7" w:themeFill="accent2" w:themeFillTint="66"/>
          </w:tcPr>
          <w:p w:rsidR="005837C3" w:rsidRPr="00211B50" w:rsidRDefault="005837C3" w:rsidP="00200014">
            <w:pPr>
              <w:spacing w:after="0" w:line="240" w:lineRule="auto"/>
              <w:ind w:firstLine="0"/>
              <w:rPr>
                <w:i/>
                <w:sz w:val="18"/>
                <w:szCs w:val="18"/>
              </w:rPr>
            </w:pPr>
            <w:r w:rsidRPr="00211B50">
              <w:rPr>
                <w:i/>
                <w:sz w:val="18"/>
                <w:szCs w:val="18"/>
              </w:rPr>
              <w:t>Neigiami užimtumo pokyčiai (c</w:t>
            </w:r>
            <w:r w:rsidRPr="00211B50">
              <w:rPr>
                <w:i/>
                <w:sz w:val="18"/>
                <w:szCs w:val="18"/>
                <w:vertAlign w:val="subscript"/>
              </w:rPr>
              <w:t>1</w:t>
            </w:r>
            <w:r w:rsidRPr="00211B50">
              <w:rPr>
                <w:i/>
                <w:sz w:val="18"/>
                <w:szCs w:val="18"/>
              </w:rPr>
              <w:t>)</w:t>
            </w:r>
          </w:p>
        </w:tc>
        <w:tc>
          <w:tcPr>
            <w:tcW w:w="1152" w:type="dxa"/>
            <w:tcBorders>
              <w:top w:val="single" w:sz="12" w:space="0" w:color="auto"/>
              <w:bottom w:val="single" w:sz="4" w:space="0" w:color="auto"/>
              <w:right w:val="single" w:sz="12" w:space="0" w:color="auto"/>
            </w:tcBorders>
            <w:shd w:val="clear" w:color="auto" w:fill="E5B8B7" w:themeFill="accent2" w:themeFillTint="66"/>
          </w:tcPr>
          <w:p w:rsidR="005837C3" w:rsidRPr="00211B50" w:rsidRDefault="005837C3" w:rsidP="00200014">
            <w:pPr>
              <w:spacing w:after="0" w:line="240" w:lineRule="auto"/>
              <w:ind w:firstLine="0"/>
              <w:jc w:val="center"/>
              <w:rPr>
                <w:b/>
                <w:sz w:val="18"/>
                <w:szCs w:val="18"/>
              </w:rPr>
            </w:pPr>
            <w:r w:rsidRPr="00211B50">
              <w:rPr>
                <w:b/>
                <w:sz w:val="18"/>
                <w:szCs w:val="18"/>
              </w:rPr>
              <w:t>1</w:t>
            </w:r>
          </w:p>
        </w:tc>
        <w:tc>
          <w:tcPr>
            <w:tcW w:w="1152" w:type="dxa"/>
            <w:tcBorders>
              <w:top w:val="single" w:sz="12" w:space="0" w:color="auto"/>
              <w:bottom w:val="single" w:sz="4" w:space="0" w:color="auto"/>
              <w:right w:val="single" w:sz="12" w:space="0" w:color="auto"/>
            </w:tcBorders>
            <w:shd w:val="clear" w:color="auto" w:fill="E5B8B7" w:themeFill="accent2" w:themeFillTint="66"/>
          </w:tcPr>
          <w:p w:rsidR="005837C3" w:rsidRPr="00211B50" w:rsidRDefault="005837C3" w:rsidP="00200014">
            <w:pPr>
              <w:spacing w:after="0" w:line="240" w:lineRule="auto"/>
              <w:ind w:firstLine="0"/>
              <w:jc w:val="center"/>
              <w:rPr>
                <w:b/>
                <w:color w:val="943634" w:themeColor="accent2" w:themeShade="BF"/>
                <w:sz w:val="18"/>
                <w:szCs w:val="18"/>
              </w:rPr>
            </w:pPr>
            <w:r w:rsidRPr="00211B50">
              <w:rPr>
                <w:b/>
                <w:color w:val="943634" w:themeColor="accent2" w:themeShade="BF"/>
                <w:sz w:val="18"/>
                <w:szCs w:val="18"/>
              </w:rPr>
              <w:t>2,0</w:t>
            </w:r>
          </w:p>
        </w:tc>
        <w:tc>
          <w:tcPr>
            <w:tcW w:w="2880" w:type="dxa"/>
            <w:tcBorders>
              <w:top w:val="single" w:sz="12" w:space="0" w:color="auto"/>
              <w:left w:val="single" w:sz="12" w:space="0" w:color="auto"/>
              <w:right w:val="single" w:sz="12" w:space="0" w:color="auto"/>
            </w:tcBorders>
            <w:shd w:val="clear" w:color="auto" w:fill="FBD4B4" w:themeFill="accent6" w:themeFillTint="66"/>
          </w:tcPr>
          <w:p w:rsidR="005837C3" w:rsidRPr="00211B50" w:rsidRDefault="005837C3" w:rsidP="00200014">
            <w:pPr>
              <w:spacing w:after="0" w:line="240" w:lineRule="auto"/>
              <w:ind w:firstLine="0"/>
              <w:rPr>
                <w:i/>
                <w:sz w:val="18"/>
                <w:szCs w:val="18"/>
              </w:rPr>
            </w:pPr>
            <w:r w:rsidRPr="00211B50">
              <w:rPr>
                <w:i/>
                <w:sz w:val="18"/>
                <w:szCs w:val="18"/>
              </w:rPr>
              <w:t>Socialinės apsaugos sistema (d</w:t>
            </w:r>
            <w:r w:rsidRPr="00211B50">
              <w:rPr>
                <w:i/>
                <w:sz w:val="18"/>
                <w:szCs w:val="18"/>
                <w:vertAlign w:val="subscript"/>
              </w:rPr>
              <w:t>1</w:t>
            </w:r>
            <w:r w:rsidRPr="00211B50">
              <w:rPr>
                <w:i/>
                <w:sz w:val="18"/>
                <w:szCs w:val="18"/>
              </w:rPr>
              <w:t>)</w:t>
            </w:r>
          </w:p>
        </w:tc>
        <w:tc>
          <w:tcPr>
            <w:tcW w:w="1152" w:type="dxa"/>
            <w:tcBorders>
              <w:top w:val="single" w:sz="12" w:space="0" w:color="auto"/>
              <w:left w:val="single" w:sz="12" w:space="0" w:color="auto"/>
              <w:right w:val="single" w:sz="12" w:space="0" w:color="auto"/>
            </w:tcBorders>
            <w:shd w:val="clear" w:color="auto" w:fill="FBD4B4" w:themeFill="accent6" w:themeFillTint="66"/>
          </w:tcPr>
          <w:p w:rsidR="005837C3" w:rsidRPr="00211B50" w:rsidRDefault="005837C3" w:rsidP="00200014">
            <w:pPr>
              <w:spacing w:after="0" w:line="240" w:lineRule="auto"/>
              <w:ind w:firstLine="0"/>
              <w:jc w:val="center"/>
              <w:rPr>
                <w:b/>
                <w:sz w:val="18"/>
                <w:szCs w:val="18"/>
              </w:rPr>
            </w:pPr>
            <w:r w:rsidRPr="00211B50">
              <w:rPr>
                <w:b/>
                <w:sz w:val="18"/>
                <w:szCs w:val="18"/>
              </w:rPr>
              <w:t>1</w:t>
            </w:r>
          </w:p>
        </w:tc>
        <w:tc>
          <w:tcPr>
            <w:tcW w:w="1152" w:type="dxa"/>
            <w:tcBorders>
              <w:top w:val="single" w:sz="12" w:space="0" w:color="auto"/>
              <w:left w:val="single" w:sz="12" w:space="0" w:color="auto"/>
              <w:bottom w:val="single" w:sz="4" w:space="0" w:color="auto"/>
              <w:right w:val="single" w:sz="12" w:space="0" w:color="auto"/>
            </w:tcBorders>
            <w:shd w:val="clear" w:color="auto" w:fill="FBD4B4" w:themeFill="accent6" w:themeFillTint="66"/>
          </w:tcPr>
          <w:p w:rsidR="005837C3" w:rsidRPr="00211B50" w:rsidRDefault="005837C3" w:rsidP="00200014">
            <w:pPr>
              <w:spacing w:after="0" w:line="240" w:lineRule="auto"/>
              <w:ind w:firstLine="0"/>
              <w:jc w:val="center"/>
              <w:rPr>
                <w:b/>
                <w:color w:val="E36C0A" w:themeColor="accent6" w:themeShade="BF"/>
                <w:sz w:val="18"/>
                <w:szCs w:val="18"/>
              </w:rPr>
            </w:pPr>
            <w:r w:rsidRPr="00211B50">
              <w:rPr>
                <w:b/>
                <w:color w:val="E36C0A" w:themeColor="accent6" w:themeShade="BF"/>
                <w:sz w:val="18"/>
                <w:szCs w:val="18"/>
              </w:rPr>
              <w:t>2,0</w:t>
            </w:r>
          </w:p>
        </w:tc>
      </w:tr>
      <w:tr w:rsidR="005837C3" w:rsidRPr="00211B50" w:rsidTr="00E33548">
        <w:tc>
          <w:tcPr>
            <w:tcW w:w="2880" w:type="dxa"/>
            <w:tcBorders>
              <w:top w:val="single" w:sz="4" w:space="0" w:color="auto"/>
              <w:bottom w:val="single" w:sz="4" w:space="0" w:color="auto"/>
              <w:right w:val="single" w:sz="12" w:space="0" w:color="auto"/>
            </w:tcBorders>
            <w:shd w:val="clear" w:color="auto" w:fill="E5B8B7" w:themeFill="accent2" w:themeFillTint="66"/>
          </w:tcPr>
          <w:p w:rsidR="005837C3" w:rsidRPr="00211B50" w:rsidRDefault="005837C3" w:rsidP="00200014">
            <w:pPr>
              <w:spacing w:after="0" w:line="240" w:lineRule="auto"/>
              <w:ind w:firstLine="0"/>
              <w:rPr>
                <w:i/>
                <w:sz w:val="18"/>
                <w:szCs w:val="18"/>
              </w:rPr>
            </w:pPr>
            <w:r w:rsidRPr="00211B50">
              <w:rPr>
                <w:i/>
                <w:sz w:val="18"/>
                <w:szCs w:val="18"/>
              </w:rPr>
              <w:t>Šešėlinė ekonomika (c</w:t>
            </w:r>
            <w:r w:rsidRPr="00211B50">
              <w:rPr>
                <w:i/>
                <w:sz w:val="18"/>
                <w:szCs w:val="18"/>
                <w:vertAlign w:val="subscript"/>
              </w:rPr>
              <w:t>2</w:t>
            </w:r>
            <w:r w:rsidRPr="00211B50">
              <w:rPr>
                <w:i/>
                <w:sz w:val="18"/>
                <w:szCs w:val="18"/>
              </w:rPr>
              <w:t>)</w:t>
            </w:r>
          </w:p>
        </w:tc>
        <w:tc>
          <w:tcPr>
            <w:tcW w:w="1152" w:type="dxa"/>
            <w:tcBorders>
              <w:top w:val="single" w:sz="4" w:space="0" w:color="auto"/>
              <w:bottom w:val="single" w:sz="4" w:space="0" w:color="auto"/>
              <w:right w:val="single" w:sz="12" w:space="0" w:color="auto"/>
            </w:tcBorders>
            <w:shd w:val="clear" w:color="auto" w:fill="E5B8B7" w:themeFill="accent2" w:themeFillTint="66"/>
          </w:tcPr>
          <w:p w:rsidR="005837C3" w:rsidRPr="00211B50" w:rsidRDefault="005837C3" w:rsidP="00200014">
            <w:pPr>
              <w:spacing w:after="0" w:line="240" w:lineRule="auto"/>
              <w:ind w:firstLine="0"/>
              <w:jc w:val="center"/>
              <w:rPr>
                <w:b/>
                <w:sz w:val="18"/>
                <w:szCs w:val="18"/>
              </w:rPr>
            </w:pPr>
            <w:r w:rsidRPr="00211B50">
              <w:rPr>
                <w:b/>
                <w:sz w:val="18"/>
                <w:szCs w:val="18"/>
              </w:rPr>
              <w:t>2</w:t>
            </w:r>
          </w:p>
        </w:tc>
        <w:tc>
          <w:tcPr>
            <w:tcW w:w="1152" w:type="dxa"/>
            <w:tcBorders>
              <w:top w:val="single" w:sz="4" w:space="0" w:color="auto"/>
              <w:bottom w:val="single" w:sz="4" w:space="0" w:color="auto"/>
              <w:right w:val="single" w:sz="12" w:space="0" w:color="auto"/>
            </w:tcBorders>
            <w:shd w:val="clear" w:color="auto" w:fill="E5B8B7" w:themeFill="accent2" w:themeFillTint="66"/>
          </w:tcPr>
          <w:p w:rsidR="005837C3" w:rsidRPr="00211B50" w:rsidRDefault="005837C3" w:rsidP="00200014">
            <w:pPr>
              <w:spacing w:after="0" w:line="240" w:lineRule="auto"/>
              <w:ind w:firstLine="0"/>
              <w:jc w:val="center"/>
              <w:rPr>
                <w:b/>
                <w:color w:val="943634" w:themeColor="accent2" w:themeShade="BF"/>
                <w:sz w:val="18"/>
                <w:szCs w:val="18"/>
              </w:rPr>
            </w:pPr>
            <w:r w:rsidRPr="00211B50">
              <w:rPr>
                <w:b/>
                <w:color w:val="943634" w:themeColor="accent2" w:themeShade="BF"/>
                <w:sz w:val="18"/>
                <w:szCs w:val="18"/>
              </w:rPr>
              <w:t>1,5</w:t>
            </w:r>
          </w:p>
        </w:tc>
        <w:tc>
          <w:tcPr>
            <w:tcW w:w="2880" w:type="dxa"/>
            <w:tcBorders>
              <w:left w:val="single" w:sz="12" w:space="0" w:color="auto"/>
              <w:right w:val="single" w:sz="12" w:space="0" w:color="auto"/>
            </w:tcBorders>
            <w:shd w:val="clear" w:color="auto" w:fill="FBD4B4" w:themeFill="accent6" w:themeFillTint="66"/>
          </w:tcPr>
          <w:p w:rsidR="005837C3" w:rsidRPr="00211B50" w:rsidRDefault="005837C3" w:rsidP="00200014">
            <w:pPr>
              <w:spacing w:after="0" w:line="240" w:lineRule="auto"/>
              <w:ind w:firstLine="0"/>
              <w:rPr>
                <w:i/>
                <w:sz w:val="18"/>
                <w:szCs w:val="18"/>
              </w:rPr>
            </w:pPr>
            <w:r w:rsidRPr="00211B50">
              <w:rPr>
                <w:i/>
                <w:sz w:val="18"/>
                <w:szCs w:val="18"/>
              </w:rPr>
              <w:t>Įstatymų spragos (d</w:t>
            </w:r>
            <w:r w:rsidRPr="00211B50">
              <w:rPr>
                <w:i/>
                <w:sz w:val="18"/>
                <w:szCs w:val="18"/>
                <w:vertAlign w:val="subscript"/>
              </w:rPr>
              <w:t>2</w:t>
            </w:r>
            <w:r w:rsidRPr="00211B50">
              <w:rPr>
                <w:i/>
                <w:sz w:val="18"/>
                <w:szCs w:val="18"/>
              </w:rPr>
              <w:t>)</w:t>
            </w:r>
          </w:p>
        </w:tc>
        <w:tc>
          <w:tcPr>
            <w:tcW w:w="1152" w:type="dxa"/>
            <w:tcBorders>
              <w:left w:val="single" w:sz="12" w:space="0" w:color="auto"/>
              <w:right w:val="single" w:sz="12" w:space="0" w:color="auto"/>
            </w:tcBorders>
            <w:shd w:val="clear" w:color="auto" w:fill="FBD4B4" w:themeFill="accent6" w:themeFillTint="66"/>
          </w:tcPr>
          <w:p w:rsidR="005837C3" w:rsidRPr="00211B50" w:rsidRDefault="005837C3" w:rsidP="00200014">
            <w:pPr>
              <w:spacing w:after="0" w:line="240" w:lineRule="auto"/>
              <w:ind w:firstLine="0"/>
              <w:jc w:val="center"/>
              <w:rPr>
                <w:b/>
                <w:sz w:val="18"/>
                <w:szCs w:val="18"/>
              </w:rPr>
            </w:pPr>
            <w:r w:rsidRPr="00211B50">
              <w:rPr>
                <w:b/>
                <w:sz w:val="18"/>
                <w:szCs w:val="18"/>
              </w:rPr>
              <w:t>1</w:t>
            </w:r>
          </w:p>
        </w:tc>
        <w:tc>
          <w:tcPr>
            <w:tcW w:w="1152" w:type="dxa"/>
            <w:tcBorders>
              <w:top w:val="single" w:sz="4" w:space="0" w:color="auto"/>
              <w:left w:val="single" w:sz="12" w:space="0" w:color="auto"/>
              <w:bottom w:val="single" w:sz="4" w:space="0" w:color="auto"/>
              <w:right w:val="single" w:sz="12" w:space="0" w:color="auto"/>
            </w:tcBorders>
            <w:shd w:val="clear" w:color="auto" w:fill="FBD4B4" w:themeFill="accent6" w:themeFillTint="66"/>
          </w:tcPr>
          <w:p w:rsidR="005837C3" w:rsidRPr="00211B50" w:rsidRDefault="005837C3" w:rsidP="00200014">
            <w:pPr>
              <w:spacing w:after="0" w:line="240" w:lineRule="auto"/>
              <w:ind w:firstLine="0"/>
              <w:jc w:val="center"/>
              <w:rPr>
                <w:b/>
                <w:color w:val="E36C0A" w:themeColor="accent6" w:themeShade="BF"/>
                <w:sz w:val="18"/>
                <w:szCs w:val="18"/>
              </w:rPr>
            </w:pPr>
            <w:r w:rsidRPr="00211B50">
              <w:rPr>
                <w:b/>
                <w:color w:val="E36C0A" w:themeColor="accent6" w:themeShade="BF"/>
                <w:sz w:val="18"/>
                <w:szCs w:val="18"/>
              </w:rPr>
              <w:t>2,0</w:t>
            </w:r>
          </w:p>
        </w:tc>
      </w:tr>
      <w:tr w:rsidR="005837C3" w:rsidRPr="00211B50" w:rsidTr="00E33548">
        <w:tc>
          <w:tcPr>
            <w:tcW w:w="2880" w:type="dxa"/>
            <w:tcBorders>
              <w:top w:val="single" w:sz="4" w:space="0" w:color="auto"/>
              <w:bottom w:val="single" w:sz="4" w:space="0" w:color="auto"/>
              <w:right w:val="single" w:sz="12" w:space="0" w:color="auto"/>
            </w:tcBorders>
            <w:shd w:val="clear" w:color="auto" w:fill="E5B8B7" w:themeFill="accent2" w:themeFillTint="66"/>
          </w:tcPr>
          <w:p w:rsidR="005837C3" w:rsidRPr="00211B50" w:rsidRDefault="005837C3" w:rsidP="00200014">
            <w:pPr>
              <w:spacing w:after="0" w:line="240" w:lineRule="auto"/>
              <w:ind w:firstLine="0"/>
              <w:rPr>
                <w:i/>
                <w:sz w:val="18"/>
                <w:szCs w:val="18"/>
              </w:rPr>
            </w:pPr>
            <w:r w:rsidRPr="00211B50">
              <w:rPr>
                <w:i/>
                <w:sz w:val="18"/>
                <w:szCs w:val="18"/>
              </w:rPr>
              <w:t>Mokesčių našta (c</w:t>
            </w:r>
            <w:r w:rsidRPr="00211B50">
              <w:rPr>
                <w:i/>
                <w:sz w:val="18"/>
                <w:szCs w:val="18"/>
                <w:vertAlign w:val="subscript"/>
              </w:rPr>
              <w:t>3</w:t>
            </w:r>
            <w:r w:rsidRPr="00211B50">
              <w:rPr>
                <w:i/>
                <w:sz w:val="18"/>
                <w:szCs w:val="18"/>
              </w:rPr>
              <w:t>)</w:t>
            </w:r>
          </w:p>
        </w:tc>
        <w:tc>
          <w:tcPr>
            <w:tcW w:w="1152" w:type="dxa"/>
            <w:tcBorders>
              <w:top w:val="single" w:sz="4" w:space="0" w:color="auto"/>
              <w:bottom w:val="single" w:sz="4" w:space="0" w:color="auto"/>
              <w:right w:val="single" w:sz="12" w:space="0" w:color="auto"/>
            </w:tcBorders>
            <w:shd w:val="clear" w:color="auto" w:fill="E5B8B7" w:themeFill="accent2" w:themeFillTint="66"/>
          </w:tcPr>
          <w:p w:rsidR="005837C3" w:rsidRPr="00211B50" w:rsidRDefault="005837C3" w:rsidP="00200014">
            <w:pPr>
              <w:spacing w:after="0" w:line="240" w:lineRule="auto"/>
              <w:ind w:firstLine="0"/>
              <w:jc w:val="center"/>
              <w:rPr>
                <w:b/>
                <w:sz w:val="18"/>
                <w:szCs w:val="18"/>
              </w:rPr>
            </w:pPr>
            <w:r w:rsidRPr="00211B50">
              <w:rPr>
                <w:b/>
                <w:sz w:val="18"/>
                <w:szCs w:val="18"/>
              </w:rPr>
              <w:t>2</w:t>
            </w:r>
          </w:p>
        </w:tc>
        <w:tc>
          <w:tcPr>
            <w:tcW w:w="1152" w:type="dxa"/>
            <w:tcBorders>
              <w:top w:val="single" w:sz="4" w:space="0" w:color="auto"/>
              <w:bottom w:val="single" w:sz="4" w:space="0" w:color="auto"/>
              <w:right w:val="single" w:sz="12" w:space="0" w:color="auto"/>
            </w:tcBorders>
            <w:shd w:val="clear" w:color="auto" w:fill="E5B8B7" w:themeFill="accent2" w:themeFillTint="66"/>
          </w:tcPr>
          <w:p w:rsidR="005837C3" w:rsidRPr="00211B50" w:rsidRDefault="005837C3" w:rsidP="00200014">
            <w:pPr>
              <w:spacing w:after="0" w:line="240" w:lineRule="auto"/>
              <w:ind w:firstLine="0"/>
              <w:jc w:val="center"/>
              <w:rPr>
                <w:b/>
                <w:color w:val="943634" w:themeColor="accent2" w:themeShade="BF"/>
                <w:sz w:val="18"/>
                <w:szCs w:val="18"/>
              </w:rPr>
            </w:pPr>
            <w:r w:rsidRPr="00211B50">
              <w:rPr>
                <w:b/>
                <w:color w:val="943634" w:themeColor="accent2" w:themeShade="BF"/>
                <w:sz w:val="18"/>
                <w:szCs w:val="18"/>
              </w:rPr>
              <w:t>1,5</w:t>
            </w:r>
          </w:p>
        </w:tc>
        <w:tc>
          <w:tcPr>
            <w:tcW w:w="2880" w:type="dxa"/>
            <w:tcBorders>
              <w:left w:val="single" w:sz="12" w:space="0" w:color="auto"/>
              <w:right w:val="single" w:sz="12" w:space="0" w:color="auto"/>
            </w:tcBorders>
            <w:shd w:val="clear" w:color="auto" w:fill="FBD4B4" w:themeFill="accent6" w:themeFillTint="66"/>
          </w:tcPr>
          <w:p w:rsidR="005837C3" w:rsidRPr="00211B50" w:rsidRDefault="005837C3" w:rsidP="00200014">
            <w:pPr>
              <w:spacing w:after="0" w:line="240" w:lineRule="auto"/>
              <w:ind w:firstLine="0"/>
              <w:rPr>
                <w:i/>
                <w:sz w:val="18"/>
                <w:szCs w:val="18"/>
              </w:rPr>
            </w:pPr>
            <w:r w:rsidRPr="00211B50">
              <w:rPr>
                <w:i/>
                <w:sz w:val="18"/>
                <w:szCs w:val="18"/>
              </w:rPr>
              <w:t>Solidarumo stoka (d</w:t>
            </w:r>
            <w:r w:rsidRPr="00211B50">
              <w:rPr>
                <w:i/>
                <w:sz w:val="18"/>
                <w:szCs w:val="18"/>
                <w:vertAlign w:val="subscript"/>
              </w:rPr>
              <w:t>3</w:t>
            </w:r>
            <w:r w:rsidRPr="00211B50">
              <w:rPr>
                <w:i/>
                <w:sz w:val="18"/>
                <w:szCs w:val="18"/>
              </w:rPr>
              <w:t>)</w:t>
            </w:r>
          </w:p>
        </w:tc>
        <w:tc>
          <w:tcPr>
            <w:tcW w:w="1152" w:type="dxa"/>
            <w:tcBorders>
              <w:left w:val="single" w:sz="12" w:space="0" w:color="auto"/>
              <w:right w:val="single" w:sz="12" w:space="0" w:color="auto"/>
            </w:tcBorders>
            <w:shd w:val="clear" w:color="auto" w:fill="FBD4B4" w:themeFill="accent6" w:themeFillTint="66"/>
          </w:tcPr>
          <w:p w:rsidR="005837C3" w:rsidRPr="00211B50" w:rsidRDefault="005837C3" w:rsidP="00200014">
            <w:pPr>
              <w:spacing w:after="0" w:line="240" w:lineRule="auto"/>
              <w:ind w:firstLine="0"/>
              <w:jc w:val="center"/>
              <w:rPr>
                <w:b/>
                <w:sz w:val="18"/>
                <w:szCs w:val="18"/>
              </w:rPr>
            </w:pPr>
            <w:r w:rsidRPr="00211B50">
              <w:rPr>
                <w:b/>
                <w:sz w:val="18"/>
                <w:szCs w:val="18"/>
              </w:rPr>
              <w:t>2</w:t>
            </w:r>
          </w:p>
        </w:tc>
        <w:tc>
          <w:tcPr>
            <w:tcW w:w="1152" w:type="dxa"/>
            <w:tcBorders>
              <w:top w:val="single" w:sz="4" w:space="0" w:color="auto"/>
              <w:left w:val="single" w:sz="12" w:space="0" w:color="auto"/>
              <w:bottom w:val="single" w:sz="4" w:space="0" w:color="auto"/>
              <w:right w:val="single" w:sz="12" w:space="0" w:color="auto"/>
            </w:tcBorders>
            <w:shd w:val="clear" w:color="auto" w:fill="FBD4B4" w:themeFill="accent6" w:themeFillTint="66"/>
          </w:tcPr>
          <w:p w:rsidR="005837C3" w:rsidRPr="00211B50" w:rsidRDefault="005837C3" w:rsidP="00200014">
            <w:pPr>
              <w:spacing w:after="0" w:line="240" w:lineRule="auto"/>
              <w:ind w:firstLine="0"/>
              <w:jc w:val="center"/>
              <w:rPr>
                <w:b/>
                <w:color w:val="E36C0A" w:themeColor="accent6" w:themeShade="BF"/>
                <w:sz w:val="18"/>
                <w:szCs w:val="18"/>
              </w:rPr>
            </w:pPr>
            <w:r w:rsidRPr="00211B50">
              <w:rPr>
                <w:b/>
                <w:color w:val="E36C0A" w:themeColor="accent6" w:themeShade="BF"/>
                <w:sz w:val="18"/>
                <w:szCs w:val="18"/>
              </w:rPr>
              <w:t>1,5</w:t>
            </w:r>
          </w:p>
        </w:tc>
      </w:tr>
      <w:tr w:rsidR="005837C3" w:rsidRPr="00211B50" w:rsidTr="00E33548">
        <w:tc>
          <w:tcPr>
            <w:tcW w:w="2880" w:type="dxa"/>
            <w:tcBorders>
              <w:top w:val="single" w:sz="4" w:space="0" w:color="auto"/>
              <w:bottom w:val="single" w:sz="4" w:space="0" w:color="auto"/>
              <w:right w:val="single" w:sz="12" w:space="0" w:color="auto"/>
            </w:tcBorders>
            <w:shd w:val="clear" w:color="auto" w:fill="E5B8B7" w:themeFill="accent2" w:themeFillTint="66"/>
          </w:tcPr>
          <w:p w:rsidR="005837C3" w:rsidRPr="00211B50" w:rsidRDefault="005837C3" w:rsidP="00200014">
            <w:pPr>
              <w:spacing w:after="0" w:line="240" w:lineRule="auto"/>
              <w:ind w:firstLine="0"/>
              <w:rPr>
                <w:i/>
                <w:sz w:val="18"/>
                <w:szCs w:val="18"/>
              </w:rPr>
            </w:pPr>
            <w:r w:rsidRPr="00211B50">
              <w:rPr>
                <w:i/>
                <w:sz w:val="18"/>
                <w:szCs w:val="18"/>
              </w:rPr>
              <w:t>Skurdo „spąstai“ (c</w:t>
            </w:r>
            <w:r w:rsidRPr="00211B50">
              <w:rPr>
                <w:i/>
                <w:sz w:val="18"/>
                <w:szCs w:val="18"/>
                <w:vertAlign w:val="subscript"/>
              </w:rPr>
              <w:t>4</w:t>
            </w:r>
            <w:r w:rsidRPr="00211B50">
              <w:rPr>
                <w:i/>
                <w:sz w:val="18"/>
                <w:szCs w:val="18"/>
              </w:rPr>
              <w:t>)</w:t>
            </w:r>
          </w:p>
        </w:tc>
        <w:tc>
          <w:tcPr>
            <w:tcW w:w="1152" w:type="dxa"/>
            <w:tcBorders>
              <w:top w:val="single" w:sz="4" w:space="0" w:color="auto"/>
              <w:bottom w:val="single" w:sz="4" w:space="0" w:color="auto"/>
              <w:right w:val="single" w:sz="12" w:space="0" w:color="auto"/>
            </w:tcBorders>
            <w:shd w:val="clear" w:color="auto" w:fill="E5B8B7" w:themeFill="accent2" w:themeFillTint="66"/>
          </w:tcPr>
          <w:p w:rsidR="005837C3" w:rsidRPr="00211B50" w:rsidRDefault="005837C3" w:rsidP="00200014">
            <w:pPr>
              <w:spacing w:after="0" w:line="240" w:lineRule="auto"/>
              <w:ind w:firstLine="0"/>
              <w:jc w:val="center"/>
              <w:rPr>
                <w:b/>
                <w:sz w:val="18"/>
                <w:szCs w:val="18"/>
              </w:rPr>
            </w:pPr>
            <w:r w:rsidRPr="00211B50">
              <w:rPr>
                <w:b/>
                <w:sz w:val="18"/>
                <w:szCs w:val="18"/>
              </w:rPr>
              <w:t>2</w:t>
            </w:r>
          </w:p>
        </w:tc>
        <w:tc>
          <w:tcPr>
            <w:tcW w:w="1152" w:type="dxa"/>
            <w:tcBorders>
              <w:top w:val="single" w:sz="4" w:space="0" w:color="auto"/>
              <w:bottom w:val="single" w:sz="4" w:space="0" w:color="auto"/>
              <w:right w:val="single" w:sz="12" w:space="0" w:color="auto"/>
            </w:tcBorders>
            <w:shd w:val="clear" w:color="auto" w:fill="E5B8B7" w:themeFill="accent2" w:themeFillTint="66"/>
          </w:tcPr>
          <w:p w:rsidR="005837C3" w:rsidRPr="00211B50" w:rsidRDefault="005837C3" w:rsidP="00200014">
            <w:pPr>
              <w:spacing w:after="0" w:line="240" w:lineRule="auto"/>
              <w:ind w:firstLine="0"/>
              <w:jc w:val="center"/>
              <w:rPr>
                <w:b/>
                <w:color w:val="943634" w:themeColor="accent2" w:themeShade="BF"/>
                <w:sz w:val="18"/>
                <w:szCs w:val="18"/>
              </w:rPr>
            </w:pPr>
            <w:r w:rsidRPr="00211B50">
              <w:rPr>
                <w:b/>
                <w:color w:val="943634" w:themeColor="accent2" w:themeShade="BF"/>
                <w:sz w:val="18"/>
                <w:szCs w:val="18"/>
              </w:rPr>
              <w:t>1,5</w:t>
            </w:r>
          </w:p>
        </w:tc>
        <w:tc>
          <w:tcPr>
            <w:tcW w:w="2880" w:type="dxa"/>
            <w:tcBorders>
              <w:left w:val="single" w:sz="12" w:space="0" w:color="auto"/>
              <w:right w:val="single" w:sz="12" w:space="0" w:color="auto"/>
            </w:tcBorders>
            <w:shd w:val="clear" w:color="auto" w:fill="FBD4B4" w:themeFill="accent6" w:themeFillTint="66"/>
          </w:tcPr>
          <w:p w:rsidR="005837C3" w:rsidRPr="00211B50" w:rsidRDefault="005837C3" w:rsidP="00200014">
            <w:pPr>
              <w:spacing w:after="0" w:line="240" w:lineRule="auto"/>
              <w:ind w:firstLine="0"/>
              <w:rPr>
                <w:i/>
                <w:sz w:val="18"/>
                <w:szCs w:val="18"/>
              </w:rPr>
            </w:pPr>
          </w:p>
        </w:tc>
        <w:tc>
          <w:tcPr>
            <w:tcW w:w="1152" w:type="dxa"/>
            <w:tcBorders>
              <w:left w:val="single" w:sz="12" w:space="0" w:color="auto"/>
              <w:right w:val="single" w:sz="12" w:space="0" w:color="auto"/>
            </w:tcBorders>
            <w:shd w:val="clear" w:color="auto" w:fill="FBD4B4" w:themeFill="accent6" w:themeFillTint="66"/>
          </w:tcPr>
          <w:p w:rsidR="005837C3" w:rsidRPr="00211B50" w:rsidRDefault="005837C3" w:rsidP="00200014">
            <w:pPr>
              <w:spacing w:after="0" w:line="240" w:lineRule="auto"/>
              <w:ind w:firstLine="0"/>
              <w:rPr>
                <w:i/>
                <w:sz w:val="18"/>
                <w:szCs w:val="18"/>
              </w:rPr>
            </w:pPr>
          </w:p>
        </w:tc>
        <w:tc>
          <w:tcPr>
            <w:tcW w:w="1152" w:type="dxa"/>
            <w:tcBorders>
              <w:top w:val="single" w:sz="4" w:space="0" w:color="auto"/>
              <w:left w:val="single" w:sz="12" w:space="0" w:color="auto"/>
              <w:bottom w:val="single" w:sz="4" w:space="0" w:color="auto"/>
              <w:right w:val="single" w:sz="12" w:space="0" w:color="auto"/>
            </w:tcBorders>
            <w:shd w:val="clear" w:color="auto" w:fill="FBD4B4" w:themeFill="accent6" w:themeFillTint="66"/>
          </w:tcPr>
          <w:p w:rsidR="005837C3" w:rsidRPr="00211B50" w:rsidRDefault="005837C3" w:rsidP="00200014">
            <w:pPr>
              <w:spacing w:after="0" w:line="240" w:lineRule="auto"/>
              <w:ind w:firstLine="0"/>
              <w:rPr>
                <w:i/>
                <w:sz w:val="18"/>
                <w:szCs w:val="18"/>
              </w:rPr>
            </w:pPr>
          </w:p>
        </w:tc>
      </w:tr>
      <w:tr w:rsidR="005837C3" w:rsidRPr="00211B50" w:rsidTr="005B6EBC">
        <w:tc>
          <w:tcPr>
            <w:tcW w:w="2880" w:type="dxa"/>
            <w:tcBorders>
              <w:top w:val="single" w:sz="4" w:space="0" w:color="auto"/>
              <w:bottom w:val="single" w:sz="12" w:space="0" w:color="auto"/>
              <w:right w:val="single" w:sz="12" w:space="0" w:color="auto"/>
            </w:tcBorders>
            <w:shd w:val="clear" w:color="auto" w:fill="E5B8B7" w:themeFill="accent2" w:themeFillTint="66"/>
          </w:tcPr>
          <w:p w:rsidR="005837C3" w:rsidRPr="00211B50" w:rsidRDefault="005837C3" w:rsidP="00200014">
            <w:pPr>
              <w:spacing w:after="0" w:line="240" w:lineRule="auto"/>
              <w:ind w:firstLine="0"/>
              <w:rPr>
                <w:i/>
                <w:sz w:val="18"/>
                <w:szCs w:val="18"/>
              </w:rPr>
            </w:pPr>
            <w:r w:rsidRPr="00211B50">
              <w:rPr>
                <w:i/>
                <w:sz w:val="18"/>
                <w:szCs w:val="18"/>
              </w:rPr>
              <w:t>Išmokos mokėjimo trukmė (c</w:t>
            </w:r>
            <w:r w:rsidRPr="00211B50">
              <w:rPr>
                <w:i/>
                <w:sz w:val="18"/>
                <w:szCs w:val="18"/>
                <w:vertAlign w:val="subscript"/>
              </w:rPr>
              <w:t>5</w:t>
            </w:r>
            <w:r w:rsidRPr="00211B50">
              <w:rPr>
                <w:i/>
                <w:sz w:val="18"/>
                <w:szCs w:val="18"/>
              </w:rPr>
              <w:t>)</w:t>
            </w:r>
          </w:p>
        </w:tc>
        <w:tc>
          <w:tcPr>
            <w:tcW w:w="1152" w:type="dxa"/>
            <w:tcBorders>
              <w:top w:val="single" w:sz="4" w:space="0" w:color="auto"/>
              <w:bottom w:val="single" w:sz="12" w:space="0" w:color="auto"/>
              <w:right w:val="single" w:sz="12" w:space="0" w:color="auto"/>
            </w:tcBorders>
            <w:shd w:val="clear" w:color="auto" w:fill="E5B8B7" w:themeFill="accent2" w:themeFillTint="66"/>
          </w:tcPr>
          <w:p w:rsidR="005837C3" w:rsidRPr="00211B50" w:rsidRDefault="005837C3" w:rsidP="00200014">
            <w:pPr>
              <w:spacing w:after="0" w:line="240" w:lineRule="auto"/>
              <w:ind w:firstLine="0"/>
              <w:jc w:val="center"/>
              <w:rPr>
                <w:b/>
                <w:sz w:val="18"/>
                <w:szCs w:val="18"/>
              </w:rPr>
            </w:pPr>
            <w:r w:rsidRPr="00211B50">
              <w:rPr>
                <w:b/>
                <w:sz w:val="18"/>
                <w:szCs w:val="18"/>
              </w:rPr>
              <w:t>1</w:t>
            </w:r>
          </w:p>
        </w:tc>
        <w:tc>
          <w:tcPr>
            <w:tcW w:w="1152" w:type="dxa"/>
            <w:tcBorders>
              <w:top w:val="single" w:sz="4" w:space="0" w:color="auto"/>
              <w:bottom w:val="single" w:sz="12" w:space="0" w:color="auto"/>
              <w:right w:val="single" w:sz="12" w:space="0" w:color="auto"/>
            </w:tcBorders>
            <w:shd w:val="clear" w:color="auto" w:fill="E5B8B7" w:themeFill="accent2" w:themeFillTint="66"/>
          </w:tcPr>
          <w:p w:rsidR="005837C3" w:rsidRPr="00211B50" w:rsidRDefault="005837C3" w:rsidP="00200014">
            <w:pPr>
              <w:spacing w:after="0" w:line="240" w:lineRule="auto"/>
              <w:ind w:firstLine="0"/>
              <w:jc w:val="center"/>
              <w:rPr>
                <w:b/>
                <w:color w:val="943634" w:themeColor="accent2" w:themeShade="BF"/>
                <w:sz w:val="18"/>
                <w:szCs w:val="18"/>
              </w:rPr>
            </w:pPr>
            <w:r w:rsidRPr="00211B50">
              <w:rPr>
                <w:b/>
                <w:color w:val="943634" w:themeColor="accent2" w:themeShade="BF"/>
                <w:sz w:val="18"/>
                <w:szCs w:val="18"/>
              </w:rPr>
              <w:t>2,0</w:t>
            </w:r>
          </w:p>
        </w:tc>
        <w:tc>
          <w:tcPr>
            <w:tcW w:w="2880" w:type="dxa"/>
            <w:tcBorders>
              <w:left w:val="single" w:sz="12" w:space="0" w:color="auto"/>
              <w:bottom w:val="single" w:sz="12" w:space="0" w:color="auto"/>
              <w:right w:val="single" w:sz="12" w:space="0" w:color="auto"/>
            </w:tcBorders>
            <w:shd w:val="clear" w:color="auto" w:fill="FBD4B4" w:themeFill="accent6" w:themeFillTint="66"/>
          </w:tcPr>
          <w:p w:rsidR="005837C3" w:rsidRPr="00211B50" w:rsidRDefault="005837C3" w:rsidP="00200014">
            <w:pPr>
              <w:spacing w:after="0" w:line="240" w:lineRule="auto"/>
              <w:ind w:firstLine="0"/>
              <w:rPr>
                <w:i/>
                <w:sz w:val="18"/>
                <w:szCs w:val="18"/>
              </w:rPr>
            </w:pPr>
          </w:p>
        </w:tc>
        <w:tc>
          <w:tcPr>
            <w:tcW w:w="1152" w:type="dxa"/>
            <w:tcBorders>
              <w:left w:val="single" w:sz="12" w:space="0" w:color="auto"/>
              <w:bottom w:val="single" w:sz="12" w:space="0" w:color="auto"/>
              <w:right w:val="single" w:sz="12" w:space="0" w:color="auto"/>
            </w:tcBorders>
            <w:shd w:val="clear" w:color="auto" w:fill="FBD4B4" w:themeFill="accent6" w:themeFillTint="66"/>
          </w:tcPr>
          <w:p w:rsidR="005837C3" w:rsidRPr="00211B50" w:rsidRDefault="005837C3" w:rsidP="00200014">
            <w:pPr>
              <w:spacing w:after="0" w:line="240" w:lineRule="auto"/>
              <w:ind w:firstLine="0"/>
              <w:rPr>
                <w:i/>
                <w:sz w:val="18"/>
                <w:szCs w:val="18"/>
              </w:rPr>
            </w:pPr>
          </w:p>
        </w:tc>
        <w:tc>
          <w:tcPr>
            <w:tcW w:w="1152" w:type="dxa"/>
            <w:tcBorders>
              <w:top w:val="single" w:sz="4" w:space="0" w:color="auto"/>
              <w:left w:val="single" w:sz="12" w:space="0" w:color="auto"/>
              <w:bottom w:val="single" w:sz="12" w:space="0" w:color="auto"/>
              <w:right w:val="single" w:sz="12" w:space="0" w:color="auto"/>
            </w:tcBorders>
            <w:shd w:val="clear" w:color="auto" w:fill="FBD4B4" w:themeFill="accent6" w:themeFillTint="66"/>
          </w:tcPr>
          <w:p w:rsidR="005837C3" w:rsidRPr="00211B50" w:rsidRDefault="005837C3" w:rsidP="00200014">
            <w:pPr>
              <w:spacing w:after="0" w:line="240" w:lineRule="auto"/>
              <w:ind w:firstLine="0"/>
              <w:rPr>
                <w:i/>
                <w:sz w:val="18"/>
                <w:szCs w:val="18"/>
              </w:rPr>
            </w:pPr>
          </w:p>
        </w:tc>
      </w:tr>
      <w:tr w:rsidR="005B6EBC" w:rsidRPr="005B6EBC" w:rsidTr="00787DA4">
        <w:tc>
          <w:tcPr>
            <w:tcW w:w="10368" w:type="dxa"/>
            <w:gridSpan w:val="6"/>
            <w:tcBorders>
              <w:top w:val="single" w:sz="12" w:space="0" w:color="auto"/>
              <w:bottom w:val="single" w:sz="12" w:space="0" w:color="auto"/>
              <w:right w:val="single" w:sz="12" w:space="0" w:color="auto"/>
            </w:tcBorders>
            <w:shd w:val="clear" w:color="auto" w:fill="auto"/>
          </w:tcPr>
          <w:p w:rsidR="005B6EBC" w:rsidRPr="005B6EBC" w:rsidRDefault="005B6EBC" w:rsidP="00200014">
            <w:pPr>
              <w:spacing w:after="0" w:line="240" w:lineRule="auto"/>
              <w:ind w:firstLine="0"/>
              <w:rPr>
                <w:b/>
                <w:i/>
                <w:sz w:val="6"/>
                <w:szCs w:val="6"/>
              </w:rPr>
            </w:pPr>
          </w:p>
        </w:tc>
      </w:tr>
      <w:tr w:rsidR="00231662" w:rsidRPr="00211B50" w:rsidTr="00787DA4">
        <w:tc>
          <w:tcPr>
            <w:tcW w:w="10368" w:type="dxa"/>
            <w:gridSpan w:val="6"/>
            <w:tcBorders>
              <w:top w:val="single" w:sz="12" w:space="0" w:color="auto"/>
              <w:bottom w:val="single" w:sz="12" w:space="0" w:color="auto"/>
              <w:right w:val="single" w:sz="12" w:space="0" w:color="auto"/>
            </w:tcBorders>
            <w:shd w:val="clear" w:color="auto" w:fill="auto"/>
          </w:tcPr>
          <w:p w:rsidR="0020638B" w:rsidRDefault="006D3694" w:rsidP="005B6EBC">
            <w:pPr>
              <w:spacing w:before="40" w:after="0" w:line="240" w:lineRule="auto"/>
              <w:ind w:firstLine="0"/>
              <w:contextualSpacing w:val="0"/>
              <w:jc w:val="center"/>
              <w:rPr>
                <w:b/>
                <w:i/>
                <w:sz w:val="18"/>
                <w:szCs w:val="18"/>
              </w:rPr>
            </w:pPr>
            <w:r w:rsidRPr="0020638B">
              <w:rPr>
                <w:b/>
                <w:i/>
                <w:sz w:val="18"/>
                <w:szCs w:val="18"/>
              </w:rPr>
              <w:t>ELGSENĄ ATSPINDINČIOS REIKŠMĖS</w:t>
            </w:r>
            <w:r w:rsidR="009A0400">
              <w:rPr>
                <w:b/>
                <w:i/>
                <w:sz w:val="18"/>
                <w:szCs w:val="18"/>
              </w:rPr>
              <w:t>:</w:t>
            </w:r>
          </w:p>
          <w:tbl>
            <w:tblPr>
              <w:tblStyle w:val="TableGrid"/>
              <w:tblW w:w="0" w:type="auto"/>
              <w:tblLook w:val="04A0"/>
            </w:tblPr>
            <w:tblGrid>
              <w:gridCol w:w="1686"/>
              <w:gridCol w:w="1686"/>
              <w:gridCol w:w="1686"/>
              <w:gridCol w:w="1688"/>
              <w:gridCol w:w="1688"/>
              <w:gridCol w:w="1688"/>
            </w:tblGrid>
            <w:tr w:rsidR="00657744" w:rsidTr="009A0400">
              <w:tc>
                <w:tcPr>
                  <w:tcW w:w="168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B6EBC" w:rsidRDefault="005B6EBC" w:rsidP="005B6EBC">
                  <w:pPr>
                    <w:spacing w:after="0" w:line="240" w:lineRule="auto"/>
                    <w:ind w:firstLine="0"/>
                    <w:jc w:val="center"/>
                    <w:rPr>
                      <w:b/>
                      <w:i/>
                      <w:sz w:val="18"/>
                      <w:szCs w:val="18"/>
                    </w:rPr>
                  </w:pPr>
                </w:p>
              </w:tc>
              <w:tc>
                <w:tcPr>
                  <w:tcW w:w="1689"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tcPr>
                <w:p w:rsidR="005B6EBC" w:rsidRDefault="005B6EBC" w:rsidP="005B6EBC">
                  <w:pPr>
                    <w:spacing w:after="0" w:line="240" w:lineRule="auto"/>
                    <w:ind w:firstLine="0"/>
                    <w:jc w:val="center"/>
                    <w:rPr>
                      <w:b/>
                      <w:i/>
                      <w:sz w:val="18"/>
                      <w:szCs w:val="18"/>
                    </w:rPr>
                  </w:pPr>
                  <w:r>
                    <w:rPr>
                      <w:b/>
                      <w:i/>
                      <w:sz w:val="18"/>
                      <w:szCs w:val="18"/>
                    </w:rPr>
                    <w:t>5</w:t>
                  </w:r>
                  <w:r w:rsidR="00F5681F">
                    <w:rPr>
                      <w:b/>
                      <w:i/>
                      <w:sz w:val="18"/>
                      <w:szCs w:val="18"/>
                    </w:rPr>
                    <w:t xml:space="preserve"> – l. maža įtaka</w:t>
                  </w:r>
                </w:p>
              </w:tc>
              <w:tc>
                <w:tcPr>
                  <w:tcW w:w="1689" w:type="dxa"/>
                  <w:tcBorders>
                    <w:top w:val="single" w:sz="12" w:space="0" w:color="auto"/>
                    <w:left w:val="single" w:sz="2" w:space="0" w:color="auto"/>
                    <w:bottom w:val="single" w:sz="12" w:space="0" w:color="auto"/>
                    <w:right w:val="single" w:sz="2" w:space="0" w:color="auto"/>
                  </w:tcBorders>
                  <w:shd w:val="clear" w:color="auto" w:fill="D9D9D9" w:themeFill="background1" w:themeFillShade="D9"/>
                </w:tcPr>
                <w:p w:rsidR="005B6EBC" w:rsidRDefault="005B6EBC" w:rsidP="000B4998">
                  <w:pPr>
                    <w:spacing w:after="0" w:line="240" w:lineRule="auto"/>
                    <w:ind w:firstLine="0"/>
                    <w:jc w:val="center"/>
                    <w:rPr>
                      <w:b/>
                      <w:i/>
                      <w:sz w:val="18"/>
                      <w:szCs w:val="18"/>
                    </w:rPr>
                  </w:pPr>
                  <w:r>
                    <w:rPr>
                      <w:b/>
                      <w:i/>
                      <w:sz w:val="18"/>
                      <w:szCs w:val="18"/>
                    </w:rPr>
                    <w:t>4</w:t>
                  </w:r>
                  <w:r w:rsidR="00F5681F">
                    <w:rPr>
                      <w:b/>
                      <w:i/>
                      <w:sz w:val="18"/>
                      <w:szCs w:val="18"/>
                    </w:rPr>
                    <w:t xml:space="preserve"> –</w:t>
                  </w:r>
                  <w:r w:rsidR="000B4998">
                    <w:rPr>
                      <w:b/>
                      <w:i/>
                      <w:sz w:val="18"/>
                      <w:szCs w:val="18"/>
                    </w:rPr>
                    <w:t xml:space="preserve"> maža </w:t>
                  </w:r>
                  <w:r w:rsidR="00F5681F">
                    <w:rPr>
                      <w:b/>
                      <w:i/>
                      <w:sz w:val="18"/>
                      <w:szCs w:val="18"/>
                    </w:rPr>
                    <w:t>įtaka</w:t>
                  </w:r>
                </w:p>
              </w:tc>
              <w:tc>
                <w:tcPr>
                  <w:tcW w:w="1690" w:type="dxa"/>
                  <w:tcBorders>
                    <w:top w:val="single" w:sz="12" w:space="0" w:color="auto"/>
                    <w:left w:val="single" w:sz="2" w:space="0" w:color="auto"/>
                    <w:bottom w:val="single" w:sz="12" w:space="0" w:color="auto"/>
                    <w:right w:val="single" w:sz="2" w:space="0" w:color="auto"/>
                  </w:tcBorders>
                  <w:shd w:val="clear" w:color="auto" w:fill="D9D9D9" w:themeFill="background1" w:themeFillShade="D9"/>
                </w:tcPr>
                <w:p w:rsidR="005B6EBC" w:rsidRDefault="005B6EBC" w:rsidP="005B6EBC">
                  <w:pPr>
                    <w:spacing w:after="0" w:line="240" w:lineRule="auto"/>
                    <w:ind w:firstLine="0"/>
                    <w:jc w:val="center"/>
                    <w:rPr>
                      <w:b/>
                      <w:i/>
                      <w:sz w:val="18"/>
                      <w:szCs w:val="18"/>
                    </w:rPr>
                  </w:pPr>
                  <w:r>
                    <w:rPr>
                      <w:b/>
                      <w:i/>
                      <w:sz w:val="18"/>
                      <w:szCs w:val="18"/>
                    </w:rPr>
                    <w:t>3</w:t>
                  </w:r>
                  <w:r w:rsidR="00F5681F">
                    <w:rPr>
                      <w:b/>
                      <w:i/>
                      <w:sz w:val="18"/>
                      <w:szCs w:val="18"/>
                    </w:rPr>
                    <w:t xml:space="preserve"> – vidutinė įtaka</w:t>
                  </w:r>
                </w:p>
              </w:tc>
              <w:tc>
                <w:tcPr>
                  <w:tcW w:w="1690" w:type="dxa"/>
                  <w:tcBorders>
                    <w:top w:val="single" w:sz="12" w:space="0" w:color="auto"/>
                    <w:left w:val="single" w:sz="2" w:space="0" w:color="auto"/>
                    <w:bottom w:val="single" w:sz="12" w:space="0" w:color="auto"/>
                    <w:right w:val="single" w:sz="2" w:space="0" w:color="auto"/>
                  </w:tcBorders>
                  <w:shd w:val="clear" w:color="auto" w:fill="D9D9D9" w:themeFill="background1" w:themeFillShade="D9"/>
                </w:tcPr>
                <w:p w:rsidR="005B6EBC" w:rsidRDefault="005B6EBC" w:rsidP="005B6EBC">
                  <w:pPr>
                    <w:spacing w:after="0" w:line="240" w:lineRule="auto"/>
                    <w:ind w:firstLine="0"/>
                    <w:jc w:val="center"/>
                    <w:rPr>
                      <w:b/>
                      <w:i/>
                      <w:sz w:val="18"/>
                      <w:szCs w:val="18"/>
                    </w:rPr>
                  </w:pPr>
                  <w:r>
                    <w:rPr>
                      <w:b/>
                      <w:i/>
                      <w:sz w:val="18"/>
                      <w:szCs w:val="18"/>
                    </w:rPr>
                    <w:t>2</w:t>
                  </w:r>
                  <w:r w:rsidR="006235B2">
                    <w:rPr>
                      <w:b/>
                      <w:i/>
                      <w:sz w:val="18"/>
                      <w:szCs w:val="18"/>
                    </w:rPr>
                    <w:t xml:space="preserve"> – didelė įtaka</w:t>
                  </w:r>
                </w:p>
              </w:tc>
              <w:tc>
                <w:tcPr>
                  <w:tcW w:w="16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5B6EBC" w:rsidRDefault="005B6EBC" w:rsidP="005B6EBC">
                  <w:pPr>
                    <w:spacing w:after="0" w:line="240" w:lineRule="auto"/>
                    <w:ind w:firstLine="0"/>
                    <w:jc w:val="center"/>
                    <w:rPr>
                      <w:b/>
                      <w:i/>
                      <w:sz w:val="18"/>
                      <w:szCs w:val="18"/>
                    </w:rPr>
                  </w:pPr>
                  <w:r>
                    <w:rPr>
                      <w:b/>
                      <w:i/>
                      <w:sz w:val="18"/>
                      <w:szCs w:val="18"/>
                    </w:rPr>
                    <w:t>1</w:t>
                  </w:r>
                  <w:r w:rsidR="00DD5987">
                    <w:rPr>
                      <w:b/>
                      <w:i/>
                      <w:sz w:val="18"/>
                      <w:szCs w:val="18"/>
                    </w:rPr>
                    <w:t xml:space="preserve"> – l. didelė įtaka</w:t>
                  </w:r>
                </w:p>
              </w:tc>
            </w:tr>
            <w:tr w:rsidR="00F5681F" w:rsidTr="009A0400">
              <w:tc>
                <w:tcPr>
                  <w:tcW w:w="1689" w:type="dxa"/>
                  <w:tcBorders>
                    <w:top w:val="single" w:sz="12" w:space="0" w:color="auto"/>
                    <w:left w:val="single" w:sz="12" w:space="0" w:color="auto"/>
                    <w:bottom w:val="single" w:sz="2" w:space="0" w:color="auto"/>
                    <w:right w:val="single" w:sz="12" w:space="0" w:color="auto"/>
                  </w:tcBorders>
                  <w:shd w:val="clear" w:color="auto" w:fill="D9D9D9" w:themeFill="background1" w:themeFillShade="D9"/>
                </w:tcPr>
                <w:p w:rsidR="005B6EBC" w:rsidRDefault="005B6EBC" w:rsidP="00B7152F">
                  <w:pPr>
                    <w:spacing w:after="0" w:line="240" w:lineRule="auto"/>
                    <w:ind w:firstLine="0"/>
                    <w:jc w:val="center"/>
                    <w:rPr>
                      <w:b/>
                      <w:i/>
                      <w:sz w:val="18"/>
                      <w:szCs w:val="18"/>
                    </w:rPr>
                  </w:pPr>
                  <w:r>
                    <w:rPr>
                      <w:b/>
                      <w:i/>
                      <w:sz w:val="18"/>
                      <w:szCs w:val="18"/>
                    </w:rPr>
                    <w:t>2,0</w:t>
                  </w:r>
                </w:p>
              </w:tc>
              <w:tc>
                <w:tcPr>
                  <w:tcW w:w="1689" w:type="dxa"/>
                  <w:tcBorders>
                    <w:top w:val="single" w:sz="12" w:space="0" w:color="auto"/>
                    <w:left w:val="single" w:sz="12" w:space="0" w:color="auto"/>
                    <w:bottom w:val="single" w:sz="2" w:space="0" w:color="auto"/>
                    <w:right w:val="single" w:sz="2" w:space="0" w:color="auto"/>
                  </w:tcBorders>
                  <w:shd w:val="clear" w:color="auto" w:fill="auto"/>
                </w:tcPr>
                <w:p w:rsidR="005B6EBC" w:rsidRPr="00787DA4" w:rsidRDefault="00072D6B" w:rsidP="005B6EBC">
                  <w:pPr>
                    <w:spacing w:after="0" w:line="240" w:lineRule="auto"/>
                    <w:ind w:firstLine="0"/>
                    <w:jc w:val="center"/>
                    <w:rPr>
                      <w:i/>
                      <w:sz w:val="18"/>
                      <w:szCs w:val="18"/>
                    </w:rPr>
                  </w:pPr>
                  <w:r>
                    <w:rPr>
                      <w:i/>
                      <w:sz w:val="18"/>
                      <w:szCs w:val="18"/>
                    </w:rPr>
                    <w:t>10,0</w:t>
                  </w:r>
                </w:p>
              </w:tc>
              <w:tc>
                <w:tcPr>
                  <w:tcW w:w="1689" w:type="dxa"/>
                  <w:tcBorders>
                    <w:top w:val="single" w:sz="12" w:space="0" w:color="auto"/>
                    <w:left w:val="single" w:sz="2" w:space="0" w:color="auto"/>
                    <w:bottom w:val="single" w:sz="2" w:space="0" w:color="auto"/>
                    <w:right w:val="single" w:sz="2" w:space="0" w:color="auto"/>
                  </w:tcBorders>
                  <w:shd w:val="clear" w:color="auto" w:fill="auto"/>
                </w:tcPr>
                <w:p w:rsidR="005B6EBC" w:rsidRPr="00787DA4" w:rsidRDefault="005B6EBC" w:rsidP="005B6EBC">
                  <w:pPr>
                    <w:spacing w:after="0" w:line="240" w:lineRule="auto"/>
                    <w:ind w:firstLine="0"/>
                    <w:jc w:val="center"/>
                    <w:rPr>
                      <w:i/>
                      <w:sz w:val="18"/>
                      <w:szCs w:val="18"/>
                    </w:rPr>
                  </w:pPr>
                  <w:r w:rsidRPr="00787DA4">
                    <w:rPr>
                      <w:i/>
                      <w:sz w:val="18"/>
                      <w:szCs w:val="18"/>
                    </w:rPr>
                    <w:t>8,0</w:t>
                  </w:r>
                </w:p>
              </w:tc>
              <w:tc>
                <w:tcPr>
                  <w:tcW w:w="1690" w:type="dxa"/>
                  <w:tcBorders>
                    <w:top w:val="single" w:sz="12" w:space="0" w:color="auto"/>
                    <w:left w:val="single" w:sz="2" w:space="0" w:color="auto"/>
                    <w:bottom w:val="single" w:sz="2" w:space="0" w:color="auto"/>
                    <w:right w:val="single" w:sz="2" w:space="0" w:color="auto"/>
                  </w:tcBorders>
                  <w:shd w:val="clear" w:color="auto" w:fill="auto"/>
                </w:tcPr>
                <w:p w:rsidR="005B6EBC" w:rsidRPr="00787DA4" w:rsidRDefault="005B6EBC" w:rsidP="005B6EBC">
                  <w:pPr>
                    <w:spacing w:after="0" w:line="240" w:lineRule="auto"/>
                    <w:ind w:firstLine="0"/>
                    <w:jc w:val="center"/>
                    <w:rPr>
                      <w:i/>
                      <w:sz w:val="18"/>
                      <w:szCs w:val="18"/>
                    </w:rPr>
                  </w:pPr>
                  <w:r w:rsidRPr="00787DA4">
                    <w:rPr>
                      <w:i/>
                      <w:sz w:val="18"/>
                      <w:szCs w:val="18"/>
                    </w:rPr>
                    <w:t>6,0</w:t>
                  </w:r>
                </w:p>
              </w:tc>
              <w:tc>
                <w:tcPr>
                  <w:tcW w:w="1690" w:type="dxa"/>
                  <w:tcBorders>
                    <w:top w:val="single" w:sz="12" w:space="0" w:color="auto"/>
                    <w:left w:val="single" w:sz="2" w:space="0" w:color="auto"/>
                    <w:bottom w:val="single" w:sz="2" w:space="0" w:color="auto"/>
                    <w:right w:val="single" w:sz="2" w:space="0" w:color="auto"/>
                  </w:tcBorders>
                  <w:shd w:val="clear" w:color="auto" w:fill="auto"/>
                </w:tcPr>
                <w:p w:rsidR="005B6EBC" w:rsidRPr="00787DA4" w:rsidRDefault="005B6EBC" w:rsidP="005B6EBC">
                  <w:pPr>
                    <w:spacing w:after="0" w:line="240" w:lineRule="auto"/>
                    <w:ind w:firstLine="0"/>
                    <w:jc w:val="center"/>
                    <w:rPr>
                      <w:i/>
                      <w:sz w:val="18"/>
                      <w:szCs w:val="18"/>
                    </w:rPr>
                  </w:pPr>
                  <w:r w:rsidRPr="00787DA4">
                    <w:rPr>
                      <w:i/>
                      <w:sz w:val="18"/>
                      <w:szCs w:val="18"/>
                    </w:rPr>
                    <w:t>4,0</w:t>
                  </w:r>
                </w:p>
              </w:tc>
              <w:tc>
                <w:tcPr>
                  <w:tcW w:w="1690" w:type="dxa"/>
                  <w:tcBorders>
                    <w:top w:val="single" w:sz="12" w:space="0" w:color="auto"/>
                    <w:left w:val="single" w:sz="2" w:space="0" w:color="auto"/>
                    <w:bottom w:val="single" w:sz="2" w:space="0" w:color="auto"/>
                    <w:right w:val="single" w:sz="12" w:space="0" w:color="auto"/>
                  </w:tcBorders>
                  <w:shd w:val="clear" w:color="auto" w:fill="auto"/>
                </w:tcPr>
                <w:p w:rsidR="005B6EBC" w:rsidRPr="00787DA4" w:rsidRDefault="00072D6B" w:rsidP="005B6EBC">
                  <w:pPr>
                    <w:spacing w:after="0" w:line="240" w:lineRule="auto"/>
                    <w:ind w:firstLine="0"/>
                    <w:jc w:val="center"/>
                    <w:rPr>
                      <w:i/>
                      <w:sz w:val="18"/>
                      <w:szCs w:val="18"/>
                    </w:rPr>
                  </w:pPr>
                  <w:r>
                    <w:rPr>
                      <w:i/>
                      <w:sz w:val="18"/>
                      <w:szCs w:val="18"/>
                    </w:rPr>
                    <w:t>2,0</w:t>
                  </w:r>
                </w:p>
              </w:tc>
            </w:tr>
            <w:tr w:rsidR="006235B2" w:rsidTr="00657744">
              <w:tc>
                <w:tcPr>
                  <w:tcW w:w="1689" w:type="dxa"/>
                  <w:tcBorders>
                    <w:top w:val="single" w:sz="2" w:space="0" w:color="auto"/>
                    <w:left w:val="single" w:sz="12" w:space="0" w:color="auto"/>
                    <w:bottom w:val="single" w:sz="2" w:space="0" w:color="auto"/>
                    <w:right w:val="single" w:sz="12" w:space="0" w:color="auto"/>
                  </w:tcBorders>
                  <w:shd w:val="clear" w:color="auto" w:fill="D9D9D9" w:themeFill="background1" w:themeFillShade="D9"/>
                </w:tcPr>
                <w:p w:rsidR="005B6EBC" w:rsidRDefault="005B6EBC" w:rsidP="00B7152F">
                  <w:pPr>
                    <w:spacing w:after="0" w:line="240" w:lineRule="auto"/>
                    <w:ind w:firstLine="0"/>
                    <w:jc w:val="center"/>
                    <w:rPr>
                      <w:b/>
                      <w:i/>
                      <w:sz w:val="18"/>
                      <w:szCs w:val="18"/>
                    </w:rPr>
                  </w:pPr>
                  <w:r>
                    <w:rPr>
                      <w:b/>
                      <w:i/>
                      <w:sz w:val="18"/>
                      <w:szCs w:val="18"/>
                    </w:rPr>
                    <w:t>1,5</w:t>
                  </w:r>
                </w:p>
              </w:tc>
              <w:tc>
                <w:tcPr>
                  <w:tcW w:w="1689" w:type="dxa"/>
                  <w:tcBorders>
                    <w:top w:val="single" w:sz="2" w:space="0" w:color="auto"/>
                    <w:left w:val="single" w:sz="12" w:space="0" w:color="auto"/>
                    <w:bottom w:val="single" w:sz="2" w:space="0" w:color="auto"/>
                    <w:right w:val="single" w:sz="2" w:space="0" w:color="auto"/>
                  </w:tcBorders>
                  <w:shd w:val="clear" w:color="auto" w:fill="auto"/>
                </w:tcPr>
                <w:p w:rsidR="005B6EBC" w:rsidRPr="00787DA4" w:rsidRDefault="005B6EBC" w:rsidP="005B6EBC">
                  <w:pPr>
                    <w:spacing w:after="0" w:line="240" w:lineRule="auto"/>
                    <w:ind w:firstLine="0"/>
                    <w:jc w:val="center"/>
                    <w:rPr>
                      <w:i/>
                      <w:sz w:val="18"/>
                      <w:szCs w:val="18"/>
                    </w:rPr>
                  </w:pPr>
                  <w:r w:rsidRPr="00787DA4">
                    <w:rPr>
                      <w:i/>
                      <w:sz w:val="18"/>
                      <w:szCs w:val="18"/>
                    </w:rPr>
                    <w:t>7,5</w:t>
                  </w:r>
                </w:p>
              </w:tc>
              <w:tc>
                <w:tcPr>
                  <w:tcW w:w="1689" w:type="dxa"/>
                  <w:tcBorders>
                    <w:top w:val="single" w:sz="2" w:space="0" w:color="auto"/>
                    <w:left w:val="single" w:sz="2" w:space="0" w:color="auto"/>
                    <w:bottom w:val="single" w:sz="2" w:space="0" w:color="auto"/>
                    <w:right w:val="single" w:sz="2" w:space="0" w:color="auto"/>
                  </w:tcBorders>
                  <w:shd w:val="clear" w:color="auto" w:fill="auto"/>
                </w:tcPr>
                <w:p w:rsidR="005B6EBC" w:rsidRPr="00787DA4" w:rsidRDefault="005B6EBC" w:rsidP="005B6EBC">
                  <w:pPr>
                    <w:spacing w:after="0" w:line="240" w:lineRule="auto"/>
                    <w:ind w:firstLine="0"/>
                    <w:jc w:val="center"/>
                    <w:rPr>
                      <w:i/>
                      <w:sz w:val="18"/>
                      <w:szCs w:val="18"/>
                    </w:rPr>
                  </w:pPr>
                  <w:r w:rsidRPr="00787DA4">
                    <w:rPr>
                      <w:i/>
                      <w:sz w:val="18"/>
                      <w:szCs w:val="18"/>
                    </w:rPr>
                    <w:t>6,0</w:t>
                  </w:r>
                </w:p>
              </w:tc>
              <w:tc>
                <w:tcPr>
                  <w:tcW w:w="1690" w:type="dxa"/>
                  <w:tcBorders>
                    <w:top w:val="single" w:sz="2" w:space="0" w:color="auto"/>
                    <w:left w:val="single" w:sz="2" w:space="0" w:color="auto"/>
                    <w:bottom w:val="single" w:sz="2" w:space="0" w:color="auto"/>
                    <w:right w:val="single" w:sz="2" w:space="0" w:color="auto"/>
                  </w:tcBorders>
                  <w:shd w:val="clear" w:color="auto" w:fill="auto"/>
                </w:tcPr>
                <w:p w:rsidR="005B6EBC" w:rsidRPr="00787DA4" w:rsidRDefault="005B6EBC" w:rsidP="005B6EBC">
                  <w:pPr>
                    <w:spacing w:after="0" w:line="240" w:lineRule="auto"/>
                    <w:ind w:firstLine="0"/>
                    <w:jc w:val="center"/>
                    <w:rPr>
                      <w:i/>
                      <w:sz w:val="18"/>
                      <w:szCs w:val="18"/>
                    </w:rPr>
                  </w:pPr>
                  <w:r w:rsidRPr="00787DA4">
                    <w:rPr>
                      <w:i/>
                      <w:sz w:val="18"/>
                      <w:szCs w:val="18"/>
                    </w:rPr>
                    <w:t>4,5</w:t>
                  </w:r>
                </w:p>
              </w:tc>
              <w:tc>
                <w:tcPr>
                  <w:tcW w:w="1690" w:type="dxa"/>
                  <w:tcBorders>
                    <w:top w:val="single" w:sz="2" w:space="0" w:color="auto"/>
                    <w:left w:val="single" w:sz="2" w:space="0" w:color="auto"/>
                    <w:bottom w:val="single" w:sz="2" w:space="0" w:color="auto"/>
                    <w:right w:val="single" w:sz="2" w:space="0" w:color="auto"/>
                  </w:tcBorders>
                  <w:shd w:val="clear" w:color="auto" w:fill="auto"/>
                </w:tcPr>
                <w:p w:rsidR="005B6EBC" w:rsidRPr="00787DA4" w:rsidRDefault="00072D6B" w:rsidP="005B6EBC">
                  <w:pPr>
                    <w:spacing w:after="0" w:line="240" w:lineRule="auto"/>
                    <w:ind w:firstLine="0"/>
                    <w:jc w:val="center"/>
                    <w:rPr>
                      <w:i/>
                      <w:sz w:val="18"/>
                      <w:szCs w:val="18"/>
                    </w:rPr>
                  </w:pPr>
                  <w:r>
                    <w:rPr>
                      <w:i/>
                      <w:sz w:val="18"/>
                      <w:szCs w:val="18"/>
                    </w:rPr>
                    <w:t>3,0</w:t>
                  </w:r>
                </w:p>
              </w:tc>
              <w:tc>
                <w:tcPr>
                  <w:tcW w:w="1690" w:type="dxa"/>
                  <w:tcBorders>
                    <w:top w:val="single" w:sz="2" w:space="0" w:color="auto"/>
                    <w:left w:val="single" w:sz="2" w:space="0" w:color="auto"/>
                    <w:bottom w:val="single" w:sz="2" w:space="0" w:color="auto"/>
                    <w:right w:val="single" w:sz="12" w:space="0" w:color="auto"/>
                  </w:tcBorders>
                  <w:shd w:val="clear" w:color="auto" w:fill="auto"/>
                </w:tcPr>
                <w:p w:rsidR="005B6EBC" w:rsidRPr="00787DA4" w:rsidRDefault="005B6EBC" w:rsidP="005B6EBC">
                  <w:pPr>
                    <w:spacing w:after="0" w:line="240" w:lineRule="auto"/>
                    <w:ind w:firstLine="0"/>
                    <w:jc w:val="center"/>
                    <w:rPr>
                      <w:i/>
                      <w:sz w:val="18"/>
                      <w:szCs w:val="18"/>
                    </w:rPr>
                  </w:pPr>
                  <w:r w:rsidRPr="00787DA4">
                    <w:rPr>
                      <w:i/>
                      <w:sz w:val="18"/>
                      <w:szCs w:val="18"/>
                    </w:rPr>
                    <w:t>1,5</w:t>
                  </w:r>
                </w:p>
              </w:tc>
            </w:tr>
            <w:tr w:rsidR="00F5681F" w:rsidTr="00657744">
              <w:tc>
                <w:tcPr>
                  <w:tcW w:w="1689" w:type="dxa"/>
                  <w:tcBorders>
                    <w:top w:val="single" w:sz="2" w:space="0" w:color="auto"/>
                    <w:left w:val="single" w:sz="12" w:space="0" w:color="auto"/>
                    <w:bottom w:val="single" w:sz="12" w:space="0" w:color="auto"/>
                    <w:right w:val="single" w:sz="12" w:space="0" w:color="auto"/>
                  </w:tcBorders>
                  <w:shd w:val="clear" w:color="auto" w:fill="D9D9D9" w:themeFill="background1" w:themeFillShade="D9"/>
                </w:tcPr>
                <w:p w:rsidR="005B6EBC" w:rsidRDefault="005B6EBC" w:rsidP="005B6EBC">
                  <w:pPr>
                    <w:spacing w:after="0" w:line="240" w:lineRule="auto"/>
                    <w:ind w:firstLine="0"/>
                    <w:jc w:val="center"/>
                    <w:rPr>
                      <w:b/>
                      <w:i/>
                      <w:sz w:val="18"/>
                      <w:szCs w:val="18"/>
                    </w:rPr>
                  </w:pPr>
                  <w:r>
                    <w:rPr>
                      <w:b/>
                      <w:i/>
                      <w:sz w:val="18"/>
                      <w:szCs w:val="18"/>
                    </w:rPr>
                    <w:t>1,0</w:t>
                  </w:r>
                </w:p>
              </w:tc>
              <w:tc>
                <w:tcPr>
                  <w:tcW w:w="1689" w:type="dxa"/>
                  <w:tcBorders>
                    <w:top w:val="single" w:sz="2" w:space="0" w:color="auto"/>
                    <w:left w:val="single" w:sz="12" w:space="0" w:color="auto"/>
                    <w:bottom w:val="single" w:sz="12" w:space="0" w:color="auto"/>
                    <w:right w:val="single" w:sz="2" w:space="0" w:color="auto"/>
                  </w:tcBorders>
                  <w:shd w:val="clear" w:color="auto" w:fill="auto"/>
                </w:tcPr>
                <w:p w:rsidR="005B6EBC" w:rsidRPr="00787DA4" w:rsidRDefault="005B6EBC" w:rsidP="005B6EBC">
                  <w:pPr>
                    <w:spacing w:after="0" w:line="240" w:lineRule="auto"/>
                    <w:ind w:firstLine="0"/>
                    <w:jc w:val="center"/>
                    <w:rPr>
                      <w:i/>
                      <w:sz w:val="18"/>
                      <w:szCs w:val="18"/>
                    </w:rPr>
                  </w:pPr>
                  <w:r w:rsidRPr="00787DA4">
                    <w:rPr>
                      <w:i/>
                      <w:sz w:val="18"/>
                      <w:szCs w:val="18"/>
                    </w:rPr>
                    <w:t>5,0</w:t>
                  </w:r>
                </w:p>
              </w:tc>
              <w:tc>
                <w:tcPr>
                  <w:tcW w:w="1689" w:type="dxa"/>
                  <w:tcBorders>
                    <w:top w:val="single" w:sz="2" w:space="0" w:color="auto"/>
                    <w:left w:val="single" w:sz="2" w:space="0" w:color="auto"/>
                    <w:bottom w:val="single" w:sz="12" w:space="0" w:color="auto"/>
                    <w:right w:val="single" w:sz="2" w:space="0" w:color="auto"/>
                  </w:tcBorders>
                  <w:shd w:val="clear" w:color="auto" w:fill="auto"/>
                </w:tcPr>
                <w:p w:rsidR="005B6EBC" w:rsidRPr="00787DA4" w:rsidRDefault="005B6EBC" w:rsidP="005B6EBC">
                  <w:pPr>
                    <w:spacing w:after="0" w:line="240" w:lineRule="auto"/>
                    <w:ind w:firstLine="0"/>
                    <w:jc w:val="center"/>
                    <w:rPr>
                      <w:i/>
                      <w:sz w:val="18"/>
                      <w:szCs w:val="18"/>
                    </w:rPr>
                  </w:pPr>
                  <w:r w:rsidRPr="00787DA4">
                    <w:rPr>
                      <w:i/>
                      <w:sz w:val="18"/>
                      <w:szCs w:val="18"/>
                    </w:rPr>
                    <w:t>4,0</w:t>
                  </w:r>
                </w:p>
              </w:tc>
              <w:tc>
                <w:tcPr>
                  <w:tcW w:w="1690" w:type="dxa"/>
                  <w:tcBorders>
                    <w:top w:val="single" w:sz="2" w:space="0" w:color="auto"/>
                    <w:left w:val="single" w:sz="2" w:space="0" w:color="auto"/>
                    <w:bottom w:val="single" w:sz="12" w:space="0" w:color="auto"/>
                    <w:right w:val="single" w:sz="2" w:space="0" w:color="auto"/>
                  </w:tcBorders>
                  <w:shd w:val="clear" w:color="auto" w:fill="auto"/>
                </w:tcPr>
                <w:p w:rsidR="005B6EBC" w:rsidRPr="00787DA4" w:rsidRDefault="005B6EBC" w:rsidP="005B6EBC">
                  <w:pPr>
                    <w:spacing w:after="0" w:line="240" w:lineRule="auto"/>
                    <w:ind w:firstLine="0"/>
                    <w:jc w:val="center"/>
                    <w:rPr>
                      <w:i/>
                      <w:sz w:val="18"/>
                      <w:szCs w:val="18"/>
                    </w:rPr>
                  </w:pPr>
                  <w:r w:rsidRPr="00787DA4">
                    <w:rPr>
                      <w:i/>
                      <w:sz w:val="18"/>
                      <w:szCs w:val="18"/>
                    </w:rPr>
                    <w:t>3,0</w:t>
                  </w:r>
                </w:p>
              </w:tc>
              <w:tc>
                <w:tcPr>
                  <w:tcW w:w="1690" w:type="dxa"/>
                  <w:tcBorders>
                    <w:top w:val="single" w:sz="2" w:space="0" w:color="auto"/>
                    <w:left w:val="single" w:sz="2" w:space="0" w:color="auto"/>
                    <w:bottom w:val="single" w:sz="12" w:space="0" w:color="auto"/>
                    <w:right w:val="single" w:sz="2" w:space="0" w:color="auto"/>
                  </w:tcBorders>
                  <w:shd w:val="clear" w:color="auto" w:fill="auto"/>
                </w:tcPr>
                <w:p w:rsidR="005B6EBC" w:rsidRPr="00787DA4" w:rsidRDefault="00072D6B" w:rsidP="005B6EBC">
                  <w:pPr>
                    <w:spacing w:after="0" w:line="240" w:lineRule="auto"/>
                    <w:ind w:firstLine="0"/>
                    <w:jc w:val="center"/>
                    <w:rPr>
                      <w:i/>
                      <w:sz w:val="18"/>
                      <w:szCs w:val="18"/>
                    </w:rPr>
                  </w:pPr>
                  <w:r>
                    <w:rPr>
                      <w:i/>
                      <w:sz w:val="18"/>
                      <w:szCs w:val="18"/>
                    </w:rPr>
                    <w:t>2,0</w:t>
                  </w:r>
                </w:p>
              </w:tc>
              <w:tc>
                <w:tcPr>
                  <w:tcW w:w="1690" w:type="dxa"/>
                  <w:tcBorders>
                    <w:top w:val="single" w:sz="2" w:space="0" w:color="auto"/>
                    <w:left w:val="single" w:sz="2" w:space="0" w:color="auto"/>
                    <w:bottom w:val="single" w:sz="12" w:space="0" w:color="auto"/>
                    <w:right w:val="single" w:sz="12" w:space="0" w:color="auto"/>
                  </w:tcBorders>
                  <w:shd w:val="clear" w:color="auto" w:fill="auto"/>
                </w:tcPr>
                <w:p w:rsidR="005B6EBC" w:rsidRPr="00787DA4" w:rsidRDefault="00A67B2B" w:rsidP="005B6EBC">
                  <w:pPr>
                    <w:spacing w:after="0" w:line="240" w:lineRule="auto"/>
                    <w:ind w:firstLine="0"/>
                    <w:jc w:val="center"/>
                    <w:rPr>
                      <w:i/>
                      <w:sz w:val="18"/>
                      <w:szCs w:val="18"/>
                    </w:rPr>
                  </w:pPr>
                  <w:r>
                    <w:rPr>
                      <w:i/>
                      <w:sz w:val="18"/>
                      <w:szCs w:val="18"/>
                    </w:rPr>
                    <w:t>1,</w:t>
                  </w:r>
                  <w:r w:rsidR="005B6EBC" w:rsidRPr="00787DA4">
                    <w:rPr>
                      <w:i/>
                      <w:sz w:val="18"/>
                      <w:szCs w:val="18"/>
                    </w:rPr>
                    <w:t>0</w:t>
                  </w:r>
                </w:p>
              </w:tc>
            </w:tr>
            <w:tr w:rsidR="00E005CA" w:rsidRPr="00E005CA" w:rsidTr="00657744">
              <w:tc>
                <w:tcPr>
                  <w:tcW w:w="1689" w:type="dxa"/>
                  <w:tcBorders>
                    <w:top w:val="single" w:sz="12" w:space="0" w:color="auto"/>
                    <w:left w:val="nil"/>
                    <w:bottom w:val="nil"/>
                    <w:right w:val="nil"/>
                  </w:tcBorders>
                  <w:shd w:val="clear" w:color="auto" w:fill="auto"/>
                </w:tcPr>
                <w:p w:rsidR="00E005CA" w:rsidRPr="00E005CA" w:rsidRDefault="00E005CA" w:rsidP="005B6EBC">
                  <w:pPr>
                    <w:spacing w:after="0" w:line="240" w:lineRule="auto"/>
                    <w:ind w:firstLine="0"/>
                    <w:jc w:val="center"/>
                    <w:rPr>
                      <w:b/>
                      <w:i/>
                      <w:sz w:val="6"/>
                      <w:szCs w:val="6"/>
                    </w:rPr>
                  </w:pPr>
                </w:p>
              </w:tc>
              <w:tc>
                <w:tcPr>
                  <w:tcW w:w="1689" w:type="dxa"/>
                  <w:tcBorders>
                    <w:top w:val="single" w:sz="12" w:space="0" w:color="auto"/>
                    <w:left w:val="nil"/>
                    <w:bottom w:val="nil"/>
                    <w:right w:val="nil"/>
                  </w:tcBorders>
                  <w:shd w:val="clear" w:color="auto" w:fill="auto"/>
                </w:tcPr>
                <w:p w:rsidR="00E005CA" w:rsidRPr="00E005CA" w:rsidRDefault="00E005CA" w:rsidP="005B6EBC">
                  <w:pPr>
                    <w:spacing w:after="0" w:line="240" w:lineRule="auto"/>
                    <w:ind w:firstLine="0"/>
                    <w:jc w:val="center"/>
                    <w:rPr>
                      <w:b/>
                      <w:i/>
                      <w:sz w:val="6"/>
                      <w:szCs w:val="6"/>
                    </w:rPr>
                  </w:pPr>
                </w:p>
              </w:tc>
              <w:tc>
                <w:tcPr>
                  <w:tcW w:w="1689" w:type="dxa"/>
                  <w:tcBorders>
                    <w:top w:val="single" w:sz="12" w:space="0" w:color="auto"/>
                    <w:left w:val="nil"/>
                    <w:bottom w:val="nil"/>
                    <w:right w:val="nil"/>
                  </w:tcBorders>
                  <w:shd w:val="clear" w:color="auto" w:fill="auto"/>
                </w:tcPr>
                <w:p w:rsidR="00E005CA" w:rsidRPr="00E005CA" w:rsidRDefault="00E005CA" w:rsidP="005B6EBC">
                  <w:pPr>
                    <w:spacing w:after="0" w:line="240" w:lineRule="auto"/>
                    <w:ind w:firstLine="0"/>
                    <w:jc w:val="center"/>
                    <w:rPr>
                      <w:b/>
                      <w:i/>
                      <w:sz w:val="6"/>
                      <w:szCs w:val="6"/>
                    </w:rPr>
                  </w:pPr>
                </w:p>
              </w:tc>
              <w:tc>
                <w:tcPr>
                  <w:tcW w:w="1690" w:type="dxa"/>
                  <w:tcBorders>
                    <w:top w:val="single" w:sz="12" w:space="0" w:color="auto"/>
                    <w:left w:val="nil"/>
                    <w:bottom w:val="nil"/>
                    <w:right w:val="nil"/>
                  </w:tcBorders>
                  <w:shd w:val="clear" w:color="auto" w:fill="auto"/>
                </w:tcPr>
                <w:p w:rsidR="00E005CA" w:rsidRPr="00E005CA" w:rsidRDefault="00E005CA" w:rsidP="005B6EBC">
                  <w:pPr>
                    <w:spacing w:after="0" w:line="240" w:lineRule="auto"/>
                    <w:ind w:firstLine="0"/>
                    <w:jc w:val="center"/>
                    <w:rPr>
                      <w:b/>
                      <w:i/>
                      <w:sz w:val="6"/>
                      <w:szCs w:val="6"/>
                    </w:rPr>
                  </w:pPr>
                </w:p>
              </w:tc>
              <w:tc>
                <w:tcPr>
                  <w:tcW w:w="1690" w:type="dxa"/>
                  <w:tcBorders>
                    <w:top w:val="single" w:sz="12" w:space="0" w:color="auto"/>
                    <w:left w:val="nil"/>
                    <w:bottom w:val="nil"/>
                    <w:right w:val="nil"/>
                  </w:tcBorders>
                  <w:shd w:val="clear" w:color="auto" w:fill="auto"/>
                </w:tcPr>
                <w:p w:rsidR="00E005CA" w:rsidRPr="00E005CA" w:rsidRDefault="00E005CA" w:rsidP="005B6EBC">
                  <w:pPr>
                    <w:spacing w:after="0" w:line="240" w:lineRule="auto"/>
                    <w:ind w:firstLine="0"/>
                    <w:jc w:val="center"/>
                    <w:rPr>
                      <w:b/>
                      <w:i/>
                      <w:sz w:val="6"/>
                      <w:szCs w:val="6"/>
                    </w:rPr>
                  </w:pPr>
                </w:p>
              </w:tc>
              <w:tc>
                <w:tcPr>
                  <w:tcW w:w="1690" w:type="dxa"/>
                  <w:tcBorders>
                    <w:top w:val="single" w:sz="12" w:space="0" w:color="auto"/>
                    <w:left w:val="nil"/>
                    <w:bottom w:val="nil"/>
                    <w:right w:val="nil"/>
                  </w:tcBorders>
                  <w:shd w:val="clear" w:color="auto" w:fill="auto"/>
                </w:tcPr>
                <w:p w:rsidR="00E005CA" w:rsidRPr="00E005CA" w:rsidRDefault="00E005CA" w:rsidP="005B6EBC">
                  <w:pPr>
                    <w:spacing w:after="0" w:line="240" w:lineRule="auto"/>
                    <w:ind w:firstLine="0"/>
                    <w:jc w:val="center"/>
                    <w:rPr>
                      <w:b/>
                      <w:i/>
                      <w:sz w:val="6"/>
                      <w:szCs w:val="6"/>
                    </w:rPr>
                  </w:pPr>
                </w:p>
              </w:tc>
            </w:tr>
          </w:tbl>
          <w:p w:rsidR="00C63D3E" w:rsidRPr="002C501C" w:rsidRDefault="00C63D3E" w:rsidP="00C63D3E">
            <w:pPr>
              <w:spacing w:after="0" w:line="240" w:lineRule="auto"/>
              <w:ind w:firstLine="0"/>
              <w:jc w:val="center"/>
              <w:rPr>
                <w:b/>
                <w:i/>
                <w:sz w:val="6"/>
                <w:szCs w:val="6"/>
              </w:rPr>
            </w:pPr>
          </w:p>
        </w:tc>
      </w:tr>
    </w:tbl>
    <w:p w:rsidR="00965DC2" w:rsidRDefault="00906D2F" w:rsidP="00965DC2">
      <w:pPr>
        <w:rPr>
          <w:sz w:val="20"/>
        </w:rPr>
      </w:pPr>
      <w:r w:rsidRPr="00C60018">
        <w:rPr>
          <w:b/>
          <w:sz w:val="20"/>
        </w:rPr>
        <w:t>Šaltinis</w:t>
      </w:r>
      <w:r w:rsidRPr="00C60018">
        <w:rPr>
          <w:sz w:val="20"/>
        </w:rPr>
        <w:t>: sudaryta šio darbo autorės</w:t>
      </w:r>
      <w:r w:rsidR="00FF5F45">
        <w:rPr>
          <w:sz w:val="20"/>
        </w:rPr>
        <w:t>, remiantis ekspertų vertinimais</w:t>
      </w:r>
    </w:p>
    <w:p w:rsidR="000E6205" w:rsidRPr="00512DE1" w:rsidRDefault="000E6205" w:rsidP="000E6205">
      <w:pPr>
        <w:rPr>
          <w:color w:val="0070C0"/>
        </w:rPr>
      </w:pPr>
      <w:r>
        <w:t xml:space="preserve">Apibendrinant, reikėtų pasakyti, jog šitaip vertinimui „paruošti“ </w:t>
      </w:r>
      <w:r w:rsidRPr="00600A09">
        <w:t xml:space="preserve">veiksniai </w:t>
      </w:r>
      <w:r w:rsidR="00F41471" w:rsidRPr="00600A09">
        <w:t xml:space="preserve"> (žr. 1 lent.) </w:t>
      </w:r>
      <w:r w:rsidRPr="00600A09">
        <w:t>leis</w:t>
      </w:r>
      <w:r>
        <w:t xml:space="preserve"> tiksliau ne tik nustatyti </w:t>
      </w:r>
      <w:r w:rsidR="00A1233B">
        <w:t xml:space="preserve">finansinės </w:t>
      </w:r>
      <w:r>
        <w:t xml:space="preserve">elgsenos pobūdį, bet ir </w:t>
      </w:r>
      <w:r w:rsidR="00A1233B">
        <w:t xml:space="preserve">pateikti </w:t>
      </w:r>
      <w:r>
        <w:t xml:space="preserve">skaitinę jos išraišką racionalumo atžvilgiu, kadangi, </w:t>
      </w:r>
      <w:r w:rsidR="00067D56">
        <w:t xml:space="preserve">sustiprinant </w:t>
      </w:r>
      <w:r w:rsidR="0089650A">
        <w:t xml:space="preserve">(K – 2; 1,5) </w:t>
      </w:r>
      <w:r w:rsidR="00067D56">
        <w:t xml:space="preserve">kai kurių </w:t>
      </w:r>
      <w:r>
        <w:t>veiksnių įtaką</w:t>
      </w:r>
      <w:r w:rsidR="0089650A">
        <w:t xml:space="preserve">, </w:t>
      </w:r>
      <w:r>
        <w:t xml:space="preserve">bus galima įžvelgti </w:t>
      </w:r>
      <w:r w:rsidR="005543C9">
        <w:t xml:space="preserve">stipriąsias </w:t>
      </w:r>
      <w:r w:rsidR="00AD43F6">
        <w:t xml:space="preserve">(10; 8; </w:t>
      </w:r>
      <w:r w:rsidR="00B22BBF">
        <w:t xml:space="preserve">7,5; </w:t>
      </w:r>
      <w:r w:rsidR="00AD43F6">
        <w:t>6</w:t>
      </w:r>
      <w:r w:rsidR="00067D56">
        <w:t>; 5</w:t>
      </w:r>
      <w:r w:rsidR="00AD43F6">
        <w:t>)</w:t>
      </w:r>
      <w:r w:rsidR="008223E6">
        <w:t>,</w:t>
      </w:r>
      <w:r w:rsidR="00AD43F6">
        <w:t xml:space="preserve"> </w:t>
      </w:r>
      <w:r w:rsidR="00BC0567">
        <w:t xml:space="preserve">tarpines (4,5) </w:t>
      </w:r>
      <w:r w:rsidR="005543C9">
        <w:t>i</w:t>
      </w:r>
      <w:r w:rsidR="00120533">
        <w:t>r</w:t>
      </w:r>
      <w:r w:rsidR="005543C9">
        <w:t xml:space="preserve"> </w:t>
      </w:r>
      <w:r>
        <w:t xml:space="preserve">silpnąsias </w:t>
      </w:r>
      <w:r w:rsidR="00784C0B">
        <w:t>(1; 1,5; 2; 3</w:t>
      </w:r>
      <w:r w:rsidR="00DD5987">
        <w:t>; 4</w:t>
      </w:r>
      <w:r w:rsidR="00784C0B">
        <w:t xml:space="preserve">) </w:t>
      </w:r>
      <w:r>
        <w:t>vietas, t. y. tikrąsias problemines sritis, kurias bus siekiama koreguoti.</w:t>
      </w:r>
    </w:p>
    <w:p w:rsidR="00F660DD" w:rsidRDefault="00D45964" w:rsidP="00E9562A">
      <w:pPr>
        <w:pStyle w:val="Heading2"/>
      </w:pPr>
      <w:bookmarkStart w:id="26" w:name="_Toc343636887"/>
      <w:r>
        <w:lastRenderedPageBreak/>
        <w:t>Pageidautinos</w:t>
      </w:r>
      <w:r w:rsidR="00F660DD">
        <w:t xml:space="preserve"> reikšmės</w:t>
      </w:r>
      <w:r w:rsidR="00F83A31">
        <w:t xml:space="preserve">, </w:t>
      </w:r>
      <w:r w:rsidR="00B03D3E">
        <w:t>atspindinčios racionali</w:t>
      </w:r>
      <w:r w:rsidR="00AA4F12">
        <w:t>ą finansinę elgseną, nustatymas</w:t>
      </w:r>
      <w:bookmarkEnd w:id="26"/>
    </w:p>
    <w:p w:rsidR="002C2CB5" w:rsidRDefault="004457BC" w:rsidP="006D4DD9">
      <w:r>
        <w:t>Nagrinėj</w:t>
      </w:r>
      <w:r w:rsidR="00EC3855">
        <w:t xml:space="preserve">ant </w:t>
      </w:r>
      <w:r w:rsidR="001862C1">
        <w:t>gyventojų</w:t>
      </w:r>
      <w:r w:rsidR="00896506">
        <w:t xml:space="preserve"> finansinės elgsenos</w:t>
      </w:r>
      <w:r w:rsidR="00EC3855">
        <w:t xml:space="preserve"> </w:t>
      </w:r>
      <w:r w:rsidR="00896506">
        <w:t>vertinim</w:t>
      </w:r>
      <w:r w:rsidR="00EC3855">
        <w:t>o aspektus</w:t>
      </w:r>
      <w:r w:rsidR="00896506">
        <w:t xml:space="preserve">, buvo </w:t>
      </w:r>
      <w:r>
        <w:t xml:space="preserve">padaryta </w:t>
      </w:r>
      <w:r w:rsidR="00896506">
        <w:t>išvad</w:t>
      </w:r>
      <w:r>
        <w:t>a</w:t>
      </w:r>
      <w:r w:rsidR="001862C1">
        <w:t>, jog vertini</w:t>
      </w:r>
      <w:r w:rsidR="00EC3855">
        <w:t>mo samprata</w:t>
      </w:r>
      <w:r w:rsidR="001862C1">
        <w:t xml:space="preserve"> reikalauja </w:t>
      </w:r>
      <w:r w:rsidR="004A49E0">
        <w:t>nustatyti vertinamo objekto vertę</w:t>
      </w:r>
      <w:r w:rsidR="003B6BD0">
        <w:t xml:space="preserve"> </w:t>
      </w:r>
      <w:r w:rsidR="004A49E0">
        <w:t>panašaus į jį</w:t>
      </w:r>
      <w:r w:rsidR="00C0435A">
        <w:t>,</w:t>
      </w:r>
      <w:r w:rsidR="004C6AF8">
        <w:t xml:space="preserve"> ar</w:t>
      </w:r>
      <w:r w:rsidR="001256C7">
        <w:t xml:space="preserve"> </w:t>
      </w:r>
      <w:r w:rsidR="001256C7" w:rsidRPr="00803F2B">
        <w:rPr>
          <w:i/>
        </w:rPr>
        <w:t>pasižyminčio siektinais</w:t>
      </w:r>
      <w:r w:rsidR="004B2E27" w:rsidRPr="00803F2B">
        <w:rPr>
          <w:i/>
        </w:rPr>
        <w:t xml:space="preserve"> </w:t>
      </w:r>
      <w:r w:rsidR="000C369E">
        <w:rPr>
          <w:i/>
        </w:rPr>
        <w:t>parametrais</w:t>
      </w:r>
      <w:r w:rsidR="004C6AF8">
        <w:rPr>
          <w:i/>
        </w:rPr>
        <w:t>,</w:t>
      </w:r>
      <w:r w:rsidR="000C369E">
        <w:rPr>
          <w:i/>
        </w:rPr>
        <w:t xml:space="preserve"> </w:t>
      </w:r>
      <w:r w:rsidR="00C25748">
        <w:t>objekto</w:t>
      </w:r>
      <w:r w:rsidR="00616E99">
        <w:t xml:space="preserve"> </w:t>
      </w:r>
      <w:r w:rsidR="004A49E0">
        <w:t>atžvilgi</w:t>
      </w:r>
      <w:r w:rsidR="003B6BD0">
        <w:t xml:space="preserve">u, todėl </w:t>
      </w:r>
      <w:r w:rsidR="00046D78">
        <w:t xml:space="preserve">bedarbių </w:t>
      </w:r>
      <w:r>
        <w:t>i</w:t>
      </w:r>
      <w:r w:rsidR="00046D78">
        <w:t>r</w:t>
      </w:r>
      <w:r w:rsidR="00746832">
        <w:t xml:space="preserve"> socialin</w:t>
      </w:r>
      <w:r w:rsidR="000C369E">
        <w:t>ės</w:t>
      </w:r>
      <w:r w:rsidR="00746832">
        <w:t xml:space="preserve"> param</w:t>
      </w:r>
      <w:r w:rsidR="000C369E">
        <w:t>os gavėjų</w:t>
      </w:r>
      <w:r w:rsidR="00505673">
        <w:t xml:space="preserve"> elgseną</w:t>
      </w:r>
      <w:r w:rsidR="00746832">
        <w:t xml:space="preserve"> </w:t>
      </w:r>
      <w:r w:rsidR="00EB2253">
        <w:t xml:space="preserve">buvo </w:t>
      </w:r>
      <w:r w:rsidR="003B6BD0">
        <w:t>nuspręsta</w:t>
      </w:r>
      <w:r w:rsidR="006332FC">
        <w:t xml:space="preserve"> </w:t>
      </w:r>
      <w:r w:rsidR="00612759">
        <w:t xml:space="preserve">vertinti, </w:t>
      </w:r>
      <w:r w:rsidR="00407F26">
        <w:t xml:space="preserve">lyginant ją su </w:t>
      </w:r>
      <w:r w:rsidR="00045D17">
        <w:t xml:space="preserve">tinkama, arba </w:t>
      </w:r>
      <w:r w:rsidR="00407F26">
        <w:t>pageidautina</w:t>
      </w:r>
      <w:r w:rsidR="00045D17">
        <w:t>,</w:t>
      </w:r>
      <w:r w:rsidR="00086B4C">
        <w:t xml:space="preserve"> </w:t>
      </w:r>
      <w:r w:rsidR="004340F0" w:rsidRPr="00045D17">
        <w:t>elgsena</w:t>
      </w:r>
      <w:r w:rsidR="00754C22" w:rsidRPr="00045D17">
        <w:t xml:space="preserve">, </w:t>
      </w:r>
      <w:r w:rsidR="00EB7275" w:rsidRPr="00045D17">
        <w:t>kuri</w:t>
      </w:r>
      <w:r w:rsidR="00045FD3" w:rsidRPr="00045D17">
        <w:t xml:space="preserve"> </w:t>
      </w:r>
      <w:r w:rsidR="000F3A13">
        <w:t xml:space="preserve">yra </w:t>
      </w:r>
      <w:r w:rsidR="00045FD3" w:rsidRPr="00045D17">
        <w:t xml:space="preserve">būdinga </w:t>
      </w:r>
      <w:r w:rsidR="00EB7275" w:rsidRPr="00045D17">
        <w:rPr>
          <w:i/>
        </w:rPr>
        <w:t>ekonomišk</w:t>
      </w:r>
      <w:r w:rsidR="00045FD3" w:rsidRPr="00045D17">
        <w:rPr>
          <w:i/>
        </w:rPr>
        <w:t>u racionalumu</w:t>
      </w:r>
      <w:r w:rsidR="00045FD3" w:rsidRPr="00045D17">
        <w:t xml:space="preserve"> pasižyminčiam</w:t>
      </w:r>
      <w:r w:rsidR="009C1E39" w:rsidRPr="00045D17">
        <w:t xml:space="preserve"> </w:t>
      </w:r>
      <w:r w:rsidR="00F33368" w:rsidRPr="00045D17">
        <w:t>žmogui</w:t>
      </w:r>
      <w:r w:rsidR="00B865F5" w:rsidRPr="00045D17">
        <w:t>.</w:t>
      </w:r>
    </w:p>
    <w:p w:rsidR="009E7E26" w:rsidRDefault="002C2CB5" w:rsidP="006D4DD9">
      <w:r>
        <w:t xml:space="preserve">Kadangi </w:t>
      </w:r>
      <w:r w:rsidR="00200014">
        <w:t xml:space="preserve">pastarąją </w:t>
      </w:r>
      <w:r w:rsidR="00D72D83">
        <w:t>elgsen</w:t>
      </w:r>
      <w:r w:rsidR="001F39D2">
        <w:t>ą</w:t>
      </w:r>
      <w:r w:rsidR="004C376A">
        <w:t xml:space="preserve"> </w:t>
      </w:r>
      <w:r w:rsidR="00200014">
        <w:t xml:space="preserve">buvo </w:t>
      </w:r>
      <w:r w:rsidR="009934CE">
        <w:t>nuspręst</w:t>
      </w:r>
      <w:r w:rsidR="00C237E4">
        <w:t xml:space="preserve">a </w:t>
      </w:r>
      <w:r w:rsidR="001F39D2">
        <w:t>siet</w:t>
      </w:r>
      <w:r w:rsidR="004C376A">
        <w:t>i</w:t>
      </w:r>
      <w:r w:rsidR="00C237E4">
        <w:t xml:space="preserve"> </w:t>
      </w:r>
      <w:r w:rsidR="00BD4A12">
        <w:t xml:space="preserve">su </w:t>
      </w:r>
      <w:r w:rsidR="001F39D2">
        <w:t>sprendimai</w:t>
      </w:r>
      <w:r w:rsidR="00244D97">
        <w:t>s</w:t>
      </w:r>
      <w:r w:rsidR="00C237E4">
        <w:t xml:space="preserve">, kurie </w:t>
      </w:r>
      <w:r w:rsidR="001F39D2">
        <w:t xml:space="preserve">ne tik </w:t>
      </w:r>
      <w:r w:rsidR="0017053C">
        <w:t>maksimizuoja</w:t>
      </w:r>
      <w:r w:rsidR="008F1B86">
        <w:t xml:space="preserve"> </w:t>
      </w:r>
      <w:r w:rsidR="00BD4DD2">
        <w:t>naudą, bet</w:t>
      </w:r>
      <w:r w:rsidR="008F1B86">
        <w:t xml:space="preserve"> </w:t>
      </w:r>
      <w:r w:rsidR="001F39D2">
        <w:t xml:space="preserve">ir </w:t>
      </w:r>
      <w:r w:rsidR="001F39D2" w:rsidRPr="005A5151">
        <w:t>nekenkia</w:t>
      </w:r>
      <w:r w:rsidR="007134CA" w:rsidRPr="005A5151">
        <w:t xml:space="preserve"> kit</w:t>
      </w:r>
      <w:r w:rsidR="00F23B6F" w:rsidRPr="005A5151">
        <w:t>ų</w:t>
      </w:r>
      <w:r w:rsidR="007134CA" w:rsidRPr="005A5151">
        <w:t xml:space="preserve"> </w:t>
      </w:r>
      <w:r w:rsidR="00BD4DD2" w:rsidRPr="005A5151">
        <w:t xml:space="preserve">žmonių </w:t>
      </w:r>
      <w:r w:rsidR="00277CBD" w:rsidRPr="005A5151">
        <w:t>finansiniam gyvybingumui</w:t>
      </w:r>
      <w:r w:rsidR="008F1B86" w:rsidRPr="005A5151">
        <w:t>,</w:t>
      </w:r>
      <w:r w:rsidR="008F1B86">
        <w:t xml:space="preserve"> galima</w:t>
      </w:r>
      <w:r w:rsidR="00B0657D">
        <w:t xml:space="preserve"> tvirtinti</w:t>
      </w:r>
      <w:r w:rsidR="007134CA">
        <w:t>, jog</w:t>
      </w:r>
      <w:r w:rsidR="002A508E">
        <w:t xml:space="preserve"> – </w:t>
      </w:r>
      <w:r w:rsidR="002A508E" w:rsidRPr="00BF5C4A">
        <w:t xml:space="preserve">pagal </w:t>
      </w:r>
      <w:r w:rsidR="00D337D7" w:rsidRPr="00BF5C4A">
        <w:t>š</w:t>
      </w:r>
      <w:r w:rsidR="002A508E" w:rsidRPr="00BF5C4A">
        <w:t>ią sampratą</w:t>
      </w:r>
      <w:r w:rsidR="007134CA">
        <w:t xml:space="preserve"> </w:t>
      </w:r>
      <w:r w:rsidR="002A508E">
        <w:t xml:space="preserve">– </w:t>
      </w:r>
      <w:r w:rsidR="00092A23">
        <w:t>racionaliai mąstanti</w:t>
      </w:r>
      <w:r w:rsidR="002F29BD">
        <w:t xml:space="preserve"> būtybė</w:t>
      </w:r>
      <w:r w:rsidR="00277CBD">
        <w:t xml:space="preserve"> </w:t>
      </w:r>
      <w:r w:rsidR="002F29BD">
        <w:t>turėtų būti „atspari</w:t>
      </w:r>
      <w:r w:rsidR="00DD3D67">
        <w:t xml:space="preserve">“ </w:t>
      </w:r>
      <w:r w:rsidR="009B559A">
        <w:t xml:space="preserve">kai kurių </w:t>
      </w:r>
      <w:r w:rsidR="00277CBD">
        <w:t>veiksnių</w:t>
      </w:r>
      <w:r w:rsidR="002F29BD">
        <w:t xml:space="preserve"> įtakai</w:t>
      </w:r>
      <w:r w:rsidR="00F52D6B">
        <w:t>. Vadinasi, norint</w:t>
      </w:r>
      <w:r w:rsidR="004356EB">
        <w:t xml:space="preserve"> išsiaiškinti</w:t>
      </w:r>
      <w:r w:rsidR="00B00A39">
        <w:t xml:space="preserve">, kokia </w:t>
      </w:r>
      <w:r w:rsidR="00200014">
        <w:t xml:space="preserve">elgsena </w:t>
      </w:r>
      <w:r w:rsidR="00807EED">
        <w:t>turėtų būti pageidautina</w:t>
      </w:r>
      <w:r w:rsidR="00AD28AF">
        <w:t xml:space="preserve"> </w:t>
      </w:r>
      <w:r w:rsidR="00AD28AF" w:rsidRPr="00D337D7">
        <w:rPr>
          <w:i/>
        </w:rPr>
        <w:t>valstybės atžvilgiu</w:t>
      </w:r>
      <w:r w:rsidR="00807EED">
        <w:t xml:space="preserve">, </w:t>
      </w:r>
      <w:r w:rsidR="000E5D9F">
        <w:t xml:space="preserve">reikėtų </w:t>
      </w:r>
      <w:r w:rsidR="00F85E04">
        <w:t xml:space="preserve">nustatyti, kaip </w:t>
      </w:r>
      <w:r w:rsidR="009329E3">
        <w:t>tinkam</w:t>
      </w:r>
      <w:r w:rsidR="00077B12">
        <w:t xml:space="preserve">us sprendimus </w:t>
      </w:r>
      <w:r w:rsidR="009066AA">
        <w:t xml:space="preserve">gebantis </w:t>
      </w:r>
      <w:r w:rsidR="00B975FE">
        <w:t>priim</w:t>
      </w:r>
      <w:r w:rsidR="009066AA">
        <w:t>ti</w:t>
      </w:r>
      <w:r w:rsidR="00077B12">
        <w:t xml:space="preserve"> </w:t>
      </w:r>
      <w:r w:rsidR="00BC6685">
        <w:t xml:space="preserve">žmogus </w:t>
      </w:r>
      <w:r w:rsidR="00F85E04">
        <w:t>turėtų reaguoti</w:t>
      </w:r>
      <w:r w:rsidR="009066AA">
        <w:t xml:space="preserve"> į įvairius</w:t>
      </w:r>
      <w:r w:rsidR="00042901">
        <w:t xml:space="preserve"> pokyčius</w:t>
      </w:r>
      <w:r w:rsidR="00290A17">
        <w:t>. T</w:t>
      </w:r>
      <w:r w:rsidR="0008577A">
        <w:t xml:space="preserve">aigi racionalią finansinę elgseną </w:t>
      </w:r>
      <w:r w:rsidR="00737464">
        <w:t xml:space="preserve">parodančio </w:t>
      </w:r>
      <w:r w:rsidR="00E74DBD">
        <w:t xml:space="preserve">dydžio </w:t>
      </w:r>
      <w:r w:rsidR="00BC6685">
        <w:t>radim</w:t>
      </w:r>
      <w:r w:rsidR="00132FE2">
        <w:t>as</w:t>
      </w:r>
      <w:r w:rsidR="00F643E6">
        <w:t xml:space="preserve"> turėtų būti paremta</w:t>
      </w:r>
      <w:r w:rsidR="00132FE2">
        <w:t>s</w:t>
      </w:r>
      <w:r w:rsidR="005A5151">
        <w:t xml:space="preserve"> tų pačių</w:t>
      </w:r>
      <w:r w:rsidR="0008577A">
        <w:t xml:space="preserve"> </w:t>
      </w:r>
      <w:r w:rsidR="007E0C8A">
        <w:t xml:space="preserve">veiksnių, </w:t>
      </w:r>
      <w:r w:rsidR="00290A17">
        <w:t xml:space="preserve">– </w:t>
      </w:r>
      <w:r w:rsidR="005A5151" w:rsidRPr="00290A17">
        <w:rPr>
          <w:i/>
        </w:rPr>
        <w:t xml:space="preserve">kurie </w:t>
      </w:r>
      <w:r w:rsidR="008C4C46">
        <w:rPr>
          <w:i/>
        </w:rPr>
        <w:t xml:space="preserve">lemia socialinių </w:t>
      </w:r>
      <w:r w:rsidR="002118DD" w:rsidRPr="00290A17">
        <w:rPr>
          <w:i/>
        </w:rPr>
        <w:t>išmokų gavėj</w:t>
      </w:r>
      <w:r w:rsidR="00293F7E" w:rsidRPr="00290A17">
        <w:rPr>
          <w:i/>
        </w:rPr>
        <w:t>ų</w:t>
      </w:r>
      <w:r w:rsidR="00290A17" w:rsidRPr="00290A17">
        <w:rPr>
          <w:i/>
        </w:rPr>
        <w:t xml:space="preserve"> elgsen</w:t>
      </w:r>
      <w:r w:rsidR="008C4C46">
        <w:rPr>
          <w:i/>
        </w:rPr>
        <w:t>ą</w:t>
      </w:r>
      <w:r w:rsidR="00955088">
        <w:t xml:space="preserve">, </w:t>
      </w:r>
      <w:r w:rsidR="00290A17">
        <w:t xml:space="preserve">– </w:t>
      </w:r>
      <w:r w:rsidR="008C4C46">
        <w:t xml:space="preserve">įtakos </w:t>
      </w:r>
      <w:r w:rsidR="00293F7E" w:rsidRPr="00290A17">
        <w:t>į</w:t>
      </w:r>
      <w:r w:rsidR="00955088" w:rsidRPr="00290A17">
        <w:t>vertinimu.</w:t>
      </w:r>
    </w:p>
    <w:p w:rsidR="00183358" w:rsidRDefault="00BD6FCF" w:rsidP="006D4DD9">
      <w:r>
        <w:t>Reikėtų atkreipti dėmesį, jog, v</w:t>
      </w:r>
      <w:r w:rsidR="00C9705D">
        <w:t>ertinant tų pačių</w:t>
      </w:r>
      <w:r>
        <w:t xml:space="preserve"> veiksnių įtaką</w:t>
      </w:r>
      <w:r w:rsidR="00F72FD6">
        <w:t xml:space="preserve">, bus </w:t>
      </w:r>
      <w:r w:rsidR="00A91925">
        <w:t xml:space="preserve">itin nesudėtinga </w:t>
      </w:r>
      <w:r w:rsidR="00F72FD6">
        <w:t>palyginti</w:t>
      </w:r>
      <w:r w:rsidR="00A91925">
        <w:t>, kiek realaus žmogaus elgsena</w:t>
      </w:r>
      <w:r w:rsidR="003B670C">
        <w:t xml:space="preserve"> nukrypsta nuo nustatytų normų,</w:t>
      </w:r>
      <w:r w:rsidR="000F2FCE">
        <w:t xml:space="preserve"> nes vertė bus apskaičiuota</w:t>
      </w:r>
      <w:r w:rsidR="0053677B">
        <w:t xml:space="preserve"> kiekvienam veiksniui</w:t>
      </w:r>
      <w:r w:rsidR="00B84871">
        <w:t xml:space="preserve"> atskirai</w:t>
      </w:r>
      <w:r w:rsidR="000F2FCE">
        <w:t xml:space="preserve"> bei</w:t>
      </w:r>
      <w:r w:rsidR="0053677B">
        <w:t xml:space="preserve"> veiksnių grupei</w:t>
      </w:r>
      <w:r w:rsidR="00CA3881">
        <w:t xml:space="preserve"> </w:t>
      </w:r>
      <w:r w:rsidR="00CA3881" w:rsidRPr="00410BC2">
        <w:t>kartu</w:t>
      </w:r>
      <w:r w:rsidR="004C500B" w:rsidRPr="00410BC2">
        <w:t xml:space="preserve">. </w:t>
      </w:r>
      <w:r w:rsidR="00CD75DA" w:rsidRPr="00410BC2">
        <w:t xml:space="preserve">Be to, tai </w:t>
      </w:r>
      <w:r w:rsidR="000F2FCE" w:rsidRPr="00410BC2">
        <w:t>suteiks galimybę</w:t>
      </w:r>
      <w:r w:rsidR="00A7615C" w:rsidRPr="00410BC2">
        <w:t xml:space="preserve"> </w:t>
      </w:r>
      <w:r w:rsidR="00741E3B" w:rsidRPr="00410BC2">
        <w:t>apskaičiuo</w:t>
      </w:r>
      <w:r w:rsidR="00741E3B" w:rsidRPr="001D1455">
        <w:t xml:space="preserve">ti </w:t>
      </w:r>
      <w:r w:rsidR="00526F2D" w:rsidRPr="001D1455">
        <w:t xml:space="preserve">racionalios </w:t>
      </w:r>
      <w:r w:rsidR="00A7615C" w:rsidRPr="001D1455">
        <w:t xml:space="preserve">finansinės </w:t>
      </w:r>
      <w:r w:rsidR="00526F2D" w:rsidRPr="001D1455">
        <w:t>elgsenos</w:t>
      </w:r>
      <w:r w:rsidR="0033767A" w:rsidRPr="001D1455">
        <w:t xml:space="preserve"> rodiklį, kuris</w:t>
      </w:r>
      <w:r w:rsidR="0033767A">
        <w:t xml:space="preserve"> </w:t>
      </w:r>
      <w:r w:rsidR="00261F06">
        <w:t xml:space="preserve">padės </w:t>
      </w:r>
      <w:r w:rsidR="00A022B5">
        <w:t xml:space="preserve">nustatyti Lietuvos </w:t>
      </w:r>
      <w:r w:rsidR="003853DE">
        <w:t xml:space="preserve">bedarbių ir socialinės paramos gavėjų </w:t>
      </w:r>
      <w:r w:rsidR="00A022B5">
        <w:t>finansinės elgsenos pobūdį.</w:t>
      </w:r>
    </w:p>
    <w:p w:rsidR="00C87986" w:rsidRDefault="007D7FBE" w:rsidP="006D4DD9">
      <w:r>
        <w:rPr>
          <w:b/>
          <w:i/>
          <w:u w:val="single"/>
        </w:rPr>
        <w:t>Pageidautin</w:t>
      </w:r>
      <w:r w:rsidR="00113C58">
        <w:rPr>
          <w:b/>
          <w:i/>
          <w:u w:val="single"/>
        </w:rPr>
        <w:t>o</w:t>
      </w:r>
      <w:r w:rsidR="00001AA6">
        <w:rPr>
          <w:b/>
          <w:i/>
          <w:u w:val="single"/>
        </w:rPr>
        <w:t xml:space="preserve"> finansin</w:t>
      </w:r>
      <w:r w:rsidR="005D387C">
        <w:rPr>
          <w:b/>
          <w:i/>
          <w:u w:val="single"/>
        </w:rPr>
        <w:t>io</w:t>
      </w:r>
      <w:r w:rsidR="00001AA6">
        <w:rPr>
          <w:b/>
          <w:i/>
          <w:u w:val="single"/>
        </w:rPr>
        <w:t xml:space="preserve"> </w:t>
      </w:r>
      <w:r w:rsidR="005D387C">
        <w:rPr>
          <w:b/>
          <w:i/>
          <w:u w:val="single"/>
        </w:rPr>
        <w:t xml:space="preserve">atsako </w:t>
      </w:r>
      <w:r w:rsidR="00113C58">
        <w:rPr>
          <w:b/>
          <w:i/>
          <w:u w:val="single"/>
        </w:rPr>
        <w:t>į įvairių veiksnių pasireiškimą</w:t>
      </w:r>
      <w:r w:rsidR="008F42B3">
        <w:rPr>
          <w:b/>
          <w:i/>
          <w:u w:val="single"/>
        </w:rPr>
        <w:t xml:space="preserve"> </w:t>
      </w:r>
      <w:r w:rsidR="00197A50">
        <w:rPr>
          <w:b/>
          <w:i/>
          <w:u w:val="single"/>
        </w:rPr>
        <w:t>nustatymas</w:t>
      </w:r>
      <w:r w:rsidR="00F27A40">
        <w:t xml:space="preserve">. </w:t>
      </w:r>
      <w:r w:rsidR="00B4141A">
        <w:t>Siekian</w:t>
      </w:r>
      <w:r w:rsidR="00531DD5">
        <w:t>t</w:t>
      </w:r>
      <w:r w:rsidR="008A6290">
        <w:t xml:space="preserve"> išsiaiškinti</w:t>
      </w:r>
      <w:r w:rsidR="00DF20EE">
        <w:t>,</w:t>
      </w:r>
      <w:r w:rsidR="00964593">
        <w:t xml:space="preserve"> k</w:t>
      </w:r>
      <w:r w:rsidR="007B35AF">
        <w:t>aip</w:t>
      </w:r>
      <w:r w:rsidR="004F6964">
        <w:t xml:space="preserve"> veiksnių, lemiančių pajamų formavimą iš socialinės apsaugos lėšų, pasireiškimas</w:t>
      </w:r>
      <w:r w:rsidR="00D8521B">
        <w:t xml:space="preserve"> pa</w:t>
      </w:r>
      <w:r w:rsidR="00AF3131">
        <w:t>veiktų</w:t>
      </w:r>
      <w:r w:rsidR="007B35AF">
        <w:t xml:space="preserve"> racionaliai mąstan</w:t>
      </w:r>
      <w:r w:rsidR="00AF3131">
        <w:t>čio</w:t>
      </w:r>
      <w:r w:rsidR="007B35AF">
        <w:t xml:space="preserve"> žmog</w:t>
      </w:r>
      <w:r w:rsidR="00AF3131">
        <w:t xml:space="preserve">aus </w:t>
      </w:r>
      <w:r w:rsidR="005C0091">
        <w:t xml:space="preserve">finansinius </w:t>
      </w:r>
      <w:r w:rsidR="00AF3131">
        <w:t xml:space="preserve">sprendimus, ekspertų buvo prašoma </w:t>
      </w:r>
      <w:r w:rsidR="00511ED6">
        <w:t xml:space="preserve">išreikšti </w:t>
      </w:r>
      <w:r w:rsidR="00E36370">
        <w:t xml:space="preserve">(šiuo klausimu) </w:t>
      </w:r>
      <w:r w:rsidR="00D10EEF">
        <w:t xml:space="preserve">savo </w:t>
      </w:r>
      <w:r w:rsidR="00511ED6">
        <w:t>poziciją</w:t>
      </w:r>
      <w:r w:rsidR="00D10EEF">
        <w:t xml:space="preserve"> </w:t>
      </w:r>
      <w:r w:rsidR="00D10EEF" w:rsidRPr="00CE349B">
        <w:rPr>
          <w:i/>
        </w:rPr>
        <w:t>skaičiais</w:t>
      </w:r>
      <w:r w:rsidR="00511ED6">
        <w:t>,</w:t>
      </w:r>
      <w:r w:rsidR="00D10EEF">
        <w:t xml:space="preserve"> t. y.</w:t>
      </w:r>
      <w:r w:rsidR="00511ED6">
        <w:t xml:space="preserve"> </w:t>
      </w:r>
      <w:r w:rsidR="005F50F9">
        <w:t xml:space="preserve">įvertinti </w:t>
      </w:r>
      <w:r w:rsidR="00E42F4F">
        <w:t xml:space="preserve">nurodytų </w:t>
      </w:r>
      <w:r w:rsidR="005F50F9">
        <w:t>veiksnių įtak</w:t>
      </w:r>
      <w:r w:rsidR="00D31D94">
        <w:t>os dydį</w:t>
      </w:r>
      <w:r w:rsidR="005F50F9">
        <w:t xml:space="preserve"> </w:t>
      </w:r>
      <w:r w:rsidR="002451AD">
        <w:t>5</w:t>
      </w:r>
      <w:r w:rsidR="00ED7D1E">
        <w:t xml:space="preserve"> balų skale</w:t>
      </w:r>
      <w:r w:rsidR="00A32CC4">
        <w:t xml:space="preserve">, </w:t>
      </w:r>
      <w:r w:rsidR="00ED7D1E">
        <w:t xml:space="preserve">kur: </w:t>
      </w:r>
      <w:r w:rsidR="00ED7D1E" w:rsidRPr="003A238B">
        <w:rPr>
          <w:i/>
        </w:rPr>
        <w:t>1</w:t>
      </w:r>
      <w:r w:rsidR="00ED7D1E">
        <w:t xml:space="preserve"> – labai didelė įtaka; </w:t>
      </w:r>
      <w:r w:rsidR="00ED7D1E" w:rsidRPr="003A238B">
        <w:rPr>
          <w:i/>
        </w:rPr>
        <w:t>2</w:t>
      </w:r>
      <w:r w:rsidR="00ED7D1E">
        <w:t xml:space="preserve"> – didelė įtaka; </w:t>
      </w:r>
      <w:r w:rsidR="00ED7D1E" w:rsidRPr="003A238B">
        <w:rPr>
          <w:i/>
        </w:rPr>
        <w:t>3</w:t>
      </w:r>
      <w:r w:rsidR="00ED7D1E">
        <w:t xml:space="preserve"> – vidutinė įtaka; </w:t>
      </w:r>
      <w:r w:rsidR="00ED7D1E" w:rsidRPr="003A238B">
        <w:rPr>
          <w:i/>
        </w:rPr>
        <w:t>4</w:t>
      </w:r>
      <w:r w:rsidR="00ED7D1E">
        <w:t xml:space="preserve"> – maža įtaka; </w:t>
      </w:r>
      <w:r w:rsidR="00ED7D1E" w:rsidRPr="003A238B">
        <w:rPr>
          <w:i/>
        </w:rPr>
        <w:t>5</w:t>
      </w:r>
      <w:r w:rsidR="00ED7D1E">
        <w:t> – labai</w:t>
      </w:r>
      <w:r w:rsidR="00A32CC4">
        <w:t xml:space="preserve"> maža įtaka.</w:t>
      </w:r>
      <w:r w:rsidR="00CE349B">
        <w:t xml:space="preserve"> </w:t>
      </w:r>
      <w:r w:rsidR="002451AD">
        <w:t xml:space="preserve">Apibendrinti rezultatai </w:t>
      </w:r>
      <w:r w:rsidR="005F50F9" w:rsidRPr="00600A09">
        <w:t>pateikti 2</w:t>
      </w:r>
      <w:r w:rsidR="00ED74A1" w:rsidRPr="00600A09">
        <w:t xml:space="preserve"> lentelėj</w:t>
      </w:r>
      <w:r w:rsidR="005F50F9" w:rsidRPr="00600A09">
        <w:t>e.</w:t>
      </w:r>
    </w:p>
    <w:p w:rsidR="002451AD" w:rsidRDefault="00B1103A" w:rsidP="006D4DD9">
      <w:r>
        <w:t xml:space="preserve">Reikėtų pastebėti, jog </w:t>
      </w:r>
      <w:r w:rsidR="00441AC4">
        <w:t xml:space="preserve">kaip </w:t>
      </w:r>
      <w:r w:rsidRPr="00680821">
        <w:rPr>
          <w:b/>
          <w:i/>
        </w:rPr>
        <w:t>darančiais mažiausią įtaką</w:t>
      </w:r>
      <w:r>
        <w:t xml:space="preserve"> </w:t>
      </w:r>
      <w:r w:rsidR="00D27CC1" w:rsidRPr="00C70579">
        <w:t>racionalių</w:t>
      </w:r>
      <w:r w:rsidR="00441AC4" w:rsidRPr="00C70579">
        <w:t xml:space="preserve"> žmonių</w:t>
      </w:r>
      <w:r w:rsidR="00D27CC1">
        <w:t xml:space="preserve"> finansiniams sprendimams </w:t>
      </w:r>
      <w:r w:rsidR="00441AC4">
        <w:t xml:space="preserve">ekspertai </w:t>
      </w:r>
      <w:r w:rsidR="00D27CC1">
        <w:t>nurodė</w:t>
      </w:r>
      <w:r w:rsidR="00441AC4">
        <w:t xml:space="preserve"> </w:t>
      </w:r>
      <w:r w:rsidR="00441AC4" w:rsidRPr="00665626">
        <w:t>emocinius-psichologinius</w:t>
      </w:r>
      <w:r w:rsidR="00680821" w:rsidRPr="00665626">
        <w:t xml:space="preserve"> </w:t>
      </w:r>
      <w:r w:rsidR="00441AC4" w:rsidRPr="00665626">
        <w:t>veiksnius</w:t>
      </w:r>
      <w:r w:rsidR="00680821" w:rsidRPr="00665626">
        <w:t xml:space="preserve"> </w:t>
      </w:r>
      <w:r w:rsidR="006121C2" w:rsidRPr="00665626">
        <w:t>–</w:t>
      </w:r>
      <w:r w:rsidR="007125B7">
        <w:t xml:space="preserve"> o</w:t>
      </w:r>
      <w:r w:rsidR="006121C2">
        <w:t xml:space="preserve"> </w:t>
      </w:r>
      <w:r w:rsidR="004F4324">
        <w:t>tai</w:t>
      </w:r>
      <w:r w:rsidR="006121C2">
        <w:t xml:space="preserve"> atskleidžia</w:t>
      </w:r>
      <w:r w:rsidR="00680821">
        <w:t>, jog</w:t>
      </w:r>
      <w:r w:rsidR="004F4324">
        <w:t xml:space="preserve">, priimant sprendimą </w:t>
      </w:r>
      <w:r w:rsidR="006121C2">
        <w:t xml:space="preserve">pajamas formuoti iš </w:t>
      </w:r>
      <w:r w:rsidR="004F4324">
        <w:t>socialinės apsaugos lėš</w:t>
      </w:r>
      <w:r w:rsidR="006121C2">
        <w:t>ų</w:t>
      </w:r>
      <w:r w:rsidR="007125B7">
        <w:t xml:space="preserve"> </w:t>
      </w:r>
      <w:r w:rsidR="007125B7" w:rsidRPr="00E73E6D">
        <w:rPr>
          <w:i/>
        </w:rPr>
        <w:t>šių veiksnių pagrindu</w:t>
      </w:r>
      <w:r w:rsidR="0018612C">
        <w:t>,</w:t>
      </w:r>
      <w:r w:rsidR="00B73A80">
        <w:t xml:space="preserve"> </w:t>
      </w:r>
      <w:r w:rsidR="00871343">
        <w:t xml:space="preserve">finansinė </w:t>
      </w:r>
      <w:r w:rsidR="00B73A80">
        <w:t>elgsena turėtų tapti</w:t>
      </w:r>
      <w:r w:rsidR="0018612C">
        <w:t xml:space="preserve"> </w:t>
      </w:r>
      <w:r w:rsidR="00E73E6D">
        <w:t>ne</w:t>
      </w:r>
      <w:r w:rsidR="00C765CF">
        <w:t xml:space="preserve">pagrįsta, </w:t>
      </w:r>
      <w:r w:rsidR="00BE1240">
        <w:t xml:space="preserve">– </w:t>
      </w:r>
      <w:r w:rsidR="00C765CF">
        <w:t>taigi ir neracionali.</w:t>
      </w:r>
      <w:r w:rsidR="00665626">
        <w:t xml:space="preserve"> </w:t>
      </w:r>
      <w:r w:rsidR="003D082E">
        <w:t>Nepagrįstum</w:t>
      </w:r>
      <w:r w:rsidR="00591C38">
        <w:t>ą</w:t>
      </w:r>
      <w:r w:rsidR="003D082E">
        <w:t xml:space="preserve"> </w:t>
      </w:r>
      <w:r w:rsidR="00665626">
        <w:t>gali</w:t>
      </w:r>
      <w:r w:rsidR="00591C38">
        <w:t>ma</w:t>
      </w:r>
      <w:r w:rsidR="00665626">
        <w:t xml:space="preserve"> būt</w:t>
      </w:r>
      <w:r w:rsidR="00591C38">
        <w:t>ų</w:t>
      </w:r>
      <w:r w:rsidR="00665626">
        <w:t xml:space="preserve"> </w:t>
      </w:r>
      <w:r w:rsidR="001B6763">
        <w:t xml:space="preserve">aiškinti </w:t>
      </w:r>
      <w:r w:rsidR="003D082E">
        <w:t>tuo, jog racional</w:t>
      </w:r>
      <w:r w:rsidR="00AE302F">
        <w:t>iai mąstan</w:t>
      </w:r>
      <w:r w:rsidR="00E41BF1">
        <w:t>ti</w:t>
      </w:r>
      <w:r w:rsidR="003D082E">
        <w:t xml:space="preserve"> </w:t>
      </w:r>
      <w:r w:rsidR="00AE302F">
        <w:t>būtybė</w:t>
      </w:r>
      <w:r w:rsidR="00E41BF1">
        <w:t xml:space="preserve"> turėtų gebėti įžvelgti </w:t>
      </w:r>
      <w:r w:rsidR="00906663">
        <w:t xml:space="preserve">sąsajas ir </w:t>
      </w:r>
      <w:r w:rsidR="000A31AC">
        <w:t xml:space="preserve">priežastinius ryšius </w:t>
      </w:r>
      <w:r w:rsidR="003E0B75">
        <w:t>tarp</w:t>
      </w:r>
      <w:r w:rsidR="000A31AC">
        <w:t xml:space="preserve"> </w:t>
      </w:r>
      <w:r w:rsidR="006229D2">
        <w:t xml:space="preserve">savo paties priimamų sprendimų ir atsako </w:t>
      </w:r>
      <w:r w:rsidR="006229D2" w:rsidRPr="00B22B69">
        <w:rPr>
          <w:i/>
        </w:rPr>
        <w:t xml:space="preserve">iš išorės </w:t>
      </w:r>
      <w:r w:rsidR="006229D2">
        <w:t>į juos</w:t>
      </w:r>
      <w:r w:rsidR="00906663">
        <w:t xml:space="preserve">, todėl </w:t>
      </w:r>
      <w:r w:rsidR="00B16A84">
        <w:t xml:space="preserve">neturėtų </w:t>
      </w:r>
      <w:r w:rsidR="00280663">
        <w:t>būti veikiama mentalinių sąskaitų</w:t>
      </w:r>
      <w:r w:rsidR="00FA3545">
        <w:t>, amoralaus šeimyniškumo</w:t>
      </w:r>
      <w:r w:rsidR="005B58ED">
        <w:t xml:space="preserve"> ar</w:t>
      </w:r>
      <w:r w:rsidR="00C41FFF">
        <w:t xml:space="preserve"> </w:t>
      </w:r>
      <w:r w:rsidR="00C122A3">
        <w:t>grupin</w:t>
      </w:r>
      <w:r w:rsidR="00004EEA">
        <w:t>io mąstymo</w:t>
      </w:r>
      <w:r w:rsidR="00FA46E8">
        <w:t xml:space="preserve">, </w:t>
      </w:r>
      <w:r w:rsidR="005772F8">
        <w:t xml:space="preserve">t. y. tų veiksnių, kurie parodo, jog žmogus </w:t>
      </w:r>
      <w:r w:rsidR="00096464">
        <w:t xml:space="preserve">ne tik </w:t>
      </w:r>
      <w:r w:rsidR="00905045">
        <w:t>nesuvokia socialinės apsaugos esmės, bet ir nejaučia asmeninės atsakomybės.</w:t>
      </w:r>
    </w:p>
    <w:p w:rsidR="002F7767" w:rsidRDefault="00A337BB" w:rsidP="006D4DD9">
      <w:r>
        <w:t xml:space="preserve">Kalbant apie </w:t>
      </w:r>
      <w:r w:rsidR="0067715B">
        <w:t>socialinius-demografinius veiksnius, reikėtų</w:t>
      </w:r>
      <w:r w:rsidR="003F0648">
        <w:t xml:space="preserve"> pasakyti</w:t>
      </w:r>
      <w:r w:rsidR="0067715B">
        <w:t xml:space="preserve">, jog, </w:t>
      </w:r>
      <w:r w:rsidR="0008714C">
        <w:t>šie veiksniai</w:t>
      </w:r>
      <w:r w:rsidR="00D56978">
        <w:t xml:space="preserve"> ekspertų buvo įvertinti kaip darantys </w:t>
      </w:r>
      <w:r w:rsidR="00322117">
        <w:rPr>
          <w:b/>
          <w:i/>
        </w:rPr>
        <w:t>didžiausią</w:t>
      </w:r>
      <w:r w:rsidR="00D56978" w:rsidRPr="00B74429">
        <w:rPr>
          <w:b/>
          <w:i/>
        </w:rPr>
        <w:t xml:space="preserve"> įtaką</w:t>
      </w:r>
      <w:r w:rsidR="00D56978">
        <w:t xml:space="preserve"> racionalaus žmogaus sprendimui</w:t>
      </w:r>
      <w:r w:rsidR="00322117">
        <w:t xml:space="preserve"> pajamas kaup</w:t>
      </w:r>
      <w:r w:rsidR="00B51D5B">
        <w:t>ti iš valstybės lėšų – tai</w:t>
      </w:r>
      <w:r w:rsidR="00C71CC9">
        <w:t xml:space="preserve"> atskleidžia</w:t>
      </w:r>
      <w:r w:rsidR="00B51D5B">
        <w:t xml:space="preserve">, </w:t>
      </w:r>
      <w:r w:rsidR="00AF76E7">
        <w:t xml:space="preserve">jog </w:t>
      </w:r>
      <w:r w:rsidR="00AE49E7">
        <w:t>i</w:t>
      </w:r>
      <w:r w:rsidR="00AF76E7">
        <w:t>r</w:t>
      </w:r>
      <w:r w:rsidR="00AE49E7">
        <w:t xml:space="preserve"> </w:t>
      </w:r>
      <w:r w:rsidR="00AF76E7">
        <w:t>tinkama</w:t>
      </w:r>
      <w:r w:rsidR="00693ED9">
        <w:t>i besielgiantis</w:t>
      </w:r>
      <w:r w:rsidR="00AF76E7">
        <w:t xml:space="preserve"> </w:t>
      </w:r>
      <w:r w:rsidR="00C71CC9">
        <w:t xml:space="preserve">asmuo </w:t>
      </w:r>
      <w:r w:rsidR="00A03D90">
        <w:t xml:space="preserve">kartais negali </w:t>
      </w:r>
      <w:r w:rsidR="00D133FC">
        <w:t xml:space="preserve">(dėl </w:t>
      </w:r>
      <w:r w:rsidR="0074636E">
        <w:t>netinkamo</w:t>
      </w:r>
      <w:r w:rsidR="00D133FC">
        <w:t xml:space="preserve"> </w:t>
      </w:r>
      <w:r w:rsidR="00D869FF">
        <w:t>išsilavinimo ar</w:t>
      </w:r>
      <w:r w:rsidR="00667F1A">
        <w:t xml:space="preserve"> </w:t>
      </w:r>
      <w:r w:rsidR="00693ED9">
        <w:t>profesijos</w:t>
      </w:r>
      <w:r w:rsidR="00667F1A">
        <w:t xml:space="preserve">, </w:t>
      </w:r>
      <w:r w:rsidR="00525653">
        <w:t xml:space="preserve">kompetencijos </w:t>
      </w:r>
      <w:r w:rsidR="00667F1A">
        <w:t xml:space="preserve">ar darbo patirties stokos) </w:t>
      </w:r>
      <w:r w:rsidR="0042550B">
        <w:t xml:space="preserve">formuoti </w:t>
      </w:r>
      <w:r w:rsidR="00B74429">
        <w:t xml:space="preserve">pajamų </w:t>
      </w:r>
      <w:r w:rsidR="00A03D90">
        <w:t>iš kitų šaltinių</w:t>
      </w:r>
      <w:r w:rsidR="003B7C75">
        <w:t xml:space="preserve">, todėl </w:t>
      </w:r>
      <w:r w:rsidR="005E67BA">
        <w:t xml:space="preserve">privalo </w:t>
      </w:r>
      <w:r w:rsidR="00AD2111">
        <w:t xml:space="preserve">laikinai </w:t>
      </w:r>
      <w:r w:rsidR="003B7C75">
        <w:t>pasinaudoti</w:t>
      </w:r>
      <w:r w:rsidR="00E84578">
        <w:t xml:space="preserve"> socialinėmis</w:t>
      </w:r>
      <w:r w:rsidR="009B34C4">
        <w:t xml:space="preserve"> išmokomis</w:t>
      </w:r>
      <w:r w:rsidR="00AD2111">
        <w:t xml:space="preserve">, kad </w:t>
      </w:r>
      <w:r w:rsidR="008E6886">
        <w:t xml:space="preserve">galėtų </w:t>
      </w:r>
      <w:r w:rsidR="00E60CBE">
        <w:t>patenkinti bazinius poreikius</w:t>
      </w:r>
      <w:r w:rsidR="008C773D">
        <w:t xml:space="preserve"> ir pasiruošti </w:t>
      </w:r>
      <w:r w:rsidR="00D869FF">
        <w:t xml:space="preserve">naujam </w:t>
      </w:r>
      <w:r w:rsidR="00525653">
        <w:t>gyvenimo</w:t>
      </w:r>
      <w:r w:rsidR="008C773D">
        <w:t xml:space="preserve"> etapui.</w:t>
      </w:r>
    </w:p>
    <w:p w:rsidR="007E0464" w:rsidRDefault="007E0464" w:rsidP="006D4DD9">
      <w:r>
        <w:lastRenderedPageBreak/>
        <w:t xml:space="preserve">Nedaug nuo pastarųjų veiksnių įvertinimo atsiliko </w:t>
      </w:r>
      <w:r w:rsidR="002A72CA">
        <w:t xml:space="preserve">ir </w:t>
      </w:r>
      <w:r>
        <w:t>teisiniai-poli</w:t>
      </w:r>
      <w:r w:rsidR="002A72CA">
        <w:t>tiniai veiksniai</w:t>
      </w:r>
      <w:r w:rsidR="0016470D">
        <w:t>:</w:t>
      </w:r>
      <w:r w:rsidR="002A72CA">
        <w:t xml:space="preserve"> </w:t>
      </w:r>
      <w:r w:rsidR="0043298D">
        <w:t>ekspertai nurodė, jog</w:t>
      </w:r>
      <w:r w:rsidR="00B62E37">
        <w:t xml:space="preserve"> </w:t>
      </w:r>
      <w:r w:rsidR="006668C8">
        <w:t xml:space="preserve">neigiamas </w:t>
      </w:r>
      <w:r w:rsidR="00B62E37">
        <w:t>socialinės apsaugos</w:t>
      </w:r>
      <w:r w:rsidR="002B2E90">
        <w:t xml:space="preserve"> sistemos</w:t>
      </w:r>
      <w:r w:rsidR="00B62E37">
        <w:t xml:space="preserve"> „įvaizdis“</w:t>
      </w:r>
      <w:r w:rsidR="00741933">
        <w:t xml:space="preserve"> gali tapti pakankamai objektyvia priežastimi</w:t>
      </w:r>
      <w:r w:rsidR="006668C8">
        <w:t xml:space="preserve"> rinktis gyvenimą iš socialinės apsaugos lėš</w:t>
      </w:r>
      <w:r w:rsidR="002A72CA">
        <w:t xml:space="preserve">ų, </w:t>
      </w:r>
      <w:r w:rsidR="00A77464">
        <w:t xml:space="preserve">kadangi, </w:t>
      </w:r>
      <w:r w:rsidR="00647FB4">
        <w:t>neskatinant</w:t>
      </w:r>
      <w:r w:rsidR="006668C8">
        <w:t xml:space="preserve"> </w:t>
      </w:r>
      <w:r w:rsidR="00385DB7">
        <w:t xml:space="preserve">užimtumo </w:t>
      </w:r>
      <w:r w:rsidR="00961420">
        <w:t>i</w:t>
      </w:r>
      <w:r w:rsidR="00647FB4">
        <w:t>r atsakomybės</w:t>
      </w:r>
      <w:r w:rsidR="00385DB7">
        <w:t xml:space="preserve"> už savo sprendimus</w:t>
      </w:r>
      <w:r w:rsidR="0016470D">
        <w:t xml:space="preserve">, </w:t>
      </w:r>
      <w:r w:rsidR="00A77464">
        <w:t>žmonėm</w:t>
      </w:r>
      <w:r w:rsidR="00385DB7">
        <w:t xml:space="preserve">s </w:t>
      </w:r>
      <w:r w:rsidR="0016470D">
        <w:t xml:space="preserve">sudaromos prielaidos </w:t>
      </w:r>
      <w:r w:rsidR="00DC01E6">
        <w:t xml:space="preserve">– </w:t>
      </w:r>
      <w:r w:rsidR="00DC01E6" w:rsidRPr="00DC01E6">
        <w:rPr>
          <w:i/>
        </w:rPr>
        <w:t>leidžiama</w:t>
      </w:r>
      <w:r w:rsidR="00DC01E6">
        <w:t xml:space="preserve"> – </w:t>
      </w:r>
      <w:r w:rsidR="0016470D" w:rsidRPr="001D55DF">
        <w:t>socialine gerov</w:t>
      </w:r>
      <w:r w:rsidR="003311EB" w:rsidRPr="001D55DF">
        <w:t>e</w:t>
      </w:r>
      <w:r w:rsidR="003311EB">
        <w:t xml:space="preserve"> </w:t>
      </w:r>
      <w:r w:rsidR="00DC01E6">
        <w:t>pasi</w:t>
      </w:r>
      <w:r w:rsidR="0016470D">
        <w:t>naudoti</w:t>
      </w:r>
      <w:r w:rsidR="003311EB">
        <w:t xml:space="preserve"> neteisėtai. Tą patį būtų galima pasakyti ir apie kai kuriuos ekonominius veiksnius</w:t>
      </w:r>
      <w:r w:rsidR="00B01E79">
        <w:t>, pavyzdžiui, skurdo „spąstus“</w:t>
      </w:r>
      <w:r w:rsidR="00D57150">
        <w:t>, kurie, užkirsdami kelią</w:t>
      </w:r>
      <w:r w:rsidR="00651053">
        <w:t xml:space="preserve"> </w:t>
      </w:r>
      <w:r w:rsidR="00D57150">
        <w:t xml:space="preserve">didinti </w:t>
      </w:r>
      <w:r w:rsidR="00D93FE2">
        <w:t xml:space="preserve">turimas </w:t>
      </w:r>
      <w:r w:rsidR="00D57150">
        <w:t>pajamas</w:t>
      </w:r>
      <w:r w:rsidR="00D93FE2">
        <w:t xml:space="preserve"> (paprastai minimalias)</w:t>
      </w:r>
      <w:r w:rsidR="003E6DEC">
        <w:t>,</w:t>
      </w:r>
      <w:r w:rsidR="00193832">
        <w:t xml:space="preserve"> </w:t>
      </w:r>
      <w:r w:rsidR="00651053">
        <w:t>sumažina motyvaciją stengtis</w:t>
      </w:r>
      <w:r w:rsidR="004E4401">
        <w:t xml:space="preserve"> – taigi</w:t>
      </w:r>
      <w:r w:rsidR="00193832">
        <w:t>,</w:t>
      </w:r>
      <w:r w:rsidR="004E4401">
        <w:t xml:space="preserve"> ir užsidirbti patiems.</w:t>
      </w:r>
    </w:p>
    <w:bookmarkStart w:id="27" w:name="_Toc343638397"/>
    <w:p w:rsidR="006A6732" w:rsidRDefault="00D84BC4" w:rsidP="00886347">
      <w:pPr>
        <w:pStyle w:val="Caption"/>
      </w:pPr>
      <w:r w:rsidRPr="00600A09">
        <w:fldChar w:fldCharType="begin"/>
      </w:r>
      <w:r w:rsidR="00600A09" w:rsidRPr="00600A09">
        <w:instrText xml:space="preserve"> SEQ lentelė \* ARABIC </w:instrText>
      </w:r>
      <w:r w:rsidRPr="00600A09">
        <w:fldChar w:fldCharType="separate"/>
      </w:r>
      <w:r w:rsidR="00600A09" w:rsidRPr="00600A09">
        <w:t>2</w:t>
      </w:r>
      <w:r w:rsidRPr="00600A09">
        <w:fldChar w:fldCharType="end"/>
      </w:r>
      <w:r w:rsidR="00600A09" w:rsidRPr="00600A09">
        <w:t xml:space="preserve"> </w:t>
      </w:r>
      <w:r w:rsidR="00D86E52" w:rsidRPr="00600A09">
        <w:t>lentelė</w:t>
      </w:r>
      <w:r w:rsidR="00600A09" w:rsidRPr="00600A09">
        <w:t>.</w:t>
      </w:r>
      <w:r w:rsidR="00D86E52" w:rsidRPr="00D86E52">
        <w:rPr>
          <w:color w:val="FF0000"/>
        </w:rPr>
        <w:t xml:space="preserve"> </w:t>
      </w:r>
      <w:r w:rsidR="004D1F2A">
        <w:t xml:space="preserve">Ekspertų nuomonė apie </w:t>
      </w:r>
      <w:r w:rsidR="006A6732">
        <w:t xml:space="preserve">racionalaus žmogaus </w:t>
      </w:r>
      <w:r w:rsidR="004D1F2A">
        <w:t>finansinei elgsenai įtaką darančius veiksnius</w:t>
      </w:r>
      <w:bookmarkEnd w:id="27"/>
    </w:p>
    <w:tbl>
      <w:tblPr>
        <w:tblStyle w:val="TableGrid"/>
        <w:tblW w:w="10432"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tblPr>
      <w:tblGrid>
        <w:gridCol w:w="3024"/>
        <w:gridCol w:w="504"/>
        <w:gridCol w:w="504"/>
        <w:gridCol w:w="504"/>
        <w:gridCol w:w="504"/>
        <w:gridCol w:w="504"/>
        <w:gridCol w:w="504"/>
        <w:gridCol w:w="504"/>
        <w:gridCol w:w="504"/>
        <w:gridCol w:w="504"/>
        <w:gridCol w:w="504"/>
        <w:gridCol w:w="504"/>
        <w:gridCol w:w="602"/>
        <w:gridCol w:w="1262"/>
      </w:tblGrid>
      <w:tr w:rsidR="006A6732" w:rsidRPr="002F3789" w:rsidTr="006A6732">
        <w:trPr>
          <w:trHeight w:val="218"/>
        </w:trPr>
        <w:tc>
          <w:tcPr>
            <w:tcW w:w="3024" w:type="dxa"/>
            <w:vMerge w:val="restart"/>
            <w:tcBorders>
              <w:top w:val="single" w:sz="12" w:space="0" w:color="auto"/>
              <w:right w:val="single" w:sz="12" w:space="0" w:color="auto"/>
            </w:tcBorders>
            <w:shd w:val="clear" w:color="auto" w:fill="D9D9D9" w:themeFill="background1" w:themeFillShade="D9"/>
            <w:vAlign w:val="center"/>
          </w:tcPr>
          <w:p w:rsidR="006A6732" w:rsidRPr="002F3789" w:rsidRDefault="006A6732" w:rsidP="006A6732">
            <w:pPr>
              <w:spacing w:after="0" w:line="240" w:lineRule="auto"/>
              <w:ind w:firstLine="0"/>
              <w:jc w:val="center"/>
              <w:rPr>
                <w:b/>
                <w:i/>
                <w:sz w:val="17"/>
                <w:szCs w:val="17"/>
              </w:rPr>
            </w:pPr>
            <w:r w:rsidRPr="002F3789">
              <w:rPr>
                <w:b/>
                <w:i/>
                <w:sz w:val="17"/>
                <w:szCs w:val="17"/>
              </w:rPr>
              <w:t>- A -</w:t>
            </w:r>
          </w:p>
        </w:tc>
        <w:tc>
          <w:tcPr>
            <w:tcW w:w="504" w:type="dxa"/>
            <w:vMerge w:val="restart"/>
            <w:tcBorders>
              <w:top w:val="single" w:sz="12" w:space="0" w:color="auto"/>
              <w:left w:val="single" w:sz="12" w:space="0" w:color="auto"/>
            </w:tcBorders>
            <w:shd w:val="clear" w:color="auto" w:fill="D9D9D9" w:themeFill="background1" w:themeFillShade="D9"/>
            <w:vAlign w:val="center"/>
          </w:tcPr>
          <w:p w:rsidR="006A6732" w:rsidRPr="00B2203B" w:rsidRDefault="006A6732" w:rsidP="006A6732">
            <w:pPr>
              <w:spacing w:after="0" w:line="240" w:lineRule="auto"/>
              <w:ind w:firstLine="0"/>
              <w:jc w:val="center"/>
              <w:rPr>
                <w:b/>
                <w:i/>
                <w:color w:val="0070C0"/>
                <w:sz w:val="17"/>
                <w:szCs w:val="17"/>
              </w:rPr>
            </w:pPr>
            <w:r w:rsidRPr="00B2203B">
              <w:rPr>
                <w:b/>
                <w:i/>
                <w:color w:val="0070C0"/>
                <w:sz w:val="17"/>
                <w:szCs w:val="17"/>
              </w:rPr>
              <w:t>K</w:t>
            </w:r>
          </w:p>
        </w:tc>
        <w:tc>
          <w:tcPr>
            <w:tcW w:w="5040" w:type="dxa"/>
            <w:gridSpan w:val="10"/>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F3789" w:rsidRDefault="006A6732" w:rsidP="006A6732">
            <w:pPr>
              <w:spacing w:after="0" w:line="240" w:lineRule="auto"/>
              <w:ind w:firstLine="0"/>
              <w:jc w:val="center"/>
              <w:rPr>
                <w:b/>
                <w:i/>
                <w:sz w:val="17"/>
                <w:szCs w:val="17"/>
              </w:rPr>
            </w:pPr>
            <w:r w:rsidRPr="002F3789">
              <w:rPr>
                <w:b/>
                <w:i/>
                <w:sz w:val="17"/>
                <w:szCs w:val="17"/>
              </w:rPr>
              <w:t>Ekspertų vertinimai</w:t>
            </w:r>
          </w:p>
        </w:tc>
        <w:tc>
          <w:tcPr>
            <w:tcW w:w="602" w:type="dxa"/>
            <w:vMerge w:val="restart"/>
            <w:tcBorders>
              <w:top w:val="single" w:sz="12" w:space="0" w:color="auto"/>
              <w:left w:val="single" w:sz="12" w:space="0" w:color="auto"/>
            </w:tcBorders>
            <w:shd w:val="clear" w:color="auto" w:fill="D9D9D9" w:themeFill="background1" w:themeFillShade="D9"/>
            <w:vAlign w:val="center"/>
          </w:tcPr>
          <w:p w:rsidR="006A6732" w:rsidRPr="002F3789" w:rsidRDefault="006A6732" w:rsidP="006A6732">
            <w:pPr>
              <w:spacing w:after="0" w:line="240" w:lineRule="auto"/>
              <w:ind w:firstLine="0"/>
              <w:jc w:val="center"/>
              <w:rPr>
                <w:b/>
                <w:i/>
                <w:sz w:val="17"/>
                <w:szCs w:val="17"/>
              </w:rPr>
            </w:pPr>
            <w:proofErr w:type="spellStart"/>
            <w:r w:rsidRPr="002F3789">
              <w:rPr>
                <w:b/>
                <w:i/>
                <w:sz w:val="17"/>
                <w:szCs w:val="17"/>
              </w:rPr>
              <w:t>Mo</w:t>
            </w:r>
            <w:proofErr w:type="spellEnd"/>
          </w:p>
        </w:tc>
        <w:tc>
          <w:tcPr>
            <w:tcW w:w="1262" w:type="dxa"/>
            <w:vMerge w:val="restart"/>
            <w:tcBorders>
              <w:top w:val="single" w:sz="12" w:space="0" w:color="auto"/>
              <w:left w:val="single" w:sz="2" w:space="0" w:color="auto"/>
            </w:tcBorders>
            <w:shd w:val="clear" w:color="auto" w:fill="D9D9D9" w:themeFill="background1" w:themeFillShade="D9"/>
            <w:vAlign w:val="center"/>
          </w:tcPr>
          <w:p w:rsidR="006A6732" w:rsidRPr="002F3789" w:rsidRDefault="006A6732" w:rsidP="006A6732">
            <w:pPr>
              <w:spacing w:after="0" w:line="240" w:lineRule="auto"/>
              <w:ind w:firstLine="0"/>
              <w:jc w:val="center"/>
              <w:rPr>
                <w:b/>
                <w:i/>
                <w:color w:val="0070C0"/>
                <w:sz w:val="17"/>
                <w:szCs w:val="17"/>
              </w:rPr>
            </w:pPr>
            <w:r w:rsidRPr="002F3789">
              <w:rPr>
                <w:b/>
                <w:i/>
                <w:color w:val="0070C0"/>
                <w:sz w:val="17"/>
                <w:szCs w:val="17"/>
              </w:rPr>
              <w:t>Pageidautina reikšmė</w:t>
            </w:r>
          </w:p>
        </w:tc>
      </w:tr>
      <w:tr w:rsidR="006A6732" w:rsidRPr="002F3789" w:rsidTr="006A6732">
        <w:trPr>
          <w:trHeight w:val="217"/>
        </w:trPr>
        <w:tc>
          <w:tcPr>
            <w:tcW w:w="3024" w:type="dxa"/>
            <w:vMerge/>
            <w:tcBorders>
              <w:bottom w:val="single" w:sz="12" w:space="0" w:color="auto"/>
              <w:right w:val="single" w:sz="12" w:space="0" w:color="auto"/>
            </w:tcBorders>
            <w:shd w:val="clear" w:color="auto" w:fill="D9D9D9" w:themeFill="background1" w:themeFillShade="D9"/>
            <w:vAlign w:val="center"/>
          </w:tcPr>
          <w:p w:rsidR="006A6732" w:rsidRPr="002F3789" w:rsidRDefault="006A6732" w:rsidP="006A6732">
            <w:pPr>
              <w:spacing w:after="0" w:line="240" w:lineRule="auto"/>
              <w:ind w:firstLine="0"/>
              <w:jc w:val="center"/>
              <w:rPr>
                <w:b/>
                <w:i/>
                <w:sz w:val="18"/>
                <w:szCs w:val="18"/>
              </w:rPr>
            </w:pPr>
          </w:p>
        </w:tc>
        <w:tc>
          <w:tcPr>
            <w:tcW w:w="504" w:type="dxa"/>
            <w:vMerge/>
            <w:tcBorders>
              <w:left w:val="single" w:sz="12" w:space="0" w:color="auto"/>
              <w:bottom w:val="single" w:sz="12" w:space="0" w:color="auto"/>
            </w:tcBorders>
            <w:shd w:val="clear" w:color="auto" w:fill="D9D9D9" w:themeFill="background1" w:themeFillShade="D9"/>
            <w:vAlign w:val="center"/>
          </w:tcPr>
          <w:p w:rsidR="006A6732" w:rsidRPr="002F3789" w:rsidRDefault="006A6732" w:rsidP="006A6732">
            <w:pPr>
              <w:spacing w:after="0" w:line="240" w:lineRule="auto"/>
              <w:ind w:firstLine="0"/>
              <w:jc w:val="center"/>
              <w:rPr>
                <w:b/>
                <w:i/>
                <w:sz w:val="18"/>
                <w:szCs w:val="18"/>
              </w:rPr>
            </w:pP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F3789" w:rsidRDefault="006A6732" w:rsidP="006A6732">
            <w:pPr>
              <w:spacing w:after="0" w:line="240" w:lineRule="auto"/>
              <w:ind w:firstLine="0"/>
              <w:jc w:val="center"/>
              <w:rPr>
                <w:b/>
                <w:i/>
                <w:sz w:val="18"/>
                <w:szCs w:val="18"/>
                <w:vertAlign w:val="subscript"/>
              </w:rPr>
            </w:pPr>
            <w:r w:rsidRPr="002F3789">
              <w:rPr>
                <w:b/>
                <w:i/>
                <w:sz w:val="18"/>
                <w:szCs w:val="18"/>
              </w:rPr>
              <w:t>m</w:t>
            </w:r>
            <w:r w:rsidRPr="002F3789">
              <w:rPr>
                <w:b/>
                <w:i/>
                <w:sz w:val="18"/>
                <w:szCs w:val="18"/>
                <w:vertAlign w:val="subscript"/>
              </w:rPr>
              <w:t>1</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F3789" w:rsidRDefault="006A6732" w:rsidP="006A6732">
            <w:pPr>
              <w:spacing w:after="0" w:line="240" w:lineRule="auto"/>
              <w:ind w:firstLine="0"/>
              <w:jc w:val="center"/>
              <w:rPr>
                <w:b/>
                <w:i/>
                <w:sz w:val="18"/>
                <w:szCs w:val="18"/>
                <w:vertAlign w:val="subscript"/>
              </w:rPr>
            </w:pPr>
            <w:r w:rsidRPr="002F3789">
              <w:rPr>
                <w:b/>
                <w:i/>
                <w:sz w:val="18"/>
                <w:szCs w:val="18"/>
              </w:rPr>
              <w:t>m</w:t>
            </w:r>
            <w:r w:rsidRPr="002F3789">
              <w:rPr>
                <w:b/>
                <w:i/>
                <w:sz w:val="18"/>
                <w:szCs w:val="18"/>
                <w:vertAlign w:val="subscript"/>
              </w:rPr>
              <w:t>2</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F3789" w:rsidRDefault="006A6732" w:rsidP="006A6732">
            <w:pPr>
              <w:spacing w:after="0" w:line="240" w:lineRule="auto"/>
              <w:ind w:firstLine="0"/>
              <w:jc w:val="center"/>
              <w:rPr>
                <w:b/>
                <w:i/>
                <w:sz w:val="18"/>
                <w:szCs w:val="18"/>
                <w:vertAlign w:val="subscript"/>
              </w:rPr>
            </w:pPr>
            <w:r w:rsidRPr="002F3789">
              <w:rPr>
                <w:b/>
                <w:i/>
                <w:sz w:val="18"/>
                <w:szCs w:val="18"/>
              </w:rPr>
              <w:t>m</w:t>
            </w:r>
            <w:r w:rsidRPr="002F3789">
              <w:rPr>
                <w:b/>
                <w:i/>
                <w:sz w:val="18"/>
                <w:szCs w:val="18"/>
                <w:vertAlign w:val="subscript"/>
              </w:rPr>
              <w:t>3</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F3789" w:rsidRDefault="006A6732" w:rsidP="006A6732">
            <w:pPr>
              <w:spacing w:after="0" w:line="240" w:lineRule="auto"/>
              <w:ind w:firstLine="0"/>
              <w:jc w:val="center"/>
              <w:rPr>
                <w:b/>
                <w:i/>
                <w:sz w:val="18"/>
                <w:szCs w:val="18"/>
                <w:vertAlign w:val="subscript"/>
              </w:rPr>
            </w:pPr>
            <w:r w:rsidRPr="002F3789">
              <w:rPr>
                <w:b/>
                <w:i/>
                <w:sz w:val="18"/>
                <w:szCs w:val="18"/>
              </w:rPr>
              <w:t>m</w:t>
            </w:r>
            <w:r w:rsidRPr="002F3789">
              <w:rPr>
                <w:b/>
                <w:i/>
                <w:sz w:val="18"/>
                <w:szCs w:val="18"/>
                <w:vertAlign w:val="subscript"/>
              </w:rPr>
              <w:t>4</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F3789" w:rsidRDefault="006A6732" w:rsidP="006A6732">
            <w:pPr>
              <w:spacing w:after="0" w:line="240" w:lineRule="auto"/>
              <w:ind w:firstLine="0"/>
              <w:jc w:val="center"/>
              <w:rPr>
                <w:b/>
                <w:i/>
                <w:sz w:val="18"/>
                <w:szCs w:val="18"/>
                <w:vertAlign w:val="subscript"/>
              </w:rPr>
            </w:pPr>
            <w:r w:rsidRPr="002F3789">
              <w:rPr>
                <w:b/>
                <w:i/>
                <w:sz w:val="18"/>
                <w:szCs w:val="18"/>
              </w:rPr>
              <w:t>m</w:t>
            </w:r>
            <w:r w:rsidRPr="002F3789">
              <w:rPr>
                <w:b/>
                <w:i/>
                <w:sz w:val="18"/>
                <w:szCs w:val="18"/>
                <w:vertAlign w:val="subscript"/>
              </w:rPr>
              <w:t>5</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F3789" w:rsidRDefault="006A6732" w:rsidP="006A6732">
            <w:pPr>
              <w:spacing w:after="0" w:line="240" w:lineRule="auto"/>
              <w:ind w:firstLine="0"/>
              <w:jc w:val="center"/>
              <w:rPr>
                <w:b/>
                <w:i/>
                <w:sz w:val="18"/>
                <w:szCs w:val="18"/>
                <w:vertAlign w:val="subscript"/>
              </w:rPr>
            </w:pPr>
            <w:r w:rsidRPr="002F3789">
              <w:rPr>
                <w:b/>
                <w:i/>
                <w:sz w:val="18"/>
                <w:szCs w:val="18"/>
              </w:rPr>
              <w:t>m</w:t>
            </w:r>
            <w:r w:rsidRPr="002F3789">
              <w:rPr>
                <w:b/>
                <w:i/>
                <w:sz w:val="18"/>
                <w:szCs w:val="18"/>
                <w:vertAlign w:val="subscript"/>
              </w:rPr>
              <w:t>6</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F3789" w:rsidRDefault="006A6732" w:rsidP="006A6732">
            <w:pPr>
              <w:spacing w:after="0" w:line="240" w:lineRule="auto"/>
              <w:ind w:firstLine="0"/>
              <w:jc w:val="center"/>
              <w:rPr>
                <w:b/>
                <w:i/>
                <w:sz w:val="18"/>
                <w:szCs w:val="18"/>
                <w:vertAlign w:val="subscript"/>
              </w:rPr>
            </w:pPr>
            <w:r w:rsidRPr="002F3789">
              <w:rPr>
                <w:b/>
                <w:i/>
                <w:sz w:val="18"/>
                <w:szCs w:val="18"/>
              </w:rPr>
              <w:t>m</w:t>
            </w:r>
            <w:r w:rsidRPr="002F3789">
              <w:rPr>
                <w:b/>
                <w:i/>
                <w:sz w:val="18"/>
                <w:szCs w:val="18"/>
                <w:vertAlign w:val="subscript"/>
              </w:rPr>
              <w:t>7</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F3789" w:rsidRDefault="006A6732" w:rsidP="006A6732">
            <w:pPr>
              <w:spacing w:after="0" w:line="240" w:lineRule="auto"/>
              <w:ind w:firstLine="0"/>
              <w:jc w:val="center"/>
              <w:rPr>
                <w:b/>
                <w:i/>
                <w:sz w:val="18"/>
                <w:szCs w:val="18"/>
                <w:vertAlign w:val="subscript"/>
              </w:rPr>
            </w:pPr>
            <w:r w:rsidRPr="002F3789">
              <w:rPr>
                <w:b/>
                <w:i/>
                <w:sz w:val="18"/>
                <w:szCs w:val="18"/>
              </w:rPr>
              <w:t>m</w:t>
            </w:r>
            <w:r w:rsidRPr="002F3789">
              <w:rPr>
                <w:b/>
                <w:i/>
                <w:sz w:val="18"/>
                <w:szCs w:val="18"/>
                <w:vertAlign w:val="subscript"/>
              </w:rPr>
              <w:t>8</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F3789" w:rsidRDefault="006A6732" w:rsidP="006A6732">
            <w:pPr>
              <w:spacing w:after="0" w:line="240" w:lineRule="auto"/>
              <w:ind w:firstLine="0"/>
              <w:jc w:val="center"/>
              <w:rPr>
                <w:b/>
                <w:i/>
                <w:sz w:val="18"/>
                <w:szCs w:val="18"/>
                <w:vertAlign w:val="subscript"/>
              </w:rPr>
            </w:pPr>
            <w:r w:rsidRPr="002F3789">
              <w:rPr>
                <w:b/>
                <w:i/>
                <w:sz w:val="18"/>
                <w:szCs w:val="18"/>
              </w:rPr>
              <w:t>m</w:t>
            </w:r>
            <w:r w:rsidRPr="002F3789">
              <w:rPr>
                <w:b/>
                <w:i/>
                <w:sz w:val="18"/>
                <w:szCs w:val="18"/>
                <w:vertAlign w:val="subscript"/>
              </w:rPr>
              <w:t>9</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F3789" w:rsidRDefault="006A6732" w:rsidP="006A6732">
            <w:pPr>
              <w:spacing w:after="0" w:line="240" w:lineRule="auto"/>
              <w:ind w:firstLine="0"/>
              <w:jc w:val="center"/>
              <w:rPr>
                <w:b/>
                <w:i/>
                <w:sz w:val="18"/>
                <w:szCs w:val="18"/>
                <w:vertAlign w:val="subscript"/>
              </w:rPr>
            </w:pPr>
            <w:r w:rsidRPr="002F3789">
              <w:rPr>
                <w:b/>
                <w:i/>
                <w:sz w:val="18"/>
                <w:szCs w:val="18"/>
              </w:rPr>
              <w:t>m</w:t>
            </w:r>
            <w:r w:rsidRPr="002F3789">
              <w:rPr>
                <w:b/>
                <w:i/>
                <w:sz w:val="18"/>
                <w:szCs w:val="18"/>
                <w:vertAlign w:val="subscript"/>
              </w:rPr>
              <w:t>10</w:t>
            </w:r>
          </w:p>
        </w:tc>
        <w:tc>
          <w:tcPr>
            <w:tcW w:w="602" w:type="dxa"/>
            <w:vMerge/>
            <w:tcBorders>
              <w:left w:val="single" w:sz="12" w:space="0" w:color="auto"/>
              <w:bottom w:val="single" w:sz="12" w:space="0" w:color="auto"/>
            </w:tcBorders>
            <w:shd w:val="clear" w:color="auto" w:fill="D9D9D9" w:themeFill="background1" w:themeFillShade="D9"/>
            <w:vAlign w:val="center"/>
          </w:tcPr>
          <w:p w:rsidR="006A6732" w:rsidRPr="002F3789" w:rsidRDefault="006A6732" w:rsidP="006A6732">
            <w:pPr>
              <w:spacing w:after="0" w:line="240" w:lineRule="auto"/>
              <w:ind w:firstLine="0"/>
              <w:jc w:val="center"/>
              <w:rPr>
                <w:b/>
                <w:i/>
                <w:sz w:val="18"/>
                <w:szCs w:val="18"/>
              </w:rPr>
            </w:pPr>
          </w:p>
        </w:tc>
        <w:tc>
          <w:tcPr>
            <w:tcW w:w="1262" w:type="dxa"/>
            <w:vMerge/>
            <w:tcBorders>
              <w:left w:val="single" w:sz="2" w:space="0" w:color="auto"/>
              <w:bottom w:val="single" w:sz="12" w:space="0" w:color="auto"/>
            </w:tcBorders>
            <w:shd w:val="clear" w:color="auto" w:fill="D9D9D9" w:themeFill="background1" w:themeFillShade="D9"/>
            <w:vAlign w:val="center"/>
          </w:tcPr>
          <w:p w:rsidR="006A6732" w:rsidRPr="002F3789" w:rsidRDefault="006A6732" w:rsidP="006A6732">
            <w:pPr>
              <w:spacing w:after="0" w:line="240" w:lineRule="auto"/>
              <w:ind w:firstLine="0"/>
              <w:jc w:val="center"/>
              <w:rPr>
                <w:b/>
                <w:i/>
                <w:color w:val="0070C0"/>
                <w:sz w:val="18"/>
                <w:szCs w:val="18"/>
              </w:rPr>
            </w:pPr>
          </w:p>
        </w:tc>
      </w:tr>
      <w:tr w:rsidR="006A6732" w:rsidRPr="002F3789" w:rsidTr="006A6732">
        <w:tc>
          <w:tcPr>
            <w:tcW w:w="3024" w:type="dxa"/>
            <w:tcBorders>
              <w:top w:val="single" w:sz="1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rPr>
                <w:i/>
                <w:sz w:val="18"/>
                <w:szCs w:val="18"/>
              </w:rPr>
            </w:pPr>
            <w:r w:rsidRPr="002F3789">
              <w:rPr>
                <w:i/>
                <w:sz w:val="18"/>
                <w:szCs w:val="18"/>
              </w:rPr>
              <w:t>Mentalinės sąskaitos (a</w:t>
            </w:r>
            <w:r w:rsidRPr="002F3789">
              <w:rPr>
                <w:i/>
                <w:sz w:val="18"/>
                <w:szCs w:val="18"/>
                <w:vertAlign w:val="subscript"/>
              </w:rPr>
              <w:t>1</w:t>
            </w:r>
            <w:r w:rsidRPr="002F3789">
              <w:rPr>
                <w:i/>
                <w:sz w:val="18"/>
                <w:szCs w:val="18"/>
              </w:rPr>
              <w:t>)</w:t>
            </w:r>
          </w:p>
        </w:tc>
        <w:tc>
          <w:tcPr>
            <w:tcW w:w="504" w:type="dxa"/>
            <w:tcBorders>
              <w:top w:val="single" w:sz="12" w:space="0" w:color="auto"/>
              <w:left w:val="single" w:sz="12" w:space="0" w:color="auto"/>
              <w:bottom w:val="single" w:sz="2" w:space="0" w:color="auto"/>
            </w:tcBorders>
            <w:shd w:val="clear" w:color="auto" w:fill="D9D9D9" w:themeFill="background1" w:themeFillShade="D9"/>
          </w:tcPr>
          <w:p w:rsidR="006A6732" w:rsidRPr="002F3789" w:rsidRDefault="006A6732" w:rsidP="006A6732">
            <w:pPr>
              <w:spacing w:after="0" w:line="240" w:lineRule="auto"/>
              <w:ind w:firstLine="0"/>
              <w:jc w:val="center"/>
              <w:rPr>
                <w:b/>
                <w:color w:val="0070C0"/>
                <w:sz w:val="18"/>
                <w:szCs w:val="18"/>
              </w:rPr>
            </w:pPr>
            <w:r w:rsidRPr="002F3789">
              <w:rPr>
                <w:b/>
                <w:color w:val="0070C0"/>
                <w:sz w:val="18"/>
                <w:szCs w:val="18"/>
              </w:rPr>
              <w:t>1,5</w:t>
            </w:r>
          </w:p>
        </w:tc>
        <w:tc>
          <w:tcPr>
            <w:tcW w:w="504"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3</w:t>
            </w:r>
          </w:p>
        </w:tc>
        <w:tc>
          <w:tcPr>
            <w:tcW w:w="504"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3</w:t>
            </w:r>
          </w:p>
        </w:tc>
        <w:tc>
          <w:tcPr>
            <w:tcW w:w="504"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602" w:type="dxa"/>
            <w:tcBorders>
              <w:top w:val="single" w:sz="12" w:space="0" w:color="auto"/>
              <w:left w:val="single" w:sz="12" w:space="0" w:color="auto"/>
              <w:bottom w:val="single" w:sz="2" w:space="0" w:color="auto"/>
            </w:tcBorders>
            <w:shd w:val="clear" w:color="auto" w:fill="D9D9D9" w:themeFill="background1" w:themeFillShade="D9"/>
          </w:tcPr>
          <w:p w:rsidR="006A6732" w:rsidRPr="002F3789" w:rsidRDefault="006A6732" w:rsidP="006A6732">
            <w:pPr>
              <w:spacing w:after="0" w:line="240" w:lineRule="auto"/>
              <w:ind w:firstLine="0"/>
              <w:jc w:val="center"/>
              <w:rPr>
                <w:b/>
                <w:sz w:val="18"/>
                <w:szCs w:val="18"/>
              </w:rPr>
            </w:pPr>
            <w:r w:rsidRPr="002F3789">
              <w:rPr>
                <w:b/>
                <w:sz w:val="18"/>
                <w:szCs w:val="18"/>
              </w:rPr>
              <w:t>5</w:t>
            </w:r>
          </w:p>
        </w:tc>
        <w:tc>
          <w:tcPr>
            <w:tcW w:w="1262" w:type="dxa"/>
            <w:tcBorders>
              <w:top w:val="single" w:sz="12" w:space="0" w:color="auto"/>
              <w:left w:val="single" w:sz="2" w:space="0" w:color="auto"/>
              <w:bottom w:val="single" w:sz="2" w:space="0" w:color="auto"/>
            </w:tcBorders>
            <w:shd w:val="clear" w:color="auto" w:fill="B8CCE4" w:themeFill="accent1" w:themeFillTint="66"/>
          </w:tcPr>
          <w:p w:rsidR="006A6732" w:rsidRPr="00BE62E0" w:rsidRDefault="006A6732" w:rsidP="006A6732">
            <w:pPr>
              <w:spacing w:after="0" w:line="240" w:lineRule="auto"/>
              <w:ind w:firstLine="0"/>
              <w:jc w:val="center"/>
              <w:rPr>
                <w:b/>
                <w:color w:val="0070C0"/>
                <w:sz w:val="18"/>
                <w:szCs w:val="18"/>
              </w:rPr>
            </w:pPr>
            <w:r w:rsidRPr="00BE62E0">
              <w:rPr>
                <w:b/>
                <w:color w:val="0070C0"/>
                <w:sz w:val="18"/>
                <w:szCs w:val="18"/>
              </w:rPr>
              <w:t>7,5</w:t>
            </w:r>
          </w:p>
        </w:tc>
      </w:tr>
      <w:tr w:rsidR="006A6732" w:rsidRPr="002F3789" w:rsidTr="006A6732">
        <w:tc>
          <w:tcPr>
            <w:tcW w:w="3024" w:type="dxa"/>
            <w:tcBorders>
              <w:top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rPr>
                <w:i/>
                <w:sz w:val="18"/>
                <w:szCs w:val="18"/>
              </w:rPr>
            </w:pPr>
            <w:r w:rsidRPr="002F3789">
              <w:rPr>
                <w:i/>
                <w:sz w:val="18"/>
                <w:szCs w:val="18"/>
              </w:rPr>
              <w:t>„Sovietinis“ mentalitetas (a</w:t>
            </w:r>
            <w:r w:rsidRPr="002F3789">
              <w:rPr>
                <w:i/>
                <w:sz w:val="18"/>
                <w:szCs w:val="18"/>
                <w:vertAlign w:val="subscript"/>
              </w:rPr>
              <w:t>2</w:t>
            </w:r>
            <w:r w:rsidRPr="002F3789">
              <w:rPr>
                <w:i/>
                <w:sz w:val="18"/>
                <w:szCs w:val="18"/>
              </w:rPr>
              <w:t>)</w:t>
            </w:r>
          </w:p>
        </w:tc>
        <w:tc>
          <w:tcPr>
            <w:tcW w:w="504" w:type="dxa"/>
            <w:tcBorders>
              <w:top w:val="single" w:sz="2" w:space="0" w:color="auto"/>
              <w:left w:val="single" w:sz="12" w:space="0" w:color="auto"/>
              <w:bottom w:val="single" w:sz="2" w:space="0" w:color="auto"/>
            </w:tcBorders>
            <w:shd w:val="clear" w:color="auto" w:fill="D9D9D9" w:themeFill="background1" w:themeFillShade="D9"/>
          </w:tcPr>
          <w:p w:rsidR="006A6732" w:rsidRPr="002F3789" w:rsidRDefault="006A6732" w:rsidP="006A6732">
            <w:pPr>
              <w:spacing w:after="0" w:line="240" w:lineRule="auto"/>
              <w:ind w:firstLine="0"/>
              <w:jc w:val="center"/>
              <w:rPr>
                <w:b/>
                <w:color w:val="0070C0"/>
                <w:sz w:val="18"/>
                <w:szCs w:val="18"/>
              </w:rPr>
            </w:pPr>
            <w:r w:rsidRPr="002F3789">
              <w:rPr>
                <w:b/>
                <w:color w:val="0070C0"/>
                <w:sz w:val="18"/>
                <w:szCs w:val="18"/>
              </w:rPr>
              <w:t>1,5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3</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3</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602" w:type="dxa"/>
            <w:tcBorders>
              <w:top w:val="single" w:sz="2" w:space="0" w:color="auto"/>
              <w:left w:val="single" w:sz="12" w:space="0" w:color="auto"/>
              <w:bottom w:val="single" w:sz="2" w:space="0" w:color="auto"/>
            </w:tcBorders>
            <w:shd w:val="clear" w:color="auto" w:fill="D9D9D9" w:themeFill="background1" w:themeFillShade="D9"/>
          </w:tcPr>
          <w:p w:rsidR="006A6732" w:rsidRPr="002F3789" w:rsidRDefault="006A6732" w:rsidP="006A6732">
            <w:pPr>
              <w:spacing w:after="0" w:line="240" w:lineRule="auto"/>
              <w:ind w:firstLine="0"/>
              <w:jc w:val="center"/>
              <w:rPr>
                <w:b/>
                <w:sz w:val="18"/>
                <w:szCs w:val="18"/>
              </w:rPr>
            </w:pPr>
            <w:r w:rsidRPr="002F3789">
              <w:rPr>
                <w:b/>
                <w:sz w:val="18"/>
                <w:szCs w:val="18"/>
              </w:rPr>
              <w:t>4</w:t>
            </w:r>
          </w:p>
        </w:tc>
        <w:tc>
          <w:tcPr>
            <w:tcW w:w="1262" w:type="dxa"/>
            <w:tcBorders>
              <w:top w:val="single" w:sz="2" w:space="0" w:color="auto"/>
              <w:left w:val="single" w:sz="2" w:space="0" w:color="auto"/>
              <w:bottom w:val="single" w:sz="2" w:space="0" w:color="auto"/>
            </w:tcBorders>
            <w:shd w:val="clear" w:color="auto" w:fill="B8CCE4" w:themeFill="accent1" w:themeFillTint="66"/>
          </w:tcPr>
          <w:p w:rsidR="006A6732" w:rsidRPr="00BE62E0" w:rsidRDefault="006A6732" w:rsidP="006A6732">
            <w:pPr>
              <w:spacing w:after="0" w:line="240" w:lineRule="auto"/>
              <w:ind w:firstLine="0"/>
              <w:jc w:val="center"/>
              <w:rPr>
                <w:b/>
                <w:color w:val="0070C0"/>
                <w:sz w:val="18"/>
                <w:szCs w:val="18"/>
              </w:rPr>
            </w:pPr>
            <w:r w:rsidRPr="00BE62E0">
              <w:rPr>
                <w:b/>
                <w:color w:val="0070C0"/>
                <w:sz w:val="18"/>
                <w:szCs w:val="18"/>
              </w:rPr>
              <w:t>6,0</w:t>
            </w:r>
          </w:p>
        </w:tc>
      </w:tr>
      <w:tr w:rsidR="006A6732" w:rsidRPr="002F3789" w:rsidTr="006A6732">
        <w:tc>
          <w:tcPr>
            <w:tcW w:w="3024" w:type="dxa"/>
            <w:tcBorders>
              <w:top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rPr>
                <w:i/>
                <w:sz w:val="18"/>
                <w:szCs w:val="18"/>
              </w:rPr>
            </w:pPr>
            <w:r w:rsidRPr="002F3789">
              <w:rPr>
                <w:i/>
                <w:sz w:val="18"/>
                <w:szCs w:val="18"/>
              </w:rPr>
              <w:t>Amoralus šeimyniškumas (a</w:t>
            </w:r>
            <w:r w:rsidRPr="002F3789">
              <w:rPr>
                <w:i/>
                <w:sz w:val="18"/>
                <w:szCs w:val="18"/>
                <w:vertAlign w:val="subscript"/>
              </w:rPr>
              <w:t>3</w:t>
            </w:r>
            <w:r w:rsidRPr="002F3789">
              <w:rPr>
                <w:i/>
                <w:sz w:val="18"/>
                <w:szCs w:val="18"/>
              </w:rPr>
              <w:t>)</w:t>
            </w:r>
          </w:p>
        </w:tc>
        <w:tc>
          <w:tcPr>
            <w:tcW w:w="504" w:type="dxa"/>
            <w:tcBorders>
              <w:top w:val="single" w:sz="2" w:space="0" w:color="auto"/>
              <w:left w:val="single" w:sz="12" w:space="0" w:color="auto"/>
              <w:bottom w:val="single" w:sz="2" w:space="0" w:color="auto"/>
            </w:tcBorders>
            <w:shd w:val="clear" w:color="auto" w:fill="D9D9D9" w:themeFill="background1" w:themeFillShade="D9"/>
          </w:tcPr>
          <w:p w:rsidR="006A6732" w:rsidRPr="002F3789" w:rsidRDefault="006A6732" w:rsidP="006A6732">
            <w:pPr>
              <w:spacing w:after="0" w:line="240" w:lineRule="auto"/>
              <w:ind w:firstLine="0"/>
              <w:jc w:val="center"/>
              <w:rPr>
                <w:b/>
                <w:color w:val="0070C0"/>
                <w:sz w:val="18"/>
                <w:szCs w:val="18"/>
              </w:rPr>
            </w:pPr>
            <w:r w:rsidRPr="002F3789">
              <w:rPr>
                <w:b/>
                <w:color w:val="0070C0"/>
                <w:sz w:val="18"/>
                <w:szCs w:val="18"/>
              </w:rPr>
              <w:t>1,5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3</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3</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2</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2</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3</w:t>
            </w:r>
          </w:p>
        </w:tc>
        <w:tc>
          <w:tcPr>
            <w:tcW w:w="602" w:type="dxa"/>
            <w:tcBorders>
              <w:top w:val="single" w:sz="2" w:space="0" w:color="auto"/>
              <w:left w:val="single" w:sz="12" w:space="0" w:color="auto"/>
              <w:bottom w:val="single" w:sz="2" w:space="0" w:color="auto"/>
            </w:tcBorders>
            <w:shd w:val="clear" w:color="auto" w:fill="D9D9D9" w:themeFill="background1" w:themeFillShade="D9"/>
          </w:tcPr>
          <w:p w:rsidR="006A6732" w:rsidRPr="002F3789" w:rsidRDefault="006A6732" w:rsidP="006A6732">
            <w:pPr>
              <w:spacing w:after="0" w:line="240" w:lineRule="auto"/>
              <w:ind w:firstLine="0"/>
              <w:jc w:val="center"/>
              <w:rPr>
                <w:b/>
                <w:sz w:val="18"/>
                <w:szCs w:val="18"/>
              </w:rPr>
            </w:pPr>
            <w:r w:rsidRPr="002F3789">
              <w:rPr>
                <w:b/>
                <w:sz w:val="18"/>
                <w:szCs w:val="18"/>
              </w:rPr>
              <w:t>4</w:t>
            </w:r>
          </w:p>
        </w:tc>
        <w:tc>
          <w:tcPr>
            <w:tcW w:w="1262" w:type="dxa"/>
            <w:tcBorders>
              <w:top w:val="single" w:sz="2" w:space="0" w:color="auto"/>
              <w:left w:val="single" w:sz="2" w:space="0" w:color="auto"/>
              <w:bottom w:val="single" w:sz="2" w:space="0" w:color="auto"/>
            </w:tcBorders>
            <w:shd w:val="clear" w:color="auto" w:fill="B8CCE4" w:themeFill="accent1" w:themeFillTint="66"/>
          </w:tcPr>
          <w:p w:rsidR="006A6732" w:rsidRPr="00BE62E0" w:rsidRDefault="006A6732" w:rsidP="006A6732">
            <w:pPr>
              <w:spacing w:after="0" w:line="240" w:lineRule="auto"/>
              <w:ind w:firstLine="0"/>
              <w:jc w:val="center"/>
              <w:rPr>
                <w:b/>
                <w:color w:val="0070C0"/>
                <w:sz w:val="18"/>
                <w:szCs w:val="18"/>
              </w:rPr>
            </w:pPr>
            <w:r w:rsidRPr="00BE62E0">
              <w:rPr>
                <w:b/>
                <w:color w:val="0070C0"/>
                <w:sz w:val="18"/>
                <w:szCs w:val="18"/>
              </w:rPr>
              <w:t>6,0</w:t>
            </w:r>
          </w:p>
        </w:tc>
      </w:tr>
      <w:tr w:rsidR="006A6732" w:rsidRPr="002F3789" w:rsidTr="006A6732">
        <w:tc>
          <w:tcPr>
            <w:tcW w:w="3024" w:type="dxa"/>
            <w:tcBorders>
              <w:top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rPr>
                <w:i/>
                <w:sz w:val="18"/>
                <w:szCs w:val="18"/>
              </w:rPr>
            </w:pPr>
            <w:r w:rsidRPr="002F3789">
              <w:rPr>
                <w:i/>
                <w:sz w:val="18"/>
                <w:szCs w:val="18"/>
              </w:rPr>
              <w:t>Minimalūs poreikiai (a</w:t>
            </w:r>
            <w:r w:rsidRPr="002F3789">
              <w:rPr>
                <w:i/>
                <w:sz w:val="18"/>
                <w:szCs w:val="18"/>
                <w:vertAlign w:val="subscript"/>
              </w:rPr>
              <w:t>4</w:t>
            </w:r>
            <w:r w:rsidRPr="002F3789">
              <w:rPr>
                <w:i/>
                <w:sz w:val="18"/>
                <w:szCs w:val="18"/>
              </w:rPr>
              <w:t>)</w:t>
            </w:r>
          </w:p>
        </w:tc>
        <w:tc>
          <w:tcPr>
            <w:tcW w:w="504" w:type="dxa"/>
            <w:tcBorders>
              <w:top w:val="single" w:sz="2" w:space="0" w:color="auto"/>
              <w:left w:val="single" w:sz="12" w:space="0" w:color="auto"/>
              <w:bottom w:val="single" w:sz="2" w:space="0" w:color="auto"/>
            </w:tcBorders>
            <w:shd w:val="clear" w:color="auto" w:fill="D9D9D9" w:themeFill="background1" w:themeFillShade="D9"/>
          </w:tcPr>
          <w:p w:rsidR="006A6732" w:rsidRPr="002F3789" w:rsidRDefault="006A6732" w:rsidP="006A6732">
            <w:pPr>
              <w:spacing w:after="0" w:line="240" w:lineRule="auto"/>
              <w:ind w:firstLine="0"/>
              <w:jc w:val="center"/>
              <w:rPr>
                <w:b/>
                <w:color w:val="0070C0"/>
                <w:sz w:val="18"/>
                <w:szCs w:val="18"/>
              </w:rPr>
            </w:pPr>
            <w:r w:rsidRPr="002F3789">
              <w:rPr>
                <w:b/>
                <w:color w:val="0070C0"/>
                <w:sz w:val="18"/>
                <w:szCs w:val="18"/>
              </w:rPr>
              <w:t>1,5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3</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602" w:type="dxa"/>
            <w:tcBorders>
              <w:top w:val="single" w:sz="2" w:space="0" w:color="auto"/>
              <w:left w:val="single" w:sz="12" w:space="0" w:color="auto"/>
              <w:bottom w:val="single" w:sz="2" w:space="0" w:color="auto"/>
            </w:tcBorders>
            <w:shd w:val="clear" w:color="auto" w:fill="D9D9D9" w:themeFill="background1" w:themeFillShade="D9"/>
          </w:tcPr>
          <w:p w:rsidR="006A6732" w:rsidRPr="002F3789" w:rsidRDefault="006A6732" w:rsidP="006A6732">
            <w:pPr>
              <w:spacing w:after="0" w:line="240" w:lineRule="auto"/>
              <w:ind w:firstLine="0"/>
              <w:jc w:val="center"/>
              <w:rPr>
                <w:b/>
                <w:sz w:val="18"/>
                <w:szCs w:val="18"/>
              </w:rPr>
            </w:pPr>
            <w:r w:rsidRPr="002F3789">
              <w:rPr>
                <w:b/>
                <w:sz w:val="18"/>
                <w:szCs w:val="18"/>
              </w:rPr>
              <w:t>5</w:t>
            </w:r>
          </w:p>
        </w:tc>
        <w:tc>
          <w:tcPr>
            <w:tcW w:w="1262" w:type="dxa"/>
            <w:tcBorders>
              <w:top w:val="single" w:sz="2" w:space="0" w:color="auto"/>
              <w:left w:val="single" w:sz="2" w:space="0" w:color="auto"/>
              <w:bottom w:val="single" w:sz="2" w:space="0" w:color="auto"/>
            </w:tcBorders>
            <w:shd w:val="clear" w:color="auto" w:fill="B8CCE4" w:themeFill="accent1" w:themeFillTint="66"/>
          </w:tcPr>
          <w:p w:rsidR="006A6732" w:rsidRPr="00BE62E0" w:rsidRDefault="006A6732" w:rsidP="006A6732">
            <w:pPr>
              <w:spacing w:after="0" w:line="240" w:lineRule="auto"/>
              <w:ind w:firstLine="0"/>
              <w:jc w:val="center"/>
              <w:rPr>
                <w:b/>
                <w:color w:val="0070C0"/>
                <w:sz w:val="18"/>
                <w:szCs w:val="18"/>
              </w:rPr>
            </w:pPr>
            <w:r w:rsidRPr="00BE62E0">
              <w:rPr>
                <w:b/>
                <w:color w:val="0070C0"/>
                <w:sz w:val="18"/>
                <w:szCs w:val="18"/>
              </w:rPr>
              <w:t>7,5</w:t>
            </w:r>
          </w:p>
        </w:tc>
      </w:tr>
      <w:tr w:rsidR="006A6732" w:rsidRPr="002F3789" w:rsidTr="006A6732">
        <w:tc>
          <w:tcPr>
            <w:tcW w:w="3024" w:type="dxa"/>
            <w:tcBorders>
              <w:top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rPr>
                <w:i/>
                <w:sz w:val="18"/>
                <w:szCs w:val="18"/>
              </w:rPr>
            </w:pPr>
            <w:r w:rsidRPr="002F3789">
              <w:rPr>
                <w:i/>
                <w:sz w:val="18"/>
                <w:szCs w:val="18"/>
              </w:rPr>
              <w:t>Orumo jausmas (a</w:t>
            </w:r>
            <w:r w:rsidRPr="002F3789">
              <w:rPr>
                <w:i/>
                <w:sz w:val="18"/>
                <w:szCs w:val="18"/>
                <w:vertAlign w:val="subscript"/>
              </w:rPr>
              <w:t>5</w:t>
            </w:r>
            <w:r w:rsidRPr="002F3789">
              <w:rPr>
                <w:i/>
                <w:sz w:val="18"/>
                <w:szCs w:val="18"/>
              </w:rPr>
              <w:t>)</w:t>
            </w:r>
          </w:p>
        </w:tc>
        <w:tc>
          <w:tcPr>
            <w:tcW w:w="504" w:type="dxa"/>
            <w:tcBorders>
              <w:top w:val="single" w:sz="2" w:space="0" w:color="auto"/>
              <w:left w:val="single" w:sz="12" w:space="0" w:color="auto"/>
              <w:bottom w:val="single" w:sz="2" w:space="0" w:color="auto"/>
            </w:tcBorders>
            <w:shd w:val="clear" w:color="auto" w:fill="D9D9D9" w:themeFill="background1" w:themeFillShade="D9"/>
          </w:tcPr>
          <w:p w:rsidR="006A6732" w:rsidRPr="002F3789" w:rsidRDefault="006A6732" w:rsidP="006A6732">
            <w:pPr>
              <w:spacing w:after="0" w:line="240" w:lineRule="auto"/>
              <w:ind w:firstLine="0"/>
              <w:jc w:val="center"/>
              <w:rPr>
                <w:b/>
                <w:color w:val="0070C0"/>
                <w:sz w:val="18"/>
                <w:szCs w:val="18"/>
              </w:rPr>
            </w:pPr>
            <w:r w:rsidRPr="002F3789">
              <w:rPr>
                <w:b/>
                <w:color w:val="0070C0"/>
                <w:sz w:val="18"/>
                <w:szCs w:val="18"/>
              </w:rPr>
              <w:t>1,5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3</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3</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2</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2</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3</w:t>
            </w:r>
          </w:p>
        </w:tc>
        <w:tc>
          <w:tcPr>
            <w:tcW w:w="602" w:type="dxa"/>
            <w:tcBorders>
              <w:top w:val="single" w:sz="2" w:space="0" w:color="auto"/>
              <w:left w:val="single" w:sz="12" w:space="0" w:color="auto"/>
              <w:bottom w:val="single" w:sz="2" w:space="0" w:color="auto"/>
            </w:tcBorders>
            <w:shd w:val="clear" w:color="auto" w:fill="D9D9D9" w:themeFill="background1" w:themeFillShade="D9"/>
          </w:tcPr>
          <w:p w:rsidR="006A6732" w:rsidRPr="002F3789" w:rsidRDefault="006A6732" w:rsidP="006A6732">
            <w:pPr>
              <w:spacing w:after="0" w:line="240" w:lineRule="auto"/>
              <w:ind w:firstLine="0"/>
              <w:jc w:val="center"/>
              <w:rPr>
                <w:b/>
                <w:sz w:val="18"/>
                <w:szCs w:val="18"/>
              </w:rPr>
            </w:pPr>
            <w:r w:rsidRPr="002F3789">
              <w:rPr>
                <w:b/>
                <w:sz w:val="18"/>
                <w:szCs w:val="18"/>
              </w:rPr>
              <w:t>4</w:t>
            </w:r>
          </w:p>
        </w:tc>
        <w:tc>
          <w:tcPr>
            <w:tcW w:w="1262" w:type="dxa"/>
            <w:tcBorders>
              <w:top w:val="single" w:sz="2" w:space="0" w:color="auto"/>
              <w:left w:val="single" w:sz="2" w:space="0" w:color="auto"/>
              <w:bottom w:val="single" w:sz="2" w:space="0" w:color="auto"/>
            </w:tcBorders>
            <w:shd w:val="clear" w:color="auto" w:fill="B8CCE4" w:themeFill="accent1" w:themeFillTint="66"/>
          </w:tcPr>
          <w:p w:rsidR="006A6732" w:rsidRPr="00BE62E0" w:rsidRDefault="006A6732" w:rsidP="006A6732">
            <w:pPr>
              <w:spacing w:after="0" w:line="240" w:lineRule="auto"/>
              <w:ind w:firstLine="0"/>
              <w:jc w:val="center"/>
              <w:rPr>
                <w:b/>
                <w:color w:val="0070C0"/>
                <w:sz w:val="18"/>
                <w:szCs w:val="18"/>
              </w:rPr>
            </w:pPr>
            <w:r w:rsidRPr="00BE62E0">
              <w:rPr>
                <w:b/>
                <w:color w:val="0070C0"/>
                <w:sz w:val="18"/>
                <w:szCs w:val="18"/>
              </w:rPr>
              <w:t>6,0</w:t>
            </w:r>
          </w:p>
        </w:tc>
      </w:tr>
      <w:tr w:rsidR="006A6732" w:rsidRPr="002F3789" w:rsidTr="006A6732">
        <w:tc>
          <w:tcPr>
            <w:tcW w:w="3024" w:type="dxa"/>
            <w:tcBorders>
              <w:top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rPr>
                <w:i/>
                <w:sz w:val="18"/>
                <w:szCs w:val="18"/>
              </w:rPr>
            </w:pPr>
            <w:r w:rsidRPr="002F3789">
              <w:rPr>
                <w:i/>
                <w:sz w:val="18"/>
                <w:szCs w:val="18"/>
              </w:rPr>
              <w:t>Motyvacijos stoka (a</w:t>
            </w:r>
            <w:r w:rsidRPr="002F3789">
              <w:rPr>
                <w:i/>
                <w:sz w:val="18"/>
                <w:szCs w:val="18"/>
                <w:vertAlign w:val="subscript"/>
              </w:rPr>
              <w:t>6</w:t>
            </w:r>
            <w:r w:rsidRPr="002F3789">
              <w:rPr>
                <w:i/>
                <w:sz w:val="18"/>
                <w:szCs w:val="18"/>
              </w:rPr>
              <w:t>)</w:t>
            </w:r>
          </w:p>
        </w:tc>
        <w:tc>
          <w:tcPr>
            <w:tcW w:w="504" w:type="dxa"/>
            <w:tcBorders>
              <w:top w:val="single" w:sz="2" w:space="0" w:color="auto"/>
              <w:left w:val="single" w:sz="12" w:space="0" w:color="auto"/>
              <w:bottom w:val="single" w:sz="2" w:space="0" w:color="auto"/>
            </w:tcBorders>
            <w:shd w:val="clear" w:color="auto" w:fill="D9D9D9" w:themeFill="background1" w:themeFillShade="D9"/>
          </w:tcPr>
          <w:p w:rsidR="006A6732" w:rsidRPr="002F3789" w:rsidRDefault="006A6732" w:rsidP="006A6732">
            <w:pPr>
              <w:spacing w:after="0" w:line="240" w:lineRule="auto"/>
              <w:ind w:firstLine="0"/>
              <w:jc w:val="center"/>
              <w:rPr>
                <w:b/>
                <w:color w:val="0070C0"/>
                <w:sz w:val="18"/>
                <w:szCs w:val="18"/>
              </w:rPr>
            </w:pPr>
            <w:r w:rsidRPr="002F3789">
              <w:rPr>
                <w:b/>
                <w:color w:val="0070C0"/>
                <w:sz w:val="18"/>
                <w:szCs w:val="18"/>
              </w:rPr>
              <w:t>2,0</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602" w:type="dxa"/>
            <w:tcBorders>
              <w:top w:val="single" w:sz="2" w:space="0" w:color="auto"/>
              <w:left w:val="single" w:sz="12" w:space="0" w:color="auto"/>
              <w:bottom w:val="single" w:sz="2" w:space="0" w:color="auto"/>
            </w:tcBorders>
            <w:shd w:val="clear" w:color="auto" w:fill="D9D9D9" w:themeFill="background1" w:themeFillShade="D9"/>
          </w:tcPr>
          <w:p w:rsidR="006A6732" w:rsidRPr="002F3789" w:rsidRDefault="006A6732" w:rsidP="006A6732">
            <w:pPr>
              <w:spacing w:after="0" w:line="240" w:lineRule="auto"/>
              <w:ind w:firstLine="0"/>
              <w:jc w:val="center"/>
              <w:rPr>
                <w:b/>
                <w:sz w:val="18"/>
                <w:szCs w:val="18"/>
              </w:rPr>
            </w:pPr>
            <w:r w:rsidRPr="002F3789">
              <w:rPr>
                <w:b/>
                <w:sz w:val="18"/>
                <w:szCs w:val="18"/>
              </w:rPr>
              <w:t>4</w:t>
            </w:r>
          </w:p>
        </w:tc>
        <w:tc>
          <w:tcPr>
            <w:tcW w:w="1262" w:type="dxa"/>
            <w:tcBorders>
              <w:top w:val="single" w:sz="2" w:space="0" w:color="auto"/>
              <w:left w:val="single" w:sz="2" w:space="0" w:color="auto"/>
              <w:bottom w:val="single" w:sz="2" w:space="0" w:color="auto"/>
            </w:tcBorders>
            <w:shd w:val="clear" w:color="auto" w:fill="B8CCE4" w:themeFill="accent1" w:themeFillTint="66"/>
          </w:tcPr>
          <w:p w:rsidR="006A6732" w:rsidRPr="00BE62E0" w:rsidRDefault="006A6732" w:rsidP="006A6732">
            <w:pPr>
              <w:spacing w:after="0" w:line="240" w:lineRule="auto"/>
              <w:ind w:firstLine="0"/>
              <w:jc w:val="center"/>
              <w:rPr>
                <w:b/>
                <w:color w:val="0070C0"/>
                <w:sz w:val="18"/>
                <w:szCs w:val="18"/>
              </w:rPr>
            </w:pPr>
            <w:r w:rsidRPr="00BE62E0">
              <w:rPr>
                <w:b/>
                <w:color w:val="0070C0"/>
                <w:sz w:val="18"/>
                <w:szCs w:val="18"/>
              </w:rPr>
              <w:t>8,0</w:t>
            </w:r>
          </w:p>
        </w:tc>
      </w:tr>
      <w:tr w:rsidR="006A6732" w:rsidRPr="002F3789" w:rsidTr="006A6732">
        <w:tc>
          <w:tcPr>
            <w:tcW w:w="3024" w:type="dxa"/>
            <w:tcBorders>
              <w:top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rPr>
                <w:i/>
                <w:sz w:val="18"/>
                <w:szCs w:val="18"/>
              </w:rPr>
            </w:pPr>
            <w:r w:rsidRPr="002F3789">
              <w:rPr>
                <w:i/>
                <w:sz w:val="18"/>
                <w:szCs w:val="18"/>
              </w:rPr>
              <w:t>Perdėta savikliova (a</w:t>
            </w:r>
            <w:r w:rsidRPr="002F3789">
              <w:rPr>
                <w:i/>
                <w:sz w:val="18"/>
                <w:szCs w:val="18"/>
                <w:vertAlign w:val="subscript"/>
              </w:rPr>
              <w:t>7</w:t>
            </w:r>
            <w:r w:rsidRPr="002F3789">
              <w:rPr>
                <w:i/>
                <w:sz w:val="18"/>
                <w:szCs w:val="18"/>
              </w:rPr>
              <w:t>)</w:t>
            </w:r>
          </w:p>
        </w:tc>
        <w:tc>
          <w:tcPr>
            <w:tcW w:w="504" w:type="dxa"/>
            <w:tcBorders>
              <w:top w:val="single" w:sz="2" w:space="0" w:color="auto"/>
              <w:left w:val="single" w:sz="12" w:space="0" w:color="auto"/>
              <w:bottom w:val="single" w:sz="2" w:space="0" w:color="auto"/>
            </w:tcBorders>
            <w:shd w:val="clear" w:color="auto" w:fill="D9D9D9" w:themeFill="background1" w:themeFillShade="D9"/>
          </w:tcPr>
          <w:p w:rsidR="006A6732" w:rsidRPr="002F3789" w:rsidRDefault="006A6732" w:rsidP="006A6732">
            <w:pPr>
              <w:spacing w:after="0" w:line="240" w:lineRule="auto"/>
              <w:ind w:firstLine="0"/>
              <w:jc w:val="center"/>
              <w:rPr>
                <w:b/>
                <w:color w:val="0070C0"/>
                <w:sz w:val="18"/>
                <w:szCs w:val="18"/>
              </w:rPr>
            </w:pPr>
            <w:r w:rsidRPr="002F3789">
              <w:rPr>
                <w:b/>
                <w:color w:val="0070C0"/>
                <w:sz w:val="18"/>
                <w:szCs w:val="18"/>
              </w:rPr>
              <w:t>1,5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3</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2</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3</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602" w:type="dxa"/>
            <w:tcBorders>
              <w:top w:val="single" w:sz="2" w:space="0" w:color="auto"/>
              <w:left w:val="single" w:sz="12" w:space="0" w:color="auto"/>
              <w:bottom w:val="single" w:sz="2" w:space="0" w:color="auto"/>
            </w:tcBorders>
            <w:shd w:val="clear" w:color="auto" w:fill="D9D9D9" w:themeFill="background1" w:themeFillShade="D9"/>
          </w:tcPr>
          <w:p w:rsidR="006A6732" w:rsidRPr="002F3789" w:rsidRDefault="006A6732" w:rsidP="006A6732">
            <w:pPr>
              <w:spacing w:after="0" w:line="240" w:lineRule="auto"/>
              <w:ind w:firstLine="0"/>
              <w:jc w:val="center"/>
              <w:rPr>
                <w:b/>
                <w:sz w:val="18"/>
                <w:szCs w:val="18"/>
              </w:rPr>
            </w:pPr>
            <w:r w:rsidRPr="002F3789">
              <w:rPr>
                <w:b/>
                <w:sz w:val="18"/>
                <w:szCs w:val="18"/>
              </w:rPr>
              <w:t>4</w:t>
            </w:r>
          </w:p>
        </w:tc>
        <w:tc>
          <w:tcPr>
            <w:tcW w:w="1262" w:type="dxa"/>
            <w:tcBorders>
              <w:top w:val="single" w:sz="2" w:space="0" w:color="auto"/>
              <w:left w:val="single" w:sz="2" w:space="0" w:color="auto"/>
              <w:bottom w:val="single" w:sz="2" w:space="0" w:color="auto"/>
            </w:tcBorders>
            <w:shd w:val="clear" w:color="auto" w:fill="B8CCE4" w:themeFill="accent1" w:themeFillTint="66"/>
          </w:tcPr>
          <w:p w:rsidR="006A6732" w:rsidRPr="00BE62E0" w:rsidRDefault="006A6732" w:rsidP="006A6732">
            <w:pPr>
              <w:spacing w:after="0" w:line="240" w:lineRule="auto"/>
              <w:ind w:firstLine="0"/>
              <w:jc w:val="center"/>
              <w:rPr>
                <w:b/>
                <w:color w:val="0070C0"/>
                <w:sz w:val="18"/>
                <w:szCs w:val="18"/>
              </w:rPr>
            </w:pPr>
            <w:r w:rsidRPr="00BE62E0">
              <w:rPr>
                <w:b/>
                <w:color w:val="0070C0"/>
                <w:sz w:val="18"/>
                <w:szCs w:val="18"/>
              </w:rPr>
              <w:t>6,0</w:t>
            </w:r>
          </w:p>
        </w:tc>
      </w:tr>
      <w:tr w:rsidR="006A6732" w:rsidRPr="002F3789" w:rsidTr="006A6732">
        <w:tc>
          <w:tcPr>
            <w:tcW w:w="3024" w:type="dxa"/>
            <w:tcBorders>
              <w:top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rPr>
                <w:i/>
                <w:sz w:val="18"/>
                <w:szCs w:val="18"/>
              </w:rPr>
            </w:pPr>
            <w:r w:rsidRPr="002F3789">
              <w:rPr>
                <w:i/>
                <w:sz w:val="18"/>
                <w:szCs w:val="18"/>
              </w:rPr>
              <w:t>Grupių įtaka (a</w:t>
            </w:r>
            <w:r w:rsidRPr="002F3789">
              <w:rPr>
                <w:i/>
                <w:sz w:val="18"/>
                <w:szCs w:val="18"/>
                <w:vertAlign w:val="subscript"/>
              </w:rPr>
              <w:t>8</w:t>
            </w:r>
            <w:r w:rsidRPr="002F3789">
              <w:rPr>
                <w:i/>
                <w:sz w:val="18"/>
                <w:szCs w:val="18"/>
              </w:rPr>
              <w:t>)</w:t>
            </w:r>
          </w:p>
        </w:tc>
        <w:tc>
          <w:tcPr>
            <w:tcW w:w="504" w:type="dxa"/>
            <w:tcBorders>
              <w:top w:val="single" w:sz="2" w:space="0" w:color="auto"/>
              <w:left w:val="single" w:sz="12" w:space="0" w:color="auto"/>
              <w:bottom w:val="single" w:sz="2" w:space="0" w:color="auto"/>
            </w:tcBorders>
            <w:shd w:val="clear" w:color="auto" w:fill="D9D9D9" w:themeFill="background1" w:themeFillShade="D9"/>
          </w:tcPr>
          <w:p w:rsidR="006A6732" w:rsidRPr="002F3789" w:rsidRDefault="006A6732" w:rsidP="006A6732">
            <w:pPr>
              <w:spacing w:after="0" w:line="240" w:lineRule="auto"/>
              <w:ind w:firstLine="0"/>
              <w:jc w:val="center"/>
              <w:rPr>
                <w:b/>
                <w:color w:val="0070C0"/>
                <w:sz w:val="18"/>
                <w:szCs w:val="18"/>
              </w:rPr>
            </w:pPr>
            <w:r w:rsidRPr="002F3789">
              <w:rPr>
                <w:b/>
                <w:color w:val="0070C0"/>
                <w:sz w:val="18"/>
                <w:szCs w:val="18"/>
              </w:rPr>
              <w:t>1,0</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602" w:type="dxa"/>
            <w:tcBorders>
              <w:top w:val="single" w:sz="2" w:space="0" w:color="auto"/>
              <w:left w:val="single" w:sz="12" w:space="0" w:color="auto"/>
              <w:bottom w:val="single" w:sz="2" w:space="0" w:color="auto"/>
            </w:tcBorders>
            <w:shd w:val="clear" w:color="auto" w:fill="D9D9D9" w:themeFill="background1" w:themeFillShade="D9"/>
          </w:tcPr>
          <w:p w:rsidR="006A6732" w:rsidRPr="002F3789" w:rsidRDefault="006A6732" w:rsidP="006A6732">
            <w:pPr>
              <w:spacing w:after="0" w:line="240" w:lineRule="auto"/>
              <w:ind w:firstLine="0"/>
              <w:jc w:val="center"/>
              <w:rPr>
                <w:b/>
                <w:sz w:val="18"/>
                <w:szCs w:val="18"/>
              </w:rPr>
            </w:pPr>
            <w:r w:rsidRPr="002F3789">
              <w:rPr>
                <w:b/>
                <w:sz w:val="18"/>
                <w:szCs w:val="18"/>
              </w:rPr>
              <w:t>5</w:t>
            </w:r>
          </w:p>
        </w:tc>
        <w:tc>
          <w:tcPr>
            <w:tcW w:w="1262" w:type="dxa"/>
            <w:tcBorders>
              <w:top w:val="single" w:sz="2" w:space="0" w:color="auto"/>
              <w:left w:val="single" w:sz="2" w:space="0" w:color="auto"/>
              <w:bottom w:val="single" w:sz="2" w:space="0" w:color="auto"/>
            </w:tcBorders>
            <w:shd w:val="clear" w:color="auto" w:fill="B8CCE4" w:themeFill="accent1" w:themeFillTint="66"/>
          </w:tcPr>
          <w:p w:rsidR="006A6732" w:rsidRPr="00BE62E0" w:rsidRDefault="006A6732" w:rsidP="006A6732">
            <w:pPr>
              <w:spacing w:after="0" w:line="240" w:lineRule="auto"/>
              <w:ind w:firstLine="0"/>
              <w:jc w:val="center"/>
              <w:rPr>
                <w:b/>
                <w:color w:val="0070C0"/>
                <w:sz w:val="18"/>
                <w:szCs w:val="18"/>
              </w:rPr>
            </w:pPr>
            <w:r w:rsidRPr="00BE62E0">
              <w:rPr>
                <w:b/>
                <w:color w:val="0070C0"/>
                <w:sz w:val="18"/>
                <w:szCs w:val="18"/>
              </w:rPr>
              <w:t>5,0</w:t>
            </w:r>
          </w:p>
        </w:tc>
      </w:tr>
      <w:tr w:rsidR="006A6732" w:rsidRPr="002F3789" w:rsidTr="006A6732">
        <w:tc>
          <w:tcPr>
            <w:tcW w:w="3024" w:type="dxa"/>
            <w:tcBorders>
              <w:top w:val="single" w:sz="2" w:space="0" w:color="auto"/>
              <w:bottom w:val="single" w:sz="1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rPr>
                <w:i/>
                <w:sz w:val="18"/>
                <w:szCs w:val="18"/>
              </w:rPr>
            </w:pPr>
            <w:r w:rsidRPr="002F3789">
              <w:rPr>
                <w:i/>
                <w:sz w:val="18"/>
                <w:szCs w:val="18"/>
              </w:rPr>
              <w:t>Materialios vertybės (a</w:t>
            </w:r>
            <w:r w:rsidRPr="002F3789">
              <w:rPr>
                <w:i/>
                <w:sz w:val="18"/>
                <w:szCs w:val="18"/>
                <w:vertAlign w:val="subscript"/>
              </w:rPr>
              <w:t>9</w:t>
            </w:r>
            <w:r w:rsidRPr="002F3789">
              <w:rPr>
                <w:i/>
                <w:sz w:val="18"/>
                <w:szCs w:val="18"/>
              </w:rPr>
              <w:t>)</w:t>
            </w:r>
          </w:p>
        </w:tc>
        <w:tc>
          <w:tcPr>
            <w:tcW w:w="504" w:type="dxa"/>
            <w:tcBorders>
              <w:top w:val="single" w:sz="2" w:space="0" w:color="auto"/>
              <w:left w:val="single" w:sz="12" w:space="0" w:color="auto"/>
              <w:bottom w:val="single" w:sz="12" w:space="0" w:color="auto"/>
            </w:tcBorders>
            <w:shd w:val="clear" w:color="auto" w:fill="D9D9D9" w:themeFill="background1" w:themeFillShade="D9"/>
          </w:tcPr>
          <w:p w:rsidR="006A6732" w:rsidRPr="002F3789" w:rsidRDefault="006A6732" w:rsidP="006A6732">
            <w:pPr>
              <w:spacing w:after="0" w:line="240" w:lineRule="auto"/>
              <w:ind w:firstLine="0"/>
              <w:jc w:val="center"/>
              <w:rPr>
                <w:b/>
                <w:color w:val="0070C0"/>
                <w:sz w:val="18"/>
                <w:szCs w:val="18"/>
              </w:rPr>
            </w:pPr>
            <w:r w:rsidRPr="002F3789">
              <w:rPr>
                <w:b/>
                <w:color w:val="0070C0"/>
                <w:sz w:val="18"/>
                <w:szCs w:val="18"/>
              </w:rPr>
              <w:t>1,5</w:t>
            </w:r>
          </w:p>
        </w:tc>
        <w:tc>
          <w:tcPr>
            <w:tcW w:w="504"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5</w:t>
            </w:r>
          </w:p>
        </w:tc>
        <w:tc>
          <w:tcPr>
            <w:tcW w:w="504"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3</w:t>
            </w:r>
          </w:p>
        </w:tc>
        <w:tc>
          <w:tcPr>
            <w:tcW w:w="504"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504"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3</w:t>
            </w:r>
          </w:p>
        </w:tc>
        <w:tc>
          <w:tcPr>
            <w:tcW w:w="504"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3</w:t>
            </w:r>
          </w:p>
        </w:tc>
        <w:tc>
          <w:tcPr>
            <w:tcW w:w="504"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6A6732" w:rsidRPr="002F3789" w:rsidRDefault="006A6732" w:rsidP="006A6732">
            <w:pPr>
              <w:spacing w:after="0" w:line="240" w:lineRule="auto"/>
              <w:ind w:firstLine="0"/>
              <w:jc w:val="center"/>
              <w:rPr>
                <w:sz w:val="18"/>
                <w:szCs w:val="18"/>
              </w:rPr>
            </w:pPr>
            <w:r w:rsidRPr="002F3789">
              <w:rPr>
                <w:sz w:val="18"/>
                <w:szCs w:val="18"/>
              </w:rPr>
              <w:t>4</w:t>
            </w:r>
          </w:p>
        </w:tc>
        <w:tc>
          <w:tcPr>
            <w:tcW w:w="602" w:type="dxa"/>
            <w:tcBorders>
              <w:top w:val="single" w:sz="2" w:space="0" w:color="auto"/>
              <w:left w:val="single" w:sz="12" w:space="0" w:color="auto"/>
              <w:bottom w:val="single" w:sz="12" w:space="0" w:color="auto"/>
            </w:tcBorders>
            <w:shd w:val="clear" w:color="auto" w:fill="D9D9D9" w:themeFill="background1" w:themeFillShade="D9"/>
          </w:tcPr>
          <w:p w:rsidR="006A6732" w:rsidRPr="002F3789" w:rsidRDefault="006A6732" w:rsidP="006A6732">
            <w:pPr>
              <w:spacing w:after="0" w:line="240" w:lineRule="auto"/>
              <w:ind w:firstLine="0"/>
              <w:jc w:val="center"/>
              <w:rPr>
                <w:b/>
                <w:sz w:val="18"/>
                <w:szCs w:val="18"/>
              </w:rPr>
            </w:pPr>
            <w:r w:rsidRPr="002F3789">
              <w:rPr>
                <w:b/>
                <w:sz w:val="18"/>
                <w:szCs w:val="18"/>
              </w:rPr>
              <w:t>4</w:t>
            </w:r>
          </w:p>
        </w:tc>
        <w:tc>
          <w:tcPr>
            <w:tcW w:w="1262" w:type="dxa"/>
            <w:tcBorders>
              <w:top w:val="single" w:sz="2" w:space="0" w:color="auto"/>
              <w:left w:val="single" w:sz="2" w:space="0" w:color="auto"/>
              <w:bottom w:val="single" w:sz="12" w:space="0" w:color="auto"/>
            </w:tcBorders>
            <w:shd w:val="clear" w:color="auto" w:fill="B8CCE4" w:themeFill="accent1" w:themeFillTint="66"/>
          </w:tcPr>
          <w:p w:rsidR="006A6732" w:rsidRPr="00BE62E0" w:rsidRDefault="006A6732" w:rsidP="006A6732">
            <w:pPr>
              <w:spacing w:after="0" w:line="240" w:lineRule="auto"/>
              <w:ind w:firstLine="0"/>
              <w:jc w:val="center"/>
              <w:rPr>
                <w:b/>
                <w:color w:val="0070C0"/>
                <w:sz w:val="18"/>
                <w:szCs w:val="18"/>
              </w:rPr>
            </w:pPr>
            <w:r w:rsidRPr="00BE62E0">
              <w:rPr>
                <w:b/>
                <w:color w:val="0070C0"/>
                <w:sz w:val="18"/>
                <w:szCs w:val="18"/>
              </w:rPr>
              <w:t>6,0</w:t>
            </w:r>
          </w:p>
        </w:tc>
      </w:tr>
      <w:tr w:rsidR="006A6732" w:rsidRPr="002F3789" w:rsidTr="00852FBB">
        <w:tc>
          <w:tcPr>
            <w:tcW w:w="3024" w:type="dxa"/>
            <w:tcBorders>
              <w:top w:val="single" w:sz="12" w:space="0" w:color="auto"/>
              <w:bottom w:val="single" w:sz="12" w:space="0" w:color="auto"/>
              <w:right w:val="single" w:sz="12" w:space="0" w:color="auto"/>
            </w:tcBorders>
            <w:shd w:val="clear" w:color="auto" w:fill="D9D9D9" w:themeFill="background1" w:themeFillShade="D9"/>
          </w:tcPr>
          <w:p w:rsidR="006A6732" w:rsidRPr="002F3789" w:rsidRDefault="006A6732" w:rsidP="006A6732">
            <w:pPr>
              <w:spacing w:after="0" w:line="240" w:lineRule="auto"/>
              <w:ind w:firstLine="0"/>
              <w:jc w:val="right"/>
              <w:rPr>
                <w:b/>
                <w:i/>
                <w:sz w:val="17"/>
                <w:szCs w:val="17"/>
              </w:rPr>
            </w:pPr>
            <w:r w:rsidRPr="002F3789">
              <w:rPr>
                <w:b/>
                <w:i/>
                <w:sz w:val="17"/>
                <w:szCs w:val="17"/>
              </w:rPr>
              <w:t>SUMA:</w:t>
            </w:r>
          </w:p>
        </w:tc>
        <w:tc>
          <w:tcPr>
            <w:tcW w:w="504" w:type="dxa"/>
            <w:tcBorders>
              <w:top w:val="single" w:sz="12" w:space="0" w:color="auto"/>
              <w:left w:val="single" w:sz="12" w:space="0" w:color="auto"/>
              <w:bottom w:val="single" w:sz="12" w:space="0" w:color="auto"/>
            </w:tcBorders>
            <w:shd w:val="clear" w:color="auto" w:fill="D9D9D9" w:themeFill="background1" w:themeFillShade="D9"/>
          </w:tcPr>
          <w:p w:rsidR="006A6732" w:rsidRPr="002F3789" w:rsidRDefault="006A6732" w:rsidP="006A6732">
            <w:pPr>
              <w:spacing w:after="0" w:line="240" w:lineRule="auto"/>
              <w:ind w:firstLine="0"/>
              <w:jc w:val="center"/>
              <w:rPr>
                <w:b/>
                <w:i/>
                <w:sz w:val="17"/>
                <w:szCs w:val="17"/>
              </w:rPr>
            </w:pPr>
            <w:r w:rsidRPr="002F3789">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2F3789" w:rsidRDefault="006A6732" w:rsidP="006A6732">
            <w:pPr>
              <w:spacing w:after="0" w:line="240" w:lineRule="auto"/>
              <w:ind w:firstLine="0"/>
              <w:jc w:val="center"/>
              <w:rPr>
                <w:b/>
                <w:i/>
                <w:sz w:val="17"/>
                <w:szCs w:val="17"/>
              </w:rPr>
            </w:pPr>
            <w:r w:rsidRPr="002F3789">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2F3789" w:rsidRDefault="006A6732" w:rsidP="006A6732">
            <w:pPr>
              <w:spacing w:after="0" w:line="240" w:lineRule="auto"/>
              <w:ind w:firstLine="0"/>
              <w:jc w:val="center"/>
              <w:rPr>
                <w:b/>
                <w:i/>
                <w:sz w:val="17"/>
                <w:szCs w:val="17"/>
              </w:rPr>
            </w:pPr>
            <w:r w:rsidRPr="002F3789">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2F3789" w:rsidRDefault="006A6732" w:rsidP="006A6732">
            <w:pPr>
              <w:spacing w:after="0" w:line="240" w:lineRule="auto"/>
              <w:ind w:firstLine="0"/>
              <w:jc w:val="center"/>
              <w:rPr>
                <w:b/>
                <w:i/>
                <w:sz w:val="17"/>
                <w:szCs w:val="17"/>
              </w:rPr>
            </w:pPr>
            <w:r w:rsidRPr="002F3789">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2F3789" w:rsidRDefault="006A6732" w:rsidP="006A6732">
            <w:pPr>
              <w:spacing w:after="0" w:line="240" w:lineRule="auto"/>
              <w:ind w:firstLine="0"/>
              <w:jc w:val="center"/>
              <w:rPr>
                <w:b/>
                <w:i/>
                <w:sz w:val="17"/>
                <w:szCs w:val="17"/>
              </w:rPr>
            </w:pPr>
            <w:r w:rsidRPr="002F3789">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2F3789" w:rsidRDefault="006A6732" w:rsidP="006A6732">
            <w:pPr>
              <w:spacing w:after="0" w:line="240" w:lineRule="auto"/>
              <w:ind w:firstLine="0"/>
              <w:jc w:val="center"/>
              <w:rPr>
                <w:b/>
                <w:i/>
                <w:sz w:val="17"/>
                <w:szCs w:val="17"/>
              </w:rPr>
            </w:pPr>
            <w:r w:rsidRPr="002F3789">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2F3789" w:rsidRDefault="006A6732" w:rsidP="006A6732">
            <w:pPr>
              <w:spacing w:after="0" w:line="240" w:lineRule="auto"/>
              <w:ind w:firstLine="0"/>
              <w:jc w:val="center"/>
              <w:rPr>
                <w:b/>
                <w:i/>
                <w:sz w:val="17"/>
                <w:szCs w:val="17"/>
              </w:rPr>
            </w:pPr>
            <w:r w:rsidRPr="002F3789">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2F3789" w:rsidRDefault="006A6732" w:rsidP="006A6732">
            <w:pPr>
              <w:spacing w:after="0" w:line="240" w:lineRule="auto"/>
              <w:ind w:firstLine="0"/>
              <w:jc w:val="center"/>
              <w:rPr>
                <w:b/>
                <w:i/>
                <w:sz w:val="17"/>
                <w:szCs w:val="17"/>
              </w:rPr>
            </w:pPr>
            <w:r w:rsidRPr="002F3789">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2F3789" w:rsidRDefault="006A6732" w:rsidP="006A6732">
            <w:pPr>
              <w:spacing w:after="0" w:line="240" w:lineRule="auto"/>
              <w:ind w:firstLine="0"/>
              <w:jc w:val="center"/>
              <w:rPr>
                <w:b/>
                <w:i/>
                <w:sz w:val="17"/>
                <w:szCs w:val="17"/>
              </w:rPr>
            </w:pPr>
            <w:r w:rsidRPr="002F3789">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2F3789" w:rsidRDefault="006A6732" w:rsidP="006A6732">
            <w:pPr>
              <w:spacing w:after="0" w:line="240" w:lineRule="auto"/>
              <w:ind w:firstLine="0"/>
              <w:jc w:val="center"/>
              <w:rPr>
                <w:b/>
                <w:i/>
                <w:sz w:val="17"/>
                <w:szCs w:val="17"/>
              </w:rPr>
            </w:pPr>
            <w:r w:rsidRPr="002F3789">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2F3789" w:rsidRDefault="006A6732" w:rsidP="006A6732">
            <w:pPr>
              <w:spacing w:after="0" w:line="240" w:lineRule="auto"/>
              <w:ind w:firstLine="0"/>
              <w:jc w:val="center"/>
              <w:rPr>
                <w:b/>
                <w:i/>
                <w:sz w:val="17"/>
                <w:szCs w:val="17"/>
              </w:rPr>
            </w:pPr>
            <w:r w:rsidRPr="002F3789">
              <w:rPr>
                <w:b/>
                <w:i/>
                <w:sz w:val="17"/>
                <w:szCs w:val="17"/>
              </w:rPr>
              <w:t>-</w:t>
            </w:r>
          </w:p>
        </w:tc>
        <w:tc>
          <w:tcPr>
            <w:tcW w:w="602" w:type="dxa"/>
            <w:tcBorders>
              <w:top w:val="single" w:sz="12" w:space="0" w:color="auto"/>
              <w:left w:val="single" w:sz="12" w:space="0" w:color="auto"/>
              <w:bottom w:val="single" w:sz="12" w:space="0" w:color="auto"/>
            </w:tcBorders>
            <w:shd w:val="clear" w:color="auto" w:fill="D9D9D9" w:themeFill="background1" w:themeFillShade="D9"/>
          </w:tcPr>
          <w:p w:rsidR="006A6732" w:rsidRPr="002F3789" w:rsidRDefault="006A6732" w:rsidP="006A6732">
            <w:pPr>
              <w:spacing w:after="0" w:line="240" w:lineRule="auto"/>
              <w:ind w:firstLine="0"/>
              <w:jc w:val="center"/>
              <w:rPr>
                <w:b/>
                <w:sz w:val="17"/>
                <w:szCs w:val="17"/>
              </w:rPr>
            </w:pPr>
            <w:r w:rsidRPr="002F3789">
              <w:rPr>
                <w:b/>
                <w:sz w:val="17"/>
                <w:szCs w:val="17"/>
              </w:rPr>
              <w:t>39</w:t>
            </w:r>
          </w:p>
        </w:tc>
        <w:tc>
          <w:tcPr>
            <w:tcW w:w="1262" w:type="dxa"/>
            <w:tcBorders>
              <w:top w:val="single" w:sz="12" w:space="0" w:color="auto"/>
              <w:left w:val="single" w:sz="2" w:space="0" w:color="auto"/>
              <w:bottom w:val="single" w:sz="12" w:space="0" w:color="auto"/>
            </w:tcBorders>
            <w:shd w:val="clear" w:color="auto" w:fill="D9D9D9" w:themeFill="background1" w:themeFillShade="D9"/>
          </w:tcPr>
          <w:p w:rsidR="006A6732" w:rsidRPr="002F3789" w:rsidRDefault="004427E7" w:rsidP="006A6732">
            <w:pPr>
              <w:spacing w:after="0" w:line="240" w:lineRule="auto"/>
              <w:ind w:firstLine="0"/>
              <w:jc w:val="center"/>
              <w:rPr>
                <w:b/>
                <w:color w:val="0070C0"/>
                <w:sz w:val="17"/>
                <w:szCs w:val="17"/>
              </w:rPr>
            </w:pPr>
            <w:r>
              <w:rPr>
                <w:b/>
                <w:color w:val="0070C0"/>
                <w:sz w:val="17"/>
                <w:szCs w:val="17"/>
              </w:rPr>
              <w:t>58,0</w:t>
            </w:r>
          </w:p>
        </w:tc>
      </w:tr>
      <w:tr w:rsidR="00852FBB" w:rsidRPr="00852FBB" w:rsidTr="00852FBB">
        <w:tc>
          <w:tcPr>
            <w:tcW w:w="10432" w:type="dxa"/>
            <w:gridSpan w:val="14"/>
            <w:tcBorders>
              <w:top w:val="single" w:sz="12" w:space="0" w:color="auto"/>
              <w:bottom w:val="single" w:sz="12" w:space="0" w:color="auto"/>
            </w:tcBorders>
            <w:shd w:val="clear" w:color="auto" w:fill="auto"/>
          </w:tcPr>
          <w:p w:rsidR="00852FBB" w:rsidRPr="00852FBB" w:rsidRDefault="00852FBB" w:rsidP="006A6732">
            <w:pPr>
              <w:spacing w:after="0" w:line="240" w:lineRule="auto"/>
              <w:ind w:firstLine="0"/>
              <w:jc w:val="center"/>
              <w:rPr>
                <w:b/>
                <w:i/>
                <w:color w:val="0070C0"/>
                <w:sz w:val="6"/>
                <w:szCs w:val="6"/>
              </w:rPr>
            </w:pPr>
          </w:p>
        </w:tc>
      </w:tr>
      <w:tr w:rsidR="006A6732" w:rsidRPr="00293F7E" w:rsidTr="006A6732">
        <w:trPr>
          <w:trHeight w:val="218"/>
        </w:trPr>
        <w:tc>
          <w:tcPr>
            <w:tcW w:w="3024" w:type="dxa"/>
            <w:vMerge w:val="restart"/>
            <w:tcBorders>
              <w:top w:val="single" w:sz="12" w:space="0" w:color="auto"/>
              <w:right w:val="single" w:sz="12" w:space="0" w:color="auto"/>
            </w:tcBorders>
            <w:shd w:val="clear" w:color="auto" w:fill="D9D9D9" w:themeFill="background1" w:themeFillShade="D9"/>
            <w:vAlign w:val="center"/>
          </w:tcPr>
          <w:p w:rsidR="006A6732" w:rsidRPr="00293F7E" w:rsidRDefault="006A6732" w:rsidP="006A6732">
            <w:pPr>
              <w:spacing w:after="0" w:line="240" w:lineRule="auto"/>
              <w:ind w:firstLine="0"/>
              <w:jc w:val="center"/>
              <w:rPr>
                <w:b/>
                <w:i/>
                <w:sz w:val="17"/>
                <w:szCs w:val="17"/>
              </w:rPr>
            </w:pPr>
            <w:r w:rsidRPr="00293F7E">
              <w:rPr>
                <w:b/>
                <w:i/>
                <w:sz w:val="17"/>
                <w:szCs w:val="17"/>
              </w:rPr>
              <w:t>- B -</w:t>
            </w:r>
          </w:p>
        </w:tc>
        <w:tc>
          <w:tcPr>
            <w:tcW w:w="504" w:type="dxa"/>
            <w:vMerge w:val="restart"/>
            <w:tcBorders>
              <w:top w:val="single" w:sz="12" w:space="0" w:color="auto"/>
              <w:left w:val="single" w:sz="12" w:space="0" w:color="auto"/>
            </w:tcBorders>
            <w:shd w:val="clear" w:color="auto" w:fill="D9D9D9" w:themeFill="background1" w:themeFillShade="D9"/>
            <w:vAlign w:val="center"/>
          </w:tcPr>
          <w:p w:rsidR="006A6732" w:rsidRPr="00B53367" w:rsidRDefault="006A6732" w:rsidP="006A6732">
            <w:pPr>
              <w:spacing w:after="0" w:line="240" w:lineRule="auto"/>
              <w:ind w:firstLine="0"/>
              <w:jc w:val="center"/>
              <w:rPr>
                <w:b/>
                <w:i/>
                <w:color w:val="7030A0"/>
                <w:sz w:val="17"/>
                <w:szCs w:val="17"/>
              </w:rPr>
            </w:pPr>
            <w:r w:rsidRPr="00B53367">
              <w:rPr>
                <w:b/>
                <w:i/>
                <w:color w:val="7030A0"/>
                <w:sz w:val="17"/>
                <w:szCs w:val="17"/>
              </w:rPr>
              <w:t>K</w:t>
            </w:r>
          </w:p>
        </w:tc>
        <w:tc>
          <w:tcPr>
            <w:tcW w:w="5040" w:type="dxa"/>
            <w:gridSpan w:val="10"/>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93F7E" w:rsidRDefault="006A6732" w:rsidP="006A6732">
            <w:pPr>
              <w:spacing w:after="0" w:line="240" w:lineRule="auto"/>
              <w:ind w:firstLine="0"/>
              <w:jc w:val="center"/>
              <w:rPr>
                <w:b/>
                <w:i/>
                <w:sz w:val="17"/>
                <w:szCs w:val="17"/>
              </w:rPr>
            </w:pPr>
            <w:r w:rsidRPr="00293F7E">
              <w:rPr>
                <w:b/>
                <w:i/>
                <w:sz w:val="17"/>
                <w:szCs w:val="17"/>
              </w:rPr>
              <w:t>Ekspertų vertinimai</w:t>
            </w:r>
          </w:p>
        </w:tc>
        <w:tc>
          <w:tcPr>
            <w:tcW w:w="602" w:type="dxa"/>
            <w:vMerge w:val="restart"/>
            <w:tcBorders>
              <w:top w:val="single" w:sz="12" w:space="0" w:color="auto"/>
              <w:left w:val="single" w:sz="12" w:space="0" w:color="auto"/>
            </w:tcBorders>
            <w:shd w:val="clear" w:color="auto" w:fill="D9D9D9" w:themeFill="background1" w:themeFillShade="D9"/>
            <w:vAlign w:val="center"/>
          </w:tcPr>
          <w:p w:rsidR="006A6732" w:rsidRPr="00293F7E" w:rsidRDefault="006A6732" w:rsidP="006A6732">
            <w:pPr>
              <w:spacing w:after="0" w:line="240" w:lineRule="auto"/>
              <w:ind w:firstLine="0"/>
              <w:jc w:val="center"/>
              <w:rPr>
                <w:b/>
                <w:i/>
                <w:sz w:val="17"/>
                <w:szCs w:val="17"/>
              </w:rPr>
            </w:pPr>
            <w:proofErr w:type="spellStart"/>
            <w:r w:rsidRPr="00293F7E">
              <w:rPr>
                <w:b/>
                <w:i/>
                <w:sz w:val="17"/>
                <w:szCs w:val="17"/>
              </w:rPr>
              <w:t>Mo</w:t>
            </w:r>
            <w:proofErr w:type="spellEnd"/>
          </w:p>
        </w:tc>
        <w:tc>
          <w:tcPr>
            <w:tcW w:w="1262" w:type="dxa"/>
            <w:vMerge w:val="restart"/>
            <w:tcBorders>
              <w:top w:val="single" w:sz="12" w:space="0" w:color="auto"/>
              <w:left w:val="single" w:sz="2" w:space="0" w:color="auto"/>
            </w:tcBorders>
            <w:shd w:val="clear" w:color="auto" w:fill="D9D9D9" w:themeFill="background1" w:themeFillShade="D9"/>
            <w:vAlign w:val="center"/>
          </w:tcPr>
          <w:p w:rsidR="006A6732" w:rsidRPr="00B53367" w:rsidRDefault="006A6732" w:rsidP="006A6732">
            <w:pPr>
              <w:spacing w:after="0" w:line="240" w:lineRule="auto"/>
              <w:ind w:firstLine="0"/>
              <w:jc w:val="center"/>
              <w:rPr>
                <w:b/>
                <w:i/>
                <w:color w:val="7030A0"/>
                <w:sz w:val="17"/>
                <w:szCs w:val="17"/>
              </w:rPr>
            </w:pPr>
            <w:r w:rsidRPr="00B53367">
              <w:rPr>
                <w:b/>
                <w:i/>
                <w:color w:val="7030A0"/>
                <w:sz w:val="17"/>
                <w:szCs w:val="17"/>
              </w:rPr>
              <w:t>Pageidautina reikšmė</w:t>
            </w:r>
          </w:p>
        </w:tc>
      </w:tr>
      <w:tr w:rsidR="006A6732" w:rsidRPr="00293F7E" w:rsidTr="006A6732">
        <w:trPr>
          <w:trHeight w:val="217"/>
        </w:trPr>
        <w:tc>
          <w:tcPr>
            <w:tcW w:w="3024" w:type="dxa"/>
            <w:vMerge/>
            <w:tcBorders>
              <w:bottom w:val="single" w:sz="12" w:space="0" w:color="auto"/>
              <w:right w:val="single" w:sz="12" w:space="0" w:color="auto"/>
            </w:tcBorders>
            <w:shd w:val="clear" w:color="auto" w:fill="D9D9D9" w:themeFill="background1" w:themeFillShade="D9"/>
            <w:vAlign w:val="center"/>
          </w:tcPr>
          <w:p w:rsidR="006A6732" w:rsidRPr="00293F7E" w:rsidRDefault="006A6732" w:rsidP="006A6732">
            <w:pPr>
              <w:spacing w:after="0" w:line="240" w:lineRule="auto"/>
              <w:ind w:firstLine="0"/>
              <w:jc w:val="center"/>
              <w:rPr>
                <w:b/>
                <w:i/>
                <w:sz w:val="18"/>
                <w:szCs w:val="18"/>
              </w:rPr>
            </w:pPr>
          </w:p>
        </w:tc>
        <w:tc>
          <w:tcPr>
            <w:tcW w:w="504" w:type="dxa"/>
            <w:vMerge/>
            <w:tcBorders>
              <w:left w:val="single" w:sz="12" w:space="0" w:color="auto"/>
              <w:bottom w:val="single" w:sz="12" w:space="0" w:color="auto"/>
            </w:tcBorders>
            <w:shd w:val="clear" w:color="auto" w:fill="D9D9D9" w:themeFill="background1" w:themeFillShade="D9"/>
            <w:vAlign w:val="center"/>
          </w:tcPr>
          <w:p w:rsidR="006A6732" w:rsidRPr="00B53367" w:rsidRDefault="006A6732" w:rsidP="006A6732">
            <w:pPr>
              <w:spacing w:after="0" w:line="240" w:lineRule="auto"/>
              <w:ind w:firstLine="0"/>
              <w:jc w:val="center"/>
              <w:rPr>
                <w:b/>
                <w:i/>
                <w:color w:val="7030A0"/>
                <w:sz w:val="18"/>
                <w:szCs w:val="18"/>
              </w:rPr>
            </w:pP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93F7E" w:rsidRDefault="006A6732" w:rsidP="006A6732">
            <w:pPr>
              <w:spacing w:after="0" w:line="240" w:lineRule="auto"/>
              <w:ind w:firstLine="0"/>
              <w:jc w:val="center"/>
              <w:rPr>
                <w:b/>
                <w:i/>
                <w:sz w:val="18"/>
                <w:szCs w:val="18"/>
                <w:vertAlign w:val="subscript"/>
              </w:rPr>
            </w:pPr>
            <w:r w:rsidRPr="00293F7E">
              <w:rPr>
                <w:b/>
                <w:i/>
                <w:sz w:val="18"/>
                <w:szCs w:val="18"/>
              </w:rPr>
              <w:t>m</w:t>
            </w:r>
            <w:r w:rsidRPr="00293F7E">
              <w:rPr>
                <w:b/>
                <w:i/>
                <w:sz w:val="18"/>
                <w:szCs w:val="18"/>
                <w:vertAlign w:val="subscript"/>
              </w:rPr>
              <w:t>1</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93F7E" w:rsidRDefault="006A6732" w:rsidP="006A6732">
            <w:pPr>
              <w:spacing w:after="0" w:line="240" w:lineRule="auto"/>
              <w:ind w:firstLine="0"/>
              <w:jc w:val="center"/>
              <w:rPr>
                <w:b/>
                <w:i/>
                <w:sz w:val="18"/>
                <w:szCs w:val="18"/>
                <w:vertAlign w:val="subscript"/>
              </w:rPr>
            </w:pPr>
            <w:r w:rsidRPr="00293F7E">
              <w:rPr>
                <w:b/>
                <w:i/>
                <w:sz w:val="18"/>
                <w:szCs w:val="18"/>
              </w:rPr>
              <w:t>m</w:t>
            </w:r>
            <w:r w:rsidRPr="00293F7E">
              <w:rPr>
                <w:b/>
                <w:i/>
                <w:sz w:val="18"/>
                <w:szCs w:val="18"/>
                <w:vertAlign w:val="subscript"/>
              </w:rPr>
              <w:t>2</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93F7E" w:rsidRDefault="006A6732" w:rsidP="006A6732">
            <w:pPr>
              <w:spacing w:after="0" w:line="240" w:lineRule="auto"/>
              <w:ind w:firstLine="0"/>
              <w:jc w:val="center"/>
              <w:rPr>
                <w:b/>
                <w:i/>
                <w:sz w:val="18"/>
                <w:szCs w:val="18"/>
                <w:vertAlign w:val="subscript"/>
              </w:rPr>
            </w:pPr>
            <w:r w:rsidRPr="00293F7E">
              <w:rPr>
                <w:b/>
                <w:i/>
                <w:sz w:val="18"/>
                <w:szCs w:val="18"/>
              </w:rPr>
              <w:t>m</w:t>
            </w:r>
            <w:r w:rsidRPr="00293F7E">
              <w:rPr>
                <w:b/>
                <w:i/>
                <w:sz w:val="18"/>
                <w:szCs w:val="18"/>
                <w:vertAlign w:val="subscript"/>
              </w:rPr>
              <w:t>3</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93F7E" w:rsidRDefault="006A6732" w:rsidP="006A6732">
            <w:pPr>
              <w:spacing w:after="0" w:line="240" w:lineRule="auto"/>
              <w:ind w:firstLine="0"/>
              <w:jc w:val="center"/>
              <w:rPr>
                <w:b/>
                <w:i/>
                <w:sz w:val="18"/>
                <w:szCs w:val="18"/>
                <w:vertAlign w:val="subscript"/>
              </w:rPr>
            </w:pPr>
            <w:r w:rsidRPr="00293F7E">
              <w:rPr>
                <w:b/>
                <w:i/>
                <w:sz w:val="18"/>
                <w:szCs w:val="18"/>
              </w:rPr>
              <w:t>m</w:t>
            </w:r>
            <w:r w:rsidRPr="00293F7E">
              <w:rPr>
                <w:b/>
                <w:i/>
                <w:sz w:val="18"/>
                <w:szCs w:val="18"/>
                <w:vertAlign w:val="subscript"/>
              </w:rPr>
              <w:t>4</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93F7E" w:rsidRDefault="006A6732" w:rsidP="006A6732">
            <w:pPr>
              <w:spacing w:after="0" w:line="240" w:lineRule="auto"/>
              <w:ind w:firstLine="0"/>
              <w:jc w:val="center"/>
              <w:rPr>
                <w:b/>
                <w:i/>
                <w:sz w:val="18"/>
                <w:szCs w:val="18"/>
                <w:vertAlign w:val="subscript"/>
              </w:rPr>
            </w:pPr>
            <w:r w:rsidRPr="00293F7E">
              <w:rPr>
                <w:b/>
                <w:i/>
                <w:sz w:val="18"/>
                <w:szCs w:val="18"/>
              </w:rPr>
              <w:t>m</w:t>
            </w:r>
            <w:r w:rsidRPr="00293F7E">
              <w:rPr>
                <w:b/>
                <w:i/>
                <w:sz w:val="18"/>
                <w:szCs w:val="18"/>
                <w:vertAlign w:val="subscript"/>
              </w:rPr>
              <w:t>5</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93F7E" w:rsidRDefault="006A6732" w:rsidP="006A6732">
            <w:pPr>
              <w:spacing w:after="0" w:line="240" w:lineRule="auto"/>
              <w:ind w:firstLine="0"/>
              <w:jc w:val="center"/>
              <w:rPr>
                <w:b/>
                <w:i/>
                <w:sz w:val="18"/>
                <w:szCs w:val="18"/>
                <w:vertAlign w:val="subscript"/>
              </w:rPr>
            </w:pPr>
            <w:r w:rsidRPr="00293F7E">
              <w:rPr>
                <w:b/>
                <w:i/>
                <w:sz w:val="18"/>
                <w:szCs w:val="18"/>
              </w:rPr>
              <w:t>m</w:t>
            </w:r>
            <w:r w:rsidRPr="00293F7E">
              <w:rPr>
                <w:b/>
                <w:i/>
                <w:sz w:val="18"/>
                <w:szCs w:val="18"/>
                <w:vertAlign w:val="subscript"/>
              </w:rPr>
              <w:t>6</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93F7E" w:rsidRDefault="006A6732" w:rsidP="006A6732">
            <w:pPr>
              <w:spacing w:after="0" w:line="240" w:lineRule="auto"/>
              <w:ind w:firstLine="0"/>
              <w:jc w:val="center"/>
              <w:rPr>
                <w:b/>
                <w:i/>
                <w:sz w:val="18"/>
                <w:szCs w:val="18"/>
                <w:vertAlign w:val="subscript"/>
              </w:rPr>
            </w:pPr>
            <w:r w:rsidRPr="00293F7E">
              <w:rPr>
                <w:b/>
                <w:i/>
                <w:sz w:val="18"/>
                <w:szCs w:val="18"/>
              </w:rPr>
              <w:t>m</w:t>
            </w:r>
            <w:r w:rsidRPr="00293F7E">
              <w:rPr>
                <w:b/>
                <w:i/>
                <w:sz w:val="18"/>
                <w:szCs w:val="18"/>
                <w:vertAlign w:val="subscript"/>
              </w:rPr>
              <w:t>7</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93F7E" w:rsidRDefault="006A6732" w:rsidP="006A6732">
            <w:pPr>
              <w:spacing w:after="0" w:line="240" w:lineRule="auto"/>
              <w:ind w:firstLine="0"/>
              <w:jc w:val="center"/>
              <w:rPr>
                <w:b/>
                <w:i/>
                <w:sz w:val="18"/>
                <w:szCs w:val="18"/>
                <w:vertAlign w:val="subscript"/>
              </w:rPr>
            </w:pPr>
            <w:r w:rsidRPr="00293F7E">
              <w:rPr>
                <w:b/>
                <w:i/>
                <w:sz w:val="18"/>
                <w:szCs w:val="18"/>
              </w:rPr>
              <w:t>m</w:t>
            </w:r>
            <w:r w:rsidRPr="00293F7E">
              <w:rPr>
                <w:b/>
                <w:i/>
                <w:sz w:val="18"/>
                <w:szCs w:val="18"/>
                <w:vertAlign w:val="subscript"/>
              </w:rPr>
              <w:t>8</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93F7E" w:rsidRDefault="006A6732" w:rsidP="006A6732">
            <w:pPr>
              <w:spacing w:after="0" w:line="240" w:lineRule="auto"/>
              <w:ind w:firstLine="0"/>
              <w:jc w:val="center"/>
              <w:rPr>
                <w:b/>
                <w:i/>
                <w:sz w:val="18"/>
                <w:szCs w:val="18"/>
                <w:vertAlign w:val="subscript"/>
              </w:rPr>
            </w:pPr>
            <w:r w:rsidRPr="00293F7E">
              <w:rPr>
                <w:b/>
                <w:i/>
                <w:sz w:val="18"/>
                <w:szCs w:val="18"/>
              </w:rPr>
              <w:t>m</w:t>
            </w:r>
            <w:r w:rsidRPr="00293F7E">
              <w:rPr>
                <w:b/>
                <w:i/>
                <w:sz w:val="18"/>
                <w:szCs w:val="18"/>
                <w:vertAlign w:val="subscript"/>
              </w:rPr>
              <w:t>9</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293F7E" w:rsidRDefault="006A6732" w:rsidP="006A6732">
            <w:pPr>
              <w:spacing w:after="0" w:line="240" w:lineRule="auto"/>
              <w:ind w:firstLine="0"/>
              <w:jc w:val="center"/>
              <w:rPr>
                <w:b/>
                <w:i/>
                <w:sz w:val="18"/>
                <w:szCs w:val="18"/>
                <w:vertAlign w:val="subscript"/>
              </w:rPr>
            </w:pPr>
            <w:r w:rsidRPr="00293F7E">
              <w:rPr>
                <w:b/>
                <w:i/>
                <w:sz w:val="18"/>
                <w:szCs w:val="18"/>
              </w:rPr>
              <w:t>m</w:t>
            </w:r>
            <w:r w:rsidRPr="00293F7E">
              <w:rPr>
                <w:b/>
                <w:i/>
                <w:sz w:val="18"/>
                <w:szCs w:val="18"/>
                <w:vertAlign w:val="subscript"/>
              </w:rPr>
              <w:t>10</w:t>
            </w:r>
          </w:p>
        </w:tc>
        <w:tc>
          <w:tcPr>
            <w:tcW w:w="602" w:type="dxa"/>
            <w:vMerge/>
            <w:tcBorders>
              <w:left w:val="single" w:sz="12" w:space="0" w:color="auto"/>
              <w:bottom w:val="single" w:sz="12" w:space="0" w:color="auto"/>
            </w:tcBorders>
            <w:shd w:val="clear" w:color="auto" w:fill="D9D9D9" w:themeFill="background1" w:themeFillShade="D9"/>
            <w:vAlign w:val="center"/>
          </w:tcPr>
          <w:p w:rsidR="006A6732" w:rsidRPr="00293F7E" w:rsidRDefault="006A6732" w:rsidP="006A6732">
            <w:pPr>
              <w:spacing w:after="0" w:line="240" w:lineRule="auto"/>
              <w:ind w:firstLine="0"/>
              <w:jc w:val="center"/>
              <w:rPr>
                <w:b/>
                <w:i/>
                <w:sz w:val="18"/>
                <w:szCs w:val="18"/>
              </w:rPr>
            </w:pPr>
          </w:p>
        </w:tc>
        <w:tc>
          <w:tcPr>
            <w:tcW w:w="1262" w:type="dxa"/>
            <w:vMerge/>
            <w:tcBorders>
              <w:left w:val="single" w:sz="2" w:space="0" w:color="auto"/>
              <w:bottom w:val="single" w:sz="12" w:space="0" w:color="auto"/>
            </w:tcBorders>
            <w:shd w:val="clear" w:color="auto" w:fill="D9D9D9" w:themeFill="background1" w:themeFillShade="D9"/>
            <w:vAlign w:val="center"/>
          </w:tcPr>
          <w:p w:rsidR="006A6732" w:rsidRPr="00B53367" w:rsidRDefault="006A6732" w:rsidP="006A6732">
            <w:pPr>
              <w:spacing w:after="0" w:line="240" w:lineRule="auto"/>
              <w:ind w:firstLine="0"/>
              <w:jc w:val="center"/>
              <w:rPr>
                <w:b/>
                <w:i/>
                <w:color w:val="7030A0"/>
                <w:sz w:val="18"/>
                <w:szCs w:val="18"/>
              </w:rPr>
            </w:pPr>
          </w:p>
        </w:tc>
      </w:tr>
      <w:tr w:rsidR="006A6732" w:rsidRPr="00293F7E" w:rsidTr="006A6732">
        <w:tc>
          <w:tcPr>
            <w:tcW w:w="3024" w:type="dxa"/>
            <w:tcBorders>
              <w:top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rPr>
                <w:i/>
                <w:sz w:val="18"/>
                <w:szCs w:val="18"/>
              </w:rPr>
            </w:pPr>
            <w:r w:rsidRPr="00293F7E">
              <w:rPr>
                <w:i/>
                <w:sz w:val="18"/>
                <w:szCs w:val="18"/>
              </w:rPr>
              <w:t>Menkas išsilavinimas (b</w:t>
            </w:r>
            <w:r w:rsidRPr="00293F7E">
              <w:rPr>
                <w:i/>
                <w:sz w:val="18"/>
                <w:szCs w:val="18"/>
                <w:vertAlign w:val="subscript"/>
              </w:rPr>
              <w:t>1</w:t>
            </w:r>
            <w:r w:rsidRPr="00293F7E">
              <w:rPr>
                <w:i/>
                <w:sz w:val="18"/>
                <w:szCs w:val="18"/>
              </w:rPr>
              <w:t>)</w:t>
            </w:r>
          </w:p>
        </w:tc>
        <w:tc>
          <w:tcPr>
            <w:tcW w:w="504" w:type="dxa"/>
            <w:tcBorders>
              <w:top w:val="single" w:sz="12" w:space="0" w:color="auto"/>
              <w:left w:val="single" w:sz="12" w:space="0" w:color="auto"/>
              <w:bottom w:val="single" w:sz="2" w:space="0" w:color="auto"/>
            </w:tcBorders>
            <w:shd w:val="clear" w:color="auto" w:fill="D9D9D9" w:themeFill="background1" w:themeFillShade="D9"/>
          </w:tcPr>
          <w:p w:rsidR="006A6732" w:rsidRPr="00B53367" w:rsidRDefault="006A6732" w:rsidP="006A6732">
            <w:pPr>
              <w:spacing w:after="0" w:line="240" w:lineRule="auto"/>
              <w:ind w:firstLine="0"/>
              <w:jc w:val="center"/>
              <w:rPr>
                <w:b/>
                <w:color w:val="7030A0"/>
                <w:sz w:val="18"/>
                <w:szCs w:val="18"/>
              </w:rPr>
            </w:pPr>
            <w:r w:rsidRPr="00B53367">
              <w:rPr>
                <w:b/>
                <w:color w:val="7030A0"/>
                <w:sz w:val="18"/>
                <w:szCs w:val="18"/>
              </w:rPr>
              <w:t>2,0</w:t>
            </w:r>
          </w:p>
        </w:tc>
        <w:tc>
          <w:tcPr>
            <w:tcW w:w="504" w:type="dxa"/>
            <w:tcBorders>
              <w:top w:val="single" w:sz="12" w:space="0" w:color="auto"/>
              <w:left w:val="single" w:sz="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1</w:t>
            </w:r>
          </w:p>
        </w:tc>
        <w:tc>
          <w:tcPr>
            <w:tcW w:w="504" w:type="dxa"/>
            <w:tcBorders>
              <w:top w:val="single" w:sz="1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2</w:t>
            </w:r>
          </w:p>
        </w:tc>
        <w:tc>
          <w:tcPr>
            <w:tcW w:w="504" w:type="dxa"/>
            <w:tcBorders>
              <w:top w:val="single" w:sz="1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4</w:t>
            </w:r>
          </w:p>
        </w:tc>
        <w:tc>
          <w:tcPr>
            <w:tcW w:w="504" w:type="dxa"/>
            <w:tcBorders>
              <w:top w:val="single" w:sz="1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962C2" w:rsidP="006A6732">
            <w:pPr>
              <w:spacing w:after="0" w:line="240" w:lineRule="auto"/>
              <w:ind w:firstLine="0"/>
              <w:jc w:val="center"/>
              <w:rPr>
                <w:sz w:val="18"/>
                <w:szCs w:val="18"/>
              </w:rPr>
            </w:pPr>
            <w:r>
              <w:rPr>
                <w:sz w:val="18"/>
                <w:szCs w:val="18"/>
              </w:rPr>
              <w:t>2</w:t>
            </w:r>
          </w:p>
        </w:tc>
        <w:tc>
          <w:tcPr>
            <w:tcW w:w="504" w:type="dxa"/>
            <w:tcBorders>
              <w:top w:val="single" w:sz="1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962C2" w:rsidP="006A6732">
            <w:pPr>
              <w:spacing w:after="0" w:line="240" w:lineRule="auto"/>
              <w:ind w:firstLine="0"/>
              <w:jc w:val="center"/>
              <w:rPr>
                <w:sz w:val="18"/>
                <w:szCs w:val="18"/>
              </w:rPr>
            </w:pPr>
            <w:r>
              <w:rPr>
                <w:sz w:val="18"/>
                <w:szCs w:val="18"/>
              </w:rPr>
              <w:t>2</w:t>
            </w:r>
          </w:p>
        </w:tc>
        <w:tc>
          <w:tcPr>
            <w:tcW w:w="504" w:type="dxa"/>
            <w:tcBorders>
              <w:top w:val="single" w:sz="1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1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1</w:t>
            </w:r>
          </w:p>
        </w:tc>
        <w:tc>
          <w:tcPr>
            <w:tcW w:w="504" w:type="dxa"/>
            <w:tcBorders>
              <w:top w:val="single" w:sz="1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1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1</w:t>
            </w:r>
          </w:p>
        </w:tc>
        <w:tc>
          <w:tcPr>
            <w:tcW w:w="504" w:type="dxa"/>
            <w:tcBorders>
              <w:top w:val="single" w:sz="1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962C2" w:rsidP="006A6732">
            <w:pPr>
              <w:spacing w:after="0" w:line="240" w:lineRule="auto"/>
              <w:ind w:firstLine="0"/>
              <w:jc w:val="center"/>
              <w:rPr>
                <w:sz w:val="18"/>
                <w:szCs w:val="18"/>
              </w:rPr>
            </w:pPr>
            <w:r>
              <w:rPr>
                <w:sz w:val="18"/>
                <w:szCs w:val="18"/>
              </w:rPr>
              <w:t>2</w:t>
            </w:r>
          </w:p>
        </w:tc>
        <w:tc>
          <w:tcPr>
            <w:tcW w:w="602" w:type="dxa"/>
            <w:tcBorders>
              <w:top w:val="single" w:sz="12" w:space="0" w:color="auto"/>
              <w:left w:val="single" w:sz="12" w:space="0" w:color="auto"/>
              <w:bottom w:val="single" w:sz="2" w:space="0" w:color="auto"/>
            </w:tcBorders>
            <w:shd w:val="clear" w:color="auto" w:fill="D9D9D9" w:themeFill="background1" w:themeFillShade="D9"/>
          </w:tcPr>
          <w:p w:rsidR="006A6732" w:rsidRPr="00293F7E" w:rsidRDefault="006A6732" w:rsidP="006A6732">
            <w:pPr>
              <w:spacing w:after="0" w:line="240" w:lineRule="auto"/>
              <w:ind w:firstLine="0"/>
              <w:jc w:val="center"/>
              <w:rPr>
                <w:b/>
                <w:sz w:val="18"/>
                <w:szCs w:val="18"/>
              </w:rPr>
            </w:pPr>
            <w:r w:rsidRPr="00293F7E">
              <w:rPr>
                <w:b/>
                <w:sz w:val="18"/>
                <w:szCs w:val="18"/>
              </w:rPr>
              <w:t>2</w:t>
            </w:r>
          </w:p>
        </w:tc>
        <w:tc>
          <w:tcPr>
            <w:tcW w:w="1262" w:type="dxa"/>
            <w:tcBorders>
              <w:top w:val="single" w:sz="12" w:space="0" w:color="auto"/>
              <w:left w:val="single" w:sz="2" w:space="0" w:color="auto"/>
              <w:bottom w:val="single" w:sz="2" w:space="0" w:color="auto"/>
            </w:tcBorders>
            <w:shd w:val="clear" w:color="auto" w:fill="CCC0D9" w:themeFill="accent4" w:themeFillTint="66"/>
          </w:tcPr>
          <w:p w:rsidR="006A6732" w:rsidRPr="00B53367" w:rsidRDefault="006A6732" w:rsidP="006A6732">
            <w:pPr>
              <w:spacing w:after="0" w:line="240" w:lineRule="auto"/>
              <w:ind w:firstLine="0"/>
              <w:jc w:val="center"/>
              <w:rPr>
                <w:b/>
                <w:color w:val="7030A0"/>
                <w:sz w:val="18"/>
                <w:szCs w:val="18"/>
              </w:rPr>
            </w:pPr>
            <w:r w:rsidRPr="00B53367">
              <w:rPr>
                <w:b/>
                <w:color w:val="7030A0"/>
                <w:sz w:val="18"/>
                <w:szCs w:val="18"/>
              </w:rPr>
              <w:t>4,0</w:t>
            </w:r>
          </w:p>
        </w:tc>
      </w:tr>
      <w:tr w:rsidR="006A6732" w:rsidRPr="00293F7E" w:rsidTr="006A6732">
        <w:tc>
          <w:tcPr>
            <w:tcW w:w="3024" w:type="dxa"/>
            <w:tcBorders>
              <w:top w:val="single" w:sz="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rPr>
                <w:i/>
                <w:sz w:val="18"/>
                <w:szCs w:val="18"/>
              </w:rPr>
            </w:pPr>
            <w:r w:rsidRPr="00293F7E">
              <w:rPr>
                <w:i/>
                <w:sz w:val="18"/>
                <w:szCs w:val="18"/>
              </w:rPr>
              <w:t>Nepaklausi profesija (b</w:t>
            </w:r>
            <w:r w:rsidRPr="00293F7E">
              <w:rPr>
                <w:i/>
                <w:sz w:val="18"/>
                <w:szCs w:val="18"/>
                <w:vertAlign w:val="subscript"/>
              </w:rPr>
              <w:t>2</w:t>
            </w:r>
            <w:r w:rsidRPr="00293F7E">
              <w:rPr>
                <w:i/>
                <w:sz w:val="18"/>
                <w:szCs w:val="18"/>
              </w:rPr>
              <w:t>)</w:t>
            </w:r>
          </w:p>
        </w:tc>
        <w:tc>
          <w:tcPr>
            <w:tcW w:w="504" w:type="dxa"/>
            <w:tcBorders>
              <w:top w:val="single" w:sz="2" w:space="0" w:color="auto"/>
              <w:left w:val="single" w:sz="12" w:space="0" w:color="auto"/>
              <w:bottom w:val="single" w:sz="2" w:space="0" w:color="auto"/>
            </w:tcBorders>
            <w:shd w:val="clear" w:color="auto" w:fill="D9D9D9" w:themeFill="background1" w:themeFillShade="D9"/>
          </w:tcPr>
          <w:p w:rsidR="006A6732" w:rsidRPr="00B53367" w:rsidRDefault="006A6732" w:rsidP="006A6732">
            <w:pPr>
              <w:spacing w:after="0" w:line="240" w:lineRule="auto"/>
              <w:ind w:firstLine="0"/>
              <w:jc w:val="center"/>
              <w:rPr>
                <w:b/>
                <w:color w:val="7030A0"/>
                <w:sz w:val="18"/>
                <w:szCs w:val="18"/>
              </w:rPr>
            </w:pPr>
            <w:r w:rsidRPr="00B53367">
              <w:rPr>
                <w:b/>
                <w:color w:val="7030A0"/>
                <w:sz w:val="18"/>
                <w:szCs w:val="18"/>
              </w:rPr>
              <w:t>1,5</w:t>
            </w:r>
          </w:p>
        </w:tc>
        <w:tc>
          <w:tcPr>
            <w:tcW w:w="504" w:type="dxa"/>
            <w:tcBorders>
              <w:top w:val="single" w:sz="2" w:space="0" w:color="auto"/>
              <w:left w:val="single" w:sz="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2</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602" w:type="dxa"/>
            <w:tcBorders>
              <w:top w:val="single" w:sz="2" w:space="0" w:color="auto"/>
              <w:left w:val="single" w:sz="12" w:space="0" w:color="auto"/>
              <w:bottom w:val="single" w:sz="2" w:space="0" w:color="auto"/>
            </w:tcBorders>
            <w:shd w:val="clear" w:color="auto" w:fill="D9D9D9" w:themeFill="background1" w:themeFillShade="D9"/>
          </w:tcPr>
          <w:p w:rsidR="006A6732" w:rsidRPr="00293F7E" w:rsidRDefault="006A6732" w:rsidP="006A6732">
            <w:pPr>
              <w:spacing w:after="0" w:line="240" w:lineRule="auto"/>
              <w:ind w:firstLine="0"/>
              <w:jc w:val="center"/>
              <w:rPr>
                <w:b/>
                <w:sz w:val="18"/>
                <w:szCs w:val="18"/>
              </w:rPr>
            </w:pPr>
            <w:r w:rsidRPr="00293F7E">
              <w:rPr>
                <w:b/>
                <w:sz w:val="18"/>
                <w:szCs w:val="18"/>
              </w:rPr>
              <w:t>3</w:t>
            </w:r>
          </w:p>
        </w:tc>
        <w:tc>
          <w:tcPr>
            <w:tcW w:w="1262" w:type="dxa"/>
            <w:tcBorders>
              <w:top w:val="single" w:sz="2" w:space="0" w:color="auto"/>
              <w:left w:val="single" w:sz="2" w:space="0" w:color="auto"/>
              <w:bottom w:val="single" w:sz="2" w:space="0" w:color="auto"/>
            </w:tcBorders>
            <w:shd w:val="clear" w:color="auto" w:fill="CCC0D9" w:themeFill="accent4" w:themeFillTint="66"/>
          </w:tcPr>
          <w:p w:rsidR="006A6732" w:rsidRPr="00B53367" w:rsidRDefault="006A6732" w:rsidP="006A6732">
            <w:pPr>
              <w:spacing w:after="0" w:line="240" w:lineRule="auto"/>
              <w:ind w:firstLine="0"/>
              <w:jc w:val="center"/>
              <w:rPr>
                <w:b/>
                <w:color w:val="7030A0"/>
                <w:sz w:val="18"/>
                <w:szCs w:val="18"/>
              </w:rPr>
            </w:pPr>
            <w:r w:rsidRPr="00B53367">
              <w:rPr>
                <w:b/>
                <w:color w:val="7030A0"/>
                <w:sz w:val="18"/>
                <w:szCs w:val="18"/>
              </w:rPr>
              <w:t>4,5</w:t>
            </w:r>
          </w:p>
        </w:tc>
      </w:tr>
      <w:tr w:rsidR="006A6732" w:rsidRPr="00293F7E" w:rsidTr="006A6732">
        <w:tc>
          <w:tcPr>
            <w:tcW w:w="3024" w:type="dxa"/>
            <w:tcBorders>
              <w:top w:val="single" w:sz="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rPr>
                <w:i/>
                <w:sz w:val="18"/>
                <w:szCs w:val="18"/>
              </w:rPr>
            </w:pPr>
            <w:r w:rsidRPr="00293F7E">
              <w:rPr>
                <w:i/>
                <w:sz w:val="18"/>
                <w:szCs w:val="18"/>
              </w:rPr>
              <w:t>Įgūdžių, kompetencijos stoka (b</w:t>
            </w:r>
            <w:r w:rsidRPr="00293F7E">
              <w:rPr>
                <w:i/>
                <w:sz w:val="18"/>
                <w:szCs w:val="18"/>
                <w:vertAlign w:val="subscript"/>
              </w:rPr>
              <w:t>3</w:t>
            </w:r>
            <w:r w:rsidRPr="00293F7E">
              <w:rPr>
                <w:i/>
                <w:sz w:val="18"/>
                <w:szCs w:val="18"/>
              </w:rPr>
              <w:t>)</w:t>
            </w:r>
          </w:p>
        </w:tc>
        <w:tc>
          <w:tcPr>
            <w:tcW w:w="504" w:type="dxa"/>
            <w:tcBorders>
              <w:top w:val="single" w:sz="2" w:space="0" w:color="auto"/>
              <w:left w:val="single" w:sz="12" w:space="0" w:color="auto"/>
              <w:bottom w:val="single" w:sz="2" w:space="0" w:color="auto"/>
            </w:tcBorders>
            <w:shd w:val="clear" w:color="auto" w:fill="D9D9D9" w:themeFill="background1" w:themeFillShade="D9"/>
          </w:tcPr>
          <w:p w:rsidR="006A6732" w:rsidRPr="00B53367" w:rsidRDefault="006A6732" w:rsidP="006A6732">
            <w:pPr>
              <w:spacing w:after="0" w:line="240" w:lineRule="auto"/>
              <w:ind w:firstLine="0"/>
              <w:jc w:val="center"/>
              <w:rPr>
                <w:b/>
                <w:color w:val="7030A0"/>
                <w:sz w:val="18"/>
                <w:szCs w:val="18"/>
              </w:rPr>
            </w:pPr>
            <w:r w:rsidRPr="00B53367">
              <w:rPr>
                <w:b/>
                <w:color w:val="7030A0"/>
                <w:sz w:val="18"/>
                <w:szCs w:val="18"/>
              </w:rPr>
              <w:t>1,5</w:t>
            </w:r>
          </w:p>
        </w:tc>
        <w:tc>
          <w:tcPr>
            <w:tcW w:w="504" w:type="dxa"/>
            <w:tcBorders>
              <w:top w:val="single" w:sz="2" w:space="0" w:color="auto"/>
              <w:left w:val="single" w:sz="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2</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2</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602" w:type="dxa"/>
            <w:tcBorders>
              <w:top w:val="single" w:sz="2" w:space="0" w:color="auto"/>
              <w:left w:val="single" w:sz="12" w:space="0" w:color="auto"/>
              <w:bottom w:val="single" w:sz="2" w:space="0" w:color="auto"/>
            </w:tcBorders>
            <w:shd w:val="clear" w:color="auto" w:fill="D9D9D9" w:themeFill="background1" w:themeFillShade="D9"/>
          </w:tcPr>
          <w:p w:rsidR="006A6732" w:rsidRPr="00293F7E" w:rsidRDefault="006A6732" w:rsidP="006A6732">
            <w:pPr>
              <w:spacing w:after="0" w:line="240" w:lineRule="auto"/>
              <w:ind w:firstLine="0"/>
              <w:jc w:val="center"/>
              <w:rPr>
                <w:b/>
                <w:sz w:val="18"/>
                <w:szCs w:val="18"/>
              </w:rPr>
            </w:pPr>
            <w:r w:rsidRPr="00293F7E">
              <w:rPr>
                <w:b/>
                <w:sz w:val="18"/>
                <w:szCs w:val="18"/>
              </w:rPr>
              <w:t>3</w:t>
            </w:r>
          </w:p>
        </w:tc>
        <w:tc>
          <w:tcPr>
            <w:tcW w:w="1262" w:type="dxa"/>
            <w:tcBorders>
              <w:top w:val="single" w:sz="2" w:space="0" w:color="auto"/>
              <w:left w:val="single" w:sz="2" w:space="0" w:color="auto"/>
              <w:bottom w:val="single" w:sz="2" w:space="0" w:color="auto"/>
            </w:tcBorders>
            <w:shd w:val="clear" w:color="auto" w:fill="CCC0D9" w:themeFill="accent4" w:themeFillTint="66"/>
          </w:tcPr>
          <w:p w:rsidR="006A6732" w:rsidRPr="00B53367" w:rsidRDefault="006A6732" w:rsidP="006A6732">
            <w:pPr>
              <w:spacing w:after="0" w:line="240" w:lineRule="auto"/>
              <w:ind w:firstLine="0"/>
              <w:jc w:val="center"/>
              <w:rPr>
                <w:b/>
                <w:color w:val="7030A0"/>
                <w:sz w:val="18"/>
                <w:szCs w:val="18"/>
              </w:rPr>
            </w:pPr>
            <w:r w:rsidRPr="00B53367">
              <w:rPr>
                <w:b/>
                <w:color w:val="7030A0"/>
                <w:sz w:val="18"/>
                <w:szCs w:val="18"/>
              </w:rPr>
              <w:t>4,5</w:t>
            </w:r>
          </w:p>
        </w:tc>
      </w:tr>
      <w:tr w:rsidR="006A6732" w:rsidRPr="00293F7E" w:rsidTr="006A6732">
        <w:tc>
          <w:tcPr>
            <w:tcW w:w="3024" w:type="dxa"/>
            <w:tcBorders>
              <w:top w:val="single" w:sz="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rPr>
                <w:i/>
                <w:sz w:val="18"/>
                <w:szCs w:val="18"/>
              </w:rPr>
            </w:pPr>
            <w:r w:rsidRPr="00293F7E">
              <w:rPr>
                <w:i/>
                <w:sz w:val="18"/>
                <w:szCs w:val="18"/>
              </w:rPr>
              <w:t>Minimali darbo patirtis (b</w:t>
            </w:r>
            <w:r w:rsidRPr="00293F7E">
              <w:rPr>
                <w:i/>
                <w:sz w:val="18"/>
                <w:szCs w:val="18"/>
                <w:vertAlign w:val="subscript"/>
              </w:rPr>
              <w:t>4</w:t>
            </w:r>
            <w:r w:rsidRPr="00293F7E">
              <w:rPr>
                <w:i/>
                <w:sz w:val="18"/>
                <w:szCs w:val="18"/>
              </w:rPr>
              <w:t>)</w:t>
            </w:r>
          </w:p>
        </w:tc>
        <w:tc>
          <w:tcPr>
            <w:tcW w:w="504" w:type="dxa"/>
            <w:tcBorders>
              <w:top w:val="single" w:sz="2" w:space="0" w:color="auto"/>
              <w:left w:val="single" w:sz="12" w:space="0" w:color="auto"/>
              <w:bottom w:val="single" w:sz="2" w:space="0" w:color="auto"/>
            </w:tcBorders>
            <w:shd w:val="clear" w:color="auto" w:fill="D9D9D9" w:themeFill="background1" w:themeFillShade="D9"/>
          </w:tcPr>
          <w:p w:rsidR="006A6732" w:rsidRPr="00B53367" w:rsidRDefault="006A6732" w:rsidP="006A6732">
            <w:pPr>
              <w:spacing w:after="0" w:line="240" w:lineRule="auto"/>
              <w:ind w:firstLine="0"/>
              <w:jc w:val="center"/>
              <w:rPr>
                <w:b/>
                <w:color w:val="7030A0"/>
                <w:sz w:val="18"/>
                <w:szCs w:val="18"/>
              </w:rPr>
            </w:pPr>
            <w:r w:rsidRPr="00B53367">
              <w:rPr>
                <w:b/>
                <w:color w:val="7030A0"/>
                <w:sz w:val="18"/>
                <w:szCs w:val="18"/>
              </w:rPr>
              <w:t>1,5</w:t>
            </w:r>
          </w:p>
        </w:tc>
        <w:tc>
          <w:tcPr>
            <w:tcW w:w="504" w:type="dxa"/>
            <w:tcBorders>
              <w:top w:val="single" w:sz="2" w:space="0" w:color="auto"/>
              <w:left w:val="single" w:sz="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2</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2</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1</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2</w:t>
            </w:r>
          </w:p>
        </w:tc>
        <w:tc>
          <w:tcPr>
            <w:tcW w:w="602" w:type="dxa"/>
            <w:tcBorders>
              <w:top w:val="single" w:sz="2" w:space="0" w:color="auto"/>
              <w:left w:val="single" w:sz="12" w:space="0" w:color="auto"/>
              <w:bottom w:val="single" w:sz="2" w:space="0" w:color="auto"/>
            </w:tcBorders>
            <w:shd w:val="clear" w:color="auto" w:fill="D9D9D9" w:themeFill="background1" w:themeFillShade="D9"/>
          </w:tcPr>
          <w:p w:rsidR="006A6732" w:rsidRPr="00293F7E" w:rsidRDefault="006A6732" w:rsidP="006A6732">
            <w:pPr>
              <w:spacing w:after="0" w:line="240" w:lineRule="auto"/>
              <w:ind w:firstLine="0"/>
              <w:jc w:val="center"/>
              <w:rPr>
                <w:b/>
                <w:sz w:val="18"/>
                <w:szCs w:val="18"/>
              </w:rPr>
            </w:pPr>
            <w:r w:rsidRPr="00293F7E">
              <w:rPr>
                <w:b/>
                <w:sz w:val="18"/>
                <w:szCs w:val="18"/>
              </w:rPr>
              <w:t>3</w:t>
            </w:r>
          </w:p>
        </w:tc>
        <w:tc>
          <w:tcPr>
            <w:tcW w:w="1262" w:type="dxa"/>
            <w:tcBorders>
              <w:top w:val="single" w:sz="2" w:space="0" w:color="auto"/>
              <w:left w:val="single" w:sz="2" w:space="0" w:color="auto"/>
              <w:bottom w:val="single" w:sz="2" w:space="0" w:color="auto"/>
            </w:tcBorders>
            <w:shd w:val="clear" w:color="auto" w:fill="CCC0D9" w:themeFill="accent4" w:themeFillTint="66"/>
          </w:tcPr>
          <w:p w:rsidR="006A6732" w:rsidRPr="00B53367" w:rsidRDefault="006A6732" w:rsidP="006A6732">
            <w:pPr>
              <w:spacing w:after="0" w:line="240" w:lineRule="auto"/>
              <w:ind w:firstLine="0"/>
              <w:jc w:val="center"/>
              <w:rPr>
                <w:b/>
                <w:color w:val="7030A0"/>
                <w:sz w:val="18"/>
                <w:szCs w:val="18"/>
              </w:rPr>
            </w:pPr>
            <w:r w:rsidRPr="00B53367">
              <w:rPr>
                <w:b/>
                <w:color w:val="7030A0"/>
                <w:sz w:val="18"/>
                <w:szCs w:val="18"/>
              </w:rPr>
              <w:t>4,5</w:t>
            </w:r>
          </w:p>
        </w:tc>
      </w:tr>
      <w:tr w:rsidR="006A6732" w:rsidRPr="00293F7E" w:rsidTr="006A6732">
        <w:tc>
          <w:tcPr>
            <w:tcW w:w="3024" w:type="dxa"/>
            <w:tcBorders>
              <w:top w:val="single" w:sz="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rPr>
                <w:i/>
                <w:sz w:val="18"/>
                <w:szCs w:val="18"/>
              </w:rPr>
            </w:pPr>
            <w:r w:rsidRPr="00293F7E">
              <w:rPr>
                <w:i/>
                <w:sz w:val="18"/>
                <w:szCs w:val="18"/>
              </w:rPr>
              <w:t>Didelė šeimos struktūra (b</w:t>
            </w:r>
            <w:r w:rsidRPr="00293F7E">
              <w:rPr>
                <w:i/>
                <w:sz w:val="18"/>
                <w:szCs w:val="18"/>
                <w:vertAlign w:val="subscript"/>
              </w:rPr>
              <w:t>5</w:t>
            </w:r>
            <w:r w:rsidRPr="00293F7E">
              <w:rPr>
                <w:i/>
                <w:sz w:val="18"/>
                <w:szCs w:val="18"/>
              </w:rPr>
              <w:t>)</w:t>
            </w:r>
          </w:p>
        </w:tc>
        <w:tc>
          <w:tcPr>
            <w:tcW w:w="504" w:type="dxa"/>
            <w:tcBorders>
              <w:top w:val="single" w:sz="2" w:space="0" w:color="auto"/>
              <w:left w:val="single" w:sz="12" w:space="0" w:color="auto"/>
              <w:bottom w:val="single" w:sz="2" w:space="0" w:color="auto"/>
            </w:tcBorders>
            <w:shd w:val="clear" w:color="auto" w:fill="D9D9D9" w:themeFill="background1" w:themeFillShade="D9"/>
          </w:tcPr>
          <w:p w:rsidR="006A6732" w:rsidRPr="00B53367" w:rsidRDefault="006A6732" w:rsidP="006A6732">
            <w:pPr>
              <w:spacing w:after="0" w:line="240" w:lineRule="auto"/>
              <w:ind w:firstLine="0"/>
              <w:jc w:val="center"/>
              <w:rPr>
                <w:b/>
                <w:color w:val="7030A0"/>
                <w:sz w:val="18"/>
                <w:szCs w:val="18"/>
              </w:rPr>
            </w:pPr>
            <w:r w:rsidRPr="00B53367">
              <w:rPr>
                <w:b/>
                <w:color w:val="7030A0"/>
                <w:sz w:val="18"/>
                <w:szCs w:val="18"/>
              </w:rPr>
              <w:t>1,5</w:t>
            </w:r>
          </w:p>
        </w:tc>
        <w:tc>
          <w:tcPr>
            <w:tcW w:w="504" w:type="dxa"/>
            <w:tcBorders>
              <w:top w:val="single" w:sz="2" w:space="0" w:color="auto"/>
              <w:left w:val="single" w:sz="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2</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5</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4</w:t>
            </w:r>
          </w:p>
        </w:tc>
        <w:tc>
          <w:tcPr>
            <w:tcW w:w="602" w:type="dxa"/>
            <w:tcBorders>
              <w:top w:val="single" w:sz="2" w:space="0" w:color="auto"/>
              <w:left w:val="single" w:sz="12" w:space="0" w:color="auto"/>
              <w:bottom w:val="single" w:sz="2" w:space="0" w:color="auto"/>
            </w:tcBorders>
            <w:shd w:val="clear" w:color="auto" w:fill="D9D9D9" w:themeFill="background1" w:themeFillShade="D9"/>
          </w:tcPr>
          <w:p w:rsidR="006A6732" w:rsidRPr="00293F7E" w:rsidRDefault="006A6732" w:rsidP="006A6732">
            <w:pPr>
              <w:spacing w:after="0" w:line="240" w:lineRule="auto"/>
              <w:ind w:firstLine="0"/>
              <w:jc w:val="center"/>
              <w:rPr>
                <w:b/>
                <w:sz w:val="18"/>
                <w:szCs w:val="18"/>
              </w:rPr>
            </w:pPr>
            <w:r w:rsidRPr="00293F7E">
              <w:rPr>
                <w:b/>
                <w:sz w:val="18"/>
                <w:szCs w:val="18"/>
              </w:rPr>
              <w:t>4</w:t>
            </w:r>
          </w:p>
        </w:tc>
        <w:tc>
          <w:tcPr>
            <w:tcW w:w="1262" w:type="dxa"/>
            <w:tcBorders>
              <w:top w:val="single" w:sz="2" w:space="0" w:color="auto"/>
              <w:left w:val="single" w:sz="2" w:space="0" w:color="auto"/>
              <w:bottom w:val="single" w:sz="2" w:space="0" w:color="auto"/>
            </w:tcBorders>
            <w:shd w:val="clear" w:color="auto" w:fill="CCC0D9" w:themeFill="accent4" w:themeFillTint="66"/>
          </w:tcPr>
          <w:p w:rsidR="006A6732" w:rsidRPr="00B53367" w:rsidRDefault="006A6732" w:rsidP="006A6732">
            <w:pPr>
              <w:spacing w:after="0" w:line="240" w:lineRule="auto"/>
              <w:ind w:firstLine="0"/>
              <w:jc w:val="center"/>
              <w:rPr>
                <w:b/>
                <w:color w:val="7030A0"/>
                <w:sz w:val="18"/>
                <w:szCs w:val="18"/>
              </w:rPr>
            </w:pPr>
            <w:r w:rsidRPr="00B53367">
              <w:rPr>
                <w:b/>
                <w:color w:val="7030A0"/>
                <w:sz w:val="18"/>
                <w:szCs w:val="18"/>
              </w:rPr>
              <w:t>6,0</w:t>
            </w:r>
          </w:p>
        </w:tc>
      </w:tr>
      <w:tr w:rsidR="006A6732" w:rsidRPr="00293F7E" w:rsidTr="006A6732">
        <w:tc>
          <w:tcPr>
            <w:tcW w:w="3024" w:type="dxa"/>
            <w:tcBorders>
              <w:top w:val="single" w:sz="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rPr>
                <w:i/>
                <w:sz w:val="18"/>
                <w:szCs w:val="18"/>
              </w:rPr>
            </w:pPr>
            <w:r w:rsidRPr="00293F7E">
              <w:rPr>
                <w:i/>
                <w:sz w:val="18"/>
                <w:szCs w:val="18"/>
              </w:rPr>
              <w:t>Jaunatviškas maksimalizmas (b</w:t>
            </w:r>
            <w:r w:rsidRPr="00293F7E">
              <w:rPr>
                <w:i/>
                <w:sz w:val="18"/>
                <w:szCs w:val="18"/>
                <w:vertAlign w:val="subscript"/>
              </w:rPr>
              <w:t>6</w:t>
            </w:r>
            <w:r w:rsidRPr="00293F7E">
              <w:rPr>
                <w:i/>
                <w:sz w:val="18"/>
                <w:szCs w:val="18"/>
              </w:rPr>
              <w:t>)</w:t>
            </w:r>
          </w:p>
        </w:tc>
        <w:tc>
          <w:tcPr>
            <w:tcW w:w="504" w:type="dxa"/>
            <w:tcBorders>
              <w:top w:val="single" w:sz="2" w:space="0" w:color="auto"/>
              <w:left w:val="single" w:sz="12" w:space="0" w:color="auto"/>
              <w:bottom w:val="single" w:sz="2" w:space="0" w:color="auto"/>
            </w:tcBorders>
            <w:shd w:val="clear" w:color="auto" w:fill="D9D9D9" w:themeFill="background1" w:themeFillShade="D9"/>
          </w:tcPr>
          <w:p w:rsidR="006A6732" w:rsidRPr="00B53367" w:rsidRDefault="006A6732" w:rsidP="006A6732">
            <w:pPr>
              <w:spacing w:after="0" w:line="240" w:lineRule="auto"/>
              <w:ind w:firstLine="0"/>
              <w:jc w:val="center"/>
              <w:rPr>
                <w:b/>
                <w:color w:val="7030A0"/>
                <w:sz w:val="18"/>
                <w:szCs w:val="18"/>
              </w:rPr>
            </w:pPr>
            <w:r w:rsidRPr="00B53367">
              <w:rPr>
                <w:b/>
                <w:color w:val="7030A0"/>
                <w:sz w:val="18"/>
                <w:szCs w:val="18"/>
              </w:rPr>
              <w:t>1,5</w:t>
            </w:r>
          </w:p>
        </w:tc>
        <w:tc>
          <w:tcPr>
            <w:tcW w:w="504" w:type="dxa"/>
            <w:tcBorders>
              <w:top w:val="single" w:sz="2" w:space="0" w:color="auto"/>
              <w:left w:val="single" w:sz="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5</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5</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5</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5</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5</w:t>
            </w:r>
          </w:p>
        </w:tc>
        <w:tc>
          <w:tcPr>
            <w:tcW w:w="602" w:type="dxa"/>
            <w:tcBorders>
              <w:top w:val="single" w:sz="2" w:space="0" w:color="auto"/>
              <w:left w:val="single" w:sz="12" w:space="0" w:color="auto"/>
              <w:bottom w:val="single" w:sz="2" w:space="0" w:color="auto"/>
            </w:tcBorders>
            <w:shd w:val="clear" w:color="auto" w:fill="D9D9D9" w:themeFill="background1" w:themeFillShade="D9"/>
          </w:tcPr>
          <w:p w:rsidR="006A6732" w:rsidRPr="00293F7E" w:rsidRDefault="006A6732" w:rsidP="006A6732">
            <w:pPr>
              <w:spacing w:after="0" w:line="240" w:lineRule="auto"/>
              <w:ind w:firstLine="0"/>
              <w:jc w:val="center"/>
              <w:rPr>
                <w:b/>
                <w:sz w:val="18"/>
                <w:szCs w:val="18"/>
              </w:rPr>
            </w:pPr>
            <w:r w:rsidRPr="00293F7E">
              <w:rPr>
                <w:b/>
                <w:sz w:val="18"/>
                <w:szCs w:val="18"/>
              </w:rPr>
              <w:t>5</w:t>
            </w:r>
          </w:p>
        </w:tc>
        <w:tc>
          <w:tcPr>
            <w:tcW w:w="1262" w:type="dxa"/>
            <w:tcBorders>
              <w:top w:val="single" w:sz="2" w:space="0" w:color="auto"/>
              <w:left w:val="single" w:sz="2" w:space="0" w:color="auto"/>
              <w:bottom w:val="single" w:sz="2" w:space="0" w:color="auto"/>
            </w:tcBorders>
            <w:shd w:val="clear" w:color="auto" w:fill="CCC0D9" w:themeFill="accent4" w:themeFillTint="66"/>
          </w:tcPr>
          <w:p w:rsidR="006A6732" w:rsidRPr="00B53367" w:rsidRDefault="006A6732" w:rsidP="006A6732">
            <w:pPr>
              <w:spacing w:after="0" w:line="240" w:lineRule="auto"/>
              <w:ind w:firstLine="0"/>
              <w:jc w:val="center"/>
              <w:rPr>
                <w:b/>
                <w:color w:val="7030A0"/>
                <w:sz w:val="18"/>
                <w:szCs w:val="18"/>
              </w:rPr>
            </w:pPr>
            <w:r w:rsidRPr="00B53367">
              <w:rPr>
                <w:b/>
                <w:color w:val="7030A0"/>
                <w:sz w:val="18"/>
                <w:szCs w:val="18"/>
              </w:rPr>
              <w:t>7,5</w:t>
            </w:r>
          </w:p>
        </w:tc>
      </w:tr>
      <w:tr w:rsidR="006A6732" w:rsidRPr="00293F7E" w:rsidTr="006A6732">
        <w:tc>
          <w:tcPr>
            <w:tcW w:w="3024" w:type="dxa"/>
            <w:tcBorders>
              <w:top w:val="single" w:sz="2" w:space="0" w:color="auto"/>
              <w:bottom w:val="single" w:sz="1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rPr>
                <w:i/>
                <w:sz w:val="18"/>
                <w:szCs w:val="18"/>
              </w:rPr>
            </w:pPr>
            <w:r w:rsidRPr="00293F7E">
              <w:rPr>
                <w:i/>
                <w:sz w:val="18"/>
                <w:szCs w:val="18"/>
              </w:rPr>
              <w:t>Gyvenimo būdas: laisvalaikis (b</w:t>
            </w:r>
            <w:r w:rsidRPr="00293F7E">
              <w:rPr>
                <w:i/>
                <w:sz w:val="18"/>
                <w:szCs w:val="18"/>
                <w:vertAlign w:val="subscript"/>
              </w:rPr>
              <w:t>7</w:t>
            </w:r>
            <w:r w:rsidRPr="00293F7E">
              <w:rPr>
                <w:i/>
                <w:sz w:val="18"/>
                <w:szCs w:val="18"/>
              </w:rPr>
              <w:t>)</w:t>
            </w:r>
          </w:p>
        </w:tc>
        <w:tc>
          <w:tcPr>
            <w:tcW w:w="504" w:type="dxa"/>
            <w:tcBorders>
              <w:top w:val="single" w:sz="2" w:space="0" w:color="auto"/>
              <w:left w:val="single" w:sz="12" w:space="0" w:color="auto"/>
              <w:bottom w:val="single" w:sz="2" w:space="0" w:color="auto"/>
            </w:tcBorders>
            <w:shd w:val="clear" w:color="auto" w:fill="D9D9D9" w:themeFill="background1" w:themeFillShade="D9"/>
          </w:tcPr>
          <w:p w:rsidR="006A6732" w:rsidRPr="00B53367" w:rsidRDefault="006A6732" w:rsidP="006A6732">
            <w:pPr>
              <w:spacing w:after="0" w:line="240" w:lineRule="auto"/>
              <w:ind w:firstLine="0"/>
              <w:jc w:val="center"/>
              <w:rPr>
                <w:b/>
                <w:color w:val="7030A0"/>
                <w:sz w:val="18"/>
                <w:szCs w:val="18"/>
              </w:rPr>
            </w:pPr>
            <w:r w:rsidRPr="00B53367">
              <w:rPr>
                <w:b/>
                <w:color w:val="7030A0"/>
                <w:sz w:val="18"/>
                <w:szCs w:val="18"/>
              </w:rPr>
              <w:t>1,0</w:t>
            </w:r>
          </w:p>
        </w:tc>
        <w:tc>
          <w:tcPr>
            <w:tcW w:w="504" w:type="dxa"/>
            <w:tcBorders>
              <w:top w:val="single" w:sz="2" w:space="0" w:color="auto"/>
              <w:left w:val="single" w:sz="2" w:space="0" w:color="auto"/>
              <w:bottom w:val="single" w:sz="1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5</w:t>
            </w:r>
          </w:p>
        </w:tc>
        <w:tc>
          <w:tcPr>
            <w:tcW w:w="504"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5</w:t>
            </w:r>
          </w:p>
        </w:tc>
        <w:tc>
          <w:tcPr>
            <w:tcW w:w="504"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4</w:t>
            </w:r>
          </w:p>
        </w:tc>
        <w:tc>
          <w:tcPr>
            <w:tcW w:w="504"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5</w:t>
            </w:r>
          </w:p>
        </w:tc>
        <w:tc>
          <w:tcPr>
            <w:tcW w:w="504"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4</w:t>
            </w:r>
          </w:p>
        </w:tc>
        <w:tc>
          <w:tcPr>
            <w:tcW w:w="504"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5</w:t>
            </w:r>
          </w:p>
        </w:tc>
        <w:tc>
          <w:tcPr>
            <w:tcW w:w="504"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4</w:t>
            </w:r>
          </w:p>
        </w:tc>
        <w:tc>
          <w:tcPr>
            <w:tcW w:w="504"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4</w:t>
            </w:r>
          </w:p>
        </w:tc>
        <w:tc>
          <w:tcPr>
            <w:tcW w:w="504"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5</w:t>
            </w:r>
          </w:p>
        </w:tc>
        <w:tc>
          <w:tcPr>
            <w:tcW w:w="504"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6A6732" w:rsidRPr="00293F7E" w:rsidRDefault="006A6732" w:rsidP="006A6732">
            <w:pPr>
              <w:spacing w:after="0" w:line="240" w:lineRule="auto"/>
              <w:ind w:firstLine="0"/>
              <w:jc w:val="center"/>
              <w:rPr>
                <w:sz w:val="18"/>
                <w:szCs w:val="18"/>
              </w:rPr>
            </w:pPr>
            <w:r w:rsidRPr="00293F7E">
              <w:rPr>
                <w:sz w:val="18"/>
                <w:szCs w:val="18"/>
              </w:rPr>
              <w:t>5</w:t>
            </w:r>
          </w:p>
        </w:tc>
        <w:tc>
          <w:tcPr>
            <w:tcW w:w="602" w:type="dxa"/>
            <w:tcBorders>
              <w:top w:val="single" w:sz="2" w:space="0" w:color="auto"/>
              <w:left w:val="single" w:sz="12" w:space="0" w:color="auto"/>
              <w:bottom w:val="single" w:sz="2" w:space="0" w:color="auto"/>
            </w:tcBorders>
            <w:shd w:val="clear" w:color="auto" w:fill="D9D9D9" w:themeFill="background1" w:themeFillShade="D9"/>
          </w:tcPr>
          <w:p w:rsidR="006A6732" w:rsidRPr="00293F7E" w:rsidRDefault="006A6732" w:rsidP="006A6732">
            <w:pPr>
              <w:spacing w:after="0" w:line="240" w:lineRule="auto"/>
              <w:ind w:firstLine="0"/>
              <w:jc w:val="center"/>
              <w:rPr>
                <w:b/>
                <w:sz w:val="18"/>
                <w:szCs w:val="18"/>
              </w:rPr>
            </w:pPr>
            <w:r w:rsidRPr="00293F7E">
              <w:rPr>
                <w:b/>
                <w:sz w:val="18"/>
                <w:szCs w:val="18"/>
              </w:rPr>
              <w:t>5</w:t>
            </w:r>
          </w:p>
        </w:tc>
        <w:tc>
          <w:tcPr>
            <w:tcW w:w="1262" w:type="dxa"/>
            <w:tcBorders>
              <w:top w:val="single" w:sz="2" w:space="0" w:color="auto"/>
              <w:left w:val="single" w:sz="2" w:space="0" w:color="auto"/>
              <w:bottom w:val="single" w:sz="12" w:space="0" w:color="auto"/>
            </w:tcBorders>
            <w:shd w:val="clear" w:color="auto" w:fill="CCC0D9" w:themeFill="accent4" w:themeFillTint="66"/>
          </w:tcPr>
          <w:p w:rsidR="006A6732" w:rsidRPr="00B53367" w:rsidRDefault="006A6732" w:rsidP="006A6732">
            <w:pPr>
              <w:spacing w:after="0" w:line="240" w:lineRule="auto"/>
              <w:ind w:firstLine="0"/>
              <w:jc w:val="center"/>
              <w:rPr>
                <w:b/>
                <w:color w:val="7030A0"/>
                <w:sz w:val="18"/>
                <w:szCs w:val="18"/>
              </w:rPr>
            </w:pPr>
            <w:r w:rsidRPr="00B53367">
              <w:rPr>
                <w:b/>
                <w:color w:val="7030A0"/>
                <w:sz w:val="18"/>
                <w:szCs w:val="18"/>
              </w:rPr>
              <w:t>5,0</w:t>
            </w:r>
          </w:p>
        </w:tc>
      </w:tr>
      <w:tr w:rsidR="006A6732" w:rsidRPr="00293F7E" w:rsidTr="00852FBB">
        <w:tc>
          <w:tcPr>
            <w:tcW w:w="3024" w:type="dxa"/>
            <w:tcBorders>
              <w:top w:val="single" w:sz="12" w:space="0" w:color="auto"/>
              <w:bottom w:val="single" w:sz="12" w:space="0" w:color="auto"/>
              <w:right w:val="single" w:sz="12" w:space="0" w:color="auto"/>
            </w:tcBorders>
            <w:shd w:val="clear" w:color="auto" w:fill="D9D9D9" w:themeFill="background1" w:themeFillShade="D9"/>
          </w:tcPr>
          <w:p w:rsidR="006A6732" w:rsidRPr="00293F7E" w:rsidRDefault="006A6732" w:rsidP="006A6732">
            <w:pPr>
              <w:spacing w:after="0" w:line="240" w:lineRule="auto"/>
              <w:ind w:firstLine="0"/>
              <w:jc w:val="right"/>
              <w:rPr>
                <w:b/>
                <w:i/>
                <w:sz w:val="17"/>
                <w:szCs w:val="17"/>
              </w:rPr>
            </w:pPr>
            <w:r w:rsidRPr="00293F7E">
              <w:rPr>
                <w:b/>
                <w:i/>
                <w:sz w:val="17"/>
                <w:szCs w:val="17"/>
              </w:rPr>
              <w:t>SUMA:</w:t>
            </w:r>
          </w:p>
        </w:tc>
        <w:tc>
          <w:tcPr>
            <w:tcW w:w="504" w:type="dxa"/>
            <w:tcBorders>
              <w:top w:val="single" w:sz="12" w:space="0" w:color="auto"/>
              <w:left w:val="single" w:sz="12" w:space="0" w:color="auto"/>
              <w:bottom w:val="single" w:sz="12" w:space="0" w:color="auto"/>
            </w:tcBorders>
            <w:shd w:val="clear" w:color="auto" w:fill="D9D9D9" w:themeFill="background1" w:themeFillShade="D9"/>
          </w:tcPr>
          <w:p w:rsidR="006A6732" w:rsidRPr="00293F7E" w:rsidRDefault="006A6732" w:rsidP="006A6732">
            <w:pPr>
              <w:spacing w:after="0" w:line="240" w:lineRule="auto"/>
              <w:ind w:firstLine="0"/>
              <w:jc w:val="center"/>
              <w:rPr>
                <w:b/>
                <w:i/>
                <w:sz w:val="17"/>
                <w:szCs w:val="17"/>
              </w:rPr>
            </w:pPr>
            <w:r w:rsidRPr="00293F7E">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293F7E" w:rsidRDefault="006A6732" w:rsidP="006A6732">
            <w:pPr>
              <w:spacing w:after="0" w:line="240" w:lineRule="auto"/>
              <w:ind w:firstLine="0"/>
              <w:jc w:val="center"/>
              <w:rPr>
                <w:b/>
                <w:i/>
                <w:sz w:val="17"/>
                <w:szCs w:val="17"/>
              </w:rPr>
            </w:pPr>
            <w:r w:rsidRPr="00293F7E">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293F7E" w:rsidRDefault="006A6732" w:rsidP="006A6732">
            <w:pPr>
              <w:spacing w:after="0" w:line="240" w:lineRule="auto"/>
              <w:ind w:firstLine="0"/>
              <w:jc w:val="center"/>
              <w:rPr>
                <w:b/>
                <w:i/>
                <w:sz w:val="17"/>
                <w:szCs w:val="17"/>
              </w:rPr>
            </w:pPr>
            <w:r w:rsidRPr="00293F7E">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293F7E" w:rsidRDefault="006A6732" w:rsidP="006A6732">
            <w:pPr>
              <w:spacing w:after="0" w:line="240" w:lineRule="auto"/>
              <w:ind w:firstLine="0"/>
              <w:jc w:val="center"/>
              <w:rPr>
                <w:b/>
                <w:i/>
                <w:sz w:val="17"/>
                <w:szCs w:val="17"/>
              </w:rPr>
            </w:pPr>
            <w:r w:rsidRPr="00293F7E">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293F7E" w:rsidRDefault="006A6732" w:rsidP="006A6732">
            <w:pPr>
              <w:spacing w:after="0" w:line="240" w:lineRule="auto"/>
              <w:ind w:firstLine="0"/>
              <w:jc w:val="center"/>
              <w:rPr>
                <w:b/>
                <w:i/>
                <w:sz w:val="17"/>
                <w:szCs w:val="17"/>
              </w:rPr>
            </w:pPr>
            <w:r w:rsidRPr="00293F7E">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293F7E" w:rsidRDefault="006A6732" w:rsidP="006A6732">
            <w:pPr>
              <w:spacing w:after="0" w:line="240" w:lineRule="auto"/>
              <w:ind w:firstLine="0"/>
              <w:jc w:val="center"/>
              <w:rPr>
                <w:b/>
                <w:i/>
                <w:sz w:val="17"/>
                <w:szCs w:val="17"/>
              </w:rPr>
            </w:pPr>
            <w:r w:rsidRPr="00293F7E">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293F7E" w:rsidRDefault="006A6732" w:rsidP="006A6732">
            <w:pPr>
              <w:spacing w:after="0" w:line="240" w:lineRule="auto"/>
              <w:ind w:firstLine="0"/>
              <w:jc w:val="center"/>
              <w:rPr>
                <w:b/>
                <w:i/>
                <w:sz w:val="17"/>
                <w:szCs w:val="17"/>
              </w:rPr>
            </w:pPr>
            <w:r w:rsidRPr="00293F7E">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293F7E" w:rsidRDefault="006A6732" w:rsidP="006A6732">
            <w:pPr>
              <w:spacing w:after="0" w:line="240" w:lineRule="auto"/>
              <w:ind w:firstLine="0"/>
              <w:jc w:val="center"/>
              <w:rPr>
                <w:b/>
                <w:i/>
                <w:sz w:val="17"/>
                <w:szCs w:val="17"/>
              </w:rPr>
            </w:pPr>
            <w:r w:rsidRPr="00293F7E">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293F7E" w:rsidRDefault="006A6732" w:rsidP="006A6732">
            <w:pPr>
              <w:spacing w:after="0" w:line="240" w:lineRule="auto"/>
              <w:ind w:firstLine="0"/>
              <w:jc w:val="center"/>
              <w:rPr>
                <w:b/>
                <w:i/>
                <w:sz w:val="17"/>
                <w:szCs w:val="17"/>
              </w:rPr>
            </w:pPr>
            <w:r w:rsidRPr="00293F7E">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293F7E" w:rsidRDefault="006A6732" w:rsidP="006A6732">
            <w:pPr>
              <w:spacing w:after="0" w:line="240" w:lineRule="auto"/>
              <w:ind w:firstLine="0"/>
              <w:jc w:val="center"/>
              <w:rPr>
                <w:b/>
                <w:i/>
                <w:sz w:val="17"/>
                <w:szCs w:val="17"/>
              </w:rPr>
            </w:pPr>
            <w:r w:rsidRPr="00293F7E">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293F7E" w:rsidRDefault="006A6732" w:rsidP="006A6732">
            <w:pPr>
              <w:spacing w:after="0" w:line="240" w:lineRule="auto"/>
              <w:ind w:firstLine="0"/>
              <w:jc w:val="center"/>
              <w:rPr>
                <w:b/>
                <w:i/>
                <w:sz w:val="17"/>
                <w:szCs w:val="17"/>
              </w:rPr>
            </w:pPr>
            <w:r w:rsidRPr="00293F7E">
              <w:rPr>
                <w:b/>
                <w:i/>
                <w:sz w:val="17"/>
                <w:szCs w:val="17"/>
              </w:rPr>
              <w:t>-</w:t>
            </w:r>
          </w:p>
        </w:tc>
        <w:tc>
          <w:tcPr>
            <w:tcW w:w="602" w:type="dxa"/>
            <w:tcBorders>
              <w:top w:val="single" w:sz="12" w:space="0" w:color="auto"/>
              <w:left w:val="single" w:sz="12" w:space="0" w:color="auto"/>
              <w:bottom w:val="single" w:sz="12" w:space="0" w:color="auto"/>
            </w:tcBorders>
            <w:shd w:val="clear" w:color="auto" w:fill="D9D9D9" w:themeFill="background1" w:themeFillShade="D9"/>
          </w:tcPr>
          <w:p w:rsidR="006A6732" w:rsidRPr="00293F7E" w:rsidRDefault="006A6732" w:rsidP="006A6732">
            <w:pPr>
              <w:spacing w:after="0" w:line="240" w:lineRule="auto"/>
              <w:ind w:firstLine="0"/>
              <w:jc w:val="center"/>
              <w:rPr>
                <w:b/>
                <w:sz w:val="17"/>
                <w:szCs w:val="17"/>
              </w:rPr>
            </w:pPr>
            <w:r w:rsidRPr="00293F7E">
              <w:rPr>
                <w:b/>
                <w:sz w:val="17"/>
                <w:szCs w:val="17"/>
              </w:rPr>
              <w:t>25</w:t>
            </w:r>
          </w:p>
        </w:tc>
        <w:tc>
          <w:tcPr>
            <w:tcW w:w="1262" w:type="dxa"/>
            <w:tcBorders>
              <w:top w:val="single" w:sz="12" w:space="0" w:color="auto"/>
              <w:left w:val="single" w:sz="2" w:space="0" w:color="auto"/>
              <w:bottom w:val="single" w:sz="12" w:space="0" w:color="auto"/>
            </w:tcBorders>
            <w:shd w:val="clear" w:color="auto" w:fill="D9D9D9" w:themeFill="background1" w:themeFillShade="D9"/>
          </w:tcPr>
          <w:p w:rsidR="006A6732" w:rsidRPr="00B53367" w:rsidRDefault="004427E7" w:rsidP="006A6732">
            <w:pPr>
              <w:spacing w:after="0" w:line="240" w:lineRule="auto"/>
              <w:ind w:firstLine="0"/>
              <w:jc w:val="center"/>
              <w:rPr>
                <w:b/>
                <w:color w:val="7030A0"/>
                <w:sz w:val="17"/>
                <w:szCs w:val="17"/>
              </w:rPr>
            </w:pPr>
            <w:r w:rsidRPr="00B53367">
              <w:rPr>
                <w:b/>
                <w:color w:val="7030A0"/>
                <w:sz w:val="17"/>
                <w:szCs w:val="17"/>
              </w:rPr>
              <w:t>36,0</w:t>
            </w:r>
          </w:p>
        </w:tc>
      </w:tr>
      <w:tr w:rsidR="00852FBB" w:rsidRPr="00852FBB" w:rsidTr="00852FBB">
        <w:tc>
          <w:tcPr>
            <w:tcW w:w="10432" w:type="dxa"/>
            <w:gridSpan w:val="14"/>
            <w:tcBorders>
              <w:top w:val="single" w:sz="12" w:space="0" w:color="auto"/>
              <w:bottom w:val="single" w:sz="12" w:space="0" w:color="auto"/>
            </w:tcBorders>
            <w:shd w:val="clear" w:color="auto" w:fill="auto"/>
          </w:tcPr>
          <w:p w:rsidR="00852FBB" w:rsidRPr="00852FBB" w:rsidRDefault="00852FBB" w:rsidP="006A6732">
            <w:pPr>
              <w:spacing w:after="0" w:line="240" w:lineRule="auto"/>
              <w:ind w:firstLine="0"/>
              <w:jc w:val="center"/>
              <w:rPr>
                <w:b/>
                <w:i/>
                <w:color w:val="8C3A8E"/>
                <w:sz w:val="6"/>
                <w:szCs w:val="6"/>
              </w:rPr>
            </w:pPr>
          </w:p>
        </w:tc>
      </w:tr>
      <w:tr w:rsidR="006A6732" w:rsidRPr="007F2C7C" w:rsidTr="006A6732">
        <w:trPr>
          <w:trHeight w:val="218"/>
        </w:trPr>
        <w:tc>
          <w:tcPr>
            <w:tcW w:w="3024" w:type="dxa"/>
            <w:vMerge w:val="restart"/>
            <w:tcBorders>
              <w:top w:val="single" w:sz="12" w:space="0" w:color="auto"/>
              <w:right w:val="single" w:sz="12" w:space="0" w:color="auto"/>
            </w:tcBorders>
            <w:shd w:val="clear" w:color="auto" w:fill="D9D9D9" w:themeFill="background1" w:themeFillShade="D9"/>
            <w:vAlign w:val="center"/>
          </w:tcPr>
          <w:p w:rsidR="006A6732" w:rsidRPr="007F2C7C" w:rsidRDefault="006A6732" w:rsidP="006A6732">
            <w:pPr>
              <w:spacing w:after="0" w:line="240" w:lineRule="auto"/>
              <w:ind w:firstLine="0"/>
              <w:jc w:val="center"/>
              <w:rPr>
                <w:b/>
                <w:i/>
                <w:sz w:val="17"/>
                <w:szCs w:val="17"/>
              </w:rPr>
            </w:pPr>
            <w:r w:rsidRPr="007F2C7C">
              <w:rPr>
                <w:b/>
                <w:i/>
                <w:sz w:val="17"/>
                <w:szCs w:val="17"/>
              </w:rPr>
              <w:t>- C -</w:t>
            </w:r>
          </w:p>
        </w:tc>
        <w:tc>
          <w:tcPr>
            <w:tcW w:w="504" w:type="dxa"/>
            <w:vMerge w:val="restart"/>
            <w:tcBorders>
              <w:top w:val="single" w:sz="12" w:space="0" w:color="auto"/>
              <w:left w:val="single" w:sz="12" w:space="0" w:color="auto"/>
            </w:tcBorders>
            <w:shd w:val="clear" w:color="auto" w:fill="D9D9D9" w:themeFill="background1" w:themeFillShade="D9"/>
            <w:vAlign w:val="center"/>
          </w:tcPr>
          <w:p w:rsidR="006A6732" w:rsidRPr="00B53367" w:rsidRDefault="006A6732" w:rsidP="006A6732">
            <w:pPr>
              <w:spacing w:after="0" w:line="240" w:lineRule="auto"/>
              <w:ind w:firstLine="0"/>
              <w:jc w:val="center"/>
              <w:rPr>
                <w:b/>
                <w:i/>
                <w:color w:val="C00000"/>
                <w:sz w:val="17"/>
                <w:szCs w:val="17"/>
              </w:rPr>
            </w:pPr>
            <w:r w:rsidRPr="00B53367">
              <w:rPr>
                <w:b/>
                <w:i/>
                <w:color w:val="C00000"/>
                <w:sz w:val="17"/>
                <w:szCs w:val="17"/>
              </w:rPr>
              <w:t>K</w:t>
            </w:r>
          </w:p>
        </w:tc>
        <w:tc>
          <w:tcPr>
            <w:tcW w:w="5040" w:type="dxa"/>
            <w:gridSpan w:val="10"/>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7F2C7C" w:rsidRDefault="006A6732" w:rsidP="006A6732">
            <w:pPr>
              <w:spacing w:after="0" w:line="240" w:lineRule="auto"/>
              <w:ind w:firstLine="0"/>
              <w:jc w:val="center"/>
              <w:rPr>
                <w:b/>
                <w:i/>
                <w:sz w:val="17"/>
                <w:szCs w:val="17"/>
              </w:rPr>
            </w:pPr>
            <w:r w:rsidRPr="007F2C7C">
              <w:rPr>
                <w:b/>
                <w:i/>
                <w:sz w:val="17"/>
                <w:szCs w:val="17"/>
              </w:rPr>
              <w:t>Ekspertų vertinimai</w:t>
            </w:r>
          </w:p>
        </w:tc>
        <w:tc>
          <w:tcPr>
            <w:tcW w:w="602" w:type="dxa"/>
            <w:vMerge w:val="restart"/>
            <w:tcBorders>
              <w:top w:val="single" w:sz="12" w:space="0" w:color="auto"/>
              <w:left w:val="single" w:sz="12" w:space="0" w:color="auto"/>
            </w:tcBorders>
            <w:shd w:val="clear" w:color="auto" w:fill="D9D9D9" w:themeFill="background1" w:themeFillShade="D9"/>
            <w:vAlign w:val="center"/>
          </w:tcPr>
          <w:p w:rsidR="006A6732" w:rsidRPr="007F2C7C" w:rsidRDefault="006A6732" w:rsidP="006A6732">
            <w:pPr>
              <w:spacing w:after="0" w:line="240" w:lineRule="auto"/>
              <w:ind w:firstLine="0"/>
              <w:jc w:val="center"/>
              <w:rPr>
                <w:b/>
                <w:i/>
                <w:sz w:val="17"/>
                <w:szCs w:val="17"/>
              </w:rPr>
            </w:pPr>
            <w:proofErr w:type="spellStart"/>
            <w:r w:rsidRPr="007F2C7C">
              <w:rPr>
                <w:b/>
                <w:i/>
                <w:sz w:val="17"/>
                <w:szCs w:val="17"/>
              </w:rPr>
              <w:t>Mo</w:t>
            </w:r>
            <w:proofErr w:type="spellEnd"/>
          </w:p>
        </w:tc>
        <w:tc>
          <w:tcPr>
            <w:tcW w:w="1262" w:type="dxa"/>
            <w:vMerge w:val="restart"/>
            <w:tcBorders>
              <w:top w:val="single" w:sz="12" w:space="0" w:color="auto"/>
              <w:left w:val="single" w:sz="2" w:space="0" w:color="auto"/>
            </w:tcBorders>
            <w:shd w:val="clear" w:color="auto" w:fill="D9D9D9" w:themeFill="background1" w:themeFillShade="D9"/>
            <w:vAlign w:val="center"/>
          </w:tcPr>
          <w:p w:rsidR="006A6732" w:rsidRPr="00B53367" w:rsidRDefault="006A6732" w:rsidP="006A6732">
            <w:pPr>
              <w:spacing w:after="0" w:line="240" w:lineRule="auto"/>
              <w:ind w:firstLine="0"/>
              <w:jc w:val="center"/>
              <w:rPr>
                <w:b/>
                <w:i/>
                <w:color w:val="C00000"/>
                <w:sz w:val="17"/>
                <w:szCs w:val="17"/>
              </w:rPr>
            </w:pPr>
            <w:r w:rsidRPr="00B53367">
              <w:rPr>
                <w:b/>
                <w:i/>
                <w:color w:val="C00000"/>
                <w:sz w:val="17"/>
                <w:szCs w:val="17"/>
              </w:rPr>
              <w:t>Pageidautina reikšmė</w:t>
            </w:r>
          </w:p>
        </w:tc>
      </w:tr>
      <w:tr w:rsidR="006A6732" w:rsidRPr="007F2C7C" w:rsidTr="006A6732">
        <w:trPr>
          <w:trHeight w:val="217"/>
        </w:trPr>
        <w:tc>
          <w:tcPr>
            <w:tcW w:w="3024" w:type="dxa"/>
            <w:vMerge/>
            <w:tcBorders>
              <w:bottom w:val="single" w:sz="12" w:space="0" w:color="auto"/>
              <w:right w:val="single" w:sz="12" w:space="0" w:color="auto"/>
            </w:tcBorders>
            <w:shd w:val="clear" w:color="auto" w:fill="D9D9D9" w:themeFill="background1" w:themeFillShade="D9"/>
            <w:vAlign w:val="center"/>
          </w:tcPr>
          <w:p w:rsidR="006A6732" w:rsidRPr="007F2C7C" w:rsidRDefault="006A6732" w:rsidP="006A6732">
            <w:pPr>
              <w:spacing w:after="0" w:line="240" w:lineRule="auto"/>
              <w:ind w:firstLine="0"/>
              <w:jc w:val="center"/>
              <w:rPr>
                <w:b/>
                <w:i/>
                <w:sz w:val="18"/>
                <w:szCs w:val="18"/>
              </w:rPr>
            </w:pPr>
          </w:p>
        </w:tc>
        <w:tc>
          <w:tcPr>
            <w:tcW w:w="504" w:type="dxa"/>
            <w:vMerge/>
            <w:tcBorders>
              <w:left w:val="single" w:sz="12" w:space="0" w:color="auto"/>
              <w:bottom w:val="single" w:sz="12" w:space="0" w:color="auto"/>
            </w:tcBorders>
            <w:shd w:val="clear" w:color="auto" w:fill="D9D9D9" w:themeFill="background1" w:themeFillShade="D9"/>
            <w:vAlign w:val="center"/>
          </w:tcPr>
          <w:p w:rsidR="006A6732" w:rsidRPr="00B53367" w:rsidRDefault="006A6732" w:rsidP="006A6732">
            <w:pPr>
              <w:spacing w:after="0" w:line="240" w:lineRule="auto"/>
              <w:ind w:firstLine="0"/>
              <w:jc w:val="center"/>
              <w:rPr>
                <w:b/>
                <w:i/>
                <w:color w:val="C00000"/>
                <w:sz w:val="18"/>
                <w:szCs w:val="18"/>
              </w:rPr>
            </w:pP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7F2C7C" w:rsidRDefault="006A6732" w:rsidP="006A6732">
            <w:pPr>
              <w:spacing w:after="0" w:line="240" w:lineRule="auto"/>
              <w:ind w:firstLine="0"/>
              <w:jc w:val="center"/>
              <w:rPr>
                <w:b/>
                <w:i/>
                <w:sz w:val="18"/>
                <w:szCs w:val="18"/>
                <w:vertAlign w:val="subscript"/>
              </w:rPr>
            </w:pPr>
            <w:r w:rsidRPr="007F2C7C">
              <w:rPr>
                <w:b/>
                <w:i/>
                <w:sz w:val="18"/>
                <w:szCs w:val="18"/>
              </w:rPr>
              <w:t>m</w:t>
            </w:r>
            <w:r w:rsidRPr="007F2C7C">
              <w:rPr>
                <w:b/>
                <w:i/>
                <w:sz w:val="18"/>
                <w:szCs w:val="18"/>
                <w:vertAlign w:val="subscript"/>
              </w:rPr>
              <w:t>1</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7F2C7C" w:rsidRDefault="006A6732" w:rsidP="006A6732">
            <w:pPr>
              <w:spacing w:after="0" w:line="240" w:lineRule="auto"/>
              <w:ind w:firstLine="0"/>
              <w:jc w:val="center"/>
              <w:rPr>
                <w:b/>
                <w:i/>
                <w:sz w:val="18"/>
                <w:szCs w:val="18"/>
                <w:vertAlign w:val="subscript"/>
              </w:rPr>
            </w:pPr>
            <w:r w:rsidRPr="007F2C7C">
              <w:rPr>
                <w:b/>
                <w:i/>
                <w:sz w:val="18"/>
                <w:szCs w:val="18"/>
              </w:rPr>
              <w:t>m</w:t>
            </w:r>
            <w:r w:rsidRPr="007F2C7C">
              <w:rPr>
                <w:b/>
                <w:i/>
                <w:sz w:val="18"/>
                <w:szCs w:val="18"/>
                <w:vertAlign w:val="subscript"/>
              </w:rPr>
              <w:t>2</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7F2C7C" w:rsidRDefault="006A6732" w:rsidP="006A6732">
            <w:pPr>
              <w:spacing w:after="0" w:line="240" w:lineRule="auto"/>
              <w:ind w:firstLine="0"/>
              <w:jc w:val="center"/>
              <w:rPr>
                <w:b/>
                <w:i/>
                <w:sz w:val="18"/>
                <w:szCs w:val="18"/>
                <w:vertAlign w:val="subscript"/>
              </w:rPr>
            </w:pPr>
            <w:r w:rsidRPr="007F2C7C">
              <w:rPr>
                <w:b/>
                <w:i/>
                <w:sz w:val="18"/>
                <w:szCs w:val="18"/>
              </w:rPr>
              <w:t>m</w:t>
            </w:r>
            <w:r w:rsidRPr="007F2C7C">
              <w:rPr>
                <w:b/>
                <w:i/>
                <w:sz w:val="18"/>
                <w:szCs w:val="18"/>
                <w:vertAlign w:val="subscript"/>
              </w:rPr>
              <w:t>3</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7F2C7C" w:rsidRDefault="006A6732" w:rsidP="006A6732">
            <w:pPr>
              <w:spacing w:after="0" w:line="240" w:lineRule="auto"/>
              <w:ind w:firstLine="0"/>
              <w:jc w:val="center"/>
              <w:rPr>
                <w:b/>
                <w:i/>
                <w:sz w:val="18"/>
                <w:szCs w:val="18"/>
                <w:vertAlign w:val="subscript"/>
              </w:rPr>
            </w:pPr>
            <w:r w:rsidRPr="007F2C7C">
              <w:rPr>
                <w:b/>
                <w:i/>
                <w:sz w:val="18"/>
                <w:szCs w:val="18"/>
              </w:rPr>
              <w:t>m</w:t>
            </w:r>
            <w:r w:rsidRPr="007F2C7C">
              <w:rPr>
                <w:b/>
                <w:i/>
                <w:sz w:val="18"/>
                <w:szCs w:val="18"/>
                <w:vertAlign w:val="subscript"/>
              </w:rPr>
              <w:t>4</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7F2C7C" w:rsidRDefault="006A6732" w:rsidP="006A6732">
            <w:pPr>
              <w:spacing w:after="0" w:line="240" w:lineRule="auto"/>
              <w:ind w:firstLine="0"/>
              <w:jc w:val="center"/>
              <w:rPr>
                <w:b/>
                <w:i/>
                <w:sz w:val="18"/>
                <w:szCs w:val="18"/>
                <w:vertAlign w:val="subscript"/>
              </w:rPr>
            </w:pPr>
            <w:r w:rsidRPr="007F2C7C">
              <w:rPr>
                <w:b/>
                <w:i/>
                <w:sz w:val="18"/>
                <w:szCs w:val="18"/>
              </w:rPr>
              <w:t>m</w:t>
            </w:r>
            <w:r w:rsidRPr="007F2C7C">
              <w:rPr>
                <w:b/>
                <w:i/>
                <w:sz w:val="18"/>
                <w:szCs w:val="18"/>
                <w:vertAlign w:val="subscript"/>
              </w:rPr>
              <w:t>5</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7F2C7C" w:rsidRDefault="006A6732" w:rsidP="006A6732">
            <w:pPr>
              <w:spacing w:after="0" w:line="240" w:lineRule="auto"/>
              <w:ind w:firstLine="0"/>
              <w:jc w:val="center"/>
              <w:rPr>
                <w:b/>
                <w:i/>
                <w:sz w:val="18"/>
                <w:szCs w:val="18"/>
                <w:vertAlign w:val="subscript"/>
              </w:rPr>
            </w:pPr>
            <w:r w:rsidRPr="007F2C7C">
              <w:rPr>
                <w:b/>
                <w:i/>
                <w:sz w:val="18"/>
                <w:szCs w:val="18"/>
              </w:rPr>
              <w:t>m</w:t>
            </w:r>
            <w:r w:rsidRPr="007F2C7C">
              <w:rPr>
                <w:b/>
                <w:i/>
                <w:sz w:val="18"/>
                <w:szCs w:val="18"/>
                <w:vertAlign w:val="subscript"/>
              </w:rPr>
              <w:t>6</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7F2C7C" w:rsidRDefault="006A6732" w:rsidP="006A6732">
            <w:pPr>
              <w:spacing w:after="0" w:line="240" w:lineRule="auto"/>
              <w:ind w:firstLine="0"/>
              <w:jc w:val="center"/>
              <w:rPr>
                <w:b/>
                <w:i/>
                <w:sz w:val="18"/>
                <w:szCs w:val="18"/>
                <w:vertAlign w:val="subscript"/>
              </w:rPr>
            </w:pPr>
            <w:r w:rsidRPr="007F2C7C">
              <w:rPr>
                <w:b/>
                <w:i/>
                <w:sz w:val="18"/>
                <w:szCs w:val="18"/>
              </w:rPr>
              <w:t>m</w:t>
            </w:r>
            <w:r w:rsidRPr="007F2C7C">
              <w:rPr>
                <w:b/>
                <w:i/>
                <w:sz w:val="18"/>
                <w:szCs w:val="18"/>
                <w:vertAlign w:val="subscript"/>
              </w:rPr>
              <w:t>7</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7F2C7C" w:rsidRDefault="006A6732" w:rsidP="006A6732">
            <w:pPr>
              <w:spacing w:after="0" w:line="240" w:lineRule="auto"/>
              <w:ind w:firstLine="0"/>
              <w:jc w:val="center"/>
              <w:rPr>
                <w:b/>
                <w:i/>
                <w:sz w:val="18"/>
                <w:szCs w:val="18"/>
                <w:vertAlign w:val="subscript"/>
              </w:rPr>
            </w:pPr>
            <w:r w:rsidRPr="007F2C7C">
              <w:rPr>
                <w:b/>
                <w:i/>
                <w:sz w:val="18"/>
                <w:szCs w:val="18"/>
              </w:rPr>
              <w:t>m</w:t>
            </w:r>
            <w:r w:rsidRPr="007F2C7C">
              <w:rPr>
                <w:b/>
                <w:i/>
                <w:sz w:val="18"/>
                <w:szCs w:val="18"/>
                <w:vertAlign w:val="subscript"/>
              </w:rPr>
              <w:t>8</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7F2C7C" w:rsidRDefault="006A6732" w:rsidP="006A6732">
            <w:pPr>
              <w:spacing w:after="0" w:line="240" w:lineRule="auto"/>
              <w:ind w:firstLine="0"/>
              <w:jc w:val="center"/>
              <w:rPr>
                <w:b/>
                <w:i/>
                <w:sz w:val="18"/>
                <w:szCs w:val="18"/>
                <w:vertAlign w:val="subscript"/>
              </w:rPr>
            </w:pPr>
            <w:r w:rsidRPr="007F2C7C">
              <w:rPr>
                <w:b/>
                <w:i/>
                <w:sz w:val="18"/>
                <w:szCs w:val="18"/>
              </w:rPr>
              <w:t>m</w:t>
            </w:r>
            <w:r w:rsidRPr="007F2C7C">
              <w:rPr>
                <w:b/>
                <w:i/>
                <w:sz w:val="18"/>
                <w:szCs w:val="18"/>
                <w:vertAlign w:val="subscript"/>
              </w:rPr>
              <w:t>9</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6A6732" w:rsidRPr="007F2C7C" w:rsidRDefault="006A6732" w:rsidP="006A6732">
            <w:pPr>
              <w:spacing w:after="0" w:line="240" w:lineRule="auto"/>
              <w:ind w:firstLine="0"/>
              <w:jc w:val="center"/>
              <w:rPr>
                <w:b/>
                <w:i/>
                <w:sz w:val="18"/>
                <w:szCs w:val="18"/>
                <w:vertAlign w:val="subscript"/>
              </w:rPr>
            </w:pPr>
            <w:r w:rsidRPr="007F2C7C">
              <w:rPr>
                <w:b/>
                <w:i/>
                <w:sz w:val="18"/>
                <w:szCs w:val="18"/>
              </w:rPr>
              <w:t>m</w:t>
            </w:r>
            <w:r w:rsidRPr="007F2C7C">
              <w:rPr>
                <w:b/>
                <w:i/>
                <w:sz w:val="18"/>
                <w:szCs w:val="18"/>
                <w:vertAlign w:val="subscript"/>
              </w:rPr>
              <w:t>10</w:t>
            </w:r>
          </w:p>
        </w:tc>
        <w:tc>
          <w:tcPr>
            <w:tcW w:w="602" w:type="dxa"/>
            <w:vMerge/>
            <w:tcBorders>
              <w:left w:val="single" w:sz="12" w:space="0" w:color="auto"/>
              <w:bottom w:val="single" w:sz="12" w:space="0" w:color="auto"/>
            </w:tcBorders>
            <w:shd w:val="clear" w:color="auto" w:fill="D9D9D9" w:themeFill="background1" w:themeFillShade="D9"/>
            <w:vAlign w:val="center"/>
          </w:tcPr>
          <w:p w:rsidR="006A6732" w:rsidRPr="007F2C7C" w:rsidRDefault="006A6732" w:rsidP="006A6732">
            <w:pPr>
              <w:spacing w:after="0" w:line="240" w:lineRule="auto"/>
              <w:ind w:firstLine="0"/>
              <w:jc w:val="center"/>
              <w:rPr>
                <w:b/>
                <w:i/>
                <w:sz w:val="18"/>
                <w:szCs w:val="18"/>
              </w:rPr>
            </w:pPr>
          </w:p>
        </w:tc>
        <w:tc>
          <w:tcPr>
            <w:tcW w:w="1262" w:type="dxa"/>
            <w:vMerge/>
            <w:tcBorders>
              <w:left w:val="single" w:sz="2" w:space="0" w:color="auto"/>
              <w:bottom w:val="single" w:sz="12" w:space="0" w:color="auto"/>
            </w:tcBorders>
            <w:shd w:val="clear" w:color="auto" w:fill="D9D9D9" w:themeFill="background1" w:themeFillShade="D9"/>
            <w:vAlign w:val="center"/>
          </w:tcPr>
          <w:p w:rsidR="006A6732" w:rsidRPr="00B53367" w:rsidRDefault="006A6732" w:rsidP="006A6732">
            <w:pPr>
              <w:spacing w:after="0" w:line="240" w:lineRule="auto"/>
              <w:ind w:firstLine="0"/>
              <w:jc w:val="center"/>
              <w:rPr>
                <w:b/>
                <w:i/>
                <w:color w:val="C00000"/>
                <w:sz w:val="18"/>
                <w:szCs w:val="18"/>
              </w:rPr>
            </w:pPr>
          </w:p>
        </w:tc>
      </w:tr>
      <w:tr w:rsidR="006A6732" w:rsidRPr="007F2C7C" w:rsidTr="006A6732">
        <w:tc>
          <w:tcPr>
            <w:tcW w:w="3024" w:type="dxa"/>
            <w:tcBorders>
              <w:top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rPr>
                <w:i/>
                <w:sz w:val="18"/>
                <w:szCs w:val="18"/>
              </w:rPr>
            </w:pPr>
            <w:r w:rsidRPr="007F2C7C">
              <w:rPr>
                <w:i/>
                <w:sz w:val="18"/>
                <w:szCs w:val="18"/>
              </w:rPr>
              <w:t>Neigiami užimtumo pokyčiai (c</w:t>
            </w:r>
            <w:r w:rsidRPr="007F2C7C">
              <w:rPr>
                <w:i/>
                <w:sz w:val="18"/>
                <w:szCs w:val="18"/>
                <w:vertAlign w:val="subscript"/>
              </w:rPr>
              <w:t>1</w:t>
            </w:r>
            <w:r w:rsidRPr="007F2C7C">
              <w:rPr>
                <w:i/>
                <w:sz w:val="18"/>
                <w:szCs w:val="18"/>
              </w:rPr>
              <w:t>)</w:t>
            </w:r>
          </w:p>
        </w:tc>
        <w:tc>
          <w:tcPr>
            <w:tcW w:w="504" w:type="dxa"/>
            <w:tcBorders>
              <w:top w:val="single" w:sz="12" w:space="0" w:color="auto"/>
              <w:left w:val="single" w:sz="12" w:space="0" w:color="auto"/>
              <w:bottom w:val="single" w:sz="2" w:space="0" w:color="auto"/>
            </w:tcBorders>
            <w:shd w:val="clear" w:color="auto" w:fill="D9D9D9" w:themeFill="background1" w:themeFillShade="D9"/>
          </w:tcPr>
          <w:p w:rsidR="006A6732" w:rsidRPr="00B53367" w:rsidRDefault="006A6732" w:rsidP="006A6732">
            <w:pPr>
              <w:spacing w:after="0" w:line="240" w:lineRule="auto"/>
              <w:ind w:firstLine="0"/>
              <w:jc w:val="center"/>
              <w:rPr>
                <w:b/>
                <w:color w:val="C00000"/>
                <w:sz w:val="18"/>
                <w:szCs w:val="18"/>
              </w:rPr>
            </w:pPr>
            <w:r w:rsidRPr="00B53367">
              <w:rPr>
                <w:b/>
                <w:color w:val="C00000"/>
                <w:sz w:val="18"/>
                <w:szCs w:val="18"/>
              </w:rPr>
              <w:t>2,0</w:t>
            </w:r>
          </w:p>
        </w:tc>
        <w:tc>
          <w:tcPr>
            <w:tcW w:w="504" w:type="dxa"/>
            <w:tcBorders>
              <w:top w:val="single" w:sz="12" w:space="0" w:color="auto"/>
              <w:left w:val="single" w:sz="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3</w:t>
            </w:r>
          </w:p>
        </w:tc>
        <w:tc>
          <w:tcPr>
            <w:tcW w:w="504" w:type="dxa"/>
            <w:tcBorders>
              <w:top w:val="single" w:sz="1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4</w:t>
            </w:r>
          </w:p>
        </w:tc>
        <w:tc>
          <w:tcPr>
            <w:tcW w:w="504" w:type="dxa"/>
            <w:tcBorders>
              <w:top w:val="single" w:sz="1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3</w:t>
            </w:r>
          </w:p>
        </w:tc>
        <w:tc>
          <w:tcPr>
            <w:tcW w:w="504" w:type="dxa"/>
            <w:tcBorders>
              <w:top w:val="single" w:sz="1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1</w:t>
            </w:r>
          </w:p>
        </w:tc>
        <w:tc>
          <w:tcPr>
            <w:tcW w:w="504" w:type="dxa"/>
            <w:tcBorders>
              <w:top w:val="single" w:sz="1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3</w:t>
            </w:r>
          </w:p>
        </w:tc>
        <w:tc>
          <w:tcPr>
            <w:tcW w:w="504" w:type="dxa"/>
            <w:tcBorders>
              <w:top w:val="single" w:sz="1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2</w:t>
            </w:r>
          </w:p>
        </w:tc>
        <w:tc>
          <w:tcPr>
            <w:tcW w:w="504" w:type="dxa"/>
            <w:tcBorders>
              <w:top w:val="single" w:sz="1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1</w:t>
            </w:r>
          </w:p>
        </w:tc>
        <w:tc>
          <w:tcPr>
            <w:tcW w:w="504" w:type="dxa"/>
            <w:tcBorders>
              <w:top w:val="single" w:sz="1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3</w:t>
            </w:r>
          </w:p>
        </w:tc>
        <w:tc>
          <w:tcPr>
            <w:tcW w:w="504" w:type="dxa"/>
            <w:tcBorders>
              <w:top w:val="single" w:sz="1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1</w:t>
            </w:r>
          </w:p>
        </w:tc>
        <w:tc>
          <w:tcPr>
            <w:tcW w:w="504" w:type="dxa"/>
            <w:tcBorders>
              <w:top w:val="single" w:sz="1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3</w:t>
            </w:r>
          </w:p>
        </w:tc>
        <w:tc>
          <w:tcPr>
            <w:tcW w:w="602" w:type="dxa"/>
            <w:tcBorders>
              <w:top w:val="single" w:sz="12" w:space="0" w:color="auto"/>
              <w:left w:val="single" w:sz="12" w:space="0" w:color="auto"/>
              <w:bottom w:val="single" w:sz="2" w:space="0" w:color="auto"/>
            </w:tcBorders>
            <w:shd w:val="clear" w:color="auto" w:fill="D9D9D9" w:themeFill="background1" w:themeFillShade="D9"/>
          </w:tcPr>
          <w:p w:rsidR="006A6732" w:rsidRPr="007F2C7C" w:rsidRDefault="006A6732" w:rsidP="006A6732">
            <w:pPr>
              <w:spacing w:after="0" w:line="240" w:lineRule="auto"/>
              <w:ind w:firstLine="0"/>
              <w:jc w:val="center"/>
              <w:rPr>
                <w:b/>
                <w:sz w:val="18"/>
                <w:szCs w:val="18"/>
              </w:rPr>
            </w:pPr>
            <w:r w:rsidRPr="007F2C7C">
              <w:rPr>
                <w:b/>
                <w:sz w:val="18"/>
                <w:szCs w:val="18"/>
              </w:rPr>
              <w:t>3</w:t>
            </w:r>
          </w:p>
        </w:tc>
        <w:tc>
          <w:tcPr>
            <w:tcW w:w="1262" w:type="dxa"/>
            <w:tcBorders>
              <w:top w:val="single" w:sz="12" w:space="0" w:color="auto"/>
              <w:left w:val="single" w:sz="2" w:space="0" w:color="auto"/>
              <w:bottom w:val="single" w:sz="2" w:space="0" w:color="auto"/>
            </w:tcBorders>
            <w:shd w:val="clear" w:color="auto" w:fill="E5B8B7" w:themeFill="accent2" w:themeFillTint="66"/>
          </w:tcPr>
          <w:p w:rsidR="006A6732" w:rsidRPr="00B53367" w:rsidRDefault="006A6732" w:rsidP="006A6732">
            <w:pPr>
              <w:spacing w:after="0" w:line="240" w:lineRule="auto"/>
              <w:ind w:firstLine="0"/>
              <w:jc w:val="center"/>
              <w:rPr>
                <w:b/>
                <w:color w:val="C00000"/>
                <w:sz w:val="18"/>
                <w:szCs w:val="18"/>
              </w:rPr>
            </w:pPr>
            <w:r w:rsidRPr="00B53367">
              <w:rPr>
                <w:b/>
                <w:color w:val="C00000"/>
                <w:sz w:val="18"/>
                <w:szCs w:val="18"/>
              </w:rPr>
              <w:t>6,0</w:t>
            </w:r>
          </w:p>
        </w:tc>
      </w:tr>
      <w:tr w:rsidR="006A6732" w:rsidRPr="007F2C7C" w:rsidTr="006A6732">
        <w:tc>
          <w:tcPr>
            <w:tcW w:w="3024" w:type="dxa"/>
            <w:tcBorders>
              <w:top w:val="single" w:sz="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rPr>
                <w:i/>
                <w:sz w:val="18"/>
                <w:szCs w:val="18"/>
              </w:rPr>
            </w:pPr>
            <w:r w:rsidRPr="007F2C7C">
              <w:rPr>
                <w:i/>
                <w:sz w:val="18"/>
                <w:szCs w:val="18"/>
              </w:rPr>
              <w:t>Šešėlinė ekonomika (c</w:t>
            </w:r>
            <w:r w:rsidRPr="007F2C7C">
              <w:rPr>
                <w:i/>
                <w:sz w:val="18"/>
                <w:szCs w:val="18"/>
                <w:vertAlign w:val="subscript"/>
              </w:rPr>
              <w:t>2</w:t>
            </w:r>
            <w:r w:rsidRPr="007F2C7C">
              <w:rPr>
                <w:i/>
                <w:sz w:val="18"/>
                <w:szCs w:val="18"/>
              </w:rPr>
              <w:t>)</w:t>
            </w:r>
          </w:p>
        </w:tc>
        <w:tc>
          <w:tcPr>
            <w:tcW w:w="504" w:type="dxa"/>
            <w:tcBorders>
              <w:top w:val="single" w:sz="2" w:space="0" w:color="auto"/>
              <w:left w:val="single" w:sz="12" w:space="0" w:color="auto"/>
              <w:bottom w:val="single" w:sz="2" w:space="0" w:color="auto"/>
            </w:tcBorders>
            <w:shd w:val="clear" w:color="auto" w:fill="D9D9D9" w:themeFill="background1" w:themeFillShade="D9"/>
          </w:tcPr>
          <w:p w:rsidR="006A6732" w:rsidRPr="00B53367" w:rsidRDefault="006A6732" w:rsidP="006A6732">
            <w:pPr>
              <w:spacing w:after="0" w:line="240" w:lineRule="auto"/>
              <w:ind w:firstLine="0"/>
              <w:jc w:val="center"/>
              <w:rPr>
                <w:b/>
                <w:color w:val="C00000"/>
                <w:sz w:val="18"/>
                <w:szCs w:val="18"/>
              </w:rPr>
            </w:pPr>
            <w:r w:rsidRPr="00B53367">
              <w:rPr>
                <w:b/>
                <w:color w:val="C00000"/>
                <w:sz w:val="18"/>
                <w:szCs w:val="18"/>
              </w:rPr>
              <w:t>1,5</w:t>
            </w:r>
          </w:p>
        </w:tc>
        <w:tc>
          <w:tcPr>
            <w:tcW w:w="504" w:type="dxa"/>
            <w:tcBorders>
              <w:top w:val="single" w:sz="2" w:space="0" w:color="auto"/>
              <w:left w:val="single" w:sz="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5</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5</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5</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2</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5</w:t>
            </w:r>
          </w:p>
        </w:tc>
        <w:tc>
          <w:tcPr>
            <w:tcW w:w="602" w:type="dxa"/>
            <w:tcBorders>
              <w:top w:val="single" w:sz="2" w:space="0" w:color="auto"/>
              <w:left w:val="single" w:sz="12" w:space="0" w:color="auto"/>
              <w:bottom w:val="single" w:sz="2" w:space="0" w:color="auto"/>
            </w:tcBorders>
            <w:shd w:val="clear" w:color="auto" w:fill="D9D9D9" w:themeFill="background1" w:themeFillShade="D9"/>
          </w:tcPr>
          <w:p w:rsidR="006A6732" w:rsidRPr="007F2C7C" w:rsidRDefault="006A6732" w:rsidP="006A6732">
            <w:pPr>
              <w:spacing w:after="0" w:line="240" w:lineRule="auto"/>
              <w:ind w:firstLine="0"/>
              <w:jc w:val="center"/>
              <w:rPr>
                <w:b/>
                <w:sz w:val="18"/>
                <w:szCs w:val="18"/>
              </w:rPr>
            </w:pPr>
            <w:r w:rsidRPr="007F2C7C">
              <w:rPr>
                <w:b/>
                <w:sz w:val="18"/>
                <w:szCs w:val="18"/>
              </w:rPr>
              <w:t>5</w:t>
            </w:r>
          </w:p>
        </w:tc>
        <w:tc>
          <w:tcPr>
            <w:tcW w:w="1262" w:type="dxa"/>
            <w:tcBorders>
              <w:top w:val="single" w:sz="2" w:space="0" w:color="auto"/>
              <w:left w:val="single" w:sz="2" w:space="0" w:color="auto"/>
              <w:bottom w:val="single" w:sz="2" w:space="0" w:color="auto"/>
            </w:tcBorders>
            <w:shd w:val="clear" w:color="auto" w:fill="E5B8B7" w:themeFill="accent2" w:themeFillTint="66"/>
          </w:tcPr>
          <w:p w:rsidR="006A6732" w:rsidRPr="00B53367" w:rsidRDefault="006A6732" w:rsidP="006A6732">
            <w:pPr>
              <w:spacing w:after="0" w:line="240" w:lineRule="auto"/>
              <w:ind w:firstLine="0"/>
              <w:jc w:val="center"/>
              <w:rPr>
                <w:b/>
                <w:color w:val="C00000"/>
                <w:sz w:val="18"/>
                <w:szCs w:val="18"/>
              </w:rPr>
            </w:pPr>
            <w:r w:rsidRPr="00B53367">
              <w:rPr>
                <w:b/>
                <w:color w:val="C00000"/>
                <w:sz w:val="18"/>
                <w:szCs w:val="18"/>
              </w:rPr>
              <w:t>7,5</w:t>
            </w:r>
          </w:p>
        </w:tc>
      </w:tr>
      <w:tr w:rsidR="006A6732" w:rsidRPr="007F2C7C" w:rsidTr="006A6732">
        <w:tc>
          <w:tcPr>
            <w:tcW w:w="3024" w:type="dxa"/>
            <w:tcBorders>
              <w:top w:val="single" w:sz="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rPr>
                <w:i/>
                <w:sz w:val="18"/>
                <w:szCs w:val="18"/>
              </w:rPr>
            </w:pPr>
            <w:r w:rsidRPr="007F2C7C">
              <w:rPr>
                <w:i/>
                <w:sz w:val="18"/>
                <w:szCs w:val="18"/>
              </w:rPr>
              <w:t>Mokesčių našta (c</w:t>
            </w:r>
            <w:r w:rsidRPr="007F2C7C">
              <w:rPr>
                <w:i/>
                <w:sz w:val="18"/>
                <w:szCs w:val="18"/>
                <w:vertAlign w:val="subscript"/>
              </w:rPr>
              <w:t>3</w:t>
            </w:r>
            <w:r w:rsidRPr="007F2C7C">
              <w:rPr>
                <w:i/>
                <w:sz w:val="18"/>
                <w:szCs w:val="18"/>
              </w:rPr>
              <w:t>)</w:t>
            </w:r>
          </w:p>
        </w:tc>
        <w:tc>
          <w:tcPr>
            <w:tcW w:w="504" w:type="dxa"/>
            <w:tcBorders>
              <w:top w:val="single" w:sz="2" w:space="0" w:color="auto"/>
              <w:left w:val="single" w:sz="12" w:space="0" w:color="auto"/>
              <w:bottom w:val="single" w:sz="2" w:space="0" w:color="auto"/>
            </w:tcBorders>
            <w:shd w:val="clear" w:color="auto" w:fill="D9D9D9" w:themeFill="background1" w:themeFillShade="D9"/>
          </w:tcPr>
          <w:p w:rsidR="006A6732" w:rsidRPr="00B53367" w:rsidRDefault="006A6732" w:rsidP="006A6732">
            <w:pPr>
              <w:spacing w:after="0" w:line="240" w:lineRule="auto"/>
              <w:ind w:firstLine="0"/>
              <w:jc w:val="center"/>
              <w:rPr>
                <w:b/>
                <w:color w:val="C00000"/>
                <w:sz w:val="18"/>
                <w:szCs w:val="18"/>
              </w:rPr>
            </w:pPr>
            <w:r w:rsidRPr="00B53367">
              <w:rPr>
                <w:b/>
                <w:color w:val="C00000"/>
                <w:sz w:val="18"/>
                <w:szCs w:val="18"/>
              </w:rPr>
              <w:t>1,5</w:t>
            </w:r>
          </w:p>
        </w:tc>
        <w:tc>
          <w:tcPr>
            <w:tcW w:w="504" w:type="dxa"/>
            <w:tcBorders>
              <w:top w:val="single" w:sz="2" w:space="0" w:color="auto"/>
              <w:left w:val="single" w:sz="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5</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2</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5</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2</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5</w:t>
            </w:r>
          </w:p>
        </w:tc>
        <w:tc>
          <w:tcPr>
            <w:tcW w:w="602" w:type="dxa"/>
            <w:tcBorders>
              <w:top w:val="single" w:sz="2" w:space="0" w:color="auto"/>
              <w:left w:val="single" w:sz="12" w:space="0" w:color="auto"/>
              <w:bottom w:val="single" w:sz="2" w:space="0" w:color="auto"/>
            </w:tcBorders>
            <w:shd w:val="clear" w:color="auto" w:fill="D9D9D9" w:themeFill="background1" w:themeFillShade="D9"/>
          </w:tcPr>
          <w:p w:rsidR="006A6732" w:rsidRPr="007F2C7C" w:rsidRDefault="006A6732" w:rsidP="006A6732">
            <w:pPr>
              <w:spacing w:after="0" w:line="240" w:lineRule="auto"/>
              <w:ind w:firstLine="0"/>
              <w:jc w:val="center"/>
              <w:rPr>
                <w:b/>
                <w:sz w:val="18"/>
                <w:szCs w:val="18"/>
              </w:rPr>
            </w:pPr>
            <w:r w:rsidRPr="007F2C7C">
              <w:rPr>
                <w:b/>
                <w:sz w:val="18"/>
                <w:szCs w:val="18"/>
              </w:rPr>
              <w:t>4</w:t>
            </w:r>
          </w:p>
        </w:tc>
        <w:tc>
          <w:tcPr>
            <w:tcW w:w="1262" w:type="dxa"/>
            <w:tcBorders>
              <w:top w:val="single" w:sz="2" w:space="0" w:color="auto"/>
              <w:left w:val="single" w:sz="2" w:space="0" w:color="auto"/>
              <w:bottom w:val="single" w:sz="2" w:space="0" w:color="auto"/>
            </w:tcBorders>
            <w:shd w:val="clear" w:color="auto" w:fill="E5B8B7" w:themeFill="accent2" w:themeFillTint="66"/>
          </w:tcPr>
          <w:p w:rsidR="006A6732" w:rsidRPr="00B53367" w:rsidRDefault="006A6732" w:rsidP="006A6732">
            <w:pPr>
              <w:spacing w:after="0" w:line="240" w:lineRule="auto"/>
              <w:ind w:firstLine="0"/>
              <w:jc w:val="center"/>
              <w:rPr>
                <w:b/>
                <w:color w:val="C00000"/>
                <w:sz w:val="18"/>
                <w:szCs w:val="18"/>
              </w:rPr>
            </w:pPr>
            <w:r w:rsidRPr="00B53367">
              <w:rPr>
                <w:b/>
                <w:color w:val="C00000"/>
                <w:sz w:val="18"/>
                <w:szCs w:val="18"/>
              </w:rPr>
              <w:t>6,0</w:t>
            </w:r>
          </w:p>
        </w:tc>
      </w:tr>
      <w:tr w:rsidR="006A6732" w:rsidRPr="007F2C7C" w:rsidTr="006A6732">
        <w:tc>
          <w:tcPr>
            <w:tcW w:w="3024" w:type="dxa"/>
            <w:tcBorders>
              <w:top w:val="single" w:sz="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rPr>
                <w:i/>
                <w:sz w:val="18"/>
                <w:szCs w:val="18"/>
              </w:rPr>
            </w:pPr>
            <w:r w:rsidRPr="007F2C7C">
              <w:rPr>
                <w:i/>
                <w:sz w:val="18"/>
                <w:szCs w:val="18"/>
              </w:rPr>
              <w:t>Skurdo „spąstai“ (c</w:t>
            </w:r>
            <w:r w:rsidRPr="007F2C7C">
              <w:rPr>
                <w:i/>
                <w:sz w:val="18"/>
                <w:szCs w:val="18"/>
                <w:vertAlign w:val="subscript"/>
              </w:rPr>
              <w:t>4</w:t>
            </w:r>
            <w:r w:rsidRPr="007F2C7C">
              <w:rPr>
                <w:i/>
                <w:sz w:val="18"/>
                <w:szCs w:val="18"/>
              </w:rPr>
              <w:t>)</w:t>
            </w:r>
          </w:p>
        </w:tc>
        <w:tc>
          <w:tcPr>
            <w:tcW w:w="504" w:type="dxa"/>
            <w:tcBorders>
              <w:top w:val="single" w:sz="2" w:space="0" w:color="auto"/>
              <w:left w:val="single" w:sz="12" w:space="0" w:color="auto"/>
              <w:bottom w:val="single" w:sz="2" w:space="0" w:color="auto"/>
            </w:tcBorders>
            <w:shd w:val="clear" w:color="auto" w:fill="D9D9D9" w:themeFill="background1" w:themeFillShade="D9"/>
          </w:tcPr>
          <w:p w:rsidR="006A6732" w:rsidRPr="00B53367" w:rsidRDefault="006A6732" w:rsidP="006A6732">
            <w:pPr>
              <w:spacing w:after="0" w:line="240" w:lineRule="auto"/>
              <w:ind w:firstLine="0"/>
              <w:jc w:val="center"/>
              <w:rPr>
                <w:b/>
                <w:color w:val="C00000"/>
                <w:sz w:val="18"/>
                <w:szCs w:val="18"/>
              </w:rPr>
            </w:pPr>
            <w:r w:rsidRPr="00B53367">
              <w:rPr>
                <w:b/>
                <w:color w:val="C00000"/>
                <w:sz w:val="18"/>
                <w:szCs w:val="18"/>
              </w:rPr>
              <w:t>1,5</w:t>
            </w:r>
          </w:p>
        </w:tc>
        <w:tc>
          <w:tcPr>
            <w:tcW w:w="504" w:type="dxa"/>
            <w:tcBorders>
              <w:top w:val="single" w:sz="2" w:space="0" w:color="auto"/>
              <w:left w:val="single" w:sz="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5</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2</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2</w:t>
            </w:r>
          </w:p>
        </w:tc>
        <w:tc>
          <w:tcPr>
            <w:tcW w:w="50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3</w:t>
            </w:r>
          </w:p>
        </w:tc>
        <w:tc>
          <w:tcPr>
            <w:tcW w:w="602" w:type="dxa"/>
            <w:tcBorders>
              <w:top w:val="single" w:sz="2" w:space="0" w:color="auto"/>
              <w:left w:val="single" w:sz="12" w:space="0" w:color="auto"/>
              <w:bottom w:val="single" w:sz="2" w:space="0" w:color="auto"/>
            </w:tcBorders>
            <w:shd w:val="clear" w:color="auto" w:fill="D9D9D9" w:themeFill="background1" w:themeFillShade="D9"/>
          </w:tcPr>
          <w:p w:rsidR="006A6732" w:rsidRPr="007F2C7C" w:rsidRDefault="006A6732" w:rsidP="006A6732">
            <w:pPr>
              <w:spacing w:after="0" w:line="240" w:lineRule="auto"/>
              <w:ind w:firstLine="0"/>
              <w:jc w:val="center"/>
              <w:rPr>
                <w:b/>
                <w:sz w:val="18"/>
                <w:szCs w:val="18"/>
              </w:rPr>
            </w:pPr>
            <w:r w:rsidRPr="007F2C7C">
              <w:rPr>
                <w:b/>
                <w:sz w:val="18"/>
                <w:szCs w:val="18"/>
              </w:rPr>
              <w:t>3</w:t>
            </w:r>
          </w:p>
        </w:tc>
        <w:tc>
          <w:tcPr>
            <w:tcW w:w="1262" w:type="dxa"/>
            <w:tcBorders>
              <w:top w:val="single" w:sz="2" w:space="0" w:color="auto"/>
              <w:left w:val="single" w:sz="2" w:space="0" w:color="auto"/>
              <w:bottom w:val="single" w:sz="2" w:space="0" w:color="auto"/>
            </w:tcBorders>
            <w:shd w:val="clear" w:color="auto" w:fill="E5B8B7" w:themeFill="accent2" w:themeFillTint="66"/>
          </w:tcPr>
          <w:p w:rsidR="006A6732" w:rsidRPr="00B53367" w:rsidRDefault="006A6732" w:rsidP="006A6732">
            <w:pPr>
              <w:spacing w:after="0" w:line="240" w:lineRule="auto"/>
              <w:ind w:firstLine="0"/>
              <w:jc w:val="center"/>
              <w:rPr>
                <w:b/>
                <w:color w:val="C00000"/>
                <w:sz w:val="18"/>
                <w:szCs w:val="18"/>
              </w:rPr>
            </w:pPr>
            <w:r w:rsidRPr="00B53367">
              <w:rPr>
                <w:b/>
                <w:color w:val="C00000"/>
                <w:sz w:val="18"/>
                <w:szCs w:val="18"/>
              </w:rPr>
              <w:t>4,5</w:t>
            </w:r>
          </w:p>
        </w:tc>
      </w:tr>
      <w:tr w:rsidR="006A6732" w:rsidRPr="007F2C7C" w:rsidTr="006A6732">
        <w:tc>
          <w:tcPr>
            <w:tcW w:w="3024" w:type="dxa"/>
            <w:tcBorders>
              <w:top w:val="single" w:sz="2" w:space="0" w:color="auto"/>
              <w:bottom w:val="single" w:sz="1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rPr>
                <w:i/>
                <w:sz w:val="18"/>
                <w:szCs w:val="18"/>
              </w:rPr>
            </w:pPr>
            <w:r w:rsidRPr="007F2C7C">
              <w:rPr>
                <w:i/>
                <w:sz w:val="18"/>
                <w:szCs w:val="18"/>
              </w:rPr>
              <w:t>Išmokos mokėjimo trukmė (c</w:t>
            </w:r>
            <w:r w:rsidRPr="007F2C7C">
              <w:rPr>
                <w:i/>
                <w:sz w:val="18"/>
                <w:szCs w:val="18"/>
                <w:vertAlign w:val="subscript"/>
              </w:rPr>
              <w:t>5</w:t>
            </w:r>
            <w:r w:rsidRPr="007F2C7C">
              <w:rPr>
                <w:i/>
                <w:sz w:val="18"/>
                <w:szCs w:val="18"/>
              </w:rPr>
              <w:t>)</w:t>
            </w:r>
          </w:p>
        </w:tc>
        <w:tc>
          <w:tcPr>
            <w:tcW w:w="504" w:type="dxa"/>
            <w:tcBorders>
              <w:top w:val="single" w:sz="2" w:space="0" w:color="auto"/>
              <w:left w:val="single" w:sz="12" w:space="0" w:color="auto"/>
              <w:bottom w:val="single" w:sz="2" w:space="0" w:color="auto"/>
            </w:tcBorders>
            <w:shd w:val="clear" w:color="auto" w:fill="D9D9D9" w:themeFill="background1" w:themeFillShade="D9"/>
          </w:tcPr>
          <w:p w:rsidR="006A6732" w:rsidRPr="00B53367" w:rsidRDefault="006A6732" w:rsidP="006A6732">
            <w:pPr>
              <w:spacing w:after="0" w:line="240" w:lineRule="auto"/>
              <w:ind w:firstLine="0"/>
              <w:jc w:val="center"/>
              <w:rPr>
                <w:b/>
                <w:color w:val="C00000"/>
                <w:sz w:val="18"/>
                <w:szCs w:val="18"/>
              </w:rPr>
            </w:pPr>
            <w:r w:rsidRPr="00B53367">
              <w:rPr>
                <w:b/>
                <w:color w:val="C00000"/>
                <w:sz w:val="18"/>
                <w:szCs w:val="18"/>
              </w:rPr>
              <w:t>2,0</w:t>
            </w:r>
          </w:p>
        </w:tc>
        <w:tc>
          <w:tcPr>
            <w:tcW w:w="504" w:type="dxa"/>
            <w:tcBorders>
              <w:top w:val="single" w:sz="2" w:space="0" w:color="auto"/>
              <w:left w:val="single" w:sz="2" w:space="0" w:color="auto"/>
              <w:bottom w:val="single" w:sz="1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5</w:t>
            </w:r>
          </w:p>
        </w:tc>
        <w:tc>
          <w:tcPr>
            <w:tcW w:w="504" w:type="dxa"/>
            <w:tcBorders>
              <w:top w:val="single" w:sz="2" w:space="0" w:color="auto"/>
              <w:left w:val="single" w:sz="12" w:space="0" w:color="auto"/>
              <w:bottom w:val="single" w:sz="1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5</w:t>
            </w:r>
          </w:p>
        </w:tc>
        <w:tc>
          <w:tcPr>
            <w:tcW w:w="504" w:type="dxa"/>
            <w:tcBorders>
              <w:top w:val="single" w:sz="2" w:space="0" w:color="auto"/>
              <w:left w:val="single" w:sz="12" w:space="0" w:color="auto"/>
              <w:bottom w:val="single" w:sz="1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3</w:t>
            </w:r>
          </w:p>
        </w:tc>
        <w:tc>
          <w:tcPr>
            <w:tcW w:w="504" w:type="dxa"/>
            <w:tcBorders>
              <w:top w:val="single" w:sz="2" w:space="0" w:color="auto"/>
              <w:left w:val="single" w:sz="12" w:space="0" w:color="auto"/>
              <w:bottom w:val="single" w:sz="1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5</w:t>
            </w:r>
          </w:p>
        </w:tc>
        <w:tc>
          <w:tcPr>
            <w:tcW w:w="504" w:type="dxa"/>
            <w:tcBorders>
              <w:top w:val="single" w:sz="2" w:space="0" w:color="auto"/>
              <w:left w:val="single" w:sz="12" w:space="0" w:color="auto"/>
              <w:bottom w:val="single" w:sz="1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3</w:t>
            </w:r>
          </w:p>
        </w:tc>
        <w:tc>
          <w:tcPr>
            <w:tcW w:w="504" w:type="dxa"/>
            <w:tcBorders>
              <w:top w:val="single" w:sz="2" w:space="0" w:color="auto"/>
              <w:left w:val="single" w:sz="12" w:space="0" w:color="auto"/>
              <w:bottom w:val="single" w:sz="1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4</w:t>
            </w:r>
          </w:p>
        </w:tc>
        <w:tc>
          <w:tcPr>
            <w:tcW w:w="504" w:type="dxa"/>
            <w:tcBorders>
              <w:top w:val="single" w:sz="2" w:space="0" w:color="auto"/>
              <w:left w:val="single" w:sz="12" w:space="0" w:color="auto"/>
              <w:bottom w:val="single" w:sz="1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4</w:t>
            </w:r>
          </w:p>
        </w:tc>
        <w:tc>
          <w:tcPr>
            <w:tcW w:w="504" w:type="dxa"/>
            <w:tcBorders>
              <w:top w:val="single" w:sz="2" w:space="0" w:color="auto"/>
              <w:left w:val="single" w:sz="12" w:space="0" w:color="auto"/>
              <w:bottom w:val="single" w:sz="1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3</w:t>
            </w:r>
          </w:p>
        </w:tc>
        <w:tc>
          <w:tcPr>
            <w:tcW w:w="504" w:type="dxa"/>
            <w:tcBorders>
              <w:top w:val="single" w:sz="2" w:space="0" w:color="auto"/>
              <w:left w:val="single" w:sz="12" w:space="0" w:color="auto"/>
              <w:bottom w:val="single" w:sz="1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4</w:t>
            </w:r>
          </w:p>
        </w:tc>
        <w:tc>
          <w:tcPr>
            <w:tcW w:w="504" w:type="dxa"/>
            <w:tcBorders>
              <w:top w:val="single" w:sz="2" w:space="0" w:color="auto"/>
              <w:left w:val="single" w:sz="12" w:space="0" w:color="auto"/>
              <w:bottom w:val="single" w:sz="12" w:space="0" w:color="auto"/>
              <w:right w:val="single" w:sz="12" w:space="0" w:color="auto"/>
            </w:tcBorders>
            <w:shd w:val="clear" w:color="auto" w:fill="E5B8B7" w:themeFill="accent2" w:themeFillTint="66"/>
          </w:tcPr>
          <w:p w:rsidR="006A6732" w:rsidRPr="007F2C7C" w:rsidRDefault="006A6732" w:rsidP="006A6732">
            <w:pPr>
              <w:spacing w:after="0" w:line="240" w:lineRule="auto"/>
              <w:ind w:firstLine="0"/>
              <w:jc w:val="center"/>
              <w:rPr>
                <w:sz w:val="18"/>
                <w:szCs w:val="18"/>
              </w:rPr>
            </w:pPr>
            <w:r w:rsidRPr="007F2C7C">
              <w:rPr>
                <w:sz w:val="18"/>
                <w:szCs w:val="18"/>
              </w:rPr>
              <w:t>5</w:t>
            </w:r>
          </w:p>
        </w:tc>
        <w:tc>
          <w:tcPr>
            <w:tcW w:w="602" w:type="dxa"/>
            <w:tcBorders>
              <w:top w:val="single" w:sz="2" w:space="0" w:color="auto"/>
              <w:left w:val="single" w:sz="12" w:space="0" w:color="auto"/>
              <w:bottom w:val="single" w:sz="2" w:space="0" w:color="auto"/>
            </w:tcBorders>
            <w:shd w:val="clear" w:color="auto" w:fill="D9D9D9" w:themeFill="background1" w:themeFillShade="D9"/>
          </w:tcPr>
          <w:p w:rsidR="006A6732" w:rsidRPr="007F2C7C" w:rsidRDefault="006A6732" w:rsidP="006A6732">
            <w:pPr>
              <w:spacing w:after="0" w:line="240" w:lineRule="auto"/>
              <w:ind w:firstLine="0"/>
              <w:jc w:val="center"/>
              <w:rPr>
                <w:b/>
                <w:sz w:val="18"/>
                <w:szCs w:val="18"/>
              </w:rPr>
            </w:pPr>
            <w:r w:rsidRPr="007F2C7C">
              <w:rPr>
                <w:b/>
                <w:sz w:val="18"/>
                <w:szCs w:val="18"/>
              </w:rPr>
              <w:t>5</w:t>
            </w:r>
          </w:p>
        </w:tc>
        <w:tc>
          <w:tcPr>
            <w:tcW w:w="1262" w:type="dxa"/>
            <w:tcBorders>
              <w:top w:val="single" w:sz="2" w:space="0" w:color="auto"/>
              <w:left w:val="single" w:sz="2" w:space="0" w:color="auto"/>
              <w:bottom w:val="single" w:sz="12" w:space="0" w:color="auto"/>
            </w:tcBorders>
            <w:shd w:val="clear" w:color="auto" w:fill="E5B8B7" w:themeFill="accent2" w:themeFillTint="66"/>
          </w:tcPr>
          <w:p w:rsidR="006A6732" w:rsidRPr="00B53367" w:rsidRDefault="006A6732" w:rsidP="006A6732">
            <w:pPr>
              <w:spacing w:after="0" w:line="240" w:lineRule="auto"/>
              <w:ind w:firstLine="0"/>
              <w:jc w:val="center"/>
              <w:rPr>
                <w:b/>
                <w:color w:val="C00000"/>
                <w:sz w:val="18"/>
                <w:szCs w:val="18"/>
              </w:rPr>
            </w:pPr>
            <w:r w:rsidRPr="00B53367">
              <w:rPr>
                <w:b/>
                <w:color w:val="C00000"/>
                <w:sz w:val="18"/>
                <w:szCs w:val="18"/>
              </w:rPr>
              <w:t>10,0</w:t>
            </w:r>
          </w:p>
        </w:tc>
      </w:tr>
      <w:tr w:rsidR="006A6732" w:rsidRPr="007F2C7C" w:rsidTr="00852FBB">
        <w:tc>
          <w:tcPr>
            <w:tcW w:w="3024" w:type="dxa"/>
            <w:tcBorders>
              <w:top w:val="single" w:sz="12" w:space="0" w:color="auto"/>
              <w:bottom w:val="single" w:sz="12" w:space="0" w:color="auto"/>
              <w:right w:val="single" w:sz="12" w:space="0" w:color="auto"/>
            </w:tcBorders>
            <w:shd w:val="clear" w:color="auto" w:fill="D9D9D9" w:themeFill="background1" w:themeFillShade="D9"/>
          </w:tcPr>
          <w:p w:rsidR="006A6732" w:rsidRPr="007F2C7C" w:rsidRDefault="006A6732" w:rsidP="006A6732">
            <w:pPr>
              <w:spacing w:after="0" w:line="240" w:lineRule="auto"/>
              <w:ind w:firstLine="0"/>
              <w:jc w:val="right"/>
              <w:rPr>
                <w:b/>
                <w:i/>
                <w:sz w:val="17"/>
                <w:szCs w:val="17"/>
              </w:rPr>
            </w:pPr>
            <w:r w:rsidRPr="007F2C7C">
              <w:rPr>
                <w:b/>
                <w:i/>
                <w:sz w:val="17"/>
                <w:szCs w:val="17"/>
              </w:rPr>
              <w:t>SUMA:</w:t>
            </w:r>
          </w:p>
        </w:tc>
        <w:tc>
          <w:tcPr>
            <w:tcW w:w="504" w:type="dxa"/>
            <w:tcBorders>
              <w:top w:val="single" w:sz="12" w:space="0" w:color="auto"/>
              <w:left w:val="single" w:sz="12" w:space="0" w:color="auto"/>
              <w:bottom w:val="single" w:sz="12" w:space="0" w:color="auto"/>
            </w:tcBorders>
            <w:shd w:val="clear" w:color="auto" w:fill="D9D9D9" w:themeFill="background1" w:themeFillShade="D9"/>
          </w:tcPr>
          <w:p w:rsidR="006A6732" w:rsidRPr="007F2C7C" w:rsidRDefault="006A6732" w:rsidP="006A6732">
            <w:pPr>
              <w:spacing w:after="0" w:line="240" w:lineRule="auto"/>
              <w:ind w:firstLine="0"/>
              <w:jc w:val="center"/>
              <w:rPr>
                <w:b/>
                <w:i/>
                <w:sz w:val="17"/>
                <w:szCs w:val="17"/>
              </w:rPr>
            </w:pPr>
            <w:r w:rsidRPr="007F2C7C">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7F2C7C" w:rsidRDefault="006A6732" w:rsidP="006A6732">
            <w:pPr>
              <w:spacing w:after="0" w:line="240" w:lineRule="auto"/>
              <w:ind w:firstLine="0"/>
              <w:jc w:val="center"/>
              <w:rPr>
                <w:b/>
                <w:i/>
                <w:sz w:val="17"/>
                <w:szCs w:val="17"/>
              </w:rPr>
            </w:pPr>
            <w:r w:rsidRPr="007F2C7C">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7F2C7C" w:rsidRDefault="006A6732" w:rsidP="006A6732">
            <w:pPr>
              <w:spacing w:after="0" w:line="240" w:lineRule="auto"/>
              <w:ind w:firstLine="0"/>
              <w:jc w:val="center"/>
              <w:rPr>
                <w:b/>
                <w:i/>
                <w:sz w:val="17"/>
                <w:szCs w:val="17"/>
              </w:rPr>
            </w:pPr>
            <w:r w:rsidRPr="007F2C7C">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7F2C7C" w:rsidRDefault="006A6732" w:rsidP="006A6732">
            <w:pPr>
              <w:spacing w:after="0" w:line="240" w:lineRule="auto"/>
              <w:ind w:firstLine="0"/>
              <w:jc w:val="center"/>
              <w:rPr>
                <w:b/>
                <w:i/>
                <w:sz w:val="17"/>
                <w:szCs w:val="17"/>
              </w:rPr>
            </w:pPr>
            <w:r w:rsidRPr="007F2C7C">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7F2C7C" w:rsidRDefault="006A6732" w:rsidP="006A6732">
            <w:pPr>
              <w:spacing w:after="0" w:line="240" w:lineRule="auto"/>
              <w:ind w:firstLine="0"/>
              <w:jc w:val="center"/>
              <w:rPr>
                <w:b/>
                <w:i/>
                <w:sz w:val="17"/>
                <w:szCs w:val="17"/>
              </w:rPr>
            </w:pPr>
            <w:r w:rsidRPr="007F2C7C">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7F2C7C" w:rsidRDefault="006A6732" w:rsidP="006A6732">
            <w:pPr>
              <w:spacing w:after="0" w:line="240" w:lineRule="auto"/>
              <w:ind w:firstLine="0"/>
              <w:jc w:val="center"/>
              <w:rPr>
                <w:b/>
                <w:i/>
                <w:sz w:val="17"/>
                <w:szCs w:val="17"/>
              </w:rPr>
            </w:pPr>
            <w:r w:rsidRPr="007F2C7C">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7F2C7C" w:rsidRDefault="006A6732" w:rsidP="006A6732">
            <w:pPr>
              <w:spacing w:after="0" w:line="240" w:lineRule="auto"/>
              <w:ind w:firstLine="0"/>
              <w:jc w:val="center"/>
              <w:rPr>
                <w:b/>
                <w:i/>
                <w:sz w:val="17"/>
                <w:szCs w:val="17"/>
              </w:rPr>
            </w:pPr>
            <w:r w:rsidRPr="007F2C7C">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7F2C7C" w:rsidRDefault="006A6732" w:rsidP="006A6732">
            <w:pPr>
              <w:spacing w:after="0" w:line="240" w:lineRule="auto"/>
              <w:ind w:firstLine="0"/>
              <w:jc w:val="center"/>
              <w:rPr>
                <w:b/>
                <w:i/>
                <w:sz w:val="17"/>
                <w:szCs w:val="17"/>
              </w:rPr>
            </w:pPr>
            <w:r w:rsidRPr="007F2C7C">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7F2C7C" w:rsidRDefault="006A6732" w:rsidP="006A6732">
            <w:pPr>
              <w:spacing w:after="0" w:line="240" w:lineRule="auto"/>
              <w:ind w:firstLine="0"/>
              <w:jc w:val="center"/>
              <w:rPr>
                <w:b/>
                <w:i/>
                <w:sz w:val="17"/>
                <w:szCs w:val="17"/>
              </w:rPr>
            </w:pPr>
            <w:r w:rsidRPr="007F2C7C">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7F2C7C" w:rsidRDefault="006A6732" w:rsidP="006A6732">
            <w:pPr>
              <w:spacing w:after="0" w:line="240" w:lineRule="auto"/>
              <w:ind w:firstLine="0"/>
              <w:jc w:val="center"/>
              <w:rPr>
                <w:b/>
                <w:i/>
                <w:sz w:val="17"/>
                <w:szCs w:val="17"/>
              </w:rPr>
            </w:pPr>
            <w:r w:rsidRPr="007F2C7C">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6A6732" w:rsidRPr="007F2C7C" w:rsidRDefault="006A6732" w:rsidP="006A6732">
            <w:pPr>
              <w:spacing w:after="0" w:line="240" w:lineRule="auto"/>
              <w:ind w:firstLine="0"/>
              <w:jc w:val="center"/>
              <w:rPr>
                <w:b/>
                <w:i/>
                <w:sz w:val="17"/>
                <w:szCs w:val="17"/>
              </w:rPr>
            </w:pPr>
            <w:r w:rsidRPr="007F2C7C">
              <w:rPr>
                <w:b/>
                <w:i/>
                <w:sz w:val="17"/>
                <w:szCs w:val="17"/>
              </w:rPr>
              <w:t>-</w:t>
            </w:r>
          </w:p>
        </w:tc>
        <w:tc>
          <w:tcPr>
            <w:tcW w:w="602" w:type="dxa"/>
            <w:tcBorders>
              <w:top w:val="single" w:sz="12" w:space="0" w:color="auto"/>
              <w:left w:val="single" w:sz="12" w:space="0" w:color="auto"/>
              <w:bottom w:val="single" w:sz="12" w:space="0" w:color="auto"/>
            </w:tcBorders>
            <w:shd w:val="clear" w:color="auto" w:fill="D9D9D9" w:themeFill="background1" w:themeFillShade="D9"/>
          </w:tcPr>
          <w:p w:rsidR="006A6732" w:rsidRPr="007F2C7C" w:rsidRDefault="006A6732" w:rsidP="006A6732">
            <w:pPr>
              <w:spacing w:after="0" w:line="240" w:lineRule="auto"/>
              <w:ind w:firstLine="0"/>
              <w:jc w:val="center"/>
              <w:rPr>
                <w:b/>
                <w:sz w:val="17"/>
                <w:szCs w:val="17"/>
              </w:rPr>
            </w:pPr>
            <w:r w:rsidRPr="007F2C7C">
              <w:rPr>
                <w:b/>
                <w:sz w:val="17"/>
                <w:szCs w:val="17"/>
              </w:rPr>
              <w:t>20</w:t>
            </w:r>
          </w:p>
        </w:tc>
        <w:tc>
          <w:tcPr>
            <w:tcW w:w="1262" w:type="dxa"/>
            <w:tcBorders>
              <w:top w:val="single" w:sz="12" w:space="0" w:color="auto"/>
              <w:left w:val="single" w:sz="2" w:space="0" w:color="auto"/>
              <w:bottom w:val="single" w:sz="12" w:space="0" w:color="auto"/>
            </w:tcBorders>
            <w:shd w:val="clear" w:color="auto" w:fill="D9D9D9" w:themeFill="background1" w:themeFillShade="D9"/>
          </w:tcPr>
          <w:p w:rsidR="006A6732" w:rsidRPr="00B53367" w:rsidRDefault="004427E7" w:rsidP="006A6732">
            <w:pPr>
              <w:spacing w:after="0" w:line="240" w:lineRule="auto"/>
              <w:ind w:firstLine="0"/>
              <w:jc w:val="center"/>
              <w:rPr>
                <w:b/>
                <w:color w:val="C00000"/>
                <w:sz w:val="17"/>
                <w:szCs w:val="17"/>
              </w:rPr>
            </w:pPr>
            <w:r w:rsidRPr="00B53367">
              <w:rPr>
                <w:b/>
                <w:color w:val="C00000"/>
                <w:sz w:val="17"/>
                <w:szCs w:val="17"/>
              </w:rPr>
              <w:t>34,0</w:t>
            </w:r>
          </w:p>
        </w:tc>
      </w:tr>
      <w:tr w:rsidR="00852FBB" w:rsidRPr="00852FBB" w:rsidTr="00852FBB">
        <w:tc>
          <w:tcPr>
            <w:tcW w:w="10432" w:type="dxa"/>
            <w:gridSpan w:val="14"/>
            <w:tcBorders>
              <w:top w:val="single" w:sz="12" w:space="0" w:color="auto"/>
              <w:bottom w:val="single" w:sz="12" w:space="0" w:color="auto"/>
            </w:tcBorders>
            <w:shd w:val="clear" w:color="auto" w:fill="auto"/>
          </w:tcPr>
          <w:p w:rsidR="00852FBB" w:rsidRPr="00852FBB" w:rsidRDefault="00852FBB" w:rsidP="006A6732">
            <w:pPr>
              <w:spacing w:after="0" w:line="240" w:lineRule="auto"/>
              <w:ind w:firstLine="0"/>
              <w:jc w:val="center"/>
              <w:rPr>
                <w:b/>
                <w:i/>
                <w:color w:val="943634" w:themeColor="accent2" w:themeShade="BF"/>
                <w:sz w:val="6"/>
                <w:szCs w:val="6"/>
              </w:rPr>
            </w:pPr>
          </w:p>
        </w:tc>
      </w:tr>
      <w:tr w:rsidR="00852FBB" w:rsidRPr="007F2C7C" w:rsidTr="004A2A85">
        <w:trPr>
          <w:trHeight w:val="218"/>
        </w:trPr>
        <w:tc>
          <w:tcPr>
            <w:tcW w:w="3024" w:type="dxa"/>
            <w:vMerge w:val="restart"/>
            <w:tcBorders>
              <w:top w:val="single" w:sz="12" w:space="0" w:color="auto"/>
              <w:right w:val="single" w:sz="12" w:space="0" w:color="auto"/>
            </w:tcBorders>
            <w:shd w:val="clear" w:color="auto" w:fill="D9D9D9" w:themeFill="background1" w:themeFillShade="D9"/>
            <w:vAlign w:val="center"/>
          </w:tcPr>
          <w:p w:rsidR="00852FBB" w:rsidRPr="007F2C7C" w:rsidRDefault="00852FBB" w:rsidP="004A2A85">
            <w:pPr>
              <w:spacing w:after="0" w:line="240" w:lineRule="auto"/>
              <w:ind w:firstLine="0"/>
              <w:jc w:val="center"/>
              <w:rPr>
                <w:b/>
                <w:i/>
                <w:sz w:val="17"/>
                <w:szCs w:val="17"/>
              </w:rPr>
            </w:pPr>
            <w:r w:rsidRPr="007F2C7C">
              <w:rPr>
                <w:b/>
                <w:i/>
                <w:sz w:val="17"/>
                <w:szCs w:val="17"/>
              </w:rPr>
              <w:t>- D -</w:t>
            </w:r>
          </w:p>
        </w:tc>
        <w:tc>
          <w:tcPr>
            <w:tcW w:w="504" w:type="dxa"/>
            <w:vMerge w:val="restart"/>
            <w:tcBorders>
              <w:top w:val="single" w:sz="12" w:space="0" w:color="auto"/>
              <w:left w:val="single" w:sz="12" w:space="0" w:color="auto"/>
            </w:tcBorders>
            <w:shd w:val="clear" w:color="auto" w:fill="D9D9D9" w:themeFill="background1" w:themeFillShade="D9"/>
            <w:vAlign w:val="center"/>
          </w:tcPr>
          <w:p w:rsidR="00852FBB" w:rsidRPr="00B53367" w:rsidRDefault="00852FBB" w:rsidP="004A2A85">
            <w:pPr>
              <w:spacing w:after="0" w:line="240" w:lineRule="auto"/>
              <w:ind w:firstLine="0"/>
              <w:jc w:val="center"/>
              <w:rPr>
                <w:b/>
                <w:i/>
                <w:color w:val="E36C0A" w:themeColor="accent6" w:themeShade="BF"/>
                <w:sz w:val="17"/>
                <w:szCs w:val="17"/>
              </w:rPr>
            </w:pPr>
            <w:r w:rsidRPr="00B53367">
              <w:rPr>
                <w:b/>
                <w:i/>
                <w:color w:val="E36C0A" w:themeColor="accent6" w:themeShade="BF"/>
                <w:sz w:val="17"/>
                <w:szCs w:val="17"/>
              </w:rPr>
              <w:t>K</w:t>
            </w:r>
          </w:p>
        </w:tc>
        <w:tc>
          <w:tcPr>
            <w:tcW w:w="5040" w:type="dxa"/>
            <w:gridSpan w:val="10"/>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852FBB" w:rsidRPr="007F2C7C" w:rsidRDefault="00852FBB" w:rsidP="004A2A85">
            <w:pPr>
              <w:spacing w:after="0" w:line="240" w:lineRule="auto"/>
              <w:ind w:firstLine="0"/>
              <w:jc w:val="center"/>
              <w:rPr>
                <w:b/>
                <w:i/>
                <w:sz w:val="17"/>
                <w:szCs w:val="17"/>
              </w:rPr>
            </w:pPr>
            <w:r w:rsidRPr="007F2C7C">
              <w:rPr>
                <w:b/>
                <w:i/>
                <w:sz w:val="17"/>
                <w:szCs w:val="17"/>
              </w:rPr>
              <w:t>Ekspertų vertinimai</w:t>
            </w:r>
          </w:p>
        </w:tc>
        <w:tc>
          <w:tcPr>
            <w:tcW w:w="602" w:type="dxa"/>
            <w:vMerge w:val="restart"/>
            <w:tcBorders>
              <w:top w:val="single" w:sz="12" w:space="0" w:color="auto"/>
              <w:left w:val="single" w:sz="12" w:space="0" w:color="auto"/>
            </w:tcBorders>
            <w:shd w:val="clear" w:color="auto" w:fill="D9D9D9" w:themeFill="background1" w:themeFillShade="D9"/>
            <w:vAlign w:val="center"/>
          </w:tcPr>
          <w:p w:rsidR="00852FBB" w:rsidRPr="007F2C7C" w:rsidRDefault="00852FBB" w:rsidP="004A2A85">
            <w:pPr>
              <w:spacing w:after="0" w:line="240" w:lineRule="auto"/>
              <w:ind w:firstLine="0"/>
              <w:jc w:val="center"/>
              <w:rPr>
                <w:b/>
                <w:i/>
                <w:sz w:val="17"/>
                <w:szCs w:val="17"/>
              </w:rPr>
            </w:pPr>
            <w:proofErr w:type="spellStart"/>
            <w:r w:rsidRPr="007F2C7C">
              <w:rPr>
                <w:b/>
                <w:i/>
                <w:sz w:val="17"/>
                <w:szCs w:val="17"/>
              </w:rPr>
              <w:t>Mo</w:t>
            </w:r>
            <w:proofErr w:type="spellEnd"/>
          </w:p>
        </w:tc>
        <w:tc>
          <w:tcPr>
            <w:tcW w:w="1262" w:type="dxa"/>
            <w:vMerge w:val="restart"/>
            <w:tcBorders>
              <w:top w:val="single" w:sz="12" w:space="0" w:color="auto"/>
              <w:left w:val="single" w:sz="2" w:space="0" w:color="auto"/>
            </w:tcBorders>
            <w:shd w:val="clear" w:color="auto" w:fill="D9D9D9" w:themeFill="background1" w:themeFillShade="D9"/>
            <w:vAlign w:val="center"/>
          </w:tcPr>
          <w:p w:rsidR="00852FBB" w:rsidRPr="00B53367" w:rsidRDefault="00852FBB" w:rsidP="004A2A85">
            <w:pPr>
              <w:spacing w:after="0" w:line="240" w:lineRule="auto"/>
              <w:ind w:firstLine="0"/>
              <w:jc w:val="center"/>
              <w:rPr>
                <w:b/>
                <w:i/>
                <w:color w:val="E36C0A" w:themeColor="accent6" w:themeShade="BF"/>
                <w:sz w:val="17"/>
                <w:szCs w:val="17"/>
              </w:rPr>
            </w:pPr>
            <w:r w:rsidRPr="00B53367">
              <w:rPr>
                <w:b/>
                <w:i/>
                <w:color w:val="E36C0A" w:themeColor="accent6" w:themeShade="BF"/>
                <w:sz w:val="17"/>
                <w:szCs w:val="17"/>
              </w:rPr>
              <w:t>Pageidautina reikšmė</w:t>
            </w:r>
          </w:p>
        </w:tc>
      </w:tr>
      <w:tr w:rsidR="00852FBB" w:rsidRPr="007F2C7C" w:rsidTr="004A2A85">
        <w:trPr>
          <w:trHeight w:val="217"/>
        </w:trPr>
        <w:tc>
          <w:tcPr>
            <w:tcW w:w="3024" w:type="dxa"/>
            <w:vMerge/>
            <w:tcBorders>
              <w:bottom w:val="single" w:sz="12" w:space="0" w:color="auto"/>
              <w:right w:val="single" w:sz="12" w:space="0" w:color="auto"/>
            </w:tcBorders>
            <w:shd w:val="clear" w:color="auto" w:fill="D9D9D9" w:themeFill="background1" w:themeFillShade="D9"/>
            <w:vAlign w:val="center"/>
          </w:tcPr>
          <w:p w:rsidR="00852FBB" w:rsidRPr="007F2C7C" w:rsidRDefault="00852FBB" w:rsidP="004A2A85">
            <w:pPr>
              <w:spacing w:after="0" w:line="240" w:lineRule="auto"/>
              <w:ind w:firstLine="0"/>
              <w:jc w:val="center"/>
              <w:rPr>
                <w:b/>
                <w:i/>
                <w:sz w:val="18"/>
                <w:szCs w:val="18"/>
              </w:rPr>
            </w:pPr>
          </w:p>
        </w:tc>
        <w:tc>
          <w:tcPr>
            <w:tcW w:w="504" w:type="dxa"/>
            <w:vMerge/>
            <w:tcBorders>
              <w:left w:val="single" w:sz="12" w:space="0" w:color="auto"/>
              <w:bottom w:val="single" w:sz="12" w:space="0" w:color="auto"/>
            </w:tcBorders>
            <w:shd w:val="clear" w:color="auto" w:fill="D9D9D9" w:themeFill="background1" w:themeFillShade="D9"/>
            <w:vAlign w:val="center"/>
          </w:tcPr>
          <w:p w:rsidR="00852FBB" w:rsidRPr="00B53367" w:rsidRDefault="00852FBB" w:rsidP="004A2A85">
            <w:pPr>
              <w:spacing w:after="0" w:line="240" w:lineRule="auto"/>
              <w:ind w:firstLine="0"/>
              <w:jc w:val="center"/>
              <w:rPr>
                <w:b/>
                <w:i/>
                <w:color w:val="E36C0A" w:themeColor="accent6" w:themeShade="BF"/>
                <w:sz w:val="18"/>
                <w:szCs w:val="18"/>
              </w:rPr>
            </w:pP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852FBB" w:rsidRPr="007F2C7C" w:rsidRDefault="00852FBB" w:rsidP="004A2A85">
            <w:pPr>
              <w:spacing w:after="0" w:line="240" w:lineRule="auto"/>
              <w:ind w:firstLine="0"/>
              <w:jc w:val="center"/>
              <w:rPr>
                <w:b/>
                <w:i/>
                <w:sz w:val="18"/>
                <w:szCs w:val="18"/>
                <w:vertAlign w:val="subscript"/>
              </w:rPr>
            </w:pPr>
            <w:r w:rsidRPr="007F2C7C">
              <w:rPr>
                <w:b/>
                <w:i/>
                <w:sz w:val="18"/>
                <w:szCs w:val="18"/>
              </w:rPr>
              <w:t>m</w:t>
            </w:r>
            <w:r w:rsidRPr="007F2C7C">
              <w:rPr>
                <w:b/>
                <w:i/>
                <w:sz w:val="18"/>
                <w:szCs w:val="18"/>
                <w:vertAlign w:val="subscript"/>
              </w:rPr>
              <w:t>1</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852FBB" w:rsidRPr="007F2C7C" w:rsidRDefault="00852FBB" w:rsidP="004A2A85">
            <w:pPr>
              <w:spacing w:after="0" w:line="240" w:lineRule="auto"/>
              <w:ind w:firstLine="0"/>
              <w:jc w:val="center"/>
              <w:rPr>
                <w:b/>
                <w:i/>
                <w:sz w:val="18"/>
                <w:szCs w:val="18"/>
                <w:vertAlign w:val="subscript"/>
              </w:rPr>
            </w:pPr>
            <w:r w:rsidRPr="007F2C7C">
              <w:rPr>
                <w:b/>
                <w:i/>
                <w:sz w:val="18"/>
                <w:szCs w:val="18"/>
              </w:rPr>
              <w:t>m</w:t>
            </w:r>
            <w:r w:rsidRPr="007F2C7C">
              <w:rPr>
                <w:b/>
                <w:i/>
                <w:sz w:val="18"/>
                <w:szCs w:val="18"/>
                <w:vertAlign w:val="subscript"/>
              </w:rPr>
              <w:t>2</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852FBB" w:rsidRPr="007F2C7C" w:rsidRDefault="00852FBB" w:rsidP="004A2A85">
            <w:pPr>
              <w:spacing w:after="0" w:line="240" w:lineRule="auto"/>
              <w:ind w:firstLine="0"/>
              <w:jc w:val="center"/>
              <w:rPr>
                <w:b/>
                <w:i/>
                <w:sz w:val="18"/>
                <w:szCs w:val="18"/>
                <w:vertAlign w:val="subscript"/>
              </w:rPr>
            </w:pPr>
            <w:r w:rsidRPr="007F2C7C">
              <w:rPr>
                <w:b/>
                <w:i/>
                <w:sz w:val="18"/>
                <w:szCs w:val="18"/>
              </w:rPr>
              <w:t>m</w:t>
            </w:r>
            <w:r w:rsidRPr="007F2C7C">
              <w:rPr>
                <w:b/>
                <w:i/>
                <w:sz w:val="18"/>
                <w:szCs w:val="18"/>
                <w:vertAlign w:val="subscript"/>
              </w:rPr>
              <w:t>3</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852FBB" w:rsidRPr="007F2C7C" w:rsidRDefault="00852FBB" w:rsidP="004A2A85">
            <w:pPr>
              <w:spacing w:after="0" w:line="240" w:lineRule="auto"/>
              <w:ind w:firstLine="0"/>
              <w:jc w:val="center"/>
              <w:rPr>
                <w:b/>
                <w:i/>
                <w:sz w:val="18"/>
                <w:szCs w:val="18"/>
                <w:vertAlign w:val="subscript"/>
              </w:rPr>
            </w:pPr>
            <w:r w:rsidRPr="007F2C7C">
              <w:rPr>
                <w:b/>
                <w:i/>
                <w:sz w:val="18"/>
                <w:szCs w:val="18"/>
              </w:rPr>
              <w:t>m</w:t>
            </w:r>
            <w:r w:rsidRPr="007F2C7C">
              <w:rPr>
                <w:b/>
                <w:i/>
                <w:sz w:val="18"/>
                <w:szCs w:val="18"/>
                <w:vertAlign w:val="subscript"/>
              </w:rPr>
              <w:t>4</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852FBB" w:rsidRPr="007F2C7C" w:rsidRDefault="00852FBB" w:rsidP="004A2A85">
            <w:pPr>
              <w:spacing w:after="0" w:line="240" w:lineRule="auto"/>
              <w:ind w:firstLine="0"/>
              <w:jc w:val="center"/>
              <w:rPr>
                <w:b/>
                <w:i/>
                <w:sz w:val="18"/>
                <w:szCs w:val="18"/>
                <w:vertAlign w:val="subscript"/>
              </w:rPr>
            </w:pPr>
            <w:r w:rsidRPr="007F2C7C">
              <w:rPr>
                <w:b/>
                <w:i/>
                <w:sz w:val="18"/>
                <w:szCs w:val="18"/>
              </w:rPr>
              <w:t>m</w:t>
            </w:r>
            <w:r w:rsidRPr="007F2C7C">
              <w:rPr>
                <w:b/>
                <w:i/>
                <w:sz w:val="18"/>
                <w:szCs w:val="18"/>
                <w:vertAlign w:val="subscript"/>
              </w:rPr>
              <w:t>5</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852FBB" w:rsidRPr="007F2C7C" w:rsidRDefault="00852FBB" w:rsidP="004A2A85">
            <w:pPr>
              <w:spacing w:after="0" w:line="240" w:lineRule="auto"/>
              <w:ind w:firstLine="0"/>
              <w:jc w:val="center"/>
              <w:rPr>
                <w:b/>
                <w:i/>
                <w:sz w:val="18"/>
                <w:szCs w:val="18"/>
                <w:vertAlign w:val="subscript"/>
              </w:rPr>
            </w:pPr>
            <w:r w:rsidRPr="007F2C7C">
              <w:rPr>
                <w:b/>
                <w:i/>
                <w:sz w:val="18"/>
                <w:szCs w:val="18"/>
              </w:rPr>
              <w:t>m</w:t>
            </w:r>
            <w:r w:rsidRPr="007F2C7C">
              <w:rPr>
                <w:b/>
                <w:i/>
                <w:sz w:val="18"/>
                <w:szCs w:val="18"/>
                <w:vertAlign w:val="subscript"/>
              </w:rPr>
              <w:t>6</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852FBB" w:rsidRPr="007F2C7C" w:rsidRDefault="00852FBB" w:rsidP="004A2A85">
            <w:pPr>
              <w:spacing w:after="0" w:line="240" w:lineRule="auto"/>
              <w:ind w:firstLine="0"/>
              <w:jc w:val="center"/>
              <w:rPr>
                <w:b/>
                <w:i/>
                <w:sz w:val="18"/>
                <w:szCs w:val="18"/>
                <w:vertAlign w:val="subscript"/>
              </w:rPr>
            </w:pPr>
            <w:r w:rsidRPr="007F2C7C">
              <w:rPr>
                <w:b/>
                <w:i/>
                <w:sz w:val="18"/>
                <w:szCs w:val="18"/>
              </w:rPr>
              <w:t>m</w:t>
            </w:r>
            <w:r w:rsidRPr="007F2C7C">
              <w:rPr>
                <w:b/>
                <w:i/>
                <w:sz w:val="18"/>
                <w:szCs w:val="18"/>
                <w:vertAlign w:val="subscript"/>
              </w:rPr>
              <w:t>7</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852FBB" w:rsidRPr="007F2C7C" w:rsidRDefault="00852FBB" w:rsidP="004A2A85">
            <w:pPr>
              <w:spacing w:after="0" w:line="240" w:lineRule="auto"/>
              <w:ind w:firstLine="0"/>
              <w:jc w:val="center"/>
              <w:rPr>
                <w:b/>
                <w:i/>
                <w:sz w:val="18"/>
                <w:szCs w:val="18"/>
                <w:vertAlign w:val="subscript"/>
              </w:rPr>
            </w:pPr>
            <w:r w:rsidRPr="007F2C7C">
              <w:rPr>
                <w:b/>
                <w:i/>
                <w:sz w:val="18"/>
                <w:szCs w:val="18"/>
              </w:rPr>
              <w:t>m</w:t>
            </w:r>
            <w:r w:rsidRPr="007F2C7C">
              <w:rPr>
                <w:b/>
                <w:i/>
                <w:sz w:val="18"/>
                <w:szCs w:val="18"/>
                <w:vertAlign w:val="subscript"/>
              </w:rPr>
              <w:t>8</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852FBB" w:rsidRPr="007F2C7C" w:rsidRDefault="00852FBB" w:rsidP="004A2A85">
            <w:pPr>
              <w:spacing w:after="0" w:line="240" w:lineRule="auto"/>
              <w:ind w:firstLine="0"/>
              <w:jc w:val="center"/>
              <w:rPr>
                <w:b/>
                <w:i/>
                <w:sz w:val="18"/>
                <w:szCs w:val="18"/>
                <w:vertAlign w:val="subscript"/>
              </w:rPr>
            </w:pPr>
            <w:r w:rsidRPr="007F2C7C">
              <w:rPr>
                <w:b/>
                <w:i/>
                <w:sz w:val="18"/>
                <w:szCs w:val="18"/>
              </w:rPr>
              <w:t>m</w:t>
            </w:r>
            <w:r w:rsidRPr="007F2C7C">
              <w:rPr>
                <w:b/>
                <w:i/>
                <w:sz w:val="18"/>
                <w:szCs w:val="18"/>
                <w:vertAlign w:val="subscript"/>
              </w:rPr>
              <w:t>9</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852FBB" w:rsidRPr="007F2C7C" w:rsidRDefault="00852FBB" w:rsidP="004A2A85">
            <w:pPr>
              <w:spacing w:after="0" w:line="240" w:lineRule="auto"/>
              <w:ind w:firstLine="0"/>
              <w:jc w:val="center"/>
              <w:rPr>
                <w:b/>
                <w:i/>
                <w:sz w:val="18"/>
                <w:szCs w:val="18"/>
                <w:vertAlign w:val="subscript"/>
              </w:rPr>
            </w:pPr>
            <w:r w:rsidRPr="007F2C7C">
              <w:rPr>
                <w:b/>
                <w:i/>
                <w:sz w:val="18"/>
                <w:szCs w:val="18"/>
              </w:rPr>
              <w:t>m</w:t>
            </w:r>
            <w:r w:rsidRPr="007F2C7C">
              <w:rPr>
                <w:b/>
                <w:i/>
                <w:sz w:val="18"/>
                <w:szCs w:val="18"/>
                <w:vertAlign w:val="subscript"/>
              </w:rPr>
              <w:t>10</w:t>
            </w:r>
          </w:p>
        </w:tc>
        <w:tc>
          <w:tcPr>
            <w:tcW w:w="602" w:type="dxa"/>
            <w:vMerge/>
            <w:tcBorders>
              <w:left w:val="single" w:sz="12" w:space="0" w:color="auto"/>
              <w:bottom w:val="single" w:sz="12" w:space="0" w:color="auto"/>
            </w:tcBorders>
            <w:shd w:val="clear" w:color="auto" w:fill="D9D9D9" w:themeFill="background1" w:themeFillShade="D9"/>
            <w:vAlign w:val="center"/>
          </w:tcPr>
          <w:p w:rsidR="00852FBB" w:rsidRPr="007F2C7C" w:rsidRDefault="00852FBB" w:rsidP="004A2A85">
            <w:pPr>
              <w:spacing w:after="0" w:line="240" w:lineRule="auto"/>
              <w:ind w:firstLine="0"/>
              <w:jc w:val="center"/>
              <w:rPr>
                <w:b/>
                <w:i/>
                <w:sz w:val="18"/>
                <w:szCs w:val="18"/>
              </w:rPr>
            </w:pPr>
          </w:p>
        </w:tc>
        <w:tc>
          <w:tcPr>
            <w:tcW w:w="1262" w:type="dxa"/>
            <w:vMerge/>
            <w:tcBorders>
              <w:left w:val="single" w:sz="2" w:space="0" w:color="auto"/>
              <w:bottom w:val="single" w:sz="12" w:space="0" w:color="auto"/>
            </w:tcBorders>
            <w:shd w:val="clear" w:color="auto" w:fill="D9D9D9" w:themeFill="background1" w:themeFillShade="D9"/>
            <w:vAlign w:val="center"/>
          </w:tcPr>
          <w:p w:rsidR="00852FBB" w:rsidRPr="00B53367" w:rsidRDefault="00852FBB" w:rsidP="004A2A85">
            <w:pPr>
              <w:spacing w:after="0" w:line="240" w:lineRule="auto"/>
              <w:ind w:firstLine="0"/>
              <w:jc w:val="center"/>
              <w:rPr>
                <w:b/>
                <w:i/>
                <w:color w:val="E36C0A" w:themeColor="accent6" w:themeShade="BF"/>
                <w:sz w:val="18"/>
                <w:szCs w:val="18"/>
              </w:rPr>
            </w:pPr>
          </w:p>
        </w:tc>
      </w:tr>
      <w:tr w:rsidR="00852FBB" w:rsidRPr="007F2C7C" w:rsidTr="004A2A85">
        <w:tc>
          <w:tcPr>
            <w:tcW w:w="3024" w:type="dxa"/>
            <w:tcBorders>
              <w:top w:val="single" w:sz="1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rPr>
                <w:i/>
                <w:sz w:val="18"/>
                <w:szCs w:val="18"/>
              </w:rPr>
            </w:pPr>
            <w:r w:rsidRPr="007F2C7C">
              <w:rPr>
                <w:i/>
                <w:sz w:val="18"/>
                <w:szCs w:val="18"/>
              </w:rPr>
              <w:t>Socialinės apsaugos sistema (d</w:t>
            </w:r>
            <w:r w:rsidRPr="007F2C7C">
              <w:rPr>
                <w:i/>
                <w:sz w:val="18"/>
                <w:szCs w:val="18"/>
                <w:vertAlign w:val="subscript"/>
              </w:rPr>
              <w:t>1</w:t>
            </w:r>
            <w:r w:rsidRPr="007F2C7C">
              <w:rPr>
                <w:i/>
                <w:sz w:val="18"/>
                <w:szCs w:val="18"/>
              </w:rPr>
              <w:t>)</w:t>
            </w:r>
          </w:p>
        </w:tc>
        <w:tc>
          <w:tcPr>
            <w:tcW w:w="504" w:type="dxa"/>
            <w:tcBorders>
              <w:top w:val="single" w:sz="12" w:space="0" w:color="auto"/>
              <w:left w:val="single" w:sz="12" w:space="0" w:color="auto"/>
              <w:bottom w:val="single" w:sz="2" w:space="0" w:color="auto"/>
            </w:tcBorders>
            <w:shd w:val="clear" w:color="auto" w:fill="D9D9D9" w:themeFill="background1" w:themeFillShade="D9"/>
          </w:tcPr>
          <w:p w:rsidR="00852FBB" w:rsidRPr="00B53367" w:rsidRDefault="00852FBB" w:rsidP="004A2A85">
            <w:pPr>
              <w:spacing w:after="0" w:line="240" w:lineRule="auto"/>
              <w:ind w:firstLine="0"/>
              <w:jc w:val="center"/>
              <w:rPr>
                <w:b/>
                <w:color w:val="E36C0A" w:themeColor="accent6" w:themeShade="BF"/>
                <w:sz w:val="18"/>
                <w:szCs w:val="18"/>
              </w:rPr>
            </w:pPr>
            <w:r w:rsidRPr="00B53367">
              <w:rPr>
                <w:b/>
                <w:color w:val="E36C0A" w:themeColor="accent6" w:themeShade="BF"/>
                <w:sz w:val="18"/>
                <w:szCs w:val="18"/>
              </w:rPr>
              <w:t>2,0</w:t>
            </w:r>
          </w:p>
        </w:tc>
        <w:tc>
          <w:tcPr>
            <w:tcW w:w="504" w:type="dxa"/>
            <w:tcBorders>
              <w:top w:val="single" w:sz="12" w:space="0" w:color="auto"/>
              <w:left w:val="single" w:sz="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4</w:t>
            </w:r>
          </w:p>
        </w:tc>
        <w:tc>
          <w:tcPr>
            <w:tcW w:w="504" w:type="dxa"/>
            <w:tcBorders>
              <w:top w:val="single" w:sz="12" w:space="0" w:color="auto"/>
              <w:left w:val="single" w:sz="1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5</w:t>
            </w:r>
          </w:p>
        </w:tc>
        <w:tc>
          <w:tcPr>
            <w:tcW w:w="504" w:type="dxa"/>
            <w:tcBorders>
              <w:top w:val="single" w:sz="12" w:space="0" w:color="auto"/>
              <w:left w:val="single" w:sz="1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3</w:t>
            </w:r>
          </w:p>
        </w:tc>
        <w:tc>
          <w:tcPr>
            <w:tcW w:w="504" w:type="dxa"/>
            <w:tcBorders>
              <w:top w:val="single" w:sz="12" w:space="0" w:color="auto"/>
              <w:left w:val="single" w:sz="1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5</w:t>
            </w:r>
          </w:p>
        </w:tc>
        <w:tc>
          <w:tcPr>
            <w:tcW w:w="504" w:type="dxa"/>
            <w:tcBorders>
              <w:top w:val="single" w:sz="12" w:space="0" w:color="auto"/>
              <w:left w:val="single" w:sz="1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3</w:t>
            </w:r>
          </w:p>
        </w:tc>
        <w:tc>
          <w:tcPr>
            <w:tcW w:w="504" w:type="dxa"/>
            <w:tcBorders>
              <w:top w:val="single" w:sz="12" w:space="0" w:color="auto"/>
              <w:left w:val="single" w:sz="1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3</w:t>
            </w:r>
          </w:p>
        </w:tc>
        <w:tc>
          <w:tcPr>
            <w:tcW w:w="504" w:type="dxa"/>
            <w:tcBorders>
              <w:top w:val="single" w:sz="12" w:space="0" w:color="auto"/>
              <w:left w:val="single" w:sz="1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4</w:t>
            </w:r>
          </w:p>
        </w:tc>
        <w:tc>
          <w:tcPr>
            <w:tcW w:w="504" w:type="dxa"/>
            <w:tcBorders>
              <w:top w:val="single" w:sz="12" w:space="0" w:color="auto"/>
              <w:left w:val="single" w:sz="1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3</w:t>
            </w:r>
          </w:p>
        </w:tc>
        <w:tc>
          <w:tcPr>
            <w:tcW w:w="504" w:type="dxa"/>
            <w:tcBorders>
              <w:top w:val="single" w:sz="12" w:space="0" w:color="auto"/>
              <w:left w:val="single" w:sz="1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3</w:t>
            </w:r>
          </w:p>
        </w:tc>
        <w:tc>
          <w:tcPr>
            <w:tcW w:w="504" w:type="dxa"/>
            <w:tcBorders>
              <w:top w:val="single" w:sz="12" w:space="0" w:color="auto"/>
              <w:left w:val="single" w:sz="1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5</w:t>
            </w:r>
          </w:p>
        </w:tc>
        <w:tc>
          <w:tcPr>
            <w:tcW w:w="602" w:type="dxa"/>
            <w:tcBorders>
              <w:top w:val="single" w:sz="12" w:space="0" w:color="auto"/>
              <w:left w:val="single" w:sz="12" w:space="0" w:color="auto"/>
              <w:bottom w:val="single" w:sz="2" w:space="0" w:color="auto"/>
            </w:tcBorders>
            <w:shd w:val="clear" w:color="auto" w:fill="D9D9D9" w:themeFill="background1" w:themeFillShade="D9"/>
          </w:tcPr>
          <w:p w:rsidR="00852FBB" w:rsidRPr="007F2C7C" w:rsidRDefault="00852FBB" w:rsidP="004A2A85">
            <w:pPr>
              <w:spacing w:after="0" w:line="240" w:lineRule="auto"/>
              <w:ind w:firstLine="0"/>
              <w:jc w:val="center"/>
              <w:rPr>
                <w:b/>
                <w:sz w:val="18"/>
                <w:szCs w:val="18"/>
              </w:rPr>
            </w:pPr>
            <w:r w:rsidRPr="007F2C7C">
              <w:rPr>
                <w:b/>
                <w:sz w:val="18"/>
                <w:szCs w:val="18"/>
              </w:rPr>
              <w:t>3</w:t>
            </w:r>
          </w:p>
        </w:tc>
        <w:tc>
          <w:tcPr>
            <w:tcW w:w="1262" w:type="dxa"/>
            <w:tcBorders>
              <w:top w:val="single" w:sz="12" w:space="0" w:color="auto"/>
              <w:left w:val="single" w:sz="2" w:space="0" w:color="auto"/>
              <w:bottom w:val="single" w:sz="2" w:space="0" w:color="auto"/>
            </w:tcBorders>
            <w:shd w:val="clear" w:color="auto" w:fill="FBD4B4" w:themeFill="accent6" w:themeFillTint="66"/>
          </w:tcPr>
          <w:p w:rsidR="00852FBB" w:rsidRPr="00B53367" w:rsidRDefault="00852FBB" w:rsidP="004A2A85">
            <w:pPr>
              <w:spacing w:after="0" w:line="240" w:lineRule="auto"/>
              <w:ind w:firstLine="0"/>
              <w:jc w:val="center"/>
              <w:rPr>
                <w:b/>
                <w:color w:val="E36C0A" w:themeColor="accent6" w:themeShade="BF"/>
                <w:sz w:val="18"/>
                <w:szCs w:val="18"/>
              </w:rPr>
            </w:pPr>
            <w:r w:rsidRPr="00B53367">
              <w:rPr>
                <w:b/>
                <w:color w:val="E36C0A" w:themeColor="accent6" w:themeShade="BF"/>
                <w:sz w:val="18"/>
                <w:szCs w:val="18"/>
              </w:rPr>
              <w:t>6,0</w:t>
            </w:r>
          </w:p>
        </w:tc>
      </w:tr>
      <w:tr w:rsidR="00852FBB" w:rsidRPr="007F2C7C" w:rsidTr="004A2A85">
        <w:tc>
          <w:tcPr>
            <w:tcW w:w="3024" w:type="dxa"/>
            <w:tcBorders>
              <w:top w:val="single" w:sz="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rPr>
                <w:i/>
                <w:sz w:val="18"/>
                <w:szCs w:val="18"/>
              </w:rPr>
            </w:pPr>
            <w:r w:rsidRPr="007F2C7C">
              <w:rPr>
                <w:i/>
                <w:sz w:val="18"/>
                <w:szCs w:val="18"/>
              </w:rPr>
              <w:t>Įstatymų spragos (d</w:t>
            </w:r>
            <w:r w:rsidRPr="007F2C7C">
              <w:rPr>
                <w:i/>
                <w:sz w:val="18"/>
                <w:szCs w:val="18"/>
                <w:vertAlign w:val="subscript"/>
              </w:rPr>
              <w:t>2</w:t>
            </w:r>
            <w:r w:rsidRPr="007F2C7C">
              <w:rPr>
                <w:i/>
                <w:sz w:val="18"/>
                <w:szCs w:val="18"/>
              </w:rPr>
              <w:t>)</w:t>
            </w:r>
          </w:p>
        </w:tc>
        <w:tc>
          <w:tcPr>
            <w:tcW w:w="504" w:type="dxa"/>
            <w:tcBorders>
              <w:top w:val="single" w:sz="2" w:space="0" w:color="auto"/>
              <w:left w:val="single" w:sz="12" w:space="0" w:color="auto"/>
              <w:bottom w:val="single" w:sz="2" w:space="0" w:color="auto"/>
            </w:tcBorders>
            <w:shd w:val="clear" w:color="auto" w:fill="D9D9D9" w:themeFill="background1" w:themeFillShade="D9"/>
          </w:tcPr>
          <w:p w:rsidR="00852FBB" w:rsidRPr="00B53367" w:rsidRDefault="00852FBB" w:rsidP="004A2A85">
            <w:pPr>
              <w:spacing w:after="0" w:line="240" w:lineRule="auto"/>
              <w:ind w:firstLine="0"/>
              <w:jc w:val="center"/>
              <w:rPr>
                <w:b/>
                <w:color w:val="E36C0A" w:themeColor="accent6" w:themeShade="BF"/>
                <w:sz w:val="18"/>
                <w:szCs w:val="18"/>
              </w:rPr>
            </w:pPr>
            <w:r w:rsidRPr="00B53367">
              <w:rPr>
                <w:b/>
                <w:color w:val="E36C0A" w:themeColor="accent6" w:themeShade="BF"/>
                <w:sz w:val="18"/>
                <w:szCs w:val="18"/>
              </w:rPr>
              <w:t>2,0</w:t>
            </w:r>
          </w:p>
        </w:tc>
        <w:tc>
          <w:tcPr>
            <w:tcW w:w="504" w:type="dxa"/>
            <w:tcBorders>
              <w:top w:val="single" w:sz="2" w:space="0" w:color="auto"/>
              <w:left w:val="single" w:sz="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5</w:t>
            </w:r>
          </w:p>
        </w:tc>
        <w:tc>
          <w:tcPr>
            <w:tcW w:w="504"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5</w:t>
            </w:r>
          </w:p>
        </w:tc>
        <w:tc>
          <w:tcPr>
            <w:tcW w:w="504"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3</w:t>
            </w:r>
          </w:p>
        </w:tc>
        <w:tc>
          <w:tcPr>
            <w:tcW w:w="504"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4</w:t>
            </w:r>
          </w:p>
        </w:tc>
        <w:tc>
          <w:tcPr>
            <w:tcW w:w="504"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5</w:t>
            </w:r>
          </w:p>
        </w:tc>
        <w:tc>
          <w:tcPr>
            <w:tcW w:w="602" w:type="dxa"/>
            <w:tcBorders>
              <w:top w:val="single" w:sz="2" w:space="0" w:color="auto"/>
              <w:left w:val="single" w:sz="12" w:space="0" w:color="auto"/>
              <w:bottom w:val="single" w:sz="2" w:space="0" w:color="auto"/>
            </w:tcBorders>
            <w:shd w:val="clear" w:color="auto" w:fill="D9D9D9" w:themeFill="background1" w:themeFillShade="D9"/>
          </w:tcPr>
          <w:p w:rsidR="00852FBB" w:rsidRPr="007F2C7C" w:rsidRDefault="00852FBB" w:rsidP="004A2A85">
            <w:pPr>
              <w:spacing w:after="0" w:line="240" w:lineRule="auto"/>
              <w:ind w:firstLine="0"/>
              <w:jc w:val="center"/>
              <w:rPr>
                <w:b/>
                <w:sz w:val="18"/>
                <w:szCs w:val="18"/>
              </w:rPr>
            </w:pPr>
            <w:r w:rsidRPr="007F2C7C">
              <w:rPr>
                <w:b/>
                <w:sz w:val="18"/>
                <w:szCs w:val="18"/>
              </w:rPr>
              <w:t>4</w:t>
            </w:r>
          </w:p>
        </w:tc>
        <w:tc>
          <w:tcPr>
            <w:tcW w:w="1262" w:type="dxa"/>
            <w:tcBorders>
              <w:top w:val="single" w:sz="2" w:space="0" w:color="auto"/>
              <w:left w:val="single" w:sz="2" w:space="0" w:color="auto"/>
              <w:bottom w:val="single" w:sz="2" w:space="0" w:color="auto"/>
            </w:tcBorders>
            <w:shd w:val="clear" w:color="auto" w:fill="FBD4B4" w:themeFill="accent6" w:themeFillTint="66"/>
          </w:tcPr>
          <w:p w:rsidR="00852FBB" w:rsidRPr="00B53367" w:rsidRDefault="00852FBB" w:rsidP="004A2A85">
            <w:pPr>
              <w:spacing w:after="0" w:line="240" w:lineRule="auto"/>
              <w:ind w:firstLine="0"/>
              <w:jc w:val="center"/>
              <w:rPr>
                <w:b/>
                <w:color w:val="E36C0A" w:themeColor="accent6" w:themeShade="BF"/>
                <w:sz w:val="18"/>
                <w:szCs w:val="18"/>
              </w:rPr>
            </w:pPr>
            <w:r w:rsidRPr="00B53367">
              <w:rPr>
                <w:b/>
                <w:color w:val="E36C0A" w:themeColor="accent6" w:themeShade="BF"/>
                <w:sz w:val="18"/>
                <w:szCs w:val="18"/>
              </w:rPr>
              <w:t>8,0</w:t>
            </w:r>
          </w:p>
        </w:tc>
      </w:tr>
      <w:tr w:rsidR="00852FBB" w:rsidRPr="007F2C7C" w:rsidTr="004A2A85">
        <w:tc>
          <w:tcPr>
            <w:tcW w:w="3024" w:type="dxa"/>
            <w:tcBorders>
              <w:top w:val="single" w:sz="2" w:space="0" w:color="auto"/>
              <w:bottom w:val="single" w:sz="1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rPr>
                <w:i/>
                <w:sz w:val="18"/>
                <w:szCs w:val="18"/>
              </w:rPr>
            </w:pPr>
            <w:r w:rsidRPr="007F2C7C">
              <w:rPr>
                <w:i/>
                <w:sz w:val="18"/>
                <w:szCs w:val="18"/>
              </w:rPr>
              <w:t>Solidarumo stoka (d</w:t>
            </w:r>
            <w:r w:rsidRPr="007F2C7C">
              <w:rPr>
                <w:i/>
                <w:sz w:val="18"/>
                <w:szCs w:val="18"/>
                <w:vertAlign w:val="subscript"/>
              </w:rPr>
              <w:t>3</w:t>
            </w:r>
            <w:r w:rsidRPr="007F2C7C">
              <w:rPr>
                <w:i/>
                <w:sz w:val="18"/>
                <w:szCs w:val="18"/>
              </w:rPr>
              <w:t>)</w:t>
            </w:r>
          </w:p>
        </w:tc>
        <w:tc>
          <w:tcPr>
            <w:tcW w:w="504" w:type="dxa"/>
            <w:tcBorders>
              <w:top w:val="single" w:sz="2" w:space="0" w:color="auto"/>
              <w:left w:val="single" w:sz="12" w:space="0" w:color="auto"/>
              <w:bottom w:val="single" w:sz="2" w:space="0" w:color="auto"/>
            </w:tcBorders>
            <w:shd w:val="clear" w:color="auto" w:fill="D9D9D9" w:themeFill="background1" w:themeFillShade="D9"/>
          </w:tcPr>
          <w:p w:rsidR="00852FBB" w:rsidRPr="00B53367" w:rsidRDefault="00852FBB" w:rsidP="004A2A85">
            <w:pPr>
              <w:spacing w:after="0" w:line="240" w:lineRule="auto"/>
              <w:ind w:firstLine="0"/>
              <w:jc w:val="center"/>
              <w:rPr>
                <w:b/>
                <w:color w:val="E36C0A" w:themeColor="accent6" w:themeShade="BF"/>
                <w:sz w:val="18"/>
                <w:szCs w:val="18"/>
              </w:rPr>
            </w:pPr>
            <w:r w:rsidRPr="00B53367">
              <w:rPr>
                <w:b/>
                <w:color w:val="E36C0A" w:themeColor="accent6" w:themeShade="BF"/>
                <w:sz w:val="18"/>
                <w:szCs w:val="18"/>
              </w:rPr>
              <w:t>1,5</w:t>
            </w:r>
          </w:p>
        </w:tc>
        <w:tc>
          <w:tcPr>
            <w:tcW w:w="504" w:type="dxa"/>
            <w:tcBorders>
              <w:top w:val="single" w:sz="2" w:space="0" w:color="auto"/>
              <w:left w:val="single" w:sz="2" w:space="0" w:color="auto"/>
              <w:bottom w:val="single" w:sz="1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4</w:t>
            </w:r>
          </w:p>
        </w:tc>
        <w:tc>
          <w:tcPr>
            <w:tcW w:w="504" w:type="dxa"/>
            <w:tcBorders>
              <w:top w:val="single" w:sz="2" w:space="0" w:color="auto"/>
              <w:left w:val="single" w:sz="12" w:space="0" w:color="auto"/>
              <w:bottom w:val="single" w:sz="1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5</w:t>
            </w:r>
          </w:p>
        </w:tc>
        <w:tc>
          <w:tcPr>
            <w:tcW w:w="504" w:type="dxa"/>
            <w:tcBorders>
              <w:top w:val="single" w:sz="2" w:space="0" w:color="auto"/>
              <w:left w:val="single" w:sz="12" w:space="0" w:color="auto"/>
              <w:bottom w:val="single" w:sz="1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4</w:t>
            </w:r>
          </w:p>
        </w:tc>
        <w:tc>
          <w:tcPr>
            <w:tcW w:w="504" w:type="dxa"/>
            <w:tcBorders>
              <w:top w:val="single" w:sz="2" w:space="0" w:color="auto"/>
              <w:left w:val="single" w:sz="12" w:space="0" w:color="auto"/>
              <w:bottom w:val="single" w:sz="1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5</w:t>
            </w:r>
          </w:p>
        </w:tc>
        <w:tc>
          <w:tcPr>
            <w:tcW w:w="504" w:type="dxa"/>
            <w:tcBorders>
              <w:top w:val="single" w:sz="2" w:space="0" w:color="auto"/>
              <w:left w:val="single" w:sz="12" w:space="0" w:color="auto"/>
              <w:bottom w:val="single" w:sz="1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3</w:t>
            </w:r>
          </w:p>
        </w:tc>
        <w:tc>
          <w:tcPr>
            <w:tcW w:w="504" w:type="dxa"/>
            <w:tcBorders>
              <w:top w:val="single" w:sz="2" w:space="0" w:color="auto"/>
              <w:left w:val="single" w:sz="12" w:space="0" w:color="auto"/>
              <w:bottom w:val="single" w:sz="1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3</w:t>
            </w:r>
          </w:p>
        </w:tc>
        <w:tc>
          <w:tcPr>
            <w:tcW w:w="504" w:type="dxa"/>
            <w:tcBorders>
              <w:top w:val="single" w:sz="2" w:space="0" w:color="auto"/>
              <w:left w:val="single" w:sz="12" w:space="0" w:color="auto"/>
              <w:bottom w:val="single" w:sz="1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4</w:t>
            </w:r>
          </w:p>
        </w:tc>
        <w:tc>
          <w:tcPr>
            <w:tcW w:w="504" w:type="dxa"/>
            <w:tcBorders>
              <w:top w:val="single" w:sz="2" w:space="0" w:color="auto"/>
              <w:left w:val="single" w:sz="12" w:space="0" w:color="auto"/>
              <w:bottom w:val="single" w:sz="1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4</w:t>
            </w:r>
          </w:p>
        </w:tc>
        <w:tc>
          <w:tcPr>
            <w:tcW w:w="504" w:type="dxa"/>
            <w:tcBorders>
              <w:top w:val="single" w:sz="2" w:space="0" w:color="auto"/>
              <w:left w:val="single" w:sz="12" w:space="0" w:color="auto"/>
              <w:bottom w:val="single" w:sz="1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3</w:t>
            </w:r>
          </w:p>
        </w:tc>
        <w:tc>
          <w:tcPr>
            <w:tcW w:w="504" w:type="dxa"/>
            <w:tcBorders>
              <w:top w:val="single" w:sz="2" w:space="0" w:color="auto"/>
              <w:left w:val="single" w:sz="12" w:space="0" w:color="auto"/>
              <w:bottom w:val="single" w:sz="12" w:space="0" w:color="auto"/>
              <w:right w:val="single" w:sz="12" w:space="0" w:color="auto"/>
            </w:tcBorders>
            <w:shd w:val="clear" w:color="auto" w:fill="FBD4B4" w:themeFill="accent6" w:themeFillTint="66"/>
          </w:tcPr>
          <w:p w:rsidR="00852FBB" w:rsidRPr="007F2C7C" w:rsidRDefault="00852FBB" w:rsidP="004A2A85">
            <w:pPr>
              <w:spacing w:after="0" w:line="240" w:lineRule="auto"/>
              <w:ind w:firstLine="0"/>
              <w:jc w:val="center"/>
              <w:rPr>
                <w:sz w:val="18"/>
                <w:szCs w:val="18"/>
              </w:rPr>
            </w:pPr>
            <w:r w:rsidRPr="007F2C7C">
              <w:rPr>
                <w:sz w:val="18"/>
                <w:szCs w:val="18"/>
              </w:rPr>
              <w:t>5</w:t>
            </w:r>
          </w:p>
        </w:tc>
        <w:tc>
          <w:tcPr>
            <w:tcW w:w="602" w:type="dxa"/>
            <w:tcBorders>
              <w:top w:val="single" w:sz="2" w:space="0" w:color="auto"/>
              <w:left w:val="single" w:sz="12" w:space="0" w:color="auto"/>
              <w:bottom w:val="single" w:sz="2" w:space="0" w:color="auto"/>
            </w:tcBorders>
            <w:shd w:val="clear" w:color="auto" w:fill="D9D9D9" w:themeFill="background1" w:themeFillShade="D9"/>
          </w:tcPr>
          <w:p w:rsidR="00852FBB" w:rsidRPr="007F2C7C" w:rsidRDefault="00852FBB" w:rsidP="004A2A85">
            <w:pPr>
              <w:spacing w:after="0" w:line="240" w:lineRule="auto"/>
              <w:ind w:firstLine="0"/>
              <w:jc w:val="center"/>
              <w:rPr>
                <w:b/>
                <w:sz w:val="18"/>
                <w:szCs w:val="18"/>
              </w:rPr>
            </w:pPr>
            <w:r w:rsidRPr="007F2C7C">
              <w:rPr>
                <w:b/>
                <w:sz w:val="18"/>
                <w:szCs w:val="18"/>
              </w:rPr>
              <w:t>4</w:t>
            </w:r>
          </w:p>
        </w:tc>
        <w:tc>
          <w:tcPr>
            <w:tcW w:w="1262" w:type="dxa"/>
            <w:tcBorders>
              <w:top w:val="single" w:sz="2" w:space="0" w:color="auto"/>
              <w:left w:val="single" w:sz="2" w:space="0" w:color="auto"/>
              <w:bottom w:val="single" w:sz="12" w:space="0" w:color="auto"/>
            </w:tcBorders>
            <w:shd w:val="clear" w:color="auto" w:fill="FBD4B4" w:themeFill="accent6" w:themeFillTint="66"/>
          </w:tcPr>
          <w:p w:rsidR="00852FBB" w:rsidRPr="00B53367" w:rsidRDefault="00852FBB" w:rsidP="004A2A85">
            <w:pPr>
              <w:spacing w:after="0" w:line="240" w:lineRule="auto"/>
              <w:ind w:firstLine="0"/>
              <w:jc w:val="center"/>
              <w:rPr>
                <w:b/>
                <w:color w:val="E36C0A" w:themeColor="accent6" w:themeShade="BF"/>
                <w:sz w:val="18"/>
                <w:szCs w:val="18"/>
              </w:rPr>
            </w:pPr>
            <w:r w:rsidRPr="00B53367">
              <w:rPr>
                <w:b/>
                <w:color w:val="E36C0A" w:themeColor="accent6" w:themeShade="BF"/>
                <w:sz w:val="18"/>
                <w:szCs w:val="18"/>
              </w:rPr>
              <w:t>6,0</w:t>
            </w:r>
          </w:p>
        </w:tc>
      </w:tr>
      <w:tr w:rsidR="00852FBB" w:rsidRPr="007F2C7C" w:rsidTr="004C26E1">
        <w:tc>
          <w:tcPr>
            <w:tcW w:w="3024" w:type="dxa"/>
            <w:tcBorders>
              <w:top w:val="single" w:sz="12" w:space="0" w:color="auto"/>
              <w:bottom w:val="single" w:sz="12" w:space="0" w:color="auto"/>
              <w:right w:val="single" w:sz="12" w:space="0" w:color="auto"/>
            </w:tcBorders>
            <w:shd w:val="clear" w:color="auto" w:fill="D9D9D9" w:themeFill="background1" w:themeFillShade="D9"/>
          </w:tcPr>
          <w:p w:rsidR="00852FBB" w:rsidRPr="007F2C7C" w:rsidRDefault="00852FBB" w:rsidP="004A2A85">
            <w:pPr>
              <w:spacing w:after="0" w:line="240" w:lineRule="auto"/>
              <w:ind w:firstLine="0"/>
              <w:jc w:val="right"/>
              <w:rPr>
                <w:b/>
                <w:i/>
                <w:sz w:val="17"/>
                <w:szCs w:val="17"/>
              </w:rPr>
            </w:pPr>
            <w:r w:rsidRPr="007F2C7C">
              <w:rPr>
                <w:b/>
                <w:i/>
                <w:sz w:val="17"/>
                <w:szCs w:val="17"/>
              </w:rPr>
              <w:t>SUMA:</w:t>
            </w:r>
          </w:p>
        </w:tc>
        <w:tc>
          <w:tcPr>
            <w:tcW w:w="504" w:type="dxa"/>
            <w:tcBorders>
              <w:top w:val="single" w:sz="12" w:space="0" w:color="auto"/>
              <w:left w:val="single" w:sz="12" w:space="0" w:color="auto"/>
              <w:bottom w:val="single" w:sz="12" w:space="0" w:color="auto"/>
            </w:tcBorders>
            <w:shd w:val="clear" w:color="auto" w:fill="D9D9D9" w:themeFill="background1" w:themeFillShade="D9"/>
          </w:tcPr>
          <w:p w:rsidR="00852FBB" w:rsidRPr="007F2C7C" w:rsidRDefault="00852FBB" w:rsidP="004A2A85">
            <w:pPr>
              <w:spacing w:after="0" w:line="240" w:lineRule="auto"/>
              <w:ind w:firstLine="0"/>
              <w:jc w:val="center"/>
              <w:rPr>
                <w:b/>
                <w:i/>
                <w:sz w:val="17"/>
                <w:szCs w:val="17"/>
              </w:rPr>
            </w:pPr>
            <w:r w:rsidRPr="007F2C7C">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852FBB" w:rsidRPr="007F2C7C" w:rsidRDefault="00852FBB" w:rsidP="004A2A85">
            <w:pPr>
              <w:spacing w:after="0" w:line="240" w:lineRule="auto"/>
              <w:ind w:firstLine="0"/>
              <w:jc w:val="center"/>
              <w:rPr>
                <w:b/>
                <w:i/>
                <w:sz w:val="17"/>
                <w:szCs w:val="17"/>
              </w:rPr>
            </w:pPr>
            <w:r w:rsidRPr="007F2C7C">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852FBB" w:rsidRPr="007F2C7C" w:rsidRDefault="00852FBB" w:rsidP="004A2A85">
            <w:pPr>
              <w:spacing w:after="0" w:line="240" w:lineRule="auto"/>
              <w:ind w:firstLine="0"/>
              <w:jc w:val="center"/>
              <w:rPr>
                <w:b/>
                <w:i/>
                <w:sz w:val="17"/>
                <w:szCs w:val="17"/>
              </w:rPr>
            </w:pPr>
            <w:r w:rsidRPr="007F2C7C">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852FBB" w:rsidRPr="007F2C7C" w:rsidRDefault="00852FBB" w:rsidP="004A2A85">
            <w:pPr>
              <w:spacing w:after="0" w:line="240" w:lineRule="auto"/>
              <w:ind w:firstLine="0"/>
              <w:jc w:val="center"/>
              <w:rPr>
                <w:b/>
                <w:i/>
                <w:sz w:val="17"/>
                <w:szCs w:val="17"/>
              </w:rPr>
            </w:pPr>
            <w:r w:rsidRPr="007F2C7C">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852FBB" w:rsidRPr="007F2C7C" w:rsidRDefault="00852FBB" w:rsidP="004A2A85">
            <w:pPr>
              <w:spacing w:after="0" w:line="240" w:lineRule="auto"/>
              <w:ind w:firstLine="0"/>
              <w:jc w:val="center"/>
              <w:rPr>
                <w:b/>
                <w:i/>
                <w:sz w:val="17"/>
                <w:szCs w:val="17"/>
              </w:rPr>
            </w:pPr>
            <w:r w:rsidRPr="007F2C7C">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852FBB" w:rsidRPr="007F2C7C" w:rsidRDefault="00852FBB" w:rsidP="004A2A85">
            <w:pPr>
              <w:spacing w:after="0" w:line="240" w:lineRule="auto"/>
              <w:ind w:firstLine="0"/>
              <w:jc w:val="center"/>
              <w:rPr>
                <w:b/>
                <w:i/>
                <w:sz w:val="17"/>
                <w:szCs w:val="17"/>
              </w:rPr>
            </w:pPr>
            <w:r w:rsidRPr="007F2C7C">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852FBB" w:rsidRPr="007F2C7C" w:rsidRDefault="00852FBB" w:rsidP="004A2A85">
            <w:pPr>
              <w:spacing w:after="0" w:line="240" w:lineRule="auto"/>
              <w:ind w:firstLine="0"/>
              <w:jc w:val="center"/>
              <w:rPr>
                <w:b/>
                <w:i/>
                <w:sz w:val="17"/>
                <w:szCs w:val="17"/>
              </w:rPr>
            </w:pPr>
            <w:r w:rsidRPr="007F2C7C">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852FBB" w:rsidRPr="007F2C7C" w:rsidRDefault="00852FBB" w:rsidP="004A2A85">
            <w:pPr>
              <w:spacing w:after="0" w:line="240" w:lineRule="auto"/>
              <w:ind w:firstLine="0"/>
              <w:jc w:val="center"/>
              <w:rPr>
                <w:b/>
                <w:i/>
                <w:sz w:val="17"/>
                <w:szCs w:val="17"/>
              </w:rPr>
            </w:pPr>
            <w:r w:rsidRPr="007F2C7C">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852FBB" w:rsidRPr="007F2C7C" w:rsidRDefault="00852FBB" w:rsidP="004A2A85">
            <w:pPr>
              <w:spacing w:after="0" w:line="240" w:lineRule="auto"/>
              <w:ind w:firstLine="0"/>
              <w:jc w:val="center"/>
              <w:rPr>
                <w:b/>
                <w:i/>
                <w:sz w:val="17"/>
                <w:szCs w:val="17"/>
              </w:rPr>
            </w:pPr>
            <w:r w:rsidRPr="007F2C7C">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852FBB" w:rsidRPr="007F2C7C" w:rsidRDefault="00852FBB" w:rsidP="004A2A85">
            <w:pPr>
              <w:spacing w:after="0" w:line="240" w:lineRule="auto"/>
              <w:ind w:firstLine="0"/>
              <w:jc w:val="center"/>
              <w:rPr>
                <w:b/>
                <w:i/>
                <w:sz w:val="17"/>
                <w:szCs w:val="17"/>
              </w:rPr>
            </w:pPr>
            <w:r w:rsidRPr="007F2C7C">
              <w:rPr>
                <w:b/>
                <w:i/>
                <w:sz w:val="17"/>
                <w:szCs w:val="17"/>
              </w:rPr>
              <w:t>-</w:t>
            </w:r>
          </w:p>
        </w:tc>
        <w:tc>
          <w:tcPr>
            <w:tcW w:w="504"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852FBB" w:rsidRPr="007F2C7C" w:rsidRDefault="00852FBB" w:rsidP="004A2A85">
            <w:pPr>
              <w:spacing w:after="0" w:line="240" w:lineRule="auto"/>
              <w:ind w:firstLine="0"/>
              <w:jc w:val="center"/>
              <w:rPr>
                <w:b/>
                <w:i/>
                <w:sz w:val="17"/>
                <w:szCs w:val="17"/>
              </w:rPr>
            </w:pPr>
            <w:r w:rsidRPr="007F2C7C">
              <w:rPr>
                <w:b/>
                <w:i/>
                <w:sz w:val="17"/>
                <w:szCs w:val="17"/>
              </w:rPr>
              <w:t>-</w:t>
            </w:r>
          </w:p>
        </w:tc>
        <w:tc>
          <w:tcPr>
            <w:tcW w:w="602" w:type="dxa"/>
            <w:tcBorders>
              <w:top w:val="single" w:sz="12" w:space="0" w:color="auto"/>
              <w:left w:val="single" w:sz="12" w:space="0" w:color="auto"/>
              <w:bottom w:val="single" w:sz="12" w:space="0" w:color="auto"/>
            </w:tcBorders>
            <w:shd w:val="clear" w:color="auto" w:fill="D9D9D9" w:themeFill="background1" w:themeFillShade="D9"/>
          </w:tcPr>
          <w:p w:rsidR="00852FBB" w:rsidRPr="007F2C7C" w:rsidRDefault="00852FBB" w:rsidP="004A2A85">
            <w:pPr>
              <w:spacing w:after="0" w:line="240" w:lineRule="auto"/>
              <w:ind w:firstLine="0"/>
              <w:jc w:val="center"/>
              <w:rPr>
                <w:b/>
                <w:sz w:val="17"/>
                <w:szCs w:val="17"/>
              </w:rPr>
            </w:pPr>
            <w:r w:rsidRPr="007F2C7C">
              <w:rPr>
                <w:b/>
                <w:sz w:val="17"/>
                <w:szCs w:val="17"/>
              </w:rPr>
              <w:t>11</w:t>
            </w:r>
          </w:p>
        </w:tc>
        <w:tc>
          <w:tcPr>
            <w:tcW w:w="1262" w:type="dxa"/>
            <w:tcBorders>
              <w:top w:val="single" w:sz="12" w:space="0" w:color="auto"/>
              <w:left w:val="single" w:sz="2" w:space="0" w:color="auto"/>
              <w:bottom w:val="single" w:sz="12" w:space="0" w:color="auto"/>
            </w:tcBorders>
            <w:shd w:val="clear" w:color="auto" w:fill="D9D9D9" w:themeFill="background1" w:themeFillShade="D9"/>
          </w:tcPr>
          <w:p w:rsidR="00852FBB" w:rsidRPr="00B53367" w:rsidRDefault="00852FBB" w:rsidP="004A2A85">
            <w:pPr>
              <w:spacing w:after="0" w:line="240" w:lineRule="auto"/>
              <w:ind w:firstLine="0"/>
              <w:jc w:val="center"/>
              <w:rPr>
                <w:b/>
                <w:color w:val="E36C0A" w:themeColor="accent6" w:themeShade="BF"/>
                <w:sz w:val="17"/>
                <w:szCs w:val="17"/>
              </w:rPr>
            </w:pPr>
            <w:r w:rsidRPr="00B53367">
              <w:rPr>
                <w:b/>
                <w:color w:val="E36C0A" w:themeColor="accent6" w:themeShade="BF"/>
                <w:sz w:val="17"/>
                <w:szCs w:val="17"/>
              </w:rPr>
              <w:t>20</w:t>
            </w:r>
            <w:r w:rsidR="004427E7" w:rsidRPr="00B53367">
              <w:rPr>
                <w:b/>
                <w:color w:val="E36C0A" w:themeColor="accent6" w:themeShade="BF"/>
                <w:sz w:val="17"/>
                <w:szCs w:val="17"/>
              </w:rPr>
              <w:t>,0</w:t>
            </w:r>
          </w:p>
        </w:tc>
      </w:tr>
      <w:tr w:rsidR="004C26E1" w:rsidRPr="004C26E1" w:rsidTr="004C26E1">
        <w:tc>
          <w:tcPr>
            <w:tcW w:w="10432" w:type="dxa"/>
            <w:gridSpan w:val="14"/>
            <w:tcBorders>
              <w:top w:val="single" w:sz="12" w:space="0" w:color="auto"/>
              <w:bottom w:val="single" w:sz="12" w:space="0" w:color="auto"/>
            </w:tcBorders>
            <w:shd w:val="clear" w:color="auto" w:fill="auto"/>
          </w:tcPr>
          <w:p w:rsidR="004C26E1" w:rsidRPr="004C26E1" w:rsidRDefault="004C26E1" w:rsidP="004A2A85">
            <w:pPr>
              <w:spacing w:after="0" w:line="240" w:lineRule="auto"/>
              <w:ind w:firstLine="0"/>
              <w:jc w:val="center"/>
              <w:rPr>
                <w:b/>
                <w:i/>
                <w:color w:val="E36C0A" w:themeColor="accent6" w:themeShade="BF"/>
                <w:sz w:val="6"/>
                <w:szCs w:val="6"/>
              </w:rPr>
            </w:pPr>
          </w:p>
        </w:tc>
      </w:tr>
      <w:tr w:rsidR="00F063A8" w:rsidRPr="007F2C7C" w:rsidTr="004A2A85">
        <w:tc>
          <w:tcPr>
            <w:tcW w:w="8568" w:type="dxa"/>
            <w:gridSpan w:val="12"/>
            <w:tcBorders>
              <w:top w:val="single" w:sz="12" w:space="0" w:color="auto"/>
              <w:bottom w:val="single" w:sz="12" w:space="0" w:color="auto"/>
              <w:right w:val="single" w:sz="12" w:space="0" w:color="auto"/>
            </w:tcBorders>
            <w:shd w:val="clear" w:color="auto" w:fill="D9D9D9" w:themeFill="background1" w:themeFillShade="D9"/>
            <w:vAlign w:val="center"/>
          </w:tcPr>
          <w:p w:rsidR="00F063A8" w:rsidRPr="007F2C7C" w:rsidRDefault="00F063A8" w:rsidP="00457047">
            <w:pPr>
              <w:spacing w:after="0" w:line="240" w:lineRule="auto"/>
              <w:ind w:firstLine="0"/>
              <w:jc w:val="right"/>
              <w:rPr>
                <w:b/>
                <w:i/>
                <w:sz w:val="17"/>
                <w:szCs w:val="17"/>
              </w:rPr>
            </w:pPr>
            <w:r w:rsidRPr="00A42057">
              <w:rPr>
                <w:b/>
                <w:i/>
                <w:sz w:val="17"/>
                <w:szCs w:val="17"/>
              </w:rPr>
              <w:t>PAGEIDAUTINA</w:t>
            </w:r>
            <w:r>
              <w:rPr>
                <w:b/>
                <w:i/>
                <w:sz w:val="17"/>
                <w:szCs w:val="17"/>
              </w:rPr>
              <w:t xml:space="preserve"> </w:t>
            </w:r>
            <w:r w:rsidR="00457047">
              <w:rPr>
                <w:b/>
                <w:i/>
                <w:sz w:val="17"/>
                <w:szCs w:val="17"/>
              </w:rPr>
              <w:t xml:space="preserve">BEDARBIŲ IR SOCIALINĖS PARAMOS GAVĖJŲ </w:t>
            </w:r>
            <w:r w:rsidRPr="00A42057">
              <w:rPr>
                <w:b/>
                <w:i/>
                <w:sz w:val="17"/>
                <w:szCs w:val="17"/>
              </w:rPr>
              <w:t>FINANSINĖ ELGSENA</w:t>
            </w:r>
            <w:r w:rsidR="00457047">
              <w:rPr>
                <w:b/>
                <w:i/>
                <w:sz w:val="17"/>
                <w:szCs w:val="17"/>
              </w:rPr>
              <w:t>:</w:t>
            </w:r>
          </w:p>
        </w:tc>
        <w:tc>
          <w:tcPr>
            <w:tcW w:w="602" w:type="dxa"/>
            <w:tcBorders>
              <w:top w:val="single" w:sz="12" w:space="0" w:color="auto"/>
              <w:left w:val="single" w:sz="12" w:space="0" w:color="auto"/>
              <w:bottom w:val="single" w:sz="12" w:space="0" w:color="auto"/>
            </w:tcBorders>
            <w:shd w:val="clear" w:color="auto" w:fill="D9D9D9" w:themeFill="background1" w:themeFillShade="D9"/>
          </w:tcPr>
          <w:p w:rsidR="00F063A8" w:rsidRPr="007F2C7C" w:rsidRDefault="00F063A8" w:rsidP="004A2A85">
            <w:pPr>
              <w:spacing w:after="0" w:line="240" w:lineRule="auto"/>
              <w:ind w:firstLine="0"/>
              <w:jc w:val="center"/>
              <w:rPr>
                <w:b/>
                <w:sz w:val="17"/>
                <w:szCs w:val="17"/>
              </w:rPr>
            </w:pPr>
            <w:r>
              <w:rPr>
                <w:b/>
                <w:sz w:val="17"/>
                <w:szCs w:val="17"/>
              </w:rPr>
              <w:t>95</w:t>
            </w:r>
          </w:p>
        </w:tc>
        <w:tc>
          <w:tcPr>
            <w:tcW w:w="1262" w:type="dxa"/>
            <w:tcBorders>
              <w:top w:val="single" w:sz="12" w:space="0" w:color="auto"/>
              <w:left w:val="single" w:sz="2" w:space="0" w:color="auto"/>
              <w:bottom w:val="single" w:sz="12" w:space="0" w:color="auto"/>
            </w:tcBorders>
            <w:shd w:val="clear" w:color="auto" w:fill="D9D9D9" w:themeFill="background1" w:themeFillShade="D9"/>
          </w:tcPr>
          <w:p w:rsidR="00F063A8" w:rsidRPr="00F063A8" w:rsidRDefault="00F063A8" w:rsidP="004A2A85">
            <w:pPr>
              <w:spacing w:after="0" w:line="240" w:lineRule="auto"/>
              <w:ind w:firstLine="0"/>
              <w:jc w:val="center"/>
              <w:rPr>
                <w:b/>
                <w:sz w:val="17"/>
                <w:szCs w:val="17"/>
              </w:rPr>
            </w:pPr>
            <w:r w:rsidRPr="00F063A8">
              <w:rPr>
                <w:b/>
                <w:sz w:val="17"/>
                <w:szCs w:val="17"/>
              </w:rPr>
              <w:t>148,0</w:t>
            </w:r>
          </w:p>
        </w:tc>
      </w:tr>
    </w:tbl>
    <w:p w:rsidR="006A6732" w:rsidRPr="00EF655E" w:rsidRDefault="006A6732" w:rsidP="006A6732">
      <w:pPr>
        <w:rPr>
          <w:sz w:val="20"/>
        </w:rPr>
      </w:pPr>
      <w:r w:rsidRPr="00EF655E">
        <w:rPr>
          <w:b/>
          <w:sz w:val="20"/>
        </w:rPr>
        <w:t>Šaltinis</w:t>
      </w:r>
      <w:r w:rsidRPr="00EF655E">
        <w:rPr>
          <w:sz w:val="20"/>
        </w:rPr>
        <w:t>: sudaryta šio darbo autorės</w:t>
      </w:r>
      <w:r>
        <w:rPr>
          <w:sz w:val="20"/>
        </w:rPr>
        <w:t>, remiantis ekspertų vertinimais</w:t>
      </w:r>
    </w:p>
    <w:p w:rsidR="006A6732" w:rsidRDefault="00D831E2" w:rsidP="006D4DD9">
      <w:r>
        <w:t xml:space="preserve">Apibendrinant, </w:t>
      </w:r>
      <w:r w:rsidR="000B0BAB">
        <w:t>reikėtų</w:t>
      </w:r>
      <w:r>
        <w:t xml:space="preserve"> pasakyti</w:t>
      </w:r>
      <w:r w:rsidR="000B0BAB">
        <w:t>, jog</w:t>
      </w:r>
      <w:r>
        <w:t xml:space="preserve"> dėl to, kad</w:t>
      </w:r>
      <w:r w:rsidR="000B0BAB">
        <w:t xml:space="preserve"> tik</w:t>
      </w:r>
      <w:r w:rsidR="00BA2D52">
        <w:t xml:space="preserve"> keletas veiksnių buvo įvertinta</w:t>
      </w:r>
      <w:r w:rsidR="000B0BAB">
        <w:t xml:space="preserve"> maksimaliu balu, </w:t>
      </w:r>
      <w:r w:rsidR="00A819F7" w:rsidRPr="005D7978">
        <w:rPr>
          <w:b/>
          <w:i/>
        </w:rPr>
        <w:t xml:space="preserve">racionali finansinė elgsena </w:t>
      </w:r>
      <w:r w:rsidR="007E6FF7" w:rsidRPr="005D7978">
        <w:rPr>
          <w:b/>
          <w:i/>
        </w:rPr>
        <w:t>(148 balai)</w:t>
      </w:r>
      <w:r w:rsidR="007E6FF7">
        <w:t xml:space="preserve"> </w:t>
      </w:r>
      <w:r w:rsidR="00A819F7">
        <w:t xml:space="preserve">tapo </w:t>
      </w:r>
      <w:r w:rsidR="007E6FF7">
        <w:t xml:space="preserve">mažesnė </w:t>
      </w:r>
      <w:r w:rsidR="00353C72">
        <w:t>ne</w:t>
      </w:r>
      <w:r w:rsidR="0030115C">
        <w:t>gu</w:t>
      </w:r>
      <w:r w:rsidR="005D7978">
        <w:t xml:space="preserve"> buvo</w:t>
      </w:r>
      <w:r w:rsidR="00391822">
        <w:t xml:space="preserve"> </w:t>
      </w:r>
      <w:proofErr w:type="spellStart"/>
      <w:r w:rsidR="00391822">
        <w:t>tikėtąsi</w:t>
      </w:r>
      <w:proofErr w:type="spellEnd"/>
      <w:r w:rsidR="002D779A">
        <w:t>. Tai</w:t>
      </w:r>
      <w:r w:rsidR="000B0BAB">
        <w:t xml:space="preserve"> reiš</w:t>
      </w:r>
      <w:r w:rsidR="0030115C">
        <w:t>kia, jog vertinam</w:t>
      </w:r>
      <w:r w:rsidR="000B0BAB">
        <w:t xml:space="preserve">a buvo, atsižvelgiant į realų, t. y. </w:t>
      </w:r>
      <w:r w:rsidR="000B0BAB" w:rsidRPr="00AF116F">
        <w:rPr>
          <w:i/>
        </w:rPr>
        <w:t>netobulai racionalų</w:t>
      </w:r>
      <w:r w:rsidR="002D779A">
        <w:t xml:space="preserve">, </w:t>
      </w:r>
      <w:r w:rsidR="00E90EAB">
        <w:t>žmogų</w:t>
      </w:r>
      <w:r w:rsidR="002D779A">
        <w:t>, kuriam įtaką daro ne tik objektyvios priežasty</w:t>
      </w:r>
      <w:r w:rsidR="0030115C">
        <w:t xml:space="preserve">s, </w:t>
      </w:r>
      <w:r w:rsidR="005A361D">
        <w:t>–</w:t>
      </w:r>
      <w:r w:rsidR="002D779A" w:rsidRPr="005A361D">
        <w:rPr>
          <w:i/>
        </w:rPr>
        <w:t xml:space="preserve">tokios kaip neigiami užimtumo </w:t>
      </w:r>
      <w:r w:rsidR="00BA2D52" w:rsidRPr="005A361D">
        <w:rPr>
          <w:i/>
        </w:rPr>
        <w:t>pokyčiai ar min</w:t>
      </w:r>
      <w:r w:rsidR="005A361D" w:rsidRPr="005A361D">
        <w:rPr>
          <w:i/>
        </w:rPr>
        <w:t xml:space="preserve">imali </w:t>
      </w:r>
      <w:r w:rsidR="00BA2D52" w:rsidRPr="005A361D">
        <w:rPr>
          <w:i/>
        </w:rPr>
        <w:t>darbo patirtis</w:t>
      </w:r>
      <w:r w:rsidR="00BA2D52">
        <w:t xml:space="preserve">, </w:t>
      </w:r>
      <w:r w:rsidR="005A361D">
        <w:t xml:space="preserve">– </w:t>
      </w:r>
      <w:r w:rsidR="00BA2D52" w:rsidRPr="00E07D90">
        <w:t>bet ir</w:t>
      </w:r>
      <w:r w:rsidR="00E90EAB" w:rsidRPr="00E07D90">
        <w:t xml:space="preserve"> ne</w:t>
      </w:r>
      <w:r w:rsidR="00901959" w:rsidRPr="00E07D90">
        <w:t xml:space="preserve"> </w:t>
      </w:r>
      <w:r w:rsidR="00391822" w:rsidRPr="00E07D90">
        <w:t>visiškai</w:t>
      </w:r>
      <w:r w:rsidR="00391822">
        <w:t xml:space="preserve"> pagrįsti veiksniai.</w:t>
      </w:r>
    </w:p>
    <w:p w:rsidR="00F63BE5" w:rsidRDefault="004666E0" w:rsidP="004666E0">
      <w:pPr>
        <w:pStyle w:val="Heading2"/>
      </w:pPr>
      <w:bookmarkStart w:id="28" w:name="_Toc343636888"/>
      <w:r>
        <w:lastRenderedPageBreak/>
        <w:t>Veiksnių, lemiančių pajamų formavimą iš socialinės apsaugos lėšų, įvertinimas</w:t>
      </w:r>
      <w:bookmarkEnd w:id="28"/>
    </w:p>
    <w:p w:rsidR="00732CF2" w:rsidRDefault="00657E6F" w:rsidP="00732CF2">
      <w:r>
        <w:t>S</w:t>
      </w:r>
      <w:r w:rsidR="0034675D">
        <w:t>iekiant</w:t>
      </w:r>
      <w:r w:rsidR="0011199A">
        <w:t xml:space="preserve"> išsiaiškinti</w:t>
      </w:r>
      <w:r w:rsidR="0034675D">
        <w:t xml:space="preserve">, kokia </w:t>
      </w:r>
      <w:r w:rsidR="001F785E">
        <w:t xml:space="preserve">yra </w:t>
      </w:r>
      <w:r w:rsidR="00D55B54">
        <w:t xml:space="preserve">vyraujanti Lietuvos </w:t>
      </w:r>
      <w:r w:rsidR="0011199A">
        <w:t>bedarbių bei socialin</w:t>
      </w:r>
      <w:r w:rsidR="001F785E">
        <w:t>ę</w:t>
      </w:r>
      <w:r w:rsidR="0011199A">
        <w:t xml:space="preserve"> param</w:t>
      </w:r>
      <w:r w:rsidR="001F785E">
        <w:t>ą</w:t>
      </w:r>
      <w:r w:rsidR="0011199A">
        <w:t xml:space="preserve"> ga</w:t>
      </w:r>
      <w:r w:rsidR="001F785E">
        <w:t>unančių žmonių</w:t>
      </w:r>
      <w:r w:rsidR="0011199A">
        <w:t xml:space="preserve"> </w:t>
      </w:r>
      <w:r w:rsidR="0034675D">
        <w:t>finansinė elgsena</w:t>
      </w:r>
      <w:r w:rsidR="001743C9">
        <w:t xml:space="preserve"> valstybės </w:t>
      </w:r>
      <w:r w:rsidR="00D77682">
        <w:t>(</w:t>
      </w:r>
      <w:r w:rsidR="001743C9">
        <w:t>ir joje gyvenančių</w:t>
      </w:r>
      <w:r w:rsidR="000011D6">
        <w:t xml:space="preserve"> piliečių</w:t>
      </w:r>
      <w:r w:rsidR="00D77682">
        <w:t>)</w:t>
      </w:r>
      <w:r w:rsidR="000011D6">
        <w:t xml:space="preserve"> atžvilgiu</w:t>
      </w:r>
      <w:r w:rsidR="00EB4C21">
        <w:t xml:space="preserve">, </w:t>
      </w:r>
      <w:r w:rsidR="0034675D">
        <w:t xml:space="preserve">buvo </w:t>
      </w:r>
      <w:r w:rsidR="005F2813">
        <w:t xml:space="preserve">suformuotas </w:t>
      </w:r>
      <w:r w:rsidR="001F785E">
        <w:t>gyventojų finansinės elgsenos vertinimo modelis, pagrįstas įvairių veiksnių įtaka</w:t>
      </w:r>
      <w:r w:rsidR="00BC2A6E">
        <w:t xml:space="preserve"> </w:t>
      </w:r>
      <w:r w:rsidR="003D0D33">
        <w:t>žmogau</w:t>
      </w:r>
      <w:r w:rsidR="00BB2E0F">
        <w:t>s sprendimui</w:t>
      </w:r>
      <w:r w:rsidR="0099080F">
        <w:t xml:space="preserve"> </w:t>
      </w:r>
      <w:r w:rsidR="003D0D33">
        <w:t xml:space="preserve">įgyti (ar susikurti) teisę į </w:t>
      </w:r>
      <w:r w:rsidR="00096CEB">
        <w:t xml:space="preserve">socialines </w:t>
      </w:r>
      <w:r w:rsidR="00F836C7" w:rsidRPr="005F4233">
        <w:t>išmokas</w:t>
      </w:r>
      <w:r w:rsidR="00BC2A6E" w:rsidRPr="005F4233">
        <w:t>.</w:t>
      </w:r>
      <w:r w:rsidR="000F35D7">
        <w:t xml:space="preserve"> </w:t>
      </w:r>
      <w:r w:rsidR="001B4FEE">
        <w:t xml:space="preserve">Įtakos dydžiui nustatyti buvo </w:t>
      </w:r>
      <w:r w:rsidR="00096CEB">
        <w:t xml:space="preserve">pritaikytas </w:t>
      </w:r>
      <w:r w:rsidR="00D0299A">
        <w:t xml:space="preserve">pirminio tyrimo </w:t>
      </w:r>
      <w:r w:rsidR="00E12ADB">
        <w:t>metodas</w:t>
      </w:r>
      <w:r w:rsidR="00D0299A">
        <w:t>, t. y. apklausa</w:t>
      </w:r>
      <w:r w:rsidR="00803893">
        <w:t>, kuri</w:t>
      </w:r>
      <w:r w:rsidR="007D380F">
        <w:t>o</w:t>
      </w:r>
      <w:r w:rsidR="00D63EEC">
        <w:t xml:space="preserve"> </w:t>
      </w:r>
      <w:r w:rsidR="00AC2C88">
        <w:t xml:space="preserve">pagrindinis </w:t>
      </w:r>
      <w:r w:rsidR="00AC2C88" w:rsidRPr="00AC2C88">
        <w:rPr>
          <w:b/>
          <w:i/>
        </w:rPr>
        <w:t>tikslas</w:t>
      </w:r>
      <w:r w:rsidR="00AC2C88">
        <w:t xml:space="preserve"> </w:t>
      </w:r>
      <w:r w:rsidR="00AC2C88">
        <w:rPr>
          <w:i/>
        </w:rPr>
        <w:t>buv</w:t>
      </w:r>
      <w:r w:rsidR="00AC2C88" w:rsidRPr="00CA4456">
        <w:rPr>
          <w:i/>
        </w:rPr>
        <w:t>o</w:t>
      </w:r>
      <w:r w:rsidR="00AC2C88">
        <w:t xml:space="preserve"> </w:t>
      </w:r>
      <w:r w:rsidR="00D84847" w:rsidRPr="00B44803">
        <w:rPr>
          <w:i/>
        </w:rPr>
        <w:t>atskleis</w:t>
      </w:r>
      <w:r w:rsidR="00E12ADB" w:rsidRPr="00B44803">
        <w:rPr>
          <w:i/>
        </w:rPr>
        <w:t>ti</w:t>
      </w:r>
      <w:r w:rsidR="00D60795">
        <w:rPr>
          <w:i/>
        </w:rPr>
        <w:t xml:space="preserve"> vyraujančią</w:t>
      </w:r>
      <w:r w:rsidR="00E12ADB" w:rsidRPr="00B44803">
        <w:rPr>
          <w:i/>
        </w:rPr>
        <w:t xml:space="preserve"> </w:t>
      </w:r>
      <w:r w:rsidR="009F1FA1" w:rsidRPr="00B44803">
        <w:rPr>
          <w:i/>
        </w:rPr>
        <w:t>be</w:t>
      </w:r>
      <w:r w:rsidR="00577F25" w:rsidRPr="00B44803">
        <w:rPr>
          <w:i/>
        </w:rPr>
        <w:t>darb</w:t>
      </w:r>
      <w:r w:rsidR="00D0299A">
        <w:rPr>
          <w:i/>
        </w:rPr>
        <w:t>ių</w:t>
      </w:r>
      <w:r w:rsidR="00577F25" w:rsidRPr="00B44803">
        <w:rPr>
          <w:i/>
        </w:rPr>
        <w:t xml:space="preserve"> i</w:t>
      </w:r>
      <w:r w:rsidR="000D296A" w:rsidRPr="00B44803">
        <w:rPr>
          <w:i/>
        </w:rPr>
        <w:t>r</w:t>
      </w:r>
      <w:r w:rsidR="00577F25" w:rsidRPr="00B44803">
        <w:rPr>
          <w:i/>
        </w:rPr>
        <w:t xml:space="preserve"> socialin</w:t>
      </w:r>
      <w:r w:rsidR="00E74A51" w:rsidRPr="00B44803">
        <w:rPr>
          <w:i/>
        </w:rPr>
        <w:t>ės</w:t>
      </w:r>
      <w:r w:rsidR="00577F25" w:rsidRPr="00B44803">
        <w:rPr>
          <w:i/>
        </w:rPr>
        <w:t xml:space="preserve"> param</w:t>
      </w:r>
      <w:r w:rsidR="00E74A51" w:rsidRPr="00B44803">
        <w:rPr>
          <w:i/>
        </w:rPr>
        <w:t>os</w:t>
      </w:r>
      <w:r w:rsidR="009F1FA1" w:rsidRPr="00B44803">
        <w:rPr>
          <w:i/>
        </w:rPr>
        <w:t xml:space="preserve"> </w:t>
      </w:r>
      <w:r w:rsidR="00D60795">
        <w:rPr>
          <w:i/>
        </w:rPr>
        <w:t>gavėjų</w:t>
      </w:r>
      <w:r w:rsidR="00E74A51" w:rsidRPr="00B44803">
        <w:rPr>
          <w:i/>
        </w:rPr>
        <w:t xml:space="preserve"> </w:t>
      </w:r>
      <w:r w:rsidR="000D296A" w:rsidRPr="00B44803">
        <w:rPr>
          <w:i/>
        </w:rPr>
        <w:t>finansinę</w:t>
      </w:r>
      <w:r w:rsidR="00577F25" w:rsidRPr="00B44803">
        <w:rPr>
          <w:i/>
        </w:rPr>
        <w:t xml:space="preserve"> elgseną</w:t>
      </w:r>
      <w:r w:rsidR="00324DEB">
        <w:t>.</w:t>
      </w:r>
    </w:p>
    <w:p w:rsidR="008F3347" w:rsidRDefault="008F3347" w:rsidP="00404939">
      <w:pPr>
        <w:pStyle w:val="Heading3"/>
      </w:pPr>
      <w:bookmarkStart w:id="29" w:name="_Toc343636889"/>
      <w:r>
        <w:t>Anketinės apklausos rezultatai</w:t>
      </w:r>
      <w:bookmarkEnd w:id="29"/>
    </w:p>
    <w:p w:rsidR="00A473DF" w:rsidRDefault="000863DE" w:rsidP="00732CF2">
      <w:r>
        <w:t>Reikėtų akcentuo</w:t>
      </w:r>
      <w:r w:rsidR="000D296A">
        <w:t>ti, jog šis metodas</w:t>
      </w:r>
      <w:r w:rsidR="009F5D33">
        <w:t xml:space="preserve">, tiriant </w:t>
      </w:r>
      <w:r w:rsidR="000140B8">
        <w:t xml:space="preserve">tokį pažeidžiamą gyventojų sluoksnį, </w:t>
      </w:r>
      <w:r w:rsidR="00E74A51">
        <w:t>buvo</w:t>
      </w:r>
      <w:r w:rsidR="000140B8">
        <w:t xml:space="preserve"> tinkamiausias, </w:t>
      </w:r>
      <w:r w:rsidR="00177AA2">
        <w:t>nes</w:t>
      </w:r>
      <w:r w:rsidR="000140B8">
        <w:t xml:space="preserve">, taikant jį, </w:t>
      </w:r>
      <w:r w:rsidR="00177AA2">
        <w:t xml:space="preserve">buvo </w:t>
      </w:r>
      <w:r w:rsidR="000140B8">
        <w:t>galima ne tik apklausti</w:t>
      </w:r>
      <w:r w:rsidR="004E5E30">
        <w:t xml:space="preserve"> didesnį</w:t>
      </w:r>
      <w:r w:rsidR="00177AA2">
        <w:t xml:space="preserve"> kiekį respondentų, bet </w:t>
      </w:r>
      <w:r w:rsidR="00F878C2">
        <w:t xml:space="preserve">ir </w:t>
      </w:r>
      <w:r w:rsidR="00177AA2">
        <w:t xml:space="preserve">kartu </w:t>
      </w:r>
      <w:r w:rsidR="004E5E30">
        <w:t>gauti</w:t>
      </w:r>
      <w:r w:rsidR="0014254D">
        <w:t xml:space="preserve"> </w:t>
      </w:r>
      <w:r w:rsidR="0014254D" w:rsidRPr="003E6549">
        <w:rPr>
          <w:b/>
          <w:i/>
        </w:rPr>
        <w:t>reprezentatyvius</w:t>
      </w:r>
      <w:r w:rsidR="0014254D">
        <w:t xml:space="preserve"> duomenis. </w:t>
      </w:r>
      <w:r w:rsidR="001725DA">
        <w:t xml:space="preserve">Šioje vietoje tikslinga </w:t>
      </w:r>
      <w:r w:rsidR="007A6661">
        <w:t xml:space="preserve">būtų </w:t>
      </w:r>
      <w:r w:rsidR="001725DA">
        <w:t>pasakyti, jog</w:t>
      </w:r>
      <w:r w:rsidR="001725DA" w:rsidRPr="003E6549">
        <w:t xml:space="preserve"> </w:t>
      </w:r>
      <w:r w:rsidR="00E0354A" w:rsidRPr="003E6549">
        <w:t>r</w:t>
      </w:r>
      <w:r w:rsidR="0014254D" w:rsidRPr="003E6549">
        <w:t>eprezentatyvumo sąlyg</w:t>
      </w:r>
      <w:r w:rsidR="00E0354A" w:rsidRPr="003E6549">
        <w:t>ą</w:t>
      </w:r>
      <w:r w:rsidR="001725DA">
        <w:t xml:space="preserve"> b</w:t>
      </w:r>
      <w:r w:rsidR="00E0354A">
        <w:t>andyta</w:t>
      </w:r>
      <w:r w:rsidR="00F878C2">
        <w:t xml:space="preserve"> užtikrin</w:t>
      </w:r>
      <w:r w:rsidR="00E0354A">
        <w:t>ti</w:t>
      </w:r>
      <w:r w:rsidR="007342D9">
        <w:t xml:space="preserve"> įvairiais būdais</w:t>
      </w:r>
      <w:r w:rsidR="00314AEC">
        <w:t xml:space="preserve">: kad anketos būtų </w:t>
      </w:r>
      <w:r w:rsidR="00393063">
        <w:t>priein</w:t>
      </w:r>
      <w:r w:rsidR="002D5D69">
        <w:t xml:space="preserve">amos </w:t>
      </w:r>
      <w:r w:rsidR="00314AEC">
        <w:t>įvairi</w:t>
      </w:r>
      <w:r w:rsidR="007B609B">
        <w:t>u</w:t>
      </w:r>
      <w:r w:rsidR="00393063">
        <w:t>ose šalies</w:t>
      </w:r>
      <w:r w:rsidR="002D5D69">
        <w:t xml:space="preserve"> miestuose </w:t>
      </w:r>
      <w:r w:rsidR="00395393">
        <w:t>gyvenan</w:t>
      </w:r>
      <w:r w:rsidR="00D44F4F">
        <w:t>tiems</w:t>
      </w:r>
      <w:r w:rsidR="00FE0939">
        <w:t xml:space="preserve"> žmon</w:t>
      </w:r>
      <w:r w:rsidR="00D44F4F">
        <w:t>ėms</w:t>
      </w:r>
      <w:r w:rsidR="00460285">
        <w:t xml:space="preserve">, </w:t>
      </w:r>
      <w:r w:rsidR="0094174E">
        <w:t xml:space="preserve">buvo </w:t>
      </w:r>
      <w:proofErr w:type="spellStart"/>
      <w:r w:rsidR="006C2381">
        <w:t>kreiptąsi</w:t>
      </w:r>
      <w:proofErr w:type="spellEnd"/>
      <w:r w:rsidR="006C2381">
        <w:t xml:space="preserve"> į terito</w:t>
      </w:r>
      <w:r w:rsidR="00BF7E4D">
        <w:t>rin</w:t>
      </w:r>
      <w:r w:rsidR="007C4A6B">
        <w:t>ių</w:t>
      </w:r>
      <w:r w:rsidR="00BF7E4D">
        <w:t xml:space="preserve"> darbo birž</w:t>
      </w:r>
      <w:r w:rsidR="007C4A6B">
        <w:t>ų</w:t>
      </w:r>
      <w:r w:rsidR="000C145F">
        <w:t xml:space="preserve">, </w:t>
      </w:r>
      <w:r w:rsidR="00BF7E4D">
        <w:t xml:space="preserve">savivaldybių </w:t>
      </w:r>
      <w:r w:rsidR="000C1535">
        <w:t xml:space="preserve">socialinės </w:t>
      </w:r>
      <w:r w:rsidR="00BF7E4D">
        <w:t>paramos skyri</w:t>
      </w:r>
      <w:r w:rsidR="001005E5">
        <w:t xml:space="preserve">ų </w:t>
      </w:r>
      <w:r w:rsidR="000C145F">
        <w:t xml:space="preserve">bei </w:t>
      </w:r>
      <w:r w:rsidR="009A5DB9">
        <w:t xml:space="preserve">mokymus </w:t>
      </w:r>
      <w:r w:rsidR="007C4A6B">
        <w:t xml:space="preserve">bedarbiams </w:t>
      </w:r>
      <w:r w:rsidR="000C145F">
        <w:t xml:space="preserve">organizuojančius </w:t>
      </w:r>
      <w:r w:rsidR="009711A9">
        <w:t>specialist</w:t>
      </w:r>
      <w:r w:rsidR="000C145F">
        <w:t>us, kurie</w:t>
      </w:r>
      <w:r w:rsidR="00DA2E40">
        <w:t xml:space="preserve"> anketas</w:t>
      </w:r>
      <w:r w:rsidR="009711A9">
        <w:t xml:space="preserve"> išdalijo pas juos </w:t>
      </w:r>
      <w:r w:rsidR="00A82A3C">
        <w:t xml:space="preserve">atvykusiems </w:t>
      </w:r>
      <w:r w:rsidR="009711A9">
        <w:t>žmonėms</w:t>
      </w:r>
      <w:r w:rsidR="00533C01">
        <w:t xml:space="preserve">. </w:t>
      </w:r>
      <w:r w:rsidR="000C1535">
        <w:t xml:space="preserve">Be to, </w:t>
      </w:r>
      <w:r w:rsidR="008732AB">
        <w:t xml:space="preserve">anketa buvo patalpinta </w:t>
      </w:r>
      <w:r w:rsidR="00A82A3C">
        <w:t>internete</w:t>
      </w:r>
      <w:r w:rsidR="008732AB">
        <w:t xml:space="preserve">, </w:t>
      </w:r>
      <w:r w:rsidR="004B18F1">
        <w:t>šitaip pritraukiant jaunesniąją auditoriją, kuri</w:t>
      </w:r>
      <w:r w:rsidR="00533C01">
        <w:t xml:space="preserve"> anketas</w:t>
      </w:r>
      <w:r w:rsidR="00602663">
        <w:t xml:space="preserve"> galėjo užpildyti, </w:t>
      </w:r>
      <w:r w:rsidR="004B18F1">
        <w:t>naršydama</w:t>
      </w:r>
      <w:r w:rsidR="00FB40AE">
        <w:t xml:space="preserve"> </w:t>
      </w:r>
      <w:r w:rsidR="00800777">
        <w:t>socialiniu</w:t>
      </w:r>
      <w:r w:rsidR="000B2B85">
        <w:t>ose</w:t>
      </w:r>
      <w:r w:rsidR="00800777">
        <w:t xml:space="preserve"> tinklu</w:t>
      </w:r>
      <w:r w:rsidR="000B2B85">
        <w:t>ose</w:t>
      </w:r>
      <w:r w:rsidR="00800777">
        <w:t>.</w:t>
      </w:r>
    </w:p>
    <w:p w:rsidR="000D296A" w:rsidRDefault="00B275B6" w:rsidP="00732CF2">
      <w:r>
        <w:t>B</w:t>
      </w:r>
      <w:r w:rsidR="00E5094C">
        <w:t>ūtina atkreipti dėmesį, jog</w:t>
      </w:r>
      <w:r w:rsidR="009A2E35">
        <w:t xml:space="preserve"> </w:t>
      </w:r>
      <w:r w:rsidR="00421F4D">
        <w:t xml:space="preserve">dėl to, kad </w:t>
      </w:r>
      <w:r w:rsidR="008147A2">
        <w:t xml:space="preserve">anketos </w:t>
      </w:r>
      <w:r w:rsidR="003F7787">
        <w:t>ne</w:t>
      </w:r>
      <w:r w:rsidR="008147A2">
        <w:t>pasie</w:t>
      </w:r>
      <w:r w:rsidR="003F7787">
        <w:t>k</w:t>
      </w:r>
      <w:r w:rsidR="004156E3">
        <w:t>ė</w:t>
      </w:r>
      <w:r w:rsidR="008147A2">
        <w:t xml:space="preserve"> vis</w:t>
      </w:r>
      <w:r w:rsidR="003F7787">
        <w:t>ų</w:t>
      </w:r>
      <w:r w:rsidR="008147A2">
        <w:t xml:space="preserve"> miest</w:t>
      </w:r>
      <w:r w:rsidR="002C3509">
        <w:t>ų ir juose gyvenančių žmonių</w:t>
      </w:r>
      <w:r w:rsidR="008147A2">
        <w:t xml:space="preserve"> ir kad </w:t>
      </w:r>
      <w:r w:rsidR="00421F4D">
        <w:t>gebančių</w:t>
      </w:r>
      <w:r w:rsidR="00CB550B">
        <w:t xml:space="preserve"> naudotis </w:t>
      </w:r>
      <w:r w:rsidR="002256ED">
        <w:t>kompiuteriu</w:t>
      </w:r>
      <w:r w:rsidR="000252E1">
        <w:t xml:space="preserve"> </w:t>
      </w:r>
      <w:r w:rsidR="00AF23E1">
        <w:t xml:space="preserve">socialinių išmokų </w:t>
      </w:r>
      <w:r w:rsidR="000252E1">
        <w:t xml:space="preserve">gavėjų </w:t>
      </w:r>
      <w:r w:rsidR="00043F44">
        <w:t>apimtis</w:t>
      </w:r>
      <w:r w:rsidR="000252E1">
        <w:t xml:space="preserve"> </w:t>
      </w:r>
      <w:r w:rsidR="004C2098">
        <w:t xml:space="preserve">nebuvo </w:t>
      </w:r>
      <w:r w:rsidR="00283115">
        <w:t>to</w:t>
      </w:r>
      <w:r w:rsidR="00AF23E1">
        <w:t xml:space="preserve">lygi </w:t>
      </w:r>
      <w:r w:rsidR="00283115">
        <w:t xml:space="preserve">visai generalinei </w:t>
      </w:r>
      <w:r w:rsidR="00AF23E1">
        <w:t>aibei</w:t>
      </w:r>
      <w:r w:rsidR="00627AB5">
        <w:t xml:space="preserve">, </w:t>
      </w:r>
      <w:r w:rsidR="00627AB5" w:rsidRPr="00280988">
        <w:rPr>
          <w:b/>
          <w:i/>
        </w:rPr>
        <w:t xml:space="preserve">imties </w:t>
      </w:r>
      <w:r w:rsidR="006520FC" w:rsidRPr="00280988">
        <w:rPr>
          <w:b/>
          <w:i/>
        </w:rPr>
        <w:t>atranka</w:t>
      </w:r>
      <w:r w:rsidR="0046418B">
        <w:t xml:space="preserve"> </w:t>
      </w:r>
      <w:r w:rsidR="00586D24">
        <w:t xml:space="preserve">tapo </w:t>
      </w:r>
      <w:proofErr w:type="spellStart"/>
      <w:r w:rsidR="00A030B0" w:rsidRPr="00280988">
        <w:rPr>
          <w:b/>
          <w:i/>
        </w:rPr>
        <w:t>stratifikuota</w:t>
      </w:r>
      <w:proofErr w:type="spellEnd"/>
      <w:r w:rsidR="0082288A">
        <w:t>, t. y.</w:t>
      </w:r>
      <w:r w:rsidR="004C7C2B">
        <w:t xml:space="preserve"> nors </w:t>
      </w:r>
      <w:r w:rsidR="00C56427">
        <w:t>žmonės tyrimui</w:t>
      </w:r>
      <w:r w:rsidR="004C7C2B">
        <w:t xml:space="preserve"> buvo parenkami visiškai atsitiktinai, vis</w:t>
      </w:r>
      <w:r w:rsidR="00EC0649">
        <w:t xml:space="preserve"> </w:t>
      </w:r>
      <w:r w:rsidR="00EC0649" w:rsidRPr="00284AD4">
        <w:t>dėlto</w:t>
      </w:r>
      <w:r w:rsidR="004C7C2B" w:rsidRPr="00284AD4">
        <w:t xml:space="preserve"> </w:t>
      </w:r>
      <w:r w:rsidR="002E3B5F" w:rsidRPr="00284AD4">
        <w:t xml:space="preserve">daugiausia </w:t>
      </w:r>
      <w:r w:rsidR="00E21DA2" w:rsidRPr="00284AD4">
        <w:t xml:space="preserve">individų </w:t>
      </w:r>
      <w:r w:rsidR="0013724D" w:rsidRPr="00284AD4">
        <w:t xml:space="preserve">buvo apklausta </w:t>
      </w:r>
      <w:r w:rsidR="004A4425" w:rsidRPr="00284AD4">
        <w:t xml:space="preserve">iš </w:t>
      </w:r>
      <w:r w:rsidR="00EC0649" w:rsidRPr="00284AD4">
        <w:t>didži</w:t>
      </w:r>
      <w:r w:rsidR="004A4425" w:rsidRPr="00284AD4">
        <w:t>ųj</w:t>
      </w:r>
      <w:r w:rsidR="00EC0649" w:rsidRPr="00284AD4">
        <w:t>ų</w:t>
      </w:r>
      <w:r w:rsidR="002E3B5F" w:rsidRPr="00284AD4">
        <w:t xml:space="preserve"> </w:t>
      </w:r>
      <w:r w:rsidR="00586D24" w:rsidRPr="00284AD4">
        <w:t xml:space="preserve">šalies </w:t>
      </w:r>
      <w:r w:rsidR="002E3B5F" w:rsidRPr="00284AD4">
        <w:t xml:space="preserve">miestų </w:t>
      </w:r>
      <w:r w:rsidR="00D35652" w:rsidRPr="00284AD4">
        <w:t xml:space="preserve">(Vilniaus, Kauno, </w:t>
      </w:r>
      <w:r w:rsidR="003129C0" w:rsidRPr="00284AD4">
        <w:t xml:space="preserve">Klaipėdos, Šiaulių) </w:t>
      </w:r>
      <w:r w:rsidR="002E3B5F" w:rsidRPr="00284AD4">
        <w:t>bei</w:t>
      </w:r>
      <w:r w:rsidR="00752C7D" w:rsidRPr="00284AD4">
        <w:t xml:space="preserve"> </w:t>
      </w:r>
      <w:r w:rsidR="0040094C" w:rsidRPr="00284AD4">
        <w:t>t</w:t>
      </w:r>
      <w:r w:rsidR="00E21DA2" w:rsidRPr="00284AD4">
        <w:t>a dalis</w:t>
      </w:r>
      <w:r w:rsidR="0040094C" w:rsidRPr="00284AD4">
        <w:t xml:space="preserve"> gyventoj</w:t>
      </w:r>
      <w:r w:rsidR="00E21DA2" w:rsidRPr="00284AD4">
        <w:t>ų</w:t>
      </w:r>
      <w:r w:rsidR="0040094C" w:rsidRPr="00284AD4">
        <w:t xml:space="preserve">, </w:t>
      </w:r>
      <w:r w:rsidR="00284AD4" w:rsidRPr="00284AD4">
        <w:t>kuri</w:t>
      </w:r>
      <w:r w:rsidR="00280988" w:rsidRPr="00284AD4">
        <w:t xml:space="preserve"> </w:t>
      </w:r>
      <w:r w:rsidR="00F2346D">
        <w:t>buvo labiau išprususi ir</w:t>
      </w:r>
      <w:r w:rsidR="00E967EE">
        <w:t xml:space="preserve"> </w:t>
      </w:r>
      <w:r w:rsidR="002256ED">
        <w:t>tiriamuoju laikotarpiu turėjo bei</w:t>
      </w:r>
      <w:r w:rsidR="00280988" w:rsidRPr="00284AD4">
        <w:t xml:space="preserve"> gebėjo naudotis</w:t>
      </w:r>
      <w:r w:rsidR="002256ED">
        <w:t xml:space="preserve"> internetu</w:t>
      </w:r>
      <w:r w:rsidR="00D35652" w:rsidRPr="00284AD4">
        <w:t>.</w:t>
      </w:r>
    </w:p>
    <w:p w:rsidR="002C3509" w:rsidRDefault="003A1788" w:rsidP="00732CF2">
      <w:r w:rsidRPr="007F5E5A">
        <w:t xml:space="preserve">Taigi, kalbant apie </w:t>
      </w:r>
      <w:r w:rsidR="002B35DE" w:rsidRPr="007F5E5A">
        <w:t xml:space="preserve">apklausos dalyvių </w:t>
      </w:r>
      <w:r w:rsidRPr="007F5E5A">
        <w:t>skaičių, reiktų pasakyti, jog</w:t>
      </w:r>
      <w:r w:rsidR="000765E3" w:rsidRPr="007F5E5A">
        <w:t xml:space="preserve">, </w:t>
      </w:r>
      <w:r w:rsidR="00987A92" w:rsidRPr="007F5E5A">
        <w:t>elimin</w:t>
      </w:r>
      <w:r w:rsidR="000765E3" w:rsidRPr="007F5E5A">
        <w:t>avus netinkamai užpildytas anketas</w:t>
      </w:r>
      <w:r w:rsidR="002B35DE" w:rsidRPr="007F5E5A">
        <w:t>,</w:t>
      </w:r>
      <w:r w:rsidR="00987A92" w:rsidRPr="007F5E5A">
        <w:t xml:space="preserve"> </w:t>
      </w:r>
      <w:r w:rsidR="002B35DE" w:rsidRPr="007F5E5A">
        <w:t>iš viso</w:t>
      </w:r>
      <w:r w:rsidR="00107F4A" w:rsidRPr="007F5E5A">
        <w:t xml:space="preserve"> </w:t>
      </w:r>
      <w:r w:rsidR="00671B66" w:rsidRPr="007F5E5A">
        <w:rPr>
          <w:b/>
          <w:i/>
        </w:rPr>
        <w:t xml:space="preserve">į tyrimą pateko </w:t>
      </w:r>
      <w:r w:rsidR="00107F4A" w:rsidRPr="007F5E5A">
        <w:rPr>
          <w:b/>
          <w:i/>
        </w:rPr>
        <w:t>3</w:t>
      </w:r>
      <w:r w:rsidR="00736BB3" w:rsidRPr="007F5E5A">
        <w:rPr>
          <w:b/>
          <w:i/>
        </w:rPr>
        <w:t>41</w:t>
      </w:r>
      <w:r w:rsidR="002B0034" w:rsidRPr="007F5E5A">
        <w:rPr>
          <w:b/>
          <w:i/>
        </w:rPr>
        <w:t xml:space="preserve"> individa</w:t>
      </w:r>
      <w:r w:rsidR="00736BB3" w:rsidRPr="007F5E5A">
        <w:rPr>
          <w:b/>
          <w:i/>
        </w:rPr>
        <w:t>s</w:t>
      </w:r>
      <w:r w:rsidR="00671B66" w:rsidRPr="007F5E5A">
        <w:t xml:space="preserve">, kurių </w:t>
      </w:r>
      <w:r w:rsidR="007E1D1D" w:rsidRPr="007F5E5A">
        <w:t>teisingai užpildytos anketos</w:t>
      </w:r>
      <w:r w:rsidR="00174132" w:rsidRPr="007F5E5A">
        <w:t xml:space="preserve">, </w:t>
      </w:r>
      <w:r w:rsidR="00F1606D" w:rsidRPr="007F5E5A">
        <w:t>esant tam</w:t>
      </w:r>
      <w:r w:rsidR="00174132" w:rsidRPr="007F5E5A">
        <w:t xml:space="preserve"> pačiam</w:t>
      </w:r>
      <w:r w:rsidR="00457ABB" w:rsidRPr="007F5E5A">
        <w:t xml:space="preserve">, t. y. </w:t>
      </w:r>
      <w:r w:rsidR="00174132" w:rsidRPr="007F5E5A">
        <w:t>95 proc.</w:t>
      </w:r>
      <w:r w:rsidR="00457ABB" w:rsidRPr="007F5E5A">
        <w:t>,</w:t>
      </w:r>
      <w:r w:rsidR="00F1606D" w:rsidRPr="007F5E5A">
        <w:t xml:space="preserve"> patikimumo lygmeniui</w:t>
      </w:r>
      <w:r w:rsidR="00174132" w:rsidRPr="007F5E5A">
        <w:t>,</w:t>
      </w:r>
      <w:r w:rsidR="006C49D7" w:rsidRPr="007F5E5A">
        <w:t xml:space="preserve"> paklaidą </w:t>
      </w:r>
      <w:r w:rsidR="000B582D" w:rsidRPr="007F5E5A">
        <w:t xml:space="preserve">padidino </w:t>
      </w:r>
      <w:r w:rsidR="00736BB3" w:rsidRPr="007F5E5A">
        <w:t>vos 0,3 proc.,</w:t>
      </w:r>
      <w:r w:rsidR="000B582D" w:rsidRPr="007F5E5A">
        <w:t xml:space="preserve"> t. y. iki 5,3 proc</w:t>
      </w:r>
      <w:r w:rsidR="000B582D" w:rsidRPr="00C44ECA">
        <w:t>.</w:t>
      </w:r>
      <w:r w:rsidR="00DF68D5" w:rsidRPr="00C44ECA">
        <w:t xml:space="preserve"> </w:t>
      </w:r>
      <w:r w:rsidR="00C44ECA" w:rsidRPr="00C44ECA">
        <w:t>Tokie</w:t>
      </w:r>
      <w:r w:rsidR="00DF68D5" w:rsidRPr="00C44ECA">
        <w:t xml:space="preserve"> skaičiai</w:t>
      </w:r>
      <w:r w:rsidR="00C44ECA" w:rsidRPr="00C44ECA">
        <w:t xml:space="preserve"> parodo</w:t>
      </w:r>
      <w:r w:rsidR="00DF68D5" w:rsidRPr="00C44ECA">
        <w:t>, jog</w:t>
      </w:r>
      <w:r w:rsidR="001E1CD9" w:rsidRPr="00C44ECA">
        <w:t xml:space="preserve"> tyrim</w:t>
      </w:r>
      <w:r w:rsidR="00C44ECA" w:rsidRPr="00C44ECA">
        <w:t>o duomenys turėtų būti patikimi bei</w:t>
      </w:r>
      <w:r w:rsidR="001E1CD9" w:rsidRPr="00C44ECA">
        <w:t xml:space="preserve"> reprezentatyvūs</w:t>
      </w:r>
      <w:r w:rsidR="00C44ECA" w:rsidRPr="00C44ECA">
        <w:t>, –</w:t>
      </w:r>
      <w:r w:rsidR="001E1CD9" w:rsidRPr="00C44ECA">
        <w:t xml:space="preserve"> </w:t>
      </w:r>
      <w:r w:rsidR="001E1CD9" w:rsidRPr="00E17B64">
        <w:rPr>
          <w:i/>
        </w:rPr>
        <w:t xml:space="preserve">ir </w:t>
      </w:r>
      <w:r w:rsidR="004C6404" w:rsidRPr="00E17B64">
        <w:rPr>
          <w:i/>
        </w:rPr>
        <w:t xml:space="preserve">dėl to </w:t>
      </w:r>
      <w:r w:rsidR="0092611E">
        <w:rPr>
          <w:i/>
        </w:rPr>
        <w:t xml:space="preserve">atspindintys </w:t>
      </w:r>
      <w:r w:rsidR="001E1CD9" w:rsidRPr="00E17B64">
        <w:rPr>
          <w:i/>
        </w:rPr>
        <w:t>generalin</w:t>
      </w:r>
      <w:r w:rsidR="004C6404" w:rsidRPr="00E17B64">
        <w:rPr>
          <w:i/>
        </w:rPr>
        <w:t>ę</w:t>
      </w:r>
      <w:r w:rsidR="001E1CD9" w:rsidRPr="00E17B64">
        <w:rPr>
          <w:i/>
        </w:rPr>
        <w:t xml:space="preserve"> aib</w:t>
      </w:r>
      <w:r w:rsidR="004C6404" w:rsidRPr="00E17B64">
        <w:rPr>
          <w:i/>
        </w:rPr>
        <w:t>ę</w:t>
      </w:r>
      <w:r w:rsidR="004C6404" w:rsidRPr="00C44ECA">
        <w:t>.</w:t>
      </w:r>
    </w:p>
    <w:p w:rsidR="00904715" w:rsidRDefault="006A3E5B" w:rsidP="00732CF2">
      <w:r>
        <w:t xml:space="preserve">Kadangi, atliekant tyrimą, </w:t>
      </w:r>
      <w:r w:rsidR="001D3696">
        <w:t>buvo siek</w:t>
      </w:r>
      <w:r w:rsidR="00293207">
        <w:t>i</w:t>
      </w:r>
      <w:r w:rsidR="001D3696">
        <w:t>a</w:t>
      </w:r>
      <w:r w:rsidR="00293207">
        <w:t>ma</w:t>
      </w:r>
      <w:r>
        <w:t xml:space="preserve"> atskleisti</w:t>
      </w:r>
      <w:r w:rsidR="00F83B77">
        <w:t xml:space="preserve">, kokia yra </w:t>
      </w:r>
      <w:r w:rsidR="00F83B77" w:rsidRPr="00E17B64">
        <w:rPr>
          <w:i/>
        </w:rPr>
        <w:t>didžiosios</w:t>
      </w:r>
      <w:r w:rsidR="00F83B77">
        <w:t xml:space="preserve"> dalies</w:t>
      </w:r>
      <w:r w:rsidR="00113771">
        <w:t xml:space="preserve"> </w:t>
      </w:r>
      <w:r w:rsidR="001436E3">
        <w:t xml:space="preserve">bedarbių </w:t>
      </w:r>
      <w:r w:rsidR="009812B1">
        <w:t xml:space="preserve">ir </w:t>
      </w:r>
      <w:r w:rsidR="00073C72">
        <w:t>socialin</w:t>
      </w:r>
      <w:r w:rsidR="009812B1">
        <w:t xml:space="preserve">ės paramos gavėjų </w:t>
      </w:r>
      <w:r w:rsidR="0044502D">
        <w:t xml:space="preserve">finansinė </w:t>
      </w:r>
      <w:r w:rsidR="00073C72">
        <w:t>elgsena</w:t>
      </w:r>
      <w:r w:rsidR="008976D0">
        <w:t xml:space="preserve">, </w:t>
      </w:r>
      <w:r w:rsidR="0066440F">
        <w:t xml:space="preserve">tyrimo eigoje </w:t>
      </w:r>
      <w:r w:rsidR="001436E3">
        <w:t xml:space="preserve">atsirado būtinybė </w:t>
      </w:r>
      <w:r w:rsidR="0044502D">
        <w:t>pa</w:t>
      </w:r>
      <w:r w:rsidR="0066440F">
        <w:t>tikrin</w:t>
      </w:r>
      <w:r w:rsidR="0044502D">
        <w:t>ti</w:t>
      </w:r>
      <w:r w:rsidR="00047B39">
        <w:t xml:space="preserve"> </w:t>
      </w:r>
      <w:r w:rsidR="004B24D7">
        <w:t>toliau pateiktas</w:t>
      </w:r>
      <w:r w:rsidR="009812B1">
        <w:t xml:space="preserve"> </w:t>
      </w:r>
      <w:r w:rsidR="008D5132" w:rsidRPr="0044502D">
        <w:rPr>
          <w:b/>
          <w:i/>
        </w:rPr>
        <w:t>hipotez</w:t>
      </w:r>
      <w:r w:rsidR="0044502D">
        <w:rPr>
          <w:b/>
          <w:i/>
        </w:rPr>
        <w:t>e</w:t>
      </w:r>
      <w:r w:rsidR="008D5132" w:rsidRPr="0044502D">
        <w:rPr>
          <w:b/>
          <w:i/>
        </w:rPr>
        <w:t>s</w:t>
      </w:r>
      <w:r w:rsidR="00047B39">
        <w:t>:</w:t>
      </w:r>
    </w:p>
    <w:p w:rsidR="006C6973" w:rsidRPr="00BC6C09" w:rsidRDefault="006C6973" w:rsidP="006C6973">
      <w:pPr>
        <w:rPr>
          <w:szCs w:val="24"/>
        </w:rPr>
      </w:pPr>
      <w:r w:rsidRPr="00BC6C09">
        <w:rPr>
          <w:b/>
          <w:i/>
          <w:szCs w:val="24"/>
        </w:rPr>
        <w:t>H</w:t>
      </w:r>
      <w:r w:rsidRPr="00BC6C09">
        <w:rPr>
          <w:b/>
          <w:i/>
          <w:szCs w:val="24"/>
          <w:vertAlign w:val="subscript"/>
        </w:rPr>
        <w:t>1</w:t>
      </w:r>
      <w:r>
        <w:rPr>
          <w:szCs w:val="24"/>
        </w:rPr>
        <w:t>: </w:t>
      </w:r>
      <w:r w:rsidRPr="003F0839">
        <w:rPr>
          <w:szCs w:val="24"/>
        </w:rPr>
        <w:t xml:space="preserve">didžioji dauguma </w:t>
      </w:r>
      <w:r w:rsidRPr="003F0839">
        <w:t xml:space="preserve">bedarbių </w:t>
      </w:r>
      <w:r>
        <w:t>ir</w:t>
      </w:r>
      <w:r w:rsidRPr="003F0839">
        <w:t xml:space="preserve"> socialinės paramos gavėjų pajamas </w:t>
      </w:r>
      <w:r>
        <w:t xml:space="preserve">– </w:t>
      </w:r>
      <w:r w:rsidRPr="006F7B97">
        <w:rPr>
          <w:i/>
        </w:rPr>
        <w:t>iš socialinės apsaugos lėšų</w:t>
      </w:r>
      <w:r>
        <w:t xml:space="preserve"> –</w:t>
      </w:r>
      <w:r w:rsidRPr="003F0839">
        <w:t xml:space="preserve"> formuoja arba nepagrįstai, arba neteisėtai, t</w:t>
      </w:r>
      <w:r>
        <w:t>o</w:t>
      </w:r>
      <w:r w:rsidRPr="003F0839">
        <w:t>d</w:t>
      </w:r>
      <w:r>
        <w:t>ėl</w:t>
      </w:r>
      <w:r w:rsidRPr="003F0839">
        <w:t xml:space="preserve"> jų finansinė elgsena yra veikiau neracionali</w:t>
      </w:r>
      <w:r>
        <w:t xml:space="preserve"> nei</w:t>
      </w:r>
      <w:r w:rsidRPr="003F0839">
        <w:t xml:space="preserve"> racionali.</w:t>
      </w:r>
    </w:p>
    <w:p w:rsidR="006C6973" w:rsidRPr="00E15CA2" w:rsidRDefault="006C6973" w:rsidP="006C6973">
      <w:pPr>
        <w:rPr>
          <w:szCs w:val="24"/>
        </w:rPr>
      </w:pPr>
      <w:r w:rsidRPr="005C36CB">
        <w:rPr>
          <w:b/>
          <w:i/>
          <w:szCs w:val="24"/>
        </w:rPr>
        <w:t>H</w:t>
      </w:r>
      <w:r w:rsidRPr="005C36CB">
        <w:rPr>
          <w:b/>
          <w:i/>
          <w:szCs w:val="24"/>
          <w:vertAlign w:val="subscript"/>
        </w:rPr>
        <w:t>2</w:t>
      </w:r>
      <w:r>
        <w:rPr>
          <w:szCs w:val="24"/>
        </w:rPr>
        <w:t xml:space="preserve">: prie </w:t>
      </w:r>
      <w:r w:rsidRPr="003F0839">
        <w:t xml:space="preserve">neracionalios finansinės elgsenos </w:t>
      </w:r>
      <w:r>
        <w:t xml:space="preserve">socialinės apsaugos srityje </w:t>
      </w:r>
      <w:r w:rsidRPr="003F0839">
        <w:t>atsiradim</w:t>
      </w:r>
      <w:r>
        <w:t>o labiausiai</w:t>
      </w:r>
      <w:r w:rsidRPr="003F0839">
        <w:t xml:space="preserve"> </w:t>
      </w:r>
      <w:r>
        <w:t xml:space="preserve">prisideda emociniai-psichologiniai </w:t>
      </w:r>
      <w:r w:rsidRPr="003F0839">
        <w:t>veiksniai</w:t>
      </w:r>
      <w:r>
        <w:t>, t. y. tie</w:t>
      </w:r>
      <w:r w:rsidRPr="003F0839">
        <w:t xml:space="preserve"> veiksniai, kurie reiškiasi iš žmogaus </w:t>
      </w:r>
      <w:r>
        <w:t xml:space="preserve">– </w:t>
      </w:r>
      <w:r w:rsidRPr="003F0839">
        <w:t>kaip „klaidų šaltinio“.</w:t>
      </w:r>
    </w:p>
    <w:p w:rsidR="000614D1" w:rsidRDefault="00C812BB" w:rsidP="00732CF2">
      <w:r>
        <w:t>Apklausa</w:t>
      </w:r>
      <w:r w:rsidR="005D587B" w:rsidRPr="00220CBE">
        <w:t xml:space="preserve"> </w:t>
      </w:r>
      <w:r w:rsidR="0042774D" w:rsidRPr="00220CBE">
        <w:t xml:space="preserve">atlikta </w:t>
      </w:r>
      <w:r w:rsidR="00487F6E">
        <w:t xml:space="preserve">vieną </w:t>
      </w:r>
      <w:r w:rsidR="0042774D" w:rsidRPr="00220CBE">
        <w:t>kartą, t. y. 20</w:t>
      </w:r>
      <w:r w:rsidR="006E6A0E">
        <w:t>12 m. spalio-lapkričio mėnesiais</w:t>
      </w:r>
      <w:r w:rsidR="0042774D" w:rsidRPr="00220CBE">
        <w:t xml:space="preserve"> ir daugiau nekartota.</w:t>
      </w:r>
      <w:r>
        <w:t xml:space="preserve"> Bedarbiais </w:t>
      </w:r>
      <w:r w:rsidR="0076069D" w:rsidRPr="00220CBE">
        <w:t xml:space="preserve">ir socialinės paramos gavėjais </w:t>
      </w:r>
      <w:r w:rsidR="006A584A">
        <w:t xml:space="preserve">laikyti </w:t>
      </w:r>
      <w:r w:rsidR="0076069D" w:rsidRPr="00220CBE">
        <w:t xml:space="preserve">tie </w:t>
      </w:r>
      <w:r w:rsidR="004505B3">
        <w:t>15-74 metų</w:t>
      </w:r>
      <w:r w:rsidR="00B80993" w:rsidRPr="00220CBE">
        <w:t xml:space="preserve"> asmeny</w:t>
      </w:r>
      <w:r w:rsidR="00081148" w:rsidRPr="00220CBE">
        <w:t>s</w:t>
      </w:r>
      <w:r w:rsidR="00200C1E">
        <w:t xml:space="preserve">, kurie tiriamuoju laikotarpiu </w:t>
      </w:r>
      <w:r w:rsidR="006A584A">
        <w:t xml:space="preserve">gavo </w:t>
      </w:r>
      <w:r w:rsidR="00046EB9">
        <w:t>nedarbo draudimo išmokas</w:t>
      </w:r>
      <w:r w:rsidR="008D03EC">
        <w:t xml:space="preserve"> ir</w:t>
      </w:r>
      <w:r w:rsidR="00B5085C">
        <w:t> / ar</w:t>
      </w:r>
      <w:r w:rsidR="003751E7">
        <w:t>ba</w:t>
      </w:r>
      <w:r w:rsidR="00046EB9">
        <w:t>,</w:t>
      </w:r>
      <w:r w:rsidR="00472EE8">
        <w:t xml:space="preserve"> </w:t>
      </w:r>
      <w:r w:rsidR="008A13F0">
        <w:t xml:space="preserve">– </w:t>
      </w:r>
      <w:r w:rsidR="00472EE8" w:rsidRPr="008A13F0">
        <w:rPr>
          <w:i/>
        </w:rPr>
        <w:t xml:space="preserve">nepriklausomai nuo to, ar </w:t>
      </w:r>
      <w:r w:rsidR="003751E7">
        <w:rPr>
          <w:i/>
        </w:rPr>
        <w:t xml:space="preserve">registravosi </w:t>
      </w:r>
      <w:r w:rsidR="00081148" w:rsidRPr="008A13F0">
        <w:rPr>
          <w:i/>
        </w:rPr>
        <w:t>darbo biržoje</w:t>
      </w:r>
      <w:r w:rsidR="00046EB9">
        <w:t>,</w:t>
      </w:r>
      <w:r w:rsidR="00472EE8">
        <w:t xml:space="preserve"> </w:t>
      </w:r>
      <w:r w:rsidR="008A13F0">
        <w:t>–</w:t>
      </w:r>
      <w:r w:rsidR="00C32D03">
        <w:t xml:space="preserve"> </w:t>
      </w:r>
      <w:r w:rsidR="00081148" w:rsidRPr="00220CBE">
        <w:t>socialinę paramą.</w:t>
      </w:r>
    </w:p>
    <w:p w:rsidR="0075083E" w:rsidRDefault="0075083E" w:rsidP="00732CF2">
      <w:r w:rsidRPr="00B019E2">
        <w:rPr>
          <w:b/>
          <w:i/>
          <w:u w:val="single"/>
        </w:rPr>
        <w:lastRenderedPageBreak/>
        <w:t>Bendra tiriamųjų charakteristika</w:t>
      </w:r>
      <w:r>
        <w:t>.</w:t>
      </w:r>
      <w:r w:rsidR="009C287F">
        <w:t xml:space="preserve"> Kaip minėta, siekiant išsiaiškinti, kokia yra didžiosios daugumos </w:t>
      </w:r>
      <w:r w:rsidR="009310AF">
        <w:t xml:space="preserve">nedarbo socialinio draudimo </w:t>
      </w:r>
      <w:r w:rsidR="005A7153">
        <w:t xml:space="preserve">išmokas </w:t>
      </w:r>
      <w:r w:rsidR="009C287F">
        <w:t>ir / ar</w:t>
      </w:r>
      <w:r w:rsidR="00744AA7">
        <w:t xml:space="preserve"> socialinę paramą gaunančių žmonių finansinė </w:t>
      </w:r>
      <w:r w:rsidR="005A7153">
        <w:t xml:space="preserve">elgsena, iš viso buvo </w:t>
      </w:r>
      <w:r w:rsidR="00605CC3">
        <w:t>n</w:t>
      </w:r>
      <w:r w:rsidR="009C6187">
        <w:t>agrinėjama</w:t>
      </w:r>
      <w:r w:rsidR="00744AA7">
        <w:t xml:space="preserve"> 341</w:t>
      </w:r>
      <w:r w:rsidR="009C6187">
        <w:t xml:space="preserve">, </w:t>
      </w:r>
      <w:r w:rsidR="009D3729" w:rsidRPr="00F77C61">
        <w:t>skirtingo amžiaus ir išsilavinimo lygio</w:t>
      </w:r>
      <w:r w:rsidR="009C6187">
        <w:t>,</w:t>
      </w:r>
      <w:r w:rsidR="005A7153">
        <w:t xml:space="preserve"> </w:t>
      </w:r>
      <w:r w:rsidR="00F77C61">
        <w:t>žmogaus</w:t>
      </w:r>
      <w:r w:rsidR="009310AF">
        <w:t xml:space="preserve"> pateikti atsakymai</w:t>
      </w:r>
      <w:r w:rsidR="00351202">
        <w:t xml:space="preserve">. Apskaičiavus </w:t>
      </w:r>
      <w:r w:rsidR="0013134B">
        <w:t>modą</w:t>
      </w:r>
      <w:r w:rsidR="009310AF">
        <w:t>,</w:t>
      </w:r>
      <w:r w:rsidR="0013134B">
        <w:t xml:space="preserve"> paaiškėjo, jog</w:t>
      </w:r>
      <w:r w:rsidR="00AC0138">
        <w:t xml:space="preserve"> daugiausia</w:t>
      </w:r>
      <w:r w:rsidR="003A73CA">
        <w:t>i</w:t>
      </w:r>
      <w:r w:rsidR="00AC0138">
        <w:t xml:space="preserve"> </w:t>
      </w:r>
      <w:r w:rsidR="001A72D3">
        <w:t>(</w:t>
      </w:r>
      <w:r w:rsidR="00E520EE">
        <w:t>29</w:t>
      </w:r>
      <w:r w:rsidR="001A72D3">
        <w:t xml:space="preserve">,9 proc.) </w:t>
      </w:r>
      <w:r w:rsidR="00C30ABC">
        <w:t xml:space="preserve">buvo </w:t>
      </w:r>
      <w:r w:rsidR="00AC0138">
        <w:t>apklausta</w:t>
      </w:r>
      <w:r w:rsidR="001A72D3">
        <w:t xml:space="preserve"> 25</w:t>
      </w:r>
      <w:r w:rsidR="005E467C">
        <w:t>–34</w:t>
      </w:r>
      <w:r w:rsidR="001A72D3">
        <w:t xml:space="preserve"> m. </w:t>
      </w:r>
      <w:r w:rsidR="00250077">
        <w:t>amžiaus individų</w:t>
      </w:r>
      <w:r w:rsidR="005E467C">
        <w:t xml:space="preserve"> bei</w:t>
      </w:r>
      <w:r w:rsidR="002528B7">
        <w:t xml:space="preserve"> tų</w:t>
      </w:r>
      <w:r w:rsidR="005E467C">
        <w:t xml:space="preserve"> asmenų, </w:t>
      </w:r>
      <w:r w:rsidR="002528B7">
        <w:t xml:space="preserve">kurie </w:t>
      </w:r>
      <w:r w:rsidR="005E467C">
        <w:t>patek</w:t>
      </w:r>
      <w:r w:rsidR="002528B7">
        <w:t>o</w:t>
      </w:r>
      <w:r w:rsidR="00620285">
        <w:t xml:space="preserve"> į 35–44 m. amžiaus kategoriją</w:t>
      </w:r>
      <w:r w:rsidR="00C30ABC">
        <w:t xml:space="preserve"> (25,2 proc.)</w:t>
      </w:r>
      <w:r w:rsidR="00325DF1">
        <w:t>.</w:t>
      </w:r>
      <w:r w:rsidR="00E520EE">
        <w:t xml:space="preserve"> Tai leidžia daryti išvadą</w:t>
      </w:r>
      <w:r w:rsidR="002528B7">
        <w:t xml:space="preserve">, jog aktyvesni </w:t>
      </w:r>
      <w:r w:rsidR="00BB5F7A">
        <w:t>tiriamuoju laikotarpiu buvo jaunesni žmonės</w:t>
      </w:r>
      <w:r w:rsidR="00D82F09">
        <w:t>, kurių aktyvum</w:t>
      </w:r>
      <w:r w:rsidR="00D07F12">
        <w:t>as gal</w:t>
      </w:r>
      <w:r w:rsidR="00736A41">
        <w:t>i</w:t>
      </w:r>
      <w:r w:rsidR="00D07F12">
        <w:t xml:space="preserve"> būti grindžiamas tuo, </w:t>
      </w:r>
      <w:r w:rsidR="004F51D7">
        <w:t xml:space="preserve">kad jie </w:t>
      </w:r>
      <w:r w:rsidR="0013064D">
        <w:t>buvo</w:t>
      </w:r>
      <w:r w:rsidR="004F51D7">
        <w:t xml:space="preserve"> technologiškai</w:t>
      </w:r>
      <w:r w:rsidR="0013064D">
        <w:t xml:space="preserve"> pažangesni bei</w:t>
      </w:r>
      <w:r w:rsidR="004F51D7">
        <w:t xml:space="preserve"> geb</w:t>
      </w:r>
      <w:r w:rsidR="00C922E5">
        <w:t>ėjo</w:t>
      </w:r>
      <w:r w:rsidR="004F51D7">
        <w:t xml:space="preserve"> geriau</w:t>
      </w:r>
      <w:r w:rsidR="00C922E5">
        <w:t xml:space="preserve"> suvokti </w:t>
      </w:r>
      <w:r w:rsidR="00AA1C11">
        <w:t>pateiktą</w:t>
      </w:r>
      <w:r w:rsidR="00736A41">
        <w:t xml:space="preserve"> informaciją </w:t>
      </w:r>
      <w:r w:rsidR="007D0898">
        <w:t xml:space="preserve">– dėl didesnio </w:t>
      </w:r>
      <w:r w:rsidR="00AA1C11">
        <w:t xml:space="preserve">išsilavinimo ar </w:t>
      </w:r>
      <w:r w:rsidR="007D0898">
        <w:t>išprusimo lygio.</w:t>
      </w:r>
    </w:p>
    <w:bookmarkStart w:id="30" w:name="_Toc343638398"/>
    <w:p w:rsidR="001B26AF" w:rsidRDefault="00D84BC4" w:rsidP="00886347">
      <w:pPr>
        <w:pStyle w:val="Caption"/>
      </w:pPr>
      <w:r w:rsidRPr="00600A09">
        <w:fldChar w:fldCharType="begin"/>
      </w:r>
      <w:r w:rsidR="00600A09" w:rsidRPr="00600A09">
        <w:instrText xml:space="preserve"> SEQ lentelė \* ARABIC </w:instrText>
      </w:r>
      <w:r w:rsidRPr="00600A09">
        <w:fldChar w:fldCharType="separate"/>
      </w:r>
      <w:r w:rsidR="00600A09" w:rsidRPr="00600A09">
        <w:t>3</w:t>
      </w:r>
      <w:r w:rsidRPr="00600A09">
        <w:fldChar w:fldCharType="end"/>
      </w:r>
      <w:r w:rsidR="00600A09" w:rsidRPr="00600A09">
        <w:t xml:space="preserve"> </w:t>
      </w:r>
      <w:r w:rsidR="000548BF" w:rsidRPr="00600A09">
        <w:t>lentelė</w:t>
      </w:r>
      <w:r w:rsidR="00600A09" w:rsidRPr="00600A09">
        <w:t>.</w:t>
      </w:r>
      <w:r w:rsidR="000548BF" w:rsidRPr="000548BF">
        <w:rPr>
          <w:color w:val="FF0000"/>
        </w:rPr>
        <w:t xml:space="preserve"> </w:t>
      </w:r>
      <w:r w:rsidR="00B2136D">
        <w:t>Apklausos dalyvių</w:t>
      </w:r>
      <w:r w:rsidR="001B26AF">
        <w:t xml:space="preserve"> amžiaus kategorijų ir išsilavinimo lygio sąryšis</w:t>
      </w:r>
      <w:bookmarkEnd w:id="30"/>
    </w:p>
    <w:tbl>
      <w:tblPr>
        <w:tblW w:w="1029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232"/>
        <w:gridCol w:w="576"/>
        <w:gridCol w:w="576"/>
        <w:gridCol w:w="576"/>
        <w:gridCol w:w="576"/>
        <w:gridCol w:w="576"/>
        <w:gridCol w:w="576"/>
        <w:gridCol w:w="576"/>
        <w:gridCol w:w="576"/>
        <w:gridCol w:w="576"/>
        <w:gridCol w:w="576"/>
        <w:gridCol w:w="576"/>
        <w:gridCol w:w="576"/>
        <w:gridCol w:w="576"/>
        <w:gridCol w:w="576"/>
      </w:tblGrid>
      <w:tr w:rsidR="00E72271" w:rsidRPr="000A7635" w:rsidTr="00185359">
        <w:trPr>
          <w:cantSplit/>
          <w:tblHeader/>
        </w:trPr>
        <w:tc>
          <w:tcPr>
            <w:tcW w:w="2232" w:type="dxa"/>
            <w:vMerge w:val="restart"/>
            <w:tcBorders>
              <w:top w:val="single" w:sz="12" w:space="0" w:color="000000"/>
              <w:left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E72271" w:rsidRPr="000A7635" w:rsidRDefault="00E72271" w:rsidP="008201A7">
            <w:pPr>
              <w:widowControl/>
              <w:autoSpaceDE w:val="0"/>
              <w:autoSpaceDN w:val="0"/>
              <w:adjustRightInd w:val="0"/>
              <w:spacing w:after="0" w:line="240" w:lineRule="auto"/>
              <w:ind w:firstLine="0"/>
              <w:jc w:val="center"/>
              <w:rPr>
                <w:b/>
                <w:i/>
                <w:sz w:val="17"/>
                <w:szCs w:val="17"/>
              </w:rPr>
            </w:pPr>
            <w:r w:rsidRPr="000A7635">
              <w:rPr>
                <w:b/>
                <w:i/>
                <w:sz w:val="17"/>
                <w:szCs w:val="17"/>
              </w:rPr>
              <w:t>Išsilavinimas</w:t>
            </w:r>
          </w:p>
        </w:tc>
        <w:tc>
          <w:tcPr>
            <w:tcW w:w="6912" w:type="dxa"/>
            <w:gridSpan w:val="1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E72271" w:rsidRPr="000A7635" w:rsidRDefault="00E72271" w:rsidP="008201A7">
            <w:pPr>
              <w:widowControl/>
              <w:autoSpaceDE w:val="0"/>
              <w:autoSpaceDN w:val="0"/>
              <w:adjustRightInd w:val="0"/>
              <w:spacing w:after="0" w:line="240" w:lineRule="auto"/>
              <w:ind w:firstLine="0"/>
              <w:jc w:val="center"/>
              <w:rPr>
                <w:b/>
                <w:sz w:val="17"/>
                <w:szCs w:val="17"/>
              </w:rPr>
            </w:pPr>
            <w:r w:rsidRPr="000A7635">
              <w:rPr>
                <w:b/>
                <w:sz w:val="17"/>
                <w:szCs w:val="17"/>
              </w:rPr>
              <w:t>Amžiaus kategorija</w:t>
            </w:r>
          </w:p>
        </w:tc>
        <w:tc>
          <w:tcPr>
            <w:tcW w:w="1152" w:type="dxa"/>
            <w:gridSpan w:val="2"/>
            <w:vMerge w:val="restart"/>
            <w:tcBorders>
              <w:top w:val="single" w:sz="12" w:space="0" w:color="000000"/>
              <w:left w:val="single" w:sz="12" w:space="0" w:color="000000"/>
              <w:right w:val="single" w:sz="12" w:space="0" w:color="000000"/>
            </w:tcBorders>
            <w:shd w:val="clear" w:color="auto" w:fill="D9D9D9" w:themeFill="background1" w:themeFillShade="D9"/>
            <w:vAlign w:val="bottom"/>
          </w:tcPr>
          <w:p w:rsidR="00E72271" w:rsidRPr="000A7635" w:rsidRDefault="00E72271" w:rsidP="008201A7">
            <w:pPr>
              <w:widowControl/>
              <w:autoSpaceDE w:val="0"/>
              <w:autoSpaceDN w:val="0"/>
              <w:adjustRightInd w:val="0"/>
              <w:spacing w:after="0" w:line="240" w:lineRule="auto"/>
              <w:ind w:firstLine="0"/>
              <w:jc w:val="center"/>
              <w:rPr>
                <w:b/>
                <w:i/>
                <w:sz w:val="17"/>
                <w:szCs w:val="17"/>
              </w:rPr>
            </w:pPr>
            <w:r w:rsidRPr="000A7635">
              <w:rPr>
                <w:b/>
                <w:i/>
                <w:sz w:val="17"/>
                <w:szCs w:val="17"/>
              </w:rPr>
              <w:t>Iš viso:</w:t>
            </w:r>
          </w:p>
        </w:tc>
      </w:tr>
      <w:tr w:rsidR="00E72271" w:rsidRPr="000A7635" w:rsidTr="00185359">
        <w:trPr>
          <w:cantSplit/>
          <w:tblHeader/>
        </w:trPr>
        <w:tc>
          <w:tcPr>
            <w:tcW w:w="2232" w:type="dxa"/>
            <w:vMerge/>
            <w:tcBorders>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tcPr>
          <w:p w:rsidR="00E72271" w:rsidRPr="000A7635" w:rsidRDefault="00E72271" w:rsidP="008201A7">
            <w:pPr>
              <w:widowControl/>
              <w:autoSpaceDE w:val="0"/>
              <w:autoSpaceDN w:val="0"/>
              <w:adjustRightInd w:val="0"/>
              <w:spacing w:after="0" w:line="240" w:lineRule="auto"/>
              <w:ind w:firstLine="0"/>
              <w:jc w:val="left"/>
              <w:rPr>
                <w:sz w:val="18"/>
                <w:szCs w:val="18"/>
              </w:rPr>
            </w:pPr>
          </w:p>
        </w:tc>
        <w:tc>
          <w:tcPr>
            <w:tcW w:w="1152"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E72271" w:rsidRPr="000A7635" w:rsidRDefault="00E72271" w:rsidP="008201A7">
            <w:pPr>
              <w:widowControl/>
              <w:autoSpaceDE w:val="0"/>
              <w:autoSpaceDN w:val="0"/>
              <w:adjustRightInd w:val="0"/>
              <w:spacing w:after="0" w:line="240" w:lineRule="auto"/>
              <w:ind w:firstLine="0"/>
              <w:jc w:val="center"/>
              <w:rPr>
                <w:b/>
                <w:i/>
                <w:sz w:val="17"/>
                <w:szCs w:val="17"/>
              </w:rPr>
            </w:pPr>
            <w:r w:rsidRPr="000A7635">
              <w:rPr>
                <w:b/>
                <w:i/>
                <w:sz w:val="17"/>
                <w:szCs w:val="17"/>
              </w:rPr>
              <w:t>15-24 m.</w:t>
            </w:r>
          </w:p>
        </w:tc>
        <w:tc>
          <w:tcPr>
            <w:tcW w:w="1152"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E72271" w:rsidRPr="000A7635" w:rsidRDefault="00E72271" w:rsidP="008201A7">
            <w:pPr>
              <w:widowControl/>
              <w:autoSpaceDE w:val="0"/>
              <w:autoSpaceDN w:val="0"/>
              <w:adjustRightInd w:val="0"/>
              <w:spacing w:after="0" w:line="240" w:lineRule="auto"/>
              <w:ind w:firstLine="0"/>
              <w:jc w:val="center"/>
              <w:rPr>
                <w:b/>
                <w:i/>
                <w:sz w:val="17"/>
                <w:szCs w:val="17"/>
              </w:rPr>
            </w:pPr>
            <w:r w:rsidRPr="000A7635">
              <w:rPr>
                <w:b/>
                <w:i/>
                <w:sz w:val="17"/>
                <w:szCs w:val="17"/>
              </w:rPr>
              <w:t>25-34 m.</w:t>
            </w:r>
          </w:p>
        </w:tc>
        <w:tc>
          <w:tcPr>
            <w:tcW w:w="1152"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E72271" w:rsidRPr="000A7635" w:rsidRDefault="00E72271" w:rsidP="008201A7">
            <w:pPr>
              <w:widowControl/>
              <w:autoSpaceDE w:val="0"/>
              <w:autoSpaceDN w:val="0"/>
              <w:adjustRightInd w:val="0"/>
              <w:spacing w:after="0" w:line="240" w:lineRule="auto"/>
              <w:ind w:firstLine="0"/>
              <w:jc w:val="center"/>
              <w:rPr>
                <w:b/>
                <w:i/>
                <w:sz w:val="17"/>
                <w:szCs w:val="17"/>
              </w:rPr>
            </w:pPr>
            <w:r w:rsidRPr="000A7635">
              <w:rPr>
                <w:b/>
                <w:i/>
                <w:sz w:val="17"/>
                <w:szCs w:val="17"/>
              </w:rPr>
              <w:t>35-44 m.</w:t>
            </w:r>
          </w:p>
        </w:tc>
        <w:tc>
          <w:tcPr>
            <w:tcW w:w="1152"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E72271" w:rsidRPr="000A7635" w:rsidRDefault="00E72271" w:rsidP="008201A7">
            <w:pPr>
              <w:widowControl/>
              <w:autoSpaceDE w:val="0"/>
              <w:autoSpaceDN w:val="0"/>
              <w:adjustRightInd w:val="0"/>
              <w:spacing w:after="0" w:line="240" w:lineRule="auto"/>
              <w:ind w:firstLine="0"/>
              <w:jc w:val="center"/>
              <w:rPr>
                <w:b/>
                <w:i/>
                <w:sz w:val="17"/>
                <w:szCs w:val="17"/>
              </w:rPr>
            </w:pPr>
            <w:r w:rsidRPr="000A7635">
              <w:rPr>
                <w:b/>
                <w:i/>
                <w:sz w:val="17"/>
                <w:szCs w:val="17"/>
              </w:rPr>
              <w:t>45-54 m.</w:t>
            </w:r>
          </w:p>
        </w:tc>
        <w:tc>
          <w:tcPr>
            <w:tcW w:w="1152"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E72271" w:rsidRPr="000A7635" w:rsidRDefault="00E72271" w:rsidP="008201A7">
            <w:pPr>
              <w:widowControl/>
              <w:autoSpaceDE w:val="0"/>
              <w:autoSpaceDN w:val="0"/>
              <w:adjustRightInd w:val="0"/>
              <w:spacing w:after="0" w:line="240" w:lineRule="auto"/>
              <w:ind w:firstLine="0"/>
              <w:jc w:val="center"/>
              <w:rPr>
                <w:b/>
                <w:i/>
                <w:sz w:val="17"/>
                <w:szCs w:val="17"/>
              </w:rPr>
            </w:pPr>
            <w:r w:rsidRPr="000A7635">
              <w:rPr>
                <w:b/>
                <w:i/>
                <w:sz w:val="17"/>
                <w:szCs w:val="17"/>
              </w:rPr>
              <w:t>55-64 m.</w:t>
            </w:r>
          </w:p>
        </w:tc>
        <w:tc>
          <w:tcPr>
            <w:tcW w:w="1152"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E72271" w:rsidRPr="000A7635" w:rsidRDefault="00E72271" w:rsidP="008201A7">
            <w:pPr>
              <w:widowControl/>
              <w:autoSpaceDE w:val="0"/>
              <w:autoSpaceDN w:val="0"/>
              <w:adjustRightInd w:val="0"/>
              <w:spacing w:after="0" w:line="240" w:lineRule="auto"/>
              <w:ind w:firstLine="0"/>
              <w:jc w:val="center"/>
              <w:rPr>
                <w:b/>
                <w:i/>
                <w:sz w:val="17"/>
                <w:szCs w:val="17"/>
              </w:rPr>
            </w:pPr>
            <w:r w:rsidRPr="000A7635">
              <w:rPr>
                <w:b/>
                <w:i/>
                <w:sz w:val="17"/>
                <w:szCs w:val="17"/>
              </w:rPr>
              <w:t>65-74 m.</w:t>
            </w:r>
          </w:p>
        </w:tc>
        <w:tc>
          <w:tcPr>
            <w:tcW w:w="1152" w:type="dxa"/>
            <w:gridSpan w:val="2"/>
            <w:vMerge/>
            <w:tcBorders>
              <w:left w:val="single" w:sz="12" w:space="0" w:color="000000"/>
              <w:bottom w:val="single" w:sz="12" w:space="0" w:color="000000"/>
              <w:right w:val="single" w:sz="12" w:space="0" w:color="000000"/>
            </w:tcBorders>
            <w:shd w:val="clear" w:color="auto" w:fill="D9D9D9" w:themeFill="background1" w:themeFillShade="D9"/>
          </w:tcPr>
          <w:p w:rsidR="00E72271" w:rsidRPr="000A7635" w:rsidRDefault="00E72271" w:rsidP="008201A7">
            <w:pPr>
              <w:widowControl/>
              <w:autoSpaceDE w:val="0"/>
              <w:autoSpaceDN w:val="0"/>
              <w:adjustRightInd w:val="0"/>
              <w:spacing w:after="0" w:line="240" w:lineRule="auto"/>
              <w:ind w:firstLine="0"/>
              <w:jc w:val="center"/>
              <w:rPr>
                <w:b/>
                <w:i/>
                <w:sz w:val="17"/>
                <w:szCs w:val="17"/>
              </w:rPr>
            </w:pPr>
          </w:p>
        </w:tc>
      </w:tr>
      <w:tr w:rsidR="00864916" w:rsidRPr="000A7635" w:rsidTr="00F1310A">
        <w:trPr>
          <w:cantSplit/>
          <w:trHeight w:val="147"/>
          <w:tblHeader/>
        </w:trPr>
        <w:tc>
          <w:tcPr>
            <w:tcW w:w="2232"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tcMar>
              <w:top w:w="30" w:type="dxa"/>
              <w:left w:w="30" w:type="dxa"/>
              <w:bottom w:w="30" w:type="dxa"/>
              <w:right w:w="30" w:type="dxa"/>
            </w:tcMar>
          </w:tcPr>
          <w:p w:rsidR="00864916" w:rsidRPr="000A7635" w:rsidRDefault="00864916" w:rsidP="008201A7">
            <w:pPr>
              <w:widowControl/>
              <w:autoSpaceDE w:val="0"/>
              <w:autoSpaceDN w:val="0"/>
              <w:adjustRightInd w:val="0"/>
              <w:spacing w:after="0" w:line="240" w:lineRule="auto"/>
              <w:ind w:firstLine="0"/>
              <w:jc w:val="left"/>
              <w:rPr>
                <w:b/>
                <w:i/>
                <w:sz w:val="18"/>
                <w:szCs w:val="18"/>
              </w:rPr>
            </w:pPr>
            <w:r w:rsidRPr="000A7635">
              <w:rPr>
                <w:b/>
                <w:i/>
                <w:sz w:val="18"/>
                <w:szCs w:val="18"/>
              </w:rPr>
              <w:t>Pradinis</w:t>
            </w:r>
          </w:p>
        </w:tc>
        <w:tc>
          <w:tcPr>
            <w:tcW w:w="576" w:type="dxa"/>
            <w:tcBorders>
              <w:top w:val="single" w:sz="1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0</w:t>
            </w:r>
          </w:p>
        </w:tc>
        <w:tc>
          <w:tcPr>
            <w:tcW w:w="576" w:type="dxa"/>
            <w:vMerge w:val="restart"/>
            <w:tcBorders>
              <w:top w:val="single" w:sz="12" w:space="0" w:color="000000"/>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54,8 %</w:t>
            </w:r>
          </w:p>
        </w:tc>
        <w:tc>
          <w:tcPr>
            <w:tcW w:w="576" w:type="dxa"/>
            <w:tcBorders>
              <w:top w:val="single" w:sz="1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2</w:t>
            </w:r>
          </w:p>
        </w:tc>
        <w:tc>
          <w:tcPr>
            <w:tcW w:w="576" w:type="dxa"/>
            <w:vMerge w:val="restart"/>
            <w:tcBorders>
              <w:top w:val="single" w:sz="12" w:space="0" w:color="000000"/>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31,4 %</w:t>
            </w:r>
          </w:p>
        </w:tc>
        <w:tc>
          <w:tcPr>
            <w:tcW w:w="576" w:type="dxa"/>
            <w:tcBorders>
              <w:top w:val="single" w:sz="1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0</w:t>
            </w:r>
          </w:p>
        </w:tc>
        <w:tc>
          <w:tcPr>
            <w:tcW w:w="576" w:type="dxa"/>
            <w:vMerge w:val="restart"/>
            <w:tcBorders>
              <w:top w:val="single" w:sz="12" w:space="0" w:color="000000"/>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41,9 %</w:t>
            </w:r>
          </w:p>
        </w:tc>
        <w:tc>
          <w:tcPr>
            <w:tcW w:w="576" w:type="dxa"/>
            <w:tcBorders>
              <w:top w:val="single" w:sz="1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0</w:t>
            </w:r>
          </w:p>
        </w:tc>
        <w:tc>
          <w:tcPr>
            <w:tcW w:w="576" w:type="dxa"/>
            <w:vMerge w:val="restart"/>
            <w:tcBorders>
              <w:top w:val="single" w:sz="12" w:space="0" w:color="000000"/>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39,1 %</w:t>
            </w:r>
          </w:p>
        </w:tc>
        <w:tc>
          <w:tcPr>
            <w:tcW w:w="576" w:type="dxa"/>
            <w:tcBorders>
              <w:top w:val="single" w:sz="1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0</w:t>
            </w:r>
          </w:p>
        </w:tc>
        <w:tc>
          <w:tcPr>
            <w:tcW w:w="576" w:type="dxa"/>
            <w:vMerge w:val="restart"/>
            <w:tcBorders>
              <w:top w:val="single" w:sz="12" w:space="0" w:color="000000"/>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57,9 %</w:t>
            </w:r>
          </w:p>
        </w:tc>
        <w:tc>
          <w:tcPr>
            <w:tcW w:w="576" w:type="dxa"/>
            <w:tcBorders>
              <w:top w:val="single" w:sz="1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0</w:t>
            </w:r>
          </w:p>
        </w:tc>
        <w:tc>
          <w:tcPr>
            <w:tcW w:w="576" w:type="dxa"/>
            <w:vMerge w:val="restart"/>
            <w:tcBorders>
              <w:top w:val="single" w:sz="12" w:space="0" w:color="000000"/>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50,0 %</w:t>
            </w:r>
          </w:p>
        </w:tc>
        <w:tc>
          <w:tcPr>
            <w:tcW w:w="57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tcPr>
          <w:p w:rsidR="00864916" w:rsidRPr="000A7635" w:rsidRDefault="00864916" w:rsidP="008201A7">
            <w:pPr>
              <w:widowControl/>
              <w:autoSpaceDE w:val="0"/>
              <w:autoSpaceDN w:val="0"/>
              <w:adjustRightInd w:val="0"/>
              <w:spacing w:after="0" w:line="240" w:lineRule="auto"/>
              <w:ind w:firstLine="0"/>
              <w:jc w:val="center"/>
              <w:rPr>
                <w:b/>
                <w:sz w:val="18"/>
                <w:szCs w:val="18"/>
              </w:rPr>
            </w:pPr>
            <w:r w:rsidRPr="000A7635">
              <w:rPr>
                <w:b/>
                <w:sz w:val="18"/>
                <w:szCs w:val="18"/>
              </w:rPr>
              <w:t>2</w:t>
            </w:r>
          </w:p>
        </w:tc>
        <w:tc>
          <w:tcPr>
            <w:tcW w:w="576" w:type="dxa"/>
            <w:vMerge w:val="restart"/>
            <w:tcBorders>
              <w:top w:val="single" w:sz="12" w:space="0" w:color="000000"/>
              <w:left w:val="single" w:sz="12" w:space="0" w:color="000000"/>
              <w:right w:val="single" w:sz="12" w:space="0" w:color="000000"/>
            </w:tcBorders>
            <w:shd w:val="clear" w:color="auto" w:fill="D9D9D9" w:themeFill="background1" w:themeFillShade="D9"/>
            <w:vAlign w:val="center"/>
          </w:tcPr>
          <w:p w:rsidR="00864916" w:rsidRPr="000A7635" w:rsidRDefault="00864916" w:rsidP="006B7307">
            <w:pPr>
              <w:widowControl/>
              <w:autoSpaceDE w:val="0"/>
              <w:autoSpaceDN w:val="0"/>
              <w:adjustRightInd w:val="0"/>
              <w:spacing w:after="0" w:line="240" w:lineRule="auto"/>
              <w:ind w:firstLine="0"/>
              <w:jc w:val="center"/>
              <w:rPr>
                <w:b/>
                <w:sz w:val="18"/>
                <w:szCs w:val="18"/>
                <w:lang w:val="en-US"/>
              </w:rPr>
            </w:pPr>
            <w:r w:rsidRPr="000A7635">
              <w:rPr>
                <w:b/>
                <w:sz w:val="18"/>
                <w:szCs w:val="18"/>
              </w:rPr>
              <w:t>42,5 </w:t>
            </w:r>
            <w:r w:rsidRPr="000A7635">
              <w:rPr>
                <w:b/>
                <w:sz w:val="18"/>
                <w:szCs w:val="18"/>
                <w:lang w:val="en-US"/>
              </w:rPr>
              <w:t>%</w:t>
            </w:r>
          </w:p>
        </w:tc>
      </w:tr>
      <w:tr w:rsidR="00864916" w:rsidRPr="000A7635" w:rsidTr="0056253B">
        <w:trPr>
          <w:cantSplit/>
          <w:trHeight w:val="154"/>
          <w:tblHeader/>
        </w:trPr>
        <w:tc>
          <w:tcPr>
            <w:tcW w:w="2232" w:type="dxa"/>
            <w:tcBorders>
              <w:top w:val="single" w:sz="2" w:space="0" w:color="000000"/>
              <w:left w:val="single" w:sz="12" w:space="0" w:color="000000"/>
              <w:bottom w:val="single" w:sz="2" w:space="0" w:color="000000"/>
              <w:right w:val="single" w:sz="12" w:space="0" w:color="000000"/>
            </w:tcBorders>
            <w:shd w:val="clear" w:color="auto" w:fill="D9D9D9" w:themeFill="background1" w:themeFillShade="D9"/>
            <w:tcMar>
              <w:top w:w="30" w:type="dxa"/>
              <w:left w:w="30" w:type="dxa"/>
              <w:bottom w:w="30" w:type="dxa"/>
              <w:right w:w="30" w:type="dxa"/>
            </w:tcMar>
          </w:tcPr>
          <w:p w:rsidR="00864916" w:rsidRPr="000A7635" w:rsidRDefault="00864916" w:rsidP="008201A7">
            <w:pPr>
              <w:widowControl/>
              <w:autoSpaceDE w:val="0"/>
              <w:autoSpaceDN w:val="0"/>
              <w:adjustRightInd w:val="0"/>
              <w:spacing w:after="0" w:line="240" w:lineRule="auto"/>
              <w:ind w:firstLine="0"/>
              <w:jc w:val="left"/>
              <w:rPr>
                <w:b/>
                <w:i/>
                <w:sz w:val="18"/>
                <w:szCs w:val="18"/>
              </w:rPr>
            </w:pPr>
            <w:r w:rsidRPr="000A7635">
              <w:rPr>
                <w:b/>
                <w:i/>
                <w:sz w:val="18"/>
                <w:szCs w:val="18"/>
              </w:rPr>
              <w:t>Pagrindinis</w:t>
            </w:r>
          </w:p>
        </w:tc>
        <w:tc>
          <w:tcPr>
            <w:tcW w:w="576"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4</w:t>
            </w:r>
          </w:p>
        </w:tc>
        <w:tc>
          <w:tcPr>
            <w:tcW w:w="576" w:type="dxa"/>
            <w:vMerge/>
            <w:tcBorders>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4</w:t>
            </w:r>
          </w:p>
        </w:tc>
        <w:tc>
          <w:tcPr>
            <w:tcW w:w="576" w:type="dxa"/>
            <w:vMerge/>
            <w:tcBorders>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2</w:t>
            </w:r>
          </w:p>
        </w:tc>
        <w:tc>
          <w:tcPr>
            <w:tcW w:w="576" w:type="dxa"/>
            <w:vMerge/>
            <w:tcBorders>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6</w:t>
            </w:r>
          </w:p>
        </w:tc>
        <w:tc>
          <w:tcPr>
            <w:tcW w:w="576" w:type="dxa"/>
            <w:vMerge/>
            <w:tcBorders>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3</w:t>
            </w:r>
          </w:p>
        </w:tc>
        <w:tc>
          <w:tcPr>
            <w:tcW w:w="576" w:type="dxa"/>
            <w:vMerge/>
            <w:tcBorders>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1</w:t>
            </w:r>
          </w:p>
        </w:tc>
        <w:tc>
          <w:tcPr>
            <w:tcW w:w="576" w:type="dxa"/>
            <w:vMerge/>
            <w:tcBorders>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2" w:space="0" w:color="000000"/>
              <w:right w:val="single" w:sz="12" w:space="0" w:color="000000"/>
            </w:tcBorders>
            <w:shd w:val="clear" w:color="auto" w:fill="D9D9D9" w:themeFill="background1" w:themeFillShade="D9"/>
          </w:tcPr>
          <w:p w:rsidR="00864916" w:rsidRPr="000A7635" w:rsidRDefault="00864916" w:rsidP="008201A7">
            <w:pPr>
              <w:widowControl/>
              <w:autoSpaceDE w:val="0"/>
              <w:autoSpaceDN w:val="0"/>
              <w:adjustRightInd w:val="0"/>
              <w:spacing w:after="0" w:line="240" w:lineRule="auto"/>
              <w:ind w:firstLine="0"/>
              <w:jc w:val="center"/>
              <w:rPr>
                <w:b/>
                <w:sz w:val="18"/>
                <w:szCs w:val="18"/>
              </w:rPr>
            </w:pPr>
            <w:r w:rsidRPr="000A7635">
              <w:rPr>
                <w:b/>
                <w:sz w:val="18"/>
                <w:szCs w:val="18"/>
              </w:rPr>
              <w:t>20</w:t>
            </w:r>
          </w:p>
        </w:tc>
        <w:tc>
          <w:tcPr>
            <w:tcW w:w="576" w:type="dxa"/>
            <w:vMerge/>
            <w:tcBorders>
              <w:left w:val="single" w:sz="12" w:space="0" w:color="000000"/>
              <w:right w:val="single" w:sz="12" w:space="0" w:color="000000"/>
            </w:tcBorders>
            <w:shd w:val="clear" w:color="auto" w:fill="D9D9D9" w:themeFill="background1" w:themeFillShade="D9"/>
          </w:tcPr>
          <w:p w:rsidR="00864916" w:rsidRPr="000A7635" w:rsidRDefault="00864916" w:rsidP="008201A7">
            <w:pPr>
              <w:widowControl/>
              <w:autoSpaceDE w:val="0"/>
              <w:autoSpaceDN w:val="0"/>
              <w:adjustRightInd w:val="0"/>
              <w:spacing w:after="0" w:line="240" w:lineRule="auto"/>
              <w:ind w:firstLine="0"/>
              <w:jc w:val="center"/>
              <w:rPr>
                <w:sz w:val="18"/>
                <w:szCs w:val="18"/>
              </w:rPr>
            </w:pPr>
          </w:p>
        </w:tc>
      </w:tr>
      <w:tr w:rsidR="00864916" w:rsidRPr="000A7635" w:rsidTr="00A03C85">
        <w:trPr>
          <w:cantSplit/>
          <w:tblHeader/>
        </w:trPr>
        <w:tc>
          <w:tcPr>
            <w:tcW w:w="2232" w:type="dxa"/>
            <w:tcBorders>
              <w:top w:val="single" w:sz="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tcPr>
          <w:p w:rsidR="00864916" w:rsidRPr="000A7635" w:rsidRDefault="00864916" w:rsidP="008201A7">
            <w:pPr>
              <w:widowControl/>
              <w:autoSpaceDE w:val="0"/>
              <w:autoSpaceDN w:val="0"/>
              <w:adjustRightInd w:val="0"/>
              <w:spacing w:after="0" w:line="240" w:lineRule="auto"/>
              <w:ind w:firstLine="0"/>
              <w:jc w:val="left"/>
              <w:rPr>
                <w:b/>
                <w:i/>
                <w:sz w:val="18"/>
                <w:szCs w:val="18"/>
              </w:rPr>
            </w:pPr>
            <w:r w:rsidRPr="000A7635">
              <w:rPr>
                <w:b/>
                <w:i/>
                <w:sz w:val="18"/>
                <w:szCs w:val="18"/>
              </w:rPr>
              <w:t>Vidurinis</w:t>
            </w:r>
          </w:p>
        </w:tc>
        <w:tc>
          <w:tcPr>
            <w:tcW w:w="576" w:type="dxa"/>
            <w:tcBorders>
              <w:top w:val="single" w:sz="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42</w:t>
            </w:r>
          </w:p>
        </w:tc>
        <w:tc>
          <w:tcPr>
            <w:tcW w:w="576" w:type="dxa"/>
            <w:vMerge/>
            <w:tcBorders>
              <w:left w:val="single" w:sz="12" w:space="0" w:color="000000"/>
              <w:bottom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26</w:t>
            </w:r>
          </w:p>
        </w:tc>
        <w:tc>
          <w:tcPr>
            <w:tcW w:w="576" w:type="dxa"/>
            <w:vMerge/>
            <w:tcBorders>
              <w:left w:val="single" w:sz="12" w:space="0" w:color="000000"/>
              <w:bottom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34</w:t>
            </w:r>
          </w:p>
        </w:tc>
        <w:tc>
          <w:tcPr>
            <w:tcW w:w="576" w:type="dxa"/>
            <w:vMerge/>
            <w:tcBorders>
              <w:left w:val="single" w:sz="12" w:space="0" w:color="000000"/>
              <w:bottom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12</w:t>
            </w:r>
          </w:p>
        </w:tc>
        <w:tc>
          <w:tcPr>
            <w:tcW w:w="576" w:type="dxa"/>
            <w:vMerge/>
            <w:tcBorders>
              <w:left w:val="single" w:sz="12" w:space="0" w:color="000000"/>
              <w:bottom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8</w:t>
            </w:r>
          </w:p>
        </w:tc>
        <w:tc>
          <w:tcPr>
            <w:tcW w:w="576" w:type="dxa"/>
            <w:vMerge/>
            <w:tcBorders>
              <w:left w:val="single" w:sz="12" w:space="0" w:color="000000"/>
              <w:bottom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1</w:t>
            </w:r>
          </w:p>
        </w:tc>
        <w:tc>
          <w:tcPr>
            <w:tcW w:w="576" w:type="dxa"/>
            <w:vMerge/>
            <w:tcBorders>
              <w:left w:val="single" w:sz="12" w:space="0" w:color="000000"/>
              <w:bottom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12" w:space="0" w:color="000000"/>
              <w:right w:val="single" w:sz="12" w:space="0" w:color="000000"/>
            </w:tcBorders>
            <w:shd w:val="clear" w:color="auto" w:fill="D9D9D9" w:themeFill="background1" w:themeFillShade="D9"/>
          </w:tcPr>
          <w:p w:rsidR="00864916" w:rsidRPr="000A7635" w:rsidRDefault="00864916" w:rsidP="008201A7">
            <w:pPr>
              <w:widowControl/>
              <w:autoSpaceDE w:val="0"/>
              <w:autoSpaceDN w:val="0"/>
              <w:adjustRightInd w:val="0"/>
              <w:spacing w:after="0" w:line="240" w:lineRule="auto"/>
              <w:ind w:firstLine="0"/>
              <w:jc w:val="center"/>
              <w:rPr>
                <w:b/>
                <w:sz w:val="18"/>
                <w:szCs w:val="18"/>
              </w:rPr>
            </w:pPr>
            <w:r w:rsidRPr="000A7635">
              <w:rPr>
                <w:b/>
                <w:sz w:val="18"/>
                <w:szCs w:val="18"/>
              </w:rPr>
              <w:t>123</w:t>
            </w:r>
          </w:p>
        </w:tc>
        <w:tc>
          <w:tcPr>
            <w:tcW w:w="576" w:type="dxa"/>
            <w:vMerge/>
            <w:tcBorders>
              <w:left w:val="single" w:sz="12" w:space="0" w:color="000000"/>
              <w:bottom w:val="single" w:sz="8" w:space="0" w:color="000000"/>
              <w:right w:val="single" w:sz="12" w:space="0" w:color="000000"/>
            </w:tcBorders>
            <w:shd w:val="clear" w:color="auto" w:fill="D9D9D9" w:themeFill="background1" w:themeFillShade="D9"/>
          </w:tcPr>
          <w:p w:rsidR="00864916" w:rsidRPr="000A7635" w:rsidRDefault="00864916" w:rsidP="008201A7">
            <w:pPr>
              <w:widowControl/>
              <w:autoSpaceDE w:val="0"/>
              <w:autoSpaceDN w:val="0"/>
              <w:adjustRightInd w:val="0"/>
              <w:spacing w:after="0" w:line="240" w:lineRule="auto"/>
              <w:ind w:firstLine="0"/>
              <w:jc w:val="center"/>
              <w:rPr>
                <w:sz w:val="18"/>
                <w:szCs w:val="18"/>
              </w:rPr>
            </w:pPr>
          </w:p>
        </w:tc>
      </w:tr>
      <w:tr w:rsidR="00864916" w:rsidRPr="000A7635" w:rsidTr="00A03C85">
        <w:trPr>
          <w:cantSplit/>
          <w:tblHeader/>
        </w:trPr>
        <w:tc>
          <w:tcPr>
            <w:tcW w:w="2232"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tcMar>
              <w:top w:w="30" w:type="dxa"/>
              <w:left w:w="30" w:type="dxa"/>
              <w:bottom w:w="30" w:type="dxa"/>
              <w:right w:w="30" w:type="dxa"/>
            </w:tcMar>
          </w:tcPr>
          <w:p w:rsidR="00864916" w:rsidRPr="000A7635" w:rsidRDefault="00864916" w:rsidP="008201A7">
            <w:pPr>
              <w:widowControl/>
              <w:autoSpaceDE w:val="0"/>
              <w:autoSpaceDN w:val="0"/>
              <w:adjustRightInd w:val="0"/>
              <w:spacing w:after="0" w:line="240" w:lineRule="auto"/>
              <w:ind w:firstLine="0"/>
              <w:jc w:val="left"/>
              <w:rPr>
                <w:b/>
                <w:i/>
                <w:sz w:val="18"/>
                <w:szCs w:val="18"/>
              </w:rPr>
            </w:pPr>
            <w:r w:rsidRPr="000A7635">
              <w:rPr>
                <w:b/>
                <w:i/>
                <w:sz w:val="18"/>
                <w:szCs w:val="18"/>
              </w:rPr>
              <w:t>Aukštesnysis / profesinis</w:t>
            </w:r>
          </w:p>
        </w:tc>
        <w:tc>
          <w:tcPr>
            <w:tcW w:w="576" w:type="dxa"/>
            <w:tcBorders>
              <w:top w:val="single" w:sz="1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3</w:t>
            </w:r>
          </w:p>
        </w:tc>
        <w:tc>
          <w:tcPr>
            <w:tcW w:w="576" w:type="dxa"/>
            <w:vMerge w:val="restart"/>
            <w:tcBorders>
              <w:top w:val="single" w:sz="12" w:space="0" w:color="000000"/>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45,2 %</w:t>
            </w:r>
          </w:p>
        </w:tc>
        <w:tc>
          <w:tcPr>
            <w:tcW w:w="576" w:type="dxa"/>
            <w:tcBorders>
              <w:top w:val="single" w:sz="1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20</w:t>
            </w:r>
          </w:p>
        </w:tc>
        <w:tc>
          <w:tcPr>
            <w:tcW w:w="576" w:type="dxa"/>
            <w:vMerge w:val="restart"/>
            <w:tcBorders>
              <w:top w:val="single" w:sz="12" w:space="0" w:color="000000"/>
              <w:left w:val="single" w:sz="12" w:space="0" w:color="000000"/>
              <w:right w:val="single" w:sz="12" w:space="0" w:color="000000"/>
            </w:tcBorders>
            <w:shd w:val="clear" w:color="auto" w:fill="FFFFFF"/>
            <w:vAlign w:val="center"/>
          </w:tcPr>
          <w:p w:rsidR="00864916" w:rsidRPr="0069239C" w:rsidRDefault="00864916" w:rsidP="008201A7">
            <w:pPr>
              <w:widowControl/>
              <w:autoSpaceDE w:val="0"/>
              <w:autoSpaceDN w:val="0"/>
              <w:adjustRightInd w:val="0"/>
              <w:spacing w:after="0" w:line="240" w:lineRule="auto"/>
              <w:ind w:firstLine="0"/>
              <w:jc w:val="center"/>
              <w:rPr>
                <w:color w:val="FF0000"/>
                <w:sz w:val="18"/>
                <w:szCs w:val="18"/>
              </w:rPr>
            </w:pPr>
            <w:r w:rsidRPr="0069239C">
              <w:rPr>
                <w:color w:val="FF0000"/>
                <w:sz w:val="18"/>
                <w:szCs w:val="18"/>
              </w:rPr>
              <w:t>68,6 %</w:t>
            </w:r>
          </w:p>
        </w:tc>
        <w:tc>
          <w:tcPr>
            <w:tcW w:w="576" w:type="dxa"/>
            <w:tcBorders>
              <w:top w:val="single" w:sz="1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18</w:t>
            </w:r>
          </w:p>
        </w:tc>
        <w:tc>
          <w:tcPr>
            <w:tcW w:w="576" w:type="dxa"/>
            <w:vMerge w:val="restart"/>
            <w:tcBorders>
              <w:top w:val="single" w:sz="12" w:space="0" w:color="000000"/>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58,1 %</w:t>
            </w:r>
          </w:p>
        </w:tc>
        <w:tc>
          <w:tcPr>
            <w:tcW w:w="576" w:type="dxa"/>
            <w:tcBorders>
              <w:top w:val="single" w:sz="1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16</w:t>
            </w:r>
          </w:p>
        </w:tc>
        <w:tc>
          <w:tcPr>
            <w:tcW w:w="576" w:type="dxa"/>
            <w:vMerge w:val="restart"/>
            <w:tcBorders>
              <w:top w:val="single" w:sz="12" w:space="0" w:color="000000"/>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60,9 %</w:t>
            </w:r>
          </w:p>
        </w:tc>
        <w:tc>
          <w:tcPr>
            <w:tcW w:w="576" w:type="dxa"/>
            <w:tcBorders>
              <w:top w:val="single" w:sz="1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4</w:t>
            </w:r>
          </w:p>
        </w:tc>
        <w:tc>
          <w:tcPr>
            <w:tcW w:w="576" w:type="dxa"/>
            <w:vMerge w:val="restart"/>
            <w:tcBorders>
              <w:top w:val="single" w:sz="12" w:space="0" w:color="000000"/>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42,1 %</w:t>
            </w:r>
          </w:p>
        </w:tc>
        <w:tc>
          <w:tcPr>
            <w:tcW w:w="576" w:type="dxa"/>
            <w:tcBorders>
              <w:top w:val="single" w:sz="1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1</w:t>
            </w:r>
          </w:p>
        </w:tc>
        <w:tc>
          <w:tcPr>
            <w:tcW w:w="576" w:type="dxa"/>
            <w:vMerge w:val="restart"/>
            <w:tcBorders>
              <w:top w:val="single" w:sz="12" w:space="0" w:color="000000"/>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50,0 %</w:t>
            </w:r>
          </w:p>
        </w:tc>
        <w:tc>
          <w:tcPr>
            <w:tcW w:w="57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tcPr>
          <w:p w:rsidR="00864916" w:rsidRPr="000A7635" w:rsidRDefault="00864916" w:rsidP="008201A7">
            <w:pPr>
              <w:widowControl/>
              <w:autoSpaceDE w:val="0"/>
              <w:autoSpaceDN w:val="0"/>
              <w:adjustRightInd w:val="0"/>
              <w:spacing w:after="0" w:line="240" w:lineRule="auto"/>
              <w:ind w:firstLine="0"/>
              <w:jc w:val="center"/>
              <w:rPr>
                <w:b/>
                <w:sz w:val="18"/>
                <w:szCs w:val="18"/>
              </w:rPr>
            </w:pPr>
            <w:r w:rsidRPr="000A7635">
              <w:rPr>
                <w:b/>
                <w:sz w:val="18"/>
                <w:szCs w:val="18"/>
              </w:rPr>
              <w:t>62</w:t>
            </w:r>
          </w:p>
        </w:tc>
        <w:tc>
          <w:tcPr>
            <w:tcW w:w="576" w:type="dxa"/>
            <w:vMerge w:val="restart"/>
            <w:tcBorders>
              <w:top w:val="single" w:sz="12" w:space="0" w:color="000000"/>
              <w:left w:val="single" w:sz="12" w:space="0" w:color="000000"/>
              <w:right w:val="single" w:sz="12" w:space="0" w:color="000000"/>
            </w:tcBorders>
            <w:shd w:val="clear" w:color="auto" w:fill="D9D9D9" w:themeFill="background1" w:themeFillShade="D9"/>
            <w:vAlign w:val="center"/>
          </w:tcPr>
          <w:p w:rsidR="00864916" w:rsidRPr="005D0976" w:rsidRDefault="00864916" w:rsidP="006B7307">
            <w:pPr>
              <w:widowControl/>
              <w:autoSpaceDE w:val="0"/>
              <w:autoSpaceDN w:val="0"/>
              <w:adjustRightInd w:val="0"/>
              <w:spacing w:after="0" w:line="240" w:lineRule="auto"/>
              <w:ind w:firstLine="0"/>
              <w:jc w:val="center"/>
              <w:rPr>
                <w:b/>
                <w:color w:val="FF0000"/>
                <w:sz w:val="18"/>
                <w:szCs w:val="18"/>
              </w:rPr>
            </w:pPr>
            <w:r w:rsidRPr="005D0976">
              <w:rPr>
                <w:b/>
                <w:color w:val="FF0000"/>
                <w:sz w:val="18"/>
                <w:szCs w:val="18"/>
              </w:rPr>
              <w:t>57</w:t>
            </w:r>
            <w:r w:rsidR="00A03C85" w:rsidRPr="005D0976">
              <w:rPr>
                <w:b/>
                <w:color w:val="FF0000"/>
                <w:sz w:val="18"/>
                <w:szCs w:val="18"/>
              </w:rPr>
              <w:t>,5</w:t>
            </w:r>
            <w:r w:rsidRPr="005D0976">
              <w:rPr>
                <w:b/>
                <w:color w:val="FF0000"/>
                <w:sz w:val="18"/>
                <w:szCs w:val="18"/>
              </w:rPr>
              <w:t> %</w:t>
            </w:r>
          </w:p>
        </w:tc>
      </w:tr>
      <w:tr w:rsidR="00864916" w:rsidRPr="000A7635" w:rsidTr="00A03C85">
        <w:trPr>
          <w:cantSplit/>
          <w:tblHeader/>
        </w:trPr>
        <w:tc>
          <w:tcPr>
            <w:tcW w:w="2232" w:type="dxa"/>
            <w:tcBorders>
              <w:top w:val="single" w:sz="2" w:space="0" w:color="000000"/>
              <w:left w:val="single" w:sz="12" w:space="0" w:color="000000"/>
              <w:bottom w:val="single" w:sz="2" w:space="0" w:color="000000"/>
              <w:right w:val="single" w:sz="12" w:space="0" w:color="000000"/>
            </w:tcBorders>
            <w:shd w:val="clear" w:color="auto" w:fill="D9D9D9" w:themeFill="background1" w:themeFillShade="D9"/>
            <w:tcMar>
              <w:top w:w="30" w:type="dxa"/>
              <w:left w:w="30" w:type="dxa"/>
              <w:bottom w:w="30" w:type="dxa"/>
              <w:right w:w="30" w:type="dxa"/>
            </w:tcMar>
          </w:tcPr>
          <w:p w:rsidR="00864916" w:rsidRPr="000A7635" w:rsidRDefault="00864916" w:rsidP="008201A7">
            <w:pPr>
              <w:widowControl/>
              <w:autoSpaceDE w:val="0"/>
              <w:autoSpaceDN w:val="0"/>
              <w:adjustRightInd w:val="0"/>
              <w:spacing w:after="0" w:line="240" w:lineRule="auto"/>
              <w:ind w:firstLine="0"/>
              <w:jc w:val="left"/>
              <w:rPr>
                <w:b/>
                <w:i/>
                <w:sz w:val="18"/>
                <w:szCs w:val="18"/>
              </w:rPr>
            </w:pPr>
            <w:r w:rsidRPr="000A7635">
              <w:rPr>
                <w:b/>
                <w:i/>
                <w:sz w:val="18"/>
                <w:szCs w:val="18"/>
              </w:rPr>
              <w:t>Nebaigtas aukštasis</w:t>
            </w:r>
          </w:p>
        </w:tc>
        <w:tc>
          <w:tcPr>
            <w:tcW w:w="576"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11</w:t>
            </w:r>
          </w:p>
        </w:tc>
        <w:tc>
          <w:tcPr>
            <w:tcW w:w="576" w:type="dxa"/>
            <w:vMerge/>
            <w:tcBorders>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13</w:t>
            </w:r>
          </w:p>
        </w:tc>
        <w:tc>
          <w:tcPr>
            <w:tcW w:w="576" w:type="dxa"/>
            <w:vMerge/>
            <w:tcBorders>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10</w:t>
            </w:r>
          </w:p>
        </w:tc>
        <w:tc>
          <w:tcPr>
            <w:tcW w:w="576" w:type="dxa"/>
            <w:vMerge/>
            <w:tcBorders>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1</w:t>
            </w:r>
          </w:p>
        </w:tc>
        <w:tc>
          <w:tcPr>
            <w:tcW w:w="576" w:type="dxa"/>
            <w:vMerge/>
            <w:tcBorders>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0</w:t>
            </w:r>
          </w:p>
        </w:tc>
        <w:tc>
          <w:tcPr>
            <w:tcW w:w="576" w:type="dxa"/>
            <w:vMerge/>
            <w:tcBorders>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0</w:t>
            </w:r>
          </w:p>
        </w:tc>
        <w:tc>
          <w:tcPr>
            <w:tcW w:w="576" w:type="dxa"/>
            <w:vMerge/>
            <w:tcBorders>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2" w:space="0" w:color="000000"/>
              <w:right w:val="single" w:sz="12" w:space="0" w:color="000000"/>
            </w:tcBorders>
            <w:shd w:val="clear" w:color="auto" w:fill="D9D9D9" w:themeFill="background1" w:themeFillShade="D9"/>
          </w:tcPr>
          <w:p w:rsidR="00864916" w:rsidRPr="000A7635" w:rsidRDefault="00864916" w:rsidP="008201A7">
            <w:pPr>
              <w:widowControl/>
              <w:autoSpaceDE w:val="0"/>
              <w:autoSpaceDN w:val="0"/>
              <w:adjustRightInd w:val="0"/>
              <w:spacing w:after="0" w:line="240" w:lineRule="auto"/>
              <w:ind w:firstLine="0"/>
              <w:jc w:val="center"/>
              <w:rPr>
                <w:b/>
                <w:sz w:val="18"/>
                <w:szCs w:val="18"/>
              </w:rPr>
            </w:pPr>
            <w:r w:rsidRPr="000A7635">
              <w:rPr>
                <w:b/>
                <w:sz w:val="18"/>
                <w:szCs w:val="18"/>
              </w:rPr>
              <w:t>35</w:t>
            </w:r>
          </w:p>
        </w:tc>
        <w:tc>
          <w:tcPr>
            <w:tcW w:w="576" w:type="dxa"/>
            <w:vMerge/>
            <w:tcBorders>
              <w:left w:val="single" w:sz="12" w:space="0" w:color="000000"/>
              <w:right w:val="single" w:sz="12" w:space="0" w:color="000000"/>
            </w:tcBorders>
            <w:shd w:val="clear" w:color="auto" w:fill="D9D9D9" w:themeFill="background1" w:themeFillShade="D9"/>
          </w:tcPr>
          <w:p w:rsidR="00864916" w:rsidRPr="000A7635" w:rsidRDefault="00864916" w:rsidP="008201A7">
            <w:pPr>
              <w:widowControl/>
              <w:autoSpaceDE w:val="0"/>
              <w:autoSpaceDN w:val="0"/>
              <w:adjustRightInd w:val="0"/>
              <w:spacing w:after="0" w:line="240" w:lineRule="auto"/>
              <w:ind w:firstLine="0"/>
              <w:jc w:val="center"/>
              <w:rPr>
                <w:sz w:val="18"/>
                <w:szCs w:val="18"/>
              </w:rPr>
            </w:pPr>
          </w:p>
        </w:tc>
      </w:tr>
      <w:tr w:rsidR="00864916" w:rsidRPr="000A7635" w:rsidTr="00A03C85">
        <w:trPr>
          <w:cantSplit/>
          <w:tblHeader/>
        </w:trPr>
        <w:tc>
          <w:tcPr>
            <w:tcW w:w="2232" w:type="dxa"/>
            <w:tcBorders>
              <w:top w:val="single" w:sz="2" w:space="0" w:color="000000"/>
              <w:left w:val="single" w:sz="12" w:space="0" w:color="000000"/>
              <w:bottom w:val="single" w:sz="2" w:space="0" w:color="000000"/>
              <w:right w:val="single" w:sz="12" w:space="0" w:color="000000"/>
            </w:tcBorders>
            <w:shd w:val="clear" w:color="auto" w:fill="D9D9D9" w:themeFill="background1" w:themeFillShade="D9"/>
            <w:tcMar>
              <w:top w:w="30" w:type="dxa"/>
              <w:left w:w="30" w:type="dxa"/>
              <w:bottom w:w="30" w:type="dxa"/>
              <w:right w:w="30" w:type="dxa"/>
            </w:tcMar>
          </w:tcPr>
          <w:p w:rsidR="00864916" w:rsidRPr="000A7635" w:rsidRDefault="00864916" w:rsidP="008201A7">
            <w:pPr>
              <w:widowControl/>
              <w:autoSpaceDE w:val="0"/>
              <w:autoSpaceDN w:val="0"/>
              <w:adjustRightInd w:val="0"/>
              <w:spacing w:after="0" w:line="240" w:lineRule="auto"/>
              <w:ind w:firstLine="0"/>
              <w:jc w:val="left"/>
              <w:rPr>
                <w:b/>
                <w:i/>
                <w:sz w:val="18"/>
                <w:szCs w:val="18"/>
              </w:rPr>
            </w:pPr>
            <w:r w:rsidRPr="000A7635">
              <w:rPr>
                <w:b/>
                <w:i/>
                <w:sz w:val="18"/>
                <w:szCs w:val="18"/>
              </w:rPr>
              <w:t>Aukštasis (neuniversitetinis)</w:t>
            </w:r>
          </w:p>
        </w:tc>
        <w:tc>
          <w:tcPr>
            <w:tcW w:w="576"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12</w:t>
            </w:r>
          </w:p>
        </w:tc>
        <w:tc>
          <w:tcPr>
            <w:tcW w:w="576" w:type="dxa"/>
            <w:vMerge/>
            <w:tcBorders>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8</w:t>
            </w:r>
          </w:p>
        </w:tc>
        <w:tc>
          <w:tcPr>
            <w:tcW w:w="576" w:type="dxa"/>
            <w:vMerge/>
            <w:tcBorders>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13</w:t>
            </w:r>
          </w:p>
        </w:tc>
        <w:tc>
          <w:tcPr>
            <w:tcW w:w="576" w:type="dxa"/>
            <w:vMerge/>
            <w:tcBorders>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5</w:t>
            </w:r>
          </w:p>
        </w:tc>
        <w:tc>
          <w:tcPr>
            <w:tcW w:w="576" w:type="dxa"/>
            <w:vMerge/>
            <w:tcBorders>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1</w:t>
            </w:r>
          </w:p>
        </w:tc>
        <w:tc>
          <w:tcPr>
            <w:tcW w:w="576" w:type="dxa"/>
            <w:vMerge/>
            <w:tcBorders>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0</w:t>
            </w:r>
          </w:p>
        </w:tc>
        <w:tc>
          <w:tcPr>
            <w:tcW w:w="576" w:type="dxa"/>
            <w:vMerge/>
            <w:tcBorders>
              <w:left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2" w:space="0" w:color="000000"/>
              <w:right w:val="single" w:sz="12" w:space="0" w:color="000000"/>
            </w:tcBorders>
            <w:shd w:val="clear" w:color="auto" w:fill="D9D9D9" w:themeFill="background1" w:themeFillShade="D9"/>
          </w:tcPr>
          <w:p w:rsidR="00864916" w:rsidRPr="000A7635" w:rsidRDefault="00864916" w:rsidP="008201A7">
            <w:pPr>
              <w:widowControl/>
              <w:autoSpaceDE w:val="0"/>
              <w:autoSpaceDN w:val="0"/>
              <w:adjustRightInd w:val="0"/>
              <w:spacing w:after="0" w:line="240" w:lineRule="auto"/>
              <w:ind w:firstLine="0"/>
              <w:jc w:val="center"/>
              <w:rPr>
                <w:b/>
                <w:sz w:val="18"/>
                <w:szCs w:val="18"/>
              </w:rPr>
            </w:pPr>
            <w:r w:rsidRPr="000A7635">
              <w:rPr>
                <w:b/>
                <w:sz w:val="18"/>
                <w:szCs w:val="18"/>
              </w:rPr>
              <w:t>39</w:t>
            </w:r>
          </w:p>
        </w:tc>
        <w:tc>
          <w:tcPr>
            <w:tcW w:w="576" w:type="dxa"/>
            <w:vMerge/>
            <w:tcBorders>
              <w:left w:val="single" w:sz="12" w:space="0" w:color="000000"/>
              <w:right w:val="single" w:sz="12" w:space="0" w:color="000000"/>
            </w:tcBorders>
            <w:shd w:val="clear" w:color="auto" w:fill="D9D9D9" w:themeFill="background1" w:themeFillShade="D9"/>
          </w:tcPr>
          <w:p w:rsidR="00864916" w:rsidRPr="000A7635" w:rsidRDefault="00864916" w:rsidP="008201A7">
            <w:pPr>
              <w:widowControl/>
              <w:autoSpaceDE w:val="0"/>
              <w:autoSpaceDN w:val="0"/>
              <w:adjustRightInd w:val="0"/>
              <w:spacing w:after="0" w:line="240" w:lineRule="auto"/>
              <w:ind w:firstLine="0"/>
              <w:jc w:val="center"/>
              <w:rPr>
                <w:sz w:val="18"/>
                <w:szCs w:val="18"/>
              </w:rPr>
            </w:pPr>
          </w:p>
        </w:tc>
      </w:tr>
      <w:tr w:rsidR="00864916" w:rsidRPr="000A7635" w:rsidTr="00A03C85">
        <w:trPr>
          <w:cantSplit/>
          <w:tblHeader/>
        </w:trPr>
        <w:tc>
          <w:tcPr>
            <w:tcW w:w="2232" w:type="dxa"/>
            <w:tcBorders>
              <w:top w:val="single" w:sz="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tcPr>
          <w:p w:rsidR="00864916" w:rsidRPr="000A7635" w:rsidRDefault="00864916" w:rsidP="008201A7">
            <w:pPr>
              <w:widowControl/>
              <w:autoSpaceDE w:val="0"/>
              <w:autoSpaceDN w:val="0"/>
              <w:adjustRightInd w:val="0"/>
              <w:spacing w:after="0" w:line="240" w:lineRule="auto"/>
              <w:ind w:firstLine="0"/>
              <w:jc w:val="left"/>
              <w:rPr>
                <w:b/>
                <w:i/>
                <w:sz w:val="18"/>
                <w:szCs w:val="18"/>
              </w:rPr>
            </w:pPr>
            <w:r w:rsidRPr="000A7635">
              <w:rPr>
                <w:b/>
                <w:i/>
                <w:sz w:val="18"/>
                <w:szCs w:val="18"/>
              </w:rPr>
              <w:t>Aukštasis (universitetinis)</w:t>
            </w:r>
          </w:p>
        </w:tc>
        <w:tc>
          <w:tcPr>
            <w:tcW w:w="576" w:type="dxa"/>
            <w:tcBorders>
              <w:top w:val="single" w:sz="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12</w:t>
            </w:r>
          </w:p>
        </w:tc>
        <w:tc>
          <w:tcPr>
            <w:tcW w:w="576" w:type="dxa"/>
            <w:vMerge/>
            <w:tcBorders>
              <w:left w:val="single" w:sz="12" w:space="0" w:color="000000"/>
              <w:bottom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29</w:t>
            </w:r>
          </w:p>
        </w:tc>
        <w:tc>
          <w:tcPr>
            <w:tcW w:w="576" w:type="dxa"/>
            <w:vMerge/>
            <w:tcBorders>
              <w:left w:val="single" w:sz="12" w:space="0" w:color="000000"/>
              <w:bottom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9</w:t>
            </w:r>
          </w:p>
        </w:tc>
        <w:tc>
          <w:tcPr>
            <w:tcW w:w="576" w:type="dxa"/>
            <w:vMerge/>
            <w:tcBorders>
              <w:left w:val="single" w:sz="12" w:space="0" w:color="000000"/>
              <w:bottom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6</w:t>
            </w:r>
          </w:p>
        </w:tc>
        <w:tc>
          <w:tcPr>
            <w:tcW w:w="576" w:type="dxa"/>
            <w:vMerge/>
            <w:tcBorders>
              <w:left w:val="single" w:sz="12" w:space="0" w:color="000000"/>
              <w:bottom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3</w:t>
            </w:r>
          </w:p>
        </w:tc>
        <w:tc>
          <w:tcPr>
            <w:tcW w:w="576" w:type="dxa"/>
            <w:vMerge/>
            <w:tcBorders>
              <w:left w:val="single" w:sz="12" w:space="0" w:color="000000"/>
              <w:bottom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r w:rsidRPr="000A7635">
              <w:rPr>
                <w:sz w:val="18"/>
                <w:szCs w:val="18"/>
              </w:rPr>
              <w:t>1</w:t>
            </w:r>
          </w:p>
        </w:tc>
        <w:tc>
          <w:tcPr>
            <w:tcW w:w="576" w:type="dxa"/>
            <w:vMerge/>
            <w:tcBorders>
              <w:left w:val="single" w:sz="12" w:space="0" w:color="000000"/>
              <w:bottom w:val="single" w:sz="12" w:space="0" w:color="000000"/>
              <w:right w:val="single" w:sz="12" w:space="0" w:color="000000"/>
            </w:tcBorders>
            <w:shd w:val="clear" w:color="auto" w:fill="FFFFFF"/>
            <w:vAlign w:val="center"/>
          </w:tcPr>
          <w:p w:rsidR="00864916" w:rsidRPr="000A7635" w:rsidRDefault="00864916" w:rsidP="008201A7">
            <w:pPr>
              <w:widowControl/>
              <w:autoSpaceDE w:val="0"/>
              <w:autoSpaceDN w:val="0"/>
              <w:adjustRightInd w:val="0"/>
              <w:spacing w:after="0" w:line="240" w:lineRule="auto"/>
              <w:ind w:firstLine="0"/>
              <w:jc w:val="center"/>
              <w:rPr>
                <w:sz w:val="18"/>
                <w:szCs w:val="18"/>
              </w:rPr>
            </w:pPr>
          </w:p>
        </w:tc>
        <w:tc>
          <w:tcPr>
            <w:tcW w:w="576" w:type="dxa"/>
            <w:tcBorders>
              <w:top w:val="single" w:sz="2" w:space="0" w:color="000000"/>
              <w:left w:val="single" w:sz="12" w:space="0" w:color="000000"/>
              <w:bottom w:val="single" w:sz="12" w:space="0" w:color="000000"/>
              <w:right w:val="single" w:sz="12" w:space="0" w:color="000000"/>
            </w:tcBorders>
            <w:shd w:val="clear" w:color="auto" w:fill="D9D9D9" w:themeFill="background1" w:themeFillShade="D9"/>
          </w:tcPr>
          <w:p w:rsidR="00864916" w:rsidRPr="000A7635" w:rsidRDefault="00864916" w:rsidP="008201A7">
            <w:pPr>
              <w:widowControl/>
              <w:autoSpaceDE w:val="0"/>
              <w:autoSpaceDN w:val="0"/>
              <w:adjustRightInd w:val="0"/>
              <w:spacing w:after="0" w:line="240" w:lineRule="auto"/>
              <w:ind w:firstLine="0"/>
              <w:jc w:val="center"/>
              <w:rPr>
                <w:b/>
                <w:sz w:val="18"/>
                <w:szCs w:val="18"/>
              </w:rPr>
            </w:pPr>
            <w:r w:rsidRPr="000A7635">
              <w:rPr>
                <w:b/>
                <w:sz w:val="18"/>
                <w:szCs w:val="18"/>
              </w:rPr>
              <w:t>60</w:t>
            </w:r>
          </w:p>
        </w:tc>
        <w:tc>
          <w:tcPr>
            <w:tcW w:w="576" w:type="dxa"/>
            <w:vMerge/>
            <w:tcBorders>
              <w:left w:val="single" w:sz="12" w:space="0" w:color="000000"/>
              <w:bottom w:val="single" w:sz="8" w:space="0" w:color="000000"/>
              <w:right w:val="single" w:sz="12" w:space="0" w:color="000000"/>
            </w:tcBorders>
            <w:shd w:val="clear" w:color="auto" w:fill="D9D9D9" w:themeFill="background1" w:themeFillShade="D9"/>
          </w:tcPr>
          <w:p w:rsidR="00864916" w:rsidRPr="000A7635" w:rsidRDefault="00864916" w:rsidP="008201A7">
            <w:pPr>
              <w:widowControl/>
              <w:autoSpaceDE w:val="0"/>
              <w:autoSpaceDN w:val="0"/>
              <w:adjustRightInd w:val="0"/>
              <w:spacing w:after="0" w:line="240" w:lineRule="auto"/>
              <w:ind w:firstLine="0"/>
              <w:jc w:val="center"/>
              <w:rPr>
                <w:sz w:val="18"/>
                <w:szCs w:val="18"/>
              </w:rPr>
            </w:pPr>
          </w:p>
        </w:tc>
      </w:tr>
      <w:tr w:rsidR="00D34FF7" w:rsidRPr="000A7635" w:rsidTr="00D34FF7">
        <w:trPr>
          <w:cantSplit/>
        </w:trPr>
        <w:tc>
          <w:tcPr>
            <w:tcW w:w="2232"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tcPr>
          <w:p w:rsidR="00D34FF7" w:rsidRPr="000A7635" w:rsidRDefault="00D34FF7" w:rsidP="008201A7">
            <w:pPr>
              <w:widowControl/>
              <w:autoSpaceDE w:val="0"/>
              <w:autoSpaceDN w:val="0"/>
              <w:adjustRightInd w:val="0"/>
              <w:spacing w:after="0" w:line="240" w:lineRule="auto"/>
              <w:ind w:firstLine="0"/>
              <w:jc w:val="right"/>
              <w:rPr>
                <w:b/>
                <w:i/>
                <w:sz w:val="17"/>
                <w:szCs w:val="17"/>
              </w:rPr>
            </w:pPr>
            <w:r w:rsidRPr="000A7635">
              <w:rPr>
                <w:sz w:val="17"/>
                <w:szCs w:val="17"/>
              </w:rPr>
              <w:t xml:space="preserve"> </w:t>
            </w:r>
            <w:r w:rsidRPr="000A7635">
              <w:rPr>
                <w:sz w:val="17"/>
                <w:szCs w:val="17"/>
              </w:rPr>
              <w:tab/>
            </w:r>
            <w:r w:rsidRPr="000A7635">
              <w:rPr>
                <w:sz w:val="17"/>
                <w:szCs w:val="17"/>
              </w:rPr>
              <w:tab/>
            </w:r>
            <w:r w:rsidRPr="000A7635">
              <w:rPr>
                <w:b/>
                <w:i/>
                <w:sz w:val="17"/>
                <w:szCs w:val="17"/>
              </w:rPr>
              <w:t>Iš viso:</w:t>
            </w:r>
          </w:p>
        </w:tc>
        <w:tc>
          <w:tcPr>
            <w:tcW w:w="1152"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D34FF7" w:rsidRPr="000A7635" w:rsidRDefault="00D34FF7" w:rsidP="008201A7">
            <w:pPr>
              <w:widowControl/>
              <w:autoSpaceDE w:val="0"/>
              <w:autoSpaceDN w:val="0"/>
              <w:adjustRightInd w:val="0"/>
              <w:spacing w:after="0" w:line="240" w:lineRule="auto"/>
              <w:ind w:firstLine="0"/>
              <w:jc w:val="center"/>
              <w:rPr>
                <w:b/>
                <w:sz w:val="17"/>
                <w:szCs w:val="17"/>
              </w:rPr>
            </w:pPr>
            <w:r w:rsidRPr="000A7635">
              <w:rPr>
                <w:b/>
                <w:sz w:val="17"/>
                <w:szCs w:val="17"/>
              </w:rPr>
              <w:t>84 (24,6 %)</w:t>
            </w:r>
          </w:p>
        </w:tc>
        <w:tc>
          <w:tcPr>
            <w:tcW w:w="1152"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D34FF7" w:rsidRPr="0069239C" w:rsidRDefault="00D34FF7" w:rsidP="008201A7">
            <w:pPr>
              <w:widowControl/>
              <w:autoSpaceDE w:val="0"/>
              <w:autoSpaceDN w:val="0"/>
              <w:adjustRightInd w:val="0"/>
              <w:spacing w:after="0" w:line="240" w:lineRule="auto"/>
              <w:ind w:firstLine="0"/>
              <w:jc w:val="center"/>
              <w:rPr>
                <w:b/>
                <w:color w:val="FF0000"/>
                <w:sz w:val="17"/>
                <w:szCs w:val="17"/>
              </w:rPr>
            </w:pPr>
            <w:r w:rsidRPr="0069239C">
              <w:rPr>
                <w:b/>
                <w:color w:val="FF0000"/>
                <w:sz w:val="17"/>
                <w:szCs w:val="17"/>
              </w:rPr>
              <w:t xml:space="preserve">102 (29,9 </w:t>
            </w:r>
            <w:r w:rsidRPr="0069239C">
              <w:rPr>
                <w:b/>
                <w:color w:val="FF0000"/>
                <w:sz w:val="17"/>
                <w:szCs w:val="17"/>
                <w:lang w:val="en-US"/>
              </w:rPr>
              <w:t>%</w:t>
            </w:r>
            <w:r w:rsidRPr="0069239C">
              <w:rPr>
                <w:b/>
                <w:color w:val="FF0000"/>
                <w:sz w:val="17"/>
                <w:szCs w:val="17"/>
              </w:rPr>
              <w:t>)</w:t>
            </w:r>
          </w:p>
        </w:tc>
        <w:tc>
          <w:tcPr>
            <w:tcW w:w="1152"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D34FF7" w:rsidRPr="000A7635" w:rsidRDefault="00D34FF7" w:rsidP="008201A7">
            <w:pPr>
              <w:widowControl/>
              <w:autoSpaceDE w:val="0"/>
              <w:autoSpaceDN w:val="0"/>
              <w:adjustRightInd w:val="0"/>
              <w:spacing w:after="0" w:line="240" w:lineRule="auto"/>
              <w:ind w:firstLine="0"/>
              <w:jc w:val="center"/>
              <w:rPr>
                <w:b/>
                <w:sz w:val="17"/>
                <w:szCs w:val="17"/>
              </w:rPr>
            </w:pPr>
            <w:r w:rsidRPr="000A7635">
              <w:rPr>
                <w:b/>
                <w:sz w:val="17"/>
                <w:szCs w:val="17"/>
              </w:rPr>
              <w:t>86 (25,2 %)</w:t>
            </w:r>
          </w:p>
        </w:tc>
        <w:tc>
          <w:tcPr>
            <w:tcW w:w="1152"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D34FF7" w:rsidRPr="000A7635" w:rsidRDefault="00D34FF7" w:rsidP="008201A7">
            <w:pPr>
              <w:widowControl/>
              <w:autoSpaceDE w:val="0"/>
              <w:autoSpaceDN w:val="0"/>
              <w:adjustRightInd w:val="0"/>
              <w:spacing w:after="0" w:line="240" w:lineRule="auto"/>
              <w:ind w:firstLine="0"/>
              <w:jc w:val="center"/>
              <w:rPr>
                <w:b/>
                <w:sz w:val="17"/>
                <w:szCs w:val="17"/>
              </w:rPr>
            </w:pPr>
            <w:r w:rsidRPr="000A7635">
              <w:rPr>
                <w:b/>
                <w:sz w:val="17"/>
                <w:szCs w:val="17"/>
              </w:rPr>
              <w:t>46 (13,5 %)</w:t>
            </w:r>
          </w:p>
        </w:tc>
        <w:tc>
          <w:tcPr>
            <w:tcW w:w="1152"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D34FF7" w:rsidRPr="000A7635" w:rsidRDefault="00D34FF7" w:rsidP="008201A7">
            <w:pPr>
              <w:widowControl/>
              <w:autoSpaceDE w:val="0"/>
              <w:autoSpaceDN w:val="0"/>
              <w:adjustRightInd w:val="0"/>
              <w:spacing w:after="0" w:line="240" w:lineRule="auto"/>
              <w:ind w:firstLine="0"/>
              <w:jc w:val="center"/>
              <w:rPr>
                <w:b/>
                <w:sz w:val="17"/>
                <w:szCs w:val="17"/>
              </w:rPr>
            </w:pPr>
            <w:r w:rsidRPr="000A7635">
              <w:rPr>
                <w:b/>
                <w:sz w:val="17"/>
                <w:szCs w:val="17"/>
              </w:rPr>
              <w:t>19 (5,6 %)</w:t>
            </w:r>
          </w:p>
        </w:tc>
        <w:tc>
          <w:tcPr>
            <w:tcW w:w="1152"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D34FF7" w:rsidRPr="000A7635" w:rsidRDefault="00D34FF7" w:rsidP="008201A7">
            <w:pPr>
              <w:widowControl/>
              <w:autoSpaceDE w:val="0"/>
              <w:autoSpaceDN w:val="0"/>
              <w:adjustRightInd w:val="0"/>
              <w:spacing w:after="0" w:line="240" w:lineRule="auto"/>
              <w:ind w:firstLine="0"/>
              <w:jc w:val="center"/>
              <w:rPr>
                <w:b/>
                <w:sz w:val="17"/>
                <w:szCs w:val="17"/>
              </w:rPr>
            </w:pPr>
            <w:r w:rsidRPr="000A7635">
              <w:rPr>
                <w:b/>
                <w:sz w:val="17"/>
                <w:szCs w:val="17"/>
              </w:rPr>
              <w:t>4 (1,2 %)</w:t>
            </w:r>
          </w:p>
        </w:tc>
        <w:tc>
          <w:tcPr>
            <w:tcW w:w="1152"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rsidR="00D34FF7" w:rsidRPr="000A7635" w:rsidRDefault="00C50913" w:rsidP="008201A7">
            <w:pPr>
              <w:widowControl/>
              <w:autoSpaceDE w:val="0"/>
              <w:autoSpaceDN w:val="0"/>
              <w:adjustRightInd w:val="0"/>
              <w:spacing w:after="0" w:line="240" w:lineRule="auto"/>
              <w:ind w:firstLine="0"/>
              <w:jc w:val="center"/>
              <w:rPr>
                <w:b/>
                <w:sz w:val="17"/>
                <w:szCs w:val="17"/>
              </w:rPr>
            </w:pPr>
            <w:r w:rsidRPr="000A7635">
              <w:rPr>
                <w:b/>
                <w:sz w:val="17"/>
                <w:szCs w:val="17"/>
              </w:rPr>
              <w:t>341 (100 %)</w:t>
            </w:r>
          </w:p>
        </w:tc>
      </w:tr>
    </w:tbl>
    <w:p w:rsidR="001B26AF" w:rsidRPr="001C7B61" w:rsidRDefault="001B26AF" w:rsidP="001B26AF">
      <w:pPr>
        <w:rPr>
          <w:sz w:val="20"/>
          <w:lang w:val="en-US"/>
        </w:rPr>
      </w:pPr>
      <w:r w:rsidRPr="001C7B61">
        <w:rPr>
          <w:b/>
          <w:sz w:val="20"/>
        </w:rPr>
        <w:t>Šaltinis</w:t>
      </w:r>
      <w:r w:rsidRPr="001C7B61">
        <w:rPr>
          <w:sz w:val="20"/>
        </w:rPr>
        <w:t>: sudaryta šio darbo autorės</w:t>
      </w:r>
      <w:r w:rsidR="001B2B8A">
        <w:rPr>
          <w:sz w:val="20"/>
        </w:rPr>
        <w:t>, remiantis apklausos rezultatais</w:t>
      </w:r>
    </w:p>
    <w:p w:rsidR="00E841E8" w:rsidRDefault="006F4F80" w:rsidP="00732CF2">
      <w:r>
        <w:t xml:space="preserve">Palyginus aukštojo </w:t>
      </w:r>
      <w:r w:rsidR="001C1EAB">
        <w:t>(ar</w:t>
      </w:r>
      <w:r>
        <w:t xml:space="preserve"> aukštesniojo</w:t>
      </w:r>
      <w:r w:rsidR="001C1EAB">
        <w:t>)</w:t>
      </w:r>
      <w:r w:rsidR="00182834">
        <w:t xml:space="preserve"> mokslo</w:t>
      </w:r>
      <w:r w:rsidR="00893729">
        <w:t xml:space="preserve"> siekusi</w:t>
      </w:r>
      <w:r w:rsidR="00FC0FDA">
        <w:t>us</w:t>
      </w:r>
      <w:r w:rsidR="007C11D0">
        <w:t xml:space="preserve"> asmen</w:t>
      </w:r>
      <w:r w:rsidR="00FC0FDA">
        <w:t>is</w:t>
      </w:r>
      <w:r w:rsidR="007C11D0">
        <w:t xml:space="preserve"> </w:t>
      </w:r>
      <w:r w:rsidR="005D4EB9">
        <w:t xml:space="preserve">su likusiais </w:t>
      </w:r>
      <w:r w:rsidR="00AA1A58">
        <w:t>tos</w:t>
      </w:r>
      <w:r w:rsidR="00520FDE">
        <w:t xml:space="preserve">e </w:t>
      </w:r>
      <w:r w:rsidR="005D4EB9">
        <w:t xml:space="preserve">amžiaus </w:t>
      </w:r>
      <w:r w:rsidR="00AA1A58">
        <w:t>kategorijos</w:t>
      </w:r>
      <w:r w:rsidR="00732F29">
        <w:t xml:space="preserve">e </w:t>
      </w:r>
      <w:r w:rsidR="00F2308A">
        <w:t>individais</w:t>
      </w:r>
      <w:r w:rsidR="000E5CB0">
        <w:t xml:space="preserve">, </w:t>
      </w:r>
      <w:r w:rsidR="003C4BCD">
        <w:t>paaiškėjo</w:t>
      </w:r>
      <w:r w:rsidR="000E5CB0">
        <w:t>, jog</w:t>
      </w:r>
      <w:r w:rsidR="004E34BD">
        <w:t xml:space="preserve"> </w:t>
      </w:r>
      <w:r w:rsidR="007128C1">
        <w:t>2-</w:t>
      </w:r>
      <w:r w:rsidR="00CD241C">
        <w:t>joje</w:t>
      </w:r>
      <w:r w:rsidR="00DF5903">
        <w:t xml:space="preserve"> </w:t>
      </w:r>
      <w:r w:rsidR="00CD241C">
        <w:t xml:space="preserve">amžiaus </w:t>
      </w:r>
      <w:r w:rsidR="00093A73">
        <w:t>grupėj</w:t>
      </w:r>
      <w:r w:rsidR="00CD241C">
        <w:t xml:space="preserve">e </w:t>
      </w:r>
      <w:r w:rsidR="000B66FF">
        <w:t>žmon</w:t>
      </w:r>
      <w:r w:rsidR="007128C1">
        <w:t>i</w:t>
      </w:r>
      <w:r w:rsidR="00CD241C">
        <w:t xml:space="preserve">ų, turinčių </w:t>
      </w:r>
      <w:r w:rsidR="000B66FF">
        <w:t xml:space="preserve">aukštesnį </w:t>
      </w:r>
      <w:r w:rsidR="00CD241C">
        <w:t>išsilavinimą,</w:t>
      </w:r>
      <w:r w:rsidR="004E34BD">
        <w:t xml:space="preserve"> dali</w:t>
      </w:r>
      <w:r w:rsidR="004E34BD" w:rsidRPr="000F5DCD">
        <w:t xml:space="preserve">s </w:t>
      </w:r>
      <w:r w:rsidR="00313D71" w:rsidRPr="000F5DCD">
        <w:t>(</w:t>
      </w:r>
      <w:r w:rsidR="00C357DE">
        <w:t>68,6</w:t>
      </w:r>
      <w:r w:rsidR="00DD4EEC" w:rsidRPr="000F5DCD">
        <w:t> proc.</w:t>
      </w:r>
      <w:r w:rsidR="00313D71" w:rsidRPr="000F5DCD">
        <w:t xml:space="preserve">) </w:t>
      </w:r>
      <w:r w:rsidR="00313D71">
        <w:t>buvo</w:t>
      </w:r>
      <w:r w:rsidR="008F50A2">
        <w:t xml:space="preserve"> didesnė</w:t>
      </w:r>
      <w:r w:rsidR="00732F29">
        <w:t>, palygin</w:t>
      </w:r>
      <w:r w:rsidR="00334D21">
        <w:t>ti</w:t>
      </w:r>
      <w:r w:rsidR="00732F29">
        <w:t xml:space="preserve"> su kitomis grupėmis</w:t>
      </w:r>
      <w:r w:rsidR="00075279">
        <w:t>, o tai pagrindžia išsakytą mintį, jog aktyvesni</w:t>
      </w:r>
      <w:r w:rsidR="00AA7779">
        <w:t xml:space="preserve"> buvo jaunesni</w:t>
      </w:r>
      <w:r w:rsidR="000919D7">
        <w:t>o</w:t>
      </w:r>
      <w:r w:rsidR="00AA7779">
        <w:t xml:space="preserve"> </w:t>
      </w:r>
      <w:r w:rsidR="000919D7">
        <w:t xml:space="preserve">amžiaus ir </w:t>
      </w:r>
      <w:r w:rsidR="00AD69EC">
        <w:t>aukštesn</w:t>
      </w:r>
      <w:r w:rsidR="00267A01">
        <w:t>io</w:t>
      </w:r>
      <w:r w:rsidR="00AD69EC">
        <w:t xml:space="preserve"> </w:t>
      </w:r>
      <w:r w:rsidR="000919D7">
        <w:t>išsilavinim</w:t>
      </w:r>
      <w:r w:rsidR="00267A01">
        <w:t>o</w:t>
      </w:r>
      <w:r w:rsidR="00AD69EC">
        <w:t xml:space="preserve"> individai.</w:t>
      </w:r>
      <w:r w:rsidR="000919D7">
        <w:t xml:space="preserve"> </w:t>
      </w:r>
      <w:r w:rsidR="007128C1">
        <w:t>Tas pat pasakytina ir apie vis</w:t>
      </w:r>
      <w:r w:rsidR="00BC61B5">
        <w:t>ą imtį –</w:t>
      </w:r>
      <w:r w:rsidR="003C088E">
        <w:t xml:space="preserve"> čia </w:t>
      </w:r>
      <w:r w:rsidR="001C1EAB">
        <w:t>siekusių aukštojo (</w:t>
      </w:r>
      <w:r w:rsidR="00C819CC">
        <w:t>ar aukštesniojo</w:t>
      </w:r>
      <w:r w:rsidR="001C1EAB">
        <w:t>)</w:t>
      </w:r>
      <w:r w:rsidR="00C819CC">
        <w:t xml:space="preserve"> mokslo</w:t>
      </w:r>
      <w:r w:rsidR="00F30AFB">
        <w:t xml:space="preserve"> asmenų</w:t>
      </w:r>
      <w:r w:rsidR="00214FAB">
        <w:t xml:space="preserve"> </w:t>
      </w:r>
      <w:r w:rsidR="00C819CC">
        <w:t>dalis sudarė 57</w:t>
      </w:r>
      <w:r w:rsidR="00720420">
        <w:t>,5</w:t>
      </w:r>
      <w:r w:rsidR="00C819CC">
        <w:t xml:space="preserve"> proc.</w:t>
      </w:r>
      <w:r w:rsidR="00F86E92">
        <w:t xml:space="preserve"> Kadangi </w:t>
      </w:r>
      <w:r w:rsidR="003D4753">
        <w:t xml:space="preserve">labiau </w:t>
      </w:r>
      <w:r w:rsidR="009E5ABA">
        <w:t>iš</w:t>
      </w:r>
      <w:r w:rsidR="00337EF5">
        <w:t>prus</w:t>
      </w:r>
      <w:r w:rsidR="00CC25BC">
        <w:t>ę</w:t>
      </w:r>
      <w:r w:rsidR="009E5ABA">
        <w:t xml:space="preserve"> </w:t>
      </w:r>
      <w:r w:rsidR="00337EF5">
        <w:t xml:space="preserve">individai </w:t>
      </w:r>
      <w:r w:rsidR="001F7B61">
        <w:t xml:space="preserve">užpildė </w:t>
      </w:r>
      <w:r w:rsidR="00F86E92">
        <w:t xml:space="preserve">santykinai </w:t>
      </w:r>
      <w:r w:rsidR="0009792D">
        <w:t xml:space="preserve">daugiau </w:t>
      </w:r>
      <w:r w:rsidR="00314155">
        <w:t>anket</w:t>
      </w:r>
      <w:r w:rsidR="0009792D">
        <w:t>ų</w:t>
      </w:r>
      <w:r w:rsidR="00D80F39">
        <w:t xml:space="preserve">, tikėtina, jog </w:t>
      </w:r>
      <w:r w:rsidR="002673C1">
        <w:t xml:space="preserve">visumos </w:t>
      </w:r>
      <w:r w:rsidR="003D4753">
        <w:t>finansinė elgsena taps</w:t>
      </w:r>
      <w:r w:rsidR="00F427F3">
        <w:t xml:space="preserve"> šiek tiek geresnė </w:t>
      </w:r>
      <w:r w:rsidR="00EC3D82">
        <w:t>negu</w:t>
      </w:r>
      <w:r w:rsidR="00F427F3">
        <w:t xml:space="preserve"> realiai egzistuojanti.</w:t>
      </w:r>
    </w:p>
    <w:p w:rsidR="0028531A" w:rsidRDefault="00337EF5" w:rsidP="00732CF2">
      <w:r>
        <w:t xml:space="preserve">Kalbant apie </w:t>
      </w:r>
      <w:r w:rsidR="003936DA">
        <w:t xml:space="preserve">respondentų </w:t>
      </w:r>
      <w:r w:rsidR="000F5DCD">
        <w:t>šeimin</w:t>
      </w:r>
      <w:r w:rsidR="00AA1A58">
        <w:t xml:space="preserve">ę </w:t>
      </w:r>
      <w:r w:rsidR="00ED39CB">
        <w:t xml:space="preserve">bei finansinę </w:t>
      </w:r>
      <w:r w:rsidR="00AA1A58" w:rsidRPr="00600A09">
        <w:t>pad</w:t>
      </w:r>
      <w:r w:rsidR="0003699B" w:rsidRPr="00600A09">
        <w:t>ėtį</w:t>
      </w:r>
      <w:r w:rsidR="003936DA" w:rsidRPr="00600A09">
        <w:t xml:space="preserve"> (</w:t>
      </w:r>
      <w:r w:rsidR="00256530" w:rsidRPr="00600A09">
        <w:t>žr. 4</w:t>
      </w:r>
      <w:r w:rsidR="003936DA" w:rsidRPr="00600A09">
        <w:t> lent.)</w:t>
      </w:r>
      <w:r w:rsidR="0003699B" w:rsidRPr="00600A09">
        <w:t>,</w:t>
      </w:r>
      <w:r w:rsidR="0003699B">
        <w:t xml:space="preserve"> reik</w:t>
      </w:r>
      <w:r w:rsidR="000F5DCD">
        <w:t>ė</w:t>
      </w:r>
      <w:r w:rsidR="00AA1A58">
        <w:t>tų pasakyti, jog</w:t>
      </w:r>
      <w:r w:rsidR="00405C71">
        <w:t xml:space="preserve"> daugiausia</w:t>
      </w:r>
      <w:r w:rsidR="00ED39CB">
        <w:t xml:space="preserve"> (122 individai) </w:t>
      </w:r>
      <w:r w:rsidR="00405C71">
        <w:t>buvo apklausta</w:t>
      </w:r>
      <w:r w:rsidR="00C43632">
        <w:t xml:space="preserve"> </w:t>
      </w:r>
      <w:r w:rsidR="00405C71">
        <w:t>tų asmenų</w:t>
      </w:r>
      <w:r w:rsidR="0003699B">
        <w:t xml:space="preserve">, kurių </w:t>
      </w:r>
      <w:r w:rsidR="005044BC">
        <w:t>šeimos sudėtis nebuvo didelė</w:t>
      </w:r>
      <w:r w:rsidR="00B31769">
        <w:t xml:space="preserve"> (2 asmenys, iš kurių bent vienas suaugęs)</w:t>
      </w:r>
      <w:r w:rsidR="00420DE2">
        <w:t>, bei tie žmonės</w:t>
      </w:r>
      <w:r w:rsidR="00377F0D">
        <w:t>, kurie tiriamuoju laikotarpiu gyveno</w:t>
      </w:r>
      <w:r w:rsidR="00B212E4">
        <w:t xml:space="preserve"> vieni patys</w:t>
      </w:r>
      <w:r w:rsidR="0034446D">
        <w:t xml:space="preserve"> (74</w:t>
      </w:r>
      <w:r w:rsidR="00D80057">
        <w:t xml:space="preserve"> individai</w:t>
      </w:r>
      <w:r w:rsidR="0034446D">
        <w:t>)</w:t>
      </w:r>
      <w:r w:rsidR="00B212E4">
        <w:t>.</w:t>
      </w:r>
      <w:r w:rsidR="00AB71A0">
        <w:t xml:space="preserve"> </w:t>
      </w:r>
      <w:r w:rsidR="00241C35">
        <w:t xml:space="preserve">Įdomu </w:t>
      </w:r>
      <w:r w:rsidR="00EB20CF">
        <w:t>tai, jog tarp šių žmoni</w:t>
      </w:r>
      <w:r w:rsidR="00241C35">
        <w:t xml:space="preserve">ų </w:t>
      </w:r>
      <w:r w:rsidR="00D3301E">
        <w:t xml:space="preserve">nemažai </w:t>
      </w:r>
      <w:r w:rsidR="00241C35">
        <w:t xml:space="preserve">buvo tokių </w:t>
      </w:r>
      <w:r w:rsidR="00D3301E">
        <w:t>asmen</w:t>
      </w:r>
      <w:r w:rsidR="00241C35">
        <w:t xml:space="preserve">ų, kurių </w:t>
      </w:r>
      <w:r w:rsidR="00FA73C0">
        <w:t xml:space="preserve">vidutinės </w:t>
      </w:r>
      <w:r w:rsidR="00132BE2">
        <w:t xml:space="preserve">mėnesinės </w:t>
      </w:r>
      <w:r w:rsidR="00FA73C0">
        <w:t xml:space="preserve">šeimos pajamos </w:t>
      </w:r>
      <w:r w:rsidR="00D3301E">
        <w:t>(</w:t>
      </w:r>
      <w:r w:rsidR="00FA73C0">
        <w:t>„į rankas“</w:t>
      </w:r>
      <w:r w:rsidR="00D3301E">
        <w:t>)</w:t>
      </w:r>
      <w:r w:rsidR="00FA73C0">
        <w:t xml:space="preserve"> </w:t>
      </w:r>
      <w:r w:rsidR="006106A4">
        <w:t xml:space="preserve">gerokai </w:t>
      </w:r>
      <w:r w:rsidR="00FA73C0">
        <w:t xml:space="preserve">viršijo </w:t>
      </w:r>
      <w:r w:rsidR="004D4A8A">
        <w:t>(pažymėta raudona</w:t>
      </w:r>
      <w:r w:rsidR="00EB20CF">
        <w:t xml:space="preserve"> spalva</w:t>
      </w:r>
      <w:r w:rsidR="004D4A8A">
        <w:t xml:space="preserve">) </w:t>
      </w:r>
      <w:r w:rsidR="00132BE2">
        <w:t>nedarbo draudimo išmok</w:t>
      </w:r>
      <w:r w:rsidR="00EF6FBB">
        <w:t>ų maksimalų dydį</w:t>
      </w:r>
      <w:r w:rsidR="00D8462A">
        <w:t xml:space="preserve"> (650 Lt) </w:t>
      </w:r>
      <w:r w:rsidR="00132BE2">
        <w:t>i</w:t>
      </w:r>
      <w:r w:rsidR="00D8462A">
        <w:t>r</w:t>
      </w:r>
      <w:r w:rsidR="00132BE2">
        <w:t xml:space="preserve"> valstybės remiam</w:t>
      </w:r>
      <w:r w:rsidR="00797312">
        <w:t>as</w:t>
      </w:r>
      <w:r w:rsidR="00132BE2">
        <w:t xml:space="preserve"> pajam</w:t>
      </w:r>
      <w:r w:rsidR="00797312">
        <w:t xml:space="preserve">as </w:t>
      </w:r>
      <w:r w:rsidR="00EF6FBB">
        <w:t xml:space="preserve">vienam gyventojui </w:t>
      </w:r>
      <w:r w:rsidR="00132BE2">
        <w:t>(350 Lt)</w:t>
      </w:r>
      <w:r w:rsidR="00EF6FBB">
        <w:t>.</w:t>
      </w:r>
      <w:r w:rsidR="000561FC">
        <w:t xml:space="preserve"> </w:t>
      </w:r>
      <w:r w:rsidR="00072125">
        <w:t xml:space="preserve">Tai </w:t>
      </w:r>
      <w:r w:rsidR="00EE6754">
        <w:t>parodo</w:t>
      </w:r>
      <w:r w:rsidR="00072125">
        <w:t>, jog</w:t>
      </w:r>
      <w:r w:rsidR="00EE6754">
        <w:t xml:space="preserve"> kai kurių individų finansi</w:t>
      </w:r>
      <w:r w:rsidR="00663E8F">
        <w:t>nė elgsena buvo neracionali, nes</w:t>
      </w:r>
      <w:r w:rsidR="00EE6754">
        <w:t xml:space="preserve"> </w:t>
      </w:r>
      <w:r w:rsidR="00663E8F">
        <w:t xml:space="preserve">teisė į socialines išmokas </w:t>
      </w:r>
      <w:r w:rsidR="00373616">
        <w:t>buvo įgyta neteisėtai.</w:t>
      </w:r>
      <w:r w:rsidR="00A810D6">
        <w:t xml:space="preserve"> </w:t>
      </w:r>
      <w:r w:rsidR="000561FC">
        <w:t xml:space="preserve">Tą patį būtų galima pasakyti ir </w:t>
      </w:r>
      <w:r w:rsidR="0087399D">
        <w:t>apie trijų</w:t>
      </w:r>
      <w:r w:rsidR="00BD6EA4">
        <w:t xml:space="preserve"> asmenų šeimas, kurių pajamos siek</w:t>
      </w:r>
      <w:r w:rsidR="000B528D">
        <w:t>ė</w:t>
      </w:r>
      <w:r w:rsidR="008918DE">
        <w:t xml:space="preserve"> daugiau nei</w:t>
      </w:r>
      <w:r w:rsidR="00BD6EA4">
        <w:t xml:space="preserve"> 3 000 litų</w:t>
      </w:r>
      <w:r w:rsidR="00A76666">
        <w:t xml:space="preserve"> – </w:t>
      </w:r>
      <w:r w:rsidR="005F62AB">
        <w:t>kadangi</w:t>
      </w:r>
      <w:r w:rsidR="00C67886">
        <w:t xml:space="preserve"> žinoma</w:t>
      </w:r>
      <w:r w:rsidR="00A76666">
        <w:t>, jog</w:t>
      </w:r>
      <w:r w:rsidR="00C67886">
        <w:t xml:space="preserve"> vienas j</w:t>
      </w:r>
      <w:r w:rsidR="00EB3B79">
        <w:t>ų</w:t>
      </w:r>
      <w:r w:rsidR="00C67886">
        <w:t xml:space="preserve"> </w:t>
      </w:r>
      <w:r w:rsidR="000B528D">
        <w:t>buvo</w:t>
      </w:r>
      <w:r w:rsidR="000C59BF">
        <w:t xml:space="preserve"> </w:t>
      </w:r>
      <w:r w:rsidR="00EB3B79">
        <w:t>rem</w:t>
      </w:r>
      <w:r w:rsidR="005A5596">
        <w:t>tinas</w:t>
      </w:r>
      <w:r w:rsidR="00EB3B79">
        <w:t xml:space="preserve"> valstybės, </w:t>
      </w:r>
      <w:r w:rsidR="000C59BF">
        <w:t>o kitas – savimi dar negalintis pasirūpinti</w:t>
      </w:r>
      <w:r w:rsidR="008918DE">
        <w:t xml:space="preserve"> vaik</w:t>
      </w:r>
      <w:r w:rsidR="001F4AA9">
        <w:t xml:space="preserve">as </w:t>
      </w:r>
      <w:r w:rsidR="00DE308F">
        <w:t>(</w:t>
      </w:r>
      <w:r w:rsidR="00FF5123">
        <w:t>5 atvejai iš 5</w:t>
      </w:r>
      <w:r w:rsidR="00DE308F">
        <w:t>)</w:t>
      </w:r>
      <w:r w:rsidR="000C59BF">
        <w:t xml:space="preserve">, </w:t>
      </w:r>
      <w:r w:rsidR="00EB3B79">
        <w:t>tampa</w:t>
      </w:r>
      <w:r w:rsidR="00FF5123">
        <w:t xml:space="preserve"> </w:t>
      </w:r>
      <w:r w:rsidR="00426200">
        <w:t>aišk</w:t>
      </w:r>
      <w:r w:rsidR="00FF5123">
        <w:t>u</w:t>
      </w:r>
      <w:r w:rsidR="00EB3B79">
        <w:t>, jog</w:t>
      </w:r>
      <w:r w:rsidR="00B9405E">
        <w:t xml:space="preserve"> </w:t>
      </w:r>
      <w:r w:rsidR="00A74B9B">
        <w:t>už</w:t>
      </w:r>
      <w:r w:rsidR="00B9405E">
        <w:t xml:space="preserve">dirbti </w:t>
      </w:r>
      <w:r w:rsidR="00A74B9B">
        <w:t xml:space="preserve">šitiek </w:t>
      </w:r>
      <w:r w:rsidR="006C1BB7">
        <w:t xml:space="preserve">buvo </w:t>
      </w:r>
      <w:r w:rsidR="00B9405E">
        <w:t>gali</w:t>
      </w:r>
      <w:r w:rsidR="00A74B9B">
        <w:t>ma</w:t>
      </w:r>
      <w:r w:rsidR="00523FC4">
        <w:t>,</w:t>
      </w:r>
      <w:r w:rsidR="00B9405E">
        <w:t xml:space="preserve"> </w:t>
      </w:r>
      <w:r w:rsidR="00AD168E">
        <w:t>tik</w:t>
      </w:r>
      <w:r w:rsidR="00523FC4">
        <w:t xml:space="preserve"> esant</w:t>
      </w:r>
      <w:r w:rsidR="00206C72">
        <w:t xml:space="preserve"> </w:t>
      </w:r>
      <w:r w:rsidR="00C31DE9">
        <w:t xml:space="preserve">itin dideliam </w:t>
      </w:r>
      <w:r w:rsidR="006C1BB7">
        <w:t>treč</w:t>
      </w:r>
      <w:r w:rsidR="00C7033F">
        <w:t>iojo</w:t>
      </w:r>
      <w:r w:rsidR="00AB4C58">
        <w:t xml:space="preserve"> </w:t>
      </w:r>
      <w:r w:rsidR="00206C72">
        <w:t>šeimos nario atlygi</w:t>
      </w:r>
      <w:r w:rsidR="00C7033F">
        <w:t>nimui</w:t>
      </w:r>
      <w:r w:rsidR="004341A6">
        <w:t xml:space="preserve">, </w:t>
      </w:r>
      <w:r w:rsidR="003F5F9E">
        <w:t xml:space="preserve">– </w:t>
      </w:r>
      <w:r w:rsidR="004341A6">
        <w:t>kas šiandie</w:t>
      </w:r>
      <w:r w:rsidR="001F4AA9">
        <w:t>n</w:t>
      </w:r>
      <w:r w:rsidR="004C2778">
        <w:t>inėmis sąlygomis</w:t>
      </w:r>
      <w:r w:rsidR="00AD65B4">
        <w:t xml:space="preserve"> yra </w:t>
      </w:r>
      <w:r w:rsidR="004341A6">
        <w:t xml:space="preserve">sunkiai </w:t>
      </w:r>
      <w:r w:rsidR="00185359" w:rsidRPr="00185359">
        <w:t xml:space="preserve">pasiekiama </w:t>
      </w:r>
      <w:r w:rsidR="00A03509" w:rsidRPr="00185359">
        <w:t>(</w:t>
      </w:r>
      <w:r w:rsidR="004C2778" w:rsidRPr="00185359">
        <w:t xml:space="preserve">bruto darbo užmokestis </w:t>
      </w:r>
      <w:r w:rsidR="00A03509" w:rsidRPr="00185359">
        <w:t xml:space="preserve">turėtų siekti </w:t>
      </w:r>
      <w:r w:rsidR="00B51FAF" w:rsidRPr="00185359">
        <w:t xml:space="preserve">ne mažiau </w:t>
      </w:r>
      <w:r w:rsidR="001F4AA9" w:rsidRPr="00185359">
        <w:t>3 </w:t>
      </w:r>
      <w:r w:rsidR="007A4480" w:rsidRPr="00185359">
        <w:t>00</w:t>
      </w:r>
      <w:r w:rsidR="002C2744" w:rsidRPr="00185359">
        <w:t>0</w:t>
      </w:r>
      <w:r w:rsidR="001F4AA9" w:rsidRPr="00185359">
        <w:t> Lt</w:t>
      </w:r>
      <w:r w:rsidR="00185359" w:rsidRPr="00185359">
        <w:t>; socialinė pašalpa – 650 Lt</w:t>
      </w:r>
      <w:r w:rsidR="001F4AA9" w:rsidRPr="00185359">
        <w:t>).</w:t>
      </w:r>
    </w:p>
    <w:bookmarkStart w:id="31" w:name="_Toc343638399"/>
    <w:p w:rsidR="00FC4DA4" w:rsidRDefault="00D84BC4" w:rsidP="00886347">
      <w:pPr>
        <w:pStyle w:val="Caption"/>
      </w:pPr>
      <w:r w:rsidRPr="00600A09">
        <w:lastRenderedPageBreak/>
        <w:fldChar w:fldCharType="begin"/>
      </w:r>
      <w:r w:rsidR="00600A09" w:rsidRPr="00600A09">
        <w:instrText xml:space="preserve"> SEQ lentelė \* ARABIC </w:instrText>
      </w:r>
      <w:r w:rsidRPr="00600A09">
        <w:fldChar w:fldCharType="separate"/>
      </w:r>
      <w:r w:rsidR="00600A09" w:rsidRPr="00600A09">
        <w:t>4</w:t>
      </w:r>
      <w:r w:rsidRPr="00600A09">
        <w:fldChar w:fldCharType="end"/>
      </w:r>
      <w:r w:rsidR="00600A09" w:rsidRPr="00600A09">
        <w:t xml:space="preserve"> </w:t>
      </w:r>
      <w:r w:rsidR="008918DE" w:rsidRPr="00600A09">
        <w:t>lentelė</w:t>
      </w:r>
      <w:r w:rsidR="00600A09" w:rsidRPr="00600A09">
        <w:t>.</w:t>
      </w:r>
      <w:r w:rsidR="008918DE" w:rsidRPr="008918DE">
        <w:rPr>
          <w:color w:val="FF0000"/>
        </w:rPr>
        <w:t xml:space="preserve"> </w:t>
      </w:r>
      <w:r w:rsidR="00B2136D">
        <w:t>Apklausos dalyvių</w:t>
      </w:r>
      <w:r w:rsidR="0056132B">
        <w:t xml:space="preserve"> finansinė padėtis: pajamos, tenkančios vienam šeimos nariui</w:t>
      </w:r>
      <w:bookmarkEnd w:id="31"/>
    </w:p>
    <w:tbl>
      <w:tblPr>
        <w:tblW w:w="10307"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ayout w:type="fixed"/>
        <w:tblCellMar>
          <w:left w:w="30" w:type="dxa"/>
          <w:right w:w="30" w:type="dxa"/>
        </w:tblCellMar>
        <w:tblLook w:val="0000"/>
      </w:tblPr>
      <w:tblGrid>
        <w:gridCol w:w="1051"/>
        <w:gridCol w:w="1170"/>
        <w:gridCol w:w="1170"/>
        <w:gridCol w:w="1170"/>
        <w:gridCol w:w="1170"/>
        <w:gridCol w:w="1170"/>
        <w:gridCol w:w="1170"/>
        <w:gridCol w:w="1170"/>
        <w:gridCol w:w="1066"/>
      </w:tblGrid>
      <w:tr w:rsidR="002B0B70" w:rsidRPr="00F037AC" w:rsidTr="002B0B70">
        <w:trPr>
          <w:cantSplit/>
          <w:trHeight w:val="156"/>
          <w:tblHeader/>
          <w:jc w:val="center"/>
        </w:trPr>
        <w:tc>
          <w:tcPr>
            <w:tcW w:w="1051" w:type="dxa"/>
            <w:vMerge w:val="restart"/>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2B0B70" w:rsidRPr="00EF64AC" w:rsidRDefault="002B0B70" w:rsidP="00FC4DA4">
            <w:pPr>
              <w:widowControl/>
              <w:autoSpaceDE w:val="0"/>
              <w:autoSpaceDN w:val="0"/>
              <w:adjustRightInd w:val="0"/>
              <w:spacing w:after="0" w:line="240" w:lineRule="auto"/>
              <w:ind w:firstLine="0"/>
              <w:contextualSpacing w:val="0"/>
              <w:jc w:val="center"/>
              <w:rPr>
                <w:b/>
                <w:i/>
                <w:sz w:val="17"/>
                <w:szCs w:val="17"/>
              </w:rPr>
            </w:pPr>
            <w:r w:rsidRPr="00EF64AC">
              <w:rPr>
                <w:b/>
                <w:i/>
                <w:sz w:val="17"/>
                <w:szCs w:val="17"/>
              </w:rPr>
              <w:t>Šeimos narių skaičius</w:t>
            </w:r>
          </w:p>
        </w:tc>
        <w:tc>
          <w:tcPr>
            <w:tcW w:w="8190"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2B0B70" w:rsidRPr="00EF64AC" w:rsidRDefault="002B0B70" w:rsidP="00341B09">
            <w:pPr>
              <w:spacing w:after="0" w:line="240" w:lineRule="auto"/>
              <w:ind w:firstLine="0"/>
              <w:jc w:val="center"/>
              <w:rPr>
                <w:sz w:val="17"/>
                <w:szCs w:val="17"/>
              </w:rPr>
            </w:pPr>
            <w:r w:rsidRPr="00EF64AC">
              <w:rPr>
                <w:b/>
                <w:color w:val="000000"/>
                <w:sz w:val="17"/>
                <w:szCs w:val="17"/>
              </w:rPr>
              <w:t>Šeimos vidutinės pajamos per mėnesį „į rankas“ (su</w:t>
            </w:r>
            <w:r w:rsidR="00341B09">
              <w:rPr>
                <w:b/>
                <w:color w:val="000000"/>
                <w:sz w:val="17"/>
                <w:szCs w:val="17"/>
              </w:rPr>
              <w:t xml:space="preserve"> socialinėmis išmokomis</w:t>
            </w:r>
            <w:r w:rsidRPr="00EF64AC">
              <w:rPr>
                <w:b/>
                <w:color w:val="000000"/>
                <w:sz w:val="17"/>
                <w:szCs w:val="17"/>
              </w:rPr>
              <w:t>)</w:t>
            </w:r>
          </w:p>
        </w:tc>
        <w:tc>
          <w:tcPr>
            <w:tcW w:w="1066" w:type="dxa"/>
            <w:vMerge w:val="restart"/>
            <w:tcBorders>
              <w:top w:val="single" w:sz="12" w:space="0" w:color="000000"/>
              <w:left w:val="single" w:sz="12" w:space="0" w:color="000000"/>
              <w:right w:val="single" w:sz="12" w:space="0" w:color="000000"/>
            </w:tcBorders>
            <w:shd w:val="clear" w:color="auto" w:fill="D9D9D9" w:themeFill="background1" w:themeFillShade="D9"/>
            <w:vAlign w:val="bottom"/>
          </w:tcPr>
          <w:p w:rsidR="002B0B70" w:rsidRPr="00EF64AC" w:rsidRDefault="002B0B70" w:rsidP="00625A02">
            <w:pPr>
              <w:widowControl/>
              <w:autoSpaceDE w:val="0"/>
              <w:autoSpaceDN w:val="0"/>
              <w:adjustRightInd w:val="0"/>
              <w:spacing w:after="0" w:line="240" w:lineRule="auto"/>
              <w:ind w:firstLine="0"/>
              <w:contextualSpacing w:val="0"/>
              <w:jc w:val="center"/>
              <w:rPr>
                <w:b/>
                <w:i/>
                <w:color w:val="000000"/>
                <w:sz w:val="17"/>
                <w:szCs w:val="17"/>
              </w:rPr>
            </w:pPr>
            <w:r w:rsidRPr="00EF64AC">
              <w:rPr>
                <w:b/>
                <w:i/>
                <w:color w:val="000000"/>
                <w:sz w:val="17"/>
                <w:szCs w:val="17"/>
              </w:rPr>
              <w:t>Iš viso:</w:t>
            </w:r>
          </w:p>
        </w:tc>
      </w:tr>
      <w:tr w:rsidR="002B0B70" w:rsidRPr="00F037AC" w:rsidTr="002B0B70">
        <w:trPr>
          <w:cantSplit/>
          <w:tblHeader/>
          <w:jc w:val="center"/>
        </w:trPr>
        <w:tc>
          <w:tcPr>
            <w:tcW w:w="1051" w:type="dxa"/>
            <w:vMerge/>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tcPr>
          <w:p w:rsidR="002B0B70" w:rsidRPr="00EF64AC" w:rsidRDefault="002B0B70" w:rsidP="00FC4DA4">
            <w:pPr>
              <w:widowControl/>
              <w:autoSpaceDE w:val="0"/>
              <w:autoSpaceDN w:val="0"/>
              <w:adjustRightInd w:val="0"/>
              <w:spacing w:after="0" w:line="240" w:lineRule="auto"/>
              <w:ind w:firstLine="0"/>
              <w:contextualSpacing w:val="0"/>
              <w:jc w:val="left"/>
              <w:rPr>
                <w:sz w:val="17"/>
                <w:szCs w:val="17"/>
              </w:rPr>
            </w:pPr>
          </w:p>
        </w:tc>
        <w:tc>
          <w:tcPr>
            <w:tcW w:w="117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2B0B70" w:rsidRPr="00EF64AC" w:rsidRDefault="002B0B70" w:rsidP="00FC4DA4">
            <w:pPr>
              <w:widowControl/>
              <w:autoSpaceDE w:val="0"/>
              <w:autoSpaceDN w:val="0"/>
              <w:adjustRightInd w:val="0"/>
              <w:spacing w:after="0" w:line="240" w:lineRule="auto"/>
              <w:ind w:firstLine="0"/>
              <w:contextualSpacing w:val="0"/>
              <w:jc w:val="center"/>
              <w:rPr>
                <w:b/>
                <w:i/>
                <w:color w:val="000000"/>
                <w:sz w:val="17"/>
                <w:szCs w:val="17"/>
              </w:rPr>
            </w:pPr>
            <w:r w:rsidRPr="00EF64AC">
              <w:rPr>
                <w:b/>
                <w:i/>
                <w:color w:val="000000"/>
                <w:sz w:val="17"/>
                <w:szCs w:val="17"/>
              </w:rPr>
              <w:t>350-650 Lt</w:t>
            </w:r>
          </w:p>
        </w:tc>
        <w:tc>
          <w:tcPr>
            <w:tcW w:w="117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2B0B70" w:rsidRPr="00EF64AC" w:rsidRDefault="002B0B70" w:rsidP="00FC4DA4">
            <w:pPr>
              <w:widowControl/>
              <w:autoSpaceDE w:val="0"/>
              <w:autoSpaceDN w:val="0"/>
              <w:adjustRightInd w:val="0"/>
              <w:spacing w:after="0" w:line="240" w:lineRule="auto"/>
              <w:ind w:firstLine="0"/>
              <w:contextualSpacing w:val="0"/>
              <w:jc w:val="center"/>
              <w:rPr>
                <w:b/>
                <w:i/>
                <w:color w:val="000000"/>
                <w:sz w:val="17"/>
                <w:szCs w:val="17"/>
              </w:rPr>
            </w:pPr>
            <w:r w:rsidRPr="00EF64AC">
              <w:rPr>
                <w:b/>
                <w:i/>
                <w:color w:val="000000"/>
                <w:sz w:val="17"/>
                <w:szCs w:val="17"/>
              </w:rPr>
              <w:t>651-1 000 Lt</w:t>
            </w:r>
          </w:p>
        </w:tc>
        <w:tc>
          <w:tcPr>
            <w:tcW w:w="117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2B0B70" w:rsidRPr="00EF64AC" w:rsidRDefault="002B0B70" w:rsidP="00FC4DA4">
            <w:pPr>
              <w:widowControl/>
              <w:autoSpaceDE w:val="0"/>
              <w:autoSpaceDN w:val="0"/>
              <w:adjustRightInd w:val="0"/>
              <w:spacing w:after="0" w:line="240" w:lineRule="auto"/>
              <w:ind w:firstLine="0"/>
              <w:contextualSpacing w:val="0"/>
              <w:jc w:val="center"/>
              <w:rPr>
                <w:b/>
                <w:i/>
                <w:color w:val="000000"/>
                <w:sz w:val="17"/>
                <w:szCs w:val="17"/>
              </w:rPr>
            </w:pPr>
            <w:r w:rsidRPr="00EF64AC">
              <w:rPr>
                <w:b/>
                <w:i/>
                <w:color w:val="000000"/>
                <w:sz w:val="17"/>
                <w:szCs w:val="17"/>
              </w:rPr>
              <w:t>1 001-1 500 Lt</w:t>
            </w:r>
          </w:p>
        </w:tc>
        <w:tc>
          <w:tcPr>
            <w:tcW w:w="117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2B0B70" w:rsidRPr="00EF64AC" w:rsidRDefault="002B0B70" w:rsidP="00FC4DA4">
            <w:pPr>
              <w:widowControl/>
              <w:autoSpaceDE w:val="0"/>
              <w:autoSpaceDN w:val="0"/>
              <w:adjustRightInd w:val="0"/>
              <w:spacing w:after="0" w:line="240" w:lineRule="auto"/>
              <w:ind w:firstLine="0"/>
              <w:contextualSpacing w:val="0"/>
              <w:jc w:val="center"/>
              <w:rPr>
                <w:b/>
                <w:i/>
                <w:color w:val="000000"/>
                <w:sz w:val="17"/>
                <w:szCs w:val="17"/>
              </w:rPr>
            </w:pPr>
            <w:r w:rsidRPr="00EF64AC">
              <w:rPr>
                <w:b/>
                <w:i/>
                <w:color w:val="000000"/>
                <w:sz w:val="17"/>
                <w:szCs w:val="17"/>
              </w:rPr>
              <w:t>1 501-2 000 Lt</w:t>
            </w:r>
          </w:p>
        </w:tc>
        <w:tc>
          <w:tcPr>
            <w:tcW w:w="117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2B0B70" w:rsidRPr="00EF64AC" w:rsidRDefault="002B0B70" w:rsidP="00FC4DA4">
            <w:pPr>
              <w:widowControl/>
              <w:autoSpaceDE w:val="0"/>
              <w:autoSpaceDN w:val="0"/>
              <w:adjustRightInd w:val="0"/>
              <w:spacing w:after="0" w:line="240" w:lineRule="auto"/>
              <w:ind w:firstLine="0"/>
              <w:contextualSpacing w:val="0"/>
              <w:jc w:val="center"/>
              <w:rPr>
                <w:b/>
                <w:i/>
                <w:color w:val="000000"/>
                <w:sz w:val="17"/>
                <w:szCs w:val="17"/>
              </w:rPr>
            </w:pPr>
            <w:r w:rsidRPr="00EF64AC">
              <w:rPr>
                <w:b/>
                <w:i/>
                <w:color w:val="000000"/>
                <w:sz w:val="17"/>
                <w:szCs w:val="17"/>
              </w:rPr>
              <w:t>2 001- 2 500 Lt</w:t>
            </w:r>
          </w:p>
        </w:tc>
        <w:tc>
          <w:tcPr>
            <w:tcW w:w="117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2B0B70" w:rsidRPr="00EF64AC" w:rsidRDefault="002B0B70" w:rsidP="00FC4DA4">
            <w:pPr>
              <w:widowControl/>
              <w:autoSpaceDE w:val="0"/>
              <w:autoSpaceDN w:val="0"/>
              <w:adjustRightInd w:val="0"/>
              <w:spacing w:after="0" w:line="240" w:lineRule="auto"/>
              <w:ind w:firstLine="0"/>
              <w:contextualSpacing w:val="0"/>
              <w:jc w:val="center"/>
              <w:rPr>
                <w:b/>
                <w:i/>
                <w:color w:val="000000"/>
                <w:sz w:val="17"/>
                <w:szCs w:val="17"/>
              </w:rPr>
            </w:pPr>
            <w:r w:rsidRPr="00EF64AC">
              <w:rPr>
                <w:b/>
                <w:i/>
                <w:color w:val="000000"/>
                <w:sz w:val="17"/>
                <w:szCs w:val="17"/>
              </w:rPr>
              <w:t>2 501- 3 000 Lt</w:t>
            </w:r>
          </w:p>
        </w:tc>
        <w:tc>
          <w:tcPr>
            <w:tcW w:w="117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2B0B70" w:rsidRPr="00EF64AC" w:rsidRDefault="002B0B70" w:rsidP="00FC4DA4">
            <w:pPr>
              <w:widowControl/>
              <w:autoSpaceDE w:val="0"/>
              <w:autoSpaceDN w:val="0"/>
              <w:adjustRightInd w:val="0"/>
              <w:spacing w:after="0" w:line="240" w:lineRule="auto"/>
              <w:ind w:firstLine="0"/>
              <w:contextualSpacing w:val="0"/>
              <w:jc w:val="center"/>
              <w:rPr>
                <w:b/>
                <w:i/>
                <w:color w:val="000000"/>
                <w:sz w:val="17"/>
                <w:szCs w:val="17"/>
              </w:rPr>
            </w:pPr>
            <w:r w:rsidRPr="00EF64AC">
              <w:rPr>
                <w:b/>
                <w:i/>
                <w:color w:val="000000"/>
                <w:sz w:val="17"/>
                <w:szCs w:val="17"/>
              </w:rPr>
              <w:t>&gt; 3 000 Lt</w:t>
            </w:r>
          </w:p>
        </w:tc>
        <w:tc>
          <w:tcPr>
            <w:tcW w:w="1066" w:type="dxa"/>
            <w:vMerge/>
            <w:tcBorders>
              <w:left w:val="single" w:sz="12" w:space="0" w:color="000000"/>
              <w:bottom w:val="single" w:sz="12" w:space="0" w:color="000000"/>
              <w:right w:val="single" w:sz="12" w:space="0" w:color="000000"/>
            </w:tcBorders>
            <w:shd w:val="clear" w:color="auto" w:fill="D9D9D9" w:themeFill="background1" w:themeFillShade="D9"/>
          </w:tcPr>
          <w:p w:rsidR="002B0B70" w:rsidRPr="00EF64AC" w:rsidRDefault="002B0B70" w:rsidP="00FC4DA4">
            <w:pPr>
              <w:widowControl/>
              <w:autoSpaceDE w:val="0"/>
              <w:autoSpaceDN w:val="0"/>
              <w:adjustRightInd w:val="0"/>
              <w:spacing w:after="0" w:line="240" w:lineRule="auto"/>
              <w:ind w:firstLine="0"/>
              <w:contextualSpacing w:val="0"/>
              <w:jc w:val="center"/>
              <w:rPr>
                <w:b/>
                <w:i/>
                <w:color w:val="000000"/>
                <w:sz w:val="17"/>
                <w:szCs w:val="17"/>
              </w:rPr>
            </w:pPr>
          </w:p>
        </w:tc>
      </w:tr>
      <w:tr w:rsidR="00882F81" w:rsidRPr="00E05856" w:rsidTr="002B0B70">
        <w:trPr>
          <w:cantSplit/>
          <w:trHeight w:val="111"/>
          <w:tblHeader/>
          <w:jc w:val="center"/>
        </w:trPr>
        <w:tc>
          <w:tcPr>
            <w:tcW w:w="1051"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b/>
                <w:i/>
                <w:color w:val="000000"/>
                <w:sz w:val="18"/>
                <w:szCs w:val="18"/>
              </w:rPr>
            </w:pPr>
            <w:r w:rsidRPr="00E05856">
              <w:rPr>
                <w:b/>
                <w:i/>
                <w:color w:val="000000"/>
                <w:sz w:val="18"/>
                <w:szCs w:val="18"/>
              </w:rPr>
              <w:t>1</w:t>
            </w:r>
          </w:p>
        </w:tc>
        <w:tc>
          <w:tcPr>
            <w:tcW w:w="1170" w:type="dxa"/>
            <w:tcBorders>
              <w:top w:val="single" w:sz="1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49</w:t>
            </w:r>
            <w:r w:rsidR="009A7E70">
              <w:rPr>
                <w:color w:val="000000"/>
                <w:sz w:val="18"/>
                <w:szCs w:val="18"/>
              </w:rPr>
              <w:t xml:space="preserve"> </w:t>
            </w:r>
            <w:r w:rsidRPr="00E05856">
              <w:rPr>
                <w:color w:val="000000"/>
                <w:sz w:val="18"/>
                <w:szCs w:val="18"/>
              </w:rPr>
              <w:t>(52,7 %)</w:t>
            </w:r>
          </w:p>
        </w:tc>
        <w:tc>
          <w:tcPr>
            <w:tcW w:w="1170" w:type="dxa"/>
            <w:tcBorders>
              <w:top w:val="single" w:sz="1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9A7E70" w:rsidRDefault="00882F81" w:rsidP="00FC4DA4">
            <w:pPr>
              <w:widowControl/>
              <w:autoSpaceDE w:val="0"/>
              <w:autoSpaceDN w:val="0"/>
              <w:adjustRightInd w:val="0"/>
              <w:spacing w:after="0" w:line="240" w:lineRule="auto"/>
              <w:ind w:firstLine="0"/>
              <w:contextualSpacing w:val="0"/>
              <w:jc w:val="center"/>
              <w:rPr>
                <w:sz w:val="18"/>
                <w:szCs w:val="18"/>
              </w:rPr>
            </w:pPr>
            <w:r w:rsidRPr="00E05856">
              <w:rPr>
                <w:sz w:val="18"/>
                <w:szCs w:val="18"/>
              </w:rPr>
              <w:t>13</w:t>
            </w:r>
            <w:r w:rsidR="009A7E70">
              <w:rPr>
                <w:sz w:val="18"/>
                <w:szCs w:val="18"/>
              </w:rPr>
              <w:t xml:space="preserve"> </w:t>
            </w:r>
            <w:r w:rsidRPr="00E05856">
              <w:rPr>
                <w:color w:val="000000"/>
                <w:sz w:val="18"/>
                <w:szCs w:val="18"/>
              </w:rPr>
              <w:t>(21,7 %)</w:t>
            </w:r>
          </w:p>
        </w:tc>
        <w:tc>
          <w:tcPr>
            <w:tcW w:w="1170" w:type="dxa"/>
            <w:tcBorders>
              <w:top w:val="single" w:sz="1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9A7E70" w:rsidRDefault="00882F81" w:rsidP="00FC4DA4">
            <w:pPr>
              <w:widowControl/>
              <w:autoSpaceDE w:val="0"/>
              <w:autoSpaceDN w:val="0"/>
              <w:adjustRightInd w:val="0"/>
              <w:spacing w:after="0" w:line="240" w:lineRule="auto"/>
              <w:ind w:firstLine="0"/>
              <w:contextualSpacing w:val="0"/>
              <w:jc w:val="center"/>
              <w:rPr>
                <w:color w:val="FF0000"/>
                <w:sz w:val="18"/>
                <w:szCs w:val="18"/>
              </w:rPr>
            </w:pPr>
            <w:r w:rsidRPr="00720420">
              <w:rPr>
                <w:color w:val="FF0000"/>
                <w:sz w:val="18"/>
                <w:szCs w:val="18"/>
              </w:rPr>
              <w:t>8</w:t>
            </w:r>
            <w:r w:rsidR="009A7E70">
              <w:rPr>
                <w:color w:val="FF0000"/>
                <w:sz w:val="18"/>
                <w:szCs w:val="18"/>
              </w:rPr>
              <w:t xml:space="preserve"> </w:t>
            </w:r>
            <w:r w:rsidRPr="00720420">
              <w:rPr>
                <w:color w:val="FF0000"/>
                <w:sz w:val="18"/>
                <w:szCs w:val="18"/>
              </w:rPr>
              <w:t>(9,1 %)</w:t>
            </w:r>
          </w:p>
        </w:tc>
        <w:tc>
          <w:tcPr>
            <w:tcW w:w="1170" w:type="dxa"/>
            <w:tcBorders>
              <w:top w:val="single" w:sz="1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0</w:t>
            </w:r>
            <w:r w:rsidR="009A7E70">
              <w:rPr>
                <w:color w:val="000000"/>
                <w:sz w:val="18"/>
                <w:szCs w:val="18"/>
              </w:rPr>
              <w:t xml:space="preserve"> </w:t>
            </w:r>
            <w:r w:rsidRPr="00E05856">
              <w:rPr>
                <w:color w:val="000000"/>
                <w:sz w:val="18"/>
                <w:szCs w:val="18"/>
              </w:rPr>
              <w:t>(0,0 %)</w:t>
            </w:r>
          </w:p>
        </w:tc>
        <w:tc>
          <w:tcPr>
            <w:tcW w:w="1170" w:type="dxa"/>
            <w:tcBorders>
              <w:top w:val="single" w:sz="1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9A7E70" w:rsidRDefault="00882F81" w:rsidP="00FC4DA4">
            <w:pPr>
              <w:widowControl/>
              <w:autoSpaceDE w:val="0"/>
              <w:autoSpaceDN w:val="0"/>
              <w:adjustRightInd w:val="0"/>
              <w:spacing w:after="0" w:line="240" w:lineRule="auto"/>
              <w:ind w:firstLine="0"/>
              <w:contextualSpacing w:val="0"/>
              <w:jc w:val="center"/>
              <w:rPr>
                <w:color w:val="FF0000"/>
                <w:sz w:val="18"/>
                <w:szCs w:val="18"/>
              </w:rPr>
            </w:pPr>
            <w:r w:rsidRPr="00720420">
              <w:rPr>
                <w:color w:val="FF0000"/>
                <w:sz w:val="18"/>
                <w:szCs w:val="18"/>
              </w:rPr>
              <w:t>2</w:t>
            </w:r>
            <w:r w:rsidR="009A7E70">
              <w:rPr>
                <w:color w:val="FF0000"/>
                <w:sz w:val="18"/>
                <w:szCs w:val="18"/>
              </w:rPr>
              <w:t xml:space="preserve"> </w:t>
            </w:r>
            <w:r w:rsidRPr="00720420">
              <w:rPr>
                <w:color w:val="FF0000"/>
                <w:sz w:val="18"/>
                <w:szCs w:val="18"/>
              </w:rPr>
              <w:t>(7,7 %)</w:t>
            </w:r>
          </w:p>
        </w:tc>
        <w:tc>
          <w:tcPr>
            <w:tcW w:w="1170" w:type="dxa"/>
            <w:tcBorders>
              <w:top w:val="single" w:sz="1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9A7E70" w:rsidRDefault="00882F81" w:rsidP="00FC4DA4">
            <w:pPr>
              <w:widowControl/>
              <w:autoSpaceDE w:val="0"/>
              <w:autoSpaceDN w:val="0"/>
              <w:adjustRightInd w:val="0"/>
              <w:spacing w:after="0" w:line="240" w:lineRule="auto"/>
              <w:ind w:firstLine="0"/>
              <w:contextualSpacing w:val="0"/>
              <w:jc w:val="center"/>
              <w:rPr>
                <w:color w:val="FF0000"/>
                <w:sz w:val="18"/>
                <w:szCs w:val="18"/>
              </w:rPr>
            </w:pPr>
            <w:r w:rsidRPr="00720420">
              <w:rPr>
                <w:color w:val="FF0000"/>
                <w:sz w:val="18"/>
                <w:szCs w:val="18"/>
              </w:rPr>
              <w:t>2</w:t>
            </w:r>
            <w:r w:rsidR="009A7E70">
              <w:rPr>
                <w:color w:val="FF0000"/>
                <w:sz w:val="18"/>
                <w:szCs w:val="18"/>
              </w:rPr>
              <w:t xml:space="preserve"> </w:t>
            </w:r>
            <w:r w:rsidRPr="00720420">
              <w:rPr>
                <w:color w:val="FF0000"/>
                <w:sz w:val="18"/>
                <w:szCs w:val="18"/>
              </w:rPr>
              <w:t>(11,8 %)</w:t>
            </w:r>
          </w:p>
        </w:tc>
        <w:tc>
          <w:tcPr>
            <w:tcW w:w="1170" w:type="dxa"/>
            <w:tcBorders>
              <w:top w:val="single" w:sz="1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0</w:t>
            </w:r>
            <w:r w:rsidR="009A7E70">
              <w:rPr>
                <w:color w:val="000000"/>
                <w:sz w:val="18"/>
                <w:szCs w:val="18"/>
              </w:rPr>
              <w:t xml:space="preserve"> </w:t>
            </w:r>
            <w:r w:rsidRPr="00E05856">
              <w:rPr>
                <w:color w:val="000000"/>
                <w:sz w:val="18"/>
                <w:szCs w:val="18"/>
              </w:rPr>
              <w:t>(0,0 %)</w:t>
            </w:r>
          </w:p>
        </w:tc>
        <w:tc>
          <w:tcPr>
            <w:tcW w:w="106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rsidR="00882F81" w:rsidRPr="00EF7ED6" w:rsidRDefault="00882F81" w:rsidP="00FC4DA4">
            <w:pPr>
              <w:widowControl/>
              <w:autoSpaceDE w:val="0"/>
              <w:autoSpaceDN w:val="0"/>
              <w:adjustRightInd w:val="0"/>
              <w:spacing w:after="0" w:line="240" w:lineRule="auto"/>
              <w:ind w:firstLine="0"/>
              <w:contextualSpacing w:val="0"/>
              <w:jc w:val="center"/>
              <w:rPr>
                <w:b/>
                <w:sz w:val="18"/>
                <w:szCs w:val="18"/>
              </w:rPr>
            </w:pPr>
            <w:r w:rsidRPr="00EF7ED6">
              <w:rPr>
                <w:b/>
                <w:sz w:val="18"/>
                <w:szCs w:val="18"/>
              </w:rPr>
              <w:t>74</w:t>
            </w:r>
            <w:r w:rsidR="009A7E70">
              <w:rPr>
                <w:b/>
                <w:sz w:val="18"/>
                <w:szCs w:val="18"/>
              </w:rPr>
              <w:t xml:space="preserve"> </w:t>
            </w:r>
            <w:r w:rsidRPr="00EF7ED6">
              <w:rPr>
                <w:b/>
                <w:sz w:val="18"/>
                <w:szCs w:val="18"/>
              </w:rPr>
              <w:t xml:space="preserve">(21,7 </w:t>
            </w:r>
            <w:r w:rsidRPr="00EF7ED6">
              <w:rPr>
                <w:b/>
                <w:sz w:val="18"/>
                <w:szCs w:val="18"/>
                <w:lang w:val="en-US"/>
              </w:rPr>
              <w:t>%</w:t>
            </w:r>
            <w:r w:rsidRPr="00EF7ED6">
              <w:rPr>
                <w:b/>
                <w:sz w:val="18"/>
                <w:szCs w:val="18"/>
              </w:rPr>
              <w:t>)</w:t>
            </w:r>
          </w:p>
        </w:tc>
      </w:tr>
      <w:tr w:rsidR="00882F81" w:rsidRPr="00E05856" w:rsidTr="002B0B70">
        <w:trPr>
          <w:cantSplit/>
          <w:trHeight w:val="199"/>
          <w:tblHeader/>
          <w:jc w:val="center"/>
        </w:trPr>
        <w:tc>
          <w:tcPr>
            <w:tcW w:w="1051" w:type="dxa"/>
            <w:tcBorders>
              <w:top w:val="single" w:sz="2" w:space="0" w:color="000000"/>
              <w:left w:val="single" w:sz="12" w:space="0" w:color="000000"/>
              <w:bottom w:val="single" w:sz="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b/>
                <w:i/>
                <w:color w:val="000000"/>
                <w:sz w:val="18"/>
                <w:szCs w:val="18"/>
              </w:rPr>
            </w:pPr>
            <w:r w:rsidRPr="00E05856">
              <w:rPr>
                <w:b/>
                <w:i/>
                <w:color w:val="000000"/>
                <w:sz w:val="18"/>
                <w:szCs w:val="18"/>
              </w:rPr>
              <w:t>2</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15</w:t>
            </w:r>
            <w:r w:rsidR="009A7E70">
              <w:rPr>
                <w:color w:val="000000"/>
                <w:sz w:val="18"/>
                <w:szCs w:val="18"/>
              </w:rPr>
              <w:t xml:space="preserve"> </w:t>
            </w:r>
            <w:r w:rsidRPr="00E05856">
              <w:rPr>
                <w:color w:val="000000"/>
                <w:sz w:val="18"/>
                <w:szCs w:val="18"/>
              </w:rPr>
              <w:t>(16,1 %)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26</w:t>
            </w:r>
            <w:r w:rsidR="009A7E70">
              <w:rPr>
                <w:color w:val="000000"/>
                <w:sz w:val="18"/>
                <w:szCs w:val="18"/>
              </w:rPr>
              <w:t xml:space="preserve"> </w:t>
            </w:r>
            <w:r w:rsidRPr="00E05856">
              <w:rPr>
                <w:color w:val="000000"/>
                <w:sz w:val="18"/>
                <w:szCs w:val="18"/>
              </w:rPr>
              <w:t>(43,3 %)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47</w:t>
            </w:r>
            <w:r w:rsidR="009A7E70">
              <w:rPr>
                <w:color w:val="000000"/>
                <w:sz w:val="18"/>
                <w:szCs w:val="18"/>
              </w:rPr>
              <w:t xml:space="preserve"> </w:t>
            </w:r>
            <w:r w:rsidRPr="00E05856">
              <w:rPr>
                <w:color w:val="000000"/>
                <w:sz w:val="18"/>
                <w:szCs w:val="18"/>
              </w:rPr>
              <w:t>(53,4 %)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15</w:t>
            </w:r>
            <w:r w:rsidR="009A7E70">
              <w:rPr>
                <w:color w:val="000000"/>
                <w:sz w:val="18"/>
                <w:szCs w:val="18"/>
              </w:rPr>
              <w:t xml:space="preserve"> </w:t>
            </w:r>
            <w:r w:rsidRPr="00E05856">
              <w:rPr>
                <w:color w:val="000000"/>
                <w:sz w:val="18"/>
                <w:szCs w:val="18"/>
              </w:rPr>
              <w:t>(33,3 %)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9A7E70" w:rsidRDefault="00882F81" w:rsidP="00FC4DA4">
            <w:pPr>
              <w:widowControl/>
              <w:autoSpaceDE w:val="0"/>
              <w:autoSpaceDN w:val="0"/>
              <w:adjustRightInd w:val="0"/>
              <w:spacing w:after="0" w:line="240" w:lineRule="auto"/>
              <w:ind w:firstLine="0"/>
              <w:contextualSpacing w:val="0"/>
              <w:jc w:val="center"/>
              <w:rPr>
                <w:sz w:val="18"/>
                <w:szCs w:val="18"/>
              </w:rPr>
            </w:pPr>
            <w:r w:rsidRPr="00E05856">
              <w:rPr>
                <w:sz w:val="18"/>
                <w:szCs w:val="18"/>
              </w:rPr>
              <w:t>9</w:t>
            </w:r>
            <w:r w:rsidR="009A7E70">
              <w:rPr>
                <w:sz w:val="18"/>
                <w:szCs w:val="18"/>
              </w:rPr>
              <w:t xml:space="preserve"> </w:t>
            </w:r>
            <w:r w:rsidRPr="00E05856">
              <w:rPr>
                <w:color w:val="000000"/>
                <w:sz w:val="18"/>
                <w:szCs w:val="18"/>
              </w:rPr>
              <w:t>(34,6 %)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9A7E70" w:rsidRDefault="00882F81" w:rsidP="00FC4DA4">
            <w:pPr>
              <w:widowControl/>
              <w:autoSpaceDE w:val="0"/>
              <w:autoSpaceDN w:val="0"/>
              <w:adjustRightInd w:val="0"/>
              <w:spacing w:after="0" w:line="240" w:lineRule="auto"/>
              <w:ind w:firstLine="0"/>
              <w:contextualSpacing w:val="0"/>
              <w:jc w:val="center"/>
              <w:rPr>
                <w:sz w:val="18"/>
                <w:szCs w:val="18"/>
              </w:rPr>
            </w:pPr>
            <w:r w:rsidRPr="00E05856">
              <w:rPr>
                <w:sz w:val="18"/>
                <w:szCs w:val="18"/>
              </w:rPr>
              <w:t>6</w:t>
            </w:r>
            <w:r w:rsidR="009A7E70">
              <w:rPr>
                <w:sz w:val="18"/>
                <w:szCs w:val="18"/>
              </w:rPr>
              <w:t xml:space="preserve"> </w:t>
            </w:r>
            <w:r w:rsidRPr="00E05856">
              <w:rPr>
                <w:color w:val="000000"/>
                <w:sz w:val="18"/>
                <w:szCs w:val="18"/>
              </w:rPr>
              <w:t>(35,3 %)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9A7E70" w:rsidRDefault="00882F81" w:rsidP="00FC4DA4">
            <w:pPr>
              <w:widowControl/>
              <w:autoSpaceDE w:val="0"/>
              <w:autoSpaceDN w:val="0"/>
              <w:adjustRightInd w:val="0"/>
              <w:spacing w:after="0" w:line="240" w:lineRule="auto"/>
              <w:ind w:firstLine="0"/>
              <w:contextualSpacing w:val="0"/>
              <w:jc w:val="center"/>
              <w:rPr>
                <w:color w:val="FF0000"/>
                <w:sz w:val="18"/>
                <w:szCs w:val="18"/>
              </w:rPr>
            </w:pPr>
            <w:r w:rsidRPr="00720420">
              <w:rPr>
                <w:color w:val="FF0000"/>
                <w:sz w:val="18"/>
                <w:szCs w:val="18"/>
              </w:rPr>
              <w:t>4</w:t>
            </w:r>
            <w:r w:rsidR="009A7E70">
              <w:rPr>
                <w:color w:val="FF0000"/>
                <w:sz w:val="18"/>
                <w:szCs w:val="18"/>
              </w:rPr>
              <w:t xml:space="preserve"> </w:t>
            </w:r>
            <w:r w:rsidRPr="00720420">
              <w:rPr>
                <w:color w:val="FF0000"/>
                <w:sz w:val="18"/>
                <w:szCs w:val="18"/>
              </w:rPr>
              <w:t>(33,3 %)</w:t>
            </w:r>
          </w:p>
        </w:tc>
        <w:tc>
          <w:tcPr>
            <w:tcW w:w="1066" w:type="dxa"/>
            <w:tcBorders>
              <w:top w:val="single" w:sz="2" w:space="0" w:color="000000"/>
              <w:left w:val="single" w:sz="12" w:space="0" w:color="000000"/>
              <w:bottom w:val="single" w:sz="2" w:space="0" w:color="000000"/>
              <w:right w:val="single" w:sz="12" w:space="0" w:color="000000"/>
            </w:tcBorders>
            <w:shd w:val="clear" w:color="auto" w:fill="D9D9D9" w:themeFill="background1" w:themeFillShade="D9"/>
            <w:vAlign w:val="center"/>
          </w:tcPr>
          <w:p w:rsidR="00882F81" w:rsidRPr="00EF7ED6" w:rsidRDefault="00882F81" w:rsidP="00FC4DA4">
            <w:pPr>
              <w:widowControl/>
              <w:autoSpaceDE w:val="0"/>
              <w:autoSpaceDN w:val="0"/>
              <w:adjustRightInd w:val="0"/>
              <w:spacing w:after="0" w:line="240" w:lineRule="auto"/>
              <w:ind w:firstLine="0"/>
              <w:contextualSpacing w:val="0"/>
              <w:jc w:val="center"/>
              <w:rPr>
                <w:b/>
                <w:sz w:val="18"/>
                <w:szCs w:val="18"/>
              </w:rPr>
            </w:pPr>
            <w:r w:rsidRPr="00EF7ED6">
              <w:rPr>
                <w:b/>
                <w:sz w:val="18"/>
                <w:szCs w:val="18"/>
              </w:rPr>
              <w:t>122</w:t>
            </w:r>
            <w:r w:rsidR="009A7E70">
              <w:rPr>
                <w:b/>
                <w:sz w:val="18"/>
                <w:szCs w:val="18"/>
              </w:rPr>
              <w:t xml:space="preserve"> </w:t>
            </w:r>
            <w:r w:rsidRPr="00EF7ED6">
              <w:rPr>
                <w:b/>
                <w:sz w:val="18"/>
                <w:szCs w:val="18"/>
              </w:rPr>
              <w:t xml:space="preserve">(35,8 </w:t>
            </w:r>
            <w:r w:rsidRPr="00EF7ED6">
              <w:rPr>
                <w:b/>
                <w:sz w:val="18"/>
                <w:szCs w:val="18"/>
                <w:lang w:val="en-US"/>
              </w:rPr>
              <w:t>%</w:t>
            </w:r>
            <w:r w:rsidRPr="00EF7ED6">
              <w:rPr>
                <w:b/>
                <w:sz w:val="18"/>
                <w:szCs w:val="18"/>
              </w:rPr>
              <w:t>)</w:t>
            </w:r>
          </w:p>
        </w:tc>
      </w:tr>
      <w:tr w:rsidR="00882F81" w:rsidRPr="00E05856" w:rsidTr="002B0B70">
        <w:trPr>
          <w:cantSplit/>
          <w:trHeight w:val="199"/>
          <w:tblHeader/>
          <w:jc w:val="center"/>
        </w:trPr>
        <w:tc>
          <w:tcPr>
            <w:tcW w:w="1051" w:type="dxa"/>
            <w:tcBorders>
              <w:top w:val="single" w:sz="2" w:space="0" w:color="000000"/>
              <w:left w:val="single" w:sz="12" w:space="0" w:color="000000"/>
              <w:bottom w:val="single" w:sz="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b/>
                <w:i/>
                <w:color w:val="000000"/>
                <w:sz w:val="18"/>
                <w:szCs w:val="18"/>
              </w:rPr>
            </w:pPr>
            <w:r w:rsidRPr="00E05856">
              <w:rPr>
                <w:b/>
                <w:i/>
                <w:color w:val="000000"/>
                <w:sz w:val="18"/>
                <w:szCs w:val="18"/>
              </w:rPr>
              <w:t>3</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15</w:t>
            </w:r>
            <w:r w:rsidR="00C87A27">
              <w:rPr>
                <w:color w:val="000000"/>
                <w:sz w:val="18"/>
                <w:szCs w:val="18"/>
              </w:rPr>
              <w:t xml:space="preserve"> </w:t>
            </w:r>
            <w:r w:rsidRPr="00E05856">
              <w:rPr>
                <w:color w:val="000000"/>
                <w:sz w:val="18"/>
                <w:szCs w:val="18"/>
              </w:rPr>
              <w:t>(16,1 %)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10</w:t>
            </w:r>
            <w:r w:rsidR="00C87A27">
              <w:rPr>
                <w:color w:val="000000"/>
                <w:sz w:val="18"/>
                <w:szCs w:val="18"/>
              </w:rPr>
              <w:t xml:space="preserve"> </w:t>
            </w:r>
            <w:r w:rsidRPr="00E05856">
              <w:rPr>
                <w:color w:val="000000"/>
                <w:sz w:val="18"/>
                <w:szCs w:val="18"/>
              </w:rPr>
              <w:t>(16,7 %)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11</w:t>
            </w:r>
            <w:r w:rsidR="00C87A27">
              <w:rPr>
                <w:color w:val="000000"/>
                <w:sz w:val="18"/>
                <w:szCs w:val="18"/>
              </w:rPr>
              <w:t xml:space="preserve"> </w:t>
            </w:r>
            <w:r w:rsidRPr="00E05856">
              <w:rPr>
                <w:color w:val="000000"/>
                <w:sz w:val="18"/>
                <w:szCs w:val="18"/>
              </w:rPr>
              <w:t>(12,5 %)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9</w:t>
            </w:r>
            <w:r w:rsidR="00C87A27">
              <w:rPr>
                <w:color w:val="000000"/>
                <w:sz w:val="18"/>
                <w:szCs w:val="18"/>
              </w:rPr>
              <w:t xml:space="preserve"> </w:t>
            </w:r>
            <w:r w:rsidRPr="00E05856">
              <w:rPr>
                <w:color w:val="000000"/>
                <w:sz w:val="18"/>
                <w:szCs w:val="18"/>
              </w:rPr>
              <w:t>(20,0 %)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5</w:t>
            </w:r>
            <w:r w:rsidR="00C87A27">
              <w:rPr>
                <w:color w:val="000000"/>
                <w:sz w:val="18"/>
                <w:szCs w:val="18"/>
              </w:rPr>
              <w:t xml:space="preserve"> </w:t>
            </w:r>
            <w:r w:rsidRPr="00E05856">
              <w:rPr>
                <w:color w:val="000000"/>
                <w:sz w:val="18"/>
                <w:szCs w:val="18"/>
              </w:rPr>
              <w:t>(19,2 %)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C87A27" w:rsidRDefault="00882F81" w:rsidP="00FC4DA4">
            <w:pPr>
              <w:widowControl/>
              <w:autoSpaceDE w:val="0"/>
              <w:autoSpaceDN w:val="0"/>
              <w:adjustRightInd w:val="0"/>
              <w:spacing w:after="0" w:line="240" w:lineRule="auto"/>
              <w:ind w:firstLine="0"/>
              <w:contextualSpacing w:val="0"/>
              <w:jc w:val="center"/>
              <w:rPr>
                <w:sz w:val="18"/>
                <w:szCs w:val="18"/>
              </w:rPr>
            </w:pPr>
            <w:r w:rsidRPr="00E05856">
              <w:rPr>
                <w:sz w:val="18"/>
                <w:szCs w:val="18"/>
              </w:rPr>
              <w:t>1</w:t>
            </w:r>
            <w:r w:rsidR="00C87A27">
              <w:rPr>
                <w:sz w:val="18"/>
                <w:szCs w:val="18"/>
              </w:rPr>
              <w:t xml:space="preserve"> </w:t>
            </w:r>
            <w:r w:rsidRPr="00E05856">
              <w:rPr>
                <w:color w:val="000000"/>
                <w:sz w:val="18"/>
                <w:szCs w:val="18"/>
              </w:rPr>
              <w:t>(5,9 %)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C87A27" w:rsidRDefault="00882F81" w:rsidP="00FC4DA4">
            <w:pPr>
              <w:widowControl/>
              <w:autoSpaceDE w:val="0"/>
              <w:autoSpaceDN w:val="0"/>
              <w:adjustRightInd w:val="0"/>
              <w:spacing w:after="0" w:line="240" w:lineRule="auto"/>
              <w:ind w:firstLine="0"/>
              <w:contextualSpacing w:val="0"/>
              <w:jc w:val="center"/>
              <w:rPr>
                <w:color w:val="FF0000"/>
                <w:sz w:val="18"/>
                <w:szCs w:val="18"/>
              </w:rPr>
            </w:pPr>
            <w:r w:rsidRPr="00720420">
              <w:rPr>
                <w:color w:val="FF0000"/>
                <w:sz w:val="18"/>
                <w:szCs w:val="18"/>
              </w:rPr>
              <w:t>5</w:t>
            </w:r>
            <w:r w:rsidR="00C87A27">
              <w:rPr>
                <w:color w:val="FF0000"/>
                <w:sz w:val="18"/>
                <w:szCs w:val="18"/>
              </w:rPr>
              <w:t xml:space="preserve"> </w:t>
            </w:r>
            <w:r w:rsidRPr="00720420">
              <w:rPr>
                <w:color w:val="FF0000"/>
                <w:sz w:val="18"/>
                <w:szCs w:val="18"/>
              </w:rPr>
              <w:t>(41,7 %)</w:t>
            </w:r>
          </w:p>
        </w:tc>
        <w:tc>
          <w:tcPr>
            <w:tcW w:w="1066" w:type="dxa"/>
            <w:tcBorders>
              <w:top w:val="single" w:sz="2" w:space="0" w:color="000000"/>
              <w:left w:val="single" w:sz="12" w:space="0" w:color="000000"/>
              <w:bottom w:val="single" w:sz="2" w:space="0" w:color="000000"/>
              <w:right w:val="single" w:sz="12" w:space="0" w:color="000000"/>
            </w:tcBorders>
            <w:shd w:val="clear" w:color="auto" w:fill="D9D9D9" w:themeFill="background1" w:themeFillShade="D9"/>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b/>
                <w:sz w:val="18"/>
                <w:szCs w:val="18"/>
              </w:rPr>
            </w:pPr>
            <w:r w:rsidRPr="00E05856">
              <w:rPr>
                <w:b/>
                <w:sz w:val="18"/>
                <w:szCs w:val="18"/>
              </w:rPr>
              <w:t>56</w:t>
            </w:r>
            <w:r w:rsidR="00160E63">
              <w:rPr>
                <w:b/>
                <w:sz w:val="18"/>
                <w:szCs w:val="18"/>
              </w:rPr>
              <w:t xml:space="preserve"> </w:t>
            </w:r>
            <w:r w:rsidRPr="00E05856">
              <w:rPr>
                <w:b/>
                <w:sz w:val="18"/>
                <w:szCs w:val="18"/>
              </w:rPr>
              <w:t xml:space="preserve">(16,4 </w:t>
            </w:r>
            <w:r w:rsidRPr="00E05856">
              <w:rPr>
                <w:b/>
                <w:sz w:val="18"/>
                <w:szCs w:val="18"/>
                <w:lang w:val="en-US"/>
              </w:rPr>
              <w:t>%</w:t>
            </w:r>
            <w:r w:rsidRPr="00E05856">
              <w:rPr>
                <w:b/>
                <w:sz w:val="18"/>
                <w:szCs w:val="18"/>
              </w:rPr>
              <w:t>)</w:t>
            </w:r>
          </w:p>
        </w:tc>
      </w:tr>
      <w:tr w:rsidR="00882F81" w:rsidRPr="00E05856" w:rsidTr="002B0B70">
        <w:trPr>
          <w:cantSplit/>
          <w:trHeight w:val="199"/>
          <w:tblHeader/>
          <w:jc w:val="center"/>
        </w:trPr>
        <w:tc>
          <w:tcPr>
            <w:tcW w:w="1051" w:type="dxa"/>
            <w:tcBorders>
              <w:top w:val="single" w:sz="2" w:space="0" w:color="000000"/>
              <w:left w:val="single" w:sz="12" w:space="0" w:color="000000"/>
              <w:bottom w:val="single" w:sz="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b/>
                <w:i/>
                <w:color w:val="000000"/>
                <w:sz w:val="18"/>
                <w:szCs w:val="18"/>
              </w:rPr>
            </w:pPr>
            <w:r w:rsidRPr="00E05856">
              <w:rPr>
                <w:b/>
                <w:i/>
                <w:color w:val="000000"/>
                <w:sz w:val="18"/>
                <w:szCs w:val="18"/>
              </w:rPr>
              <w:t>4</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9</w:t>
            </w:r>
            <w:r w:rsidR="00C87A27">
              <w:rPr>
                <w:color w:val="000000"/>
                <w:sz w:val="18"/>
                <w:szCs w:val="18"/>
              </w:rPr>
              <w:t xml:space="preserve"> </w:t>
            </w:r>
            <w:r w:rsidRPr="00E05856">
              <w:rPr>
                <w:color w:val="000000"/>
                <w:sz w:val="18"/>
                <w:szCs w:val="18"/>
              </w:rPr>
              <w:t>(9,7 %)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2</w:t>
            </w:r>
            <w:r w:rsidR="00C87A27">
              <w:rPr>
                <w:color w:val="000000"/>
                <w:sz w:val="18"/>
                <w:szCs w:val="18"/>
              </w:rPr>
              <w:t xml:space="preserve"> </w:t>
            </w:r>
            <w:r w:rsidRPr="00E05856">
              <w:rPr>
                <w:color w:val="000000"/>
                <w:sz w:val="18"/>
                <w:szCs w:val="18"/>
              </w:rPr>
              <w:t>(3,3 %)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16</w:t>
            </w:r>
            <w:r w:rsidR="00C87A27">
              <w:rPr>
                <w:color w:val="000000"/>
                <w:sz w:val="18"/>
                <w:szCs w:val="18"/>
              </w:rPr>
              <w:t xml:space="preserve"> </w:t>
            </w:r>
            <w:r w:rsidRPr="00E05856">
              <w:rPr>
                <w:color w:val="000000"/>
                <w:sz w:val="18"/>
                <w:szCs w:val="18"/>
              </w:rPr>
              <w:t>(18,2 %)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17</w:t>
            </w:r>
            <w:r w:rsidR="00C87A27">
              <w:rPr>
                <w:color w:val="000000"/>
                <w:sz w:val="18"/>
                <w:szCs w:val="18"/>
              </w:rPr>
              <w:t xml:space="preserve"> </w:t>
            </w:r>
            <w:r w:rsidRPr="00E05856">
              <w:rPr>
                <w:color w:val="000000"/>
                <w:sz w:val="18"/>
                <w:szCs w:val="18"/>
              </w:rPr>
              <w:t>(37,8 %)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6</w:t>
            </w:r>
            <w:r w:rsidR="00C87A27">
              <w:rPr>
                <w:color w:val="000000"/>
                <w:sz w:val="18"/>
                <w:szCs w:val="18"/>
              </w:rPr>
              <w:t xml:space="preserve"> </w:t>
            </w:r>
            <w:r w:rsidRPr="00E05856">
              <w:rPr>
                <w:color w:val="000000"/>
                <w:sz w:val="18"/>
                <w:szCs w:val="18"/>
              </w:rPr>
              <w:t>(23,1 %)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6</w:t>
            </w:r>
            <w:r w:rsidR="00160E63">
              <w:rPr>
                <w:color w:val="000000"/>
                <w:sz w:val="18"/>
                <w:szCs w:val="18"/>
              </w:rPr>
              <w:t xml:space="preserve"> </w:t>
            </w:r>
            <w:r w:rsidRPr="00E05856">
              <w:rPr>
                <w:color w:val="000000"/>
                <w:sz w:val="18"/>
                <w:szCs w:val="18"/>
              </w:rPr>
              <w:t>(35,3 %)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160E63" w:rsidRDefault="00882F81" w:rsidP="00FC4DA4">
            <w:pPr>
              <w:widowControl/>
              <w:autoSpaceDE w:val="0"/>
              <w:autoSpaceDN w:val="0"/>
              <w:adjustRightInd w:val="0"/>
              <w:spacing w:after="0" w:line="240" w:lineRule="auto"/>
              <w:ind w:firstLine="0"/>
              <w:contextualSpacing w:val="0"/>
              <w:jc w:val="center"/>
              <w:rPr>
                <w:sz w:val="18"/>
                <w:szCs w:val="18"/>
              </w:rPr>
            </w:pPr>
            <w:r w:rsidRPr="00E05856">
              <w:rPr>
                <w:sz w:val="18"/>
                <w:szCs w:val="18"/>
              </w:rPr>
              <w:t>1</w:t>
            </w:r>
            <w:r w:rsidR="00160E63">
              <w:rPr>
                <w:sz w:val="18"/>
                <w:szCs w:val="18"/>
              </w:rPr>
              <w:t xml:space="preserve"> </w:t>
            </w:r>
            <w:r w:rsidRPr="00E05856">
              <w:rPr>
                <w:color w:val="000000"/>
                <w:sz w:val="18"/>
                <w:szCs w:val="18"/>
              </w:rPr>
              <w:t>(8,3 %)</w:t>
            </w:r>
          </w:p>
        </w:tc>
        <w:tc>
          <w:tcPr>
            <w:tcW w:w="1066" w:type="dxa"/>
            <w:tcBorders>
              <w:top w:val="single" w:sz="2" w:space="0" w:color="000000"/>
              <w:left w:val="single" w:sz="12" w:space="0" w:color="000000"/>
              <w:bottom w:val="single" w:sz="2" w:space="0" w:color="000000"/>
              <w:right w:val="single" w:sz="12" w:space="0" w:color="000000"/>
            </w:tcBorders>
            <w:shd w:val="clear" w:color="auto" w:fill="D9D9D9" w:themeFill="background1" w:themeFillShade="D9"/>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b/>
                <w:sz w:val="18"/>
                <w:szCs w:val="18"/>
              </w:rPr>
            </w:pPr>
            <w:r w:rsidRPr="00E05856">
              <w:rPr>
                <w:b/>
                <w:sz w:val="18"/>
                <w:szCs w:val="18"/>
              </w:rPr>
              <w:t>57</w:t>
            </w:r>
            <w:r w:rsidR="00160E63">
              <w:rPr>
                <w:b/>
                <w:sz w:val="18"/>
                <w:szCs w:val="18"/>
              </w:rPr>
              <w:t xml:space="preserve"> </w:t>
            </w:r>
            <w:r w:rsidRPr="00E05856">
              <w:rPr>
                <w:b/>
                <w:sz w:val="18"/>
                <w:szCs w:val="18"/>
              </w:rPr>
              <w:t xml:space="preserve">(16,7 </w:t>
            </w:r>
            <w:r w:rsidRPr="00E05856">
              <w:rPr>
                <w:b/>
                <w:sz w:val="18"/>
                <w:szCs w:val="18"/>
                <w:lang w:val="en-US"/>
              </w:rPr>
              <w:t>%</w:t>
            </w:r>
            <w:r w:rsidRPr="00E05856">
              <w:rPr>
                <w:b/>
                <w:sz w:val="18"/>
                <w:szCs w:val="18"/>
              </w:rPr>
              <w:t>)</w:t>
            </w:r>
          </w:p>
        </w:tc>
      </w:tr>
      <w:tr w:rsidR="00882F81" w:rsidRPr="00E05856" w:rsidTr="002B0B70">
        <w:trPr>
          <w:cantSplit/>
          <w:trHeight w:val="181"/>
          <w:tblHeader/>
          <w:jc w:val="center"/>
        </w:trPr>
        <w:tc>
          <w:tcPr>
            <w:tcW w:w="1051" w:type="dxa"/>
            <w:tcBorders>
              <w:top w:val="single" w:sz="2" w:space="0" w:color="000000"/>
              <w:left w:val="single" w:sz="12" w:space="0" w:color="000000"/>
              <w:bottom w:val="single" w:sz="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b/>
                <w:i/>
                <w:color w:val="000000"/>
                <w:sz w:val="18"/>
                <w:szCs w:val="18"/>
              </w:rPr>
            </w:pPr>
            <w:r w:rsidRPr="00E05856">
              <w:rPr>
                <w:b/>
                <w:i/>
                <w:color w:val="000000"/>
                <w:sz w:val="18"/>
                <w:szCs w:val="18"/>
              </w:rPr>
              <w:t>5</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5</w:t>
            </w:r>
            <w:r w:rsidR="00160E63">
              <w:rPr>
                <w:color w:val="000000"/>
                <w:sz w:val="18"/>
                <w:szCs w:val="18"/>
              </w:rPr>
              <w:t xml:space="preserve"> </w:t>
            </w:r>
            <w:r w:rsidRPr="00E05856">
              <w:rPr>
                <w:color w:val="000000"/>
                <w:sz w:val="18"/>
                <w:szCs w:val="18"/>
              </w:rPr>
              <w:t>(5,4 %)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3</w:t>
            </w:r>
            <w:r w:rsidR="00160E63">
              <w:rPr>
                <w:color w:val="000000"/>
                <w:sz w:val="18"/>
                <w:szCs w:val="18"/>
              </w:rPr>
              <w:t xml:space="preserve"> </w:t>
            </w:r>
            <w:r w:rsidRPr="00E05856">
              <w:rPr>
                <w:color w:val="000000"/>
                <w:sz w:val="18"/>
                <w:szCs w:val="18"/>
              </w:rPr>
              <w:t>(5,0 %)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6</w:t>
            </w:r>
            <w:r w:rsidR="00160E63">
              <w:rPr>
                <w:color w:val="000000"/>
                <w:sz w:val="18"/>
                <w:szCs w:val="18"/>
              </w:rPr>
              <w:t xml:space="preserve"> </w:t>
            </w:r>
            <w:r w:rsidRPr="00E05856">
              <w:rPr>
                <w:color w:val="000000"/>
                <w:sz w:val="18"/>
                <w:szCs w:val="18"/>
              </w:rPr>
              <w:t>(6,8 %)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4</w:t>
            </w:r>
            <w:r w:rsidR="00160E63">
              <w:rPr>
                <w:color w:val="000000"/>
                <w:sz w:val="18"/>
                <w:szCs w:val="18"/>
              </w:rPr>
              <w:t xml:space="preserve"> </w:t>
            </w:r>
            <w:r w:rsidRPr="00E05856">
              <w:rPr>
                <w:color w:val="000000"/>
                <w:sz w:val="18"/>
                <w:szCs w:val="18"/>
              </w:rPr>
              <w:t>(8,9 %)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4</w:t>
            </w:r>
            <w:r w:rsidR="00160E63">
              <w:rPr>
                <w:color w:val="000000"/>
                <w:sz w:val="18"/>
                <w:szCs w:val="18"/>
              </w:rPr>
              <w:t xml:space="preserve"> </w:t>
            </w:r>
            <w:r w:rsidRPr="00E05856">
              <w:rPr>
                <w:color w:val="000000"/>
                <w:sz w:val="18"/>
                <w:szCs w:val="18"/>
              </w:rPr>
              <w:t>(15,4 %)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1</w:t>
            </w:r>
            <w:r w:rsidR="00160E63">
              <w:rPr>
                <w:color w:val="000000"/>
                <w:sz w:val="18"/>
                <w:szCs w:val="18"/>
              </w:rPr>
              <w:t xml:space="preserve"> </w:t>
            </w:r>
            <w:r w:rsidRPr="00E05856">
              <w:rPr>
                <w:color w:val="000000"/>
                <w:sz w:val="18"/>
                <w:szCs w:val="18"/>
              </w:rPr>
              <w:t>(5,9 %)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160E63" w:rsidRDefault="00882F81" w:rsidP="00FC4DA4">
            <w:pPr>
              <w:widowControl/>
              <w:autoSpaceDE w:val="0"/>
              <w:autoSpaceDN w:val="0"/>
              <w:adjustRightInd w:val="0"/>
              <w:spacing w:after="0" w:line="240" w:lineRule="auto"/>
              <w:ind w:firstLine="0"/>
              <w:contextualSpacing w:val="0"/>
              <w:jc w:val="center"/>
              <w:rPr>
                <w:sz w:val="18"/>
                <w:szCs w:val="18"/>
              </w:rPr>
            </w:pPr>
            <w:r w:rsidRPr="00E05856">
              <w:rPr>
                <w:sz w:val="18"/>
                <w:szCs w:val="18"/>
              </w:rPr>
              <w:t>1</w:t>
            </w:r>
            <w:r w:rsidR="00160E63">
              <w:rPr>
                <w:sz w:val="18"/>
                <w:szCs w:val="18"/>
              </w:rPr>
              <w:t xml:space="preserve"> </w:t>
            </w:r>
            <w:r w:rsidRPr="00E05856">
              <w:rPr>
                <w:color w:val="000000"/>
                <w:sz w:val="18"/>
                <w:szCs w:val="18"/>
              </w:rPr>
              <w:t>(8,3 %)</w:t>
            </w:r>
          </w:p>
        </w:tc>
        <w:tc>
          <w:tcPr>
            <w:tcW w:w="1066" w:type="dxa"/>
            <w:tcBorders>
              <w:top w:val="single" w:sz="2" w:space="0" w:color="000000"/>
              <w:left w:val="single" w:sz="12" w:space="0" w:color="000000"/>
              <w:bottom w:val="single" w:sz="2" w:space="0" w:color="000000"/>
              <w:right w:val="single" w:sz="12" w:space="0" w:color="000000"/>
            </w:tcBorders>
            <w:shd w:val="clear" w:color="auto" w:fill="D9D9D9" w:themeFill="background1" w:themeFillShade="D9"/>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b/>
                <w:sz w:val="18"/>
                <w:szCs w:val="18"/>
              </w:rPr>
            </w:pPr>
            <w:r w:rsidRPr="00E05856">
              <w:rPr>
                <w:b/>
                <w:sz w:val="18"/>
                <w:szCs w:val="18"/>
              </w:rPr>
              <w:t>24</w:t>
            </w:r>
            <w:r w:rsidR="00160E63">
              <w:rPr>
                <w:b/>
                <w:sz w:val="18"/>
                <w:szCs w:val="18"/>
              </w:rPr>
              <w:t xml:space="preserve"> </w:t>
            </w:r>
            <w:r w:rsidRPr="00E05856">
              <w:rPr>
                <w:b/>
                <w:sz w:val="18"/>
                <w:szCs w:val="18"/>
              </w:rPr>
              <w:t>(7</w:t>
            </w:r>
            <w:r w:rsidR="00A607EB">
              <w:rPr>
                <w:b/>
                <w:sz w:val="18"/>
                <w:szCs w:val="18"/>
              </w:rPr>
              <w:t>,0</w:t>
            </w:r>
            <w:r w:rsidRPr="00E05856">
              <w:rPr>
                <w:b/>
                <w:sz w:val="18"/>
                <w:szCs w:val="18"/>
              </w:rPr>
              <w:t xml:space="preserve"> </w:t>
            </w:r>
            <w:r w:rsidRPr="00E05856">
              <w:rPr>
                <w:b/>
                <w:sz w:val="18"/>
                <w:szCs w:val="18"/>
                <w:lang w:val="en-US"/>
              </w:rPr>
              <w:t>%</w:t>
            </w:r>
            <w:r w:rsidRPr="00E05856">
              <w:rPr>
                <w:b/>
                <w:sz w:val="18"/>
                <w:szCs w:val="18"/>
              </w:rPr>
              <w:t>)</w:t>
            </w:r>
          </w:p>
        </w:tc>
      </w:tr>
      <w:tr w:rsidR="00882F81" w:rsidRPr="00E05856" w:rsidTr="002B0B70">
        <w:trPr>
          <w:cantSplit/>
          <w:trHeight w:val="181"/>
          <w:tblHeader/>
          <w:jc w:val="center"/>
        </w:trPr>
        <w:tc>
          <w:tcPr>
            <w:tcW w:w="1051" w:type="dxa"/>
            <w:tcBorders>
              <w:top w:val="single" w:sz="2" w:space="0" w:color="000000"/>
              <w:left w:val="single" w:sz="12" w:space="0" w:color="000000"/>
              <w:bottom w:val="single" w:sz="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b/>
                <w:i/>
                <w:color w:val="000000"/>
                <w:sz w:val="18"/>
                <w:szCs w:val="18"/>
              </w:rPr>
            </w:pPr>
            <w:r w:rsidRPr="00E05856">
              <w:rPr>
                <w:b/>
                <w:i/>
                <w:color w:val="000000"/>
                <w:sz w:val="18"/>
                <w:szCs w:val="18"/>
              </w:rPr>
              <w:t>6</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0</w:t>
            </w:r>
            <w:r w:rsidR="00763D8F">
              <w:rPr>
                <w:color w:val="000000"/>
                <w:sz w:val="18"/>
                <w:szCs w:val="18"/>
              </w:rPr>
              <w:t xml:space="preserve"> </w:t>
            </w:r>
            <w:r w:rsidRPr="00E05856">
              <w:rPr>
                <w:color w:val="000000"/>
                <w:sz w:val="18"/>
                <w:szCs w:val="18"/>
              </w:rPr>
              <w:t>(0,0 %)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4</w:t>
            </w:r>
            <w:r w:rsidR="00763D8F">
              <w:rPr>
                <w:color w:val="000000"/>
                <w:sz w:val="18"/>
                <w:szCs w:val="18"/>
              </w:rPr>
              <w:t xml:space="preserve"> </w:t>
            </w:r>
            <w:r w:rsidRPr="00E05856">
              <w:rPr>
                <w:color w:val="000000"/>
                <w:sz w:val="18"/>
                <w:szCs w:val="18"/>
              </w:rPr>
              <w:t>(6,7 %)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0</w:t>
            </w:r>
            <w:r w:rsidR="00763D8F">
              <w:rPr>
                <w:color w:val="000000"/>
                <w:sz w:val="18"/>
                <w:szCs w:val="18"/>
              </w:rPr>
              <w:t xml:space="preserve"> </w:t>
            </w:r>
            <w:r w:rsidRPr="00E05856">
              <w:rPr>
                <w:color w:val="000000"/>
                <w:sz w:val="18"/>
                <w:szCs w:val="18"/>
              </w:rPr>
              <w:t>(0,0 %)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0</w:t>
            </w:r>
            <w:r w:rsidR="00763D8F">
              <w:rPr>
                <w:color w:val="000000"/>
                <w:sz w:val="18"/>
                <w:szCs w:val="18"/>
              </w:rPr>
              <w:t xml:space="preserve"> </w:t>
            </w:r>
            <w:r w:rsidRPr="00E05856">
              <w:rPr>
                <w:color w:val="000000"/>
                <w:sz w:val="18"/>
                <w:szCs w:val="18"/>
              </w:rPr>
              <w:t>(0,0 %)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0</w:t>
            </w:r>
            <w:r w:rsidR="00763D8F">
              <w:rPr>
                <w:color w:val="000000"/>
                <w:sz w:val="18"/>
                <w:szCs w:val="18"/>
              </w:rPr>
              <w:t xml:space="preserve"> </w:t>
            </w:r>
            <w:r w:rsidRPr="00E05856">
              <w:rPr>
                <w:color w:val="000000"/>
                <w:sz w:val="18"/>
                <w:szCs w:val="18"/>
              </w:rPr>
              <w:t>(0,0 %)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0</w:t>
            </w:r>
            <w:r w:rsidR="00763D8F">
              <w:rPr>
                <w:color w:val="000000"/>
                <w:sz w:val="18"/>
                <w:szCs w:val="18"/>
              </w:rPr>
              <w:t xml:space="preserve"> </w:t>
            </w:r>
            <w:r w:rsidRPr="00E05856">
              <w:rPr>
                <w:color w:val="000000"/>
                <w:sz w:val="18"/>
                <w:szCs w:val="18"/>
              </w:rPr>
              <w:t>(0,0 %)</w:t>
            </w:r>
          </w:p>
        </w:tc>
        <w:tc>
          <w:tcPr>
            <w:tcW w:w="1170" w:type="dxa"/>
            <w:tcBorders>
              <w:top w:val="single" w:sz="2" w:space="0" w:color="000000"/>
              <w:left w:val="single" w:sz="12" w:space="0" w:color="000000"/>
              <w:bottom w:val="single" w:sz="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0</w:t>
            </w:r>
            <w:r w:rsidR="00763D8F">
              <w:rPr>
                <w:color w:val="000000"/>
                <w:sz w:val="18"/>
                <w:szCs w:val="18"/>
              </w:rPr>
              <w:t xml:space="preserve"> </w:t>
            </w:r>
            <w:r w:rsidRPr="00E05856">
              <w:rPr>
                <w:color w:val="000000"/>
                <w:sz w:val="18"/>
                <w:szCs w:val="18"/>
              </w:rPr>
              <w:t>(0,0 %)</w:t>
            </w:r>
          </w:p>
        </w:tc>
        <w:tc>
          <w:tcPr>
            <w:tcW w:w="1066" w:type="dxa"/>
            <w:tcBorders>
              <w:top w:val="single" w:sz="2" w:space="0" w:color="000000"/>
              <w:left w:val="single" w:sz="12" w:space="0" w:color="000000"/>
              <w:bottom w:val="single" w:sz="2" w:space="0" w:color="000000"/>
              <w:right w:val="single" w:sz="12" w:space="0" w:color="000000"/>
            </w:tcBorders>
            <w:shd w:val="clear" w:color="auto" w:fill="D9D9D9" w:themeFill="background1" w:themeFillShade="D9"/>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b/>
                <w:sz w:val="18"/>
                <w:szCs w:val="18"/>
              </w:rPr>
            </w:pPr>
            <w:r w:rsidRPr="00E05856">
              <w:rPr>
                <w:b/>
                <w:sz w:val="18"/>
                <w:szCs w:val="18"/>
              </w:rPr>
              <w:t>4</w:t>
            </w:r>
            <w:r w:rsidR="00763D8F">
              <w:rPr>
                <w:b/>
                <w:sz w:val="18"/>
                <w:szCs w:val="18"/>
              </w:rPr>
              <w:t xml:space="preserve"> </w:t>
            </w:r>
            <w:r w:rsidRPr="00E05856">
              <w:rPr>
                <w:b/>
                <w:sz w:val="18"/>
                <w:szCs w:val="18"/>
              </w:rPr>
              <w:t xml:space="preserve">(1,2 </w:t>
            </w:r>
            <w:r w:rsidRPr="00E05856">
              <w:rPr>
                <w:b/>
                <w:sz w:val="18"/>
                <w:szCs w:val="18"/>
                <w:lang w:val="en-US"/>
              </w:rPr>
              <w:t>%</w:t>
            </w:r>
            <w:r w:rsidRPr="00E05856">
              <w:rPr>
                <w:b/>
                <w:sz w:val="18"/>
                <w:szCs w:val="18"/>
              </w:rPr>
              <w:t>)</w:t>
            </w:r>
          </w:p>
        </w:tc>
      </w:tr>
      <w:tr w:rsidR="00882F81" w:rsidRPr="00E05856" w:rsidTr="002B0B70">
        <w:trPr>
          <w:cantSplit/>
          <w:trHeight w:val="91"/>
          <w:tblHeader/>
          <w:jc w:val="center"/>
        </w:trPr>
        <w:tc>
          <w:tcPr>
            <w:tcW w:w="1051" w:type="dxa"/>
            <w:tcBorders>
              <w:top w:val="single" w:sz="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b/>
                <w:i/>
                <w:color w:val="000000"/>
                <w:sz w:val="18"/>
                <w:szCs w:val="18"/>
              </w:rPr>
            </w:pPr>
            <w:r w:rsidRPr="00E05856">
              <w:rPr>
                <w:b/>
                <w:i/>
                <w:color w:val="000000"/>
                <w:sz w:val="18"/>
                <w:szCs w:val="18"/>
              </w:rPr>
              <w:t>7</w:t>
            </w:r>
          </w:p>
        </w:tc>
        <w:tc>
          <w:tcPr>
            <w:tcW w:w="1170" w:type="dxa"/>
            <w:tcBorders>
              <w:top w:val="single" w:sz="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0</w:t>
            </w:r>
            <w:r w:rsidR="00763D8F">
              <w:rPr>
                <w:color w:val="000000"/>
                <w:sz w:val="18"/>
                <w:szCs w:val="18"/>
              </w:rPr>
              <w:t xml:space="preserve"> </w:t>
            </w:r>
            <w:r w:rsidRPr="00E05856">
              <w:rPr>
                <w:color w:val="000000"/>
                <w:sz w:val="18"/>
                <w:szCs w:val="18"/>
              </w:rPr>
              <w:t>(0,0 %)</w:t>
            </w:r>
          </w:p>
        </w:tc>
        <w:tc>
          <w:tcPr>
            <w:tcW w:w="1170" w:type="dxa"/>
            <w:tcBorders>
              <w:top w:val="single" w:sz="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2</w:t>
            </w:r>
            <w:r w:rsidR="00763D8F">
              <w:rPr>
                <w:color w:val="000000"/>
                <w:sz w:val="18"/>
                <w:szCs w:val="18"/>
              </w:rPr>
              <w:t xml:space="preserve"> </w:t>
            </w:r>
            <w:r w:rsidRPr="00E05856">
              <w:rPr>
                <w:color w:val="000000"/>
                <w:sz w:val="18"/>
                <w:szCs w:val="18"/>
              </w:rPr>
              <w:t>(3,3 %)</w:t>
            </w:r>
          </w:p>
        </w:tc>
        <w:tc>
          <w:tcPr>
            <w:tcW w:w="1170" w:type="dxa"/>
            <w:tcBorders>
              <w:top w:val="single" w:sz="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0</w:t>
            </w:r>
            <w:r w:rsidR="00763D8F">
              <w:rPr>
                <w:color w:val="000000"/>
                <w:sz w:val="18"/>
                <w:szCs w:val="18"/>
              </w:rPr>
              <w:t xml:space="preserve"> </w:t>
            </w:r>
            <w:r w:rsidRPr="00E05856">
              <w:rPr>
                <w:color w:val="000000"/>
                <w:sz w:val="18"/>
                <w:szCs w:val="18"/>
              </w:rPr>
              <w:t>(0,0 %)</w:t>
            </w:r>
          </w:p>
        </w:tc>
        <w:tc>
          <w:tcPr>
            <w:tcW w:w="1170" w:type="dxa"/>
            <w:tcBorders>
              <w:top w:val="single" w:sz="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0</w:t>
            </w:r>
            <w:r w:rsidR="00763D8F">
              <w:rPr>
                <w:color w:val="000000"/>
                <w:sz w:val="18"/>
                <w:szCs w:val="18"/>
              </w:rPr>
              <w:t xml:space="preserve"> </w:t>
            </w:r>
            <w:r w:rsidRPr="00E05856">
              <w:rPr>
                <w:color w:val="000000"/>
                <w:sz w:val="18"/>
                <w:szCs w:val="18"/>
              </w:rPr>
              <w:t>(0,0 %)</w:t>
            </w:r>
          </w:p>
        </w:tc>
        <w:tc>
          <w:tcPr>
            <w:tcW w:w="1170" w:type="dxa"/>
            <w:tcBorders>
              <w:top w:val="single" w:sz="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0</w:t>
            </w:r>
            <w:r w:rsidR="00763D8F">
              <w:rPr>
                <w:color w:val="000000"/>
                <w:sz w:val="18"/>
                <w:szCs w:val="18"/>
              </w:rPr>
              <w:t xml:space="preserve"> </w:t>
            </w:r>
            <w:r w:rsidRPr="00E05856">
              <w:rPr>
                <w:color w:val="000000"/>
                <w:sz w:val="18"/>
                <w:szCs w:val="18"/>
              </w:rPr>
              <w:t>(0,0 %)</w:t>
            </w:r>
          </w:p>
        </w:tc>
        <w:tc>
          <w:tcPr>
            <w:tcW w:w="1170" w:type="dxa"/>
            <w:tcBorders>
              <w:top w:val="single" w:sz="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1</w:t>
            </w:r>
            <w:r w:rsidR="00763D8F">
              <w:rPr>
                <w:color w:val="000000"/>
                <w:sz w:val="18"/>
                <w:szCs w:val="18"/>
              </w:rPr>
              <w:t xml:space="preserve"> </w:t>
            </w:r>
            <w:r w:rsidRPr="00E05856">
              <w:rPr>
                <w:color w:val="000000"/>
                <w:sz w:val="18"/>
                <w:szCs w:val="18"/>
              </w:rPr>
              <w:t>(5,9 %)</w:t>
            </w:r>
          </w:p>
        </w:tc>
        <w:tc>
          <w:tcPr>
            <w:tcW w:w="1170" w:type="dxa"/>
            <w:tcBorders>
              <w:top w:val="single" w:sz="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color w:val="000000"/>
                <w:sz w:val="18"/>
                <w:szCs w:val="18"/>
              </w:rPr>
            </w:pPr>
            <w:r w:rsidRPr="00E05856">
              <w:rPr>
                <w:color w:val="000000"/>
                <w:sz w:val="18"/>
                <w:szCs w:val="18"/>
              </w:rPr>
              <w:t>1</w:t>
            </w:r>
            <w:r w:rsidR="00763D8F">
              <w:rPr>
                <w:color w:val="000000"/>
                <w:sz w:val="18"/>
                <w:szCs w:val="18"/>
              </w:rPr>
              <w:t xml:space="preserve"> </w:t>
            </w:r>
            <w:r w:rsidRPr="00E05856">
              <w:rPr>
                <w:color w:val="000000"/>
                <w:sz w:val="18"/>
                <w:szCs w:val="18"/>
              </w:rPr>
              <w:t>(8,3 %)</w:t>
            </w:r>
          </w:p>
        </w:tc>
        <w:tc>
          <w:tcPr>
            <w:tcW w:w="1066" w:type="dxa"/>
            <w:tcBorders>
              <w:top w:val="single" w:sz="2" w:space="0" w:color="000000"/>
              <w:left w:val="single" w:sz="12" w:space="0" w:color="000000"/>
              <w:bottom w:val="single" w:sz="12" w:space="0" w:color="000000"/>
              <w:right w:val="single" w:sz="12" w:space="0" w:color="000000"/>
            </w:tcBorders>
            <w:shd w:val="clear" w:color="auto" w:fill="D9D9D9" w:themeFill="background1" w:themeFillShade="D9"/>
            <w:vAlign w:val="center"/>
          </w:tcPr>
          <w:p w:rsidR="00882F81" w:rsidRPr="00E05856" w:rsidRDefault="00882F81" w:rsidP="00FC4DA4">
            <w:pPr>
              <w:widowControl/>
              <w:autoSpaceDE w:val="0"/>
              <w:autoSpaceDN w:val="0"/>
              <w:adjustRightInd w:val="0"/>
              <w:spacing w:after="0" w:line="240" w:lineRule="auto"/>
              <w:ind w:firstLine="0"/>
              <w:contextualSpacing w:val="0"/>
              <w:jc w:val="center"/>
              <w:rPr>
                <w:b/>
                <w:sz w:val="18"/>
                <w:szCs w:val="18"/>
              </w:rPr>
            </w:pPr>
            <w:r w:rsidRPr="00E05856">
              <w:rPr>
                <w:b/>
                <w:sz w:val="18"/>
                <w:szCs w:val="18"/>
              </w:rPr>
              <w:t>4</w:t>
            </w:r>
            <w:r w:rsidR="00763D8F">
              <w:rPr>
                <w:b/>
                <w:sz w:val="18"/>
                <w:szCs w:val="18"/>
              </w:rPr>
              <w:t xml:space="preserve"> </w:t>
            </w:r>
            <w:r w:rsidRPr="00E05856">
              <w:rPr>
                <w:b/>
                <w:sz w:val="18"/>
                <w:szCs w:val="18"/>
              </w:rPr>
              <w:t xml:space="preserve">(1,2 </w:t>
            </w:r>
            <w:r w:rsidRPr="00E05856">
              <w:rPr>
                <w:b/>
                <w:sz w:val="18"/>
                <w:szCs w:val="18"/>
                <w:lang w:val="en-US"/>
              </w:rPr>
              <w:t>%</w:t>
            </w:r>
            <w:r w:rsidRPr="00E05856">
              <w:rPr>
                <w:b/>
                <w:sz w:val="18"/>
                <w:szCs w:val="18"/>
              </w:rPr>
              <w:t>)</w:t>
            </w:r>
          </w:p>
        </w:tc>
      </w:tr>
      <w:tr w:rsidR="00882F81" w:rsidRPr="00EF64AC" w:rsidTr="00F1310A">
        <w:trPr>
          <w:cantSplit/>
          <w:trHeight w:val="156"/>
          <w:tblHeader/>
          <w:jc w:val="center"/>
        </w:trPr>
        <w:tc>
          <w:tcPr>
            <w:tcW w:w="1051"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882F81" w:rsidRPr="00EF64AC" w:rsidRDefault="00882F81" w:rsidP="00FC4DA4">
            <w:pPr>
              <w:widowControl/>
              <w:autoSpaceDE w:val="0"/>
              <w:autoSpaceDN w:val="0"/>
              <w:adjustRightInd w:val="0"/>
              <w:spacing w:after="0" w:line="240" w:lineRule="auto"/>
              <w:ind w:firstLine="0"/>
              <w:contextualSpacing w:val="0"/>
              <w:jc w:val="right"/>
              <w:rPr>
                <w:b/>
                <w:i/>
                <w:color w:val="000000"/>
                <w:sz w:val="17"/>
                <w:szCs w:val="17"/>
              </w:rPr>
            </w:pPr>
            <w:r w:rsidRPr="00EF64AC">
              <w:rPr>
                <w:b/>
                <w:i/>
                <w:color w:val="000000"/>
                <w:sz w:val="17"/>
                <w:szCs w:val="17"/>
              </w:rPr>
              <w:t>Iš viso:</w:t>
            </w:r>
          </w:p>
        </w:tc>
        <w:tc>
          <w:tcPr>
            <w:tcW w:w="117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882F81" w:rsidRPr="00EF64AC" w:rsidRDefault="00882F81" w:rsidP="00FC4DA4">
            <w:pPr>
              <w:widowControl/>
              <w:autoSpaceDE w:val="0"/>
              <w:autoSpaceDN w:val="0"/>
              <w:adjustRightInd w:val="0"/>
              <w:spacing w:after="0" w:line="240" w:lineRule="auto"/>
              <w:ind w:firstLine="0"/>
              <w:contextualSpacing w:val="0"/>
              <w:jc w:val="center"/>
              <w:rPr>
                <w:b/>
                <w:color w:val="000000"/>
                <w:sz w:val="17"/>
                <w:szCs w:val="17"/>
              </w:rPr>
            </w:pPr>
            <w:r w:rsidRPr="00EF64AC">
              <w:rPr>
                <w:b/>
                <w:color w:val="000000"/>
                <w:sz w:val="17"/>
                <w:szCs w:val="17"/>
              </w:rPr>
              <w:t>93</w:t>
            </w:r>
            <w:r w:rsidR="00763D8F">
              <w:rPr>
                <w:b/>
                <w:color w:val="000000"/>
                <w:sz w:val="17"/>
                <w:szCs w:val="17"/>
              </w:rPr>
              <w:t xml:space="preserve"> </w:t>
            </w:r>
            <w:r w:rsidRPr="00EF64AC">
              <w:rPr>
                <w:b/>
                <w:color w:val="000000"/>
                <w:sz w:val="17"/>
                <w:szCs w:val="17"/>
              </w:rPr>
              <w:t>(100,0 %)</w:t>
            </w:r>
          </w:p>
        </w:tc>
        <w:tc>
          <w:tcPr>
            <w:tcW w:w="117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882F81" w:rsidRPr="00EF64AC" w:rsidRDefault="00882F81" w:rsidP="00FC4DA4">
            <w:pPr>
              <w:widowControl/>
              <w:autoSpaceDE w:val="0"/>
              <w:autoSpaceDN w:val="0"/>
              <w:adjustRightInd w:val="0"/>
              <w:spacing w:after="0" w:line="240" w:lineRule="auto"/>
              <w:ind w:firstLine="0"/>
              <w:contextualSpacing w:val="0"/>
              <w:jc w:val="center"/>
              <w:rPr>
                <w:b/>
                <w:color w:val="000000"/>
                <w:sz w:val="17"/>
                <w:szCs w:val="17"/>
              </w:rPr>
            </w:pPr>
            <w:r w:rsidRPr="00EF64AC">
              <w:rPr>
                <w:b/>
                <w:color w:val="000000"/>
                <w:sz w:val="17"/>
                <w:szCs w:val="17"/>
              </w:rPr>
              <w:t>60</w:t>
            </w:r>
            <w:r w:rsidR="00763D8F">
              <w:rPr>
                <w:b/>
                <w:color w:val="000000"/>
                <w:sz w:val="17"/>
                <w:szCs w:val="17"/>
              </w:rPr>
              <w:t xml:space="preserve"> </w:t>
            </w:r>
            <w:r w:rsidRPr="00EF64AC">
              <w:rPr>
                <w:b/>
                <w:color w:val="000000"/>
                <w:sz w:val="17"/>
                <w:szCs w:val="17"/>
              </w:rPr>
              <w:t>(100,0 %)</w:t>
            </w:r>
          </w:p>
        </w:tc>
        <w:tc>
          <w:tcPr>
            <w:tcW w:w="117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882F81" w:rsidRPr="00EF64AC" w:rsidRDefault="00882F81" w:rsidP="00FC4DA4">
            <w:pPr>
              <w:widowControl/>
              <w:autoSpaceDE w:val="0"/>
              <w:autoSpaceDN w:val="0"/>
              <w:adjustRightInd w:val="0"/>
              <w:spacing w:after="0" w:line="240" w:lineRule="auto"/>
              <w:ind w:firstLine="0"/>
              <w:contextualSpacing w:val="0"/>
              <w:jc w:val="center"/>
              <w:rPr>
                <w:b/>
                <w:color w:val="000000"/>
                <w:sz w:val="17"/>
                <w:szCs w:val="17"/>
              </w:rPr>
            </w:pPr>
            <w:r w:rsidRPr="00EF64AC">
              <w:rPr>
                <w:b/>
                <w:color w:val="000000"/>
                <w:sz w:val="17"/>
                <w:szCs w:val="17"/>
              </w:rPr>
              <w:t>88</w:t>
            </w:r>
            <w:r w:rsidR="00763D8F">
              <w:rPr>
                <w:b/>
                <w:color w:val="000000"/>
                <w:sz w:val="17"/>
                <w:szCs w:val="17"/>
              </w:rPr>
              <w:t xml:space="preserve"> </w:t>
            </w:r>
            <w:r w:rsidRPr="00EF64AC">
              <w:rPr>
                <w:b/>
                <w:color w:val="000000"/>
                <w:sz w:val="17"/>
                <w:szCs w:val="17"/>
              </w:rPr>
              <w:t>(100,0 %)</w:t>
            </w:r>
          </w:p>
        </w:tc>
        <w:tc>
          <w:tcPr>
            <w:tcW w:w="117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882F81" w:rsidRPr="00EF64AC" w:rsidRDefault="00882F81" w:rsidP="00FC4DA4">
            <w:pPr>
              <w:widowControl/>
              <w:autoSpaceDE w:val="0"/>
              <w:autoSpaceDN w:val="0"/>
              <w:adjustRightInd w:val="0"/>
              <w:spacing w:after="0" w:line="240" w:lineRule="auto"/>
              <w:ind w:firstLine="0"/>
              <w:contextualSpacing w:val="0"/>
              <w:jc w:val="center"/>
              <w:rPr>
                <w:b/>
                <w:color w:val="000000"/>
                <w:sz w:val="17"/>
                <w:szCs w:val="17"/>
              </w:rPr>
            </w:pPr>
            <w:r w:rsidRPr="00EF64AC">
              <w:rPr>
                <w:b/>
                <w:color w:val="000000"/>
                <w:sz w:val="17"/>
                <w:szCs w:val="17"/>
              </w:rPr>
              <w:t>45</w:t>
            </w:r>
            <w:r w:rsidR="00763D8F">
              <w:rPr>
                <w:b/>
                <w:color w:val="000000"/>
                <w:sz w:val="17"/>
                <w:szCs w:val="17"/>
              </w:rPr>
              <w:t xml:space="preserve"> </w:t>
            </w:r>
            <w:r w:rsidRPr="00EF64AC">
              <w:rPr>
                <w:b/>
                <w:color w:val="000000"/>
                <w:sz w:val="17"/>
                <w:szCs w:val="17"/>
              </w:rPr>
              <w:t>(100,0 %)</w:t>
            </w:r>
          </w:p>
        </w:tc>
        <w:tc>
          <w:tcPr>
            <w:tcW w:w="117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882F81" w:rsidRPr="00EF64AC" w:rsidRDefault="00882F81" w:rsidP="00FC4DA4">
            <w:pPr>
              <w:widowControl/>
              <w:autoSpaceDE w:val="0"/>
              <w:autoSpaceDN w:val="0"/>
              <w:adjustRightInd w:val="0"/>
              <w:spacing w:after="0" w:line="240" w:lineRule="auto"/>
              <w:ind w:firstLine="0"/>
              <w:contextualSpacing w:val="0"/>
              <w:jc w:val="center"/>
              <w:rPr>
                <w:b/>
                <w:color w:val="000000"/>
                <w:sz w:val="17"/>
                <w:szCs w:val="17"/>
              </w:rPr>
            </w:pPr>
            <w:r w:rsidRPr="00EF64AC">
              <w:rPr>
                <w:b/>
                <w:color w:val="000000"/>
                <w:sz w:val="17"/>
                <w:szCs w:val="17"/>
              </w:rPr>
              <w:t>26</w:t>
            </w:r>
            <w:r w:rsidR="00763D8F">
              <w:rPr>
                <w:b/>
                <w:color w:val="000000"/>
                <w:sz w:val="17"/>
                <w:szCs w:val="17"/>
              </w:rPr>
              <w:t xml:space="preserve"> </w:t>
            </w:r>
            <w:r w:rsidRPr="00EF64AC">
              <w:rPr>
                <w:b/>
                <w:color w:val="000000"/>
                <w:sz w:val="17"/>
                <w:szCs w:val="17"/>
              </w:rPr>
              <w:t>(100,0 %)</w:t>
            </w:r>
          </w:p>
        </w:tc>
        <w:tc>
          <w:tcPr>
            <w:tcW w:w="117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882F81" w:rsidRPr="00EF64AC" w:rsidRDefault="00882F81" w:rsidP="00FC4DA4">
            <w:pPr>
              <w:widowControl/>
              <w:autoSpaceDE w:val="0"/>
              <w:autoSpaceDN w:val="0"/>
              <w:adjustRightInd w:val="0"/>
              <w:spacing w:after="0" w:line="240" w:lineRule="auto"/>
              <w:ind w:firstLine="0"/>
              <w:contextualSpacing w:val="0"/>
              <w:jc w:val="center"/>
              <w:rPr>
                <w:b/>
                <w:color w:val="000000"/>
                <w:sz w:val="17"/>
                <w:szCs w:val="17"/>
              </w:rPr>
            </w:pPr>
            <w:r w:rsidRPr="00EF64AC">
              <w:rPr>
                <w:b/>
                <w:color w:val="000000"/>
                <w:sz w:val="17"/>
                <w:szCs w:val="17"/>
              </w:rPr>
              <w:t>17</w:t>
            </w:r>
            <w:r w:rsidR="00763D8F">
              <w:rPr>
                <w:b/>
                <w:color w:val="000000"/>
                <w:sz w:val="17"/>
                <w:szCs w:val="17"/>
              </w:rPr>
              <w:t xml:space="preserve"> </w:t>
            </w:r>
            <w:r w:rsidRPr="00EF64AC">
              <w:rPr>
                <w:b/>
                <w:color w:val="000000"/>
                <w:sz w:val="17"/>
                <w:szCs w:val="17"/>
              </w:rPr>
              <w:t>(100,0 %)</w:t>
            </w:r>
          </w:p>
        </w:tc>
        <w:tc>
          <w:tcPr>
            <w:tcW w:w="117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882F81" w:rsidRPr="00EF64AC" w:rsidRDefault="00882F81" w:rsidP="00FC4DA4">
            <w:pPr>
              <w:widowControl/>
              <w:autoSpaceDE w:val="0"/>
              <w:autoSpaceDN w:val="0"/>
              <w:adjustRightInd w:val="0"/>
              <w:spacing w:after="0" w:line="240" w:lineRule="auto"/>
              <w:ind w:firstLine="0"/>
              <w:contextualSpacing w:val="0"/>
              <w:jc w:val="center"/>
              <w:rPr>
                <w:b/>
                <w:color w:val="000000"/>
                <w:sz w:val="17"/>
                <w:szCs w:val="17"/>
              </w:rPr>
            </w:pPr>
            <w:r w:rsidRPr="00EF64AC">
              <w:rPr>
                <w:b/>
                <w:color w:val="000000"/>
                <w:sz w:val="17"/>
                <w:szCs w:val="17"/>
              </w:rPr>
              <w:t>12</w:t>
            </w:r>
            <w:r w:rsidR="00763D8F">
              <w:rPr>
                <w:b/>
                <w:color w:val="000000"/>
                <w:sz w:val="17"/>
                <w:szCs w:val="17"/>
              </w:rPr>
              <w:t xml:space="preserve"> </w:t>
            </w:r>
            <w:r w:rsidRPr="00EF64AC">
              <w:rPr>
                <w:b/>
                <w:color w:val="000000"/>
                <w:sz w:val="17"/>
                <w:szCs w:val="17"/>
              </w:rPr>
              <w:t>(100,0 %)</w:t>
            </w:r>
          </w:p>
        </w:tc>
        <w:tc>
          <w:tcPr>
            <w:tcW w:w="106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rsidR="00882F81" w:rsidRPr="00EF64AC" w:rsidRDefault="00882F81" w:rsidP="00FC4DA4">
            <w:pPr>
              <w:widowControl/>
              <w:autoSpaceDE w:val="0"/>
              <w:autoSpaceDN w:val="0"/>
              <w:adjustRightInd w:val="0"/>
              <w:spacing w:after="0" w:line="240" w:lineRule="auto"/>
              <w:ind w:firstLine="0"/>
              <w:contextualSpacing w:val="0"/>
              <w:jc w:val="center"/>
              <w:rPr>
                <w:b/>
                <w:sz w:val="17"/>
                <w:szCs w:val="17"/>
              </w:rPr>
            </w:pPr>
            <w:r w:rsidRPr="00EF64AC">
              <w:rPr>
                <w:b/>
                <w:sz w:val="17"/>
                <w:szCs w:val="17"/>
              </w:rPr>
              <w:t>341</w:t>
            </w:r>
            <w:r w:rsidR="00763D8F">
              <w:rPr>
                <w:b/>
                <w:sz w:val="17"/>
                <w:szCs w:val="17"/>
              </w:rPr>
              <w:t xml:space="preserve"> </w:t>
            </w:r>
            <w:r w:rsidRPr="00EF64AC">
              <w:rPr>
                <w:b/>
                <w:sz w:val="17"/>
                <w:szCs w:val="17"/>
              </w:rPr>
              <w:t xml:space="preserve">(100,0 </w:t>
            </w:r>
            <w:r w:rsidRPr="00EF64AC">
              <w:rPr>
                <w:b/>
                <w:sz w:val="17"/>
                <w:szCs w:val="17"/>
                <w:lang w:val="en-US"/>
              </w:rPr>
              <w:t>%</w:t>
            </w:r>
            <w:r w:rsidRPr="00EF64AC">
              <w:rPr>
                <w:b/>
                <w:sz w:val="17"/>
                <w:szCs w:val="17"/>
              </w:rPr>
              <w:t>)</w:t>
            </w:r>
          </w:p>
        </w:tc>
      </w:tr>
    </w:tbl>
    <w:p w:rsidR="00882F81" w:rsidRPr="006105C6" w:rsidRDefault="006105C6" w:rsidP="00732CF2">
      <w:pPr>
        <w:rPr>
          <w:sz w:val="20"/>
        </w:rPr>
      </w:pPr>
      <w:r w:rsidRPr="006105C6">
        <w:rPr>
          <w:b/>
          <w:sz w:val="20"/>
        </w:rPr>
        <w:t>Šaltinis</w:t>
      </w:r>
      <w:r w:rsidRPr="006105C6">
        <w:rPr>
          <w:sz w:val="20"/>
        </w:rPr>
        <w:t>: sudaryta šio darbo autorės</w:t>
      </w:r>
      <w:r w:rsidR="00EC3D82">
        <w:rPr>
          <w:sz w:val="20"/>
        </w:rPr>
        <w:t>, remiantis apklausos rezultatais</w:t>
      </w:r>
    </w:p>
    <w:p w:rsidR="00B16AC0" w:rsidRDefault="00BF745C" w:rsidP="00732CF2">
      <w:r w:rsidRPr="002F4AE2">
        <w:t xml:space="preserve">Deja, </w:t>
      </w:r>
      <w:r w:rsidR="00412DEF" w:rsidRPr="002F4AE2">
        <w:t xml:space="preserve">pagal šiuos parametrus </w:t>
      </w:r>
      <w:r w:rsidRPr="002F4AE2">
        <w:t xml:space="preserve">apie </w:t>
      </w:r>
      <w:r w:rsidR="00B32622">
        <w:t xml:space="preserve">kitų </w:t>
      </w:r>
      <w:r w:rsidR="002F005B">
        <w:t xml:space="preserve">respondentų </w:t>
      </w:r>
      <w:r w:rsidR="00B32622">
        <w:t>finansinę elgseną</w:t>
      </w:r>
      <w:r w:rsidR="00276B5C" w:rsidRPr="002F4AE2">
        <w:t xml:space="preserve"> </w:t>
      </w:r>
      <w:r w:rsidR="002843A9" w:rsidRPr="002F4AE2">
        <w:t>spręsti s</w:t>
      </w:r>
      <w:r w:rsidR="002843A9" w:rsidRPr="002F005B">
        <w:t xml:space="preserve">udėtinga, </w:t>
      </w:r>
      <w:r w:rsidR="002F005B" w:rsidRPr="002F005B">
        <w:t>nes</w:t>
      </w:r>
      <w:r w:rsidR="00C442B8" w:rsidRPr="002F005B">
        <w:t xml:space="preserve"> pajamų, tenkančių</w:t>
      </w:r>
      <w:r w:rsidR="00F63F6B" w:rsidRPr="002F005B">
        <w:t xml:space="preserve"> </w:t>
      </w:r>
      <w:r w:rsidR="004E4026">
        <w:t xml:space="preserve">šeimos </w:t>
      </w:r>
      <w:r w:rsidR="00F63F6B" w:rsidRPr="002F005B">
        <w:t>nariui,</w:t>
      </w:r>
      <w:r w:rsidR="00F63F6B" w:rsidRPr="002F4AE2">
        <w:t xml:space="preserve"> </w:t>
      </w:r>
      <w:r w:rsidR="00C442B8">
        <w:t xml:space="preserve">dydis </w:t>
      </w:r>
      <w:r w:rsidR="00F63F6B" w:rsidRPr="002F4AE2">
        <w:t>priklauso ne tik nuo</w:t>
      </w:r>
      <w:r w:rsidR="003A3F5F" w:rsidRPr="002F4AE2">
        <w:t xml:space="preserve"> </w:t>
      </w:r>
      <w:r w:rsidR="004E4026">
        <w:t xml:space="preserve">namų ūkio </w:t>
      </w:r>
      <w:r w:rsidR="002F005B">
        <w:t xml:space="preserve">narių skaičiaus </w:t>
      </w:r>
      <w:r w:rsidR="005F6CA8" w:rsidRPr="002F4AE2">
        <w:t xml:space="preserve">ir vidutinių </w:t>
      </w:r>
      <w:r w:rsidR="00A25373">
        <w:t>j</w:t>
      </w:r>
      <w:r w:rsidR="00A1508C">
        <w:t>o</w:t>
      </w:r>
      <w:r w:rsidR="008A045D" w:rsidRPr="002F4AE2">
        <w:t xml:space="preserve"> </w:t>
      </w:r>
      <w:r w:rsidR="005F6CA8" w:rsidRPr="00A25373">
        <w:t>pajamų</w:t>
      </w:r>
      <w:r w:rsidR="00CB2ADB" w:rsidRPr="002F4AE2">
        <w:t xml:space="preserve">, bet ir </w:t>
      </w:r>
      <w:r w:rsidR="008A045D" w:rsidRPr="002F4AE2">
        <w:t>nuo šeimos</w:t>
      </w:r>
      <w:r w:rsidR="00CB2ADB" w:rsidRPr="002F4AE2">
        <w:t xml:space="preserve"> </w:t>
      </w:r>
      <w:r w:rsidR="000D21C3" w:rsidRPr="002F4AE2">
        <w:t>struktūros</w:t>
      </w:r>
      <w:r w:rsidR="00CB2ADB" w:rsidRPr="002F4AE2">
        <w:t xml:space="preserve">, </w:t>
      </w:r>
      <w:r w:rsidR="00634474">
        <w:t xml:space="preserve">užimtųjų </w:t>
      </w:r>
      <w:r w:rsidR="000D21C3" w:rsidRPr="002F4AE2">
        <w:t>skaičiaus</w:t>
      </w:r>
      <w:r w:rsidR="00246508">
        <w:t xml:space="preserve"> </w:t>
      </w:r>
      <w:r w:rsidR="004E4026">
        <w:t>ar</w:t>
      </w:r>
      <w:r w:rsidR="00B40D43">
        <w:t xml:space="preserve"> </w:t>
      </w:r>
      <w:r w:rsidR="00175580">
        <w:t>neoficialių</w:t>
      </w:r>
      <w:r w:rsidR="00451451">
        <w:t>jų</w:t>
      </w:r>
      <w:r w:rsidR="00175580">
        <w:t xml:space="preserve"> </w:t>
      </w:r>
      <w:r w:rsidR="009F1BE7" w:rsidRPr="009F1BE7">
        <w:t>įplaukų</w:t>
      </w:r>
      <w:r w:rsidR="00AF72AD">
        <w:t>, kuri</w:t>
      </w:r>
      <w:r w:rsidR="00270B9C">
        <w:t>o</w:t>
      </w:r>
      <w:r w:rsidR="00AF72AD">
        <w:t>s galėjo būti</w:t>
      </w:r>
      <w:r w:rsidR="00B40D43">
        <w:t xml:space="preserve"> </w:t>
      </w:r>
      <w:r w:rsidR="00AF72AD">
        <w:t>neatskleist</w:t>
      </w:r>
      <w:r w:rsidR="00270B9C">
        <w:t>o</w:t>
      </w:r>
      <w:r w:rsidR="00451451">
        <w:t>s</w:t>
      </w:r>
      <w:r w:rsidR="007B015A">
        <w:t>, renkant duomenis</w:t>
      </w:r>
      <w:r w:rsidR="00270B9C">
        <w:t xml:space="preserve"> vertinimui</w:t>
      </w:r>
      <w:r w:rsidR="007B015A">
        <w:t>.</w:t>
      </w:r>
      <w:r w:rsidR="00E87735">
        <w:t xml:space="preserve"> Norint </w:t>
      </w:r>
      <w:r w:rsidR="007F6AD4">
        <w:t xml:space="preserve">geriau </w:t>
      </w:r>
      <w:r w:rsidR="007D69D7">
        <w:t xml:space="preserve">suprasti </w:t>
      </w:r>
      <w:r w:rsidR="000A6AF6">
        <w:t xml:space="preserve">finansinę </w:t>
      </w:r>
      <w:r w:rsidR="007F6AD4">
        <w:t xml:space="preserve">elgseną, </w:t>
      </w:r>
      <w:r w:rsidR="00E46731">
        <w:t>tikslinga būt</w:t>
      </w:r>
      <w:r w:rsidR="00063FE9">
        <w:t>ų pa</w:t>
      </w:r>
      <w:r w:rsidR="00E46731">
        <w:t xml:space="preserve">nagrinėti ir tuos </w:t>
      </w:r>
      <w:r w:rsidR="00EC36E7">
        <w:t>kriterijus</w:t>
      </w:r>
      <w:r w:rsidR="00B87F76">
        <w:t xml:space="preserve">, </w:t>
      </w:r>
      <w:r w:rsidR="006A4030">
        <w:t xml:space="preserve">kurie </w:t>
      </w:r>
      <w:r w:rsidR="00620BD6">
        <w:t xml:space="preserve">atskleidžia </w:t>
      </w:r>
      <w:r w:rsidR="00063FE9">
        <w:t>požiūrį</w:t>
      </w:r>
      <w:r w:rsidR="001427A6">
        <w:t xml:space="preserve">, </w:t>
      </w:r>
      <w:r w:rsidR="00D6646F">
        <w:t>– tai galėtų būti</w:t>
      </w:r>
      <w:r w:rsidR="00874C9F">
        <w:t xml:space="preserve"> </w:t>
      </w:r>
      <w:r w:rsidR="00313F0C">
        <w:t xml:space="preserve">darbo </w:t>
      </w:r>
      <w:r w:rsidR="000D1DA1">
        <w:t xml:space="preserve">patirties </w:t>
      </w:r>
      <w:r w:rsidR="00313F0C">
        <w:t>sąryšis su pasitenkinimo</w:t>
      </w:r>
      <w:r w:rsidR="00C86609">
        <w:t xml:space="preserve"> socialine apsauga l</w:t>
      </w:r>
      <w:r w:rsidR="008613B0">
        <w:t>y</w:t>
      </w:r>
      <w:r w:rsidR="00C86609">
        <w:t>giu.</w:t>
      </w:r>
    </w:p>
    <w:p w:rsidR="00956F90" w:rsidRDefault="008613B0" w:rsidP="00956F90">
      <w:r>
        <w:t xml:space="preserve">Tyrimas </w:t>
      </w:r>
      <w:r w:rsidR="00620BD6" w:rsidRPr="0032522C">
        <w:t xml:space="preserve">parodė </w:t>
      </w:r>
      <w:r w:rsidRPr="0032522C">
        <w:t xml:space="preserve">(žr. </w:t>
      </w:r>
      <w:r w:rsidR="00F720E7" w:rsidRPr="0032522C">
        <w:t>5</w:t>
      </w:r>
      <w:r w:rsidRPr="0032522C">
        <w:t> lent.),</w:t>
      </w:r>
      <w:r w:rsidR="000476C4">
        <w:t xml:space="preserve"> jog </w:t>
      </w:r>
      <w:r w:rsidR="00E3160F">
        <w:t>41,1</w:t>
      </w:r>
      <w:r w:rsidR="002C3909">
        <w:t xml:space="preserve"> proc. </w:t>
      </w:r>
      <w:r w:rsidR="00F12B1E">
        <w:t xml:space="preserve">apklausos dalyvių </w:t>
      </w:r>
      <w:r w:rsidR="002C3909">
        <w:t>buvo nepatenkinti socialine apsauga</w:t>
      </w:r>
      <w:r w:rsidR="00F62749">
        <w:t xml:space="preserve">, </w:t>
      </w:r>
      <w:r w:rsidR="005E354F">
        <w:t>kadangi</w:t>
      </w:r>
      <w:r w:rsidR="007A429F">
        <w:t xml:space="preserve"> </w:t>
      </w:r>
      <w:r w:rsidR="00A172AC">
        <w:t xml:space="preserve">manė, jog </w:t>
      </w:r>
      <w:r w:rsidR="00F62749">
        <w:t xml:space="preserve">gaunamų lėšų dydis jiems </w:t>
      </w:r>
      <w:r w:rsidR="00A172AC">
        <w:t>yra</w:t>
      </w:r>
      <w:r w:rsidR="00F62749">
        <w:t xml:space="preserve"> per mažas arba, kad jų mokėjimo </w:t>
      </w:r>
      <w:r w:rsidR="00A172AC">
        <w:t xml:space="preserve">trukmė yra </w:t>
      </w:r>
      <w:r w:rsidR="00F62749">
        <w:t>per trumpa</w:t>
      </w:r>
      <w:r w:rsidR="002C3909">
        <w:t>:</w:t>
      </w:r>
      <w:r w:rsidR="00964FD3">
        <w:t xml:space="preserve"> </w:t>
      </w:r>
      <w:r w:rsidR="00620BD6">
        <w:t xml:space="preserve">nors </w:t>
      </w:r>
      <w:r w:rsidR="005E354F">
        <w:t>neigiamą nuomonę išs</w:t>
      </w:r>
      <w:r w:rsidR="002F1A9D">
        <w:t>a</w:t>
      </w:r>
      <w:r w:rsidR="005E354F">
        <w:t>k</w:t>
      </w:r>
      <w:r w:rsidR="002F1A9D">
        <w:t>i</w:t>
      </w:r>
      <w:r w:rsidR="00964FD3">
        <w:t>usiųjų daugiausia buvo</w:t>
      </w:r>
      <w:r w:rsidR="00476BEA">
        <w:t xml:space="preserve"> toje </w:t>
      </w:r>
      <w:r w:rsidR="00F12B1E">
        <w:t>asmenų</w:t>
      </w:r>
      <w:r w:rsidR="005E354F">
        <w:t xml:space="preserve"> grupėje</w:t>
      </w:r>
      <w:r w:rsidR="00476BEA">
        <w:t>, kurio</w:t>
      </w:r>
      <w:r w:rsidR="002F1A9D">
        <w:t>s</w:t>
      </w:r>
      <w:r w:rsidR="00244899">
        <w:t xml:space="preserve"> darbo </w:t>
      </w:r>
      <w:r w:rsidR="005E354F">
        <w:t xml:space="preserve">stažas </w:t>
      </w:r>
      <w:r w:rsidR="00244899">
        <w:t>siekė</w:t>
      </w:r>
      <w:r w:rsidR="0023503D">
        <w:t xml:space="preserve"> 1,5-25 m., labiausiai šokiravo tai, jog </w:t>
      </w:r>
      <w:r w:rsidR="00492FD3">
        <w:t>tarp</w:t>
      </w:r>
      <w:r w:rsidR="00B151DD">
        <w:t xml:space="preserve"> neturinčių jokio</w:t>
      </w:r>
      <w:r w:rsidR="007E126D">
        <w:t>s</w:t>
      </w:r>
      <w:r w:rsidR="00B151DD">
        <w:t xml:space="preserve"> </w:t>
      </w:r>
      <w:r w:rsidR="00492FD3">
        <w:t>(</w:t>
      </w:r>
      <w:r w:rsidR="00492FD3">
        <w:rPr>
          <w:lang w:val="en-US"/>
        </w:rPr>
        <w:t>!</w:t>
      </w:r>
      <w:r w:rsidR="00492FD3">
        <w:t xml:space="preserve">) </w:t>
      </w:r>
      <w:r w:rsidR="00B151DD">
        <w:t xml:space="preserve">darbo </w:t>
      </w:r>
      <w:r w:rsidR="007E126D">
        <w:t xml:space="preserve">patirties žmonių nepasitenkinusiųjų </w:t>
      </w:r>
      <w:r w:rsidR="00EC0D85">
        <w:t xml:space="preserve">lygis sudarė </w:t>
      </w:r>
      <w:r w:rsidR="007E126D">
        <w:t>20 proc.</w:t>
      </w:r>
      <w:r w:rsidR="00EC0D85">
        <w:t xml:space="preserve">, o tarp turinčių </w:t>
      </w:r>
      <w:r w:rsidR="000D421D" w:rsidRPr="002F1A9D">
        <w:rPr>
          <w:i/>
        </w:rPr>
        <w:t>tik</w:t>
      </w:r>
      <w:r w:rsidR="000D421D">
        <w:t xml:space="preserve"> </w:t>
      </w:r>
      <w:r w:rsidR="00EC0D85">
        <w:t xml:space="preserve">minimalią darbo patirtį – net </w:t>
      </w:r>
      <w:r w:rsidR="000D421D">
        <w:t>32,4 proc. Tai byloja apie</w:t>
      </w:r>
      <w:r w:rsidR="00B4600D">
        <w:t xml:space="preserve"> ypač</w:t>
      </w:r>
      <w:r w:rsidR="000D421D">
        <w:t xml:space="preserve"> </w:t>
      </w:r>
      <w:r w:rsidR="008D2B9B">
        <w:t>netinkam</w:t>
      </w:r>
      <w:r w:rsidR="00823539">
        <w:t>ą elgsen</w:t>
      </w:r>
      <w:r w:rsidR="006C0338">
        <w:t xml:space="preserve">ą, </w:t>
      </w:r>
      <w:r w:rsidR="008D2B9B">
        <w:t xml:space="preserve">– </w:t>
      </w:r>
      <w:r w:rsidR="006C0338" w:rsidRPr="001D55DF">
        <w:rPr>
          <w:i/>
        </w:rPr>
        <w:t>nes</w:t>
      </w:r>
      <w:r w:rsidR="008B2CA5" w:rsidRPr="001D55DF">
        <w:rPr>
          <w:i/>
        </w:rPr>
        <w:t xml:space="preserve"> socialinės gerovės</w:t>
      </w:r>
      <w:r w:rsidR="008B2CA5" w:rsidRPr="008D2B9B">
        <w:rPr>
          <w:i/>
        </w:rPr>
        <w:t xml:space="preserve"> </w:t>
      </w:r>
      <w:r w:rsidR="00514A42">
        <w:rPr>
          <w:i/>
        </w:rPr>
        <w:t xml:space="preserve">linkę reikalauti </w:t>
      </w:r>
      <w:r w:rsidR="00A81694" w:rsidRPr="008D2B9B">
        <w:rPr>
          <w:i/>
        </w:rPr>
        <w:t xml:space="preserve">tie, kurie </w:t>
      </w:r>
      <w:r w:rsidR="006C0338" w:rsidRPr="008D2B9B">
        <w:rPr>
          <w:i/>
        </w:rPr>
        <w:t xml:space="preserve">nėra </w:t>
      </w:r>
      <w:r w:rsidR="003A559A">
        <w:rPr>
          <w:i/>
        </w:rPr>
        <w:t>to</w:t>
      </w:r>
      <w:r w:rsidR="00A81694" w:rsidRPr="008D2B9B">
        <w:rPr>
          <w:i/>
        </w:rPr>
        <w:t xml:space="preserve"> </w:t>
      </w:r>
      <w:r w:rsidR="00823539" w:rsidRPr="008D2B9B">
        <w:rPr>
          <w:i/>
        </w:rPr>
        <w:t>nusipelnę</w:t>
      </w:r>
      <w:r w:rsidR="008D2B9B">
        <w:t>, – todėl, g</w:t>
      </w:r>
      <w:r w:rsidR="00823539">
        <w:t xml:space="preserve">alima teigti, </w:t>
      </w:r>
      <w:r w:rsidR="00956F90">
        <w:t xml:space="preserve">jog jau iš bendros tiriamųjų charakteristikos matyti, jog kai kurių individų finansinė elgsena </w:t>
      </w:r>
      <w:r w:rsidR="003A559A">
        <w:t xml:space="preserve">buvo </w:t>
      </w:r>
      <w:r w:rsidR="00956F90">
        <w:t xml:space="preserve">neracionali. </w:t>
      </w:r>
    </w:p>
    <w:bookmarkStart w:id="32" w:name="_Toc343638400"/>
    <w:p w:rsidR="00A74387" w:rsidRPr="00A74387" w:rsidRDefault="00D84BC4" w:rsidP="00886347">
      <w:pPr>
        <w:pStyle w:val="Caption"/>
        <w:rPr>
          <w:szCs w:val="24"/>
          <w:lang w:val="en-US"/>
        </w:rPr>
      </w:pPr>
      <w:r w:rsidRPr="0032522C">
        <w:fldChar w:fldCharType="begin"/>
      </w:r>
      <w:r w:rsidR="0032522C" w:rsidRPr="0032522C">
        <w:instrText xml:space="preserve"> SEQ lentelė \* ARABIC </w:instrText>
      </w:r>
      <w:r w:rsidRPr="0032522C">
        <w:fldChar w:fldCharType="separate"/>
      </w:r>
      <w:r w:rsidR="0032522C" w:rsidRPr="0032522C">
        <w:t>5</w:t>
      </w:r>
      <w:r w:rsidRPr="0032522C">
        <w:fldChar w:fldCharType="end"/>
      </w:r>
      <w:r w:rsidR="0032522C" w:rsidRPr="0032522C">
        <w:t xml:space="preserve"> </w:t>
      </w:r>
      <w:r w:rsidR="00DC0844" w:rsidRPr="0032522C">
        <w:t>lentelė</w:t>
      </w:r>
      <w:r w:rsidR="0032522C" w:rsidRPr="0032522C">
        <w:t>.</w:t>
      </w:r>
      <w:r w:rsidR="00DC0844" w:rsidRPr="00DC0844">
        <w:rPr>
          <w:color w:val="FF0000"/>
        </w:rPr>
        <w:t xml:space="preserve"> </w:t>
      </w:r>
      <w:r w:rsidR="00CE28E2">
        <w:t xml:space="preserve">Apklausos dalyvių </w:t>
      </w:r>
      <w:r w:rsidR="00F33D56">
        <w:t>ne</w:t>
      </w:r>
      <w:r w:rsidR="00086813">
        <w:t>pasit</w:t>
      </w:r>
      <w:r w:rsidR="00BB2F9F">
        <w:t>enkinimo socialine apsauga lygio ir darbo stažo sąryšis</w:t>
      </w:r>
      <w:bookmarkEnd w:id="32"/>
    </w:p>
    <w:tbl>
      <w:tblPr>
        <w:tblW w:w="10260" w:type="dxa"/>
        <w:tblInd w:w="3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30" w:type="dxa"/>
          <w:right w:w="30" w:type="dxa"/>
        </w:tblCellMar>
        <w:tblLook w:val="0000"/>
      </w:tblPr>
      <w:tblGrid>
        <w:gridCol w:w="2430"/>
        <w:gridCol w:w="1350"/>
        <w:gridCol w:w="1350"/>
        <w:gridCol w:w="1350"/>
        <w:gridCol w:w="1350"/>
        <w:gridCol w:w="1350"/>
        <w:gridCol w:w="1080"/>
      </w:tblGrid>
      <w:tr w:rsidR="005F0B73" w:rsidRPr="00A74387" w:rsidTr="003720AC">
        <w:trPr>
          <w:cantSplit/>
          <w:trHeight w:val="129"/>
          <w:tblHeader/>
        </w:trPr>
        <w:tc>
          <w:tcPr>
            <w:tcW w:w="2430" w:type="dxa"/>
            <w:vMerge w:val="restart"/>
            <w:tcBorders>
              <w:top w:val="single" w:sz="12" w:space="0" w:color="000000"/>
              <w:bottom w:val="single" w:sz="2" w:space="0" w:color="000000"/>
              <w:right w:val="single" w:sz="12" w:space="0" w:color="000000"/>
            </w:tcBorders>
            <w:shd w:val="clear" w:color="auto" w:fill="D9D9D9" w:themeFill="background1" w:themeFillShade="D9"/>
            <w:vAlign w:val="center"/>
          </w:tcPr>
          <w:p w:rsidR="005F0B73" w:rsidRPr="00EF64AC" w:rsidRDefault="00086813" w:rsidP="00D033D2">
            <w:pPr>
              <w:widowControl/>
              <w:autoSpaceDE w:val="0"/>
              <w:autoSpaceDN w:val="0"/>
              <w:adjustRightInd w:val="0"/>
              <w:spacing w:after="0" w:line="240" w:lineRule="auto"/>
              <w:ind w:firstLine="0"/>
              <w:jc w:val="center"/>
              <w:rPr>
                <w:b/>
                <w:i/>
                <w:sz w:val="17"/>
                <w:szCs w:val="17"/>
              </w:rPr>
            </w:pPr>
            <w:r w:rsidRPr="00EF64AC">
              <w:rPr>
                <w:b/>
                <w:i/>
                <w:sz w:val="17"/>
                <w:szCs w:val="17"/>
              </w:rPr>
              <w:t xml:space="preserve">Ar esate patenkintas </w:t>
            </w:r>
            <w:r w:rsidR="006B72D6" w:rsidRPr="00EF64AC">
              <w:rPr>
                <w:b/>
                <w:i/>
                <w:sz w:val="17"/>
                <w:szCs w:val="17"/>
              </w:rPr>
              <w:t>bedarbio pašalpa / socialine parama?</w:t>
            </w:r>
          </w:p>
        </w:tc>
        <w:tc>
          <w:tcPr>
            <w:tcW w:w="6750" w:type="dxa"/>
            <w:gridSpan w:val="5"/>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5F0B73" w:rsidRPr="00EF64AC" w:rsidRDefault="004646CD" w:rsidP="008672C8">
            <w:pPr>
              <w:widowControl/>
              <w:autoSpaceDE w:val="0"/>
              <w:autoSpaceDN w:val="0"/>
              <w:adjustRightInd w:val="0"/>
              <w:spacing w:after="0" w:line="240" w:lineRule="auto"/>
              <w:ind w:firstLine="0"/>
              <w:jc w:val="center"/>
              <w:rPr>
                <w:b/>
                <w:color w:val="000000"/>
                <w:sz w:val="17"/>
                <w:szCs w:val="17"/>
              </w:rPr>
            </w:pPr>
            <w:r w:rsidRPr="00EF64AC">
              <w:rPr>
                <w:b/>
                <w:color w:val="000000"/>
                <w:sz w:val="17"/>
                <w:szCs w:val="17"/>
              </w:rPr>
              <w:t>S</w:t>
            </w:r>
            <w:r w:rsidR="005F0B73" w:rsidRPr="00EF64AC">
              <w:rPr>
                <w:b/>
                <w:color w:val="000000"/>
                <w:sz w:val="17"/>
                <w:szCs w:val="17"/>
              </w:rPr>
              <w:t>ukauptas darbo stažas (patirtis)</w:t>
            </w:r>
          </w:p>
        </w:tc>
        <w:tc>
          <w:tcPr>
            <w:tcW w:w="1080" w:type="dxa"/>
            <w:vMerge w:val="restart"/>
            <w:tcBorders>
              <w:top w:val="single" w:sz="12" w:space="0" w:color="000000"/>
              <w:left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bottom"/>
          </w:tcPr>
          <w:p w:rsidR="005F0B73" w:rsidRPr="00EF64AC" w:rsidRDefault="00285C8E" w:rsidP="008672C8">
            <w:pPr>
              <w:widowControl/>
              <w:autoSpaceDE w:val="0"/>
              <w:autoSpaceDN w:val="0"/>
              <w:adjustRightInd w:val="0"/>
              <w:spacing w:after="0" w:line="240" w:lineRule="auto"/>
              <w:ind w:firstLine="0"/>
              <w:jc w:val="center"/>
              <w:rPr>
                <w:b/>
                <w:i/>
                <w:color w:val="000000"/>
                <w:sz w:val="17"/>
                <w:szCs w:val="17"/>
              </w:rPr>
            </w:pPr>
            <w:r w:rsidRPr="00EF64AC">
              <w:rPr>
                <w:b/>
                <w:i/>
                <w:color w:val="000000"/>
                <w:sz w:val="17"/>
                <w:szCs w:val="17"/>
              </w:rPr>
              <w:t>Iš viso:</w:t>
            </w:r>
          </w:p>
        </w:tc>
      </w:tr>
      <w:tr w:rsidR="005F0B73" w:rsidRPr="00A74387" w:rsidTr="003720AC">
        <w:trPr>
          <w:cantSplit/>
          <w:trHeight w:val="21"/>
          <w:tblHeader/>
        </w:trPr>
        <w:tc>
          <w:tcPr>
            <w:tcW w:w="2430" w:type="dxa"/>
            <w:vMerge/>
            <w:tcBorders>
              <w:top w:val="single" w:sz="2" w:space="0" w:color="000000"/>
              <w:bottom w:val="single" w:sz="12" w:space="0" w:color="000000"/>
              <w:right w:val="single" w:sz="12" w:space="0" w:color="000000"/>
            </w:tcBorders>
            <w:shd w:val="clear" w:color="auto" w:fill="D9D9D9" w:themeFill="background1" w:themeFillShade="D9"/>
          </w:tcPr>
          <w:p w:rsidR="005F0B73" w:rsidRPr="00EF64AC" w:rsidRDefault="005F0B73" w:rsidP="008672C8">
            <w:pPr>
              <w:widowControl/>
              <w:autoSpaceDE w:val="0"/>
              <w:autoSpaceDN w:val="0"/>
              <w:adjustRightInd w:val="0"/>
              <w:spacing w:after="0" w:line="240" w:lineRule="auto"/>
              <w:ind w:firstLine="0"/>
              <w:jc w:val="left"/>
              <w:rPr>
                <w:sz w:val="17"/>
                <w:szCs w:val="17"/>
              </w:rPr>
            </w:pP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5F0B73" w:rsidRPr="00EF64AC" w:rsidRDefault="001E0263" w:rsidP="00F15110">
            <w:pPr>
              <w:widowControl/>
              <w:autoSpaceDE w:val="0"/>
              <w:autoSpaceDN w:val="0"/>
              <w:adjustRightInd w:val="0"/>
              <w:spacing w:after="0" w:line="240" w:lineRule="auto"/>
              <w:ind w:firstLine="0"/>
              <w:jc w:val="center"/>
              <w:rPr>
                <w:b/>
                <w:i/>
                <w:color w:val="000000"/>
                <w:sz w:val="17"/>
                <w:szCs w:val="17"/>
              </w:rPr>
            </w:pPr>
            <w:r w:rsidRPr="00EF64AC">
              <w:rPr>
                <w:b/>
                <w:i/>
                <w:color w:val="000000"/>
                <w:sz w:val="17"/>
                <w:szCs w:val="17"/>
              </w:rPr>
              <w:t>Neturi</w:t>
            </w:r>
            <w:r w:rsidR="005F0B73" w:rsidRPr="00EF64AC">
              <w:rPr>
                <w:b/>
                <w:i/>
                <w:color w:val="000000"/>
                <w:sz w:val="17"/>
                <w:szCs w:val="17"/>
              </w:rPr>
              <w:t xml:space="preserve"> patirties</w:t>
            </w: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5F0B73" w:rsidRPr="00EF64AC" w:rsidRDefault="00ED71F4" w:rsidP="007A640F">
            <w:pPr>
              <w:widowControl/>
              <w:autoSpaceDE w:val="0"/>
              <w:autoSpaceDN w:val="0"/>
              <w:adjustRightInd w:val="0"/>
              <w:spacing w:after="0" w:line="240" w:lineRule="auto"/>
              <w:ind w:firstLine="0"/>
              <w:jc w:val="center"/>
              <w:rPr>
                <w:b/>
                <w:i/>
                <w:color w:val="000000"/>
                <w:sz w:val="17"/>
                <w:szCs w:val="17"/>
              </w:rPr>
            </w:pPr>
            <w:r w:rsidRPr="00EF64AC">
              <w:rPr>
                <w:b/>
                <w:i/>
                <w:color w:val="000000"/>
                <w:sz w:val="17"/>
                <w:szCs w:val="17"/>
              </w:rPr>
              <w:t>&lt; </w:t>
            </w:r>
            <w:r w:rsidR="001E0263" w:rsidRPr="00EF64AC">
              <w:rPr>
                <w:b/>
                <w:i/>
                <w:color w:val="000000"/>
                <w:sz w:val="17"/>
                <w:szCs w:val="17"/>
              </w:rPr>
              <w:t>1,5 </w:t>
            </w:r>
            <w:r w:rsidR="005F0B73" w:rsidRPr="00EF64AC">
              <w:rPr>
                <w:b/>
                <w:i/>
                <w:color w:val="000000"/>
                <w:sz w:val="17"/>
                <w:szCs w:val="17"/>
              </w:rPr>
              <w:t>m</w:t>
            </w:r>
            <w:r w:rsidR="00DB35BC" w:rsidRPr="00EF64AC">
              <w:rPr>
                <w:b/>
                <w:i/>
                <w:color w:val="000000"/>
                <w:sz w:val="17"/>
                <w:szCs w:val="17"/>
              </w:rPr>
              <w:t>.</w:t>
            </w: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5F0B73" w:rsidRPr="00EF64AC" w:rsidRDefault="00ED71F4" w:rsidP="007A640F">
            <w:pPr>
              <w:widowControl/>
              <w:autoSpaceDE w:val="0"/>
              <w:autoSpaceDN w:val="0"/>
              <w:adjustRightInd w:val="0"/>
              <w:spacing w:after="0" w:line="240" w:lineRule="auto"/>
              <w:ind w:firstLine="0"/>
              <w:jc w:val="center"/>
              <w:rPr>
                <w:b/>
                <w:i/>
                <w:color w:val="000000"/>
                <w:sz w:val="17"/>
                <w:szCs w:val="17"/>
              </w:rPr>
            </w:pPr>
            <w:r w:rsidRPr="00EF64AC">
              <w:rPr>
                <w:b/>
                <w:i/>
                <w:color w:val="000000"/>
                <w:sz w:val="17"/>
                <w:szCs w:val="17"/>
              </w:rPr>
              <w:t>1,5-</w:t>
            </w:r>
            <w:r w:rsidR="001E0263" w:rsidRPr="00EF64AC">
              <w:rPr>
                <w:b/>
                <w:i/>
                <w:color w:val="000000"/>
                <w:sz w:val="17"/>
                <w:szCs w:val="17"/>
              </w:rPr>
              <w:t>25 </w:t>
            </w:r>
            <w:r w:rsidR="005F0B73" w:rsidRPr="00EF64AC">
              <w:rPr>
                <w:b/>
                <w:i/>
                <w:color w:val="000000"/>
                <w:sz w:val="17"/>
                <w:szCs w:val="17"/>
              </w:rPr>
              <w:t>m</w:t>
            </w:r>
            <w:r w:rsidR="00DB35BC" w:rsidRPr="00EF64AC">
              <w:rPr>
                <w:b/>
                <w:i/>
                <w:color w:val="000000"/>
                <w:sz w:val="17"/>
                <w:szCs w:val="17"/>
              </w:rPr>
              <w:t>.</w:t>
            </w: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5F0B73" w:rsidRPr="00EF64AC" w:rsidRDefault="00ED71F4" w:rsidP="007A640F">
            <w:pPr>
              <w:widowControl/>
              <w:autoSpaceDE w:val="0"/>
              <w:autoSpaceDN w:val="0"/>
              <w:adjustRightInd w:val="0"/>
              <w:spacing w:after="0" w:line="240" w:lineRule="auto"/>
              <w:ind w:firstLine="0"/>
              <w:jc w:val="center"/>
              <w:rPr>
                <w:b/>
                <w:i/>
                <w:color w:val="000000"/>
                <w:sz w:val="17"/>
                <w:szCs w:val="17"/>
              </w:rPr>
            </w:pPr>
            <w:r w:rsidRPr="00EF64AC">
              <w:rPr>
                <w:b/>
                <w:i/>
                <w:color w:val="000000"/>
                <w:sz w:val="17"/>
                <w:szCs w:val="17"/>
              </w:rPr>
              <w:t>25-</w:t>
            </w:r>
            <w:r w:rsidR="001E0263" w:rsidRPr="00EF64AC">
              <w:rPr>
                <w:b/>
                <w:i/>
                <w:color w:val="000000"/>
                <w:sz w:val="17"/>
                <w:szCs w:val="17"/>
              </w:rPr>
              <w:t>30 </w:t>
            </w:r>
            <w:r w:rsidR="005F0B73" w:rsidRPr="00EF64AC">
              <w:rPr>
                <w:b/>
                <w:i/>
                <w:color w:val="000000"/>
                <w:sz w:val="17"/>
                <w:szCs w:val="17"/>
              </w:rPr>
              <w:t>m</w:t>
            </w:r>
            <w:r w:rsidR="00DB35BC" w:rsidRPr="00EF64AC">
              <w:rPr>
                <w:b/>
                <w:i/>
                <w:color w:val="000000"/>
                <w:sz w:val="17"/>
                <w:szCs w:val="17"/>
              </w:rPr>
              <w:t>.</w:t>
            </w: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5F0B73" w:rsidRPr="00EF64AC" w:rsidRDefault="00ED00DD" w:rsidP="007A640F">
            <w:pPr>
              <w:widowControl/>
              <w:autoSpaceDE w:val="0"/>
              <w:autoSpaceDN w:val="0"/>
              <w:adjustRightInd w:val="0"/>
              <w:spacing w:after="0" w:line="240" w:lineRule="auto"/>
              <w:ind w:firstLine="0"/>
              <w:jc w:val="center"/>
              <w:rPr>
                <w:b/>
                <w:i/>
                <w:color w:val="000000"/>
                <w:sz w:val="17"/>
                <w:szCs w:val="17"/>
              </w:rPr>
            </w:pPr>
            <w:r w:rsidRPr="00EF64AC">
              <w:rPr>
                <w:b/>
                <w:i/>
                <w:color w:val="000000"/>
                <w:sz w:val="17"/>
                <w:szCs w:val="17"/>
              </w:rPr>
              <w:t>30-</w:t>
            </w:r>
            <w:r w:rsidR="001E0263" w:rsidRPr="00EF64AC">
              <w:rPr>
                <w:b/>
                <w:i/>
                <w:color w:val="000000"/>
                <w:sz w:val="17"/>
                <w:szCs w:val="17"/>
              </w:rPr>
              <w:t>35 </w:t>
            </w:r>
            <w:r w:rsidR="005F0B73" w:rsidRPr="00EF64AC">
              <w:rPr>
                <w:b/>
                <w:i/>
                <w:color w:val="000000"/>
                <w:sz w:val="17"/>
                <w:szCs w:val="17"/>
              </w:rPr>
              <w:t>m</w:t>
            </w:r>
            <w:r w:rsidR="00DB35BC" w:rsidRPr="00EF64AC">
              <w:rPr>
                <w:b/>
                <w:i/>
                <w:color w:val="000000"/>
                <w:sz w:val="17"/>
                <w:szCs w:val="17"/>
              </w:rPr>
              <w:t>.</w:t>
            </w:r>
          </w:p>
        </w:tc>
        <w:tc>
          <w:tcPr>
            <w:tcW w:w="1080" w:type="dxa"/>
            <w:vMerge/>
            <w:tcBorders>
              <w:top w:val="single" w:sz="2" w:space="0" w:color="000000"/>
              <w:left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bottom"/>
          </w:tcPr>
          <w:p w:rsidR="005F0B73" w:rsidRPr="00EF64AC" w:rsidRDefault="005F0B73" w:rsidP="008672C8">
            <w:pPr>
              <w:widowControl/>
              <w:autoSpaceDE w:val="0"/>
              <w:autoSpaceDN w:val="0"/>
              <w:adjustRightInd w:val="0"/>
              <w:spacing w:after="0" w:line="240" w:lineRule="auto"/>
              <w:ind w:firstLine="0"/>
              <w:jc w:val="left"/>
              <w:rPr>
                <w:color w:val="000000"/>
                <w:sz w:val="17"/>
                <w:szCs w:val="17"/>
              </w:rPr>
            </w:pPr>
          </w:p>
        </w:tc>
      </w:tr>
      <w:tr w:rsidR="005F0B73" w:rsidRPr="00E05856" w:rsidTr="003720AC">
        <w:trPr>
          <w:cantSplit/>
          <w:trHeight w:val="20"/>
          <w:tblHeader/>
        </w:trPr>
        <w:tc>
          <w:tcPr>
            <w:tcW w:w="2430" w:type="dxa"/>
            <w:tcBorders>
              <w:top w:val="single" w:sz="12" w:space="0" w:color="000000"/>
              <w:bottom w:val="single" w:sz="2" w:space="0" w:color="000000"/>
              <w:right w:val="single" w:sz="12" w:space="0" w:color="000000"/>
            </w:tcBorders>
            <w:shd w:val="clear" w:color="auto" w:fill="D9D9D9" w:themeFill="background1" w:themeFillShade="D9"/>
            <w:tcMar>
              <w:top w:w="30" w:type="dxa"/>
              <w:left w:w="30" w:type="dxa"/>
              <w:bottom w:w="30" w:type="dxa"/>
              <w:right w:w="30" w:type="dxa"/>
            </w:tcMar>
          </w:tcPr>
          <w:p w:rsidR="005F0B73" w:rsidRPr="00E05856" w:rsidRDefault="005F0B73" w:rsidP="008672C8">
            <w:pPr>
              <w:widowControl/>
              <w:autoSpaceDE w:val="0"/>
              <w:autoSpaceDN w:val="0"/>
              <w:adjustRightInd w:val="0"/>
              <w:spacing w:after="0" w:line="240" w:lineRule="auto"/>
              <w:ind w:firstLine="0"/>
              <w:jc w:val="left"/>
              <w:rPr>
                <w:b/>
                <w:i/>
                <w:color w:val="000000"/>
                <w:sz w:val="18"/>
                <w:szCs w:val="18"/>
              </w:rPr>
            </w:pPr>
            <w:r w:rsidRPr="00E05856">
              <w:rPr>
                <w:b/>
                <w:i/>
                <w:color w:val="000000"/>
                <w:sz w:val="18"/>
                <w:szCs w:val="18"/>
              </w:rPr>
              <w:t>Taip</w:t>
            </w:r>
          </w:p>
        </w:tc>
        <w:tc>
          <w:tcPr>
            <w:tcW w:w="1350" w:type="dxa"/>
            <w:tcBorders>
              <w:top w:val="single" w:sz="12" w:space="0" w:color="000000"/>
              <w:left w:val="single" w:sz="12" w:space="0" w:color="000000"/>
              <w:right w:val="single" w:sz="12" w:space="0" w:color="000000"/>
            </w:tcBorders>
            <w:shd w:val="clear" w:color="auto" w:fill="FFFFFF"/>
            <w:tcMar>
              <w:top w:w="30" w:type="dxa"/>
              <w:left w:w="30" w:type="dxa"/>
              <w:bottom w:w="30" w:type="dxa"/>
              <w:right w:w="30" w:type="dxa"/>
            </w:tcMar>
            <w:vAlign w:val="center"/>
          </w:tcPr>
          <w:p w:rsidR="005F0B73" w:rsidRPr="00E05856" w:rsidRDefault="005F0B73" w:rsidP="003720AC">
            <w:pPr>
              <w:widowControl/>
              <w:autoSpaceDE w:val="0"/>
              <w:autoSpaceDN w:val="0"/>
              <w:adjustRightInd w:val="0"/>
              <w:spacing w:after="0" w:line="240" w:lineRule="auto"/>
              <w:ind w:firstLine="0"/>
              <w:jc w:val="center"/>
              <w:rPr>
                <w:color w:val="000000"/>
                <w:sz w:val="18"/>
                <w:szCs w:val="18"/>
              </w:rPr>
            </w:pPr>
            <w:r w:rsidRPr="00E05856">
              <w:rPr>
                <w:color w:val="000000"/>
                <w:sz w:val="18"/>
                <w:szCs w:val="18"/>
              </w:rPr>
              <w:t>48</w:t>
            </w:r>
            <w:r w:rsidR="002F05EB">
              <w:rPr>
                <w:color w:val="000000"/>
                <w:sz w:val="18"/>
                <w:szCs w:val="18"/>
              </w:rPr>
              <w:t xml:space="preserve"> (60,0 </w:t>
            </w:r>
            <w:r w:rsidR="002F05EB">
              <w:rPr>
                <w:color w:val="000000"/>
                <w:sz w:val="18"/>
                <w:szCs w:val="18"/>
                <w:lang w:val="en-US"/>
              </w:rPr>
              <w:t>%</w:t>
            </w:r>
            <w:r w:rsidR="002F05EB">
              <w:rPr>
                <w:color w:val="000000"/>
                <w:sz w:val="18"/>
                <w:szCs w:val="18"/>
              </w:rPr>
              <w:t>)</w:t>
            </w:r>
          </w:p>
        </w:tc>
        <w:tc>
          <w:tcPr>
            <w:tcW w:w="1350" w:type="dxa"/>
            <w:tcBorders>
              <w:top w:val="single" w:sz="12" w:space="0" w:color="000000"/>
              <w:left w:val="single" w:sz="12" w:space="0" w:color="000000"/>
              <w:right w:val="single" w:sz="12" w:space="0" w:color="000000"/>
            </w:tcBorders>
            <w:shd w:val="clear" w:color="auto" w:fill="FFFFFF"/>
            <w:tcMar>
              <w:top w:w="30" w:type="dxa"/>
              <w:left w:w="30" w:type="dxa"/>
              <w:bottom w:w="30" w:type="dxa"/>
              <w:right w:w="30" w:type="dxa"/>
            </w:tcMar>
            <w:vAlign w:val="center"/>
          </w:tcPr>
          <w:p w:rsidR="005F0B73" w:rsidRPr="00E05856" w:rsidRDefault="005F0B73" w:rsidP="003720AC">
            <w:pPr>
              <w:widowControl/>
              <w:autoSpaceDE w:val="0"/>
              <w:autoSpaceDN w:val="0"/>
              <w:adjustRightInd w:val="0"/>
              <w:spacing w:after="0" w:line="240" w:lineRule="auto"/>
              <w:ind w:firstLine="0"/>
              <w:jc w:val="center"/>
              <w:rPr>
                <w:color w:val="000000"/>
                <w:sz w:val="18"/>
                <w:szCs w:val="18"/>
              </w:rPr>
            </w:pPr>
            <w:r w:rsidRPr="00E05856">
              <w:rPr>
                <w:color w:val="000000"/>
                <w:sz w:val="18"/>
                <w:szCs w:val="18"/>
              </w:rPr>
              <w:t>46</w:t>
            </w:r>
            <w:r w:rsidR="002F05EB">
              <w:rPr>
                <w:color w:val="000000"/>
                <w:sz w:val="18"/>
                <w:szCs w:val="18"/>
              </w:rPr>
              <w:t xml:space="preserve"> (</w:t>
            </w:r>
            <w:r w:rsidR="00BE7474">
              <w:rPr>
                <w:color w:val="000000"/>
                <w:sz w:val="18"/>
                <w:szCs w:val="18"/>
              </w:rPr>
              <w:t>67,6 %</w:t>
            </w:r>
            <w:r w:rsidR="002F05EB">
              <w:rPr>
                <w:color w:val="000000"/>
                <w:sz w:val="18"/>
                <w:szCs w:val="18"/>
              </w:rPr>
              <w:t>)</w:t>
            </w:r>
          </w:p>
        </w:tc>
        <w:tc>
          <w:tcPr>
            <w:tcW w:w="1350" w:type="dxa"/>
            <w:tcBorders>
              <w:top w:val="single" w:sz="12" w:space="0" w:color="000000"/>
              <w:left w:val="single" w:sz="12" w:space="0" w:color="000000"/>
              <w:right w:val="single" w:sz="12" w:space="0" w:color="000000"/>
            </w:tcBorders>
            <w:shd w:val="clear" w:color="auto" w:fill="FFFFFF"/>
            <w:tcMar>
              <w:top w:w="30" w:type="dxa"/>
              <w:left w:w="30" w:type="dxa"/>
              <w:bottom w:w="30" w:type="dxa"/>
              <w:right w:w="30" w:type="dxa"/>
            </w:tcMar>
            <w:vAlign w:val="center"/>
          </w:tcPr>
          <w:p w:rsidR="005F0B73" w:rsidRPr="00E05856" w:rsidRDefault="005F0B73" w:rsidP="003720AC">
            <w:pPr>
              <w:widowControl/>
              <w:autoSpaceDE w:val="0"/>
              <w:autoSpaceDN w:val="0"/>
              <w:adjustRightInd w:val="0"/>
              <w:spacing w:after="0" w:line="240" w:lineRule="auto"/>
              <w:ind w:firstLine="0"/>
              <w:jc w:val="center"/>
              <w:rPr>
                <w:color w:val="000000"/>
                <w:sz w:val="18"/>
                <w:szCs w:val="18"/>
              </w:rPr>
            </w:pPr>
            <w:r w:rsidRPr="00E05856">
              <w:rPr>
                <w:color w:val="000000"/>
                <w:sz w:val="18"/>
                <w:szCs w:val="18"/>
              </w:rPr>
              <w:t>78</w:t>
            </w:r>
            <w:r w:rsidR="00BE7474">
              <w:rPr>
                <w:color w:val="000000"/>
                <w:sz w:val="18"/>
                <w:szCs w:val="18"/>
              </w:rPr>
              <w:t xml:space="preserve"> (45,6 %)</w:t>
            </w:r>
          </w:p>
        </w:tc>
        <w:tc>
          <w:tcPr>
            <w:tcW w:w="1350" w:type="dxa"/>
            <w:tcBorders>
              <w:top w:val="single" w:sz="12" w:space="0" w:color="000000"/>
              <w:left w:val="single" w:sz="12" w:space="0" w:color="000000"/>
              <w:right w:val="single" w:sz="12" w:space="0" w:color="000000"/>
            </w:tcBorders>
            <w:shd w:val="clear" w:color="auto" w:fill="FFFFFF"/>
            <w:tcMar>
              <w:top w:w="30" w:type="dxa"/>
              <w:left w:w="30" w:type="dxa"/>
              <w:bottom w:w="30" w:type="dxa"/>
              <w:right w:w="30" w:type="dxa"/>
            </w:tcMar>
            <w:vAlign w:val="center"/>
          </w:tcPr>
          <w:p w:rsidR="005F0B73" w:rsidRPr="00E05856" w:rsidRDefault="005F0B73" w:rsidP="003720AC">
            <w:pPr>
              <w:widowControl/>
              <w:autoSpaceDE w:val="0"/>
              <w:autoSpaceDN w:val="0"/>
              <w:adjustRightInd w:val="0"/>
              <w:spacing w:after="0" w:line="240" w:lineRule="auto"/>
              <w:ind w:firstLine="0"/>
              <w:jc w:val="center"/>
              <w:rPr>
                <w:color w:val="000000"/>
                <w:sz w:val="18"/>
                <w:szCs w:val="18"/>
              </w:rPr>
            </w:pPr>
            <w:r w:rsidRPr="00E05856">
              <w:rPr>
                <w:color w:val="000000"/>
                <w:sz w:val="18"/>
                <w:szCs w:val="18"/>
              </w:rPr>
              <w:t>27</w:t>
            </w:r>
            <w:r w:rsidR="00BE7474">
              <w:rPr>
                <w:color w:val="000000"/>
                <w:sz w:val="18"/>
                <w:szCs w:val="18"/>
              </w:rPr>
              <w:t xml:space="preserve"> (69,2 %)</w:t>
            </w:r>
          </w:p>
        </w:tc>
        <w:tc>
          <w:tcPr>
            <w:tcW w:w="1350" w:type="dxa"/>
            <w:tcBorders>
              <w:top w:val="single" w:sz="12" w:space="0" w:color="000000"/>
              <w:left w:val="single" w:sz="12" w:space="0" w:color="000000"/>
              <w:right w:val="single" w:sz="12" w:space="0" w:color="000000"/>
            </w:tcBorders>
            <w:shd w:val="clear" w:color="auto" w:fill="FFFFFF"/>
            <w:tcMar>
              <w:top w:w="30" w:type="dxa"/>
              <w:left w:w="30" w:type="dxa"/>
              <w:bottom w:w="30" w:type="dxa"/>
              <w:right w:w="30" w:type="dxa"/>
            </w:tcMar>
            <w:vAlign w:val="center"/>
          </w:tcPr>
          <w:p w:rsidR="005F0B73" w:rsidRPr="00E05856" w:rsidRDefault="005F0B73" w:rsidP="003720AC">
            <w:pPr>
              <w:widowControl/>
              <w:autoSpaceDE w:val="0"/>
              <w:autoSpaceDN w:val="0"/>
              <w:adjustRightInd w:val="0"/>
              <w:spacing w:after="0" w:line="240" w:lineRule="auto"/>
              <w:ind w:firstLine="0"/>
              <w:jc w:val="center"/>
              <w:rPr>
                <w:color w:val="000000"/>
                <w:sz w:val="18"/>
                <w:szCs w:val="18"/>
              </w:rPr>
            </w:pPr>
            <w:r w:rsidRPr="00E05856">
              <w:rPr>
                <w:color w:val="000000"/>
                <w:sz w:val="18"/>
                <w:szCs w:val="18"/>
              </w:rPr>
              <w:t>2</w:t>
            </w:r>
            <w:r w:rsidR="00BE7474">
              <w:rPr>
                <w:color w:val="000000"/>
                <w:sz w:val="18"/>
                <w:szCs w:val="18"/>
              </w:rPr>
              <w:t xml:space="preserve"> (66,</w:t>
            </w:r>
            <w:r w:rsidR="00A97090">
              <w:rPr>
                <w:color w:val="000000"/>
                <w:sz w:val="18"/>
                <w:szCs w:val="18"/>
              </w:rPr>
              <w:t>7</w:t>
            </w:r>
            <w:r w:rsidR="00BE7474">
              <w:rPr>
                <w:color w:val="000000"/>
                <w:sz w:val="18"/>
                <w:szCs w:val="18"/>
              </w:rPr>
              <w:t xml:space="preserve"> %)</w:t>
            </w:r>
          </w:p>
        </w:tc>
        <w:tc>
          <w:tcPr>
            <w:tcW w:w="1080" w:type="dxa"/>
            <w:tcBorders>
              <w:top w:val="single" w:sz="12" w:space="0" w:color="000000"/>
              <w:left w:val="single" w:sz="12" w:space="0" w:color="000000"/>
              <w:bottom w:val="single" w:sz="2" w:space="0" w:color="000000"/>
            </w:tcBorders>
            <w:shd w:val="clear" w:color="auto" w:fill="D9D9D9" w:themeFill="background1" w:themeFillShade="D9"/>
            <w:tcMar>
              <w:top w:w="30" w:type="dxa"/>
              <w:left w:w="30" w:type="dxa"/>
              <w:bottom w:w="30" w:type="dxa"/>
              <w:right w:w="30" w:type="dxa"/>
            </w:tcMar>
            <w:vAlign w:val="center"/>
          </w:tcPr>
          <w:p w:rsidR="005F0B73" w:rsidRPr="00E05856" w:rsidRDefault="005F0B73" w:rsidP="003720AC">
            <w:pPr>
              <w:widowControl/>
              <w:autoSpaceDE w:val="0"/>
              <w:autoSpaceDN w:val="0"/>
              <w:adjustRightInd w:val="0"/>
              <w:spacing w:after="0" w:line="240" w:lineRule="auto"/>
              <w:ind w:firstLine="0"/>
              <w:jc w:val="center"/>
              <w:rPr>
                <w:b/>
                <w:color w:val="000000"/>
                <w:sz w:val="18"/>
                <w:szCs w:val="18"/>
              </w:rPr>
            </w:pPr>
            <w:r w:rsidRPr="00E05856">
              <w:rPr>
                <w:b/>
                <w:color w:val="000000"/>
                <w:sz w:val="18"/>
                <w:szCs w:val="18"/>
              </w:rPr>
              <w:t>201</w:t>
            </w:r>
            <w:r w:rsidR="00A97090">
              <w:rPr>
                <w:b/>
                <w:color w:val="000000"/>
                <w:sz w:val="18"/>
                <w:szCs w:val="18"/>
              </w:rPr>
              <w:t xml:space="preserve"> (58,9 %)</w:t>
            </w:r>
          </w:p>
        </w:tc>
      </w:tr>
      <w:tr w:rsidR="005F0B73" w:rsidRPr="00E05856" w:rsidTr="003720AC">
        <w:trPr>
          <w:cantSplit/>
          <w:trHeight w:val="91"/>
          <w:tblHeader/>
        </w:trPr>
        <w:tc>
          <w:tcPr>
            <w:tcW w:w="2430" w:type="dxa"/>
            <w:tcBorders>
              <w:top w:val="single" w:sz="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tcPr>
          <w:p w:rsidR="005F0B73" w:rsidRPr="00E05856" w:rsidRDefault="005F0B73" w:rsidP="008672C8">
            <w:pPr>
              <w:widowControl/>
              <w:autoSpaceDE w:val="0"/>
              <w:autoSpaceDN w:val="0"/>
              <w:adjustRightInd w:val="0"/>
              <w:spacing w:after="0" w:line="240" w:lineRule="auto"/>
              <w:ind w:firstLine="0"/>
              <w:jc w:val="left"/>
              <w:rPr>
                <w:b/>
                <w:i/>
                <w:color w:val="000000"/>
                <w:sz w:val="18"/>
                <w:szCs w:val="18"/>
              </w:rPr>
            </w:pPr>
            <w:r w:rsidRPr="00E05856">
              <w:rPr>
                <w:b/>
                <w:i/>
                <w:color w:val="000000"/>
                <w:sz w:val="18"/>
                <w:szCs w:val="18"/>
              </w:rPr>
              <w:t>Ne</w:t>
            </w:r>
          </w:p>
        </w:tc>
        <w:tc>
          <w:tcPr>
            <w:tcW w:w="1350" w:type="dxa"/>
            <w:tcBorders>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5F0B73" w:rsidRPr="00BA633C" w:rsidRDefault="005F0B73" w:rsidP="003720AC">
            <w:pPr>
              <w:widowControl/>
              <w:autoSpaceDE w:val="0"/>
              <w:autoSpaceDN w:val="0"/>
              <w:adjustRightInd w:val="0"/>
              <w:spacing w:after="0" w:line="240" w:lineRule="auto"/>
              <w:ind w:firstLine="0"/>
              <w:jc w:val="center"/>
              <w:rPr>
                <w:color w:val="FF0000"/>
                <w:sz w:val="18"/>
                <w:szCs w:val="18"/>
              </w:rPr>
            </w:pPr>
            <w:r w:rsidRPr="00BA633C">
              <w:rPr>
                <w:color w:val="FF0000"/>
                <w:sz w:val="18"/>
                <w:szCs w:val="18"/>
              </w:rPr>
              <w:t>12</w:t>
            </w:r>
            <w:r w:rsidR="002F05EB" w:rsidRPr="00BA633C">
              <w:rPr>
                <w:color w:val="FF0000"/>
                <w:sz w:val="18"/>
                <w:szCs w:val="18"/>
              </w:rPr>
              <w:t xml:space="preserve"> (20,0 %)</w:t>
            </w:r>
          </w:p>
        </w:tc>
        <w:tc>
          <w:tcPr>
            <w:tcW w:w="1350" w:type="dxa"/>
            <w:tcBorders>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5F0B73" w:rsidRPr="00BA633C" w:rsidRDefault="005F0B73" w:rsidP="003720AC">
            <w:pPr>
              <w:widowControl/>
              <w:autoSpaceDE w:val="0"/>
              <w:autoSpaceDN w:val="0"/>
              <w:adjustRightInd w:val="0"/>
              <w:spacing w:after="0" w:line="240" w:lineRule="auto"/>
              <w:ind w:firstLine="0"/>
              <w:jc w:val="center"/>
              <w:rPr>
                <w:color w:val="FF0000"/>
                <w:sz w:val="18"/>
                <w:szCs w:val="18"/>
              </w:rPr>
            </w:pPr>
            <w:r w:rsidRPr="00BA633C">
              <w:rPr>
                <w:color w:val="FF0000"/>
                <w:sz w:val="18"/>
                <w:szCs w:val="18"/>
              </w:rPr>
              <w:t>22</w:t>
            </w:r>
            <w:r w:rsidR="002F05EB" w:rsidRPr="00BA633C">
              <w:rPr>
                <w:color w:val="FF0000"/>
                <w:sz w:val="18"/>
                <w:szCs w:val="18"/>
              </w:rPr>
              <w:t xml:space="preserve"> (32,4 %)</w:t>
            </w:r>
          </w:p>
        </w:tc>
        <w:tc>
          <w:tcPr>
            <w:tcW w:w="1350" w:type="dxa"/>
            <w:tcBorders>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5F0B73" w:rsidRPr="001251D4" w:rsidRDefault="005F0B73" w:rsidP="003720AC">
            <w:pPr>
              <w:widowControl/>
              <w:autoSpaceDE w:val="0"/>
              <w:autoSpaceDN w:val="0"/>
              <w:adjustRightInd w:val="0"/>
              <w:spacing w:after="0" w:line="240" w:lineRule="auto"/>
              <w:ind w:firstLine="0"/>
              <w:jc w:val="center"/>
              <w:rPr>
                <w:sz w:val="18"/>
                <w:szCs w:val="18"/>
              </w:rPr>
            </w:pPr>
            <w:r w:rsidRPr="001251D4">
              <w:rPr>
                <w:sz w:val="18"/>
                <w:szCs w:val="18"/>
              </w:rPr>
              <w:t>93</w:t>
            </w:r>
            <w:r w:rsidR="00017738" w:rsidRPr="001251D4">
              <w:rPr>
                <w:sz w:val="18"/>
                <w:szCs w:val="18"/>
              </w:rPr>
              <w:t xml:space="preserve"> (54,4 %)</w:t>
            </w:r>
          </w:p>
        </w:tc>
        <w:tc>
          <w:tcPr>
            <w:tcW w:w="1350" w:type="dxa"/>
            <w:tcBorders>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5F0B73" w:rsidRPr="00E05856" w:rsidRDefault="005F0B73" w:rsidP="003720AC">
            <w:pPr>
              <w:widowControl/>
              <w:autoSpaceDE w:val="0"/>
              <w:autoSpaceDN w:val="0"/>
              <w:adjustRightInd w:val="0"/>
              <w:spacing w:after="0" w:line="240" w:lineRule="auto"/>
              <w:ind w:firstLine="0"/>
              <w:jc w:val="center"/>
              <w:rPr>
                <w:color w:val="000000"/>
                <w:sz w:val="18"/>
                <w:szCs w:val="18"/>
              </w:rPr>
            </w:pPr>
            <w:r w:rsidRPr="00E05856">
              <w:rPr>
                <w:color w:val="000000"/>
                <w:sz w:val="18"/>
                <w:szCs w:val="18"/>
              </w:rPr>
              <w:t>12</w:t>
            </w:r>
            <w:r w:rsidR="00017738">
              <w:rPr>
                <w:color w:val="000000"/>
                <w:sz w:val="18"/>
                <w:szCs w:val="18"/>
              </w:rPr>
              <w:t xml:space="preserve"> (30,8 %)</w:t>
            </w:r>
          </w:p>
        </w:tc>
        <w:tc>
          <w:tcPr>
            <w:tcW w:w="1350" w:type="dxa"/>
            <w:tcBorders>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5F0B73" w:rsidRPr="00E05856" w:rsidRDefault="005F0B73" w:rsidP="003720AC">
            <w:pPr>
              <w:widowControl/>
              <w:autoSpaceDE w:val="0"/>
              <w:autoSpaceDN w:val="0"/>
              <w:adjustRightInd w:val="0"/>
              <w:spacing w:after="0" w:line="240" w:lineRule="auto"/>
              <w:ind w:firstLine="0"/>
              <w:jc w:val="center"/>
              <w:rPr>
                <w:color w:val="000000"/>
                <w:sz w:val="18"/>
                <w:szCs w:val="18"/>
              </w:rPr>
            </w:pPr>
            <w:r w:rsidRPr="00E05856">
              <w:rPr>
                <w:color w:val="000000"/>
                <w:sz w:val="18"/>
                <w:szCs w:val="18"/>
              </w:rPr>
              <w:t>1</w:t>
            </w:r>
            <w:r w:rsidR="00017738">
              <w:rPr>
                <w:color w:val="000000"/>
                <w:sz w:val="18"/>
                <w:szCs w:val="18"/>
              </w:rPr>
              <w:t xml:space="preserve"> (33,3 %)</w:t>
            </w:r>
          </w:p>
        </w:tc>
        <w:tc>
          <w:tcPr>
            <w:tcW w:w="1080" w:type="dxa"/>
            <w:tcBorders>
              <w:top w:val="single" w:sz="2" w:space="0" w:color="000000"/>
              <w:left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center"/>
          </w:tcPr>
          <w:p w:rsidR="005F0B73" w:rsidRPr="00E05856" w:rsidRDefault="005F0B73" w:rsidP="003720AC">
            <w:pPr>
              <w:widowControl/>
              <w:autoSpaceDE w:val="0"/>
              <w:autoSpaceDN w:val="0"/>
              <w:adjustRightInd w:val="0"/>
              <w:spacing w:after="0" w:line="240" w:lineRule="auto"/>
              <w:ind w:firstLine="0"/>
              <w:jc w:val="center"/>
              <w:rPr>
                <w:b/>
                <w:color w:val="000000"/>
                <w:sz w:val="18"/>
                <w:szCs w:val="18"/>
              </w:rPr>
            </w:pPr>
            <w:r w:rsidRPr="00E05856">
              <w:rPr>
                <w:b/>
                <w:color w:val="000000"/>
                <w:sz w:val="18"/>
                <w:szCs w:val="18"/>
              </w:rPr>
              <w:t>140</w:t>
            </w:r>
            <w:r w:rsidR="00017738">
              <w:rPr>
                <w:b/>
                <w:color w:val="000000"/>
                <w:sz w:val="18"/>
                <w:szCs w:val="18"/>
              </w:rPr>
              <w:t xml:space="preserve"> (41,1 %)</w:t>
            </w:r>
          </w:p>
        </w:tc>
      </w:tr>
      <w:tr w:rsidR="005F0B73" w:rsidRPr="00EF64AC" w:rsidTr="003720AC">
        <w:trPr>
          <w:cantSplit/>
          <w:trHeight w:val="66"/>
          <w:tblHeader/>
        </w:trPr>
        <w:tc>
          <w:tcPr>
            <w:tcW w:w="2430" w:type="dxa"/>
            <w:tcBorders>
              <w:top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tcPr>
          <w:p w:rsidR="005F0B73" w:rsidRPr="00EF64AC" w:rsidRDefault="001251D4" w:rsidP="001251D4">
            <w:pPr>
              <w:widowControl/>
              <w:autoSpaceDE w:val="0"/>
              <w:autoSpaceDN w:val="0"/>
              <w:adjustRightInd w:val="0"/>
              <w:spacing w:after="0" w:line="240" w:lineRule="auto"/>
              <w:ind w:firstLine="0"/>
              <w:jc w:val="right"/>
              <w:rPr>
                <w:b/>
                <w:i/>
                <w:color w:val="000000"/>
                <w:sz w:val="17"/>
                <w:szCs w:val="17"/>
              </w:rPr>
            </w:pPr>
            <w:r>
              <w:rPr>
                <w:b/>
                <w:i/>
                <w:color w:val="000000"/>
                <w:sz w:val="17"/>
                <w:szCs w:val="17"/>
              </w:rPr>
              <w:t>Iš viso:</w:t>
            </w: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5F0B73" w:rsidRPr="00B8176C" w:rsidRDefault="001C6C44" w:rsidP="003720AC">
            <w:pPr>
              <w:widowControl/>
              <w:autoSpaceDE w:val="0"/>
              <w:autoSpaceDN w:val="0"/>
              <w:adjustRightInd w:val="0"/>
              <w:spacing w:after="0" w:line="240" w:lineRule="auto"/>
              <w:ind w:firstLine="0"/>
              <w:jc w:val="center"/>
              <w:rPr>
                <w:b/>
                <w:sz w:val="17"/>
                <w:szCs w:val="17"/>
                <w:lang w:val="en-US"/>
              </w:rPr>
            </w:pPr>
            <w:r w:rsidRPr="00B8176C">
              <w:rPr>
                <w:b/>
                <w:sz w:val="17"/>
                <w:szCs w:val="17"/>
                <w:lang w:val="en-US"/>
              </w:rPr>
              <w:t>60</w:t>
            </w:r>
            <w:r w:rsidR="00B8176C" w:rsidRPr="00B8176C">
              <w:rPr>
                <w:b/>
                <w:sz w:val="17"/>
                <w:szCs w:val="17"/>
                <w:lang w:val="en-US"/>
              </w:rPr>
              <w:t xml:space="preserve"> (100,0 %)</w:t>
            </w: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5F0B73" w:rsidRPr="00B8176C" w:rsidRDefault="003B08E0" w:rsidP="003720AC">
            <w:pPr>
              <w:widowControl/>
              <w:autoSpaceDE w:val="0"/>
              <w:autoSpaceDN w:val="0"/>
              <w:adjustRightInd w:val="0"/>
              <w:spacing w:after="0" w:line="240" w:lineRule="auto"/>
              <w:ind w:firstLine="0"/>
              <w:jc w:val="center"/>
              <w:rPr>
                <w:b/>
                <w:sz w:val="17"/>
                <w:szCs w:val="17"/>
                <w:lang w:val="en-US"/>
              </w:rPr>
            </w:pPr>
            <w:r w:rsidRPr="00B8176C">
              <w:rPr>
                <w:b/>
                <w:sz w:val="17"/>
                <w:szCs w:val="17"/>
                <w:lang w:val="en-US"/>
              </w:rPr>
              <w:t>68</w:t>
            </w:r>
            <w:r w:rsidR="00B8176C" w:rsidRPr="00B8176C">
              <w:rPr>
                <w:b/>
                <w:sz w:val="17"/>
                <w:szCs w:val="17"/>
                <w:lang w:val="en-US"/>
              </w:rPr>
              <w:t xml:space="preserve"> (100,0 %)</w:t>
            </w: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5F0B73" w:rsidRPr="00B8176C" w:rsidRDefault="003B08E0" w:rsidP="003720AC">
            <w:pPr>
              <w:widowControl/>
              <w:autoSpaceDE w:val="0"/>
              <w:autoSpaceDN w:val="0"/>
              <w:adjustRightInd w:val="0"/>
              <w:spacing w:after="0" w:line="240" w:lineRule="auto"/>
              <w:ind w:firstLine="0"/>
              <w:jc w:val="center"/>
              <w:rPr>
                <w:b/>
                <w:sz w:val="17"/>
                <w:szCs w:val="17"/>
              </w:rPr>
            </w:pPr>
            <w:r w:rsidRPr="00B8176C">
              <w:rPr>
                <w:b/>
                <w:sz w:val="17"/>
                <w:szCs w:val="17"/>
              </w:rPr>
              <w:t>171</w:t>
            </w:r>
            <w:r w:rsidR="00B8176C" w:rsidRPr="00B8176C">
              <w:rPr>
                <w:b/>
                <w:sz w:val="17"/>
                <w:szCs w:val="17"/>
              </w:rPr>
              <w:t xml:space="preserve"> (100,0 %)</w:t>
            </w: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5F0B73" w:rsidRPr="00EF64AC" w:rsidRDefault="003B08E0" w:rsidP="003720AC">
            <w:pPr>
              <w:widowControl/>
              <w:autoSpaceDE w:val="0"/>
              <w:autoSpaceDN w:val="0"/>
              <w:adjustRightInd w:val="0"/>
              <w:spacing w:after="0" w:line="240" w:lineRule="auto"/>
              <w:ind w:firstLine="0"/>
              <w:jc w:val="center"/>
              <w:rPr>
                <w:b/>
                <w:color w:val="000000"/>
                <w:sz w:val="17"/>
                <w:szCs w:val="17"/>
              </w:rPr>
            </w:pPr>
            <w:r>
              <w:rPr>
                <w:b/>
                <w:color w:val="000000"/>
                <w:sz w:val="17"/>
                <w:szCs w:val="17"/>
              </w:rPr>
              <w:t>39</w:t>
            </w:r>
            <w:r w:rsidR="00B8176C">
              <w:rPr>
                <w:b/>
                <w:color w:val="000000"/>
                <w:sz w:val="17"/>
                <w:szCs w:val="17"/>
              </w:rPr>
              <w:t xml:space="preserve"> (100,0 %)</w:t>
            </w: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5F0B73" w:rsidRPr="00EF64AC" w:rsidRDefault="00B8176C" w:rsidP="003720AC">
            <w:pPr>
              <w:widowControl/>
              <w:autoSpaceDE w:val="0"/>
              <w:autoSpaceDN w:val="0"/>
              <w:adjustRightInd w:val="0"/>
              <w:spacing w:after="0" w:line="240" w:lineRule="auto"/>
              <w:ind w:firstLine="0"/>
              <w:jc w:val="center"/>
              <w:rPr>
                <w:b/>
                <w:color w:val="000000"/>
                <w:sz w:val="17"/>
                <w:szCs w:val="17"/>
              </w:rPr>
            </w:pPr>
            <w:r>
              <w:rPr>
                <w:b/>
                <w:color w:val="000000"/>
                <w:sz w:val="17"/>
                <w:szCs w:val="17"/>
              </w:rPr>
              <w:t>3 (100,0 %)</w:t>
            </w:r>
          </w:p>
        </w:tc>
        <w:tc>
          <w:tcPr>
            <w:tcW w:w="1080" w:type="dxa"/>
            <w:tcBorders>
              <w:top w:val="single" w:sz="12" w:space="0" w:color="000000"/>
              <w:left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center"/>
          </w:tcPr>
          <w:p w:rsidR="005F0B73" w:rsidRPr="00EF64AC" w:rsidRDefault="00B8176C" w:rsidP="003720AC">
            <w:pPr>
              <w:widowControl/>
              <w:autoSpaceDE w:val="0"/>
              <w:autoSpaceDN w:val="0"/>
              <w:adjustRightInd w:val="0"/>
              <w:spacing w:after="0" w:line="240" w:lineRule="auto"/>
              <w:ind w:firstLine="0"/>
              <w:jc w:val="center"/>
              <w:rPr>
                <w:b/>
                <w:color w:val="000000"/>
                <w:sz w:val="17"/>
                <w:szCs w:val="17"/>
              </w:rPr>
            </w:pPr>
            <w:r>
              <w:rPr>
                <w:b/>
                <w:color w:val="000000"/>
                <w:sz w:val="17"/>
                <w:szCs w:val="17"/>
              </w:rPr>
              <w:t>341 (100,0 %)</w:t>
            </w:r>
          </w:p>
        </w:tc>
      </w:tr>
    </w:tbl>
    <w:p w:rsidR="00A74387" w:rsidRPr="005A25C2" w:rsidRDefault="00684453" w:rsidP="00684453">
      <w:pPr>
        <w:rPr>
          <w:sz w:val="20"/>
          <w:lang w:val="en-US"/>
        </w:rPr>
      </w:pPr>
      <w:r w:rsidRPr="005A25C2">
        <w:rPr>
          <w:b/>
          <w:sz w:val="20"/>
        </w:rPr>
        <w:t>Šaltinis</w:t>
      </w:r>
      <w:r w:rsidRPr="005A25C2">
        <w:rPr>
          <w:sz w:val="20"/>
        </w:rPr>
        <w:t>: sudaryta</w:t>
      </w:r>
      <w:r w:rsidR="005A25C2" w:rsidRPr="005A25C2">
        <w:rPr>
          <w:sz w:val="20"/>
        </w:rPr>
        <w:t xml:space="preserve"> šio darbo autorės</w:t>
      </w:r>
      <w:r w:rsidR="00DC0844">
        <w:rPr>
          <w:sz w:val="20"/>
        </w:rPr>
        <w:t xml:space="preserve">, remiantis </w:t>
      </w:r>
      <w:r w:rsidR="00CE28E2">
        <w:rPr>
          <w:sz w:val="20"/>
        </w:rPr>
        <w:t>apklausos rezultatais</w:t>
      </w:r>
    </w:p>
    <w:p w:rsidR="00F4747E" w:rsidRDefault="008D0675" w:rsidP="00956F90">
      <w:pPr>
        <w:spacing w:after="0"/>
      </w:pPr>
      <w:r>
        <w:rPr>
          <w:b/>
          <w:i/>
          <w:u w:val="single"/>
        </w:rPr>
        <w:t>Bedarbių</w:t>
      </w:r>
      <w:r w:rsidR="00F13B68">
        <w:rPr>
          <w:b/>
          <w:i/>
          <w:u w:val="single"/>
        </w:rPr>
        <w:t xml:space="preserve"> ir</w:t>
      </w:r>
      <w:r w:rsidR="00D563BC">
        <w:rPr>
          <w:b/>
          <w:i/>
          <w:u w:val="single"/>
        </w:rPr>
        <w:t xml:space="preserve"> socialinės</w:t>
      </w:r>
      <w:r w:rsidR="00537BCC" w:rsidRPr="00244E86">
        <w:rPr>
          <w:b/>
          <w:i/>
          <w:u w:val="single"/>
        </w:rPr>
        <w:t xml:space="preserve"> paramos gavėjų </w:t>
      </w:r>
      <w:r w:rsidR="00537BCC">
        <w:rPr>
          <w:b/>
          <w:i/>
          <w:u w:val="single"/>
        </w:rPr>
        <w:t>finansinės elgsenos pobūdžio nustatymas</w:t>
      </w:r>
      <w:r w:rsidR="00537BCC">
        <w:t>.</w:t>
      </w:r>
      <w:r w:rsidR="00DC1609">
        <w:t xml:space="preserve"> Siekiant </w:t>
      </w:r>
      <w:r w:rsidR="00B80A69">
        <w:t>sužino</w:t>
      </w:r>
      <w:r w:rsidR="00A7495B">
        <w:t xml:space="preserve">ti </w:t>
      </w:r>
      <w:r w:rsidR="00DC1609" w:rsidRPr="001A7CC6">
        <w:rPr>
          <w:i/>
        </w:rPr>
        <w:t>vyraujan</w:t>
      </w:r>
      <w:r w:rsidR="00A7495B">
        <w:rPr>
          <w:i/>
        </w:rPr>
        <w:t>čią</w:t>
      </w:r>
      <w:r w:rsidR="00DC1609">
        <w:t xml:space="preserve"> nedarbo </w:t>
      </w:r>
      <w:r w:rsidR="001A7CC6">
        <w:t>draudimo išmokų bei</w:t>
      </w:r>
      <w:r w:rsidR="00DC1609">
        <w:t xml:space="preserve"> soc</w:t>
      </w:r>
      <w:r w:rsidR="007576E5">
        <w:t>ialinės paramos gavėjų finansinę elgseną</w:t>
      </w:r>
      <w:r w:rsidR="00490B0A">
        <w:t xml:space="preserve">, </w:t>
      </w:r>
      <w:r w:rsidR="001A7CC6">
        <w:t>darbo eigo</w:t>
      </w:r>
      <w:r w:rsidR="00B17B49">
        <w:t>je buvo skaičiuojama</w:t>
      </w:r>
      <w:r w:rsidR="003E6EDD">
        <w:t xml:space="preserve"> vis</w:t>
      </w:r>
      <w:r w:rsidR="00334729">
        <w:t>ų</w:t>
      </w:r>
      <w:r w:rsidR="008877B9">
        <w:t xml:space="preserve"> </w:t>
      </w:r>
      <w:r w:rsidR="00B17B49">
        <w:t xml:space="preserve">keturių </w:t>
      </w:r>
      <w:r w:rsidR="008877B9">
        <w:t xml:space="preserve">veiksnių grupių bendra įvertinimų </w:t>
      </w:r>
      <w:r w:rsidR="008877B9" w:rsidRPr="0032522C">
        <w:t>suma</w:t>
      </w:r>
      <w:r w:rsidR="00EA4E8B" w:rsidRPr="0032522C">
        <w:t xml:space="preserve"> (žr. 4 priedą)</w:t>
      </w:r>
      <w:r w:rsidR="008877B9" w:rsidRPr="0032522C">
        <w:t xml:space="preserve">, </w:t>
      </w:r>
      <w:r w:rsidR="00A7495B" w:rsidRPr="0032522C">
        <w:t>pritaikius</w:t>
      </w:r>
      <w:r w:rsidR="00A7495B">
        <w:t xml:space="preserve"> </w:t>
      </w:r>
      <w:r w:rsidR="00F13B68">
        <w:t>šią</w:t>
      </w:r>
      <w:r w:rsidR="00B17B49">
        <w:t xml:space="preserve"> formul</w:t>
      </w:r>
      <w:r w:rsidR="00F13B68">
        <w:t>ę</w:t>
      </w:r>
      <w:r w:rsidR="00F4747E">
        <w:t>:</w:t>
      </w:r>
    </w:p>
    <w:p w:rsidR="003E6EDD" w:rsidRDefault="00D84BC4" w:rsidP="00956F90">
      <w:pPr>
        <w:spacing w:after="0"/>
      </w:pPr>
      <m:oMathPara>
        <m:oMathParaPr>
          <m:jc m:val="right"/>
        </m:oMathPara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fin.</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9</m:t>
              </m:r>
            </m:sup>
            <m:e>
              <m:sSub>
                <m:sSubPr>
                  <m:ctrlPr>
                    <w:rPr>
                      <w:rFonts w:ascii="Cambria Math" w:hAnsi="Cambria Math"/>
                      <w:i/>
                    </w:rPr>
                  </m:ctrlPr>
                </m:sSubPr>
                <m:e>
                  <m:r>
                    <w:rPr>
                      <w:rFonts w:ascii="Cambria Math" w:hAnsi="Cambria Math"/>
                    </w:rPr>
                    <m:t>Mo</m:t>
                  </m:r>
                </m:e>
                <m:sub>
                  <m:sSub>
                    <m:sSubPr>
                      <m:ctrlPr>
                        <w:rPr>
                          <w:rFonts w:ascii="Cambria Math" w:hAnsi="Cambria Math"/>
                          <w:i/>
                        </w:rPr>
                      </m:ctrlPr>
                    </m:sSubPr>
                    <m:e>
                      <m:r>
                        <w:rPr>
                          <w:rFonts w:ascii="Cambria Math" w:hAnsi="Cambria Math"/>
                        </w:rPr>
                        <m:t>a</m:t>
                      </m:r>
                    </m:e>
                    <m:sub>
                      <m:r>
                        <w:rPr>
                          <w:rFonts w:ascii="Cambria Math" w:hAnsi="Cambria Math"/>
                        </w:rPr>
                        <m:t>i</m:t>
                      </m:r>
                    </m:sub>
                  </m:sSub>
                </m:sub>
              </m:sSub>
            </m:e>
          </m:nary>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a</m:t>
                  </m:r>
                </m:e>
                <m:sub>
                  <m:r>
                    <w:rPr>
                      <w:rFonts w:ascii="Cambria Math" w:hAnsi="Cambria Math"/>
                    </w:rPr>
                    <m:t>i</m:t>
                  </m:r>
                </m:sub>
              </m:sSub>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7</m:t>
              </m:r>
            </m:sup>
            <m:e>
              <m:sSub>
                <m:sSubPr>
                  <m:ctrlPr>
                    <w:rPr>
                      <w:rFonts w:ascii="Cambria Math" w:hAnsi="Cambria Math"/>
                      <w:i/>
                    </w:rPr>
                  </m:ctrlPr>
                </m:sSubPr>
                <m:e>
                  <m:r>
                    <w:rPr>
                      <w:rFonts w:ascii="Cambria Math" w:hAnsi="Cambria Math"/>
                    </w:rPr>
                    <m:t>Mo</m:t>
                  </m:r>
                </m:e>
                <m:sub>
                  <m:sSub>
                    <m:sSubPr>
                      <m:ctrlPr>
                        <w:rPr>
                          <w:rFonts w:ascii="Cambria Math" w:hAnsi="Cambria Math"/>
                          <w:i/>
                        </w:rPr>
                      </m:ctrlPr>
                    </m:sSubPr>
                    <m:e>
                      <m:r>
                        <w:rPr>
                          <w:rFonts w:ascii="Cambria Math" w:hAnsi="Cambria Math"/>
                        </w:rPr>
                        <m:t>b</m:t>
                      </m:r>
                    </m:e>
                    <m:sub>
                      <m:r>
                        <w:rPr>
                          <w:rFonts w:ascii="Cambria Math" w:hAnsi="Cambria Math"/>
                        </w:rPr>
                        <m:t>i</m:t>
                      </m:r>
                    </m:sub>
                  </m:sSub>
                </m:sub>
              </m:sSub>
            </m:e>
          </m:nary>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b</m:t>
                  </m:r>
                </m:e>
                <m:sub>
                  <m:r>
                    <w:rPr>
                      <w:rFonts w:ascii="Cambria Math" w:hAnsi="Cambria Math"/>
                    </w:rPr>
                    <m:t>i</m:t>
                  </m:r>
                </m:sub>
              </m:sSub>
            </m:sub>
          </m:sSub>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5</m:t>
              </m:r>
            </m:sup>
            <m:e>
              <m:sSub>
                <m:sSubPr>
                  <m:ctrlPr>
                    <w:rPr>
                      <w:rFonts w:ascii="Cambria Math" w:eastAsiaTheme="minorEastAsia" w:hAnsi="Cambria Math"/>
                      <w:i/>
                    </w:rPr>
                  </m:ctrlPr>
                </m:sSubPr>
                <m:e>
                  <m:r>
                    <w:rPr>
                      <w:rFonts w:ascii="Cambria Math" w:eastAsiaTheme="minorEastAsia" w:hAnsi="Cambria Math"/>
                    </w:rPr>
                    <m:t>Mo</m:t>
                  </m:r>
                </m:e>
                <m:sub>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i</m:t>
                      </m:r>
                    </m:sub>
                  </m:sSub>
                </m:sub>
              </m:sSub>
            </m:e>
          </m:nary>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i</m:t>
                  </m:r>
                </m:sub>
              </m:sSub>
            </m:sub>
          </m:sSub>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3</m:t>
              </m:r>
            </m:sup>
            <m:e>
              <m:sSub>
                <m:sSubPr>
                  <m:ctrlPr>
                    <w:rPr>
                      <w:rFonts w:ascii="Cambria Math" w:eastAsiaTheme="minorEastAsia" w:hAnsi="Cambria Math"/>
                      <w:i/>
                    </w:rPr>
                  </m:ctrlPr>
                </m:sSubPr>
                <m:e>
                  <m:r>
                    <w:rPr>
                      <w:rFonts w:ascii="Cambria Math" w:eastAsiaTheme="minorEastAsia" w:hAnsi="Cambria Math"/>
                    </w:rPr>
                    <m:t>Mo</m:t>
                  </m:r>
                </m:e>
                <m:sub>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i</m:t>
                      </m:r>
                    </m:sub>
                  </m:sSub>
                </m:sub>
              </m:sSub>
            </m:e>
          </m:nary>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i</m:t>
                  </m:r>
                </m:sub>
              </m:sSub>
            </m:sub>
          </m:sSub>
          <m:r>
            <w:rPr>
              <w:rFonts w:ascii="Cambria Math" w:eastAsiaTheme="minorEastAsia" w:hAnsi="Cambria Math"/>
            </w:rPr>
            <m:t>;                    (5)</m:t>
          </m:r>
        </m:oMath>
      </m:oMathPara>
    </w:p>
    <w:p w:rsidR="008B5224" w:rsidRPr="008B5224" w:rsidRDefault="00F4747E" w:rsidP="00732CF2">
      <w:pPr>
        <w:rPr>
          <w:rFonts w:eastAsiaTheme="minorEastAsia"/>
        </w:rPr>
      </w:pPr>
      <w:r>
        <w:t xml:space="preserve"> </w:t>
      </w:r>
      <w:r w:rsidR="008E235A">
        <w:t>čia:</w:t>
      </w:r>
      <m:oMath>
        <m:r>
          <w:rPr>
            <w:rFonts w:ascii="Cambria Math" w:hAnsi="Cambria Math"/>
          </w:rPr>
          <m:t xml:space="preserve"> </m:t>
        </m:r>
        <m:sSub>
          <m:sSubPr>
            <m:ctrlPr>
              <w:rPr>
                <w:rFonts w:ascii="Cambria Math" w:hAnsi="Cambria Math"/>
                <w:i/>
              </w:rPr>
            </m:ctrlPr>
          </m:sSubPr>
          <m:e>
            <m:r>
              <w:rPr>
                <w:rFonts w:ascii="Cambria Math" w:hAnsi="Cambria Math"/>
              </w:rPr>
              <m:t>Mo</m:t>
            </m:r>
          </m:e>
          <m:sub>
            <m:sSub>
              <m:sSubPr>
                <m:ctrlPr>
                  <w:rPr>
                    <w:rFonts w:ascii="Cambria Math" w:hAnsi="Cambria Math"/>
                    <w:i/>
                  </w:rPr>
                </m:ctrlPr>
              </m:sSubPr>
              <m:e>
                <m:r>
                  <w:rPr>
                    <w:rFonts w:ascii="Cambria Math" w:hAnsi="Cambria Math"/>
                  </w:rPr>
                  <m:t>a</m:t>
                </m:r>
              </m:e>
              <m:sub>
                <m:r>
                  <w:rPr>
                    <w:rFonts w:ascii="Cambria Math" w:hAnsi="Cambria Math"/>
                  </w:rPr>
                  <m:t>i</m:t>
                </m:r>
              </m:sub>
            </m:sSub>
          </m:sub>
        </m:sSub>
        <m:r>
          <w:rPr>
            <w:rFonts w:ascii="Cambria Math" w:hAnsi="Cambria Math"/>
          </w:rPr>
          <m:t>;</m:t>
        </m:r>
      </m:oMath>
      <w:r w:rsidR="00A55211">
        <w:rPr>
          <w:rFonts w:eastAsiaTheme="minorEastAsia"/>
        </w:rPr>
        <w:t xml:space="preserve"> </w:t>
      </w:r>
      <m:oMath>
        <m:sSub>
          <m:sSubPr>
            <m:ctrlPr>
              <w:rPr>
                <w:rFonts w:ascii="Cambria Math" w:hAnsi="Cambria Math"/>
                <w:i/>
              </w:rPr>
            </m:ctrlPr>
          </m:sSubPr>
          <m:e>
            <m:r>
              <w:rPr>
                <w:rFonts w:ascii="Cambria Math" w:hAnsi="Cambria Math"/>
              </w:rPr>
              <m:t>Mo</m:t>
            </m:r>
          </m:e>
          <m:sub>
            <m:sSub>
              <m:sSubPr>
                <m:ctrlPr>
                  <w:rPr>
                    <w:rFonts w:ascii="Cambria Math" w:hAnsi="Cambria Math"/>
                    <w:i/>
                  </w:rPr>
                </m:ctrlPr>
              </m:sSubPr>
              <m:e>
                <m:r>
                  <w:rPr>
                    <w:rFonts w:ascii="Cambria Math" w:hAnsi="Cambria Math"/>
                  </w:rPr>
                  <m:t>b</m:t>
                </m:r>
              </m:e>
              <m:sub>
                <m:r>
                  <w:rPr>
                    <w:rFonts w:ascii="Cambria Math" w:hAnsi="Cambria Math"/>
                  </w:rPr>
                  <m:t>i</m:t>
                </m:r>
              </m:sub>
            </m:sSub>
          </m:sub>
        </m:sSub>
        <m:r>
          <w:rPr>
            <w:rFonts w:ascii="Cambria Math" w:hAnsi="Cambria Math"/>
          </w:rPr>
          <m:t>;</m:t>
        </m:r>
      </m:oMath>
      <w:r w:rsidR="00A5521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Mo</m:t>
            </m:r>
          </m:e>
          <m:sub>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i</m:t>
                </m:r>
              </m:sub>
            </m:sSub>
          </m:sub>
        </m:sSub>
        <m:r>
          <w:rPr>
            <w:rFonts w:ascii="Cambria Math" w:eastAsiaTheme="minorEastAsia" w:hAnsi="Cambria Math"/>
          </w:rPr>
          <m:t>;</m:t>
        </m:r>
      </m:oMath>
      <w:r w:rsidR="00A5521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Mo</m:t>
            </m:r>
          </m:e>
          <m:sub>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i</m:t>
                </m:r>
              </m:sub>
            </m:sSub>
          </m:sub>
        </m:sSub>
      </m:oMath>
      <w:r w:rsidR="00A55211">
        <w:rPr>
          <w:rFonts w:eastAsiaTheme="minorEastAsia"/>
        </w:rPr>
        <w:t> </w:t>
      </w:r>
      <w:r w:rsidR="00060408">
        <w:rPr>
          <w:rFonts w:eastAsiaTheme="minorEastAsia"/>
        </w:rPr>
        <w:t xml:space="preserve">– </w:t>
      </w:r>
      <w:r w:rsidR="00F722B8" w:rsidRPr="00314728">
        <w:rPr>
          <w:rFonts w:eastAsiaTheme="minorEastAsia"/>
        </w:rPr>
        <w:t>A</w:t>
      </w:r>
      <w:r w:rsidR="002C49CF">
        <w:rPr>
          <w:rFonts w:eastAsiaTheme="minorEastAsia"/>
        </w:rPr>
        <w:t>, B, C, D</w:t>
      </w:r>
      <w:r w:rsidR="00F722B8" w:rsidRPr="00314728">
        <w:rPr>
          <w:rFonts w:eastAsiaTheme="minorEastAsia"/>
        </w:rPr>
        <w:t xml:space="preserve"> </w:t>
      </w:r>
      <w:r w:rsidR="00765CA7">
        <w:rPr>
          <w:rFonts w:eastAsiaTheme="minorEastAsia"/>
        </w:rPr>
        <w:t xml:space="preserve">veiksnių </w:t>
      </w:r>
      <w:r w:rsidR="00F722B8" w:rsidRPr="00314728">
        <w:rPr>
          <w:rFonts w:eastAsiaTheme="minorEastAsia"/>
        </w:rPr>
        <w:t>grup</w:t>
      </w:r>
      <w:r w:rsidR="002C49CF">
        <w:rPr>
          <w:rFonts w:eastAsiaTheme="minorEastAsia"/>
        </w:rPr>
        <w:t>ių</w:t>
      </w:r>
      <w:r w:rsidR="00F722B8">
        <w:rPr>
          <w:rFonts w:eastAsiaTheme="minorEastAsia"/>
        </w:rPr>
        <w:t xml:space="preserve"> </w:t>
      </w:r>
      <w:r w:rsidR="00060408" w:rsidRPr="00F722B8">
        <w:rPr>
          <w:rFonts w:eastAsiaTheme="minorEastAsia"/>
          <w:i/>
        </w:rPr>
        <w:t>i-</w:t>
      </w:r>
      <w:r w:rsidR="00F722B8">
        <w:rPr>
          <w:rFonts w:eastAsiaTheme="minorEastAsia"/>
          <w:i/>
        </w:rPr>
        <w:t>t</w:t>
      </w:r>
      <w:r w:rsidR="002C49CF">
        <w:rPr>
          <w:rFonts w:eastAsiaTheme="minorEastAsia"/>
          <w:i/>
        </w:rPr>
        <w:t>ųjų</w:t>
      </w:r>
      <w:r w:rsidR="00060408">
        <w:rPr>
          <w:rFonts w:eastAsiaTheme="minorEastAsia"/>
        </w:rPr>
        <w:t xml:space="preserve"> veiksni</w:t>
      </w:r>
      <w:r w:rsidR="002C49CF">
        <w:rPr>
          <w:rFonts w:eastAsiaTheme="minorEastAsia"/>
        </w:rPr>
        <w:t>ų</w:t>
      </w:r>
      <w:r w:rsidR="00060408">
        <w:rPr>
          <w:rFonts w:eastAsiaTheme="minorEastAsia"/>
        </w:rPr>
        <w:t xml:space="preserve"> įvertinimų </w:t>
      </w:r>
      <w:r w:rsidR="00A55211">
        <w:rPr>
          <w:rFonts w:eastAsiaTheme="minorEastAsia"/>
        </w:rPr>
        <w:t xml:space="preserve">moda </w:t>
      </w:r>
      <w:r w:rsidR="005B05A7">
        <w:rPr>
          <w:rFonts w:eastAsiaTheme="minorEastAsia"/>
        </w:rPr>
        <w:t>(imties)</w:t>
      </w:r>
      <w:r w:rsidR="00F722B8">
        <w:rPr>
          <w:rFonts w:eastAsiaTheme="minorEastAsia"/>
        </w:rPr>
        <w:t>;</w:t>
      </w:r>
      <w:r w:rsidR="00DC0DA3">
        <w:rPr>
          <w:rFonts w:eastAsiaTheme="minorEastAsia"/>
        </w:rPr>
        <w:t xml:space="preserve"> </w:t>
      </w:r>
      <m:oMath>
        <m:sSub>
          <m:sSubPr>
            <m:ctrlPr>
              <w:rPr>
                <w:rFonts w:ascii="Cambria Math" w:hAnsi="Cambria Math"/>
                <w:i/>
              </w:rPr>
            </m:ctrlPr>
          </m:sSubPr>
          <m:e>
            <m:r>
              <w:rPr>
                <w:rFonts w:ascii="Cambria Math" w:hAnsi="Cambria Math"/>
              </w:rPr>
              <m:t>K</m:t>
            </m:r>
          </m:e>
          <m:sub>
            <m:r>
              <w:rPr>
                <w:rFonts w:ascii="Cambria Math" w:hAnsi="Cambria Math"/>
              </w:rPr>
              <m:t>i</m:t>
            </m:r>
          </m:sub>
        </m:sSub>
      </m:oMath>
      <w:r w:rsidR="008F5F96">
        <w:rPr>
          <w:rFonts w:eastAsiaTheme="minorEastAsia"/>
        </w:rPr>
        <w:t> </w:t>
      </w:r>
      <w:r w:rsidR="00DC0DA3">
        <w:rPr>
          <w:rFonts w:eastAsiaTheme="minorEastAsia"/>
        </w:rPr>
        <w:t xml:space="preserve">– </w:t>
      </w:r>
      <w:r w:rsidR="00314728">
        <w:rPr>
          <w:rFonts w:eastAsiaTheme="minorEastAsia"/>
        </w:rPr>
        <w:t>A</w:t>
      </w:r>
      <w:r w:rsidR="00B3599E">
        <w:rPr>
          <w:rFonts w:eastAsiaTheme="minorEastAsia"/>
        </w:rPr>
        <w:t>, B, C, D</w:t>
      </w:r>
      <w:r w:rsidR="00314728">
        <w:rPr>
          <w:rFonts w:eastAsiaTheme="minorEastAsia"/>
        </w:rPr>
        <w:t xml:space="preserve"> grup</w:t>
      </w:r>
      <w:r w:rsidR="00B3599E">
        <w:rPr>
          <w:rFonts w:eastAsiaTheme="minorEastAsia"/>
        </w:rPr>
        <w:t>ių</w:t>
      </w:r>
      <w:r w:rsidR="00314728">
        <w:rPr>
          <w:rFonts w:eastAsiaTheme="minorEastAsia"/>
        </w:rPr>
        <w:t xml:space="preserve"> </w:t>
      </w:r>
      <w:r w:rsidR="00DC0DA3" w:rsidRPr="008B5224">
        <w:rPr>
          <w:rFonts w:eastAsiaTheme="minorEastAsia"/>
          <w:i/>
        </w:rPr>
        <w:t>i-t</w:t>
      </w:r>
      <w:r w:rsidR="00B3599E">
        <w:rPr>
          <w:rFonts w:eastAsiaTheme="minorEastAsia"/>
          <w:i/>
        </w:rPr>
        <w:t>ųjų</w:t>
      </w:r>
      <w:r w:rsidR="00DC0DA3">
        <w:rPr>
          <w:rFonts w:eastAsiaTheme="minorEastAsia"/>
        </w:rPr>
        <w:t xml:space="preserve"> veiksni</w:t>
      </w:r>
      <w:r w:rsidR="00B3599E">
        <w:rPr>
          <w:rFonts w:eastAsiaTheme="minorEastAsia"/>
        </w:rPr>
        <w:t>ų reikšmingumo</w:t>
      </w:r>
      <w:r w:rsidR="00DC0DA3">
        <w:rPr>
          <w:rFonts w:eastAsiaTheme="minorEastAsia"/>
        </w:rPr>
        <w:t xml:space="preserve"> koeficienta</w:t>
      </w:r>
      <w:r w:rsidR="00B3599E">
        <w:rPr>
          <w:rFonts w:eastAsiaTheme="minorEastAsia"/>
        </w:rPr>
        <w:t>i</w:t>
      </w:r>
      <w:r w:rsidR="008F5F96">
        <w:rPr>
          <w:rFonts w:eastAsiaTheme="minorEastAsia"/>
        </w:rPr>
        <w:t>, nustatyti kiekvienam veiksniui atskirai.</w:t>
      </w:r>
    </w:p>
    <w:p w:rsidR="0014609E" w:rsidRDefault="00905E82" w:rsidP="00732CF2">
      <w:r>
        <w:lastRenderedPageBreak/>
        <w:t>Tyrimas parodė</w:t>
      </w:r>
      <w:r w:rsidR="002335B0">
        <w:t>, jog didžioji da</w:t>
      </w:r>
      <w:r w:rsidR="00B80A69">
        <w:t>uguma</w:t>
      </w:r>
      <w:r w:rsidR="003E78AA" w:rsidRPr="003D26D5">
        <w:t xml:space="preserve"> bedarbi</w:t>
      </w:r>
      <w:r w:rsidR="00AA7993" w:rsidRPr="003D26D5">
        <w:t>ų</w:t>
      </w:r>
      <w:r w:rsidR="00FC3910">
        <w:t xml:space="preserve"> i</w:t>
      </w:r>
      <w:r w:rsidR="00B80A69">
        <w:t>r</w:t>
      </w:r>
      <w:r w:rsidR="003E78AA" w:rsidRPr="003D26D5">
        <w:t xml:space="preserve"> socialinės paramos gavėj</w:t>
      </w:r>
      <w:r w:rsidR="00AA7993" w:rsidRPr="003D26D5">
        <w:t>ų</w:t>
      </w:r>
      <w:r w:rsidR="003E78AA" w:rsidRPr="003D26D5">
        <w:t xml:space="preserve"> savo </w:t>
      </w:r>
      <w:r w:rsidR="00B80A69" w:rsidRPr="00B80A69">
        <w:rPr>
          <w:b/>
          <w:i/>
        </w:rPr>
        <w:t>finansinę</w:t>
      </w:r>
      <w:r w:rsidR="00B80A69">
        <w:t xml:space="preserve"> </w:t>
      </w:r>
      <w:r w:rsidR="003E78AA" w:rsidRPr="007B3B38">
        <w:rPr>
          <w:b/>
          <w:i/>
        </w:rPr>
        <w:t xml:space="preserve">elgseną vertino </w:t>
      </w:r>
      <w:r w:rsidR="007A171F" w:rsidRPr="007B3B38">
        <w:rPr>
          <w:b/>
          <w:i/>
        </w:rPr>
        <w:t xml:space="preserve">kaip </w:t>
      </w:r>
      <w:r w:rsidR="00AC52A6">
        <w:rPr>
          <w:b/>
          <w:i/>
        </w:rPr>
        <w:t xml:space="preserve">labiau </w:t>
      </w:r>
      <w:r w:rsidR="00EA22C6">
        <w:rPr>
          <w:b/>
          <w:i/>
        </w:rPr>
        <w:t>tinkam</w:t>
      </w:r>
      <w:r w:rsidR="003E78AA" w:rsidRPr="007B3B38">
        <w:rPr>
          <w:b/>
          <w:i/>
        </w:rPr>
        <w:t>ą</w:t>
      </w:r>
      <w:r w:rsidR="00B55382">
        <w:rPr>
          <w:b/>
          <w:i/>
        </w:rPr>
        <w:t xml:space="preserve"> negu</w:t>
      </w:r>
      <w:r w:rsidR="00AF3331">
        <w:rPr>
          <w:b/>
          <w:i/>
        </w:rPr>
        <w:t xml:space="preserve"> netinkamą</w:t>
      </w:r>
      <w:r w:rsidR="00EB5F8F">
        <w:t>, todėl</w:t>
      </w:r>
      <w:r w:rsidR="0097794F" w:rsidRPr="003D26D5">
        <w:t xml:space="preserve"> rezultatas</w:t>
      </w:r>
      <w:r w:rsidR="00413D4C" w:rsidRPr="003D26D5">
        <w:t xml:space="preserve"> (</w:t>
      </w:r>
      <w:r w:rsidR="00F028E1">
        <w:t>94,5</w:t>
      </w:r>
      <w:r w:rsidR="003D26D5" w:rsidRPr="003D26D5">
        <w:t xml:space="preserve"> </w:t>
      </w:r>
      <w:r w:rsidR="00327A1B" w:rsidRPr="003D26D5">
        <w:t>ba</w:t>
      </w:r>
      <w:r w:rsidR="00F028E1">
        <w:t>lo</w:t>
      </w:r>
      <w:r w:rsidR="00413D4C" w:rsidRPr="003D26D5">
        <w:t>) tapo</w:t>
      </w:r>
      <w:r w:rsidR="00FC2E75" w:rsidRPr="003D26D5">
        <w:t xml:space="preserve"> </w:t>
      </w:r>
      <w:r w:rsidR="007A171F" w:rsidRPr="003D26D5">
        <w:t>gere</w:t>
      </w:r>
      <w:r w:rsidR="00FC2E75" w:rsidRPr="003D26D5">
        <w:t>snis nei „pusiausvyros taškas“</w:t>
      </w:r>
      <w:r w:rsidR="00327A1B" w:rsidRPr="003D26D5">
        <w:t xml:space="preserve"> (</w:t>
      </w:r>
      <w:r w:rsidR="003D26D5" w:rsidRPr="003D26D5">
        <w:t xml:space="preserve">74 </w:t>
      </w:r>
      <w:r w:rsidR="00327A1B" w:rsidRPr="003D26D5">
        <w:t>balai)</w:t>
      </w:r>
      <w:r w:rsidR="00FC2E75" w:rsidRPr="003D26D5">
        <w:t>, kuris</w:t>
      </w:r>
      <w:r w:rsidR="00245CFD">
        <w:t xml:space="preserve"> byloja</w:t>
      </w:r>
      <w:r w:rsidR="00327A1B" w:rsidRPr="003D26D5">
        <w:t xml:space="preserve">, jog </w:t>
      </w:r>
      <w:r w:rsidR="00AA7993" w:rsidRPr="003D26D5">
        <w:t xml:space="preserve">finansinė </w:t>
      </w:r>
      <w:r w:rsidR="00327A1B" w:rsidRPr="003D26D5">
        <w:t>elgsena yra</w:t>
      </w:r>
      <w:r w:rsidR="004B4958">
        <w:t xml:space="preserve"> nei racionali, nei neracionali</w:t>
      </w:r>
      <w:r w:rsidR="00327A1B" w:rsidRPr="003D26D5">
        <w:t>.</w:t>
      </w:r>
      <w:r w:rsidR="00140CB8">
        <w:t xml:space="preserve"> Tai reiškia, jog</w:t>
      </w:r>
      <w:r w:rsidR="003101F1">
        <w:t xml:space="preserve">, remiantis </w:t>
      </w:r>
      <w:r w:rsidR="00CF19CC">
        <w:t xml:space="preserve">šio </w:t>
      </w:r>
      <w:r w:rsidR="003101F1">
        <w:t>tyrimo rezultatais,</w:t>
      </w:r>
      <w:r w:rsidR="00140CB8">
        <w:t xml:space="preserve"> </w:t>
      </w:r>
      <w:r w:rsidR="00B113F8" w:rsidRPr="00B55382">
        <w:rPr>
          <w:b/>
          <w:i/>
        </w:rPr>
        <w:t>pirmoji hipotezė</w:t>
      </w:r>
      <w:r w:rsidR="003101F1" w:rsidRPr="00B55382">
        <w:rPr>
          <w:b/>
          <w:i/>
        </w:rPr>
        <w:t xml:space="preserve"> </w:t>
      </w:r>
      <w:r w:rsidR="00EB5F8F" w:rsidRPr="00B55382">
        <w:rPr>
          <w:b/>
          <w:i/>
        </w:rPr>
        <w:t>(H</w:t>
      </w:r>
      <w:r w:rsidR="00EB5F8F" w:rsidRPr="00B55382">
        <w:rPr>
          <w:b/>
          <w:i/>
          <w:vertAlign w:val="subscript"/>
        </w:rPr>
        <w:t>1</w:t>
      </w:r>
      <w:r w:rsidR="00EB5F8F" w:rsidRPr="00B55382">
        <w:rPr>
          <w:b/>
          <w:i/>
        </w:rPr>
        <w:t xml:space="preserve">) </w:t>
      </w:r>
      <w:r w:rsidR="003101F1" w:rsidRPr="00B55382">
        <w:rPr>
          <w:b/>
          <w:i/>
        </w:rPr>
        <w:t>turėtų būti atmesta</w:t>
      </w:r>
      <w:r w:rsidR="003101F1">
        <w:t>, kadangi di</w:t>
      </w:r>
      <w:r w:rsidR="00F72233">
        <w:t xml:space="preserve">desnė dalis </w:t>
      </w:r>
      <w:r w:rsidR="0077047F">
        <w:t xml:space="preserve">individų </w:t>
      </w:r>
      <w:r w:rsidR="002E677E">
        <w:t>demonstravo</w:t>
      </w:r>
      <w:r w:rsidR="00F72233">
        <w:t xml:space="preserve"> </w:t>
      </w:r>
      <w:r w:rsidR="00C21D8A">
        <w:t>geresnę finansinę elgseną. Mūsų</w:t>
      </w:r>
      <w:r w:rsidR="00C52D2B">
        <w:t xml:space="preserve"> supratimu</w:t>
      </w:r>
      <w:r w:rsidR="00C21D8A">
        <w:t xml:space="preserve">, tokiam </w:t>
      </w:r>
      <w:r w:rsidR="00C52D2B">
        <w:t>į</w:t>
      </w:r>
      <w:r w:rsidR="00C21D8A">
        <w:t xml:space="preserve">vertinimui įtakos </w:t>
      </w:r>
      <w:r w:rsidR="00D73CAD">
        <w:t>galėjo turėti</w:t>
      </w:r>
      <w:r w:rsidR="00C21D8A">
        <w:t xml:space="preserve"> ne tik </w:t>
      </w:r>
      <w:r w:rsidR="00B636EF">
        <w:t>tai, kad didel</w:t>
      </w:r>
      <w:r w:rsidR="0014609E">
        <w:t xml:space="preserve">ė dalis respondentų </w:t>
      </w:r>
      <w:r w:rsidR="00C21D8A">
        <w:t xml:space="preserve">buvo </w:t>
      </w:r>
      <w:r w:rsidR="00CB55A1">
        <w:t>išsilavi</w:t>
      </w:r>
      <w:r w:rsidR="003D4F75">
        <w:t>nusi</w:t>
      </w:r>
      <w:r w:rsidR="00591AE4">
        <w:t xml:space="preserve">, – </w:t>
      </w:r>
      <w:r w:rsidR="00CB55A1" w:rsidRPr="00591AE4">
        <w:rPr>
          <w:i/>
        </w:rPr>
        <w:t>kas galėjo skatinti teising</w:t>
      </w:r>
      <w:r w:rsidR="003D4F75" w:rsidRPr="00591AE4">
        <w:rPr>
          <w:i/>
        </w:rPr>
        <w:t>ą</w:t>
      </w:r>
      <w:r w:rsidR="00591AE4" w:rsidRPr="00591AE4">
        <w:rPr>
          <w:i/>
        </w:rPr>
        <w:t xml:space="preserve"> elgseną</w:t>
      </w:r>
      <w:r w:rsidR="00CB55A1">
        <w:t xml:space="preserve">, </w:t>
      </w:r>
      <w:r w:rsidR="00591AE4">
        <w:t xml:space="preserve">– </w:t>
      </w:r>
      <w:r w:rsidR="00CB55A1">
        <w:t xml:space="preserve">bet ir tai, jog </w:t>
      </w:r>
      <w:r w:rsidR="006B11F5">
        <w:t>kai kurie</w:t>
      </w:r>
      <w:r w:rsidR="0014609E">
        <w:t xml:space="preserve"> iš</w:t>
      </w:r>
      <w:r w:rsidR="006B11F5">
        <w:t xml:space="preserve"> jų tiesiog nejautė pareigos atskleisti tikrųjų motyvų</w:t>
      </w:r>
      <w:r w:rsidR="006B49F4">
        <w:t xml:space="preserve"> –</w:t>
      </w:r>
      <w:r w:rsidR="000815B0">
        <w:t xml:space="preserve"> bijodami pasekmių ar dėl kitų priežasčių</w:t>
      </w:r>
      <w:r w:rsidR="006B49F4">
        <w:t>.</w:t>
      </w:r>
    </w:p>
    <w:p w:rsidR="0098647D" w:rsidRDefault="006B49F4" w:rsidP="00732CF2">
      <w:r>
        <w:t>Vis dėlto, net ir esant priešingiems</w:t>
      </w:r>
      <w:r w:rsidR="00572071">
        <w:t xml:space="preserve"> </w:t>
      </w:r>
      <w:r w:rsidR="00E92B4C">
        <w:t>nei pageidaut</w:t>
      </w:r>
      <w:r w:rsidR="00245CFD">
        <w:t>ina</w:t>
      </w:r>
      <w:r w:rsidR="00E92B4C">
        <w:t xml:space="preserve"> </w:t>
      </w:r>
      <w:r w:rsidR="000815B0">
        <w:t>rezultatams, atsira</w:t>
      </w:r>
      <w:r w:rsidR="008830B5">
        <w:t xml:space="preserve">nda būtinybė panagrinėti, kas </w:t>
      </w:r>
      <w:r w:rsidR="000815B0">
        <w:t>lėmė</w:t>
      </w:r>
      <w:r w:rsidR="00C34CD3">
        <w:t xml:space="preserve"> tokią </w:t>
      </w:r>
      <w:r w:rsidR="00554879">
        <w:t xml:space="preserve">socialinių išmokų gavėjų finansinę </w:t>
      </w:r>
      <w:r w:rsidR="00C34CD3">
        <w:t>elgseną ir</w:t>
      </w:r>
      <w:r w:rsidR="00035742">
        <w:t xml:space="preserve"> kokie veiksniai </w:t>
      </w:r>
      <w:r w:rsidR="00554879">
        <w:t xml:space="preserve">jai </w:t>
      </w:r>
      <w:r w:rsidR="00035742">
        <w:t xml:space="preserve">suteikė neigiamo </w:t>
      </w:r>
      <w:r w:rsidR="007C276A">
        <w:t>„</w:t>
      </w:r>
      <w:r w:rsidR="00035742">
        <w:t>atspalvio</w:t>
      </w:r>
      <w:r w:rsidR="007C276A">
        <w:t>“</w:t>
      </w:r>
      <w:r w:rsidR="009A5B9E">
        <w:t>.</w:t>
      </w:r>
    </w:p>
    <w:p w:rsidR="009A5B9E" w:rsidRDefault="009A5B9E" w:rsidP="00732CF2">
      <w:r w:rsidRPr="00940930">
        <w:rPr>
          <w:b/>
          <w:i/>
          <w:u w:val="single"/>
        </w:rPr>
        <w:t>E</w:t>
      </w:r>
      <w:r w:rsidR="007A05E8">
        <w:rPr>
          <w:b/>
          <w:i/>
          <w:u w:val="single"/>
        </w:rPr>
        <w:t>lgsena e</w:t>
      </w:r>
      <w:r w:rsidRPr="00940930">
        <w:rPr>
          <w:b/>
          <w:i/>
          <w:u w:val="single"/>
        </w:rPr>
        <w:t>mocinių-psichologinių veiksni</w:t>
      </w:r>
      <w:r w:rsidR="00273269" w:rsidRPr="00940930">
        <w:rPr>
          <w:b/>
          <w:i/>
          <w:u w:val="single"/>
        </w:rPr>
        <w:t>ų</w:t>
      </w:r>
      <w:r w:rsidR="007A05E8">
        <w:rPr>
          <w:b/>
          <w:i/>
          <w:u w:val="single"/>
        </w:rPr>
        <w:t xml:space="preserve"> atžvilgiu</w:t>
      </w:r>
      <w:r>
        <w:t>.</w:t>
      </w:r>
      <w:r w:rsidR="003D4F75">
        <w:t xml:space="preserve"> </w:t>
      </w:r>
      <w:r w:rsidR="00AF2AFA" w:rsidRPr="003D76CD">
        <w:t>A</w:t>
      </w:r>
      <w:r w:rsidR="00455438" w:rsidRPr="003D76CD">
        <w:t>tlikt</w:t>
      </w:r>
      <w:r w:rsidR="00AF2AFA" w:rsidRPr="003D76CD">
        <w:t>i</w:t>
      </w:r>
      <w:r w:rsidR="00455438" w:rsidRPr="003D76CD">
        <w:t xml:space="preserve"> </w:t>
      </w:r>
      <w:r w:rsidR="00455438" w:rsidRPr="00F63179">
        <w:t>skaičiavim</w:t>
      </w:r>
      <w:r w:rsidR="00AF2AFA" w:rsidRPr="00F63179">
        <w:t>ai (žr. 4 priedą) leidžia</w:t>
      </w:r>
      <w:r w:rsidR="00AF2AFA" w:rsidRPr="003D76CD">
        <w:t xml:space="preserve"> teigti</w:t>
      </w:r>
      <w:r w:rsidR="00037412" w:rsidRPr="003D76CD">
        <w:t>,</w:t>
      </w:r>
      <w:r w:rsidR="00037412">
        <w:t xml:space="preserve"> </w:t>
      </w:r>
      <w:r w:rsidR="00AF2AFA">
        <w:t xml:space="preserve">jog </w:t>
      </w:r>
      <w:r w:rsidR="00037412">
        <w:t xml:space="preserve">emociniai-psichologiniai veiksniai </w:t>
      </w:r>
      <w:r w:rsidR="00B33A77">
        <w:t xml:space="preserve">nedarbo draudimo išmokų </w:t>
      </w:r>
      <w:r w:rsidR="002C29D1">
        <w:t>bei</w:t>
      </w:r>
      <w:r w:rsidR="001C48FE">
        <w:t xml:space="preserve"> socialinės paramos gavėjų </w:t>
      </w:r>
      <w:r w:rsidR="00B33A77">
        <w:t xml:space="preserve">finansinę </w:t>
      </w:r>
      <w:r w:rsidR="00037412">
        <w:t>elgsen</w:t>
      </w:r>
      <w:r w:rsidR="001C48FE">
        <w:t xml:space="preserve">ą veikė </w:t>
      </w:r>
      <w:r w:rsidR="00B22685">
        <w:t>teigiamai,</w:t>
      </w:r>
      <w:r w:rsidR="003D76CD">
        <w:t xml:space="preserve"> nes</w:t>
      </w:r>
      <w:r w:rsidR="00F0683E">
        <w:t xml:space="preserve"> svertinis balas (31,5 balo</w:t>
      </w:r>
      <w:r w:rsidR="001A72AF">
        <w:t>)</w:t>
      </w:r>
      <w:r w:rsidR="00EB349A">
        <w:t xml:space="preserve"> tapo</w:t>
      </w:r>
      <w:r w:rsidR="00BA36A1">
        <w:t xml:space="preserve"> geresnis nei „pusiausvyros taškas“ (29 balai).</w:t>
      </w:r>
      <w:r w:rsidR="00423C24">
        <w:t xml:space="preserve"> Žiūrint į atskirus šios </w:t>
      </w:r>
      <w:r w:rsidR="00E367D3">
        <w:t xml:space="preserve">grupės </w:t>
      </w:r>
      <w:r w:rsidR="00423C24">
        <w:t>veiksnių</w:t>
      </w:r>
      <w:r w:rsidR="00E367D3">
        <w:t xml:space="preserve"> svertinius balus</w:t>
      </w:r>
      <w:r w:rsidR="00423C24">
        <w:t>, tampa</w:t>
      </w:r>
      <w:r w:rsidR="00E367D3">
        <w:t xml:space="preserve"> aišku</w:t>
      </w:r>
      <w:r w:rsidR="00423C24">
        <w:t>, jog</w:t>
      </w:r>
      <w:r w:rsidR="00B70B6B">
        <w:t xml:space="preserve"> </w:t>
      </w:r>
      <w:r w:rsidR="00B70B6B" w:rsidRPr="001E183F">
        <w:rPr>
          <w:b/>
          <w:i/>
        </w:rPr>
        <w:t>geresnį rezultat</w:t>
      </w:r>
      <w:r w:rsidR="00000BA0" w:rsidRPr="001E183F">
        <w:rPr>
          <w:b/>
          <w:i/>
        </w:rPr>
        <w:t>ą</w:t>
      </w:r>
      <w:r w:rsidR="00000BA0">
        <w:t xml:space="preserve"> lėmė </w:t>
      </w:r>
      <w:r w:rsidR="00000BA0" w:rsidRPr="001E183F">
        <w:rPr>
          <w:i/>
        </w:rPr>
        <w:t xml:space="preserve">orumo </w:t>
      </w:r>
      <w:r w:rsidR="00F33AC5">
        <w:rPr>
          <w:i/>
        </w:rPr>
        <w:t>(a</w:t>
      </w:r>
      <w:r w:rsidR="00F33AC5">
        <w:rPr>
          <w:i/>
          <w:vertAlign w:val="subscript"/>
        </w:rPr>
        <w:t>5</w:t>
      </w:r>
      <w:r w:rsidR="00F33AC5">
        <w:rPr>
          <w:i/>
        </w:rPr>
        <w:t>)</w:t>
      </w:r>
      <w:r w:rsidR="00E367D3">
        <w:t xml:space="preserve"> </w:t>
      </w:r>
      <w:r w:rsidR="00457B56">
        <w:t xml:space="preserve">(K – 1,5; skirtumas – 0 </w:t>
      </w:r>
      <w:r w:rsidR="000E246C">
        <w:t>balų</w:t>
      </w:r>
      <w:r w:rsidR="00EE4A20">
        <w:t>)</w:t>
      </w:r>
      <w:r w:rsidR="009C2AF2">
        <w:t xml:space="preserve"> </w:t>
      </w:r>
      <w:r w:rsidR="000140AA" w:rsidRPr="001E183F">
        <w:rPr>
          <w:i/>
        </w:rPr>
        <w:t>perdėtos savikliovos</w:t>
      </w:r>
      <w:r w:rsidR="007E069C">
        <w:rPr>
          <w:i/>
        </w:rPr>
        <w:t xml:space="preserve"> (a</w:t>
      </w:r>
      <w:r w:rsidR="007E069C">
        <w:rPr>
          <w:i/>
          <w:vertAlign w:val="subscript"/>
        </w:rPr>
        <w:t>7</w:t>
      </w:r>
      <w:r w:rsidR="007E069C">
        <w:rPr>
          <w:i/>
        </w:rPr>
        <w:t>)</w:t>
      </w:r>
      <w:r w:rsidR="000140AA">
        <w:t xml:space="preserve"> </w:t>
      </w:r>
      <w:r w:rsidR="00F32D81">
        <w:t>(K – 1,5; skirtumas – 1,5</w:t>
      </w:r>
      <w:r w:rsidR="000E246C">
        <w:t xml:space="preserve"> balo</w:t>
      </w:r>
      <w:r w:rsidR="00F32D81">
        <w:t>)</w:t>
      </w:r>
      <w:r w:rsidR="00130FF0">
        <w:t xml:space="preserve"> ir </w:t>
      </w:r>
      <w:r w:rsidR="00130FF0" w:rsidRPr="00196DF3">
        <w:rPr>
          <w:i/>
        </w:rPr>
        <w:t xml:space="preserve">motyvacijos </w:t>
      </w:r>
      <w:r w:rsidR="00196DF3" w:rsidRPr="00196DF3">
        <w:rPr>
          <w:i/>
        </w:rPr>
        <w:t>(a</w:t>
      </w:r>
      <w:r w:rsidR="00196DF3" w:rsidRPr="00196DF3">
        <w:rPr>
          <w:i/>
          <w:vertAlign w:val="subscript"/>
        </w:rPr>
        <w:t>6</w:t>
      </w:r>
      <w:r w:rsidR="00196DF3" w:rsidRPr="00196DF3">
        <w:rPr>
          <w:i/>
        </w:rPr>
        <w:t>)</w:t>
      </w:r>
      <w:r w:rsidR="00196DF3">
        <w:t xml:space="preserve"> </w:t>
      </w:r>
      <w:r w:rsidR="00130FF0">
        <w:t xml:space="preserve">(K – 2,0; skirtumas – </w:t>
      </w:r>
      <w:r w:rsidR="00196DF3">
        <w:t>2 balai</w:t>
      </w:r>
      <w:r w:rsidR="00130FF0">
        <w:t>)</w:t>
      </w:r>
      <w:r w:rsidR="009C2AF2">
        <w:t xml:space="preserve"> į</w:t>
      </w:r>
      <w:r w:rsidR="00EE4A20">
        <w:t>vertinimai</w:t>
      </w:r>
      <w:r w:rsidR="00007552">
        <w:t>,</w:t>
      </w:r>
      <w:r w:rsidR="00647F0A">
        <w:t xml:space="preserve"> kas </w:t>
      </w:r>
      <w:r w:rsidR="00603B8E">
        <w:t xml:space="preserve">verčia </w:t>
      </w:r>
      <w:r w:rsidR="00152744">
        <w:t>manyti</w:t>
      </w:r>
      <w:r w:rsidR="00647F0A">
        <w:t>, jo</w:t>
      </w:r>
      <w:r w:rsidR="004C04D6">
        <w:t xml:space="preserve">g Lietuvos </w:t>
      </w:r>
      <w:r w:rsidR="009B7730">
        <w:t>žmonės</w:t>
      </w:r>
      <w:r w:rsidR="00F047A0">
        <w:t xml:space="preserve"> </w:t>
      </w:r>
      <w:r w:rsidR="00F46927">
        <w:t xml:space="preserve">yra </w:t>
      </w:r>
      <w:r w:rsidR="00D02F07">
        <w:t xml:space="preserve">linkę </w:t>
      </w:r>
      <w:r w:rsidR="00D83ADA">
        <w:t>įdėti pastangų</w:t>
      </w:r>
      <w:r w:rsidR="00FC4874">
        <w:t>, ieškodamiesi</w:t>
      </w:r>
      <w:r w:rsidR="00486FBC">
        <w:t xml:space="preserve"> darbo</w:t>
      </w:r>
      <w:r w:rsidR="007A32E2">
        <w:t xml:space="preserve"> vietos</w:t>
      </w:r>
      <w:r w:rsidR="00486FBC">
        <w:t>,</w:t>
      </w:r>
      <w:r w:rsidR="00D83ADA">
        <w:t xml:space="preserve"> ir </w:t>
      </w:r>
      <w:r w:rsidR="00D02F07">
        <w:t>darbą</w:t>
      </w:r>
      <w:r w:rsidR="00603B8E">
        <w:t xml:space="preserve"> (</w:t>
      </w:r>
      <w:r w:rsidR="00F46927" w:rsidRPr="00603B8E">
        <w:t>net ir už minimalų atlyg</w:t>
      </w:r>
      <w:r w:rsidR="00C74C49">
        <w:t>į</w:t>
      </w:r>
      <w:r w:rsidR="00603B8E">
        <w:t xml:space="preserve">) </w:t>
      </w:r>
      <w:r w:rsidR="00D83ADA">
        <w:t xml:space="preserve">vertinti labiau </w:t>
      </w:r>
      <w:r w:rsidR="00B176B1">
        <w:t>ne</w:t>
      </w:r>
      <w:r w:rsidR="00C60938">
        <w:t>gu</w:t>
      </w:r>
      <w:r w:rsidR="00726CCE">
        <w:t xml:space="preserve"> patį uždarbį. </w:t>
      </w:r>
      <w:r w:rsidR="00B176B1">
        <w:t>Apie tai byloja ir</w:t>
      </w:r>
      <w:r w:rsidR="00D02F07">
        <w:t xml:space="preserve"> </w:t>
      </w:r>
      <w:r w:rsidR="00D02F07" w:rsidRPr="00603B8E">
        <w:rPr>
          <w:i/>
        </w:rPr>
        <w:t>grupi</w:t>
      </w:r>
      <w:r w:rsidR="007A32E2">
        <w:rPr>
          <w:i/>
        </w:rPr>
        <w:t xml:space="preserve">nio mąstymo </w:t>
      </w:r>
      <w:r w:rsidR="007E069C" w:rsidRPr="007E069C">
        <w:rPr>
          <w:i/>
        </w:rPr>
        <w:t>(a</w:t>
      </w:r>
      <w:r w:rsidR="00D02F07">
        <w:rPr>
          <w:i/>
          <w:vertAlign w:val="subscript"/>
        </w:rPr>
        <w:t>8</w:t>
      </w:r>
      <w:r w:rsidR="007E069C" w:rsidRPr="007E069C">
        <w:rPr>
          <w:i/>
        </w:rPr>
        <w:t>)</w:t>
      </w:r>
      <w:r w:rsidR="007E069C">
        <w:t xml:space="preserve"> </w:t>
      </w:r>
      <w:r w:rsidR="00A26174">
        <w:t>(K – 1</w:t>
      </w:r>
      <w:r w:rsidR="00F047A0">
        <w:t>,0</w:t>
      </w:r>
      <w:r w:rsidR="004E3D67">
        <w:t>)</w:t>
      </w:r>
      <w:r w:rsidR="00726CCE">
        <w:t xml:space="preserve"> </w:t>
      </w:r>
      <w:r w:rsidR="009B7730">
        <w:t>svertinis balas</w:t>
      </w:r>
      <w:r w:rsidR="00726CCE">
        <w:t>, kuris</w:t>
      </w:r>
      <w:r w:rsidR="009B7730">
        <w:t xml:space="preserve"> </w:t>
      </w:r>
      <w:r w:rsidR="004E3D67">
        <w:t xml:space="preserve">nuo </w:t>
      </w:r>
      <w:r w:rsidR="00C74C49">
        <w:t xml:space="preserve">optimalios </w:t>
      </w:r>
      <w:r w:rsidR="00C60938">
        <w:t xml:space="preserve">reikšmės atsiliko </w:t>
      </w:r>
      <w:r w:rsidR="00726CCE">
        <w:t xml:space="preserve">2 </w:t>
      </w:r>
      <w:r w:rsidR="00F047A0">
        <w:t>balai</w:t>
      </w:r>
      <w:r w:rsidR="00C60938">
        <w:t>s.</w:t>
      </w:r>
    </w:p>
    <w:p w:rsidR="00E7171D" w:rsidRDefault="00E7171D" w:rsidP="00E7171D">
      <w:r>
        <w:t xml:space="preserve">Iš </w:t>
      </w:r>
      <w:r w:rsidRPr="000D5F61">
        <w:rPr>
          <w:b/>
          <w:i/>
        </w:rPr>
        <w:t>blogiausiai įvertintų veiksnių</w:t>
      </w:r>
      <w:r>
        <w:t xml:space="preserve"> reikėtų paminėti </w:t>
      </w:r>
      <w:r w:rsidRPr="000D5F61">
        <w:rPr>
          <w:i/>
        </w:rPr>
        <w:t>mentalines sąskaitas</w:t>
      </w:r>
      <w:r>
        <w:rPr>
          <w:i/>
        </w:rPr>
        <w:t xml:space="preserve"> (a</w:t>
      </w:r>
      <w:r>
        <w:rPr>
          <w:i/>
          <w:vertAlign w:val="subscript"/>
        </w:rPr>
        <w:t>1</w:t>
      </w:r>
      <w:r>
        <w:rPr>
          <w:i/>
        </w:rPr>
        <w:t>)</w:t>
      </w:r>
      <w:r>
        <w:t xml:space="preserve"> (K – 1,5; skirtumas – 6 balai), </w:t>
      </w:r>
      <w:r w:rsidRPr="000011F4">
        <w:rPr>
          <w:i/>
        </w:rPr>
        <w:t>„sovietinį“ mentalitetą</w:t>
      </w:r>
      <w:r>
        <w:rPr>
          <w:i/>
        </w:rPr>
        <w:t xml:space="preserve"> (a</w:t>
      </w:r>
      <w:r>
        <w:rPr>
          <w:i/>
          <w:vertAlign w:val="subscript"/>
        </w:rPr>
        <w:t>2</w:t>
      </w:r>
      <w:r>
        <w:rPr>
          <w:i/>
        </w:rPr>
        <w:t>)</w:t>
      </w:r>
      <w:r>
        <w:t xml:space="preserve"> (K</w:t>
      </w:r>
      <w:r w:rsidR="008A7BBF">
        <w:t xml:space="preserve"> – 1,5; skirtumas – 4,5 balo),</w:t>
      </w:r>
      <w:r>
        <w:t xml:space="preserve"> </w:t>
      </w:r>
      <w:r w:rsidRPr="00F603EA">
        <w:rPr>
          <w:i/>
        </w:rPr>
        <w:t>amoral</w:t>
      </w:r>
      <w:r>
        <w:rPr>
          <w:i/>
        </w:rPr>
        <w:t>ų</w:t>
      </w:r>
      <w:r w:rsidRPr="00F603EA">
        <w:rPr>
          <w:i/>
        </w:rPr>
        <w:t xml:space="preserve"> šeimyniškum</w:t>
      </w:r>
      <w:r>
        <w:rPr>
          <w:i/>
        </w:rPr>
        <w:t>ą</w:t>
      </w:r>
      <w:r w:rsidRPr="00F603EA">
        <w:rPr>
          <w:i/>
        </w:rPr>
        <w:t xml:space="preserve"> </w:t>
      </w:r>
      <w:r>
        <w:rPr>
          <w:i/>
        </w:rPr>
        <w:t>(a</w:t>
      </w:r>
      <w:r>
        <w:rPr>
          <w:i/>
          <w:vertAlign w:val="subscript"/>
        </w:rPr>
        <w:t>3</w:t>
      </w:r>
      <w:r>
        <w:rPr>
          <w:i/>
        </w:rPr>
        <w:t>)</w:t>
      </w:r>
      <w:r>
        <w:t xml:space="preserve"> (K – 1,5; skirtumas – 4,5 balo), kurie</w:t>
      </w:r>
      <w:r w:rsidR="009A5580">
        <w:t xml:space="preserve"> parodė</w:t>
      </w:r>
      <w:r>
        <w:t>, jog Lietuvos žmonės nejaučia</w:t>
      </w:r>
      <w:r w:rsidR="00C462ED">
        <w:t xml:space="preserve"> asmeninės</w:t>
      </w:r>
      <w:r>
        <w:t xml:space="preserve"> atsakomybės už finansinius sprendimus, kadangi yra linkę manyti, jog socialine gerove pirmiausia turi rūpintis valstybė, o ne jie patys. Taip pat tai reiškia, jog socialinės apsaugos lėšos žmonių yra suvokiamos ne kaip laikinas įplaukų šaltinis, reikalingas naujam gyvenimo etapui pradėti, o kaip </w:t>
      </w:r>
      <w:r w:rsidRPr="00C462ED">
        <w:rPr>
          <w:i/>
        </w:rPr>
        <w:t>papildoma</w:t>
      </w:r>
      <w:r w:rsidR="009A5580">
        <w:t xml:space="preserve"> (</w:t>
      </w:r>
      <w:r w:rsidR="009A5580">
        <w:rPr>
          <w:lang w:val="en-US"/>
        </w:rPr>
        <w:t>!</w:t>
      </w:r>
      <w:r w:rsidR="009A5580">
        <w:t>)</w:t>
      </w:r>
      <w:r>
        <w:t>, šeimos poreikių užtikrinimo, priemonė.</w:t>
      </w:r>
    </w:p>
    <w:p w:rsidR="00273269" w:rsidRDefault="00066E60" w:rsidP="00AB29CE">
      <w:pPr>
        <w:spacing w:after="0" w:line="240" w:lineRule="auto"/>
        <w:ind w:firstLine="0"/>
      </w:pPr>
      <w:r w:rsidRPr="00066E60">
        <w:rPr>
          <w:noProof/>
          <w:lang w:val="en-US"/>
        </w:rPr>
        <w:drawing>
          <wp:inline distT="0" distB="0" distL="0" distR="0">
            <wp:extent cx="6496050" cy="2143125"/>
            <wp:effectExtent l="0" t="19050" r="76200" b="4762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F34A5" w:rsidRPr="00DF34A5" w:rsidRDefault="00DF34A5" w:rsidP="00DF34A5">
      <w:pPr>
        <w:spacing w:after="0" w:line="240" w:lineRule="auto"/>
        <w:rPr>
          <w:sz w:val="20"/>
        </w:rPr>
      </w:pPr>
      <w:r w:rsidRPr="00DF34A5">
        <w:rPr>
          <w:b/>
          <w:sz w:val="20"/>
        </w:rPr>
        <w:t>Šaltinis</w:t>
      </w:r>
      <w:r w:rsidRPr="00DF34A5">
        <w:rPr>
          <w:sz w:val="20"/>
        </w:rPr>
        <w:t>: sudaryta šio darbo autorės, remiantis apklausos rezultatais</w:t>
      </w:r>
    </w:p>
    <w:bookmarkStart w:id="33" w:name="_Toc343590407"/>
    <w:p w:rsidR="00E7171D" w:rsidRDefault="00D84BC4" w:rsidP="00886347">
      <w:pPr>
        <w:pStyle w:val="Caption"/>
      </w:pPr>
      <w:r w:rsidRPr="00343BBA">
        <w:rPr>
          <w:b w:val="0"/>
        </w:rPr>
        <w:fldChar w:fldCharType="begin"/>
      </w:r>
      <w:r w:rsidR="00F63179" w:rsidRPr="00343BBA">
        <w:rPr>
          <w:b w:val="0"/>
        </w:rPr>
        <w:instrText xml:space="preserve"> SEQ pav. \* ARABIC </w:instrText>
      </w:r>
      <w:r w:rsidRPr="00343BBA">
        <w:rPr>
          <w:b w:val="0"/>
        </w:rPr>
        <w:fldChar w:fldCharType="separate"/>
      </w:r>
      <w:r w:rsidR="00F63179" w:rsidRPr="00343BBA">
        <w:rPr>
          <w:b w:val="0"/>
        </w:rPr>
        <w:t>10</w:t>
      </w:r>
      <w:r w:rsidRPr="00343BBA">
        <w:rPr>
          <w:b w:val="0"/>
        </w:rPr>
        <w:fldChar w:fldCharType="end"/>
      </w:r>
      <w:r w:rsidR="00F63179" w:rsidRPr="00343BBA">
        <w:rPr>
          <w:b w:val="0"/>
        </w:rPr>
        <w:t xml:space="preserve"> </w:t>
      </w:r>
      <w:r w:rsidR="00AB29CE" w:rsidRPr="00343BBA">
        <w:rPr>
          <w:b w:val="0"/>
        </w:rPr>
        <w:t>pav.</w:t>
      </w:r>
      <w:r w:rsidR="00AB29CE" w:rsidRPr="0067457D">
        <w:rPr>
          <w:color w:val="FF0000"/>
        </w:rPr>
        <w:t xml:space="preserve"> </w:t>
      </w:r>
      <w:r w:rsidR="0067457D">
        <w:t xml:space="preserve">Apklausos rezultatai: elgsena </w:t>
      </w:r>
      <w:r w:rsidR="0067457D" w:rsidRPr="00AC6900">
        <w:rPr>
          <w:i/>
        </w:rPr>
        <w:t>emocinių-psichologinių</w:t>
      </w:r>
      <w:r w:rsidR="0067457D">
        <w:t xml:space="preserve"> veiksnių atžvilgiu</w:t>
      </w:r>
      <w:bookmarkEnd w:id="33"/>
    </w:p>
    <w:p w:rsidR="00E7171D" w:rsidRDefault="00E7171D" w:rsidP="00E7171D">
      <w:r>
        <w:lastRenderedPageBreak/>
        <w:t>Siekiant geriau suvokti tokį, t. y. neigiamą, požiūrį į socialinės apsaugos sistemą, reikėtų pasižiūrėti, kaip apklausos dalyvių atsakymai pasiskirstė, priklausomai nuo buvimo socialinių išmokų gavėjais laiko – veiksnio, kuris atspindi žmogaus pastangas pakeisti savo socialinį statusą, arba priešingai, – jį išlaikyti.</w:t>
      </w:r>
    </w:p>
    <w:bookmarkStart w:id="34" w:name="_Toc343638401"/>
    <w:p w:rsidR="003D6BA6" w:rsidRDefault="00D84BC4" w:rsidP="00886347">
      <w:pPr>
        <w:pStyle w:val="Caption"/>
      </w:pPr>
      <w:r w:rsidRPr="00F63179">
        <w:fldChar w:fldCharType="begin"/>
      </w:r>
      <w:r w:rsidR="00F63179" w:rsidRPr="00F63179">
        <w:instrText xml:space="preserve"> SEQ lentelė \* ARABIC </w:instrText>
      </w:r>
      <w:r w:rsidRPr="00F63179">
        <w:fldChar w:fldCharType="separate"/>
      </w:r>
      <w:r w:rsidR="00F63179" w:rsidRPr="00F63179">
        <w:t>6</w:t>
      </w:r>
      <w:r w:rsidRPr="00F63179">
        <w:fldChar w:fldCharType="end"/>
      </w:r>
      <w:r w:rsidR="00F63179" w:rsidRPr="00F63179">
        <w:t xml:space="preserve"> </w:t>
      </w:r>
      <w:r w:rsidR="002338BB" w:rsidRPr="00F63179">
        <w:t>lentelė</w:t>
      </w:r>
      <w:r w:rsidR="00F63179" w:rsidRPr="00F63179">
        <w:t>.</w:t>
      </w:r>
      <w:r w:rsidR="002338BB" w:rsidRPr="002338BB">
        <w:rPr>
          <w:color w:val="FF0000"/>
        </w:rPr>
        <w:t xml:space="preserve"> </w:t>
      </w:r>
      <w:r w:rsidR="00BB2F9F">
        <w:t>Mentalinių sąskaitų</w:t>
      </w:r>
      <w:r w:rsidR="002338BB">
        <w:t xml:space="preserve"> įtaka</w:t>
      </w:r>
      <w:r w:rsidR="00BB2F9F">
        <w:t>, priklausomai nuo</w:t>
      </w:r>
      <w:r w:rsidR="000118C0">
        <w:t xml:space="preserve"> buvimo socialinių išmokų gavėju</w:t>
      </w:r>
      <w:r w:rsidR="00BB2F9F">
        <w:t xml:space="preserve"> laiko</w:t>
      </w:r>
      <w:bookmarkEnd w:id="34"/>
    </w:p>
    <w:tbl>
      <w:tblPr>
        <w:tblW w:w="10260" w:type="dxa"/>
        <w:tblInd w:w="30" w:type="dxa"/>
        <w:tblBorders>
          <w:top w:val="single" w:sz="12" w:space="0" w:color="000000"/>
          <w:left w:val="single" w:sz="12" w:space="0" w:color="000000"/>
          <w:bottom w:val="single" w:sz="12" w:space="0" w:color="000000"/>
          <w:right w:val="single" w:sz="12" w:space="0" w:color="000000"/>
          <w:insideH w:val="single" w:sz="2" w:space="0" w:color="000000"/>
          <w:insideV w:val="single" w:sz="12" w:space="0" w:color="000000"/>
        </w:tblBorders>
        <w:shd w:val="clear" w:color="auto" w:fill="D9D9D9" w:themeFill="background1" w:themeFillShade="D9"/>
        <w:tblLayout w:type="fixed"/>
        <w:tblCellMar>
          <w:left w:w="30" w:type="dxa"/>
          <w:right w:w="30" w:type="dxa"/>
        </w:tblCellMar>
        <w:tblLook w:val="0000"/>
      </w:tblPr>
      <w:tblGrid>
        <w:gridCol w:w="2430"/>
        <w:gridCol w:w="1350"/>
        <w:gridCol w:w="1350"/>
        <w:gridCol w:w="1350"/>
        <w:gridCol w:w="1350"/>
        <w:gridCol w:w="1350"/>
        <w:gridCol w:w="1080"/>
      </w:tblGrid>
      <w:tr w:rsidR="00C93110" w:rsidRPr="00166980" w:rsidTr="00D221A4">
        <w:trPr>
          <w:cantSplit/>
          <w:tblHeader/>
        </w:trPr>
        <w:tc>
          <w:tcPr>
            <w:tcW w:w="2430" w:type="dxa"/>
            <w:vMerge w:val="restart"/>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center"/>
          </w:tcPr>
          <w:p w:rsidR="00C93110" w:rsidRPr="00166980" w:rsidRDefault="00C93110" w:rsidP="00C93110">
            <w:pPr>
              <w:widowControl/>
              <w:autoSpaceDE w:val="0"/>
              <w:autoSpaceDN w:val="0"/>
              <w:adjustRightInd w:val="0"/>
              <w:spacing w:after="0" w:line="240" w:lineRule="auto"/>
              <w:ind w:firstLine="0"/>
              <w:contextualSpacing w:val="0"/>
              <w:jc w:val="center"/>
              <w:rPr>
                <w:b/>
                <w:i/>
                <w:sz w:val="17"/>
                <w:szCs w:val="17"/>
              </w:rPr>
            </w:pPr>
            <w:r w:rsidRPr="00166980">
              <w:rPr>
                <w:b/>
                <w:i/>
                <w:sz w:val="17"/>
                <w:szCs w:val="17"/>
              </w:rPr>
              <w:t>Mentalinės sąskaitos</w:t>
            </w:r>
          </w:p>
        </w:tc>
        <w:tc>
          <w:tcPr>
            <w:tcW w:w="6750" w:type="dxa"/>
            <w:gridSpan w:val="5"/>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bottom"/>
          </w:tcPr>
          <w:p w:rsidR="00C93110" w:rsidRPr="00166980" w:rsidRDefault="00C93110" w:rsidP="004E5795">
            <w:pPr>
              <w:widowControl/>
              <w:autoSpaceDE w:val="0"/>
              <w:autoSpaceDN w:val="0"/>
              <w:adjustRightInd w:val="0"/>
              <w:spacing w:after="0" w:line="240" w:lineRule="auto"/>
              <w:ind w:firstLine="0"/>
              <w:contextualSpacing w:val="0"/>
              <w:jc w:val="center"/>
              <w:rPr>
                <w:b/>
                <w:color w:val="000000"/>
                <w:sz w:val="17"/>
                <w:szCs w:val="17"/>
              </w:rPr>
            </w:pPr>
            <w:r w:rsidRPr="00166980">
              <w:rPr>
                <w:b/>
                <w:color w:val="000000"/>
                <w:sz w:val="17"/>
                <w:szCs w:val="17"/>
              </w:rPr>
              <w:t>Laikas, kurį ieškomasi darbo</w:t>
            </w:r>
            <w:r w:rsidR="00AA3E23" w:rsidRPr="00166980">
              <w:rPr>
                <w:b/>
                <w:color w:val="000000"/>
                <w:sz w:val="17"/>
                <w:szCs w:val="17"/>
              </w:rPr>
              <w:t> / pajamų šaltinio</w:t>
            </w:r>
          </w:p>
        </w:tc>
        <w:tc>
          <w:tcPr>
            <w:tcW w:w="1080" w:type="dxa"/>
            <w:vMerge w:val="restart"/>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bottom"/>
          </w:tcPr>
          <w:p w:rsidR="00C93110" w:rsidRPr="00166980" w:rsidRDefault="00C93110" w:rsidP="00F741DD">
            <w:pPr>
              <w:widowControl/>
              <w:autoSpaceDE w:val="0"/>
              <w:autoSpaceDN w:val="0"/>
              <w:adjustRightInd w:val="0"/>
              <w:spacing w:after="0" w:line="240" w:lineRule="auto"/>
              <w:ind w:firstLine="0"/>
              <w:contextualSpacing w:val="0"/>
              <w:jc w:val="center"/>
              <w:rPr>
                <w:b/>
                <w:i/>
                <w:color w:val="000000"/>
                <w:sz w:val="17"/>
                <w:szCs w:val="17"/>
              </w:rPr>
            </w:pPr>
            <w:r w:rsidRPr="00166980">
              <w:rPr>
                <w:b/>
                <w:i/>
                <w:color w:val="000000"/>
                <w:sz w:val="17"/>
                <w:szCs w:val="17"/>
              </w:rPr>
              <w:t>Iš viso:</w:t>
            </w:r>
          </w:p>
        </w:tc>
      </w:tr>
      <w:tr w:rsidR="00C93110" w:rsidRPr="00F741DD" w:rsidTr="00237115">
        <w:trPr>
          <w:cantSplit/>
          <w:trHeight w:val="102"/>
          <w:tblHeader/>
        </w:trPr>
        <w:tc>
          <w:tcPr>
            <w:tcW w:w="2430" w:type="dxa"/>
            <w:vMerge/>
            <w:tcBorders>
              <w:top w:val="single" w:sz="2" w:space="0" w:color="000000"/>
              <w:bottom w:val="single" w:sz="12" w:space="0" w:color="000000"/>
            </w:tcBorders>
            <w:shd w:val="clear" w:color="auto" w:fill="D9D9D9" w:themeFill="background1" w:themeFillShade="D9"/>
            <w:tcMar>
              <w:top w:w="30" w:type="dxa"/>
              <w:left w:w="30" w:type="dxa"/>
              <w:bottom w:w="30" w:type="dxa"/>
              <w:right w:w="30" w:type="dxa"/>
            </w:tcMar>
          </w:tcPr>
          <w:p w:rsidR="00C93110" w:rsidRPr="00F741DD" w:rsidRDefault="00C93110" w:rsidP="00F741DD">
            <w:pPr>
              <w:widowControl/>
              <w:autoSpaceDE w:val="0"/>
              <w:autoSpaceDN w:val="0"/>
              <w:adjustRightInd w:val="0"/>
              <w:spacing w:after="0" w:line="240" w:lineRule="auto"/>
              <w:ind w:firstLine="0"/>
              <w:contextualSpacing w:val="0"/>
              <w:jc w:val="left"/>
              <w:rPr>
                <w:sz w:val="18"/>
                <w:szCs w:val="18"/>
              </w:rPr>
            </w:pPr>
          </w:p>
        </w:tc>
        <w:tc>
          <w:tcPr>
            <w:tcW w:w="135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bottom"/>
          </w:tcPr>
          <w:p w:rsidR="00C93110" w:rsidRPr="00166980" w:rsidRDefault="0088032C" w:rsidP="00F741DD">
            <w:pPr>
              <w:widowControl/>
              <w:autoSpaceDE w:val="0"/>
              <w:autoSpaceDN w:val="0"/>
              <w:adjustRightInd w:val="0"/>
              <w:spacing w:after="0" w:line="240" w:lineRule="auto"/>
              <w:ind w:firstLine="0"/>
              <w:contextualSpacing w:val="0"/>
              <w:jc w:val="center"/>
              <w:rPr>
                <w:b/>
                <w:i/>
                <w:color w:val="000000"/>
                <w:sz w:val="17"/>
                <w:szCs w:val="17"/>
              </w:rPr>
            </w:pPr>
            <w:r w:rsidRPr="00166980">
              <w:rPr>
                <w:b/>
                <w:i/>
                <w:color w:val="000000"/>
                <w:sz w:val="17"/>
                <w:szCs w:val="17"/>
              </w:rPr>
              <w:t>&gt; </w:t>
            </w:r>
            <w:r w:rsidR="00274F22" w:rsidRPr="00166980">
              <w:rPr>
                <w:b/>
                <w:i/>
                <w:color w:val="000000"/>
                <w:sz w:val="17"/>
                <w:szCs w:val="17"/>
              </w:rPr>
              <w:t>1 mėn.</w:t>
            </w:r>
          </w:p>
        </w:tc>
        <w:tc>
          <w:tcPr>
            <w:tcW w:w="135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bottom"/>
          </w:tcPr>
          <w:p w:rsidR="00C93110" w:rsidRPr="00166980" w:rsidRDefault="0088032C" w:rsidP="00F741DD">
            <w:pPr>
              <w:widowControl/>
              <w:autoSpaceDE w:val="0"/>
              <w:autoSpaceDN w:val="0"/>
              <w:adjustRightInd w:val="0"/>
              <w:spacing w:after="0" w:line="240" w:lineRule="auto"/>
              <w:ind w:firstLine="0"/>
              <w:contextualSpacing w:val="0"/>
              <w:jc w:val="center"/>
              <w:rPr>
                <w:b/>
                <w:i/>
                <w:color w:val="000000"/>
                <w:sz w:val="17"/>
                <w:szCs w:val="17"/>
              </w:rPr>
            </w:pPr>
            <w:r w:rsidRPr="00166980">
              <w:rPr>
                <w:b/>
                <w:i/>
                <w:color w:val="000000"/>
                <w:sz w:val="17"/>
                <w:szCs w:val="17"/>
              </w:rPr>
              <w:t>1-3 mėn.</w:t>
            </w:r>
          </w:p>
        </w:tc>
        <w:tc>
          <w:tcPr>
            <w:tcW w:w="135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bottom"/>
          </w:tcPr>
          <w:p w:rsidR="00C93110" w:rsidRPr="00166980" w:rsidRDefault="00274F22" w:rsidP="00F741DD">
            <w:pPr>
              <w:widowControl/>
              <w:autoSpaceDE w:val="0"/>
              <w:autoSpaceDN w:val="0"/>
              <w:adjustRightInd w:val="0"/>
              <w:spacing w:after="0" w:line="240" w:lineRule="auto"/>
              <w:ind w:firstLine="0"/>
              <w:contextualSpacing w:val="0"/>
              <w:jc w:val="center"/>
              <w:rPr>
                <w:b/>
                <w:i/>
                <w:color w:val="000000"/>
                <w:sz w:val="17"/>
                <w:szCs w:val="17"/>
              </w:rPr>
            </w:pPr>
            <w:r w:rsidRPr="00166980">
              <w:rPr>
                <w:b/>
                <w:i/>
                <w:color w:val="000000"/>
                <w:sz w:val="17"/>
                <w:szCs w:val="17"/>
              </w:rPr>
              <w:t>3-6 mėn.</w:t>
            </w:r>
          </w:p>
        </w:tc>
        <w:tc>
          <w:tcPr>
            <w:tcW w:w="135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bottom"/>
          </w:tcPr>
          <w:p w:rsidR="00C93110" w:rsidRPr="00166980" w:rsidRDefault="00C93110" w:rsidP="00274F22">
            <w:pPr>
              <w:widowControl/>
              <w:autoSpaceDE w:val="0"/>
              <w:autoSpaceDN w:val="0"/>
              <w:adjustRightInd w:val="0"/>
              <w:spacing w:after="0" w:line="240" w:lineRule="auto"/>
              <w:ind w:firstLine="0"/>
              <w:contextualSpacing w:val="0"/>
              <w:jc w:val="center"/>
              <w:rPr>
                <w:b/>
                <w:i/>
                <w:color w:val="000000"/>
                <w:sz w:val="17"/>
                <w:szCs w:val="17"/>
              </w:rPr>
            </w:pPr>
            <w:r w:rsidRPr="00166980">
              <w:rPr>
                <w:b/>
                <w:i/>
                <w:color w:val="000000"/>
                <w:sz w:val="17"/>
                <w:szCs w:val="17"/>
              </w:rPr>
              <w:t>6</w:t>
            </w:r>
            <w:r w:rsidR="00274F22" w:rsidRPr="00166980">
              <w:rPr>
                <w:b/>
                <w:i/>
                <w:color w:val="000000"/>
                <w:sz w:val="17"/>
                <w:szCs w:val="17"/>
              </w:rPr>
              <w:t>-12 mėn.</w:t>
            </w:r>
          </w:p>
        </w:tc>
        <w:tc>
          <w:tcPr>
            <w:tcW w:w="135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bottom"/>
          </w:tcPr>
          <w:p w:rsidR="00C93110" w:rsidRPr="00166980" w:rsidRDefault="00274F22" w:rsidP="00F741DD">
            <w:pPr>
              <w:widowControl/>
              <w:autoSpaceDE w:val="0"/>
              <w:autoSpaceDN w:val="0"/>
              <w:adjustRightInd w:val="0"/>
              <w:spacing w:after="0" w:line="240" w:lineRule="auto"/>
              <w:ind w:firstLine="0"/>
              <w:contextualSpacing w:val="0"/>
              <w:jc w:val="center"/>
              <w:rPr>
                <w:b/>
                <w:i/>
                <w:color w:val="000000"/>
                <w:sz w:val="17"/>
                <w:szCs w:val="17"/>
              </w:rPr>
            </w:pPr>
            <w:r w:rsidRPr="00166980">
              <w:rPr>
                <w:b/>
                <w:i/>
                <w:color w:val="000000"/>
                <w:sz w:val="17"/>
                <w:szCs w:val="17"/>
              </w:rPr>
              <w:t>&gt; 12 mėn.</w:t>
            </w:r>
          </w:p>
        </w:tc>
        <w:tc>
          <w:tcPr>
            <w:tcW w:w="1080" w:type="dxa"/>
            <w:vMerge/>
            <w:tcBorders>
              <w:top w:val="single" w:sz="2" w:space="0" w:color="000000"/>
              <w:bottom w:val="single" w:sz="12" w:space="0" w:color="000000"/>
            </w:tcBorders>
            <w:shd w:val="clear" w:color="auto" w:fill="D9D9D9" w:themeFill="background1" w:themeFillShade="D9"/>
            <w:tcMar>
              <w:top w:w="30" w:type="dxa"/>
              <w:left w:w="30" w:type="dxa"/>
              <w:bottom w:w="30" w:type="dxa"/>
              <w:right w:w="30" w:type="dxa"/>
            </w:tcMar>
            <w:vAlign w:val="bottom"/>
          </w:tcPr>
          <w:p w:rsidR="00C93110" w:rsidRPr="003C2651" w:rsidRDefault="00C93110" w:rsidP="00F741DD">
            <w:pPr>
              <w:widowControl/>
              <w:autoSpaceDE w:val="0"/>
              <w:autoSpaceDN w:val="0"/>
              <w:adjustRightInd w:val="0"/>
              <w:spacing w:after="0" w:line="240" w:lineRule="auto"/>
              <w:ind w:firstLine="0"/>
              <w:contextualSpacing w:val="0"/>
              <w:jc w:val="left"/>
              <w:rPr>
                <w:b/>
                <w:color w:val="000000"/>
                <w:sz w:val="18"/>
                <w:szCs w:val="18"/>
              </w:rPr>
            </w:pPr>
          </w:p>
        </w:tc>
      </w:tr>
      <w:tr w:rsidR="00B15920" w:rsidRPr="00166980" w:rsidTr="00237115">
        <w:trPr>
          <w:cantSplit/>
          <w:trHeight w:val="84"/>
          <w:tblHeader/>
        </w:trPr>
        <w:tc>
          <w:tcPr>
            <w:tcW w:w="2430" w:type="dxa"/>
            <w:tcBorders>
              <w:top w:val="single" w:sz="12" w:space="0" w:color="000000"/>
            </w:tcBorders>
            <w:shd w:val="clear" w:color="auto" w:fill="D9D9D9" w:themeFill="background1" w:themeFillShade="D9"/>
            <w:tcMar>
              <w:top w:w="30" w:type="dxa"/>
              <w:left w:w="30" w:type="dxa"/>
              <w:bottom w:w="30" w:type="dxa"/>
              <w:right w:w="30" w:type="dxa"/>
            </w:tcMar>
            <w:vAlign w:val="center"/>
          </w:tcPr>
          <w:p w:rsidR="00B15920" w:rsidRPr="00166980" w:rsidRDefault="00B15920" w:rsidP="006F09E2">
            <w:pPr>
              <w:widowControl/>
              <w:autoSpaceDE w:val="0"/>
              <w:autoSpaceDN w:val="0"/>
              <w:adjustRightInd w:val="0"/>
              <w:spacing w:after="0" w:line="240" w:lineRule="auto"/>
              <w:ind w:firstLine="0"/>
              <w:contextualSpacing w:val="0"/>
              <w:jc w:val="left"/>
              <w:rPr>
                <w:b/>
                <w:i/>
                <w:color w:val="000000"/>
                <w:sz w:val="18"/>
                <w:szCs w:val="18"/>
              </w:rPr>
            </w:pPr>
            <w:r w:rsidRPr="00166980">
              <w:rPr>
                <w:b/>
                <w:i/>
                <w:color w:val="000000"/>
                <w:sz w:val="18"/>
                <w:szCs w:val="18"/>
              </w:rPr>
              <w:t>1</w:t>
            </w:r>
            <w:r w:rsidR="00AB316E">
              <w:rPr>
                <w:b/>
                <w:i/>
                <w:color w:val="000000"/>
                <w:sz w:val="18"/>
                <w:szCs w:val="18"/>
              </w:rPr>
              <w:t xml:space="preserve"> – labai didelė įtaka</w:t>
            </w:r>
          </w:p>
        </w:tc>
        <w:tc>
          <w:tcPr>
            <w:tcW w:w="1350" w:type="dxa"/>
            <w:tcBorders>
              <w:top w:val="single" w:sz="12" w:space="0" w:color="000000"/>
              <w:bottom w:val="single" w:sz="2" w:space="0" w:color="000000"/>
            </w:tcBorders>
            <w:shd w:val="clear" w:color="auto" w:fill="auto"/>
            <w:tcMar>
              <w:top w:w="30" w:type="dxa"/>
              <w:left w:w="30" w:type="dxa"/>
              <w:bottom w:w="30" w:type="dxa"/>
              <w:right w:w="30" w:type="dxa"/>
            </w:tcMar>
            <w:vAlign w:val="center"/>
          </w:tcPr>
          <w:p w:rsidR="00B15920" w:rsidRPr="00AB316E" w:rsidRDefault="00B15920" w:rsidP="00BD6CA6">
            <w:pPr>
              <w:widowControl/>
              <w:autoSpaceDE w:val="0"/>
              <w:autoSpaceDN w:val="0"/>
              <w:adjustRightInd w:val="0"/>
              <w:spacing w:after="0" w:line="240" w:lineRule="auto"/>
              <w:ind w:firstLine="0"/>
              <w:contextualSpacing w:val="0"/>
              <w:jc w:val="center"/>
              <w:rPr>
                <w:color w:val="000000"/>
                <w:sz w:val="18"/>
                <w:szCs w:val="18"/>
              </w:rPr>
            </w:pPr>
            <w:r w:rsidRPr="00AB316E">
              <w:rPr>
                <w:color w:val="000000"/>
                <w:sz w:val="18"/>
                <w:szCs w:val="18"/>
              </w:rPr>
              <w:t>9</w:t>
            </w:r>
            <w:r w:rsidR="009B1A03" w:rsidRPr="00AB316E">
              <w:rPr>
                <w:color w:val="000000"/>
                <w:sz w:val="18"/>
                <w:szCs w:val="18"/>
              </w:rPr>
              <w:t xml:space="preserve"> </w:t>
            </w:r>
            <w:r w:rsidR="003C2651" w:rsidRPr="00AB316E">
              <w:rPr>
                <w:color w:val="000000"/>
                <w:sz w:val="18"/>
                <w:szCs w:val="18"/>
              </w:rPr>
              <w:t>(</w:t>
            </w:r>
            <w:r w:rsidRPr="00AB316E">
              <w:rPr>
                <w:color w:val="000000"/>
                <w:sz w:val="18"/>
                <w:szCs w:val="18"/>
              </w:rPr>
              <w:t>16,7</w:t>
            </w:r>
            <w:r w:rsidR="003C2651" w:rsidRPr="00AB316E">
              <w:rPr>
                <w:color w:val="000000"/>
                <w:sz w:val="18"/>
                <w:szCs w:val="18"/>
              </w:rPr>
              <w:t xml:space="preserve"> </w:t>
            </w:r>
            <w:r w:rsidRPr="00AB316E">
              <w:rPr>
                <w:color w:val="000000"/>
                <w:sz w:val="18"/>
                <w:szCs w:val="18"/>
              </w:rPr>
              <w:t>%</w:t>
            </w:r>
            <w:r w:rsidR="003C2651" w:rsidRPr="00AB316E">
              <w:rPr>
                <w:color w:val="000000"/>
                <w:sz w:val="18"/>
                <w:szCs w:val="18"/>
              </w:rPr>
              <w:t>)</w:t>
            </w:r>
          </w:p>
        </w:tc>
        <w:tc>
          <w:tcPr>
            <w:tcW w:w="1350" w:type="dxa"/>
            <w:tcBorders>
              <w:top w:val="single" w:sz="12" w:space="0" w:color="000000"/>
              <w:bottom w:val="single" w:sz="2" w:space="0" w:color="000000"/>
            </w:tcBorders>
            <w:shd w:val="clear" w:color="auto" w:fill="auto"/>
            <w:tcMar>
              <w:top w:w="30" w:type="dxa"/>
              <w:left w:w="30" w:type="dxa"/>
              <w:bottom w:w="30" w:type="dxa"/>
              <w:right w:w="30" w:type="dxa"/>
            </w:tcMar>
            <w:vAlign w:val="center"/>
          </w:tcPr>
          <w:p w:rsidR="00B15920" w:rsidRPr="00AB316E" w:rsidRDefault="004076C8" w:rsidP="00BD6CA6">
            <w:pPr>
              <w:widowControl/>
              <w:autoSpaceDE w:val="0"/>
              <w:autoSpaceDN w:val="0"/>
              <w:adjustRightInd w:val="0"/>
              <w:spacing w:after="0" w:line="240" w:lineRule="auto"/>
              <w:ind w:firstLine="0"/>
              <w:contextualSpacing w:val="0"/>
              <w:jc w:val="center"/>
              <w:rPr>
                <w:color w:val="000000"/>
                <w:sz w:val="18"/>
                <w:szCs w:val="18"/>
              </w:rPr>
            </w:pPr>
            <w:r>
              <w:rPr>
                <w:color w:val="000000"/>
                <w:sz w:val="18"/>
                <w:szCs w:val="18"/>
              </w:rPr>
              <w:t>20</w:t>
            </w:r>
            <w:r w:rsidR="009B1A03" w:rsidRPr="00AB316E">
              <w:rPr>
                <w:color w:val="000000"/>
                <w:sz w:val="18"/>
                <w:szCs w:val="18"/>
              </w:rPr>
              <w:t xml:space="preserve"> </w:t>
            </w:r>
            <w:r w:rsidR="009B2AD2" w:rsidRPr="00AB316E">
              <w:rPr>
                <w:color w:val="000000"/>
                <w:sz w:val="18"/>
                <w:szCs w:val="18"/>
              </w:rPr>
              <w:t>(</w:t>
            </w:r>
            <w:r>
              <w:rPr>
                <w:color w:val="000000"/>
                <w:sz w:val="18"/>
                <w:szCs w:val="18"/>
              </w:rPr>
              <w:t>21,1</w:t>
            </w:r>
            <w:r w:rsidR="009B2AD2" w:rsidRPr="00AB316E">
              <w:rPr>
                <w:color w:val="000000"/>
                <w:sz w:val="18"/>
                <w:szCs w:val="18"/>
              </w:rPr>
              <w:t xml:space="preserve"> </w:t>
            </w:r>
            <w:r w:rsidR="00B15920" w:rsidRPr="00AB316E">
              <w:rPr>
                <w:color w:val="000000"/>
                <w:sz w:val="18"/>
                <w:szCs w:val="18"/>
              </w:rPr>
              <w:t>%</w:t>
            </w:r>
            <w:r w:rsidR="009B2AD2" w:rsidRPr="00AB316E">
              <w:rPr>
                <w:color w:val="000000"/>
                <w:sz w:val="18"/>
                <w:szCs w:val="18"/>
              </w:rPr>
              <w:t>)</w:t>
            </w:r>
          </w:p>
        </w:tc>
        <w:tc>
          <w:tcPr>
            <w:tcW w:w="1350" w:type="dxa"/>
            <w:tcBorders>
              <w:top w:val="single" w:sz="12" w:space="0" w:color="000000"/>
              <w:bottom w:val="single" w:sz="2" w:space="0" w:color="000000"/>
            </w:tcBorders>
            <w:shd w:val="clear" w:color="auto" w:fill="auto"/>
            <w:tcMar>
              <w:top w:w="30" w:type="dxa"/>
              <w:left w:w="30" w:type="dxa"/>
              <w:bottom w:w="30" w:type="dxa"/>
              <w:right w:w="30" w:type="dxa"/>
            </w:tcMar>
            <w:vAlign w:val="center"/>
          </w:tcPr>
          <w:p w:rsidR="00B15920" w:rsidRPr="00AB316E" w:rsidRDefault="00C03477" w:rsidP="00BA0E20">
            <w:pPr>
              <w:widowControl/>
              <w:autoSpaceDE w:val="0"/>
              <w:autoSpaceDN w:val="0"/>
              <w:adjustRightInd w:val="0"/>
              <w:spacing w:after="0" w:line="240" w:lineRule="auto"/>
              <w:ind w:firstLine="0"/>
              <w:contextualSpacing w:val="0"/>
              <w:jc w:val="center"/>
              <w:rPr>
                <w:color w:val="000000"/>
                <w:sz w:val="18"/>
                <w:szCs w:val="18"/>
              </w:rPr>
            </w:pPr>
            <w:r>
              <w:rPr>
                <w:color w:val="000000"/>
                <w:sz w:val="18"/>
                <w:szCs w:val="18"/>
              </w:rPr>
              <w:t>25</w:t>
            </w:r>
            <w:r w:rsidR="009B1A03" w:rsidRPr="00AB316E">
              <w:rPr>
                <w:color w:val="000000"/>
                <w:sz w:val="18"/>
                <w:szCs w:val="18"/>
              </w:rPr>
              <w:t xml:space="preserve"> </w:t>
            </w:r>
            <w:r w:rsidR="006F717C" w:rsidRPr="00AB316E">
              <w:rPr>
                <w:color w:val="000000"/>
                <w:sz w:val="18"/>
                <w:szCs w:val="18"/>
              </w:rPr>
              <w:t>(</w:t>
            </w:r>
            <w:r>
              <w:rPr>
                <w:color w:val="000000"/>
                <w:sz w:val="18"/>
                <w:szCs w:val="18"/>
              </w:rPr>
              <w:t>29,1</w:t>
            </w:r>
            <w:r w:rsidR="006F717C" w:rsidRPr="00AB316E">
              <w:rPr>
                <w:color w:val="000000"/>
                <w:sz w:val="18"/>
                <w:szCs w:val="18"/>
              </w:rPr>
              <w:t xml:space="preserve"> </w:t>
            </w:r>
            <w:r w:rsidR="00B15920" w:rsidRPr="00AB316E">
              <w:rPr>
                <w:color w:val="000000"/>
                <w:sz w:val="18"/>
                <w:szCs w:val="18"/>
              </w:rPr>
              <w:t>%</w:t>
            </w:r>
            <w:r w:rsidR="006F717C" w:rsidRPr="00AB316E">
              <w:rPr>
                <w:color w:val="000000"/>
                <w:sz w:val="18"/>
                <w:szCs w:val="18"/>
              </w:rPr>
              <w:t>)</w:t>
            </w:r>
          </w:p>
        </w:tc>
        <w:tc>
          <w:tcPr>
            <w:tcW w:w="1350" w:type="dxa"/>
            <w:tcBorders>
              <w:top w:val="single" w:sz="12" w:space="0" w:color="000000"/>
              <w:bottom w:val="single" w:sz="2" w:space="0" w:color="000000"/>
            </w:tcBorders>
            <w:shd w:val="clear" w:color="auto" w:fill="auto"/>
            <w:tcMar>
              <w:top w:w="30" w:type="dxa"/>
              <w:left w:w="30" w:type="dxa"/>
              <w:bottom w:w="30" w:type="dxa"/>
              <w:right w:w="30" w:type="dxa"/>
            </w:tcMar>
            <w:vAlign w:val="center"/>
          </w:tcPr>
          <w:p w:rsidR="00B15920" w:rsidRPr="00AB316E" w:rsidRDefault="00B15920" w:rsidP="00BA0E20">
            <w:pPr>
              <w:widowControl/>
              <w:autoSpaceDE w:val="0"/>
              <w:autoSpaceDN w:val="0"/>
              <w:adjustRightInd w:val="0"/>
              <w:spacing w:after="0" w:line="240" w:lineRule="auto"/>
              <w:ind w:firstLine="0"/>
              <w:contextualSpacing w:val="0"/>
              <w:jc w:val="center"/>
              <w:rPr>
                <w:color w:val="000000"/>
                <w:sz w:val="18"/>
                <w:szCs w:val="18"/>
              </w:rPr>
            </w:pPr>
            <w:r w:rsidRPr="00AB316E">
              <w:rPr>
                <w:color w:val="000000"/>
                <w:sz w:val="18"/>
                <w:szCs w:val="18"/>
              </w:rPr>
              <w:t>20</w:t>
            </w:r>
            <w:r w:rsidR="009B1A03" w:rsidRPr="00AB316E">
              <w:rPr>
                <w:color w:val="000000"/>
                <w:sz w:val="18"/>
                <w:szCs w:val="18"/>
              </w:rPr>
              <w:t xml:space="preserve"> </w:t>
            </w:r>
            <w:r w:rsidR="007A1DAF" w:rsidRPr="00AB316E">
              <w:rPr>
                <w:color w:val="000000"/>
                <w:sz w:val="18"/>
                <w:szCs w:val="18"/>
              </w:rPr>
              <w:t>(</w:t>
            </w:r>
            <w:r w:rsidRPr="00AB316E">
              <w:rPr>
                <w:color w:val="000000"/>
                <w:sz w:val="18"/>
                <w:szCs w:val="18"/>
              </w:rPr>
              <w:t>38,5</w:t>
            </w:r>
            <w:r w:rsidR="007A1DAF" w:rsidRPr="00AB316E">
              <w:rPr>
                <w:color w:val="000000"/>
                <w:sz w:val="18"/>
                <w:szCs w:val="18"/>
              </w:rPr>
              <w:t xml:space="preserve"> </w:t>
            </w:r>
            <w:r w:rsidRPr="00AB316E">
              <w:rPr>
                <w:color w:val="000000"/>
                <w:sz w:val="18"/>
                <w:szCs w:val="18"/>
              </w:rPr>
              <w:t>%</w:t>
            </w:r>
            <w:r w:rsidR="007A1DAF" w:rsidRPr="00AB316E">
              <w:rPr>
                <w:color w:val="000000"/>
                <w:sz w:val="18"/>
                <w:szCs w:val="18"/>
              </w:rPr>
              <w:t>)</w:t>
            </w:r>
          </w:p>
        </w:tc>
        <w:tc>
          <w:tcPr>
            <w:tcW w:w="1350" w:type="dxa"/>
            <w:tcBorders>
              <w:top w:val="single" w:sz="12" w:space="0" w:color="000000"/>
              <w:bottom w:val="single" w:sz="2" w:space="0" w:color="000000"/>
            </w:tcBorders>
            <w:shd w:val="clear" w:color="auto" w:fill="auto"/>
            <w:tcMar>
              <w:top w:w="30" w:type="dxa"/>
              <w:left w:w="30" w:type="dxa"/>
              <w:bottom w:w="30" w:type="dxa"/>
              <w:right w:w="30" w:type="dxa"/>
            </w:tcMar>
            <w:vAlign w:val="center"/>
          </w:tcPr>
          <w:p w:rsidR="00B15920" w:rsidRPr="00AB316E" w:rsidRDefault="00B15920" w:rsidP="00BA0E20">
            <w:pPr>
              <w:widowControl/>
              <w:autoSpaceDE w:val="0"/>
              <w:autoSpaceDN w:val="0"/>
              <w:adjustRightInd w:val="0"/>
              <w:spacing w:after="0" w:line="240" w:lineRule="auto"/>
              <w:ind w:firstLine="0"/>
              <w:contextualSpacing w:val="0"/>
              <w:jc w:val="center"/>
              <w:rPr>
                <w:color w:val="FF0000"/>
                <w:sz w:val="18"/>
                <w:szCs w:val="18"/>
              </w:rPr>
            </w:pPr>
            <w:r w:rsidRPr="00AB316E">
              <w:rPr>
                <w:color w:val="FF0000"/>
                <w:sz w:val="18"/>
                <w:szCs w:val="18"/>
              </w:rPr>
              <w:t>25</w:t>
            </w:r>
            <w:r w:rsidR="009B1A03" w:rsidRPr="00AB316E">
              <w:rPr>
                <w:color w:val="FF0000"/>
                <w:sz w:val="18"/>
                <w:szCs w:val="18"/>
              </w:rPr>
              <w:t xml:space="preserve"> </w:t>
            </w:r>
            <w:r w:rsidR="00EC6389" w:rsidRPr="00AB316E">
              <w:rPr>
                <w:color w:val="FF0000"/>
                <w:sz w:val="18"/>
                <w:szCs w:val="18"/>
              </w:rPr>
              <w:t>(</w:t>
            </w:r>
            <w:r w:rsidRPr="00AB316E">
              <w:rPr>
                <w:color w:val="FF0000"/>
                <w:sz w:val="18"/>
                <w:szCs w:val="18"/>
              </w:rPr>
              <w:t>46,3</w:t>
            </w:r>
            <w:r w:rsidR="00EC6389" w:rsidRPr="00AB316E">
              <w:rPr>
                <w:color w:val="FF0000"/>
                <w:sz w:val="18"/>
                <w:szCs w:val="18"/>
              </w:rPr>
              <w:t xml:space="preserve"> </w:t>
            </w:r>
            <w:r w:rsidRPr="00AB316E">
              <w:rPr>
                <w:color w:val="FF0000"/>
                <w:sz w:val="18"/>
                <w:szCs w:val="18"/>
              </w:rPr>
              <w:t>%</w:t>
            </w:r>
            <w:r w:rsidR="00EC6389" w:rsidRPr="00AB316E">
              <w:rPr>
                <w:color w:val="FF0000"/>
                <w:sz w:val="18"/>
                <w:szCs w:val="18"/>
              </w:rPr>
              <w:t>)</w:t>
            </w:r>
          </w:p>
        </w:tc>
        <w:tc>
          <w:tcPr>
            <w:tcW w:w="1080" w:type="dxa"/>
            <w:tcBorders>
              <w:top w:val="single" w:sz="12" w:space="0" w:color="000000"/>
            </w:tcBorders>
            <w:shd w:val="clear" w:color="auto" w:fill="D9D9D9" w:themeFill="background1" w:themeFillShade="D9"/>
            <w:tcMar>
              <w:top w:w="30" w:type="dxa"/>
              <w:left w:w="30" w:type="dxa"/>
              <w:bottom w:w="30" w:type="dxa"/>
              <w:right w:w="30" w:type="dxa"/>
            </w:tcMar>
            <w:vAlign w:val="center"/>
          </w:tcPr>
          <w:p w:rsidR="00B15920" w:rsidRPr="00166980" w:rsidRDefault="00B15920" w:rsidP="00BA0E20">
            <w:pPr>
              <w:widowControl/>
              <w:autoSpaceDE w:val="0"/>
              <w:autoSpaceDN w:val="0"/>
              <w:adjustRightInd w:val="0"/>
              <w:spacing w:after="0" w:line="240" w:lineRule="auto"/>
              <w:ind w:firstLine="0"/>
              <w:contextualSpacing w:val="0"/>
              <w:jc w:val="center"/>
              <w:rPr>
                <w:b/>
                <w:color w:val="000000"/>
                <w:sz w:val="18"/>
                <w:szCs w:val="18"/>
              </w:rPr>
            </w:pPr>
            <w:r w:rsidRPr="00166980">
              <w:rPr>
                <w:b/>
                <w:color w:val="000000"/>
                <w:sz w:val="18"/>
                <w:szCs w:val="18"/>
              </w:rPr>
              <w:t>103</w:t>
            </w:r>
            <w:r w:rsidR="00AB316E">
              <w:rPr>
                <w:b/>
                <w:color w:val="000000"/>
                <w:sz w:val="18"/>
                <w:szCs w:val="18"/>
              </w:rPr>
              <w:t xml:space="preserve"> </w:t>
            </w:r>
            <w:r w:rsidR="00EC6389" w:rsidRPr="00166980">
              <w:rPr>
                <w:b/>
                <w:color w:val="000000"/>
                <w:sz w:val="18"/>
                <w:szCs w:val="18"/>
              </w:rPr>
              <w:t>(</w:t>
            </w:r>
            <w:r w:rsidRPr="00166980">
              <w:rPr>
                <w:b/>
                <w:color w:val="000000"/>
                <w:sz w:val="18"/>
                <w:szCs w:val="18"/>
              </w:rPr>
              <w:t>30,2</w:t>
            </w:r>
            <w:r w:rsidR="00EC6389" w:rsidRPr="00166980">
              <w:rPr>
                <w:b/>
                <w:color w:val="000000"/>
                <w:sz w:val="18"/>
                <w:szCs w:val="18"/>
              </w:rPr>
              <w:t xml:space="preserve"> </w:t>
            </w:r>
            <w:r w:rsidRPr="00166980">
              <w:rPr>
                <w:b/>
                <w:color w:val="000000"/>
                <w:sz w:val="18"/>
                <w:szCs w:val="18"/>
              </w:rPr>
              <w:t>%</w:t>
            </w:r>
            <w:r w:rsidR="00EC6389" w:rsidRPr="00166980">
              <w:rPr>
                <w:b/>
                <w:color w:val="000000"/>
                <w:sz w:val="18"/>
                <w:szCs w:val="18"/>
              </w:rPr>
              <w:t>)</w:t>
            </w:r>
          </w:p>
        </w:tc>
      </w:tr>
      <w:tr w:rsidR="00B15920" w:rsidRPr="00166980" w:rsidTr="00237115">
        <w:trPr>
          <w:cantSplit/>
          <w:trHeight w:val="82"/>
          <w:tblHeader/>
        </w:trPr>
        <w:tc>
          <w:tcPr>
            <w:tcW w:w="2430" w:type="dxa"/>
            <w:shd w:val="clear" w:color="auto" w:fill="D9D9D9" w:themeFill="background1" w:themeFillShade="D9"/>
            <w:tcMar>
              <w:top w:w="30" w:type="dxa"/>
              <w:left w:w="30" w:type="dxa"/>
              <w:bottom w:w="30" w:type="dxa"/>
              <w:right w:w="30" w:type="dxa"/>
            </w:tcMar>
            <w:vAlign w:val="center"/>
          </w:tcPr>
          <w:p w:rsidR="00B15920" w:rsidRPr="00166980" w:rsidRDefault="00B15920" w:rsidP="006F09E2">
            <w:pPr>
              <w:widowControl/>
              <w:autoSpaceDE w:val="0"/>
              <w:autoSpaceDN w:val="0"/>
              <w:adjustRightInd w:val="0"/>
              <w:spacing w:after="0" w:line="240" w:lineRule="auto"/>
              <w:ind w:firstLine="0"/>
              <w:contextualSpacing w:val="0"/>
              <w:jc w:val="left"/>
              <w:rPr>
                <w:b/>
                <w:i/>
                <w:color w:val="000000"/>
                <w:sz w:val="18"/>
                <w:szCs w:val="18"/>
              </w:rPr>
            </w:pPr>
            <w:r w:rsidRPr="00166980">
              <w:rPr>
                <w:b/>
                <w:i/>
                <w:color w:val="000000"/>
                <w:sz w:val="18"/>
                <w:szCs w:val="18"/>
              </w:rPr>
              <w:t>2</w:t>
            </w:r>
            <w:r w:rsidR="00AB316E">
              <w:rPr>
                <w:b/>
                <w:i/>
                <w:color w:val="000000"/>
                <w:sz w:val="18"/>
                <w:szCs w:val="18"/>
              </w:rPr>
              <w:t xml:space="preserve"> – didelė įtaka</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B15920" w:rsidRPr="00AB316E" w:rsidRDefault="00544B41" w:rsidP="00BD6CA6">
            <w:pPr>
              <w:widowControl/>
              <w:autoSpaceDE w:val="0"/>
              <w:autoSpaceDN w:val="0"/>
              <w:adjustRightInd w:val="0"/>
              <w:spacing w:after="0" w:line="240" w:lineRule="auto"/>
              <w:ind w:firstLine="0"/>
              <w:contextualSpacing w:val="0"/>
              <w:jc w:val="center"/>
              <w:rPr>
                <w:color w:val="000000"/>
                <w:sz w:val="18"/>
                <w:szCs w:val="18"/>
              </w:rPr>
            </w:pPr>
            <w:r>
              <w:rPr>
                <w:color w:val="000000"/>
                <w:sz w:val="18"/>
                <w:szCs w:val="18"/>
              </w:rPr>
              <w:t>9</w:t>
            </w:r>
            <w:r w:rsidR="009B1A03" w:rsidRPr="00AB316E">
              <w:rPr>
                <w:color w:val="000000"/>
                <w:sz w:val="18"/>
                <w:szCs w:val="18"/>
              </w:rPr>
              <w:t xml:space="preserve"> </w:t>
            </w:r>
            <w:r w:rsidR="003C2651" w:rsidRPr="00AB316E">
              <w:rPr>
                <w:color w:val="000000"/>
                <w:sz w:val="18"/>
                <w:szCs w:val="18"/>
              </w:rPr>
              <w:t>(</w:t>
            </w:r>
            <w:r>
              <w:rPr>
                <w:color w:val="000000"/>
                <w:sz w:val="18"/>
                <w:szCs w:val="18"/>
              </w:rPr>
              <w:t>16,7</w:t>
            </w:r>
            <w:r w:rsidR="003C2651" w:rsidRPr="00AB316E">
              <w:rPr>
                <w:color w:val="000000"/>
                <w:sz w:val="18"/>
                <w:szCs w:val="18"/>
              </w:rPr>
              <w:t xml:space="preserve"> </w:t>
            </w:r>
            <w:r w:rsidR="00B15920" w:rsidRPr="00AB316E">
              <w:rPr>
                <w:color w:val="000000"/>
                <w:sz w:val="18"/>
                <w:szCs w:val="18"/>
              </w:rPr>
              <w:t>%</w:t>
            </w:r>
            <w:r w:rsidR="003C2651" w:rsidRPr="00AB316E">
              <w:rPr>
                <w:color w:val="000000"/>
                <w:sz w:val="18"/>
                <w:szCs w:val="18"/>
              </w:rPr>
              <w:t>)</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B15920" w:rsidRPr="00AB316E" w:rsidRDefault="004076C8" w:rsidP="00BD6CA6">
            <w:pPr>
              <w:widowControl/>
              <w:autoSpaceDE w:val="0"/>
              <w:autoSpaceDN w:val="0"/>
              <w:adjustRightInd w:val="0"/>
              <w:spacing w:after="0" w:line="240" w:lineRule="auto"/>
              <w:ind w:firstLine="0"/>
              <w:contextualSpacing w:val="0"/>
              <w:jc w:val="center"/>
              <w:rPr>
                <w:color w:val="000000"/>
                <w:sz w:val="18"/>
                <w:szCs w:val="18"/>
              </w:rPr>
            </w:pPr>
            <w:r>
              <w:rPr>
                <w:color w:val="000000"/>
                <w:sz w:val="18"/>
                <w:szCs w:val="18"/>
              </w:rPr>
              <w:t>23</w:t>
            </w:r>
            <w:r w:rsidR="009B1A03" w:rsidRPr="00AB316E">
              <w:rPr>
                <w:color w:val="000000"/>
                <w:sz w:val="18"/>
                <w:szCs w:val="18"/>
              </w:rPr>
              <w:t xml:space="preserve"> </w:t>
            </w:r>
            <w:r w:rsidR="009B2AD2" w:rsidRPr="00AB316E">
              <w:rPr>
                <w:color w:val="000000"/>
                <w:sz w:val="18"/>
                <w:szCs w:val="18"/>
              </w:rPr>
              <w:t>(</w:t>
            </w:r>
            <w:r>
              <w:rPr>
                <w:color w:val="000000"/>
                <w:sz w:val="18"/>
                <w:szCs w:val="18"/>
              </w:rPr>
              <w:t>24,2</w:t>
            </w:r>
            <w:r w:rsidR="009B2AD2" w:rsidRPr="00AB316E">
              <w:rPr>
                <w:color w:val="000000"/>
                <w:sz w:val="18"/>
                <w:szCs w:val="18"/>
              </w:rPr>
              <w:t xml:space="preserve"> </w:t>
            </w:r>
            <w:r w:rsidR="00B15920" w:rsidRPr="00AB316E">
              <w:rPr>
                <w:color w:val="000000"/>
                <w:sz w:val="18"/>
                <w:szCs w:val="18"/>
              </w:rPr>
              <w:t>%</w:t>
            </w:r>
            <w:r w:rsidR="009B2AD2" w:rsidRPr="00AB316E">
              <w:rPr>
                <w:color w:val="000000"/>
                <w:sz w:val="18"/>
                <w:szCs w:val="18"/>
              </w:rPr>
              <w:t>)</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B15920" w:rsidRPr="00AB316E" w:rsidRDefault="00C03477" w:rsidP="00BA0E20">
            <w:pPr>
              <w:widowControl/>
              <w:autoSpaceDE w:val="0"/>
              <w:autoSpaceDN w:val="0"/>
              <w:adjustRightInd w:val="0"/>
              <w:spacing w:after="0" w:line="240" w:lineRule="auto"/>
              <w:ind w:firstLine="0"/>
              <w:contextualSpacing w:val="0"/>
              <w:jc w:val="center"/>
              <w:rPr>
                <w:color w:val="000000"/>
                <w:sz w:val="18"/>
                <w:szCs w:val="18"/>
              </w:rPr>
            </w:pPr>
            <w:r>
              <w:rPr>
                <w:color w:val="000000"/>
                <w:sz w:val="18"/>
                <w:szCs w:val="18"/>
              </w:rPr>
              <w:t>23</w:t>
            </w:r>
            <w:r w:rsidR="009B1A03" w:rsidRPr="00AB316E">
              <w:rPr>
                <w:color w:val="000000"/>
                <w:sz w:val="18"/>
                <w:szCs w:val="18"/>
              </w:rPr>
              <w:t xml:space="preserve"> </w:t>
            </w:r>
            <w:r w:rsidR="006F717C" w:rsidRPr="00AB316E">
              <w:rPr>
                <w:color w:val="000000"/>
                <w:sz w:val="18"/>
                <w:szCs w:val="18"/>
              </w:rPr>
              <w:t>(</w:t>
            </w:r>
            <w:r>
              <w:rPr>
                <w:color w:val="000000"/>
                <w:sz w:val="18"/>
                <w:szCs w:val="18"/>
              </w:rPr>
              <w:t>26,7</w:t>
            </w:r>
            <w:r w:rsidR="006F717C" w:rsidRPr="00AB316E">
              <w:rPr>
                <w:color w:val="000000"/>
                <w:sz w:val="18"/>
                <w:szCs w:val="18"/>
              </w:rPr>
              <w:t xml:space="preserve"> </w:t>
            </w:r>
            <w:r w:rsidR="00B15920" w:rsidRPr="00AB316E">
              <w:rPr>
                <w:color w:val="000000"/>
                <w:sz w:val="18"/>
                <w:szCs w:val="18"/>
              </w:rPr>
              <w:t>%</w:t>
            </w:r>
            <w:r w:rsidR="006F717C" w:rsidRPr="00AB316E">
              <w:rPr>
                <w:color w:val="000000"/>
                <w:sz w:val="18"/>
                <w:szCs w:val="18"/>
              </w:rPr>
              <w:t>)</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B15920" w:rsidRPr="00AB316E" w:rsidRDefault="00B15920" w:rsidP="00BA0E20">
            <w:pPr>
              <w:widowControl/>
              <w:autoSpaceDE w:val="0"/>
              <w:autoSpaceDN w:val="0"/>
              <w:adjustRightInd w:val="0"/>
              <w:spacing w:after="0" w:line="240" w:lineRule="auto"/>
              <w:ind w:firstLine="0"/>
              <w:contextualSpacing w:val="0"/>
              <w:jc w:val="center"/>
              <w:rPr>
                <w:color w:val="FF0000"/>
                <w:sz w:val="18"/>
                <w:szCs w:val="18"/>
              </w:rPr>
            </w:pPr>
            <w:r w:rsidRPr="00AB316E">
              <w:rPr>
                <w:color w:val="FF0000"/>
                <w:sz w:val="18"/>
                <w:szCs w:val="18"/>
              </w:rPr>
              <w:t>17</w:t>
            </w:r>
            <w:r w:rsidR="009B1A03" w:rsidRPr="00AB316E">
              <w:rPr>
                <w:color w:val="FF0000"/>
                <w:sz w:val="18"/>
                <w:szCs w:val="18"/>
              </w:rPr>
              <w:t xml:space="preserve"> </w:t>
            </w:r>
            <w:r w:rsidR="007A1DAF" w:rsidRPr="00AB316E">
              <w:rPr>
                <w:color w:val="FF0000"/>
                <w:sz w:val="18"/>
                <w:szCs w:val="18"/>
              </w:rPr>
              <w:t>(</w:t>
            </w:r>
            <w:r w:rsidRPr="00AB316E">
              <w:rPr>
                <w:color w:val="FF0000"/>
                <w:sz w:val="18"/>
                <w:szCs w:val="18"/>
              </w:rPr>
              <w:t>32,7</w:t>
            </w:r>
            <w:r w:rsidR="007A1DAF" w:rsidRPr="00AB316E">
              <w:rPr>
                <w:color w:val="FF0000"/>
                <w:sz w:val="18"/>
                <w:szCs w:val="18"/>
              </w:rPr>
              <w:t xml:space="preserve"> </w:t>
            </w:r>
            <w:r w:rsidRPr="00AB316E">
              <w:rPr>
                <w:color w:val="FF0000"/>
                <w:sz w:val="18"/>
                <w:szCs w:val="18"/>
              </w:rPr>
              <w:t>%</w:t>
            </w:r>
            <w:r w:rsidR="007A1DAF" w:rsidRPr="00AB316E">
              <w:rPr>
                <w:color w:val="FF0000"/>
                <w:sz w:val="18"/>
                <w:szCs w:val="18"/>
              </w:rPr>
              <w:t>)</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B15920" w:rsidRPr="00AB316E" w:rsidRDefault="00A21432" w:rsidP="00BA0E20">
            <w:pPr>
              <w:widowControl/>
              <w:autoSpaceDE w:val="0"/>
              <w:autoSpaceDN w:val="0"/>
              <w:adjustRightInd w:val="0"/>
              <w:spacing w:after="0" w:line="240" w:lineRule="auto"/>
              <w:ind w:firstLine="0"/>
              <w:contextualSpacing w:val="0"/>
              <w:jc w:val="center"/>
              <w:rPr>
                <w:color w:val="000000"/>
                <w:sz w:val="18"/>
                <w:szCs w:val="18"/>
              </w:rPr>
            </w:pPr>
            <w:r>
              <w:rPr>
                <w:color w:val="000000"/>
                <w:sz w:val="18"/>
                <w:szCs w:val="18"/>
              </w:rPr>
              <w:t>16</w:t>
            </w:r>
            <w:r w:rsidR="009B1A03" w:rsidRPr="00AB316E">
              <w:rPr>
                <w:color w:val="000000"/>
                <w:sz w:val="18"/>
                <w:szCs w:val="18"/>
              </w:rPr>
              <w:t xml:space="preserve"> </w:t>
            </w:r>
            <w:r w:rsidR="00EC6389" w:rsidRPr="00AB316E">
              <w:rPr>
                <w:color w:val="000000"/>
                <w:sz w:val="18"/>
                <w:szCs w:val="18"/>
              </w:rPr>
              <w:t>(</w:t>
            </w:r>
            <w:r>
              <w:rPr>
                <w:color w:val="000000"/>
                <w:sz w:val="18"/>
                <w:szCs w:val="18"/>
              </w:rPr>
              <w:t>29,6</w:t>
            </w:r>
            <w:r w:rsidR="00EC6389" w:rsidRPr="00AB316E">
              <w:rPr>
                <w:color w:val="000000"/>
                <w:sz w:val="18"/>
                <w:szCs w:val="18"/>
              </w:rPr>
              <w:t xml:space="preserve"> </w:t>
            </w:r>
            <w:r w:rsidR="00B15920" w:rsidRPr="00AB316E">
              <w:rPr>
                <w:color w:val="000000"/>
                <w:sz w:val="18"/>
                <w:szCs w:val="18"/>
              </w:rPr>
              <w:t>%</w:t>
            </w:r>
            <w:r w:rsidR="00EC6389" w:rsidRPr="00AB316E">
              <w:rPr>
                <w:color w:val="000000"/>
                <w:sz w:val="18"/>
                <w:szCs w:val="18"/>
              </w:rPr>
              <w:t>)</w:t>
            </w:r>
          </w:p>
        </w:tc>
        <w:tc>
          <w:tcPr>
            <w:tcW w:w="1080" w:type="dxa"/>
            <w:shd w:val="clear" w:color="auto" w:fill="D9D9D9" w:themeFill="background1" w:themeFillShade="D9"/>
            <w:tcMar>
              <w:top w:w="30" w:type="dxa"/>
              <w:left w:w="30" w:type="dxa"/>
              <w:bottom w:w="30" w:type="dxa"/>
              <w:right w:w="30" w:type="dxa"/>
            </w:tcMar>
            <w:vAlign w:val="center"/>
          </w:tcPr>
          <w:p w:rsidR="00B15920" w:rsidRPr="00166980" w:rsidRDefault="00B15920" w:rsidP="00BA0E20">
            <w:pPr>
              <w:widowControl/>
              <w:autoSpaceDE w:val="0"/>
              <w:autoSpaceDN w:val="0"/>
              <w:adjustRightInd w:val="0"/>
              <w:spacing w:after="0" w:line="240" w:lineRule="auto"/>
              <w:ind w:firstLine="0"/>
              <w:contextualSpacing w:val="0"/>
              <w:jc w:val="center"/>
              <w:rPr>
                <w:b/>
                <w:color w:val="000000"/>
                <w:sz w:val="18"/>
                <w:szCs w:val="18"/>
              </w:rPr>
            </w:pPr>
            <w:r w:rsidRPr="00166980">
              <w:rPr>
                <w:b/>
                <w:color w:val="000000"/>
                <w:sz w:val="18"/>
                <w:szCs w:val="18"/>
              </w:rPr>
              <w:t>93</w:t>
            </w:r>
            <w:r w:rsidR="00AB316E">
              <w:rPr>
                <w:b/>
                <w:color w:val="000000"/>
                <w:sz w:val="18"/>
                <w:szCs w:val="18"/>
              </w:rPr>
              <w:t xml:space="preserve"> </w:t>
            </w:r>
            <w:r w:rsidR="00EC6389" w:rsidRPr="00166980">
              <w:rPr>
                <w:b/>
                <w:color w:val="000000"/>
                <w:sz w:val="18"/>
                <w:szCs w:val="18"/>
              </w:rPr>
              <w:t>(</w:t>
            </w:r>
            <w:r w:rsidRPr="00166980">
              <w:rPr>
                <w:b/>
                <w:color w:val="000000"/>
                <w:sz w:val="18"/>
                <w:szCs w:val="18"/>
              </w:rPr>
              <w:t>27,3</w:t>
            </w:r>
            <w:r w:rsidR="00EC6389" w:rsidRPr="00166980">
              <w:rPr>
                <w:b/>
                <w:color w:val="000000"/>
                <w:sz w:val="18"/>
                <w:szCs w:val="18"/>
              </w:rPr>
              <w:t xml:space="preserve"> </w:t>
            </w:r>
            <w:r w:rsidRPr="00166980">
              <w:rPr>
                <w:b/>
                <w:color w:val="000000"/>
                <w:sz w:val="18"/>
                <w:szCs w:val="18"/>
              </w:rPr>
              <w:t>%</w:t>
            </w:r>
            <w:r w:rsidR="00EC6389" w:rsidRPr="00166980">
              <w:rPr>
                <w:b/>
                <w:color w:val="000000"/>
                <w:sz w:val="18"/>
                <w:szCs w:val="18"/>
              </w:rPr>
              <w:t>)</w:t>
            </w:r>
          </w:p>
        </w:tc>
      </w:tr>
      <w:tr w:rsidR="002A62D1" w:rsidRPr="00166980" w:rsidTr="00237115">
        <w:trPr>
          <w:cantSplit/>
          <w:trHeight w:val="82"/>
          <w:tblHeader/>
        </w:trPr>
        <w:tc>
          <w:tcPr>
            <w:tcW w:w="2430" w:type="dxa"/>
            <w:shd w:val="clear" w:color="auto" w:fill="D9D9D9" w:themeFill="background1" w:themeFillShade="D9"/>
            <w:tcMar>
              <w:top w:w="30" w:type="dxa"/>
              <w:left w:w="30" w:type="dxa"/>
              <w:bottom w:w="30" w:type="dxa"/>
              <w:right w:w="30" w:type="dxa"/>
            </w:tcMar>
            <w:vAlign w:val="center"/>
          </w:tcPr>
          <w:p w:rsidR="002A62D1" w:rsidRPr="00166980" w:rsidRDefault="002A62D1" w:rsidP="006F09E2">
            <w:pPr>
              <w:widowControl/>
              <w:autoSpaceDE w:val="0"/>
              <w:autoSpaceDN w:val="0"/>
              <w:adjustRightInd w:val="0"/>
              <w:spacing w:after="0" w:line="240" w:lineRule="auto"/>
              <w:ind w:firstLine="0"/>
              <w:contextualSpacing w:val="0"/>
              <w:jc w:val="left"/>
              <w:rPr>
                <w:b/>
                <w:i/>
                <w:color w:val="000000"/>
                <w:sz w:val="18"/>
                <w:szCs w:val="18"/>
              </w:rPr>
            </w:pPr>
            <w:r w:rsidRPr="00166980">
              <w:rPr>
                <w:b/>
                <w:i/>
                <w:color w:val="000000"/>
                <w:sz w:val="18"/>
                <w:szCs w:val="18"/>
              </w:rPr>
              <w:t>3</w:t>
            </w:r>
            <w:r w:rsidR="00AB316E">
              <w:rPr>
                <w:b/>
                <w:i/>
                <w:color w:val="000000"/>
                <w:sz w:val="18"/>
                <w:szCs w:val="18"/>
              </w:rPr>
              <w:t xml:space="preserve"> – vidutinė įtaka</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2A62D1" w:rsidRPr="00001E6F" w:rsidRDefault="002A62D1" w:rsidP="00BD6CA6">
            <w:pPr>
              <w:widowControl/>
              <w:autoSpaceDE w:val="0"/>
              <w:autoSpaceDN w:val="0"/>
              <w:adjustRightInd w:val="0"/>
              <w:spacing w:after="0" w:line="240" w:lineRule="auto"/>
              <w:ind w:firstLine="0"/>
              <w:contextualSpacing w:val="0"/>
              <w:jc w:val="center"/>
              <w:rPr>
                <w:sz w:val="18"/>
                <w:szCs w:val="18"/>
              </w:rPr>
            </w:pPr>
            <w:r w:rsidRPr="00001E6F">
              <w:rPr>
                <w:sz w:val="18"/>
                <w:szCs w:val="18"/>
              </w:rPr>
              <w:t>14</w:t>
            </w:r>
            <w:r w:rsidR="009B1A03" w:rsidRPr="00001E6F">
              <w:rPr>
                <w:sz w:val="18"/>
                <w:szCs w:val="18"/>
              </w:rPr>
              <w:t xml:space="preserve"> </w:t>
            </w:r>
            <w:r w:rsidR="003C2651" w:rsidRPr="00001E6F">
              <w:rPr>
                <w:sz w:val="18"/>
                <w:szCs w:val="18"/>
              </w:rPr>
              <w:t>(</w:t>
            </w:r>
            <w:r w:rsidRPr="00001E6F">
              <w:rPr>
                <w:sz w:val="18"/>
                <w:szCs w:val="18"/>
              </w:rPr>
              <w:t>25,9</w:t>
            </w:r>
            <w:r w:rsidR="003C2651" w:rsidRPr="00001E6F">
              <w:rPr>
                <w:sz w:val="18"/>
                <w:szCs w:val="18"/>
              </w:rPr>
              <w:t xml:space="preserve"> </w:t>
            </w:r>
            <w:r w:rsidRPr="00001E6F">
              <w:rPr>
                <w:sz w:val="18"/>
                <w:szCs w:val="18"/>
              </w:rPr>
              <w:t>%</w:t>
            </w:r>
            <w:r w:rsidR="003C2651" w:rsidRPr="00001E6F">
              <w:rPr>
                <w:sz w:val="18"/>
                <w:szCs w:val="18"/>
              </w:rPr>
              <w:t>)</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2A62D1" w:rsidRPr="00001E6F" w:rsidRDefault="004076C8" w:rsidP="00BD6CA6">
            <w:pPr>
              <w:widowControl/>
              <w:autoSpaceDE w:val="0"/>
              <w:autoSpaceDN w:val="0"/>
              <w:adjustRightInd w:val="0"/>
              <w:spacing w:after="0" w:line="240" w:lineRule="auto"/>
              <w:ind w:firstLine="0"/>
              <w:contextualSpacing w:val="0"/>
              <w:jc w:val="center"/>
              <w:rPr>
                <w:color w:val="FF0000"/>
                <w:sz w:val="18"/>
                <w:szCs w:val="18"/>
              </w:rPr>
            </w:pPr>
            <w:r w:rsidRPr="00001E6F">
              <w:rPr>
                <w:color w:val="FF0000"/>
                <w:sz w:val="18"/>
                <w:szCs w:val="18"/>
              </w:rPr>
              <w:t>27</w:t>
            </w:r>
            <w:r w:rsidR="009B1A03" w:rsidRPr="00001E6F">
              <w:rPr>
                <w:color w:val="FF0000"/>
                <w:sz w:val="18"/>
                <w:szCs w:val="18"/>
              </w:rPr>
              <w:t xml:space="preserve"> </w:t>
            </w:r>
            <w:r w:rsidR="009B2AD2" w:rsidRPr="00001E6F">
              <w:rPr>
                <w:color w:val="FF0000"/>
                <w:sz w:val="18"/>
                <w:szCs w:val="18"/>
              </w:rPr>
              <w:t>(</w:t>
            </w:r>
            <w:r w:rsidRPr="00001E6F">
              <w:rPr>
                <w:color w:val="FF0000"/>
                <w:sz w:val="18"/>
                <w:szCs w:val="18"/>
              </w:rPr>
              <w:t>28,4</w:t>
            </w:r>
            <w:r w:rsidR="009B2AD2" w:rsidRPr="00001E6F">
              <w:rPr>
                <w:color w:val="FF0000"/>
                <w:sz w:val="18"/>
                <w:szCs w:val="18"/>
              </w:rPr>
              <w:t xml:space="preserve"> </w:t>
            </w:r>
            <w:r w:rsidR="002A62D1" w:rsidRPr="00001E6F">
              <w:rPr>
                <w:color w:val="FF0000"/>
                <w:sz w:val="18"/>
                <w:szCs w:val="18"/>
              </w:rPr>
              <w:t>%</w:t>
            </w:r>
            <w:r w:rsidR="009B2AD2" w:rsidRPr="00001E6F">
              <w:rPr>
                <w:color w:val="FF0000"/>
                <w:sz w:val="18"/>
                <w:szCs w:val="18"/>
              </w:rPr>
              <w:t>)</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2A62D1" w:rsidRPr="00AB316E" w:rsidRDefault="00C03477" w:rsidP="00BA0E20">
            <w:pPr>
              <w:widowControl/>
              <w:autoSpaceDE w:val="0"/>
              <w:autoSpaceDN w:val="0"/>
              <w:adjustRightInd w:val="0"/>
              <w:spacing w:after="0" w:line="240" w:lineRule="auto"/>
              <w:ind w:firstLine="0"/>
              <w:contextualSpacing w:val="0"/>
              <w:jc w:val="center"/>
              <w:rPr>
                <w:color w:val="000000"/>
                <w:sz w:val="18"/>
                <w:szCs w:val="18"/>
              </w:rPr>
            </w:pPr>
            <w:r>
              <w:rPr>
                <w:color w:val="000000"/>
                <w:sz w:val="18"/>
                <w:szCs w:val="18"/>
              </w:rPr>
              <w:t>18</w:t>
            </w:r>
            <w:r w:rsidR="009B1A03" w:rsidRPr="00AB316E">
              <w:rPr>
                <w:color w:val="000000"/>
                <w:sz w:val="18"/>
                <w:szCs w:val="18"/>
              </w:rPr>
              <w:t xml:space="preserve"> </w:t>
            </w:r>
            <w:r w:rsidR="006F717C" w:rsidRPr="00AB316E">
              <w:rPr>
                <w:color w:val="000000"/>
                <w:sz w:val="18"/>
                <w:szCs w:val="18"/>
              </w:rPr>
              <w:t>(</w:t>
            </w:r>
            <w:r>
              <w:rPr>
                <w:color w:val="000000"/>
                <w:sz w:val="18"/>
                <w:szCs w:val="18"/>
              </w:rPr>
              <w:t>20,9</w:t>
            </w:r>
            <w:r w:rsidR="006F717C" w:rsidRPr="00AB316E">
              <w:rPr>
                <w:color w:val="000000"/>
                <w:sz w:val="18"/>
                <w:szCs w:val="18"/>
              </w:rPr>
              <w:t xml:space="preserve"> </w:t>
            </w:r>
            <w:r w:rsidR="002A62D1" w:rsidRPr="00AB316E">
              <w:rPr>
                <w:color w:val="000000"/>
                <w:sz w:val="18"/>
                <w:szCs w:val="18"/>
              </w:rPr>
              <w:t>%</w:t>
            </w:r>
            <w:r w:rsidR="006F717C" w:rsidRPr="00AB316E">
              <w:rPr>
                <w:color w:val="000000"/>
                <w:sz w:val="18"/>
                <w:szCs w:val="18"/>
              </w:rPr>
              <w:t>)</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2A62D1" w:rsidRPr="00AB316E" w:rsidRDefault="002A62D1" w:rsidP="00BA0E20">
            <w:pPr>
              <w:widowControl/>
              <w:autoSpaceDE w:val="0"/>
              <w:autoSpaceDN w:val="0"/>
              <w:adjustRightInd w:val="0"/>
              <w:spacing w:after="0" w:line="240" w:lineRule="auto"/>
              <w:ind w:firstLine="0"/>
              <w:contextualSpacing w:val="0"/>
              <w:jc w:val="center"/>
              <w:rPr>
                <w:color w:val="000000"/>
                <w:sz w:val="18"/>
                <w:szCs w:val="18"/>
              </w:rPr>
            </w:pPr>
            <w:r w:rsidRPr="00AB316E">
              <w:rPr>
                <w:color w:val="000000"/>
                <w:sz w:val="18"/>
                <w:szCs w:val="18"/>
              </w:rPr>
              <w:t>9</w:t>
            </w:r>
            <w:r w:rsidR="009B1A03" w:rsidRPr="00AB316E">
              <w:rPr>
                <w:color w:val="000000"/>
                <w:sz w:val="18"/>
                <w:szCs w:val="18"/>
              </w:rPr>
              <w:t xml:space="preserve"> </w:t>
            </w:r>
            <w:r w:rsidR="007A1DAF" w:rsidRPr="00AB316E">
              <w:rPr>
                <w:color w:val="000000"/>
                <w:sz w:val="18"/>
                <w:szCs w:val="18"/>
              </w:rPr>
              <w:t>(</w:t>
            </w:r>
            <w:r w:rsidRPr="00AB316E">
              <w:rPr>
                <w:color w:val="000000"/>
                <w:sz w:val="18"/>
                <w:szCs w:val="18"/>
              </w:rPr>
              <w:t>17,3</w:t>
            </w:r>
            <w:r w:rsidR="007A1DAF" w:rsidRPr="00AB316E">
              <w:rPr>
                <w:color w:val="000000"/>
                <w:sz w:val="18"/>
                <w:szCs w:val="18"/>
              </w:rPr>
              <w:t xml:space="preserve"> </w:t>
            </w:r>
            <w:r w:rsidRPr="00AB316E">
              <w:rPr>
                <w:color w:val="000000"/>
                <w:sz w:val="18"/>
                <w:szCs w:val="18"/>
              </w:rPr>
              <w:t>%</w:t>
            </w:r>
            <w:r w:rsidR="007A1DAF" w:rsidRPr="00AB316E">
              <w:rPr>
                <w:color w:val="000000"/>
                <w:sz w:val="18"/>
                <w:szCs w:val="18"/>
              </w:rPr>
              <w:t>)</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2A62D1" w:rsidRPr="00AB316E" w:rsidRDefault="002A62D1" w:rsidP="00BA0E20">
            <w:pPr>
              <w:widowControl/>
              <w:autoSpaceDE w:val="0"/>
              <w:autoSpaceDN w:val="0"/>
              <w:adjustRightInd w:val="0"/>
              <w:spacing w:after="0" w:line="240" w:lineRule="auto"/>
              <w:ind w:firstLine="0"/>
              <w:contextualSpacing w:val="0"/>
              <w:jc w:val="center"/>
              <w:rPr>
                <w:color w:val="000000"/>
                <w:sz w:val="18"/>
                <w:szCs w:val="18"/>
              </w:rPr>
            </w:pPr>
            <w:r w:rsidRPr="00AB316E">
              <w:rPr>
                <w:color w:val="000000"/>
                <w:sz w:val="18"/>
                <w:szCs w:val="18"/>
              </w:rPr>
              <w:t>7</w:t>
            </w:r>
            <w:r w:rsidR="009B1A03" w:rsidRPr="00AB316E">
              <w:rPr>
                <w:color w:val="000000"/>
                <w:sz w:val="18"/>
                <w:szCs w:val="18"/>
              </w:rPr>
              <w:t xml:space="preserve"> </w:t>
            </w:r>
            <w:r w:rsidR="00EC6389" w:rsidRPr="00AB316E">
              <w:rPr>
                <w:color w:val="000000"/>
                <w:sz w:val="18"/>
                <w:szCs w:val="18"/>
              </w:rPr>
              <w:t>(</w:t>
            </w:r>
            <w:r w:rsidRPr="00AB316E">
              <w:rPr>
                <w:color w:val="000000"/>
                <w:sz w:val="18"/>
                <w:szCs w:val="18"/>
              </w:rPr>
              <w:t>13,0</w:t>
            </w:r>
            <w:r w:rsidR="00EC6389" w:rsidRPr="00AB316E">
              <w:rPr>
                <w:color w:val="000000"/>
                <w:sz w:val="18"/>
                <w:szCs w:val="18"/>
              </w:rPr>
              <w:t xml:space="preserve"> </w:t>
            </w:r>
            <w:r w:rsidRPr="00AB316E">
              <w:rPr>
                <w:color w:val="000000"/>
                <w:sz w:val="18"/>
                <w:szCs w:val="18"/>
              </w:rPr>
              <w:t>%</w:t>
            </w:r>
            <w:r w:rsidR="00EC6389" w:rsidRPr="00AB316E">
              <w:rPr>
                <w:color w:val="000000"/>
                <w:sz w:val="18"/>
                <w:szCs w:val="18"/>
              </w:rPr>
              <w:t>)</w:t>
            </w:r>
          </w:p>
        </w:tc>
        <w:tc>
          <w:tcPr>
            <w:tcW w:w="1080" w:type="dxa"/>
            <w:shd w:val="clear" w:color="auto" w:fill="D9D9D9" w:themeFill="background1" w:themeFillShade="D9"/>
            <w:tcMar>
              <w:top w:w="30" w:type="dxa"/>
              <w:left w:w="30" w:type="dxa"/>
              <w:bottom w:w="30" w:type="dxa"/>
              <w:right w:w="30" w:type="dxa"/>
            </w:tcMar>
            <w:vAlign w:val="center"/>
          </w:tcPr>
          <w:p w:rsidR="002A62D1" w:rsidRPr="00166980" w:rsidRDefault="002A62D1" w:rsidP="00BA0E20">
            <w:pPr>
              <w:widowControl/>
              <w:autoSpaceDE w:val="0"/>
              <w:autoSpaceDN w:val="0"/>
              <w:adjustRightInd w:val="0"/>
              <w:spacing w:after="0" w:line="240" w:lineRule="auto"/>
              <w:ind w:firstLine="0"/>
              <w:contextualSpacing w:val="0"/>
              <w:jc w:val="center"/>
              <w:rPr>
                <w:b/>
                <w:color w:val="000000"/>
                <w:sz w:val="18"/>
                <w:szCs w:val="18"/>
              </w:rPr>
            </w:pPr>
            <w:r w:rsidRPr="00166980">
              <w:rPr>
                <w:b/>
                <w:color w:val="000000"/>
                <w:sz w:val="18"/>
                <w:szCs w:val="18"/>
              </w:rPr>
              <w:t>74</w:t>
            </w:r>
            <w:r w:rsidR="00AB316E">
              <w:rPr>
                <w:b/>
                <w:color w:val="000000"/>
                <w:sz w:val="18"/>
                <w:szCs w:val="18"/>
              </w:rPr>
              <w:t xml:space="preserve"> </w:t>
            </w:r>
            <w:r w:rsidR="00EC6389" w:rsidRPr="00166980">
              <w:rPr>
                <w:b/>
                <w:color w:val="000000"/>
                <w:sz w:val="18"/>
                <w:szCs w:val="18"/>
              </w:rPr>
              <w:t>(</w:t>
            </w:r>
            <w:r w:rsidRPr="00166980">
              <w:rPr>
                <w:b/>
                <w:color w:val="000000"/>
                <w:sz w:val="18"/>
                <w:szCs w:val="18"/>
              </w:rPr>
              <w:t>21,7</w:t>
            </w:r>
            <w:r w:rsidR="00EC6389" w:rsidRPr="00166980">
              <w:rPr>
                <w:b/>
                <w:color w:val="000000"/>
                <w:sz w:val="18"/>
                <w:szCs w:val="18"/>
              </w:rPr>
              <w:t xml:space="preserve"> </w:t>
            </w:r>
            <w:r w:rsidRPr="00166980">
              <w:rPr>
                <w:b/>
                <w:color w:val="000000"/>
                <w:sz w:val="18"/>
                <w:szCs w:val="18"/>
              </w:rPr>
              <w:t>%</w:t>
            </w:r>
            <w:r w:rsidR="00EC6389" w:rsidRPr="00166980">
              <w:rPr>
                <w:b/>
                <w:color w:val="000000"/>
                <w:sz w:val="18"/>
                <w:szCs w:val="18"/>
              </w:rPr>
              <w:t>)</w:t>
            </w:r>
          </w:p>
        </w:tc>
      </w:tr>
      <w:tr w:rsidR="002A62D1" w:rsidRPr="00166980" w:rsidTr="00237115">
        <w:trPr>
          <w:cantSplit/>
          <w:trHeight w:val="172"/>
          <w:tblHeader/>
        </w:trPr>
        <w:tc>
          <w:tcPr>
            <w:tcW w:w="2430" w:type="dxa"/>
            <w:shd w:val="clear" w:color="auto" w:fill="D9D9D9" w:themeFill="background1" w:themeFillShade="D9"/>
            <w:tcMar>
              <w:top w:w="30" w:type="dxa"/>
              <w:left w:w="30" w:type="dxa"/>
              <w:bottom w:w="30" w:type="dxa"/>
              <w:right w:w="30" w:type="dxa"/>
            </w:tcMar>
            <w:vAlign w:val="center"/>
          </w:tcPr>
          <w:p w:rsidR="002A62D1" w:rsidRPr="00166980" w:rsidRDefault="002A62D1" w:rsidP="006F09E2">
            <w:pPr>
              <w:widowControl/>
              <w:autoSpaceDE w:val="0"/>
              <w:autoSpaceDN w:val="0"/>
              <w:adjustRightInd w:val="0"/>
              <w:spacing w:after="0" w:line="240" w:lineRule="auto"/>
              <w:ind w:firstLine="0"/>
              <w:contextualSpacing w:val="0"/>
              <w:jc w:val="left"/>
              <w:rPr>
                <w:b/>
                <w:i/>
                <w:color w:val="000000"/>
                <w:sz w:val="18"/>
                <w:szCs w:val="18"/>
              </w:rPr>
            </w:pPr>
            <w:r w:rsidRPr="00166980">
              <w:rPr>
                <w:b/>
                <w:i/>
                <w:color w:val="000000"/>
                <w:sz w:val="18"/>
                <w:szCs w:val="18"/>
              </w:rPr>
              <w:t>4</w:t>
            </w:r>
            <w:r w:rsidR="006F09E2">
              <w:rPr>
                <w:b/>
                <w:i/>
                <w:color w:val="000000"/>
                <w:sz w:val="18"/>
                <w:szCs w:val="18"/>
              </w:rPr>
              <w:t xml:space="preserve"> – </w:t>
            </w:r>
            <w:r w:rsidRPr="00166980">
              <w:rPr>
                <w:b/>
                <w:i/>
                <w:color w:val="000000"/>
                <w:sz w:val="18"/>
                <w:szCs w:val="18"/>
              </w:rPr>
              <w:t>maža įtaka</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2A62D1" w:rsidRPr="00AB316E" w:rsidRDefault="002A62D1" w:rsidP="00BD6CA6">
            <w:pPr>
              <w:widowControl/>
              <w:autoSpaceDE w:val="0"/>
              <w:autoSpaceDN w:val="0"/>
              <w:adjustRightInd w:val="0"/>
              <w:spacing w:after="0" w:line="240" w:lineRule="auto"/>
              <w:ind w:firstLine="0"/>
              <w:contextualSpacing w:val="0"/>
              <w:jc w:val="center"/>
              <w:rPr>
                <w:color w:val="FF0000"/>
                <w:sz w:val="18"/>
                <w:szCs w:val="18"/>
              </w:rPr>
            </w:pPr>
            <w:r w:rsidRPr="00AB316E">
              <w:rPr>
                <w:color w:val="FF0000"/>
                <w:sz w:val="18"/>
                <w:szCs w:val="18"/>
              </w:rPr>
              <w:t>11</w:t>
            </w:r>
            <w:r w:rsidR="009B1A03" w:rsidRPr="00AB316E">
              <w:rPr>
                <w:color w:val="FF0000"/>
                <w:sz w:val="18"/>
                <w:szCs w:val="18"/>
              </w:rPr>
              <w:t xml:space="preserve"> </w:t>
            </w:r>
            <w:r w:rsidR="003C2651" w:rsidRPr="00AB316E">
              <w:rPr>
                <w:color w:val="FF0000"/>
                <w:sz w:val="18"/>
                <w:szCs w:val="18"/>
              </w:rPr>
              <w:t>(</w:t>
            </w:r>
            <w:r w:rsidRPr="00AB316E">
              <w:rPr>
                <w:color w:val="FF0000"/>
                <w:sz w:val="18"/>
                <w:szCs w:val="18"/>
              </w:rPr>
              <w:t>20,4</w:t>
            </w:r>
            <w:r w:rsidR="003C2651" w:rsidRPr="00AB316E">
              <w:rPr>
                <w:color w:val="FF0000"/>
                <w:sz w:val="18"/>
                <w:szCs w:val="18"/>
              </w:rPr>
              <w:t xml:space="preserve"> </w:t>
            </w:r>
            <w:r w:rsidRPr="00AB316E">
              <w:rPr>
                <w:color w:val="FF0000"/>
                <w:sz w:val="18"/>
                <w:szCs w:val="18"/>
              </w:rPr>
              <w:t>%</w:t>
            </w:r>
            <w:r w:rsidR="003C2651" w:rsidRPr="00AB316E">
              <w:rPr>
                <w:color w:val="FF0000"/>
                <w:sz w:val="18"/>
                <w:szCs w:val="18"/>
              </w:rPr>
              <w:t>)</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2A62D1" w:rsidRPr="00AB316E" w:rsidRDefault="004076C8" w:rsidP="00BD6CA6">
            <w:pPr>
              <w:widowControl/>
              <w:autoSpaceDE w:val="0"/>
              <w:autoSpaceDN w:val="0"/>
              <w:adjustRightInd w:val="0"/>
              <w:spacing w:after="0" w:line="240" w:lineRule="auto"/>
              <w:ind w:firstLine="0"/>
              <w:contextualSpacing w:val="0"/>
              <w:jc w:val="center"/>
              <w:rPr>
                <w:color w:val="000000"/>
                <w:sz w:val="18"/>
                <w:szCs w:val="18"/>
              </w:rPr>
            </w:pPr>
            <w:r>
              <w:rPr>
                <w:color w:val="000000"/>
                <w:sz w:val="18"/>
                <w:szCs w:val="18"/>
              </w:rPr>
              <w:t>16</w:t>
            </w:r>
            <w:r w:rsidR="009B1A03" w:rsidRPr="00AB316E">
              <w:rPr>
                <w:color w:val="000000"/>
                <w:sz w:val="18"/>
                <w:szCs w:val="18"/>
              </w:rPr>
              <w:t xml:space="preserve"> </w:t>
            </w:r>
            <w:r w:rsidR="009B2AD2" w:rsidRPr="00AB316E">
              <w:rPr>
                <w:color w:val="000000"/>
                <w:sz w:val="18"/>
                <w:szCs w:val="18"/>
              </w:rPr>
              <w:t>(</w:t>
            </w:r>
            <w:r w:rsidR="00001E6F">
              <w:rPr>
                <w:color w:val="000000"/>
                <w:sz w:val="18"/>
                <w:szCs w:val="18"/>
              </w:rPr>
              <w:t>16,8</w:t>
            </w:r>
            <w:r w:rsidR="009B2AD2" w:rsidRPr="00AB316E">
              <w:rPr>
                <w:color w:val="000000"/>
                <w:sz w:val="18"/>
                <w:szCs w:val="18"/>
              </w:rPr>
              <w:t xml:space="preserve"> </w:t>
            </w:r>
            <w:r w:rsidR="002A62D1" w:rsidRPr="00AB316E">
              <w:rPr>
                <w:color w:val="000000"/>
                <w:sz w:val="18"/>
                <w:szCs w:val="18"/>
              </w:rPr>
              <w:t>%</w:t>
            </w:r>
            <w:r w:rsidR="009B2AD2" w:rsidRPr="00AB316E">
              <w:rPr>
                <w:color w:val="000000"/>
                <w:sz w:val="18"/>
                <w:szCs w:val="18"/>
              </w:rPr>
              <w:t>)</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2A62D1" w:rsidRPr="00AB316E" w:rsidRDefault="005F6ACE" w:rsidP="00BA0E20">
            <w:pPr>
              <w:widowControl/>
              <w:autoSpaceDE w:val="0"/>
              <w:autoSpaceDN w:val="0"/>
              <w:adjustRightInd w:val="0"/>
              <w:spacing w:after="0" w:line="240" w:lineRule="auto"/>
              <w:ind w:firstLine="0"/>
              <w:contextualSpacing w:val="0"/>
              <w:jc w:val="center"/>
              <w:rPr>
                <w:color w:val="000000"/>
                <w:sz w:val="18"/>
                <w:szCs w:val="18"/>
              </w:rPr>
            </w:pPr>
            <w:r>
              <w:rPr>
                <w:color w:val="000000"/>
                <w:sz w:val="18"/>
                <w:szCs w:val="18"/>
              </w:rPr>
              <w:t>15</w:t>
            </w:r>
            <w:r w:rsidR="009B1A03" w:rsidRPr="00AB316E">
              <w:rPr>
                <w:color w:val="000000"/>
                <w:sz w:val="18"/>
                <w:szCs w:val="18"/>
              </w:rPr>
              <w:t xml:space="preserve"> </w:t>
            </w:r>
            <w:r w:rsidR="006F717C" w:rsidRPr="00AB316E">
              <w:rPr>
                <w:color w:val="000000"/>
                <w:sz w:val="18"/>
                <w:szCs w:val="18"/>
              </w:rPr>
              <w:t>(</w:t>
            </w:r>
            <w:r>
              <w:rPr>
                <w:color w:val="000000"/>
                <w:sz w:val="18"/>
                <w:szCs w:val="18"/>
              </w:rPr>
              <w:t>17,4</w:t>
            </w:r>
            <w:r w:rsidR="006F717C" w:rsidRPr="00AB316E">
              <w:rPr>
                <w:color w:val="000000"/>
                <w:sz w:val="18"/>
                <w:szCs w:val="18"/>
              </w:rPr>
              <w:t xml:space="preserve"> </w:t>
            </w:r>
            <w:r w:rsidR="002A62D1" w:rsidRPr="00AB316E">
              <w:rPr>
                <w:color w:val="000000"/>
                <w:sz w:val="18"/>
                <w:szCs w:val="18"/>
              </w:rPr>
              <w:t>%</w:t>
            </w:r>
            <w:r w:rsidR="006F717C" w:rsidRPr="00AB316E">
              <w:rPr>
                <w:color w:val="000000"/>
                <w:sz w:val="18"/>
                <w:szCs w:val="18"/>
              </w:rPr>
              <w:t>)</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2A62D1" w:rsidRPr="00AB316E" w:rsidRDefault="002A62D1" w:rsidP="00BA0E20">
            <w:pPr>
              <w:widowControl/>
              <w:autoSpaceDE w:val="0"/>
              <w:autoSpaceDN w:val="0"/>
              <w:adjustRightInd w:val="0"/>
              <w:spacing w:after="0" w:line="240" w:lineRule="auto"/>
              <w:ind w:firstLine="0"/>
              <w:contextualSpacing w:val="0"/>
              <w:jc w:val="center"/>
              <w:rPr>
                <w:color w:val="000000"/>
                <w:sz w:val="18"/>
                <w:szCs w:val="18"/>
              </w:rPr>
            </w:pPr>
            <w:r w:rsidRPr="00AB316E">
              <w:rPr>
                <w:color w:val="000000"/>
                <w:sz w:val="18"/>
                <w:szCs w:val="18"/>
              </w:rPr>
              <w:t>3</w:t>
            </w:r>
            <w:r w:rsidR="009B1A03" w:rsidRPr="00AB316E">
              <w:rPr>
                <w:color w:val="000000"/>
                <w:sz w:val="18"/>
                <w:szCs w:val="18"/>
              </w:rPr>
              <w:t xml:space="preserve"> </w:t>
            </w:r>
            <w:r w:rsidR="007A1DAF" w:rsidRPr="00AB316E">
              <w:rPr>
                <w:color w:val="000000"/>
                <w:sz w:val="18"/>
                <w:szCs w:val="18"/>
              </w:rPr>
              <w:t>(</w:t>
            </w:r>
            <w:r w:rsidRPr="00AB316E">
              <w:rPr>
                <w:color w:val="000000"/>
                <w:sz w:val="18"/>
                <w:szCs w:val="18"/>
              </w:rPr>
              <w:t>5,8</w:t>
            </w:r>
            <w:r w:rsidR="007A1DAF" w:rsidRPr="00AB316E">
              <w:rPr>
                <w:color w:val="000000"/>
                <w:sz w:val="18"/>
                <w:szCs w:val="18"/>
              </w:rPr>
              <w:t xml:space="preserve"> </w:t>
            </w:r>
            <w:r w:rsidRPr="00AB316E">
              <w:rPr>
                <w:color w:val="000000"/>
                <w:sz w:val="18"/>
                <w:szCs w:val="18"/>
              </w:rPr>
              <w:t>%</w:t>
            </w:r>
            <w:r w:rsidR="007A1DAF" w:rsidRPr="00AB316E">
              <w:rPr>
                <w:color w:val="000000"/>
                <w:sz w:val="18"/>
                <w:szCs w:val="18"/>
              </w:rPr>
              <w:t>)</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2A62D1" w:rsidRPr="00AB316E" w:rsidRDefault="002A62D1" w:rsidP="00BA0E20">
            <w:pPr>
              <w:widowControl/>
              <w:autoSpaceDE w:val="0"/>
              <w:autoSpaceDN w:val="0"/>
              <w:adjustRightInd w:val="0"/>
              <w:spacing w:after="0" w:line="240" w:lineRule="auto"/>
              <w:ind w:firstLine="0"/>
              <w:contextualSpacing w:val="0"/>
              <w:jc w:val="center"/>
              <w:rPr>
                <w:color w:val="000000"/>
                <w:sz w:val="18"/>
                <w:szCs w:val="18"/>
              </w:rPr>
            </w:pPr>
            <w:r w:rsidRPr="00AB316E">
              <w:rPr>
                <w:color w:val="000000"/>
                <w:sz w:val="18"/>
                <w:szCs w:val="18"/>
              </w:rPr>
              <w:t>3</w:t>
            </w:r>
            <w:r w:rsidR="009B1A03" w:rsidRPr="00AB316E">
              <w:rPr>
                <w:color w:val="000000"/>
                <w:sz w:val="18"/>
                <w:szCs w:val="18"/>
              </w:rPr>
              <w:t xml:space="preserve"> </w:t>
            </w:r>
            <w:r w:rsidR="00EC6389" w:rsidRPr="00AB316E">
              <w:rPr>
                <w:color w:val="000000"/>
                <w:sz w:val="18"/>
                <w:szCs w:val="18"/>
              </w:rPr>
              <w:t>(</w:t>
            </w:r>
            <w:r w:rsidRPr="00AB316E">
              <w:rPr>
                <w:color w:val="000000"/>
                <w:sz w:val="18"/>
                <w:szCs w:val="18"/>
              </w:rPr>
              <w:t>5,6</w:t>
            </w:r>
            <w:r w:rsidR="00EC6389" w:rsidRPr="00AB316E">
              <w:rPr>
                <w:color w:val="000000"/>
                <w:sz w:val="18"/>
                <w:szCs w:val="18"/>
              </w:rPr>
              <w:t xml:space="preserve"> </w:t>
            </w:r>
            <w:r w:rsidRPr="00AB316E">
              <w:rPr>
                <w:color w:val="000000"/>
                <w:sz w:val="18"/>
                <w:szCs w:val="18"/>
              </w:rPr>
              <w:t>%</w:t>
            </w:r>
            <w:r w:rsidR="00EC6389" w:rsidRPr="00AB316E">
              <w:rPr>
                <w:color w:val="000000"/>
                <w:sz w:val="18"/>
                <w:szCs w:val="18"/>
              </w:rPr>
              <w:t>)</w:t>
            </w:r>
          </w:p>
        </w:tc>
        <w:tc>
          <w:tcPr>
            <w:tcW w:w="1080" w:type="dxa"/>
            <w:shd w:val="clear" w:color="auto" w:fill="D9D9D9" w:themeFill="background1" w:themeFillShade="D9"/>
            <w:tcMar>
              <w:top w:w="30" w:type="dxa"/>
              <w:left w:w="30" w:type="dxa"/>
              <w:bottom w:w="30" w:type="dxa"/>
              <w:right w:w="30" w:type="dxa"/>
            </w:tcMar>
            <w:vAlign w:val="center"/>
          </w:tcPr>
          <w:p w:rsidR="002A62D1" w:rsidRPr="00166980" w:rsidRDefault="002A62D1" w:rsidP="00BA0E20">
            <w:pPr>
              <w:widowControl/>
              <w:autoSpaceDE w:val="0"/>
              <w:autoSpaceDN w:val="0"/>
              <w:adjustRightInd w:val="0"/>
              <w:spacing w:after="0" w:line="240" w:lineRule="auto"/>
              <w:ind w:firstLine="0"/>
              <w:contextualSpacing w:val="0"/>
              <w:jc w:val="center"/>
              <w:rPr>
                <w:b/>
                <w:color w:val="000000"/>
                <w:sz w:val="18"/>
                <w:szCs w:val="18"/>
              </w:rPr>
            </w:pPr>
            <w:r w:rsidRPr="00166980">
              <w:rPr>
                <w:b/>
                <w:color w:val="000000"/>
                <w:sz w:val="18"/>
                <w:szCs w:val="18"/>
              </w:rPr>
              <w:t>43</w:t>
            </w:r>
            <w:r w:rsidR="00AB316E">
              <w:rPr>
                <w:b/>
                <w:color w:val="000000"/>
                <w:sz w:val="18"/>
                <w:szCs w:val="18"/>
              </w:rPr>
              <w:t xml:space="preserve"> </w:t>
            </w:r>
            <w:r w:rsidR="00EC6389" w:rsidRPr="00166980">
              <w:rPr>
                <w:b/>
                <w:color w:val="000000"/>
                <w:sz w:val="18"/>
                <w:szCs w:val="18"/>
              </w:rPr>
              <w:t>(</w:t>
            </w:r>
            <w:r w:rsidRPr="00166980">
              <w:rPr>
                <w:b/>
                <w:color w:val="000000"/>
                <w:sz w:val="18"/>
                <w:szCs w:val="18"/>
              </w:rPr>
              <w:t>12,6</w:t>
            </w:r>
            <w:r w:rsidR="00EC6389" w:rsidRPr="00166980">
              <w:rPr>
                <w:b/>
                <w:color w:val="000000"/>
                <w:sz w:val="18"/>
                <w:szCs w:val="18"/>
              </w:rPr>
              <w:t xml:space="preserve"> </w:t>
            </w:r>
            <w:r w:rsidRPr="00166980">
              <w:rPr>
                <w:b/>
                <w:color w:val="000000"/>
                <w:sz w:val="18"/>
                <w:szCs w:val="18"/>
              </w:rPr>
              <w:t>%</w:t>
            </w:r>
            <w:r w:rsidR="00EC6389" w:rsidRPr="00166980">
              <w:rPr>
                <w:b/>
                <w:color w:val="000000"/>
                <w:sz w:val="18"/>
                <w:szCs w:val="18"/>
              </w:rPr>
              <w:t>)</w:t>
            </w:r>
          </w:p>
        </w:tc>
      </w:tr>
      <w:tr w:rsidR="002A62D1" w:rsidRPr="00166980" w:rsidTr="00237115">
        <w:trPr>
          <w:cantSplit/>
          <w:trHeight w:val="172"/>
          <w:tblHeader/>
        </w:trPr>
        <w:tc>
          <w:tcPr>
            <w:tcW w:w="2430" w:type="dxa"/>
            <w:tcBorders>
              <w:bottom w:val="single" w:sz="12" w:space="0" w:color="000000"/>
            </w:tcBorders>
            <w:shd w:val="clear" w:color="auto" w:fill="D9D9D9" w:themeFill="background1" w:themeFillShade="D9"/>
            <w:tcMar>
              <w:top w:w="30" w:type="dxa"/>
              <w:left w:w="30" w:type="dxa"/>
              <w:bottom w:w="30" w:type="dxa"/>
              <w:right w:w="30" w:type="dxa"/>
            </w:tcMar>
            <w:vAlign w:val="center"/>
          </w:tcPr>
          <w:p w:rsidR="002A62D1" w:rsidRPr="00166980" w:rsidRDefault="002A62D1" w:rsidP="006F09E2">
            <w:pPr>
              <w:widowControl/>
              <w:autoSpaceDE w:val="0"/>
              <w:autoSpaceDN w:val="0"/>
              <w:adjustRightInd w:val="0"/>
              <w:spacing w:after="0" w:line="240" w:lineRule="auto"/>
              <w:ind w:firstLine="0"/>
              <w:contextualSpacing w:val="0"/>
              <w:jc w:val="left"/>
              <w:rPr>
                <w:b/>
                <w:i/>
                <w:color w:val="000000"/>
                <w:sz w:val="18"/>
                <w:szCs w:val="18"/>
              </w:rPr>
            </w:pPr>
            <w:r w:rsidRPr="00166980">
              <w:rPr>
                <w:b/>
                <w:i/>
                <w:color w:val="000000"/>
                <w:sz w:val="18"/>
                <w:szCs w:val="18"/>
              </w:rPr>
              <w:t>5</w:t>
            </w:r>
            <w:r w:rsidR="006F09E2">
              <w:rPr>
                <w:b/>
                <w:i/>
                <w:color w:val="000000"/>
                <w:sz w:val="18"/>
                <w:szCs w:val="18"/>
              </w:rPr>
              <w:t xml:space="preserve"> – labai maža įtaka</w:t>
            </w:r>
          </w:p>
        </w:tc>
        <w:tc>
          <w:tcPr>
            <w:tcW w:w="1350" w:type="dxa"/>
            <w:tcBorders>
              <w:top w:val="single" w:sz="2" w:space="0" w:color="000000"/>
              <w:bottom w:val="single" w:sz="12" w:space="0" w:color="000000"/>
            </w:tcBorders>
            <w:shd w:val="clear" w:color="auto" w:fill="auto"/>
            <w:tcMar>
              <w:top w:w="30" w:type="dxa"/>
              <w:left w:w="30" w:type="dxa"/>
              <w:bottom w:w="30" w:type="dxa"/>
              <w:right w:w="30" w:type="dxa"/>
            </w:tcMar>
            <w:vAlign w:val="center"/>
          </w:tcPr>
          <w:p w:rsidR="002A62D1" w:rsidRPr="00AB316E" w:rsidRDefault="00544B41" w:rsidP="00BD6CA6">
            <w:pPr>
              <w:widowControl/>
              <w:autoSpaceDE w:val="0"/>
              <w:autoSpaceDN w:val="0"/>
              <w:adjustRightInd w:val="0"/>
              <w:spacing w:after="0" w:line="240" w:lineRule="auto"/>
              <w:ind w:firstLine="0"/>
              <w:contextualSpacing w:val="0"/>
              <w:jc w:val="center"/>
              <w:rPr>
                <w:color w:val="FF0000"/>
                <w:sz w:val="18"/>
                <w:szCs w:val="18"/>
              </w:rPr>
            </w:pPr>
            <w:r>
              <w:rPr>
                <w:color w:val="FF0000"/>
                <w:sz w:val="18"/>
                <w:szCs w:val="18"/>
              </w:rPr>
              <w:t>11</w:t>
            </w:r>
            <w:r w:rsidR="00AB316E" w:rsidRPr="00AB316E">
              <w:rPr>
                <w:color w:val="FF0000"/>
                <w:sz w:val="18"/>
                <w:szCs w:val="18"/>
              </w:rPr>
              <w:t xml:space="preserve"> </w:t>
            </w:r>
            <w:r w:rsidR="009B2AD2" w:rsidRPr="00AB316E">
              <w:rPr>
                <w:color w:val="FF0000"/>
                <w:sz w:val="18"/>
                <w:szCs w:val="18"/>
              </w:rPr>
              <w:t>(</w:t>
            </w:r>
            <w:r>
              <w:rPr>
                <w:color w:val="FF0000"/>
                <w:sz w:val="18"/>
                <w:szCs w:val="18"/>
              </w:rPr>
              <w:t>20,4</w:t>
            </w:r>
            <w:r w:rsidR="009B2AD2" w:rsidRPr="00AB316E">
              <w:rPr>
                <w:color w:val="FF0000"/>
                <w:sz w:val="18"/>
                <w:szCs w:val="18"/>
              </w:rPr>
              <w:t xml:space="preserve"> </w:t>
            </w:r>
            <w:r w:rsidR="002A62D1" w:rsidRPr="00AB316E">
              <w:rPr>
                <w:color w:val="FF0000"/>
                <w:sz w:val="18"/>
                <w:szCs w:val="18"/>
              </w:rPr>
              <w:t>%</w:t>
            </w:r>
            <w:r w:rsidR="009B2AD2" w:rsidRPr="00AB316E">
              <w:rPr>
                <w:color w:val="FF0000"/>
                <w:sz w:val="18"/>
                <w:szCs w:val="18"/>
              </w:rPr>
              <w:t>)</w:t>
            </w:r>
          </w:p>
        </w:tc>
        <w:tc>
          <w:tcPr>
            <w:tcW w:w="1350" w:type="dxa"/>
            <w:tcBorders>
              <w:top w:val="single" w:sz="2" w:space="0" w:color="000000"/>
              <w:bottom w:val="single" w:sz="12" w:space="0" w:color="000000"/>
            </w:tcBorders>
            <w:shd w:val="clear" w:color="auto" w:fill="auto"/>
            <w:tcMar>
              <w:top w:w="30" w:type="dxa"/>
              <w:left w:w="30" w:type="dxa"/>
              <w:bottom w:w="30" w:type="dxa"/>
              <w:right w:w="30" w:type="dxa"/>
            </w:tcMar>
            <w:vAlign w:val="center"/>
          </w:tcPr>
          <w:p w:rsidR="002A62D1" w:rsidRPr="00AB316E" w:rsidRDefault="002A62D1" w:rsidP="00BD6CA6">
            <w:pPr>
              <w:widowControl/>
              <w:autoSpaceDE w:val="0"/>
              <w:autoSpaceDN w:val="0"/>
              <w:adjustRightInd w:val="0"/>
              <w:spacing w:after="0" w:line="240" w:lineRule="auto"/>
              <w:ind w:firstLine="0"/>
              <w:contextualSpacing w:val="0"/>
              <w:jc w:val="center"/>
              <w:rPr>
                <w:color w:val="000000"/>
                <w:sz w:val="18"/>
                <w:szCs w:val="18"/>
              </w:rPr>
            </w:pPr>
            <w:r w:rsidRPr="00AB316E">
              <w:rPr>
                <w:color w:val="000000"/>
                <w:sz w:val="18"/>
                <w:szCs w:val="18"/>
              </w:rPr>
              <w:t>9</w:t>
            </w:r>
            <w:r w:rsidR="00AB316E" w:rsidRPr="00AB316E">
              <w:rPr>
                <w:color w:val="000000"/>
                <w:sz w:val="18"/>
                <w:szCs w:val="18"/>
              </w:rPr>
              <w:t xml:space="preserve"> </w:t>
            </w:r>
            <w:r w:rsidR="009B2AD2" w:rsidRPr="00AB316E">
              <w:rPr>
                <w:color w:val="000000"/>
                <w:sz w:val="18"/>
                <w:szCs w:val="18"/>
              </w:rPr>
              <w:t>(</w:t>
            </w:r>
            <w:r w:rsidRPr="00AB316E">
              <w:rPr>
                <w:color w:val="000000"/>
                <w:sz w:val="18"/>
                <w:szCs w:val="18"/>
              </w:rPr>
              <w:t>9,5</w:t>
            </w:r>
            <w:r w:rsidR="009B2AD2" w:rsidRPr="00AB316E">
              <w:rPr>
                <w:color w:val="000000"/>
                <w:sz w:val="18"/>
                <w:szCs w:val="18"/>
              </w:rPr>
              <w:t xml:space="preserve"> </w:t>
            </w:r>
            <w:r w:rsidRPr="00AB316E">
              <w:rPr>
                <w:color w:val="000000"/>
                <w:sz w:val="18"/>
                <w:szCs w:val="18"/>
              </w:rPr>
              <w:t>%</w:t>
            </w:r>
            <w:r w:rsidR="009B2AD2" w:rsidRPr="00AB316E">
              <w:rPr>
                <w:color w:val="000000"/>
                <w:sz w:val="18"/>
                <w:szCs w:val="18"/>
              </w:rPr>
              <w:t>)</w:t>
            </w:r>
          </w:p>
        </w:tc>
        <w:tc>
          <w:tcPr>
            <w:tcW w:w="1350" w:type="dxa"/>
            <w:tcBorders>
              <w:top w:val="single" w:sz="2" w:space="0" w:color="000000"/>
              <w:bottom w:val="single" w:sz="12" w:space="0" w:color="000000"/>
            </w:tcBorders>
            <w:shd w:val="clear" w:color="auto" w:fill="auto"/>
            <w:tcMar>
              <w:top w:w="30" w:type="dxa"/>
              <w:left w:w="30" w:type="dxa"/>
              <w:bottom w:w="30" w:type="dxa"/>
              <w:right w:w="30" w:type="dxa"/>
            </w:tcMar>
            <w:vAlign w:val="center"/>
          </w:tcPr>
          <w:p w:rsidR="002A62D1" w:rsidRPr="00AB316E" w:rsidRDefault="005F6ACE" w:rsidP="00BA0E20">
            <w:pPr>
              <w:widowControl/>
              <w:autoSpaceDE w:val="0"/>
              <w:autoSpaceDN w:val="0"/>
              <w:adjustRightInd w:val="0"/>
              <w:spacing w:after="0" w:line="240" w:lineRule="auto"/>
              <w:ind w:firstLine="0"/>
              <w:contextualSpacing w:val="0"/>
              <w:jc w:val="center"/>
              <w:rPr>
                <w:color w:val="000000"/>
                <w:sz w:val="18"/>
                <w:szCs w:val="18"/>
              </w:rPr>
            </w:pPr>
            <w:r>
              <w:rPr>
                <w:color w:val="000000"/>
                <w:sz w:val="18"/>
                <w:szCs w:val="18"/>
              </w:rPr>
              <w:t>5</w:t>
            </w:r>
            <w:r w:rsidR="00AB316E" w:rsidRPr="00AB316E">
              <w:rPr>
                <w:color w:val="000000"/>
                <w:sz w:val="18"/>
                <w:szCs w:val="18"/>
              </w:rPr>
              <w:t xml:space="preserve"> </w:t>
            </w:r>
            <w:r w:rsidR="006F717C" w:rsidRPr="00AB316E">
              <w:rPr>
                <w:color w:val="000000"/>
                <w:sz w:val="18"/>
                <w:szCs w:val="18"/>
              </w:rPr>
              <w:t>(</w:t>
            </w:r>
            <w:r>
              <w:rPr>
                <w:color w:val="000000"/>
                <w:sz w:val="18"/>
                <w:szCs w:val="18"/>
              </w:rPr>
              <w:t>5,8</w:t>
            </w:r>
            <w:r w:rsidR="006F717C" w:rsidRPr="00AB316E">
              <w:rPr>
                <w:color w:val="000000"/>
                <w:sz w:val="18"/>
                <w:szCs w:val="18"/>
              </w:rPr>
              <w:t xml:space="preserve"> </w:t>
            </w:r>
            <w:r w:rsidR="002A62D1" w:rsidRPr="00AB316E">
              <w:rPr>
                <w:color w:val="000000"/>
                <w:sz w:val="18"/>
                <w:szCs w:val="18"/>
              </w:rPr>
              <w:t>%</w:t>
            </w:r>
            <w:r w:rsidR="006F717C" w:rsidRPr="00AB316E">
              <w:rPr>
                <w:color w:val="000000"/>
                <w:sz w:val="18"/>
                <w:szCs w:val="18"/>
              </w:rPr>
              <w:t>)</w:t>
            </w:r>
          </w:p>
        </w:tc>
        <w:tc>
          <w:tcPr>
            <w:tcW w:w="1350" w:type="dxa"/>
            <w:tcBorders>
              <w:top w:val="single" w:sz="2" w:space="0" w:color="000000"/>
              <w:bottom w:val="single" w:sz="12" w:space="0" w:color="000000"/>
            </w:tcBorders>
            <w:shd w:val="clear" w:color="auto" w:fill="auto"/>
            <w:tcMar>
              <w:top w:w="30" w:type="dxa"/>
              <w:left w:w="30" w:type="dxa"/>
              <w:bottom w:w="30" w:type="dxa"/>
              <w:right w:w="30" w:type="dxa"/>
            </w:tcMar>
            <w:vAlign w:val="center"/>
          </w:tcPr>
          <w:p w:rsidR="002A62D1" w:rsidRPr="00AB316E" w:rsidRDefault="002A62D1" w:rsidP="00BA0E20">
            <w:pPr>
              <w:widowControl/>
              <w:autoSpaceDE w:val="0"/>
              <w:autoSpaceDN w:val="0"/>
              <w:adjustRightInd w:val="0"/>
              <w:spacing w:after="0" w:line="240" w:lineRule="auto"/>
              <w:ind w:firstLine="0"/>
              <w:contextualSpacing w:val="0"/>
              <w:jc w:val="center"/>
              <w:rPr>
                <w:color w:val="000000"/>
                <w:sz w:val="18"/>
                <w:szCs w:val="18"/>
              </w:rPr>
            </w:pPr>
            <w:r w:rsidRPr="00AB316E">
              <w:rPr>
                <w:color w:val="000000"/>
                <w:sz w:val="18"/>
                <w:szCs w:val="18"/>
              </w:rPr>
              <w:t>3</w:t>
            </w:r>
            <w:r w:rsidR="00AB316E" w:rsidRPr="00AB316E">
              <w:rPr>
                <w:color w:val="000000"/>
                <w:sz w:val="18"/>
                <w:szCs w:val="18"/>
              </w:rPr>
              <w:t xml:space="preserve"> </w:t>
            </w:r>
            <w:r w:rsidR="007A1DAF" w:rsidRPr="00AB316E">
              <w:rPr>
                <w:color w:val="000000"/>
                <w:sz w:val="18"/>
                <w:szCs w:val="18"/>
              </w:rPr>
              <w:t>(</w:t>
            </w:r>
            <w:r w:rsidRPr="00AB316E">
              <w:rPr>
                <w:color w:val="000000"/>
                <w:sz w:val="18"/>
                <w:szCs w:val="18"/>
              </w:rPr>
              <w:t>5,8</w:t>
            </w:r>
            <w:r w:rsidR="007A1DAF" w:rsidRPr="00AB316E">
              <w:rPr>
                <w:color w:val="000000"/>
                <w:sz w:val="18"/>
                <w:szCs w:val="18"/>
              </w:rPr>
              <w:t xml:space="preserve"> </w:t>
            </w:r>
            <w:r w:rsidRPr="00AB316E">
              <w:rPr>
                <w:color w:val="000000"/>
                <w:sz w:val="18"/>
                <w:szCs w:val="18"/>
              </w:rPr>
              <w:t>%</w:t>
            </w:r>
            <w:r w:rsidR="007A1DAF" w:rsidRPr="00AB316E">
              <w:rPr>
                <w:color w:val="000000"/>
                <w:sz w:val="18"/>
                <w:szCs w:val="18"/>
              </w:rPr>
              <w:t>)</w:t>
            </w:r>
          </w:p>
        </w:tc>
        <w:tc>
          <w:tcPr>
            <w:tcW w:w="1350" w:type="dxa"/>
            <w:tcBorders>
              <w:top w:val="single" w:sz="2" w:space="0" w:color="000000"/>
              <w:bottom w:val="single" w:sz="12" w:space="0" w:color="000000"/>
            </w:tcBorders>
            <w:shd w:val="clear" w:color="auto" w:fill="auto"/>
            <w:tcMar>
              <w:top w:w="30" w:type="dxa"/>
              <w:left w:w="30" w:type="dxa"/>
              <w:bottom w:w="30" w:type="dxa"/>
              <w:right w:w="30" w:type="dxa"/>
            </w:tcMar>
            <w:vAlign w:val="center"/>
          </w:tcPr>
          <w:p w:rsidR="002A62D1" w:rsidRPr="00AB316E" w:rsidRDefault="00A21432" w:rsidP="00BA0E20">
            <w:pPr>
              <w:widowControl/>
              <w:autoSpaceDE w:val="0"/>
              <w:autoSpaceDN w:val="0"/>
              <w:adjustRightInd w:val="0"/>
              <w:spacing w:after="0" w:line="240" w:lineRule="auto"/>
              <w:ind w:firstLine="0"/>
              <w:contextualSpacing w:val="0"/>
              <w:jc w:val="center"/>
              <w:rPr>
                <w:color w:val="000000"/>
                <w:sz w:val="18"/>
                <w:szCs w:val="18"/>
              </w:rPr>
            </w:pPr>
            <w:r>
              <w:rPr>
                <w:color w:val="000000"/>
                <w:sz w:val="18"/>
                <w:szCs w:val="18"/>
              </w:rPr>
              <w:t>3</w:t>
            </w:r>
            <w:r w:rsidR="00AB316E" w:rsidRPr="00AB316E">
              <w:rPr>
                <w:color w:val="000000"/>
                <w:sz w:val="18"/>
                <w:szCs w:val="18"/>
              </w:rPr>
              <w:t xml:space="preserve"> </w:t>
            </w:r>
            <w:r w:rsidR="00EC6389" w:rsidRPr="00AB316E">
              <w:rPr>
                <w:color w:val="000000"/>
                <w:sz w:val="18"/>
                <w:szCs w:val="18"/>
              </w:rPr>
              <w:t>(</w:t>
            </w:r>
            <w:r>
              <w:rPr>
                <w:color w:val="000000"/>
                <w:sz w:val="18"/>
                <w:szCs w:val="18"/>
              </w:rPr>
              <w:t>5,6</w:t>
            </w:r>
            <w:r w:rsidR="00EC6389" w:rsidRPr="00AB316E">
              <w:rPr>
                <w:color w:val="000000"/>
                <w:sz w:val="18"/>
                <w:szCs w:val="18"/>
              </w:rPr>
              <w:t xml:space="preserve"> </w:t>
            </w:r>
            <w:r w:rsidR="002A62D1" w:rsidRPr="00AB316E">
              <w:rPr>
                <w:color w:val="000000"/>
                <w:sz w:val="18"/>
                <w:szCs w:val="18"/>
              </w:rPr>
              <w:t>%</w:t>
            </w:r>
            <w:r w:rsidR="00EC6389" w:rsidRPr="00AB316E">
              <w:rPr>
                <w:color w:val="000000"/>
                <w:sz w:val="18"/>
                <w:szCs w:val="18"/>
              </w:rPr>
              <w:t>)</w:t>
            </w:r>
          </w:p>
        </w:tc>
        <w:tc>
          <w:tcPr>
            <w:tcW w:w="1080" w:type="dxa"/>
            <w:tcBorders>
              <w:bottom w:val="single" w:sz="12" w:space="0" w:color="000000"/>
            </w:tcBorders>
            <w:shd w:val="clear" w:color="auto" w:fill="D9D9D9" w:themeFill="background1" w:themeFillShade="D9"/>
            <w:tcMar>
              <w:top w:w="30" w:type="dxa"/>
              <w:left w:w="30" w:type="dxa"/>
              <w:bottom w:w="30" w:type="dxa"/>
              <w:right w:w="30" w:type="dxa"/>
            </w:tcMar>
            <w:vAlign w:val="center"/>
          </w:tcPr>
          <w:p w:rsidR="002A62D1" w:rsidRPr="00166980" w:rsidRDefault="002A62D1" w:rsidP="00BA0E20">
            <w:pPr>
              <w:widowControl/>
              <w:autoSpaceDE w:val="0"/>
              <w:autoSpaceDN w:val="0"/>
              <w:adjustRightInd w:val="0"/>
              <w:spacing w:after="0" w:line="240" w:lineRule="auto"/>
              <w:ind w:firstLine="0"/>
              <w:contextualSpacing w:val="0"/>
              <w:jc w:val="center"/>
              <w:rPr>
                <w:b/>
                <w:color w:val="000000"/>
                <w:sz w:val="18"/>
                <w:szCs w:val="18"/>
              </w:rPr>
            </w:pPr>
            <w:r w:rsidRPr="00166980">
              <w:rPr>
                <w:b/>
                <w:color w:val="000000"/>
                <w:sz w:val="18"/>
                <w:szCs w:val="18"/>
              </w:rPr>
              <w:t>28</w:t>
            </w:r>
            <w:r w:rsidR="00AB316E">
              <w:rPr>
                <w:b/>
                <w:color w:val="000000"/>
                <w:sz w:val="18"/>
                <w:szCs w:val="18"/>
              </w:rPr>
              <w:t xml:space="preserve"> </w:t>
            </w:r>
            <w:r w:rsidR="00EC6389" w:rsidRPr="00166980">
              <w:rPr>
                <w:b/>
                <w:color w:val="000000"/>
                <w:sz w:val="18"/>
                <w:szCs w:val="18"/>
              </w:rPr>
              <w:t>(</w:t>
            </w:r>
            <w:r w:rsidRPr="00166980">
              <w:rPr>
                <w:b/>
                <w:color w:val="000000"/>
                <w:sz w:val="18"/>
                <w:szCs w:val="18"/>
              </w:rPr>
              <w:t>8,2</w:t>
            </w:r>
            <w:r w:rsidR="00EC6389" w:rsidRPr="00166980">
              <w:rPr>
                <w:b/>
                <w:color w:val="000000"/>
                <w:sz w:val="18"/>
                <w:szCs w:val="18"/>
              </w:rPr>
              <w:t xml:space="preserve"> </w:t>
            </w:r>
            <w:r w:rsidRPr="00166980">
              <w:rPr>
                <w:b/>
                <w:color w:val="000000"/>
                <w:sz w:val="18"/>
                <w:szCs w:val="18"/>
              </w:rPr>
              <w:t>%</w:t>
            </w:r>
            <w:r w:rsidR="00EC6389" w:rsidRPr="00166980">
              <w:rPr>
                <w:b/>
                <w:color w:val="000000"/>
                <w:sz w:val="18"/>
                <w:szCs w:val="18"/>
              </w:rPr>
              <w:t>)</w:t>
            </w:r>
          </w:p>
        </w:tc>
      </w:tr>
      <w:tr w:rsidR="00B1792F" w:rsidRPr="00166980" w:rsidTr="00237115">
        <w:trPr>
          <w:cantSplit/>
          <w:trHeight w:val="57"/>
          <w:tblHeader/>
        </w:trPr>
        <w:tc>
          <w:tcPr>
            <w:tcW w:w="243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center"/>
          </w:tcPr>
          <w:p w:rsidR="00B1792F" w:rsidRPr="00166980" w:rsidRDefault="00B1792F" w:rsidP="004E5795">
            <w:pPr>
              <w:widowControl/>
              <w:autoSpaceDE w:val="0"/>
              <w:autoSpaceDN w:val="0"/>
              <w:adjustRightInd w:val="0"/>
              <w:spacing w:after="0" w:line="240" w:lineRule="auto"/>
              <w:ind w:firstLine="0"/>
              <w:contextualSpacing w:val="0"/>
              <w:jc w:val="right"/>
              <w:rPr>
                <w:b/>
                <w:i/>
                <w:color w:val="000000"/>
                <w:sz w:val="17"/>
                <w:szCs w:val="17"/>
              </w:rPr>
            </w:pPr>
            <w:r w:rsidRPr="00166980">
              <w:rPr>
                <w:b/>
                <w:i/>
                <w:color w:val="000000"/>
                <w:sz w:val="17"/>
                <w:szCs w:val="17"/>
              </w:rPr>
              <w:t>Iš viso:</w:t>
            </w:r>
          </w:p>
        </w:tc>
        <w:tc>
          <w:tcPr>
            <w:tcW w:w="135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center"/>
          </w:tcPr>
          <w:p w:rsidR="00B1792F" w:rsidRPr="00166980" w:rsidRDefault="00B1792F" w:rsidP="00BD6CA6">
            <w:pPr>
              <w:widowControl/>
              <w:autoSpaceDE w:val="0"/>
              <w:autoSpaceDN w:val="0"/>
              <w:adjustRightInd w:val="0"/>
              <w:spacing w:after="0" w:line="240" w:lineRule="auto"/>
              <w:ind w:firstLine="0"/>
              <w:contextualSpacing w:val="0"/>
              <w:jc w:val="center"/>
              <w:rPr>
                <w:b/>
                <w:color w:val="000000"/>
                <w:sz w:val="17"/>
                <w:szCs w:val="17"/>
              </w:rPr>
            </w:pPr>
            <w:r w:rsidRPr="00166980">
              <w:rPr>
                <w:b/>
                <w:color w:val="000000"/>
                <w:sz w:val="17"/>
                <w:szCs w:val="17"/>
              </w:rPr>
              <w:t>54</w:t>
            </w:r>
            <w:r w:rsidR="00AB316E">
              <w:rPr>
                <w:b/>
                <w:color w:val="000000"/>
                <w:sz w:val="17"/>
                <w:szCs w:val="17"/>
              </w:rPr>
              <w:t xml:space="preserve"> </w:t>
            </w:r>
            <w:r w:rsidR="009B2AD2" w:rsidRPr="00166980">
              <w:rPr>
                <w:b/>
                <w:color w:val="000000"/>
                <w:sz w:val="17"/>
                <w:szCs w:val="17"/>
              </w:rPr>
              <w:t>(</w:t>
            </w:r>
            <w:r w:rsidRPr="00166980">
              <w:rPr>
                <w:b/>
                <w:color w:val="000000"/>
                <w:sz w:val="17"/>
                <w:szCs w:val="17"/>
              </w:rPr>
              <w:t>100,0</w:t>
            </w:r>
            <w:r w:rsidR="009B2AD2" w:rsidRPr="00166980">
              <w:rPr>
                <w:b/>
                <w:color w:val="000000"/>
                <w:sz w:val="17"/>
                <w:szCs w:val="17"/>
              </w:rPr>
              <w:t xml:space="preserve"> </w:t>
            </w:r>
            <w:r w:rsidRPr="00166980">
              <w:rPr>
                <w:b/>
                <w:color w:val="000000"/>
                <w:sz w:val="17"/>
                <w:szCs w:val="17"/>
              </w:rPr>
              <w:t>%</w:t>
            </w:r>
            <w:r w:rsidR="009B2AD2" w:rsidRPr="00166980">
              <w:rPr>
                <w:b/>
                <w:color w:val="000000"/>
                <w:sz w:val="17"/>
                <w:szCs w:val="17"/>
              </w:rPr>
              <w:t>)</w:t>
            </w:r>
          </w:p>
        </w:tc>
        <w:tc>
          <w:tcPr>
            <w:tcW w:w="135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center"/>
          </w:tcPr>
          <w:p w:rsidR="00B1792F" w:rsidRPr="00166980" w:rsidRDefault="00B1792F" w:rsidP="00BA0E20">
            <w:pPr>
              <w:widowControl/>
              <w:autoSpaceDE w:val="0"/>
              <w:autoSpaceDN w:val="0"/>
              <w:adjustRightInd w:val="0"/>
              <w:spacing w:after="0" w:line="240" w:lineRule="auto"/>
              <w:ind w:firstLine="0"/>
              <w:contextualSpacing w:val="0"/>
              <w:jc w:val="center"/>
              <w:rPr>
                <w:b/>
                <w:color w:val="000000"/>
                <w:sz w:val="17"/>
                <w:szCs w:val="17"/>
              </w:rPr>
            </w:pPr>
            <w:r w:rsidRPr="00166980">
              <w:rPr>
                <w:b/>
                <w:color w:val="000000"/>
                <w:sz w:val="17"/>
                <w:szCs w:val="17"/>
              </w:rPr>
              <w:t>95</w:t>
            </w:r>
            <w:r w:rsidR="00AB316E">
              <w:rPr>
                <w:b/>
                <w:color w:val="000000"/>
                <w:sz w:val="17"/>
                <w:szCs w:val="17"/>
              </w:rPr>
              <w:t xml:space="preserve"> </w:t>
            </w:r>
            <w:r w:rsidR="009B2AD2" w:rsidRPr="00166980">
              <w:rPr>
                <w:b/>
                <w:color w:val="000000"/>
                <w:sz w:val="17"/>
                <w:szCs w:val="17"/>
              </w:rPr>
              <w:t>(</w:t>
            </w:r>
            <w:r w:rsidRPr="00166980">
              <w:rPr>
                <w:b/>
                <w:color w:val="000000"/>
                <w:sz w:val="17"/>
                <w:szCs w:val="17"/>
              </w:rPr>
              <w:t>100,0</w:t>
            </w:r>
            <w:r w:rsidR="009B2AD2" w:rsidRPr="00166980">
              <w:rPr>
                <w:b/>
                <w:color w:val="000000"/>
                <w:sz w:val="17"/>
                <w:szCs w:val="17"/>
              </w:rPr>
              <w:t xml:space="preserve"> </w:t>
            </w:r>
            <w:r w:rsidRPr="00166980">
              <w:rPr>
                <w:b/>
                <w:color w:val="000000"/>
                <w:sz w:val="17"/>
                <w:szCs w:val="17"/>
              </w:rPr>
              <w:t>%</w:t>
            </w:r>
            <w:r w:rsidR="009B2AD2" w:rsidRPr="00166980">
              <w:rPr>
                <w:b/>
                <w:color w:val="000000"/>
                <w:sz w:val="17"/>
                <w:szCs w:val="17"/>
              </w:rPr>
              <w:t>)</w:t>
            </w:r>
          </w:p>
        </w:tc>
        <w:tc>
          <w:tcPr>
            <w:tcW w:w="135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center"/>
          </w:tcPr>
          <w:p w:rsidR="00B1792F" w:rsidRPr="00166980" w:rsidRDefault="00B1792F" w:rsidP="00BA0E20">
            <w:pPr>
              <w:widowControl/>
              <w:autoSpaceDE w:val="0"/>
              <w:autoSpaceDN w:val="0"/>
              <w:adjustRightInd w:val="0"/>
              <w:spacing w:after="0" w:line="240" w:lineRule="auto"/>
              <w:ind w:firstLine="0"/>
              <w:contextualSpacing w:val="0"/>
              <w:jc w:val="center"/>
              <w:rPr>
                <w:b/>
                <w:color w:val="000000"/>
                <w:sz w:val="17"/>
                <w:szCs w:val="17"/>
              </w:rPr>
            </w:pPr>
            <w:r w:rsidRPr="00166980">
              <w:rPr>
                <w:b/>
                <w:color w:val="000000"/>
                <w:sz w:val="17"/>
                <w:szCs w:val="17"/>
              </w:rPr>
              <w:t>86</w:t>
            </w:r>
            <w:r w:rsidR="00AB316E">
              <w:rPr>
                <w:b/>
                <w:color w:val="000000"/>
                <w:sz w:val="17"/>
                <w:szCs w:val="17"/>
              </w:rPr>
              <w:t xml:space="preserve"> </w:t>
            </w:r>
            <w:r w:rsidR="006F717C" w:rsidRPr="00166980">
              <w:rPr>
                <w:b/>
                <w:color w:val="000000"/>
                <w:sz w:val="17"/>
                <w:szCs w:val="17"/>
              </w:rPr>
              <w:t>(</w:t>
            </w:r>
            <w:r w:rsidRPr="00166980">
              <w:rPr>
                <w:b/>
                <w:color w:val="000000"/>
                <w:sz w:val="17"/>
                <w:szCs w:val="17"/>
              </w:rPr>
              <w:t>100,0</w:t>
            </w:r>
            <w:r w:rsidR="006F717C" w:rsidRPr="00166980">
              <w:rPr>
                <w:b/>
                <w:color w:val="000000"/>
                <w:sz w:val="17"/>
                <w:szCs w:val="17"/>
              </w:rPr>
              <w:t xml:space="preserve"> </w:t>
            </w:r>
            <w:r w:rsidRPr="00166980">
              <w:rPr>
                <w:b/>
                <w:color w:val="000000"/>
                <w:sz w:val="17"/>
                <w:szCs w:val="17"/>
              </w:rPr>
              <w:t>%</w:t>
            </w:r>
            <w:r w:rsidR="006F717C" w:rsidRPr="00166980">
              <w:rPr>
                <w:b/>
                <w:color w:val="000000"/>
                <w:sz w:val="17"/>
                <w:szCs w:val="17"/>
              </w:rPr>
              <w:t>)</w:t>
            </w:r>
          </w:p>
        </w:tc>
        <w:tc>
          <w:tcPr>
            <w:tcW w:w="135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center"/>
          </w:tcPr>
          <w:p w:rsidR="00B1792F" w:rsidRPr="00166980" w:rsidRDefault="00B1792F" w:rsidP="00BA0E20">
            <w:pPr>
              <w:widowControl/>
              <w:autoSpaceDE w:val="0"/>
              <w:autoSpaceDN w:val="0"/>
              <w:adjustRightInd w:val="0"/>
              <w:spacing w:after="0" w:line="240" w:lineRule="auto"/>
              <w:ind w:firstLine="0"/>
              <w:contextualSpacing w:val="0"/>
              <w:jc w:val="center"/>
              <w:rPr>
                <w:b/>
                <w:color w:val="000000"/>
                <w:sz w:val="17"/>
                <w:szCs w:val="17"/>
              </w:rPr>
            </w:pPr>
            <w:r w:rsidRPr="00166980">
              <w:rPr>
                <w:b/>
                <w:color w:val="000000"/>
                <w:sz w:val="17"/>
                <w:szCs w:val="17"/>
              </w:rPr>
              <w:t>52</w:t>
            </w:r>
            <w:r w:rsidR="00AB316E">
              <w:rPr>
                <w:b/>
                <w:color w:val="000000"/>
                <w:sz w:val="17"/>
                <w:szCs w:val="17"/>
              </w:rPr>
              <w:t xml:space="preserve"> </w:t>
            </w:r>
            <w:r w:rsidR="007A1DAF" w:rsidRPr="00166980">
              <w:rPr>
                <w:b/>
                <w:color w:val="000000"/>
                <w:sz w:val="17"/>
                <w:szCs w:val="17"/>
              </w:rPr>
              <w:t>(</w:t>
            </w:r>
            <w:r w:rsidRPr="00166980">
              <w:rPr>
                <w:b/>
                <w:color w:val="000000"/>
                <w:sz w:val="17"/>
                <w:szCs w:val="17"/>
              </w:rPr>
              <w:t>100,0</w:t>
            </w:r>
            <w:r w:rsidR="007A1DAF" w:rsidRPr="00166980">
              <w:rPr>
                <w:b/>
                <w:color w:val="000000"/>
                <w:sz w:val="17"/>
                <w:szCs w:val="17"/>
              </w:rPr>
              <w:t xml:space="preserve"> </w:t>
            </w:r>
            <w:r w:rsidRPr="00166980">
              <w:rPr>
                <w:b/>
                <w:color w:val="000000"/>
                <w:sz w:val="17"/>
                <w:szCs w:val="17"/>
              </w:rPr>
              <w:t>%</w:t>
            </w:r>
            <w:r w:rsidR="007A1DAF" w:rsidRPr="00166980">
              <w:rPr>
                <w:b/>
                <w:color w:val="000000"/>
                <w:sz w:val="17"/>
                <w:szCs w:val="17"/>
              </w:rPr>
              <w:t>)</w:t>
            </w:r>
          </w:p>
        </w:tc>
        <w:tc>
          <w:tcPr>
            <w:tcW w:w="135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center"/>
          </w:tcPr>
          <w:p w:rsidR="00B1792F" w:rsidRPr="00166980" w:rsidRDefault="00B1792F" w:rsidP="00BA0E20">
            <w:pPr>
              <w:widowControl/>
              <w:autoSpaceDE w:val="0"/>
              <w:autoSpaceDN w:val="0"/>
              <w:adjustRightInd w:val="0"/>
              <w:spacing w:after="0" w:line="240" w:lineRule="auto"/>
              <w:ind w:firstLine="0"/>
              <w:contextualSpacing w:val="0"/>
              <w:jc w:val="center"/>
              <w:rPr>
                <w:b/>
                <w:color w:val="000000"/>
                <w:sz w:val="17"/>
                <w:szCs w:val="17"/>
              </w:rPr>
            </w:pPr>
            <w:r w:rsidRPr="00166980">
              <w:rPr>
                <w:b/>
                <w:color w:val="000000"/>
                <w:sz w:val="17"/>
                <w:szCs w:val="17"/>
              </w:rPr>
              <w:t>54</w:t>
            </w:r>
            <w:r w:rsidR="00AB316E">
              <w:rPr>
                <w:b/>
                <w:color w:val="000000"/>
                <w:sz w:val="17"/>
                <w:szCs w:val="17"/>
              </w:rPr>
              <w:t xml:space="preserve"> </w:t>
            </w:r>
            <w:r w:rsidR="00EC6389" w:rsidRPr="00166980">
              <w:rPr>
                <w:b/>
                <w:color w:val="000000"/>
                <w:sz w:val="17"/>
                <w:szCs w:val="17"/>
              </w:rPr>
              <w:t>(</w:t>
            </w:r>
            <w:r w:rsidRPr="00166980">
              <w:rPr>
                <w:b/>
                <w:color w:val="000000"/>
                <w:sz w:val="17"/>
                <w:szCs w:val="17"/>
              </w:rPr>
              <w:t>100,0</w:t>
            </w:r>
            <w:r w:rsidR="00EC6389" w:rsidRPr="00166980">
              <w:rPr>
                <w:b/>
                <w:color w:val="000000"/>
                <w:sz w:val="17"/>
                <w:szCs w:val="17"/>
              </w:rPr>
              <w:t xml:space="preserve"> </w:t>
            </w:r>
            <w:r w:rsidRPr="00166980">
              <w:rPr>
                <w:b/>
                <w:color w:val="000000"/>
                <w:sz w:val="17"/>
                <w:szCs w:val="17"/>
              </w:rPr>
              <w:t>%</w:t>
            </w:r>
            <w:r w:rsidR="00EC6389" w:rsidRPr="00166980">
              <w:rPr>
                <w:b/>
                <w:color w:val="000000"/>
                <w:sz w:val="17"/>
                <w:szCs w:val="17"/>
              </w:rPr>
              <w:t>)</w:t>
            </w:r>
          </w:p>
        </w:tc>
        <w:tc>
          <w:tcPr>
            <w:tcW w:w="108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center"/>
          </w:tcPr>
          <w:p w:rsidR="00B1792F" w:rsidRPr="00166980" w:rsidRDefault="00B1792F" w:rsidP="00BA0E20">
            <w:pPr>
              <w:widowControl/>
              <w:autoSpaceDE w:val="0"/>
              <w:autoSpaceDN w:val="0"/>
              <w:adjustRightInd w:val="0"/>
              <w:spacing w:after="0" w:line="240" w:lineRule="auto"/>
              <w:ind w:firstLine="0"/>
              <w:contextualSpacing w:val="0"/>
              <w:jc w:val="center"/>
              <w:rPr>
                <w:b/>
                <w:color w:val="000000"/>
                <w:sz w:val="17"/>
                <w:szCs w:val="17"/>
              </w:rPr>
            </w:pPr>
            <w:r w:rsidRPr="00166980">
              <w:rPr>
                <w:b/>
                <w:color w:val="000000"/>
                <w:sz w:val="17"/>
                <w:szCs w:val="17"/>
              </w:rPr>
              <w:t>341</w:t>
            </w:r>
            <w:r w:rsidR="00AB316E">
              <w:rPr>
                <w:b/>
                <w:color w:val="000000"/>
                <w:sz w:val="17"/>
                <w:szCs w:val="17"/>
              </w:rPr>
              <w:t xml:space="preserve"> </w:t>
            </w:r>
            <w:r w:rsidR="00EC6389" w:rsidRPr="00166980">
              <w:rPr>
                <w:b/>
                <w:color w:val="000000"/>
                <w:sz w:val="17"/>
                <w:szCs w:val="17"/>
              </w:rPr>
              <w:t>(</w:t>
            </w:r>
            <w:r w:rsidRPr="00166980">
              <w:rPr>
                <w:b/>
                <w:color w:val="000000"/>
                <w:sz w:val="17"/>
                <w:szCs w:val="17"/>
              </w:rPr>
              <w:t>100,0</w:t>
            </w:r>
            <w:r w:rsidR="00EC6389" w:rsidRPr="00166980">
              <w:rPr>
                <w:b/>
                <w:color w:val="000000"/>
                <w:sz w:val="17"/>
                <w:szCs w:val="17"/>
              </w:rPr>
              <w:t xml:space="preserve"> </w:t>
            </w:r>
            <w:r w:rsidRPr="00166980">
              <w:rPr>
                <w:b/>
                <w:color w:val="000000"/>
                <w:sz w:val="17"/>
                <w:szCs w:val="17"/>
              </w:rPr>
              <w:t>%</w:t>
            </w:r>
            <w:r w:rsidR="00EC6389" w:rsidRPr="00166980">
              <w:rPr>
                <w:b/>
                <w:color w:val="000000"/>
                <w:sz w:val="17"/>
                <w:szCs w:val="17"/>
              </w:rPr>
              <w:t>)</w:t>
            </w:r>
          </w:p>
        </w:tc>
      </w:tr>
    </w:tbl>
    <w:p w:rsidR="00F741DD" w:rsidRPr="00DE2C94" w:rsidRDefault="00DE2C94" w:rsidP="00DE2C94">
      <w:pPr>
        <w:rPr>
          <w:sz w:val="20"/>
        </w:rPr>
      </w:pPr>
      <w:r w:rsidRPr="00DE2C94">
        <w:rPr>
          <w:b/>
          <w:sz w:val="20"/>
        </w:rPr>
        <w:t>Šaltinis</w:t>
      </w:r>
      <w:r w:rsidRPr="00DE2C94">
        <w:rPr>
          <w:sz w:val="20"/>
        </w:rPr>
        <w:t>: sudaryta šio darbo autorės</w:t>
      </w:r>
      <w:r w:rsidR="003C351B">
        <w:rPr>
          <w:sz w:val="20"/>
        </w:rPr>
        <w:t>, remiantis apklausos rezultatais</w:t>
      </w:r>
    </w:p>
    <w:p w:rsidR="00F741DD" w:rsidRDefault="00F76B66" w:rsidP="00732CF2">
      <w:r>
        <w:t xml:space="preserve">Kaip matyti </w:t>
      </w:r>
      <w:r w:rsidRPr="00F63179">
        <w:t xml:space="preserve">iš </w:t>
      </w:r>
      <w:r w:rsidR="002338BB" w:rsidRPr="00F63179">
        <w:t>6</w:t>
      </w:r>
      <w:r w:rsidR="00AC46A0" w:rsidRPr="00F63179">
        <w:t> </w:t>
      </w:r>
      <w:r w:rsidRPr="00F63179">
        <w:t>lentelės,</w:t>
      </w:r>
      <w:r w:rsidR="00EC7C80" w:rsidRPr="00F63179">
        <w:t xml:space="preserve"> </w:t>
      </w:r>
      <w:r w:rsidR="001D1B66" w:rsidRPr="00F63179">
        <w:t>į neracionalią</w:t>
      </w:r>
      <w:r w:rsidR="001D1B66">
        <w:t xml:space="preserve"> </w:t>
      </w:r>
      <w:r w:rsidR="00CB4F93">
        <w:t xml:space="preserve">finansinę </w:t>
      </w:r>
      <w:r w:rsidR="001D1B66">
        <w:t xml:space="preserve">elgseną </w:t>
      </w:r>
      <w:r w:rsidR="006854A1">
        <w:t xml:space="preserve">labiau </w:t>
      </w:r>
      <w:r w:rsidR="00646093">
        <w:t xml:space="preserve">yra </w:t>
      </w:r>
      <w:r w:rsidR="006854A1">
        <w:t xml:space="preserve">linkę </w:t>
      </w:r>
      <w:r w:rsidR="00646093">
        <w:t xml:space="preserve">tie </w:t>
      </w:r>
      <w:r w:rsidR="00EC7C80">
        <w:t>bedarbia</w:t>
      </w:r>
      <w:r w:rsidR="00C7492C">
        <w:t>i</w:t>
      </w:r>
      <w:r w:rsidR="00EC7C80">
        <w:t xml:space="preserve"> </w:t>
      </w:r>
      <w:r w:rsidR="00C656AA">
        <w:t>bei</w:t>
      </w:r>
      <w:r w:rsidR="00EC7C80">
        <w:t xml:space="preserve"> </w:t>
      </w:r>
      <w:r w:rsidR="00C656AA">
        <w:t>socialinės paramos gavėjai</w:t>
      </w:r>
      <w:r w:rsidR="00AC4E83">
        <w:t>,</w:t>
      </w:r>
      <w:r w:rsidR="00C656AA">
        <w:t xml:space="preserve"> kurie darbo</w:t>
      </w:r>
      <w:r w:rsidR="00013630">
        <w:t xml:space="preserve"> ar</w:t>
      </w:r>
      <w:r w:rsidR="00C656AA">
        <w:t xml:space="preserve"> pajamų šaltinio ieškosi</w:t>
      </w:r>
      <w:r w:rsidR="000C383E">
        <w:t xml:space="preserve"> šešis ir daugiau mėnesių</w:t>
      </w:r>
      <w:r w:rsidR="00C656AA">
        <w:t>,</w:t>
      </w:r>
      <w:r w:rsidR="00AC4E83">
        <w:t xml:space="preserve"> </w:t>
      </w:r>
      <w:r w:rsidR="000C383E">
        <w:t>kadangi</w:t>
      </w:r>
      <w:r w:rsidR="00AC4E83">
        <w:t xml:space="preserve"> jiem</w:t>
      </w:r>
      <w:r w:rsidR="00013630">
        <w:t>s mentalinės sąskaitos reiškė</w:t>
      </w:r>
      <w:r w:rsidR="005E4B37">
        <w:t>si</w:t>
      </w:r>
      <w:r w:rsidR="00AC4E83">
        <w:t xml:space="preserve"> </w:t>
      </w:r>
      <w:r w:rsidR="00FC522B">
        <w:t xml:space="preserve">šiek tiek </w:t>
      </w:r>
      <w:r w:rsidR="004D2188">
        <w:t>aktyviau</w:t>
      </w:r>
      <w:r w:rsidR="002C2758">
        <w:t>,</w:t>
      </w:r>
      <w:r w:rsidR="004D2188">
        <w:t xml:space="preserve"> </w:t>
      </w:r>
      <w:r w:rsidR="00AC4E83">
        <w:t>ne</w:t>
      </w:r>
      <w:r w:rsidR="003F72B4">
        <w:t>i</w:t>
      </w:r>
      <w:r w:rsidR="007C45AD">
        <w:t xml:space="preserve"> tiems</w:t>
      </w:r>
      <w:r w:rsidR="003F72B4">
        <w:t xml:space="preserve"> individams</w:t>
      </w:r>
      <w:r w:rsidR="007C45AD">
        <w:t xml:space="preserve">, kurie </w:t>
      </w:r>
      <w:r w:rsidR="00052184">
        <w:t>darbo</w:t>
      </w:r>
      <w:r w:rsidR="003E2926">
        <w:t xml:space="preserve"> </w:t>
      </w:r>
      <w:r w:rsidR="007C5851">
        <w:t xml:space="preserve">iki šios dienos </w:t>
      </w:r>
      <w:r w:rsidR="00052184">
        <w:t>ieško</w:t>
      </w:r>
      <w:r w:rsidR="00941B54">
        <w:t>jo</w:t>
      </w:r>
      <w:r w:rsidR="00052184">
        <w:t xml:space="preserve">si </w:t>
      </w:r>
      <w:r w:rsidR="007C45AD">
        <w:t>trumpesnį laik</w:t>
      </w:r>
      <w:r w:rsidR="0014309B">
        <w:t>ą</w:t>
      </w:r>
      <w:r w:rsidR="007C45AD">
        <w:t>. Tai</w:t>
      </w:r>
      <w:r w:rsidR="002B7A8C">
        <w:t xml:space="preserve"> </w:t>
      </w:r>
      <w:r w:rsidR="00602780">
        <w:t>byloj</w:t>
      </w:r>
      <w:r w:rsidR="002B7A8C">
        <w:t>a</w:t>
      </w:r>
      <w:r w:rsidR="007C45AD">
        <w:t>, jog</w:t>
      </w:r>
      <w:r w:rsidR="007D1EEC">
        <w:t xml:space="preserve"> naudotis </w:t>
      </w:r>
      <w:r w:rsidR="00216F64">
        <w:t xml:space="preserve">socialinės apsaugos lėšomis </w:t>
      </w:r>
      <w:r w:rsidR="002C2758">
        <w:t>gali skatinti</w:t>
      </w:r>
      <w:r w:rsidR="00136D8A">
        <w:t xml:space="preserve"> </w:t>
      </w:r>
      <w:r w:rsidR="002B7A8C">
        <w:t xml:space="preserve">asmeninių </w:t>
      </w:r>
      <w:r w:rsidR="00136D8A">
        <w:t xml:space="preserve">pastangų tikslui pasiekti arba </w:t>
      </w:r>
      <w:r w:rsidR="001C1FC5" w:rsidRPr="00037BA1">
        <w:rPr>
          <w:i/>
        </w:rPr>
        <w:t>poreikio darbui nebuvimas</w:t>
      </w:r>
      <w:r w:rsidR="00037BA1">
        <w:rPr>
          <w:i/>
        </w:rPr>
        <w:t xml:space="preserve"> (a</w:t>
      </w:r>
      <w:r w:rsidR="00037BA1">
        <w:rPr>
          <w:i/>
          <w:vertAlign w:val="subscript"/>
        </w:rPr>
        <w:t>4</w:t>
      </w:r>
      <w:r w:rsidR="00037BA1">
        <w:rPr>
          <w:i/>
        </w:rPr>
        <w:t>)</w:t>
      </w:r>
      <w:r w:rsidR="001C1FC5">
        <w:t>, kuri</w:t>
      </w:r>
      <w:r w:rsidR="000F0173">
        <w:t xml:space="preserve">o </w:t>
      </w:r>
      <w:r w:rsidR="006854A1">
        <w:t xml:space="preserve">svertinis </w:t>
      </w:r>
      <w:r w:rsidR="007916EB">
        <w:t xml:space="preserve">rezultatas tapo </w:t>
      </w:r>
      <w:r w:rsidR="00254C4A">
        <w:t>4,5 balo</w:t>
      </w:r>
      <w:r w:rsidR="000F0173">
        <w:t xml:space="preserve"> (</w:t>
      </w:r>
      <w:r w:rsidR="0044796C">
        <w:t xml:space="preserve">K – 1,5; </w:t>
      </w:r>
      <w:r w:rsidR="000F0173">
        <w:t>skirtumas – 3 balai).</w:t>
      </w:r>
    </w:p>
    <w:bookmarkStart w:id="35" w:name="_Toc343638402"/>
    <w:p w:rsidR="002A0590" w:rsidRDefault="00D84BC4" w:rsidP="00886347">
      <w:pPr>
        <w:pStyle w:val="Caption"/>
      </w:pPr>
      <w:r w:rsidRPr="00F63179">
        <w:fldChar w:fldCharType="begin"/>
      </w:r>
      <w:r w:rsidR="00F63179" w:rsidRPr="00F63179">
        <w:instrText xml:space="preserve"> SEQ lentelė \* ARABIC </w:instrText>
      </w:r>
      <w:r w:rsidRPr="00F63179">
        <w:fldChar w:fldCharType="separate"/>
      </w:r>
      <w:r w:rsidR="00F63179" w:rsidRPr="00F63179">
        <w:t>7</w:t>
      </w:r>
      <w:r w:rsidRPr="00F63179">
        <w:fldChar w:fldCharType="end"/>
      </w:r>
      <w:r w:rsidR="00F63179" w:rsidRPr="00F63179">
        <w:t xml:space="preserve"> </w:t>
      </w:r>
      <w:r w:rsidR="00F03AD2" w:rsidRPr="00F63179">
        <w:t>lentelė</w:t>
      </w:r>
      <w:r w:rsidR="00F63179" w:rsidRPr="00F63179">
        <w:t>.</w:t>
      </w:r>
      <w:r w:rsidR="00F03AD2" w:rsidRPr="00F03AD2">
        <w:rPr>
          <w:color w:val="FF0000"/>
        </w:rPr>
        <w:t xml:space="preserve"> </w:t>
      </w:r>
      <w:r w:rsidR="00674F82">
        <w:t>Amoralaus šeimyniškumo įtaka, priklausomai nuo buvimo socialinių išmokų gavėju laiko</w:t>
      </w:r>
      <w:bookmarkEnd w:id="35"/>
    </w:p>
    <w:tbl>
      <w:tblPr>
        <w:tblW w:w="10260" w:type="dxa"/>
        <w:tblInd w:w="30" w:type="dxa"/>
        <w:tblBorders>
          <w:top w:val="single" w:sz="12" w:space="0" w:color="000000"/>
          <w:left w:val="single" w:sz="12" w:space="0" w:color="000000"/>
          <w:bottom w:val="single" w:sz="12" w:space="0" w:color="000000"/>
          <w:right w:val="single" w:sz="12" w:space="0" w:color="000000"/>
          <w:insideH w:val="single" w:sz="2" w:space="0" w:color="000000"/>
          <w:insideV w:val="single" w:sz="12" w:space="0" w:color="000000"/>
        </w:tblBorders>
        <w:shd w:val="clear" w:color="auto" w:fill="D9D9D9" w:themeFill="background1" w:themeFillShade="D9"/>
        <w:tblLayout w:type="fixed"/>
        <w:tblCellMar>
          <w:left w:w="30" w:type="dxa"/>
          <w:right w:w="30" w:type="dxa"/>
        </w:tblCellMar>
        <w:tblLook w:val="0000"/>
      </w:tblPr>
      <w:tblGrid>
        <w:gridCol w:w="2430"/>
        <w:gridCol w:w="1350"/>
        <w:gridCol w:w="1350"/>
        <w:gridCol w:w="1350"/>
        <w:gridCol w:w="1350"/>
        <w:gridCol w:w="1350"/>
        <w:gridCol w:w="1080"/>
      </w:tblGrid>
      <w:tr w:rsidR="002D6941" w:rsidRPr="00166980" w:rsidTr="00956153">
        <w:trPr>
          <w:cantSplit/>
          <w:tblHeader/>
        </w:trPr>
        <w:tc>
          <w:tcPr>
            <w:tcW w:w="2430" w:type="dxa"/>
            <w:vMerge w:val="restart"/>
            <w:tcBorders>
              <w:top w:val="single" w:sz="12" w:space="0" w:color="000000"/>
              <w:bottom w:val="single" w:sz="2" w:space="0" w:color="000000"/>
            </w:tcBorders>
            <w:shd w:val="clear" w:color="auto" w:fill="D9D9D9" w:themeFill="background1" w:themeFillShade="D9"/>
            <w:tcMar>
              <w:top w:w="30" w:type="dxa"/>
              <w:left w:w="30" w:type="dxa"/>
              <w:bottom w:w="30" w:type="dxa"/>
              <w:right w:w="30" w:type="dxa"/>
            </w:tcMar>
            <w:vAlign w:val="center"/>
          </w:tcPr>
          <w:p w:rsidR="00ED00DD" w:rsidRPr="00166980" w:rsidRDefault="00ED00DD" w:rsidP="006B672E">
            <w:pPr>
              <w:widowControl/>
              <w:autoSpaceDE w:val="0"/>
              <w:autoSpaceDN w:val="0"/>
              <w:adjustRightInd w:val="0"/>
              <w:spacing w:after="0" w:line="240" w:lineRule="auto"/>
              <w:ind w:firstLine="0"/>
              <w:contextualSpacing w:val="0"/>
              <w:jc w:val="center"/>
              <w:rPr>
                <w:b/>
                <w:i/>
                <w:sz w:val="17"/>
                <w:szCs w:val="17"/>
              </w:rPr>
            </w:pPr>
            <w:r w:rsidRPr="00166980">
              <w:rPr>
                <w:b/>
                <w:i/>
                <w:sz w:val="17"/>
                <w:szCs w:val="17"/>
              </w:rPr>
              <w:t>Amoralus</w:t>
            </w:r>
          </w:p>
          <w:p w:rsidR="002D6941" w:rsidRPr="00166980" w:rsidRDefault="002D6941" w:rsidP="006B672E">
            <w:pPr>
              <w:widowControl/>
              <w:autoSpaceDE w:val="0"/>
              <w:autoSpaceDN w:val="0"/>
              <w:adjustRightInd w:val="0"/>
              <w:spacing w:after="0" w:line="240" w:lineRule="auto"/>
              <w:ind w:firstLine="0"/>
              <w:contextualSpacing w:val="0"/>
              <w:jc w:val="center"/>
              <w:rPr>
                <w:b/>
                <w:i/>
                <w:sz w:val="17"/>
                <w:szCs w:val="17"/>
              </w:rPr>
            </w:pPr>
            <w:r w:rsidRPr="00166980">
              <w:rPr>
                <w:b/>
                <w:i/>
                <w:sz w:val="17"/>
                <w:szCs w:val="17"/>
              </w:rPr>
              <w:t>šeimyniškumas</w:t>
            </w:r>
          </w:p>
        </w:tc>
        <w:tc>
          <w:tcPr>
            <w:tcW w:w="6750" w:type="dxa"/>
            <w:gridSpan w:val="5"/>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bottom"/>
          </w:tcPr>
          <w:p w:rsidR="002D6941" w:rsidRPr="00166980" w:rsidRDefault="00145064" w:rsidP="00145064">
            <w:pPr>
              <w:widowControl/>
              <w:autoSpaceDE w:val="0"/>
              <w:autoSpaceDN w:val="0"/>
              <w:adjustRightInd w:val="0"/>
              <w:spacing w:after="0" w:line="240" w:lineRule="auto"/>
              <w:ind w:firstLine="0"/>
              <w:contextualSpacing w:val="0"/>
              <w:jc w:val="center"/>
              <w:rPr>
                <w:b/>
                <w:color w:val="000000"/>
                <w:sz w:val="17"/>
                <w:szCs w:val="17"/>
              </w:rPr>
            </w:pPr>
            <w:r w:rsidRPr="00166980">
              <w:rPr>
                <w:b/>
                <w:color w:val="000000"/>
                <w:sz w:val="17"/>
                <w:szCs w:val="17"/>
              </w:rPr>
              <w:t>Laikas, kurį ieškomasi</w:t>
            </w:r>
            <w:r w:rsidR="002D6941" w:rsidRPr="00166980">
              <w:rPr>
                <w:b/>
                <w:color w:val="000000"/>
                <w:sz w:val="17"/>
                <w:szCs w:val="17"/>
              </w:rPr>
              <w:t xml:space="preserve"> darbo</w:t>
            </w:r>
            <w:r w:rsidR="00AA3E23" w:rsidRPr="00166980">
              <w:rPr>
                <w:b/>
                <w:color w:val="000000"/>
                <w:sz w:val="17"/>
                <w:szCs w:val="17"/>
              </w:rPr>
              <w:t> / pajamų šaltinio</w:t>
            </w:r>
          </w:p>
        </w:tc>
        <w:tc>
          <w:tcPr>
            <w:tcW w:w="1080" w:type="dxa"/>
            <w:vMerge w:val="restart"/>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bottom"/>
          </w:tcPr>
          <w:p w:rsidR="002D6941" w:rsidRPr="00166980" w:rsidRDefault="002D6941" w:rsidP="0062274D">
            <w:pPr>
              <w:widowControl/>
              <w:autoSpaceDE w:val="0"/>
              <w:autoSpaceDN w:val="0"/>
              <w:adjustRightInd w:val="0"/>
              <w:spacing w:after="0" w:line="240" w:lineRule="auto"/>
              <w:ind w:firstLine="0"/>
              <w:contextualSpacing w:val="0"/>
              <w:jc w:val="center"/>
              <w:rPr>
                <w:b/>
                <w:i/>
                <w:color w:val="000000"/>
                <w:sz w:val="17"/>
                <w:szCs w:val="17"/>
              </w:rPr>
            </w:pPr>
            <w:r w:rsidRPr="00166980">
              <w:rPr>
                <w:b/>
                <w:i/>
                <w:color w:val="000000"/>
                <w:sz w:val="17"/>
                <w:szCs w:val="17"/>
              </w:rPr>
              <w:t>Iš viso:</w:t>
            </w:r>
          </w:p>
        </w:tc>
      </w:tr>
      <w:tr w:rsidR="00ED00DD" w:rsidRPr="0062274D" w:rsidTr="00956153">
        <w:trPr>
          <w:cantSplit/>
          <w:tblHeader/>
        </w:trPr>
        <w:tc>
          <w:tcPr>
            <w:tcW w:w="2430" w:type="dxa"/>
            <w:vMerge/>
            <w:tcBorders>
              <w:top w:val="single" w:sz="2" w:space="0" w:color="000000"/>
              <w:bottom w:val="single" w:sz="12" w:space="0" w:color="000000"/>
            </w:tcBorders>
            <w:shd w:val="clear" w:color="auto" w:fill="D9D9D9" w:themeFill="background1" w:themeFillShade="D9"/>
            <w:tcMar>
              <w:top w:w="30" w:type="dxa"/>
              <w:left w:w="30" w:type="dxa"/>
              <w:bottom w:w="30" w:type="dxa"/>
              <w:right w:w="30" w:type="dxa"/>
            </w:tcMar>
          </w:tcPr>
          <w:p w:rsidR="00ED00DD" w:rsidRPr="0062274D" w:rsidRDefault="00ED00DD" w:rsidP="0062274D">
            <w:pPr>
              <w:widowControl/>
              <w:autoSpaceDE w:val="0"/>
              <w:autoSpaceDN w:val="0"/>
              <w:adjustRightInd w:val="0"/>
              <w:spacing w:after="0" w:line="240" w:lineRule="auto"/>
              <w:ind w:firstLine="0"/>
              <w:contextualSpacing w:val="0"/>
              <w:jc w:val="left"/>
              <w:rPr>
                <w:sz w:val="18"/>
                <w:szCs w:val="18"/>
              </w:rPr>
            </w:pPr>
          </w:p>
        </w:tc>
        <w:tc>
          <w:tcPr>
            <w:tcW w:w="135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bottom"/>
          </w:tcPr>
          <w:p w:rsidR="00ED00DD" w:rsidRPr="00166980" w:rsidRDefault="00ED00DD" w:rsidP="00EF64AC">
            <w:pPr>
              <w:widowControl/>
              <w:autoSpaceDE w:val="0"/>
              <w:autoSpaceDN w:val="0"/>
              <w:adjustRightInd w:val="0"/>
              <w:spacing w:after="0" w:line="240" w:lineRule="auto"/>
              <w:ind w:firstLine="0"/>
              <w:contextualSpacing w:val="0"/>
              <w:jc w:val="center"/>
              <w:rPr>
                <w:b/>
                <w:i/>
                <w:color w:val="000000"/>
                <w:sz w:val="17"/>
                <w:szCs w:val="17"/>
              </w:rPr>
            </w:pPr>
            <w:r w:rsidRPr="00166980">
              <w:rPr>
                <w:b/>
                <w:i/>
                <w:color w:val="000000"/>
                <w:sz w:val="17"/>
                <w:szCs w:val="17"/>
              </w:rPr>
              <w:t>&gt; 1 mėn.</w:t>
            </w:r>
          </w:p>
        </w:tc>
        <w:tc>
          <w:tcPr>
            <w:tcW w:w="135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bottom"/>
          </w:tcPr>
          <w:p w:rsidR="00ED00DD" w:rsidRPr="00166980" w:rsidRDefault="00ED00DD" w:rsidP="00EF64AC">
            <w:pPr>
              <w:widowControl/>
              <w:autoSpaceDE w:val="0"/>
              <w:autoSpaceDN w:val="0"/>
              <w:adjustRightInd w:val="0"/>
              <w:spacing w:after="0" w:line="240" w:lineRule="auto"/>
              <w:ind w:firstLine="0"/>
              <w:contextualSpacing w:val="0"/>
              <w:jc w:val="center"/>
              <w:rPr>
                <w:b/>
                <w:i/>
                <w:color w:val="000000"/>
                <w:sz w:val="17"/>
                <w:szCs w:val="17"/>
              </w:rPr>
            </w:pPr>
            <w:r w:rsidRPr="00166980">
              <w:rPr>
                <w:b/>
                <w:i/>
                <w:color w:val="000000"/>
                <w:sz w:val="17"/>
                <w:szCs w:val="17"/>
              </w:rPr>
              <w:t>1-3 mėn.</w:t>
            </w:r>
          </w:p>
        </w:tc>
        <w:tc>
          <w:tcPr>
            <w:tcW w:w="135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bottom"/>
          </w:tcPr>
          <w:p w:rsidR="00ED00DD" w:rsidRPr="00166980" w:rsidRDefault="00ED00DD" w:rsidP="00EF64AC">
            <w:pPr>
              <w:widowControl/>
              <w:autoSpaceDE w:val="0"/>
              <w:autoSpaceDN w:val="0"/>
              <w:adjustRightInd w:val="0"/>
              <w:spacing w:after="0" w:line="240" w:lineRule="auto"/>
              <w:ind w:firstLine="0"/>
              <w:contextualSpacing w:val="0"/>
              <w:jc w:val="center"/>
              <w:rPr>
                <w:b/>
                <w:i/>
                <w:color w:val="000000"/>
                <w:sz w:val="17"/>
                <w:szCs w:val="17"/>
              </w:rPr>
            </w:pPr>
            <w:r w:rsidRPr="00166980">
              <w:rPr>
                <w:b/>
                <w:i/>
                <w:color w:val="000000"/>
                <w:sz w:val="17"/>
                <w:szCs w:val="17"/>
              </w:rPr>
              <w:t>3-6 mėn.</w:t>
            </w:r>
          </w:p>
        </w:tc>
        <w:tc>
          <w:tcPr>
            <w:tcW w:w="135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bottom"/>
          </w:tcPr>
          <w:p w:rsidR="00ED00DD" w:rsidRPr="00166980" w:rsidRDefault="00ED00DD" w:rsidP="00EF64AC">
            <w:pPr>
              <w:widowControl/>
              <w:autoSpaceDE w:val="0"/>
              <w:autoSpaceDN w:val="0"/>
              <w:adjustRightInd w:val="0"/>
              <w:spacing w:after="0" w:line="240" w:lineRule="auto"/>
              <w:ind w:firstLine="0"/>
              <w:contextualSpacing w:val="0"/>
              <w:jc w:val="center"/>
              <w:rPr>
                <w:b/>
                <w:i/>
                <w:color w:val="000000"/>
                <w:sz w:val="17"/>
                <w:szCs w:val="17"/>
              </w:rPr>
            </w:pPr>
            <w:r w:rsidRPr="00166980">
              <w:rPr>
                <w:b/>
                <w:i/>
                <w:color w:val="000000"/>
                <w:sz w:val="17"/>
                <w:szCs w:val="17"/>
              </w:rPr>
              <w:t>6-12 mėn.</w:t>
            </w:r>
          </w:p>
        </w:tc>
        <w:tc>
          <w:tcPr>
            <w:tcW w:w="135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bottom"/>
          </w:tcPr>
          <w:p w:rsidR="00ED00DD" w:rsidRPr="00166980" w:rsidRDefault="00ED00DD" w:rsidP="00EF64AC">
            <w:pPr>
              <w:widowControl/>
              <w:autoSpaceDE w:val="0"/>
              <w:autoSpaceDN w:val="0"/>
              <w:adjustRightInd w:val="0"/>
              <w:spacing w:after="0" w:line="240" w:lineRule="auto"/>
              <w:ind w:firstLine="0"/>
              <w:contextualSpacing w:val="0"/>
              <w:jc w:val="center"/>
              <w:rPr>
                <w:b/>
                <w:i/>
                <w:color w:val="000000"/>
                <w:sz w:val="17"/>
                <w:szCs w:val="17"/>
              </w:rPr>
            </w:pPr>
            <w:r w:rsidRPr="00166980">
              <w:rPr>
                <w:b/>
                <w:i/>
                <w:color w:val="000000"/>
                <w:sz w:val="17"/>
                <w:szCs w:val="17"/>
              </w:rPr>
              <w:t>&gt; 12 mėn.</w:t>
            </w:r>
          </w:p>
        </w:tc>
        <w:tc>
          <w:tcPr>
            <w:tcW w:w="1080" w:type="dxa"/>
            <w:vMerge/>
            <w:tcBorders>
              <w:top w:val="single" w:sz="2" w:space="0" w:color="000000"/>
              <w:bottom w:val="single" w:sz="12" w:space="0" w:color="000000"/>
            </w:tcBorders>
            <w:shd w:val="clear" w:color="auto" w:fill="D9D9D9" w:themeFill="background1" w:themeFillShade="D9"/>
            <w:tcMar>
              <w:top w:w="30" w:type="dxa"/>
              <w:left w:w="30" w:type="dxa"/>
              <w:bottom w:w="30" w:type="dxa"/>
              <w:right w:w="30" w:type="dxa"/>
            </w:tcMar>
            <w:vAlign w:val="bottom"/>
          </w:tcPr>
          <w:p w:rsidR="00ED00DD" w:rsidRPr="0062274D" w:rsidRDefault="00ED00DD" w:rsidP="0062274D">
            <w:pPr>
              <w:widowControl/>
              <w:autoSpaceDE w:val="0"/>
              <w:autoSpaceDN w:val="0"/>
              <w:adjustRightInd w:val="0"/>
              <w:spacing w:after="0" w:line="240" w:lineRule="auto"/>
              <w:ind w:firstLine="0"/>
              <w:contextualSpacing w:val="0"/>
              <w:jc w:val="left"/>
              <w:rPr>
                <w:color w:val="000000"/>
                <w:sz w:val="18"/>
                <w:szCs w:val="18"/>
              </w:rPr>
            </w:pPr>
          </w:p>
        </w:tc>
      </w:tr>
      <w:tr w:rsidR="00CB6DD8" w:rsidRPr="0062274D" w:rsidTr="00956153">
        <w:trPr>
          <w:cantSplit/>
          <w:trHeight w:val="174"/>
          <w:tblHeader/>
        </w:trPr>
        <w:tc>
          <w:tcPr>
            <w:tcW w:w="2430" w:type="dxa"/>
            <w:tcBorders>
              <w:top w:val="single" w:sz="12" w:space="0" w:color="000000"/>
            </w:tcBorders>
            <w:shd w:val="clear" w:color="auto" w:fill="D9D9D9" w:themeFill="background1" w:themeFillShade="D9"/>
            <w:tcMar>
              <w:top w:w="30" w:type="dxa"/>
              <w:left w:w="30" w:type="dxa"/>
              <w:bottom w:w="30" w:type="dxa"/>
              <w:right w:w="30" w:type="dxa"/>
            </w:tcMar>
            <w:vAlign w:val="center"/>
          </w:tcPr>
          <w:p w:rsidR="00CB6DD8" w:rsidRPr="00166980" w:rsidRDefault="00CB6DD8" w:rsidP="00BE63AF">
            <w:pPr>
              <w:widowControl/>
              <w:autoSpaceDE w:val="0"/>
              <w:autoSpaceDN w:val="0"/>
              <w:adjustRightInd w:val="0"/>
              <w:spacing w:after="0" w:line="240" w:lineRule="auto"/>
              <w:ind w:firstLine="0"/>
              <w:contextualSpacing w:val="0"/>
              <w:jc w:val="left"/>
              <w:rPr>
                <w:b/>
                <w:i/>
                <w:color w:val="000000"/>
                <w:sz w:val="18"/>
                <w:szCs w:val="18"/>
              </w:rPr>
            </w:pPr>
            <w:r w:rsidRPr="00166980">
              <w:rPr>
                <w:b/>
                <w:i/>
                <w:color w:val="000000"/>
                <w:sz w:val="18"/>
                <w:szCs w:val="18"/>
              </w:rPr>
              <w:t>1</w:t>
            </w:r>
            <w:r>
              <w:rPr>
                <w:b/>
                <w:i/>
                <w:color w:val="000000"/>
                <w:sz w:val="18"/>
                <w:szCs w:val="18"/>
              </w:rPr>
              <w:t xml:space="preserve"> – labai didelė įtaka</w:t>
            </w:r>
          </w:p>
        </w:tc>
        <w:tc>
          <w:tcPr>
            <w:tcW w:w="1350" w:type="dxa"/>
            <w:tcBorders>
              <w:top w:val="single" w:sz="12" w:space="0" w:color="000000"/>
              <w:bottom w:val="single" w:sz="2" w:space="0" w:color="000000"/>
            </w:tcBorders>
            <w:shd w:val="clear" w:color="auto" w:fill="auto"/>
            <w:tcMar>
              <w:top w:w="30" w:type="dxa"/>
              <w:left w:w="30" w:type="dxa"/>
              <w:bottom w:w="30" w:type="dxa"/>
              <w:right w:w="30" w:type="dxa"/>
            </w:tcMar>
            <w:vAlign w:val="center"/>
          </w:tcPr>
          <w:p w:rsidR="00CB6DD8" w:rsidRPr="003C351B" w:rsidRDefault="00CB6DD8" w:rsidP="005E5C89">
            <w:pPr>
              <w:widowControl/>
              <w:autoSpaceDE w:val="0"/>
              <w:autoSpaceDN w:val="0"/>
              <w:adjustRightInd w:val="0"/>
              <w:spacing w:after="0" w:line="240" w:lineRule="auto"/>
              <w:ind w:firstLine="0"/>
              <w:contextualSpacing w:val="0"/>
              <w:jc w:val="center"/>
              <w:rPr>
                <w:color w:val="000000"/>
                <w:sz w:val="18"/>
                <w:szCs w:val="18"/>
              </w:rPr>
            </w:pPr>
            <w:r w:rsidRPr="003C351B">
              <w:rPr>
                <w:color w:val="000000"/>
                <w:sz w:val="18"/>
                <w:szCs w:val="18"/>
              </w:rPr>
              <w:t>11 (20,4 %)</w:t>
            </w:r>
          </w:p>
        </w:tc>
        <w:tc>
          <w:tcPr>
            <w:tcW w:w="1350" w:type="dxa"/>
            <w:tcBorders>
              <w:top w:val="single" w:sz="12" w:space="0" w:color="000000"/>
              <w:bottom w:val="single" w:sz="2" w:space="0" w:color="000000"/>
            </w:tcBorders>
            <w:shd w:val="clear" w:color="auto" w:fill="auto"/>
            <w:tcMar>
              <w:top w:w="30" w:type="dxa"/>
              <w:left w:w="30" w:type="dxa"/>
              <w:bottom w:w="30" w:type="dxa"/>
              <w:right w:w="30" w:type="dxa"/>
            </w:tcMar>
            <w:vAlign w:val="center"/>
          </w:tcPr>
          <w:p w:rsidR="00CB6DD8" w:rsidRPr="003C351B" w:rsidRDefault="00CB6DD8" w:rsidP="00EC4398">
            <w:pPr>
              <w:widowControl/>
              <w:autoSpaceDE w:val="0"/>
              <w:autoSpaceDN w:val="0"/>
              <w:adjustRightInd w:val="0"/>
              <w:spacing w:after="0" w:line="240" w:lineRule="auto"/>
              <w:ind w:firstLine="0"/>
              <w:contextualSpacing w:val="0"/>
              <w:jc w:val="center"/>
              <w:rPr>
                <w:color w:val="000000"/>
                <w:sz w:val="18"/>
                <w:szCs w:val="18"/>
              </w:rPr>
            </w:pPr>
            <w:r w:rsidRPr="003C351B">
              <w:rPr>
                <w:color w:val="000000"/>
                <w:sz w:val="18"/>
                <w:szCs w:val="18"/>
              </w:rPr>
              <w:t>36 (37,9 %)</w:t>
            </w:r>
          </w:p>
        </w:tc>
        <w:tc>
          <w:tcPr>
            <w:tcW w:w="1350" w:type="dxa"/>
            <w:tcBorders>
              <w:top w:val="single" w:sz="12" w:space="0" w:color="000000"/>
              <w:bottom w:val="single" w:sz="2" w:space="0" w:color="000000"/>
            </w:tcBorders>
            <w:shd w:val="clear" w:color="auto" w:fill="auto"/>
            <w:tcMar>
              <w:top w:w="30" w:type="dxa"/>
              <w:left w:w="30" w:type="dxa"/>
              <w:bottom w:w="30" w:type="dxa"/>
              <w:right w:w="30" w:type="dxa"/>
            </w:tcMar>
            <w:vAlign w:val="center"/>
          </w:tcPr>
          <w:p w:rsidR="00CB6DD8" w:rsidRPr="003C351B" w:rsidRDefault="00CB6DD8" w:rsidP="00EC4398">
            <w:pPr>
              <w:widowControl/>
              <w:autoSpaceDE w:val="0"/>
              <w:autoSpaceDN w:val="0"/>
              <w:adjustRightInd w:val="0"/>
              <w:spacing w:after="0" w:line="240" w:lineRule="auto"/>
              <w:ind w:firstLine="0"/>
              <w:contextualSpacing w:val="0"/>
              <w:jc w:val="center"/>
              <w:rPr>
                <w:color w:val="000000"/>
                <w:sz w:val="18"/>
                <w:szCs w:val="18"/>
              </w:rPr>
            </w:pPr>
            <w:r w:rsidRPr="003C351B">
              <w:rPr>
                <w:color w:val="000000"/>
                <w:sz w:val="18"/>
                <w:szCs w:val="18"/>
              </w:rPr>
              <w:t>34 (39,5 %)</w:t>
            </w:r>
          </w:p>
        </w:tc>
        <w:tc>
          <w:tcPr>
            <w:tcW w:w="1350" w:type="dxa"/>
            <w:tcBorders>
              <w:top w:val="single" w:sz="12" w:space="0" w:color="000000"/>
              <w:bottom w:val="single" w:sz="2" w:space="0" w:color="000000"/>
            </w:tcBorders>
            <w:shd w:val="clear" w:color="auto" w:fill="auto"/>
            <w:tcMar>
              <w:top w:w="30" w:type="dxa"/>
              <w:left w:w="30" w:type="dxa"/>
              <w:bottom w:w="30" w:type="dxa"/>
              <w:right w:w="30" w:type="dxa"/>
            </w:tcMar>
            <w:vAlign w:val="center"/>
          </w:tcPr>
          <w:p w:rsidR="00CB6DD8" w:rsidRPr="003C351B" w:rsidRDefault="00CB6DD8" w:rsidP="004722CC">
            <w:pPr>
              <w:widowControl/>
              <w:autoSpaceDE w:val="0"/>
              <w:autoSpaceDN w:val="0"/>
              <w:adjustRightInd w:val="0"/>
              <w:spacing w:after="0" w:line="240" w:lineRule="auto"/>
              <w:ind w:firstLine="0"/>
              <w:contextualSpacing w:val="0"/>
              <w:jc w:val="center"/>
              <w:rPr>
                <w:color w:val="FF0000"/>
                <w:sz w:val="18"/>
                <w:szCs w:val="18"/>
              </w:rPr>
            </w:pPr>
            <w:r w:rsidRPr="003C351B">
              <w:rPr>
                <w:color w:val="FF0000"/>
                <w:sz w:val="18"/>
                <w:szCs w:val="18"/>
              </w:rPr>
              <w:t>22 (42,3 %)</w:t>
            </w:r>
          </w:p>
        </w:tc>
        <w:tc>
          <w:tcPr>
            <w:tcW w:w="1350" w:type="dxa"/>
            <w:tcBorders>
              <w:top w:val="single" w:sz="12" w:space="0" w:color="000000"/>
              <w:bottom w:val="single" w:sz="2" w:space="0" w:color="000000"/>
            </w:tcBorders>
            <w:shd w:val="clear" w:color="auto" w:fill="auto"/>
            <w:tcMar>
              <w:top w:w="30" w:type="dxa"/>
              <w:left w:w="30" w:type="dxa"/>
              <w:bottom w:w="30" w:type="dxa"/>
              <w:right w:w="30" w:type="dxa"/>
            </w:tcMar>
            <w:vAlign w:val="center"/>
          </w:tcPr>
          <w:p w:rsidR="00CB6DD8" w:rsidRPr="003C351B" w:rsidRDefault="00CB6DD8" w:rsidP="004722CC">
            <w:pPr>
              <w:widowControl/>
              <w:autoSpaceDE w:val="0"/>
              <w:autoSpaceDN w:val="0"/>
              <w:adjustRightInd w:val="0"/>
              <w:spacing w:after="0" w:line="240" w:lineRule="auto"/>
              <w:ind w:firstLine="0"/>
              <w:contextualSpacing w:val="0"/>
              <w:jc w:val="center"/>
              <w:rPr>
                <w:color w:val="000000"/>
                <w:sz w:val="18"/>
                <w:szCs w:val="18"/>
              </w:rPr>
            </w:pPr>
            <w:r w:rsidRPr="003C351B">
              <w:rPr>
                <w:color w:val="000000"/>
                <w:sz w:val="18"/>
                <w:szCs w:val="18"/>
              </w:rPr>
              <w:t>19 (35,2 %)</w:t>
            </w:r>
          </w:p>
        </w:tc>
        <w:tc>
          <w:tcPr>
            <w:tcW w:w="1080" w:type="dxa"/>
            <w:tcBorders>
              <w:top w:val="single" w:sz="12" w:space="0" w:color="000000"/>
            </w:tcBorders>
            <w:shd w:val="clear" w:color="auto" w:fill="D9D9D9" w:themeFill="background1" w:themeFillShade="D9"/>
            <w:tcMar>
              <w:top w:w="30" w:type="dxa"/>
              <w:left w:w="30" w:type="dxa"/>
              <w:bottom w:w="30" w:type="dxa"/>
              <w:right w:w="30" w:type="dxa"/>
            </w:tcMar>
            <w:vAlign w:val="center"/>
          </w:tcPr>
          <w:p w:rsidR="00CB6DD8" w:rsidRPr="00166980" w:rsidRDefault="00CB6DD8" w:rsidP="0081040B">
            <w:pPr>
              <w:widowControl/>
              <w:autoSpaceDE w:val="0"/>
              <w:autoSpaceDN w:val="0"/>
              <w:adjustRightInd w:val="0"/>
              <w:spacing w:after="0" w:line="240" w:lineRule="auto"/>
              <w:ind w:firstLine="0"/>
              <w:contextualSpacing w:val="0"/>
              <w:jc w:val="center"/>
              <w:rPr>
                <w:b/>
                <w:color w:val="000000"/>
                <w:sz w:val="18"/>
                <w:szCs w:val="18"/>
              </w:rPr>
            </w:pPr>
            <w:r w:rsidRPr="00166980">
              <w:rPr>
                <w:b/>
                <w:color w:val="000000"/>
                <w:sz w:val="18"/>
                <w:szCs w:val="18"/>
              </w:rPr>
              <w:t>122</w:t>
            </w:r>
            <w:r>
              <w:rPr>
                <w:b/>
                <w:color w:val="000000"/>
                <w:sz w:val="18"/>
                <w:szCs w:val="18"/>
              </w:rPr>
              <w:t xml:space="preserve"> </w:t>
            </w:r>
            <w:r w:rsidRPr="00166980">
              <w:rPr>
                <w:b/>
                <w:color w:val="000000"/>
                <w:sz w:val="18"/>
                <w:szCs w:val="18"/>
              </w:rPr>
              <w:t>(35,8 %)</w:t>
            </w:r>
          </w:p>
        </w:tc>
      </w:tr>
      <w:tr w:rsidR="00CB6DD8" w:rsidRPr="0062274D" w:rsidTr="00956153">
        <w:trPr>
          <w:cantSplit/>
          <w:trHeight w:val="172"/>
          <w:tblHeader/>
        </w:trPr>
        <w:tc>
          <w:tcPr>
            <w:tcW w:w="2430" w:type="dxa"/>
            <w:shd w:val="clear" w:color="auto" w:fill="D9D9D9" w:themeFill="background1" w:themeFillShade="D9"/>
            <w:tcMar>
              <w:top w:w="30" w:type="dxa"/>
              <w:left w:w="30" w:type="dxa"/>
              <w:bottom w:w="30" w:type="dxa"/>
              <w:right w:w="30" w:type="dxa"/>
            </w:tcMar>
            <w:vAlign w:val="center"/>
          </w:tcPr>
          <w:p w:rsidR="00CB6DD8" w:rsidRPr="00166980" w:rsidRDefault="00CB6DD8" w:rsidP="00BE63AF">
            <w:pPr>
              <w:widowControl/>
              <w:autoSpaceDE w:val="0"/>
              <w:autoSpaceDN w:val="0"/>
              <w:adjustRightInd w:val="0"/>
              <w:spacing w:after="0" w:line="240" w:lineRule="auto"/>
              <w:ind w:firstLine="0"/>
              <w:contextualSpacing w:val="0"/>
              <w:jc w:val="left"/>
              <w:rPr>
                <w:b/>
                <w:i/>
                <w:color w:val="000000"/>
                <w:sz w:val="18"/>
                <w:szCs w:val="18"/>
              </w:rPr>
            </w:pPr>
            <w:r w:rsidRPr="00166980">
              <w:rPr>
                <w:b/>
                <w:i/>
                <w:color w:val="000000"/>
                <w:sz w:val="18"/>
                <w:szCs w:val="18"/>
              </w:rPr>
              <w:t>2</w:t>
            </w:r>
            <w:r>
              <w:rPr>
                <w:b/>
                <w:i/>
                <w:color w:val="000000"/>
                <w:sz w:val="18"/>
                <w:szCs w:val="18"/>
              </w:rPr>
              <w:t xml:space="preserve"> – didelė įtaka</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CB6DD8" w:rsidRPr="003C351B" w:rsidRDefault="00CB6DD8" w:rsidP="005E5C89">
            <w:pPr>
              <w:widowControl/>
              <w:autoSpaceDE w:val="0"/>
              <w:autoSpaceDN w:val="0"/>
              <w:adjustRightInd w:val="0"/>
              <w:spacing w:after="0" w:line="240" w:lineRule="auto"/>
              <w:ind w:firstLine="0"/>
              <w:contextualSpacing w:val="0"/>
              <w:jc w:val="center"/>
              <w:rPr>
                <w:color w:val="000000"/>
                <w:sz w:val="18"/>
                <w:szCs w:val="18"/>
              </w:rPr>
            </w:pPr>
            <w:r w:rsidRPr="003C351B">
              <w:rPr>
                <w:color w:val="000000"/>
                <w:sz w:val="18"/>
                <w:szCs w:val="18"/>
              </w:rPr>
              <w:t>13 (24,1 %)</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CB6DD8" w:rsidRPr="003C351B" w:rsidRDefault="00CB6DD8" w:rsidP="00EC4398">
            <w:pPr>
              <w:widowControl/>
              <w:autoSpaceDE w:val="0"/>
              <w:autoSpaceDN w:val="0"/>
              <w:adjustRightInd w:val="0"/>
              <w:spacing w:after="0" w:line="240" w:lineRule="auto"/>
              <w:ind w:firstLine="0"/>
              <w:contextualSpacing w:val="0"/>
              <w:jc w:val="center"/>
              <w:rPr>
                <w:color w:val="000000"/>
                <w:sz w:val="18"/>
                <w:szCs w:val="18"/>
              </w:rPr>
            </w:pPr>
            <w:r w:rsidRPr="003C351B">
              <w:rPr>
                <w:color w:val="000000"/>
                <w:sz w:val="18"/>
                <w:szCs w:val="18"/>
              </w:rPr>
              <w:t>33 (34,7 %)</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CB6DD8" w:rsidRPr="003C351B" w:rsidRDefault="00CB6DD8" w:rsidP="00EC4398">
            <w:pPr>
              <w:widowControl/>
              <w:autoSpaceDE w:val="0"/>
              <w:autoSpaceDN w:val="0"/>
              <w:adjustRightInd w:val="0"/>
              <w:spacing w:after="0" w:line="240" w:lineRule="auto"/>
              <w:ind w:firstLine="0"/>
              <w:contextualSpacing w:val="0"/>
              <w:jc w:val="center"/>
              <w:rPr>
                <w:color w:val="000000"/>
                <w:sz w:val="18"/>
                <w:szCs w:val="18"/>
              </w:rPr>
            </w:pPr>
            <w:r w:rsidRPr="003C351B">
              <w:rPr>
                <w:color w:val="000000"/>
                <w:sz w:val="18"/>
                <w:szCs w:val="18"/>
              </w:rPr>
              <w:t>26 (30,2 %)</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CB6DD8" w:rsidRPr="003C351B" w:rsidRDefault="00CB6DD8" w:rsidP="004722CC">
            <w:pPr>
              <w:widowControl/>
              <w:autoSpaceDE w:val="0"/>
              <w:autoSpaceDN w:val="0"/>
              <w:adjustRightInd w:val="0"/>
              <w:spacing w:after="0" w:line="240" w:lineRule="auto"/>
              <w:ind w:firstLine="0"/>
              <w:contextualSpacing w:val="0"/>
              <w:jc w:val="center"/>
              <w:rPr>
                <w:color w:val="FF0000"/>
                <w:sz w:val="18"/>
                <w:szCs w:val="18"/>
              </w:rPr>
            </w:pPr>
            <w:r w:rsidRPr="003C351B">
              <w:rPr>
                <w:color w:val="FF0000"/>
                <w:sz w:val="18"/>
                <w:szCs w:val="18"/>
              </w:rPr>
              <w:t>19 (36,5 %)</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CB6DD8" w:rsidRPr="003C351B" w:rsidRDefault="00CB6DD8" w:rsidP="004722CC">
            <w:pPr>
              <w:widowControl/>
              <w:autoSpaceDE w:val="0"/>
              <w:autoSpaceDN w:val="0"/>
              <w:adjustRightInd w:val="0"/>
              <w:spacing w:after="0" w:line="240" w:lineRule="auto"/>
              <w:ind w:firstLine="0"/>
              <w:contextualSpacing w:val="0"/>
              <w:jc w:val="center"/>
              <w:rPr>
                <w:color w:val="000000"/>
                <w:sz w:val="18"/>
                <w:szCs w:val="18"/>
              </w:rPr>
            </w:pPr>
            <w:r w:rsidRPr="003C351B">
              <w:rPr>
                <w:color w:val="000000"/>
                <w:sz w:val="18"/>
                <w:szCs w:val="18"/>
              </w:rPr>
              <w:t>16 (29,6 %)</w:t>
            </w:r>
          </w:p>
        </w:tc>
        <w:tc>
          <w:tcPr>
            <w:tcW w:w="1080" w:type="dxa"/>
            <w:shd w:val="clear" w:color="auto" w:fill="D9D9D9" w:themeFill="background1" w:themeFillShade="D9"/>
            <w:tcMar>
              <w:top w:w="30" w:type="dxa"/>
              <w:left w:w="30" w:type="dxa"/>
              <w:bottom w:w="30" w:type="dxa"/>
              <w:right w:w="30" w:type="dxa"/>
            </w:tcMar>
            <w:vAlign w:val="center"/>
          </w:tcPr>
          <w:p w:rsidR="00CB6DD8" w:rsidRPr="00166980" w:rsidRDefault="00CB6DD8" w:rsidP="0081040B">
            <w:pPr>
              <w:widowControl/>
              <w:autoSpaceDE w:val="0"/>
              <w:autoSpaceDN w:val="0"/>
              <w:adjustRightInd w:val="0"/>
              <w:spacing w:after="0" w:line="240" w:lineRule="auto"/>
              <w:ind w:firstLine="0"/>
              <w:contextualSpacing w:val="0"/>
              <w:jc w:val="center"/>
              <w:rPr>
                <w:b/>
                <w:color w:val="000000"/>
                <w:sz w:val="18"/>
                <w:szCs w:val="18"/>
              </w:rPr>
            </w:pPr>
            <w:r w:rsidRPr="00166980">
              <w:rPr>
                <w:b/>
                <w:color w:val="000000"/>
                <w:sz w:val="18"/>
                <w:szCs w:val="18"/>
              </w:rPr>
              <w:t>107</w:t>
            </w:r>
            <w:r>
              <w:rPr>
                <w:b/>
                <w:color w:val="000000"/>
                <w:sz w:val="18"/>
                <w:szCs w:val="18"/>
              </w:rPr>
              <w:t xml:space="preserve"> </w:t>
            </w:r>
            <w:r w:rsidRPr="00166980">
              <w:rPr>
                <w:b/>
                <w:color w:val="000000"/>
                <w:sz w:val="18"/>
                <w:szCs w:val="18"/>
              </w:rPr>
              <w:t>(31,4 %)</w:t>
            </w:r>
          </w:p>
        </w:tc>
      </w:tr>
      <w:tr w:rsidR="00CB6DD8" w:rsidRPr="0062274D" w:rsidTr="00956153">
        <w:trPr>
          <w:cantSplit/>
          <w:trHeight w:val="172"/>
          <w:tblHeader/>
        </w:trPr>
        <w:tc>
          <w:tcPr>
            <w:tcW w:w="2430" w:type="dxa"/>
            <w:shd w:val="clear" w:color="auto" w:fill="D9D9D9" w:themeFill="background1" w:themeFillShade="D9"/>
            <w:tcMar>
              <w:top w:w="30" w:type="dxa"/>
              <w:left w:w="30" w:type="dxa"/>
              <w:bottom w:w="30" w:type="dxa"/>
              <w:right w:w="30" w:type="dxa"/>
            </w:tcMar>
            <w:vAlign w:val="center"/>
          </w:tcPr>
          <w:p w:rsidR="00CB6DD8" w:rsidRPr="00166980" w:rsidRDefault="00CB6DD8" w:rsidP="00BE63AF">
            <w:pPr>
              <w:widowControl/>
              <w:autoSpaceDE w:val="0"/>
              <w:autoSpaceDN w:val="0"/>
              <w:adjustRightInd w:val="0"/>
              <w:spacing w:after="0" w:line="240" w:lineRule="auto"/>
              <w:ind w:firstLine="0"/>
              <w:contextualSpacing w:val="0"/>
              <w:jc w:val="left"/>
              <w:rPr>
                <w:b/>
                <w:i/>
                <w:color w:val="000000"/>
                <w:sz w:val="18"/>
                <w:szCs w:val="18"/>
              </w:rPr>
            </w:pPr>
            <w:r w:rsidRPr="00166980">
              <w:rPr>
                <w:b/>
                <w:i/>
                <w:color w:val="000000"/>
                <w:sz w:val="18"/>
                <w:szCs w:val="18"/>
              </w:rPr>
              <w:t>3</w:t>
            </w:r>
            <w:r>
              <w:rPr>
                <w:b/>
                <w:i/>
                <w:color w:val="000000"/>
                <w:sz w:val="18"/>
                <w:szCs w:val="18"/>
              </w:rPr>
              <w:t xml:space="preserve"> – vidutinė įtaka</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CB6DD8" w:rsidRPr="003C351B" w:rsidRDefault="00CB6DD8" w:rsidP="005E5C89">
            <w:pPr>
              <w:widowControl/>
              <w:autoSpaceDE w:val="0"/>
              <w:autoSpaceDN w:val="0"/>
              <w:adjustRightInd w:val="0"/>
              <w:spacing w:after="0" w:line="240" w:lineRule="auto"/>
              <w:ind w:firstLine="0"/>
              <w:contextualSpacing w:val="0"/>
              <w:jc w:val="center"/>
              <w:rPr>
                <w:color w:val="000000"/>
                <w:sz w:val="18"/>
                <w:szCs w:val="18"/>
              </w:rPr>
            </w:pPr>
            <w:r w:rsidRPr="003C351B">
              <w:rPr>
                <w:color w:val="000000"/>
                <w:sz w:val="18"/>
                <w:szCs w:val="18"/>
              </w:rPr>
              <w:t>5 (9,3 %)</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CB6DD8" w:rsidRPr="003C351B" w:rsidRDefault="00CB6DD8" w:rsidP="00EC4398">
            <w:pPr>
              <w:widowControl/>
              <w:autoSpaceDE w:val="0"/>
              <w:autoSpaceDN w:val="0"/>
              <w:adjustRightInd w:val="0"/>
              <w:spacing w:after="0" w:line="240" w:lineRule="auto"/>
              <w:ind w:firstLine="0"/>
              <w:contextualSpacing w:val="0"/>
              <w:jc w:val="center"/>
              <w:rPr>
                <w:color w:val="FF0000"/>
                <w:sz w:val="18"/>
                <w:szCs w:val="18"/>
              </w:rPr>
            </w:pPr>
            <w:r w:rsidRPr="003C351B">
              <w:rPr>
                <w:color w:val="FF0000"/>
                <w:sz w:val="18"/>
                <w:szCs w:val="18"/>
              </w:rPr>
              <w:t>17 (17,9 %)</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CB6DD8" w:rsidRPr="003C351B" w:rsidRDefault="00CB6DD8" w:rsidP="00EC4398">
            <w:pPr>
              <w:widowControl/>
              <w:autoSpaceDE w:val="0"/>
              <w:autoSpaceDN w:val="0"/>
              <w:adjustRightInd w:val="0"/>
              <w:spacing w:after="0" w:line="240" w:lineRule="auto"/>
              <w:ind w:firstLine="0"/>
              <w:contextualSpacing w:val="0"/>
              <w:jc w:val="center"/>
              <w:rPr>
                <w:color w:val="000000"/>
                <w:sz w:val="18"/>
                <w:szCs w:val="18"/>
              </w:rPr>
            </w:pPr>
            <w:r w:rsidRPr="003C351B">
              <w:rPr>
                <w:color w:val="000000"/>
                <w:sz w:val="18"/>
                <w:szCs w:val="18"/>
              </w:rPr>
              <w:t>15 (17,4 %)</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CB6DD8" w:rsidRPr="003C351B" w:rsidRDefault="00CB6DD8" w:rsidP="004722CC">
            <w:pPr>
              <w:widowControl/>
              <w:autoSpaceDE w:val="0"/>
              <w:autoSpaceDN w:val="0"/>
              <w:adjustRightInd w:val="0"/>
              <w:spacing w:after="0" w:line="240" w:lineRule="auto"/>
              <w:ind w:firstLine="0"/>
              <w:contextualSpacing w:val="0"/>
              <w:jc w:val="center"/>
              <w:rPr>
                <w:color w:val="000000"/>
                <w:sz w:val="18"/>
                <w:szCs w:val="18"/>
              </w:rPr>
            </w:pPr>
            <w:r w:rsidRPr="003C351B">
              <w:rPr>
                <w:color w:val="000000"/>
                <w:sz w:val="18"/>
                <w:szCs w:val="18"/>
              </w:rPr>
              <w:t>9 (17,3 %)</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CB6DD8" w:rsidRPr="003C351B" w:rsidRDefault="00CB6DD8" w:rsidP="004722CC">
            <w:pPr>
              <w:widowControl/>
              <w:autoSpaceDE w:val="0"/>
              <w:autoSpaceDN w:val="0"/>
              <w:adjustRightInd w:val="0"/>
              <w:spacing w:after="0" w:line="240" w:lineRule="auto"/>
              <w:ind w:firstLine="0"/>
              <w:contextualSpacing w:val="0"/>
              <w:jc w:val="center"/>
              <w:rPr>
                <w:color w:val="000000"/>
                <w:sz w:val="18"/>
                <w:szCs w:val="18"/>
              </w:rPr>
            </w:pPr>
            <w:r w:rsidRPr="003C351B">
              <w:rPr>
                <w:color w:val="000000"/>
                <w:sz w:val="18"/>
                <w:szCs w:val="18"/>
              </w:rPr>
              <w:t>6 (11,1 %)</w:t>
            </w:r>
          </w:p>
        </w:tc>
        <w:tc>
          <w:tcPr>
            <w:tcW w:w="1080" w:type="dxa"/>
            <w:shd w:val="clear" w:color="auto" w:fill="D9D9D9" w:themeFill="background1" w:themeFillShade="D9"/>
            <w:tcMar>
              <w:top w:w="30" w:type="dxa"/>
              <w:left w:w="30" w:type="dxa"/>
              <w:bottom w:w="30" w:type="dxa"/>
              <w:right w:w="30" w:type="dxa"/>
            </w:tcMar>
            <w:vAlign w:val="center"/>
          </w:tcPr>
          <w:p w:rsidR="00CB6DD8" w:rsidRPr="00166980" w:rsidRDefault="00CB6DD8" w:rsidP="0081040B">
            <w:pPr>
              <w:widowControl/>
              <w:autoSpaceDE w:val="0"/>
              <w:autoSpaceDN w:val="0"/>
              <w:adjustRightInd w:val="0"/>
              <w:spacing w:after="0" w:line="240" w:lineRule="auto"/>
              <w:ind w:firstLine="0"/>
              <w:contextualSpacing w:val="0"/>
              <w:jc w:val="center"/>
              <w:rPr>
                <w:b/>
                <w:color w:val="000000"/>
                <w:sz w:val="18"/>
                <w:szCs w:val="18"/>
              </w:rPr>
            </w:pPr>
            <w:r w:rsidRPr="00166980">
              <w:rPr>
                <w:b/>
                <w:color w:val="000000"/>
                <w:sz w:val="18"/>
                <w:szCs w:val="18"/>
              </w:rPr>
              <w:t>52</w:t>
            </w:r>
            <w:r>
              <w:rPr>
                <w:b/>
                <w:color w:val="000000"/>
                <w:sz w:val="18"/>
                <w:szCs w:val="18"/>
              </w:rPr>
              <w:t xml:space="preserve"> </w:t>
            </w:r>
            <w:r w:rsidRPr="00166980">
              <w:rPr>
                <w:b/>
                <w:color w:val="000000"/>
                <w:sz w:val="18"/>
                <w:szCs w:val="18"/>
              </w:rPr>
              <w:t>(15,2 %)</w:t>
            </w:r>
          </w:p>
        </w:tc>
      </w:tr>
      <w:tr w:rsidR="00CB6DD8" w:rsidRPr="0062274D" w:rsidTr="00956153">
        <w:trPr>
          <w:cantSplit/>
          <w:trHeight w:val="172"/>
          <w:tblHeader/>
        </w:trPr>
        <w:tc>
          <w:tcPr>
            <w:tcW w:w="2430" w:type="dxa"/>
            <w:shd w:val="clear" w:color="auto" w:fill="D9D9D9" w:themeFill="background1" w:themeFillShade="D9"/>
            <w:tcMar>
              <w:top w:w="30" w:type="dxa"/>
              <w:left w:w="30" w:type="dxa"/>
              <w:bottom w:w="30" w:type="dxa"/>
              <w:right w:w="30" w:type="dxa"/>
            </w:tcMar>
            <w:vAlign w:val="center"/>
          </w:tcPr>
          <w:p w:rsidR="00CB6DD8" w:rsidRPr="00166980" w:rsidRDefault="00CB6DD8" w:rsidP="00BE63AF">
            <w:pPr>
              <w:widowControl/>
              <w:autoSpaceDE w:val="0"/>
              <w:autoSpaceDN w:val="0"/>
              <w:adjustRightInd w:val="0"/>
              <w:spacing w:after="0" w:line="240" w:lineRule="auto"/>
              <w:ind w:firstLine="0"/>
              <w:contextualSpacing w:val="0"/>
              <w:jc w:val="left"/>
              <w:rPr>
                <w:b/>
                <w:i/>
                <w:color w:val="000000"/>
                <w:sz w:val="18"/>
                <w:szCs w:val="18"/>
              </w:rPr>
            </w:pPr>
            <w:r w:rsidRPr="00166980">
              <w:rPr>
                <w:b/>
                <w:i/>
                <w:color w:val="000000"/>
                <w:sz w:val="18"/>
                <w:szCs w:val="18"/>
              </w:rPr>
              <w:t>4</w:t>
            </w:r>
            <w:r>
              <w:rPr>
                <w:b/>
                <w:i/>
                <w:color w:val="000000"/>
                <w:sz w:val="18"/>
                <w:szCs w:val="18"/>
              </w:rPr>
              <w:t xml:space="preserve"> – </w:t>
            </w:r>
            <w:r w:rsidRPr="00166980">
              <w:rPr>
                <w:b/>
                <w:i/>
                <w:color w:val="000000"/>
                <w:sz w:val="18"/>
                <w:szCs w:val="18"/>
              </w:rPr>
              <w:t>maža įtaka</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CB6DD8" w:rsidRPr="003C351B" w:rsidRDefault="00CB6DD8" w:rsidP="005E5C89">
            <w:pPr>
              <w:widowControl/>
              <w:autoSpaceDE w:val="0"/>
              <w:autoSpaceDN w:val="0"/>
              <w:adjustRightInd w:val="0"/>
              <w:spacing w:after="0" w:line="240" w:lineRule="auto"/>
              <w:ind w:firstLine="0"/>
              <w:contextualSpacing w:val="0"/>
              <w:jc w:val="center"/>
              <w:rPr>
                <w:color w:val="FF0000"/>
                <w:sz w:val="18"/>
                <w:szCs w:val="18"/>
              </w:rPr>
            </w:pPr>
            <w:r w:rsidRPr="003C351B">
              <w:rPr>
                <w:color w:val="FF0000"/>
                <w:sz w:val="18"/>
                <w:szCs w:val="18"/>
              </w:rPr>
              <w:t>9 (16,7 %)</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CB6DD8" w:rsidRPr="003C351B" w:rsidRDefault="00CB6DD8" w:rsidP="00EC4398">
            <w:pPr>
              <w:widowControl/>
              <w:autoSpaceDE w:val="0"/>
              <w:autoSpaceDN w:val="0"/>
              <w:adjustRightInd w:val="0"/>
              <w:spacing w:after="0" w:line="240" w:lineRule="auto"/>
              <w:ind w:firstLine="0"/>
              <w:contextualSpacing w:val="0"/>
              <w:jc w:val="center"/>
              <w:rPr>
                <w:color w:val="000000"/>
                <w:sz w:val="18"/>
                <w:szCs w:val="18"/>
              </w:rPr>
            </w:pPr>
            <w:r w:rsidRPr="003C351B">
              <w:rPr>
                <w:color w:val="000000"/>
                <w:sz w:val="18"/>
                <w:szCs w:val="18"/>
              </w:rPr>
              <w:t>8 (8,4 %)</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CB6DD8" w:rsidRPr="003C351B" w:rsidRDefault="00CB6DD8" w:rsidP="00EC4398">
            <w:pPr>
              <w:widowControl/>
              <w:autoSpaceDE w:val="0"/>
              <w:autoSpaceDN w:val="0"/>
              <w:adjustRightInd w:val="0"/>
              <w:spacing w:after="0" w:line="240" w:lineRule="auto"/>
              <w:ind w:firstLine="0"/>
              <w:contextualSpacing w:val="0"/>
              <w:jc w:val="center"/>
              <w:rPr>
                <w:color w:val="000000"/>
                <w:sz w:val="18"/>
                <w:szCs w:val="18"/>
              </w:rPr>
            </w:pPr>
            <w:r w:rsidRPr="003C351B">
              <w:rPr>
                <w:color w:val="000000"/>
                <w:sz w:val="18"/>
                <w:szCs w:val="18"/>
              </w:rPr>
              <w:t>8 (9,3 %)</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CB6DD8" w:rsidRPr="003C351B" w:rsidRDefault="00CB6DD8" w:rsidP="004722CC">
            <w:pPr>
              <w:widowControl/>
              <w:autoSpaceDE w:val="0"/>
              <w:autoSpaceDN w:val="0"/>
              <w:adjustRightInd w:val="0"/>
              <w:spacing w:after="0" w:line="240" w:lineRule="auto"/>
              <w:ind w:firstLine="0"/>
              <w:contextualSpacing w:val="0"/>
              <w:jc w:val="center"/>
              <w:rPr>
                <w:color w:val="000000"/>
                <w:sz w:val="18"/>
                <w:szCs w:val="18"/>
              </w:rPr>
            </w:pPr>
            <w:r w:rsidRPr="003C351B">
              <w:rPr>
                <w:color w:val="000000"/>
                <w:sz w:val="18"/>
                <w:szCs w:val="18"/>
              </w:rPr>
              <w:t>1 (1,9 %)</w:t>
            </w:r>
          </w:p>
        </w:tc>
        <w:tc>
          <w:tcPr>
            <w:tcW w:w="1350" w:type="dxa"/>
            <w:tcBorders>
              <w:top w:val="single" w:sz="2" w:space="0" w:color="000000"/>
              <w:bottom w:val="single" w:sz="2" w:space="0" w:color="000000"/>
            </w:tcBorders>
            <w:shd w:val="clear" w:color="auto" w:fill="auto"/>
            <w:tcMar>
              <w:top w:w="30" w:type="dxa"/>
              <w:left w:w="30" w:type="dxa"/>
              <w:bottom w:w="30" w:type="dxa"/>
              <w:right w:w="30" w:type="dxa"/>
            </w:tcMar>
            <w:vAlign w:val="center"/>
          </w:tcPr>
          <w:p w:rsidR="00CB6DD8" w:rsidRPr="003C351B" w:rsidRDefault="00CB6DD8" w:rsidP="004722CC">
            <w:pPr>
              <w:widowControl/>
              <w:autoSpaceDE w:val="0"/>
              <w:autoSpaceDN w:val="0"/>
              <w:adjustRightInd w:val="0"/>
              <w:spacing w:after="0" w:line="240" w:lineRule="auto"/>
              <w:ind w:firstLine="0"/>
              <w:contextualSpacing w:val="0"/>
              <w:jc w:val="center"/>
              <w:rPr>
                <w:color w:val="000000"/>
                <w:sz w:val="18"/>
                <w:szCs w:val="18"/>
              </w:rPr>
            </w:pPr>
            <w:r w:rsidRPr="003C351B">
              <w:rPr>
                <w:color w:val="000000"/>
                <w:sz w:val="18"/>
                <w:szCs w:val="18"/>
              </w:rPr>
              <w:t>5 (9,3 %)</w:t>
            </w:r>
          </w:p>
        </w:tc>
        <w:tc>
          <w:tcPr>
            <w:tcW w:w="1080" w:type="dxa"/>
            <w:shd w:val="clear" w:color="auto" w:fill="D9D9D9" w:themeFill="background1" w:themeFillShade="D9"/>
            <w:tcMar>
              <w:top w:w="30" w:type="dxa"/>
              <w:left w:w="30" w:type="dxa"/>
              <w:bottom w:w="30" w:type="dxa"/>
              <w:right w:w="30" w:type="dxa"/>
            </w:tcMar>
            <w:vAlign w:val="center"/>
          </w:tcPr>
          <w:p w:rsidR="00CB6DD8" w:rsidRPr="00166980" w:rsidRDefault="00CB6DD8" w:rsidP="0081040B">
            <w:pPr>
              <w:widowControl/>
              <w:autoSpaceDE w:val="0"/>
              <w:autoSpaceDN w:val="0"/>
              <w:adjustRightInd w:val="0"/>
              <w:spacing w:after="0" w:line="240" w:lineRule="auto"/>
              <w:ind w:firstLine="0"/>
              <w:contextualSpacing w:val="0"/>
              <w:jc w:val="center"/>
              <w:rPr>
                <w:b/>
                <w:color w:val="000000"/>
                <w:sz w:val="18"/>
                <w:szCs w:val="18"/>
              </w:rPr>
            </w:pPr>
            <w:r w:rsidRPr="00166980">
              <w:rPr>
                <w:b/>
                <w:color w:val="000000"/>
                <w:sz w:val="18"/>
                <w:szCs w:val="18"/>
              </w:rPr>
              <w:t>31</w:t>
            </w:r>
            <w:r>
              <w:rPr>
                <w:b/>
                <w:color w:val="000000"/>
                <w:sz w:val="18"/>
                <w:szCs w:val="18"/>
              </w:rPr>
              <w:t xml:space="preserve"> </w:t>
            </w:r>
            <w:r w:rsidRPr="00166980">
              <w:rPr>
                <w:b/>
                <w:color w:val="000000"/>
                <w:sz w:val="18"/>
                <w:szCs w:val="18"/>
              </w:rPr>
              <w:t>(9,1 %)</w:t>
            </w:r>
          </w:p>
        </w:tc>
      </w:tr>
      <w:tr w:rsidR="00CB6DD8" w:rsidRPr="0062274D" w:rsidTr="003C351B">
        <w:trPr>
          <w:cantSplit/>
          <w:trHeight w:val="82"/>
          <w:tblHeader/>
        </w:trPr>
        <w:tc>
          <w:tcPr>
            <w:tcW w:w="2430" w:type="dxa"/>
            <w:tcBorders>
              <w:bottom w:val="single" w:sz="12" w:space="0" w:color="000000"/>
            </w:tcBorders>
            <w:shd w:val="clear" w:color="auto" w:fill="D9D9D9" w:themeFill="background1" w:themeFillShade="D9"/>
            <w:tcMar>
              <w:top w:w="30" w:type="dxa"/>
              <w:left w:w="30" w:type="dxa"/>
              <w:bottom w:w="30" w:type="dxa"/>
              <w:right w:w="30" w:type="dxa"/>
            </w:tcMar>
            <w:vAlign w:val="center"/>
          </w:tcPr>
          <w:p w:rsidR="00CB6DD8" w:rsidRPr="00166980" w:rsidRDefault="00CB6DD8" w:rsidP="00BE63AF">
            <w:pPr>
              <w:widowControl/>
              <w:autoSpaceDE w:val="0"/>
              <w:autoSpaceDN w:val="0"/>
              <w:adjustRightInd w:val="0"/>
              <w:spacing w:after="0" w:line="240" w:lineRule="auto"/>
              <w:ind w:firstLine="0"/>
              <w:contextualSpacing w:val="0"/>
              <w:jc w:val="left"/>
              <w:rPr>
                <w:b/>
                <w:i/>
                <w:color w:val="000000"/>
                <w:sz w:val="18"/>
                <w:szCs w:val="18"/>
              </w:rPr>
            </w:pPr>
            <w:r w:rsidRPr="00166980">
              <w:rPr>
                <w:b/>
                <w:i/>
                <w:color w:val="000000"/>
                <w:sz w:val="18"/>
                <w:szCs w:val="18"/>
              </w:rPr>
              <w:t>5</w:t>
            </w:r>
            <w:r>
              <w:rPr>
                <w:b/>
                <w:i/>
                <w:color w:val="000000"/>
                <w:sz w:val="18"/>
                <w:szCs w:val="18"/>
              </w:rPr>
              <w:t xml:space="preserve"> – labai maža įtaka</w:t>
            </w:r>
          </w:p>
        </w:tc>
        <w:tc>
          <w:tcPr>
            <w:tcW w:w="1350" w:type="dxa"/>
            <w:tcBorders>
              <w:top w:val="single" w:sz="2" w:space="0" w:color="000000"/>
              <w:bottom w:val="single" w:sz="12" w:space="0" w:color="000000"/>
            </w:tcBorders>
            <w:shd w:val="clear" w:color="auto" w:fill="auto"/>
            <w:tcMar>
              <w:top w:w="30" w:type="dxa"/>
              <w:left w:w="30" w:type="dxa"/>
              <w:bottom w:w="30" w:type="dxa"/>
              <w:right w:w="30" w:type="dxa"/>
            </w:tcMar>
            <w:vAlign w:val="center"/>
          </w:tcPr>
          <w:p w:rsidR="00CB6DD8" w:rsidRPr="003C351B" w:rsidRDefault="00CB6DD8" w:rsidP="005E5C89">
            <w:pPr>
              <w:widowControl/>
              <w:autoSpaceDE w:val="0"/>
              <w:autoSpaceDN w:val="0"/>
              <w:adjustRightInd w:val="0"/>
              <w:spacing w:after="0" w:line="240" w:lineRule="auto"/>
              <w:ind w:firstLine="0"/>
              <w:contextualSpacing w:val="0"/>
              <w:jc w:val="center"/>
              <w:rPr>
                <w:color w:val="FF0000"/>
                <w:sz w:val="18"/>
                <w:szCs w:val="18"/>
              </w:rPr>
            </w:pPr>
            <w:r w:rsidRPr="003C351B">
              <w:rPr>
                <w:color w:val="FF0000"/>
                <w:sz w:val="18"/>
                <w:szCs w:val="18"/>
              </w:rPr>
              <w:t>16 (29,6 %)</w:t>
            </w:r>
          </w:p>
        </w:tc>
        <w:tc>
          <w:tcPr>
            <w:tcW w:w="1350" w:type="dxa"/>
            <w:tcBorders>
              <w:top w:val="single" w:sz="2" w:space="0" w:color="000000"/>
              <w:bottom w:val="single" w:sz="12" w:space="0" w:color="000000"/>
            </w:tcBorders>
            <w:shd w:val="clear" w:color="auto" w:fill="auto"/>
            <w:tcMar>
              <w:top w:w="30" w:type="dxa"/>
              <w:left w:w="30" w:type="dxa"/>
              <w:bottom w:w="30" w:type="dxa"/>
              <w:right w:w="30" w:type="dxa"/>
            </w:tcMar>
            <w:vAlign w:val="center"/>
          </w:tcPr>
          <w:p w:rsidR="00CB6DD8" w:rsidRPr="003C351B" w:rsidRDefault="00CB6DD8" w:rsidP="00EC4398">
            <w:pPr>
              <w:widowControl/>
              <w:autoSpaceDE w:val="0"/>
              <w:autoSpaceDN w:val="0"/>
              <w:adjustRightInd w:val="0"/>
              <w:spacing w:after="0" w:line="240" w:lineRule="auto"/>
              <w:ind w:firstLine="0"/>
              <w:contextualSpacing w:val="0"/>
              <w:jc w:val="center"/>
              <w:rPr>
                <w:color w:val="000000"/>
                <w:sz w:val="18"/>
                <w:szCs w:val="18"/>
              </w:rPr>
            </w:pPr>
            <w:r w:rsidRPr="003C351B">
              <w:rPr>
                <w:color w:val="000000"/>
                <w:sz w:val="18"/>
                <w:szCs w:val="18"/>
              </w:rPr>
              <w:t>1 (1,1 %)</w:t>
            </w:r>
          </w:p>
        </w:tc>
        <w:tc>
          <w:tcPr>
            <w:tcW w:w="1350" w:type="dxa"/>
            <w:tcBorders>
              <w:top w:val="single" w:sz="2" w:space="0" w:color="000000"/>
              <w:bottom w:val="single" w:sz="12" w:space="0" w:color="000000"/>
            </w:tcBorders>
            <w:shd w:val="clear" w:color="auto" w:fill="auto"/>
            <w:tcMar>
              <w:top w:w="30" w:type="dxa"/>
              <w:left w:w="30" w:type="dxa"/>
              <w:bottom w:w="30" w:type="dxa"/>
              <w:right w:w="30" w:type="dxa"/>
            </w:tcMar>
            <w:vAlign w:val="center"/>
          </w:tcPr>
          <w:p w:rsidR="00CB6DD8" w:rsidRPr="003C351B" w:rsidRDefault="00CB6DD8" w:rsidP="00EC4398">
            <w:pPr>
              <w:widowControl/>
              <w:autoSpaceDE w:val="0"/>
              <w:autoSpaceDN w:val="0"/>
              <w:adjustRightInd w:val="0"/>
              <w:spacing w:after="0" w:line="240" w:lineRule="auto"/>
              <w:ind w:firstLine="0"/>
              <w:contextualSpacing w:val="0"/>
              <w:jc w:val="center"/>
              <w:rPr>
                <w:color w:val="000000"/>
                <w:sz w:val="18"/>
                <w:szCs w:val="18"/>
              </w:rPr>
            </w:pPr>
            <w:r w:rsidRPr="003C351B">
              <w:rPr>
                <w:color w:val="000000"/>
                <w:sz w:val="18"/>
                <w:szCs w:val="18"/>
              </w:rPr>
              <w:t>3</w:t>
            </w:r>
            <w:r w:rsidR="00956153" w:rsidRPr="003C351B">
              <w:rPr>
                <w:color w:val="000000"/>
                <w:sz w:val="18"/>
                <w:szCs w:val="18"/>
              </w:rPr>
              <w:t xml:space="preserve"> </w:t>
            </w:r>
            <w:r w:rsidRPr="003C351B">
              <w:rPr>
                <w:color w:val="000000"/>
                <w:sz w:val="18"/>
                <w:szCs w:val="18"/>
              </w:rPr>
              <w:t>(3,5 %)</w:t>
            </w:r>
          </w:p>
        </w:tc>
        <w:tc>
          <w:tcPr>
            <w:tcW w:w="1350" w:type="dxa"/>
            <w:tcBorders>
              <w:top w:val="single" w:sz="2" w:space="0" w:color="000000"/>
              <w:bottom w:val="single" w:sz="12" w:space="0" w:color="000000"/>
            </w:tcBorders>
            <w:shd w:val="clear" w:color="auto" w:fill="auto"/>
            <w:tcMar>
              <w:top w:w="30" w:type="dxa"/>
              <w:left w:w="30" w:type="dxa"/>
              <w:bottom w:w="30" w:type="dxa"/>
              <w:right w:w="30" w:type="dxa"/>
            </w:tcMar>
            <w:vAlign w:val="center"/>
          </w:tcPr>
          <w:p w:rsidR="00CB6DD8" w:rsidRPr="003C351B" w:rsidRDefault="00CB6DD8" w:rsidP="004722CC">
            <w:pPr>
              <w:widowControl/>
              <w:autoSpaceDE w:val="0"/>
              <w:autoSpaceDN w:val="0"/>
              <w:adjustRightInd w:val="0"/>
              <w:spacing w:after="0" w:line="240" w:lineRule="auto"/>
              <w:ind w:firstLine="0"/>
              <w:contextualSpacing w:val="0"/>
              <w:jc w:val="center"/>
              <w:rPr>
                <w:color w:val="000000"/>
                <w:sz w:val="18"/>
                <w:szCs w:val="18"/>
              </w:rPr>
            </w:pPr>
            <w:r w:rsidRPr="003C351B">
              <w:rPr>
                <w:color w:val="000000"/>
                <w:sz w:val="18"/>
                <w:szCs w:val="18"/>
              </w:rPr>
              <w:t>1</w:t>
            </w:r>
            <w:r w:rsidR="00956153" w:rsidRPr="003C351B">
              <w:rPr>
                <w:color w:val="000000"/>
                <w:sz w:val="18"/>
                <w:szCs w:val="18"/>
              </w:rPr>
              <w:t xml:space="preserve"> </w:t>
            </w:r>
            <w:r w:rsidRPr="003C351B">
              <w:rPr>
                <w:color w:val="000000"/>
                <w:sz w:val="18"/>
                <w:szCs w:val="18"/>
              </w:rPr>
              <w:t>(1,9 %)</w:t>
            </w:r>
          </w:p>
        </w:tc>
        <w:tc>
          <w:tcPr>
            <w:tcW w:w="1350" w:type="dxa"/>
            <w:tcBorders>
              <w:top w:val="single" w:sz="2" w:space="0" w:color="000000"/>
              <w:bottom w:val="single" w:sz="12" w:space="0" w:color="000000"/>
            </w:tcBorders>
            <w:shd w:val="clear" w:color="auto" w:fill="auto"/>
            <w:tcMar>
              <w:top w:w="30" w:type="dxa"/>
              <w:left w:w="30" w:type="dxa"/>
              <w:bottom w:w="30" w:type="dxa"/>
              <w:right w:w="30" w:type="dxa"/>
            </w:tcMar>
            <w:vAlign w:val="center"/>
          </w:tcPr>
          <w:p w:rsidR="00CB6DD8" w:rsidRPr="003C351B" w:rsidRDefault="00CB6DD8" w:rsidP="004722CC">
            <w:pPr>
              <w:widowControl/>
              <w:autoSpaceDE w:val="0"/>
              <w:autoSpaceDN w:val="0"/>
              <w:adjustRightInd w:val="0"/>
              <w:spacing w:after="0" w:line="240" w:lineRule="auto"/>
              <w:ind w:firstLine="0"/>
              <w:contextualSpacing w:val="0"/>
              <w:jc w:val="center"/>
              <w:rPr>
                <w:color w:val="000000"/>
                <w:sz w:val="18"/>
                <w:szCs w:val="18"/>
              </w:rPr>
            </w:pPr>
            <w:r w:rsidRPr="003C351B">
              <w:rPr>
                <w:color w:val="000000"/>
                <w:sz w:val="18"/>
                <w:szCs w:val="18"/>
              </w:rPr>
              <w:t>8</w:t>
            </w:r>
            <w:r w:rsidR="00956153" w:rsidRPr="003C351B">
              <w:rPr>
                <w:color w:val="000000"/>
                <w:sz w:val="18"/>
                <w:szCs w:val="18"/>
              </w:rPr>
              <w:t xml:space="preserve"> </w:t>
            </w:r>
            <w:r w:rsidRPr="003C351B">
              <w:rPr>
                <w:color w:val="000000"/>
                <w:sz w:val="18"/>
                <w:szCs w:val="18"/>
              </w:rPr>
              <w:t>(14,8 %)</w:t>
            </w:r>
          </w:p>
        </w:tc>
        <w:tc>
          <w:tcPr>
            <w:tcW w:w="1080" w:type="dxa"/>
            <w:tcBorders>
              <w:bottom w:val="single" w:sz="12" w:space="0" w:color="000000"/>
            </w:tcBorders>
            <w:shd w:val="clear" w:color="auto" w:fill="D9D9D9" w:themeFill="background1" w:themeFillShade="D9"/>
            <w:tcMar>
              <w:top w:w="30" w:type="dxa"/>
              <w:left w:w="30" w:type="dxa"/>
              <w:bottom w:w="30" w:type="dxa"/>
              <w:right w:w="30" w:type="dxa"/>
            </w:tcMar>
            <w:vAlign w:val="center"/>
          </w:tcPr>
          <w:p w:rsidR="00CB6DD8" w:rsidRPr="00166980" w:rsidRDefault="00CB6DD8" w:rsidP="0081040B">
            <w:pPr>
              <w:widowControl/>
              <w:autoSpaceDE w:val="0"/>
              <w:autoSpaceDN w:val="0"/>
              <w:adjustRightInd w:val="0"/>
              <w:spacing w:after="0" w:line="240" w:lineRule="auto"/>
              <w:ind w:firstLine="0"/>
              <w:contextualSpacing w:val="0"/>
              <w:jc w:val="center"/>
              <w:rPr>
                <w:b/>
                <w:color w:val="000000"/>
                <w:sz w:val="18"/>
                <w:szCs w:val="18"/>
              </w:rPr>
            </w:pPr>
            <w:r w:rsidRPr="00166980">
              <w:rPr>
                <w:b/>
                <w:color w:val="000000"/>
                <w:sz w:val="18"/>
                <w:szCs w:val="18"/>
              </w:rPr>
              <w:t>29</w:t>
            </w:r>
            <w:r w:rsidR="00956153">
              <w:rPr>
                <w:b/>
                <w:color w:val="000000"/>
                <w:sz w:val="18"/>
                <w:szCs w:val="18"/>
              </w:rPr>
              <w:t xml:space="preserve"> </w:t>
            </w:r>
            <w:r w:rsidRPr="00166980">
              <w:rPr>
                <w:b/>
                <w:color w:val="000000"/>
                <w:sz w:val="18"/>
                <w:szCs w:val="18"/>
              </w:rPr>
              <w:t>(8,5 %)</w:t>
            </w:r>
          </w:p>
        </w:tc>
      </w:tr>
      <w:tr w:rsidR="005E5C89" w:rsidRPr="00166980" w:rsidTr="003C351B">
        <w:trPr>
          <w:cantSplit/>
          <w:trHeight w:val="147"/>
          <w:tblHeader/>
        </w:trPr>
        <w:tc>
          <w:tcPr>
            <w:tcW w:w="243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center"/>
          </w:tcPr>
          <w:p w:rsidR="005E5C89" w:rsidRPr="00166980" w:rsidRDefault="005E5C89" w:rsidP="006B672E">
            <w:pPr>
              <w:widowControl/>
              <w:autoSpaceDE w:val="0"/>
              <w:autoSpaceDN w:val="0"/>
              <w:adjustRightInd w:val="0"/>
              <w:spacing w:after="0" w:line="240" w:lineRule="auto"/>
              <w:ind w:firstLine="0"/>
              <w:contextualSpacing w:val="0"/>
              <w:jc w:val="right"/>
              <w:rPr>
                <w:b/>
                <w:i/>
                <w:color w:val="000000"/>
                <w:sz w:val="17"/>
                <w:szCs w:val="17"/>
              </w:rPr>
            </w:pPr>
            <w:r w:rsidRPr="00166980">
              <w:rPr>
                <w:b/>
                <w:i/>
                <w:color w:val="000000"/>
                <w:sz w:val="17"/>
                <w:szCs w:val="17"/>
              </w:rPr>
              <w:t>Iš viso:</w:t>
            </w:r>
          </w:p>
        </w:tc>
        <w:tc>
          <w:tcPr>
            <w:tcW w:w="135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center"/>
          </w:tcPr>
          <w:p w:rsidR="005E5C89" w:rsidRPr="00166980" w:rsidRDefault="005E5C89" w:rsidP="005E5C89">
            <w:pPr>
              <w:widowControl/>
              <w:autoSpaceDE w:val="0"/>
              <w:autoSpaceDN w:val="0"/>
              <w:adjustRightInd w:val="0"/>
              <w:spacing w:after="0" w:line="240" w:lineRule="auto"/>
              <w:ind w:firstLine="0"/>
              <w:contextualSpacing w:val="0"/>
              <w:jc w:val="center"/>
              <w:rPr>
                <w:b/>
                <w:color w:val="000000"/>
                <w:sz w:val="17"/>
                <w:szCs w:val="17"/>
              </w:rPr>
            </w:pPr>
            <w:r w:rsidRPr="00166980">
              <w:rPr>
                <w:b/>
                <w:color w:val="000000"/>
                <w:sz w:val="17"/>
                <w:szCs w:val="17"/>
              </w:rPr>
              <w:t>54</w:t>
            </w:r>
            <w:r w:rsidR="00956153">
              <w:rPr>
                <w:b/>
                <w:color w:val="000000"/>
                <w:sz w:val="17"/>
                <w:szCs w:val="17"/>
              </w:rPr>
              <w:t xml:space="preserve"> </w:t>
            </w:r>
            <w:r w:rsidRPr="00166980">
              <w:rPr>
                <w:b/>
                <w:color w:val="000000"/>
                <w:sz w:val="17"/>
                <w:szCs w:val="17"/>
              </w:rPr>
              <w:t>(100,0 %)</w:t>
            </w:r>
          </w:p>
        </w:tc>
        <w:tc>
          <w:tcPr>
            <w:tcW w:w="135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center"/>
          </w:tcPr>
          <w:p w:rsidR="005E5C89" w:rsidRPr="00166980" w:rsidRDefault="005E5C89" w:rsidP="00EC4398">
            <w:pPr>
              <w:widowControl/>
              <w:autoSpaceDE w:val="0"/>
              <w:autoSpaceDN w:val="0"/>
              <w:adjustRightInd w:val="0"/>
              <w:spacing w:after="0" w:line="240" w:lineRule="auto"/>
              <w:ind w:firstLine="0"/>
              <w:contextualSpacing w:val="0"/>
              <w:jc w:val="center"/>
              <w:rPr>
                <w:b/>
                <w:color w:val="000000"/>
                <w:sz w:val="17"/>
                <w:szCs w:val="17"/>
              </w:rPr>
            </w:pPr>
            <w:r w:rsidRPr="00166980">
              <w:rPr>
                <w:b/>
                <w:color w:val="000000"/>
                <w:sz w:val="17"/>
                <w:szCs w:val="17"/>
              </w:rPr>
              <w:t>95</w:t>
            </w:r>
            <w:r w:rsidR="00956153">
              <w:rPr>
                <w:b/>
                <w:color w:val="000000"/>
                <w:sz w:val="17"/>
                <w:szCs w:val="17"/>
              </w:rPr>
              <w:t xml:space="preserve"> </w:t>
            </w:r>
            <w:r w:rsidR="00EC4398" w:rsidRPr="00166980">
              <w:rPr>
                <w:b/>
                <w:color w:val="000000"/>
                <w:sz w:val="17"/>
                <w:szCs w:val="17"/>
              </w:rPr>
              <w:t>(</w:t>
            </w:r>
            <w:r w:rsidRPr="00166980">
              <w:rPr>
                <w:b/>
                <w:color w:val="000000"/>
                <w:sz w:val="17"/>
                <w:szCs w:val="17"/>
              </w:rPr>
              <w:t>100,0</w:t>
            </w:r>
            <w:r w:rsidR="00EC4398" w:rsidRPr="00166980">
              <w:rPr>
                <w:b/>
                <w:color w:val="000000"/>
                <w:sz w:val="17"/>
                <w:szCs w:val="17"/>
              </w:rPr>
              <w:t xml:space="preserve"> </w:t>
            </w:r>
            <w:r w:rsidRPr="00166980">
              <w:rPr>
                <w:b/>
                <w:color w:val="000000"/>
                <w:sz w:val="17"/>
                <w:szCs w:val="17"/>
              </w:rPr>
              <w:t>%</w:t>
            </w:r>
            <w:r w:rsidR="00EC4398" w:rsidRPr="00166980">
              <w:rPr>
                <w:b/>
                <w:color w:val="000000"/>
                <w:sz w:val="17"/>
                <w:szCs w:val="17"/>
              </w:rPr>
              <w:t>)</w:t>
            </w:r>
          </w:p>
        </w:tc>
        <w:tc>
          <w:tcPr>
            <w:tcW w:w="135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center"/>
          </w:tcPr>
          <w:p w:rsidR="005E5C89" w:rsidRPr="00166980" w:rsidRDefault="005E5C89" w:rsidP="00EC4398">
            <w:pPr>
              <w:widowControl/>
              <w:autoSpaceDE w:val="0"/>
              <w:autoSpaceDN w:val="0"/>
              <w:adjustRightInd w:val="0"/>
              <w:spacing w:after="0" w:line="240" w:lineRule="auto"/>
              <w:ind w:firstLine="0"/>
              <w:contextualSpacing w:val="0"/>
              <w:jc w:val="center"/>
              <w:rPr>
                <w:b/>
                <w:color w:val="000000"/>
                <w:sz w:val="17"/>
                <w:szCs w:val="17"/>
              </w:rPr>
            </w:pPr>
            <w:r w:rsidRPr="00166980">
              <w:rPr>
                <w:b/>
                <w:color w:val="000000"/>
                <w:sz w:val="17"/>
                <w:szCs w:val="17"/>
              </w:rPr>
              <w:t>86</w:t>
            </w:r>
            <w:r w:rsidR="00956153">
              <w:rPr>
                <w:b/>
                <w:color w:val="000000"/>
                <w:sz w:val="17"/>
                <w:szCs w:val="17"/>
              </w:rPr>
              <w:t xml:space="preserve"> </w:t>
            </w:r>
            <w:r w:rsidR="00EC4398" w:rsidRPr="00166980">
              <w:rPr>
                <w:b/>
                <w:color w:val="000000"/>
                <w:sz w:val="17"/>
                <w:szCs w:val="17"/>
              </w:rPr>
              <w:t>(</w:t>
            </w:r>
            <w:r w:rsidRPr="00166980">
              <w:rPr>
                <w:b/>
                <w:color w:val="000000"/>
                <w:sz w:val="17"/>
                <w:szCs w:val="17"/>
              </w:rPr>
              <w:t>100,0</w:t>
            </w:r>
            <w:r w:rsidR="00EC4398" w:rsidRPr="00166980">
              <w:rPr>
                <w:b/>
                <w:color w:val="000000"/>
                <w:sz w:val="17"/>
                <w:szCs w:val="17"/>
              </w:rPr>
              <w:t xml:space="preserve"> </w:t>
            </w:r>
            <w:r w:rsidRPr="00166980">
              <w:rPr>
                <w:b/>
                <w:color w:val="000000"/>
                <w:sz w:val="17"/>
                <w:szCs w:val="17"/>
              </w:rPr>
              <w:t>%</w:t>
            </w:r>
            <w:r w:rsidR="00EC4398" w:rsidRPr="00166980">
              <w:rPr>
                <w:b/>
                <w:color w:val="000000"/>
                <w:sz w:val="17"/>
                <w:szCs w:val="17"/>
              </w:rPr>
              <w:t>)</w:t>
            </w:r>
          </w:p>
        </w:tc>
        <w:tc>
          <w:tcPr>
            <w:tcW w:w="135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center"/>
          </w:tcPr>
          <w:p w:rsidR="005E5C89" w:rsidRPr="00166980" w:rsidRDefault="005E5C89" w:rsidP="004722CC">
            <w:pPr>
              <w:widowControl/>
              <w:autoSpaceDE w:val="0"/>
              <w:autoSpaceDN w:val="0"/>
              <w:adjustRightInd w:val="0"/>
              <w:spacing w:after="0" w:line="240" w:lineRule="auto"/>
              <w:ind w:firstLine="0"/>
              <w:contextualSpacing w:val="0"/>
              <w:jc w:val="center"/>
              <w:rPr>
                <w:b/>
                <w:color w:val="000000"/>
                <w:sz w:val="17"/>
                <w:szCs w:val="17"/>
              </w:rPr>
            </w:pPr>
            <w:r w:rsidRPr="00166980">
              <w:rPr>
                <w:b/>
                <w:color w:val="000000"/>
                <w:sz w:val="17"/>
                <w:szCs w:val="17"/>
              </w:rPr>
              <w:t>52</w:t>
            </w:r>
            <w:r w:rsidR="00956153">
              <w:rPr>
                <w:b/>
                <w:color w:val="000000"/>
                <w:sz w:val="17"/>
                <w:szCs w:val="17"/>
              </w:rPr>
              <w:t xml:space="preserve"> </w:t>
            </w:r>
            <w:r w:rsidR="004722CC" w:rsidRPr="00166980">
              <w:rPr>
                <w:b/>
                <w:color w:val="000000"/>
                <w:sz w:val="17"/>
                <w:szCs w:val="17"/>
              </w:rPr>
              <w:t>(</w:t>
            </w:r>
            <w:r w:rsidRPr="00166980">
              <w:rPr>
                <w:b/>
                <w:color w:val="000000"/>
                <w:sz w:val="17"/>
                <w:szCs w:val="17"/>
              </w:rPr>
              <w:t>100,0</w:t>
            </w:r>
            <w:r w:rsidR="004722CC" w:rsidRPr="00166980">
              <w:rPr>
                <w:b/>
                <w:color w:val="000000"/>
                <w:sz w:val="17"/>
                <w:szCs w:val="17"/>
              </w:rPr>
              <w:t xml:space="preserve"> </w:t>
            </w:r>
            <w:r w:rsidRPr="00166980">
              <w:rPr>
                <w:b/>
                <w:color w:val="000000"/>
                <w:sz w:val="17"/>
                <w:szCs w:val="17"/>
              </w:rPr>
              <w:t>%</w:t>
            </w:r>
            <w:r w:rsidR="004722CC" w:rsidRPr="00166980">
              <w:rPr>
                <w:b/>
                <w:color w:val="000000"/>
                <w:sz w:val="17"/>
                <w:szCs w:val="17"/>
              </w:rPr>
              <w:t>)</w:t>
            </w:r>
          </w:p>
        </w:tc>
        <w:tc>
          <w:tcPr>
            <w:tcW w:w="135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center"/>
          </w:tcPr>
          <w:p w:rsidR="005E5C89" w:rsidRPr="00166980" w:rsidRDefault="005E5C89" w:rsidP="0081040B">
            <w:pPr>
              <w:widowControl/>
              <w:autoSpaceDE w:val="0"/>
              <w:autoSpaceDN w:val="0"/>
              <w:adjustRightInd w:val="0"/>
              <w:spacing w:after="0" w:line="240" w:lineRule="auto"/>
              <w:ind w:firstLine="0"/>
              <w:contextualSpacing w:val="0"/>
              <w:jc w:val="center"/>
              <w:rPr>
                <w:b/>
                <w:color w:val="000000"/>
                <w:sz w:val="17"/>
                <w:szCs w:val="17"/>
              </w:rPr>
            </w:pPr>
            <w:r w:rsidRPr="00166980">
              <w:rPr>
                <w:b/>
                <w:color w:val="000000"/>
                <w:sz w:val="17"/>
                <w:szCs w:val="17"/>
              </w:rPr>
              <w:t>54</w:t>
            </w:r>
            <w:r w:rsidR="00956153">
              <w:rPr>
                <w:b/>
                <w:color w:val="000000"/>
                <w:sz w:val="17"/>
                <w:szCs w:val="17"/>
              </w:rPr>
              <w:t xml:space="preserve"> </w:t>
            </w:r>
            <w:r w:rsidR="0081040B" w:rsidRPr="00166980">
              <w:rPr>
                <w:b/>
                <w:color w:val="000000"/>
                <w:sz w:val="17"/>
                <w:szCs w:val="17"/>
              </w:rPr>
              <w:t>(</w:t>
            </w:r>
            <w:r w:rsidRPr="00166980">
              <w:rPr>
                <w:b/>
                <w:color w:val="000000"/>
                <w:sz w:val="17"/>
                <w:szCs w:val="17"/>
              </w:rPr>
              <w:t>100,0</w:t>
            </w:r>
            <w:r w:rsidR="0081040B" w:rsidRPr="00166980">
              <w:rPr>
                <w:b/>
                <w:color w:val="000000"/>
                <w:sz w:val="17"/>
                <w:szCs w:val="17"/>
              </w:rPr>
              <w:t xml:space="preserve"> </w:t>
            </w:r>
            <w:r w:rsidRPr="00166980">
              <w:rPr>
                <w:b/>
                <w:color w:val="000000"/>
                <w:sz w:val="17"/>
                <w:szCs w:val="17"/>
              </w:rPr>
              <w:t>%</w:t>
            </w:r>
            <w:r w:rsidR="0081040B" w:rsidRPr="00166980">
              <w:rPr>
                <w:b/>
                <w:color w:val="000000"/>
                <w:sz w:val="17"/>
                <w:szCs w:val="17"/>
              </w:rPr>
              <w:t>)</w:t>
            </w:r>
          </w:p>
        </w:tc>
        <w:tc>
          <w:tcPr>
            <w:tcW w:w="1080" w:type="dxa"/>
            <w:tcBorders>
              <w:top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center"/>
          </w:tcPr>
          <w:p w:rsidR="005E5C89" w:rsidRPr="00166980" w:rsidRDefault="005E5C89" w:rsidP="0081040B">
            <w:pPr>
              <w:widowControl/>
              <w:autoSpaceDE w:val="0"/>
              <w:autoSpaceDN w:val="0"/>
              <w:adjustRightInd w:val="0"/>
              <w:spacing w:after="0" w:line="240" w:lineRule="auto"/>
              <w:ind w:firstLine="0"/>
              <w:contextualSpacing w:val="0"/>
              <w:jc w:val="center"/>
              <w:rPr>
                <w:b/>
                <w:color w:val="000000"/>
                <w:sz w:val="17"/>
                <w:szCs w:val="17"/>
              </w:rPr>
            </w:pPr>
            <w:r w:rsidRPr="00166980">
              <w:rPr>
                <w:b/>
                <w:color w:val="000000"/>
                <w:sz w:val="17"/>
                <w:szCs w:val="17"/>
              </w:rPr>
              <w:t>341</w:t>
            </w:r>
            <w:r w:rsidR="00956153">
              <w:rPr>
                <w:b/>
                <w:color w:val="000000"/>
                <w:sz w:val="17"/>
                <w:szCs w:val="17"/>
              </w:rPr>
              <w:t xml:space="preserve"> </w:t>
            </w:r>
            <w:r w:rsidR="0081040B" w:rsidRPr="00166980">
              <w:rPr>
                <w:b/>
                <w:color w:val="000000"/>
                <w:sz w:val="17"/>
                <w:szCs w:val="17"/>
              </w:rPr>
              <w:t>(</w:t>
            </w:r>
            <w:r w:rsidRPr="00166980">
              <w:rPr>
                <w:b/>
                <w:color w:val="000000"/>
                <w:sz w:val="17"/>
                <w:szCs w:val="17"/>
              </w:rPr>
              <w:t>100,0</w:t>
            </w:r>
            <w:r w:rsidR="0081040B" w:rsidRPr="00166980">
              <w:rPr>
                <w:b/>
                <w:color w:val="000000"/>
                <w:sz w:val="17"/>
                <w:szCs w:val="17"/>
              </w:rPr>
              <w:t xml:space="preserve"> </w:t>
            </w:r>
            <w:r w:rsidRPr="00166980">
              <w:rPr>
                <w:b/>
                <w:color w:val="000000"/>
                <w:sz w:val="17"/>
                <w:szCs w:val="17"/>
              </w:rPr>
              <w:t>%</w:t>
            </w:r>
            <w:r w:rsidR="0081040B" w:rsidRPr="00166980">
              <w:rPr>
                <w:b/>
                <w:color w:val="000000"/>
                <w:sz w:val="17"/>
                <w:szCs w:val="17"/>
              </w:rPr>
              <w:t>)</w:t>
            </w:r>
          </w:p>
        </w:tc>
      </w:tr>
    </w:tbl>
    <w:p w:rsidR="00674F82" w:rsidRPr="00674F82" w:rsidRDefault="00674F82" w:rsidP="002A0590">
      <w:pPr>
        <w:rPr>
          <w:sz w:val="20"/>
        </w:rPr>
      </w:pPr>
      <w:r w:rsidRPr="00674F82">
        <w:rPr>
          <w:b/>
          <w:sz w:val="20"/>
        </w:rPr>
        <w:t>Šaltinis</w:t>
      </w:r>
      <w:r w:rsidRPr="00674F82">
        <w:rPr>
          <w:sz w:val="20"/>
        </w:rPr>
        <w:t>: sudaryta šio darbo autorės</w:t>
      </w:r>
      <w:r w:rsidR="003C351B">
        <w:rPr>
          <w:sz w:val="20"/>
        </w:rPr>
        <w:t>, remiantis apklausos rezultatais</w:t>
      </w:r>
    </w:p>
    <w:p w:rsidR="002A0590" w:rsidRDefault="00EB78DD" w:rsidP="002A0590">
      <w:r>
        <w:t>Ž</w:t>
      </w:r>
      <w:r w:rsidR="003C551F">
        <w:t>iūri</w:t>
      </w:r>
      <w:r>
        <w:t xml:space="preserve">nt </w:t>
      </w:r>
      <w:r w:rsidR="00B445F3">
        <w:t>į amoralaus šeimyniškumo ir</w:t>
      </w:r>
      <w:r w:rsidR="002A0590">
        <w:t xml:space="preserve"> laiko veiksnio </w:t>
      </w:r>
      <w:r w:rsidR="002A0590" w:rsidRPr="00496140">
        <w:t>sąryšį (žr.</w:t>
      </w:r>
      <w:r w:rsidR="008420AD" w:rsidRPr="00496140">
        <w:t xml:space="preserve"> </w:t>
      </w:r>
      <w:r w:rsidR="00216F64" w:rsidRPr="00496140">
        <w:t>7</w:t>
      </w:r>
      <w:r w:rsidR="002A0590" w:rsidRPr="00496140">
        <w:t xml:space="preserve"> lent.), </w:t>
      </w:r>
      <w:r w:rsidRPr="00496140">
        <w:t>galima</w:t>
      </w:r>
      <w:r>
        <w:t xml:space="preserve"> daryti kitokias išvadas</w:t>
      </w:r>
      <w:r w:rsidR="002A0590">
        <w:t xml:space="preserve">: nors </w:t>
      </w:r>
      <w:r w:rsidR="00B445F3">
        <w:t xml:space="preserve">pagal </w:t>
      </w:r>
      <w:r w:rsidR="00B445F3" w:rsidRPr="00946D34">
        <w:rPr>
          <w:i/>
        </w:rPr>
        <w:t>santykinį dydį</w:t>
      </w:r>
      <w:r w:rsidR="00B445F3">
        <w:t xml:space="preserve"> </w:t>
      </w:r>
      <w:r w:rsidR="005416E9">
        <w:t xml:space="preserve">šeimyniškumas </w:t>
      </w:r>
      <w:r w:rsidR="00B445F3">
        <w:t xml:space="preserve">didžiausią įtaką </w:t>
      </w:r>
      <w:r w:rsidR="005416E9">
        <w:t>taip</w:t>
      </w:r>
      <w:r w:rsidR="00F20CB4">
        <w:t xml:space="preserve"> pat</w:t>
      </w:r>
      <w:r w:rsidR="005416E9">
        <w:t xml:space="preserve"> </w:t>
      </w:r>
      <w:r w:rsidR="00B445F3">
        <w:t>daro</w:t>
      </w:r>
      <w:r w:rsidR="002A0590">
        <w:t xml:space="preserve"> ilgalaikių </w:t>
      </w:r>
      <w:r w:rsidR="00C62E18">
        <w:t>socialin</w:t>
      </w:r>
      <w:r w:rsidR="001B1362">
        <w:t>ių</w:t>
      </w:r>
      <w:r w:rsidR="00C62E18">
        <w:t xml:space="preserve"> </w:t>
      </w:r>
      <w:r w:rsidR="001B1362">
        <w:t xml:space="preserve">išmokų </w:t>
      </w:r>
      <w:r w:rsidR="00C62E18">
        <w:t xml:space="preserve">gavėjų </w:t>
      </w:r>
      <w:r w:rsidR="00F20CB4">
        <w:t xml:space="preserve">elgsenai, </w:t>
      </w:r>
      <w:r w:rsidR="002A0590">
        <w:t>pasis</w:t>
      </w:r>
      <w:r w:rsidR="00946D34">
        <w:t xml:space="preserve">kirstymas </w:t>
      </w:r>
      <w:r w:rsidR="0005508A">
        <w:t xml:space="preserve">atskirose </w:t>
      </w:r>
      <w:r w:rsidR="007C5851">
        <w:t xml:space="preserve">grupėse </w:t>
      </w:r>
      <w:r w:rsidR="00C62E18">
        <w:t xml:space="preserve">nėra </w:t>
      </w:r>
      <w:r w:rsidR="00C818F4">
        <w:t>toks</w:t>
      </w:r>
      <w:r w:rsidR="00C910D9">
        <w:t xml:space="preserve"> </w:t>
      </w:r>
      <w:r w:rsidR="000B1202">
        <w:t>tendencingas</w:t>
      </w:r>
      <w:r w:rsidR="002A0590">
        <w:t>.</w:t>
      </w:r>
      <w:r w:rsidR="001B1362">
        <w:t xml:space="preserve"> </w:t>
      </w:r>
      <w:r w:rsidR="002A0590">
        <w:t>Panaš</w:t>
      </w:r>
      <w:r w:rsidR="007C5851">
        <w:t xml:space="preserve">u, jog siekis </w:t>
      </w:r>
      <w:r w:rsidR="0005508A">
        <w:t xml:space="preserve">socialinės apsaugos </w:t>
      </w:r>
      <w:r w:rsidR="007C5851">
        <w:t>lėša</w:t>
      </w:r>
      <w:r w:rsidR="00C910D9">
        <w:t xml:space="preserve">s </w:t>
      </w:r>
      <w:r w:rsidR="002A0590">
        <w:t>naudoti savo šeimos poreikiams tenkinti yra būdingas visų kategorijų žmonėms, todėl, galima</w:t>
      </w:r>
      <w:r w:rsidR="003C551F">
        <w:t xml:space="preserve"> teigti</w:t>
      </w:r>
      <w:r w:rsidR="00C70273">
        <w:t>, jog bedarbių bei</w:t>
      </w:r>
      <w:r w:rsidR="002A0590">
        <w:t xml:space="preserve"> socialinės paramos gavėjų </w:t>
      </w:r>
      <w:r w:rsidR="003C551F">
        <w:t xml:space="preserve">finansinė elgsena yra stipriai </w:t>
      </w:r>
      <w:r w:rsidR="001B1362">
        <w:t>(</w:t>
      </w:r>
      <w:r w:rsidR="003C551F" w:rsidRPr="001B1362">
        <w:t>neigiamai</w:t>
      </w:r>
      <w:r w:rsidR="001B1362">
        <w:t>)</w:t>
      </w:r>
      <w:r w:rsidR="002A0590">
        <w:t xml:space="preserve"> veikiama </w:t>
      </w:r>
      <w:r w:rsidR="002A0590" w:rsidRPr="00F00EB8">
        <w:rPr>
          <w:i/>
        </w:rPr>
        <w:t>godumo</w:t>
      </w:r>
      <w:r w:rsidR="002A0590">
        <w:t>.</w:t>
      </w:r>
    </w:p>
    <w:p w:rsidR="00AD758C" w:rsidRDefault="007A05E8" w:rsidP="002A0590">
      <w:r>
        <w:rPr>
          <w:b/>
          <w:i/>
          <w:u w:val="single"/>
        </w:rPr>
        <w:t>Elgsena s</w:t>
      </w:r>
      <w:r w:rsidR="00D86EFC" w:rsidRPr="003C351B">
        <w:rPr>
          <w:b/>
          <w:i/>
          <w:u w:val="single"/>
        </w:rPr>
        <w:t>ocialinių-demografinių veiksni</w:t>
      </w:r>
      <w:r w:rsidR="003C351B">
        <w:rPr>
          <w:b/>
          <w:i/>
          <w:u w:val="single"/>
        </w:rPr>
        <w:t xml:space="preserve">ų </w:t>
      </w:r>
      <w:r>
        <w:rPr>
          <w:b/>
          <w:i/>
          <w:u w:val="single"/>
        </w:rPr>
        <w:t>atžvilgiu</w:t>
      </w:r>
      <w:r w:rsidR="00D86EFC">
        <w:t xml:space="preserve">. </w:t>
      </w:r>
      <w:r w:rsidR="000828D4">
        <w:t xml:space="preserve">Atlikti </w:t>
      </w:r>
      <w:r w:rsidR="000828D4" w:rsidRPr="00496140">
        <w:t>skaičiavimai (žr. 4 priedą)</w:t>
      </w:r>
      <w:r w:rsidR="004456CC">
        <w:t xml:space="preserve"> parodė</w:t>
      </w:r>
      <w:r w:rsidR="00D86EFC">
        <w:t xml:space="preserve">, </w:t>
      </w:r>
      <w:r w:rsidR="000828D4">
        <w:t xml:space="preserve">jog </w:t>
      </w:r>
      <w:r w:rsidR="00942FE4">
        <w:t xml:space="preserve">dauguma </w:t>
      </w:r>
      <w:r w:rsidR="00AD758C">
        <w:t xml:space="preserve">socialinių išmokų </w:t>
      </w:r>
      <w:r w:rsidR="00D86EFC">
        <w:t>gavėj</w:t>
      </w:r>
      <w:r w:rsidR="00F16E81">
        <w:t>ų</w:t>
      </w:r>
      <w:r w:rsidR="00315DEA">
        <w:t xml:space="preserve"> </w:t>
      </w:r>
      <w:r w:rsidR="00AD758C" w:rsidRPr="00AF0DF0">
        <w:t>šių veiksnių atžvilgiu</w:t>
      </w:r>
      <w:r w:rsidR="00642A43">
        <w:t xml:space="preserve"> </w:t>
      </w:r>
      <w:r w:rsidR="00315DEA">
        <w:t xml:space="preserve">demonstravo </w:t>
      </w:r>
      <w:r w:rsidR="008D5121">
        <w:t xml:space="preserve">pakankamai </w:t>
      </w:r>
      <w:r w:rsidR="00315DEA">
        <w:t>racionalią</w:t>
      </w:r>
      <w:r w:rsidR="00642A43">
        <w:t xml:space="preserve"> </w:t>
      </w:r>
      <w:r w:rsidR="00315DEA">
        <w:t>elgseną</w:t>
      </w:r>
      <w:r w:rsidR="00E018B4">
        <w:t xml:space="preserve">, </w:t>
      </w:r>
      <w:r w:rsidR="004456CC">
        <w:t>nes</w:t>
      </w:r>
      <w:r w:rsidR="00B14C12">
        <w:t xml:space="preserve"> rezultatas (29 balai)</w:t>
      </w:r>
      <w:r w:rsidR="00C85708">
        <w:t xml:space="preserve"> nuo </w:t>
      </w:r>
      <w:r w:rsidR="00330CF4">
        <w:t xml:space="preserve">optimalios </w:t>
      </w:r>
      <w:r w:rsidR="008568A0">
        <w:t xml:space="preserve">reikšmės (36 balai) </w:t>
      </w:r>
      <w:r w:rsidR="005E0C83">
        <w:t>skyrėsi</w:t>
      </w:r>
      <w:r w:rsidR="008568A0">
        <w:t xml:space="preserve"> </w:t>
      </w:r>
      <w:r w:rsidR="00B5115C">
        <w:t>7 balais, o „pusiausvyros tašką“ (18 balų) pranoko</w:t>
      </w:r>
      <w:r w:rsidR="007C6F36">
        <w:t xml:space="preserve"> </w:t>
      </w:r>
      <w:r w:rsidR="008D5121">
        <w:t>netgi 11 balų.</w:t>
      </w:r>
      <w:r w:rsidR="00AD758C">
        <w:t xml:space="preserve"> </w:t>
      </w:r>
      <w:r w:rsidR="009E7506">
        <w:t xml:space="preserve">Ieškant </w:t>
      </w:r>
      <w:r w:rsidR="00E3414A">
        <w:t>priežastinių ryšių</w:t>
      </w:r>
      <w:r w:rsidR="000B0EA9">
        <w:t>, tapo</w:t>
      </w:r>
      <w:r w:rsidR="009E7506">
        <w:t xml:space="preserve"> </w:t>
      </w:r>
      <w:r w:rsidR="00B86803">
        <w:t>akivaizd</w:t>
      </w:r>
      <w:r w:rsidR="009E7506">
        <w:t xml:space="preserve">u, jog </w:t>
      </w:r>
      <w:r w:rsidR="0015753C">
        <w:t>finansinei</w:t>
      </w:r>
      <w:r w:rsidR="000F7DA4">
        <w:t xml:space="preserve"> </w:t>
      </w:r>
      <w:r w:rsidR="00F23A1F">
        <w:t xml:space="preserve">elgsenai </w:t>
      </w:r>
      <w:r w:rsidR="008C3F3E">
        <w:t>didelę įtaką dar</w:t>
      </w:r>
      <w:r w:rsidR="00EE66DB">
        <w:t>ė</w:t>
      </w:r>
      <w:r w:rsidR="008C3F3E">
        <w:t xml:space="preserve"> </w:t>
      </w:r>
      <w:r w:rsidR="007568D6">
        <w:rPr>
          <w:b/>
          <w:i/>
        </w:rPr>
        <w:t xml:space="preserve">objektyvios </w:t>
      </w:r>
      <w:r w:rsidR="003039C9" w:rsidRPr="009D34E2">
        <w:rPr>
          <w:b/>
          <w:i/>
        </w:rPr>
        <w:t>priežastys</w:t>
      </w:r>
      <w:r w:rsidR="003039C9">
        <w:t xml:space="preserve">, tokios </w:t>
      </w:r>
      <w:r w:rsidR="003B0FA5">
        <w:t xml:space="preserve">kaip </w:t>
      </w:r>
      <w:r w:rsidR="003039C9" w:rsidRPr="00C873A2">
        <w:rPr>
          <w:i/>
        </w:rPr>
        <w:t>išs</w:t>
      </w:r>
      <w:r w:rsidR="00E3414A">
        <w:rPr>
          <w:i/>
        </w:rPr>
        <w:t>ilavinimo</w:t>
      </w:r>
      <w:r w:rsidR="003E1E7B">
        <w:rPr>
          <w:i/>
        </w:rPr>
        <w:t xml:space="preserve"> (b</w:t>
      </w:r>
      <w:r w:rsidR="003E1E7B">
        <w:rPr>
          <w:i/>
          <w:vertAlign w:val="subscript"/>
        </w:rPr>
        <w:t>1</w:t>
      </w:r>
      <w:r w:rsidR="003E1E7B">
        <w:rPr>
          <w:i/>
        </w:rPr>
        <w:t>)</w:t>
      </w:r>
      <w:r w:rsidR="003B0FA5">
        <w:t xml:space="preserve"> </w:t>
      </w:r>
      <w:r w:rsidR="003039C9">
        <w:t>(</w:t>
      </w:r>
      <w:r w:rsidR="003B0FA5">
        <w:t>K – 2,</w:t>
      </w:r>
      <w:r w:rsidR="00C15291">
        <w:t>0</w:t>
      </w:r>
      <w:r w:rsidR="00F36D24">
        <w:t>; skirtumas – 0 balų</w:t>
      </w:r>
      <w:r w:rsidR="003039C9">
        <w:t>)</w:t>
      </w:r>
      <w:r w:rsidR="00E3414A">
        <w:t xml:space="preserve"> </w:t>
      </w:r>
      <w:r w:rsidR="005E0C83">
        <w:t>a</w:t>
      </w:r>
      <w:r w:rsidR="00422EF0">
        <w:t>r</w:t>
      </w:r>
      <w:r w:rsidR="002308E0">
        <w:t xml:space="preserve"> </w:t>
      </w:r>
      <w:r w:rsidR="00150BBA" w:rsidRPr="00C873A2">
        <w:rPr>
          <w:i/>
        </w:rPr>
        <w:t>įgūdžių stoka</w:t>
      </w:r>
      <w:r w:rsidR="003E1E7B">
        <w:rPr>
          <w:i/>
        </w:rPr>
        <w:t xml:space="preserve"> (b</w:t>
      </w:r>
      <w:r w:rsidR="003E1E7B">
        <w:rPr>
          <w:i/>
          <w:vertAlign w:val="subscript"/>
        </w:rPr>
        <w:t>3</w:t>
      </w:r>
      <w:r w:rsidR="003E1E7B">
        <w:rPr>
          <w:i/>
        </w:rPr>
        <w:t>)</w:t>
      </w:r>
      <w:r w:rsidR="00150BBA">
        <w:t xml:space="preserve"> (K – 1,5; </w:t>
      </w:r>
      <w:r w:rsidR="00E54C92">
        <w:t>skirtumas – 0 balų</w:t>
      </w:r>
      <w:r w:rsidR="00150BBA">
        <w:t>)</w:t>
      </w:r>
      <w:r w:rsidR="00D6776C">
        <w:t>,</w:t>
      </w:r>
      <w:r w:rsidR="008C3F3E">
        <w:t xml:space="preserve"> </w:t>
      </w:r>
      <w:r w:rsidR="00143997">
        <w:t>kurių net ir</w:t>
      </w:r>
      <w:r w:rsidR="00BA7830">
        <w:t xml:space="preserve"> blog</w:t>
      </w:r>
      <w:r w:rsidR="002308E0">
        <w:t>i</w:t>
      </w:r>
      <w:r w:rsidR="003E1E7B">
        <w:t xml:space="preserve"> </w:t>
      </w:r>
      <w:r w:rsidR="00BA7830">
        <w:t>vertinima</w:t>
      </w:r>
      <w:r w:rsidR="002308E0">
        <w:t>i</w:t>
      </w:r>
      <w:r w:rsidR="000472E6">
        <w:t xml:space="preserve"> lemia tinkam</w:t>
      </w:r>
      <w:r w:rsidR="001F3652">
        <w:t>os</w:t>
      </w:r>
      <w:r w:rsidR="003D7E7C">
        <w:t>, arba</w:t>
      </w:r>
      <w:r w:rsidR="007568D6">
        <w:t xml:space="preserve"> </w:t>
      </w:r>
      <w:r w:rsidR="000472E6">
        <w:t>pagrįstos,</w:t>
      </w:r>
      <w:r w:rsidR="007568D6">
        <w:t xml:space="preserve"> </w:t>
      </w:r>
      <w:r w:rsidR="00BA7830">
        <w:t>elgsen</w:t>
      </w:r>
      <w:r w:rsidR="001F3652">
        <w:t xml:space="preserve">os </w:t>
      </w:r>
      <w:r w:rsidR="002308E0">
        <w:t>atsiradimą</w:t>
      </w:r>
      <w:r w:rsidR="001F3652">
        <w:t>.</w:t>
      </w:r>
    </w:p>
    <w:p w:rsidR="00AD758C" w:rsidRDefault="00A259B6" w:rsidP="00AD758C">
      <w:r>
        <w:lastRenderedPageBreak/>
        <w:t>Paradoksalu, tačiau</w:t>
      </w:r>
      <w:r w:rsidR="002F0830">
        <w:t>, net ir turėdam</w:t>
      </w:r>
      <w:r w:rsidR="007B417C">
        <w:t>a</w:t>
      </w:r>
      <w:r w:rsidR="002F0830">
        <w:t xml:space="preserve"> </w:t>
      </w:r>
      <w:r w:rsidR="007B417C">
        <w:t xml:space="preserve">santykinai </w:t>
      </w:r>
      <w:r w:rsidR="002F0830">
        <w:t>aukštą išsilavinimą</w:t>
      </w:r>
      <w:r w:rsidR="007F1354">
        <w:t>, didžioji dalis</w:t>
      </w:r>
      <w:r w:rsidR="00040DD8">
        <w:t xml:space="preserve"> </w:t>
      </w:r>
      <w:r w:rsidR="007F1354">
        <w:t xml:space="preserve">apklausos dalyvių </w:t>
      </w:r>
      <w:r w:rsidR="00BD42E9">
        <w:t>išsilavinimą</w:t>
      </w:r>
      <w:r w:rsidR="007B417C">
        <w:t xml:space="preserve"> buvo linkusi</w:t>
      </w:r>
      <w:r w:rsidR="00BA0F0D">
        <w:t xml:space="preserve"> laikyti</w:t>
      </w:r>
      <w:r w:rsidR="007156A5">
        <w:t xml:space="preserve"> </w:t>
      </w:r>
      <w:r w:rsidR="003F2FA1">
        <w:t xml:space="preserve">svarbia </w:t>
      </w:r>
      <w:r w:rsidR="007B417C">
        <w:t>neįsidarbinimo priežastimi – t</w:t>
      </w:r>
      <w:r w:rsidR="00BA0F0D">
        <w:t xml:space="preserve">ai gali </w:t>
      </w:r>
      <w:r w:rsidR="00425FB4">
        <w:t>reikšti, jog, vertindami savo išsilavinim</w:t>
      </w:r>
      <w:r w:rsidR="00BD42E9">
        <w:t xml:space="preserve">ą, žmonės </w:t>
      </w:r>
      <w:r w:rsidR="000779C9">
        <w:t xml:space="preserve">jį </w:t>
      </w:r>
      <w:r w:rsidR="00BD42E9">
        <w:t xml:space="preserve">siejo su </w:t>
      </w:r>
      <w:r w:rsidR="00425FB4">
        <w:t>įgyta specializacija</w:t>
      </w:r>
      <w:r w:rsidR="006836CA">
        <w:t>, kuri</w:t>
      </w:r>
      <w:r w:rsidR="000779C9">
        <w:t xml:space="preserve"> tuo m</w:t>
      </w:r>
      <w:r w:rsidR="00831EAF">
        <w:t>e</w:t>
      </w:r>
      <w:r w:rsidR="000779C9">
        <w:t xml:space="preserve">tu galėjo </w:t>
      </w:r>
      <w:r w:rsidR="0095129A">
        <w:t>ir ne</w:t>
      </w:r>
      <w:r w:rsidR="000779C9">
        <w:t xml:space="preserve">būti </w:t>
      </w:r>
      <w:r w:rsidR="00B403AA">
        <w:t xml:space="preserve">paklausi </w:t>
      </w:r>
      <w:r w:rsidR="0045384D">
        <w:t xml:space="preserve">darbo </w:t>
      </w:r>
      <w:r w:rsidR="00B403AA">
        <w:t xml:space="preserve">rinkoje. </w:t>
      </w:r>
      <w:r w:rsidR="0095129A">
        <w:t>R</w:t>
      </w:r>
      <w:r w:rsidR="009D116B">
        <w:t>eikė</w:t>
      </w:r>
      <w:r w:rsidR="00AD758C">
        <w:t xml:space="preserve">tų </w:t>
      </w:r>
      <w:r w:rsidR="008C41CF">
        <w:t xml:space="preserve">akcentuoti </w:t>
      </w:r>
      <w:r w:rsidR="009D116B">
        <w:t>ir tai</w:t>
      </w:r>
      <w:r w:rsidR="00AD758C">
        <w:t xml:space="preserve">, jog teigiamo „atspalvio“ finansinei elgsenai suteikė silpnai pasireiškęs </w:t>
      </w:r>
      <w:r w:rsidR="00AD758C" w:rsidRPr="00D920E1">
        <w:rPr>
          <w:i/>
        </w:rPr>
        <w:t>gyvenimo būd</w:t>
      </w:r>
      <w:r w:rsidR="00AD758C">
        <w:rPr>
          <w:i/>
        </w:rPr>
        <w:t>o (b</w:t>
      </w:r>
      <w:r w:rsidR="00AD758C">
        <w:rPr>
          <w:i/>
          <w:vertAlign w:val="subscript"/>
        </w:rPr>
        <w:t>7</w:t>
      </w:r>
      <w:r w:rsidR="00AD758C">
        <w:rPr>
          <w:i/>
        </w:rPr>
        <w:t>)</w:t>
      </w:r>
      <w:r w:rsidR="00AD758C">
        <w:t xml:space="preserve"> (K – 1,0</w:t>
      </w:r>
      <w:r w:rsidR="0013796E">
        <w:t>)</w:t>
      </w:r>
      <w:r w:rsidR="009D116B">
        <w:t xml:space="preserve"> veiksnys</w:t>
      </w:r>
      <w:r w:rsidR="00F967EA">
        <w:t>,</w:t>
      </w:r>
      <w:r w:rsidR="00917D1A">
        <w:t xml:space="preserve"> </w:t>
      </w:r>
      <w:r w:rsidR="00F967EA">
        <w:t xml:space="preserve">kuris buvo siejamas su </w:t>
      </w:r>
      <w:r w:rsidR="0072622A">
        <w:t xml:space="preserve">žmogaus pasirinkimu prioritetą teikti laisvalaikiui, o ne </w:t>
      </w:r>
      <w:r w:rsidR="00BB4AE4">
        <w:t xml:space="preserve">darbui </w:t>
      </w:r>
      <w:r w:rsidR="00AF4EF1">
        <w:t>a</w:t>
      </w:r>
      <w:r w:rsidR="00BB4AE4">
        <w:t xml:space="preserve">r </w:t>
      </w:r>
      <w:r w:rsidR="0072622A">
        <w:t>asmeninėms pastangoms</w:t>
      </w:r>
      <w:r w:rsidR="0013796E">
        <w:t xml:space="preserve">, </w:t>
      </w:r>
      <w:r w:rsidR="00917D1A">
        <w:t xml:space="preserve">ir kuris </w:t>
      </w:r>
      <w:r w:rsidR="0013796E">
        <w:t>nuo pageidautinos reikšmės atsilik</w:t>
      </w:r>
      <w:r w:rsidR="00917D1A">
        <w:t>o</w:t>
      </w:r>
      <w:r w:rsidR="0013796E">
        <w:t xml:space="preserve"> </w:t>
      </w:r>
      <w:r w:rsidR="00BB4AE4">
        <w:t xml:space="preserve">viso labo </w:t>
      </w:r>
      <w:r w:rsidR="0013796E">
        <w:t>1 balu.</w:t>
      </w:r>
    </w:p>
    <w:p w:rsidR="00CE17D3" w:rsidRPr="00720E68" w:rsidRDefault="00FF0215" w:rsidP="00732CF2">
      <w:pPr>
        <w:rPr>
          <w:color w:val="0070C0"/>
        </w:rPr>
      </w:pPr>
      <w:r w:rsidRPr="0072622A">
        <w:t xml:space="preserve">Iš </w:t>
      </w:r>
      <w:r w:rsidR="00B47E97" w:rsidRPr="0072622A">
        <w:t>didžiausią</w:t>
      </w:r>
      <w:r w:rsidR="00B47E97" w:rsidRPr="0072622A">
        <w:rPr>
          <w:b/>
          <w:i/>
        </w:rPr>
        <w:t xml:space="preserve"> neigiamą įtaką</w:t>
      </w:r>
      <w:r w:rsidR="00D84211" w:rsidRPr="0072622A">
        <w:t xml:space="preserve"> </w:t>
      </w:r>
      <w:r w:rsidR="003B6A58" w:rsidRPr="0072622A">
        <w:t>bedarbių ir socialinės paramos gavėjų</w:t>
      </w:r>
      <w:r w:rsidR="00B63053" w:rsidRPr="0072622A">
        <w:t xml:space="preserve"> </w:t>
      </w:r>
      <w:r w:rsidR="00C42A74" w:rsidRPr="0072622A">
        <w:t xml:space="preserve">elgsenai dariusių veiksnių </w:t>
      </w:r>
      <w:r w:rsidR="00500E13" w:rsidRPr="0072622A">
        <w:t xml:space="preserve">būtina </w:t>
      </w:r>
      <w:r w:rsidR="00C42A74" w:rsidRPr="0072622A">
        <w:t xml:space="preserve">paminėti </w:t>
      </w:r>
      <w:r w:rsidR="00C42A74" w:rsidRPr="0072622A">
        <w:rPr>
          <w:i/>
        </w:rPr>
        <w:t>jaunatvišką</w:t>
      </w:r>
      <w:r w:rsidR="00BA5326" w:rsidRPr="0072622A">
        <w:rPr>
          <w:i/>
        </w:rPr>
        <w:t xml:space="preserve"> </w:t>
      </w:r>
      <w:r w:rsidR="00C42A74" w:rsidRPr="0072622A">
        <w:rPr>
          <w:i/>
        </w:rPr>
        <w:t>maksimalizmą</w:t>
      </w:r>
      <w:r w:rsidR="004276B9" w:rsidRPr="0072622A">
        <w:rPr>
          <w:i/>
        </w:rPr>
        <w:t xml:space="preserve"> (b</w:t>
      </w:r>
      <w:r w:rsidR="004276B9" w:rsidRPr="0072622A">
        <w:rPr>
          <w:i/>
          <w:vertAlign w:val="subscript"/>
        </w:rPr>
        <w:t>6</w:t>
      </w:r>
      <w:r w:rsidR="004276B9" w:rsidRPr="0072622A">
        <w:rPr>
          <w:i/>
        </w:rPr>
        <w:t>)</w:t>
      </w:r>
      <w:r w:rsidR="00274E21" w:rsidRPr="0072622A">
        <w:t xml:space="preserve"> (K – 1,5; skirtumas – 3 balai), kuris</w:t>
      </w:r>
      <w:r w:rsidR="004276B9" w:rsidRPr="0072622A">
        <w:t xml:space="preserve"> buvo </w:t>
      </w:r>
      <w:r w:rsidR="00BA3BA5" w:rsidRPr="0072622A">
        <w:t>prilygintas</w:t>
      </w:r>
      <w:r w:rsidR="00785B88" w:rsidRPr="0072622A">
        <w:t xml:space="preserve"> siekiui gauti</w:t>
      </w:r>
      <w:r w:rsidR="00BA3BA5" w:rsidRPr="0072622A">
        <w:t xml:space="preserve"> </w:t>
      </w:r>
      <w:r w:rsidR="00274E21" w:rsidRPr="0072622A">
        <w:t>naudos</w:t>
      </w:r>
      <w:r w:rsidR="00090C06" w:rsidRPr="0072622A">
        <w:t xml:space="preserve">, </w:t>
      </w:r>
      <w:r w:rsidR="00FD1A6B">
        <w:rPr>
          <w:i/>
        </w:rPr>
        <w:t xml:space="preserve">nedidelę </w:t>
      </w:r>
      <w:r w:rsidR="00090C06" w:rsidRPr="0072622A">
        <w:rPr>
          <w:i/>
        </w:rPr>
        <w:t>darbo patirtį</w:t>
      </w:r>
      <w:r w:rsidR="00C04737" w:rsidRPr="0072622A">
        <w:rPr>
          <w:i/>
        </w:rPr>
        <w:t xml:space="preserve"> (b</w:t>
      </w:r>
      <w:r w:rsidR="00C04737" w:rsidRPr="0072622A">
        <w:rPr>
          <w:i/>
          <w:vertAlign w:val="subscript"/>
        </w:rPr>
        <w:t>4</w:t>
      </w:r>
      <w:r w:rsidR="00C04737" w:rsidRPr="0072622A">
        <w:rPr>
          <w:i/>
        </w:rPr>
        <w:t>)</w:t>
      </w:r>
      <w:r w:rsidR="00090C06" w:rsidRPr="0072622A">
        <w:t xml:space="preserve"> (</w:t>
      </w:r>
      <w:r w:rsidR="008A1437" w:rsidRPr="0072622A">
        <w:t>K – 1,5; skirtumas – 1,5 balo</w:t>
      </w:r>
      <w:r w:rsidR="00090C06" w:rsidRPr="0072622A">
        <w:t>)</w:t>
      </w:r>
      <w:r w:rsidR="00561EA2">
        <w:t xml:space="preserve"> </w:t>
      </w:r>
      <w:r w:rsidR="00B9144F">
        <w:t>bei</w:t>
      </w:r>
      <w:r w:rsidR="00561EA2">
        <w:t xml:space="preserve"> </w:t>
      </w:r>
      <w:r w:rsidR="00561EA2" w:rsidRPr="00561EA2">
        <w:rPr>
          <w:i/>
        </w:rPr>
        <w:t>nepaklausią profesiją (b</w:t>
      </w:r>
      <w:r w:rsidR="00561EA2" w:rsidRPr="00561EA2">
        <w:rPr>
          <w:i/>
          <w:vertAlign w:val="subscript"/>
        </w:rPr>
        <w:t>2</w:t>
      </w:r>
      <w:r w:rsidR="00561EA2" w:rsidRPr="00561EA2">
        <w:rPr>
          <w:i/>
        </w:rPr>
        <w:t>)</w:t>
      </w:r>
      <w:r w:rsidR="00561EA2">
        <w:t xml:space="preserve"> (K – </w:t>
      </w:r>
      <w:r w:rsidR="00FD1A6B">
        <w:t>1,5; skirtumas – 1,5 balo)</w:t>
      </w:r>
      <w:r w:rsidR="0068569E" w:rsidRPr="0072622A">
        <w:t>, kuri</w:t>
      </w:r>
      <w:r w:rsidR="00B9144F">
        <w:t>os</w:t>
      </w:r>
      <w:r w:rsidR="0068569E" w:rsidRPr="0072622A">
        <w:t xml:space="preserve"> </w:t>
      </w:r>
      <w:r w:rsidR="00785B88" w:rsidRPr="0072622A">
        <w:t xml:space="preserve">ekspertų buvo </w:t>
      </w:r>
      <w:r w:rsidR="00335EB6">
        <w:t>nurodytos kaip</w:t>
      </w:r>
      <w:r w:rsidR="00E1040B">
        <w:t xml:space="preserve"> </w:t>
      </w:r>
      <w:r w:rsidR="0068569E" w:rsidRPr="0072622A">
        <w:t>objektyvi</w:t>
      </w:r>
      <w:r w:rsidR="00335EB6">
        <w:t>o</w:t>
      </w:r>
      <w:r w:rsidR="00FD1A6B">
        <w:t>s</w:t>
      </w:r>
      <w:r w:rsidR="00335EB6">
        <w:t xml:space="preserve"> </w:t>
      </w:r>
      <w:r w:rsidR="00335EB6" w:rsidRPr="00645928">
        <w:t>priežastys</w:t>
      </w:r>
      <w:r w:rsidR="00090C06" w:rsidRPr="00645928">
        <w:t>.</w:t>
      </w:r>
      <w:r w:rsidR="00CF263F" w:rsidRPr="00645928">
        <w:t xml:space="preserve"> </w:t>
      </w:r>
      <w:r w:rsidR="00924570" w:rsidRPr="00645928">
        <w:t xml:space="preserve">Tyrimas atskleidė, </w:t>
      </w:r>
      <w:r w:rsidR="00217670" w:rsidRPr="00645928">
        <w:t xml:space="preserve">jog </w:t>
      </w:r>
      <w:r w:rsidR="00D74F08" w:rsidRPr="00645928">
        <w:t xml:space="preserve">jaunatviškas </w:t>
      </w:r>
      <w:r w:rsidR="000228D6" w:rsidRPr="00645928">
        <w:t xml:space="preserve">maksimalizmas </w:t>
      </w:r>
      <w:r w:rsidR="00982016" w:rsidRPr="00645928">
        <w:t xml:space="preserve">nebūtinai turi </w:t>
      </w:r>
      <w:r w:rsidR="00E37DF6" w:rsidRPr="00645928">
        <w:t xml:space="preserve">daryti įtaką </w:t>
      </w:r>
      <w:r w:rsidR="00924570" w:rsidRPr="00645928">
        <w:t xml:space="preserve">tik </w:t>
      </w:r>
      <w:r w:rsidR="00505CF1" w:rsidRPr="00645928">
        <w:t>jaunimui</w:t>
      </w:r>
      <w:r w:rsidR="00E37DF6" w:rsidRPr="00645928">
        <w:t xml:space="preserve">, </w:t>
      </w:r>
      <w:r w:rsidR="00505CF1" w:rsidRPr="00645928">
        <w:t xml:space="preserve">kadangi </w:t>
      </w:r>
      <w:r w:rsidR="00D74F08" w:rsidRPr="00645928">
        <w:t xml:space="preserve">naudos </w:t>
      </w:r>
      <w:r w:rsidR="00B00F86" w:rsidRPr="00645928">
        <w:t xml:space="preserve">yra </w:t>
      </w:r>
      <w:r w:rsidR="00D74F08" w:rsidRPr="00645928">
        <w:t xml:space="preserve">linkę vaikytis </w:t>
      </w:r>
      <w:r w:rsidR="00ED490F" w:rsidRPr="00645928">
        <w:t xml:space="preserve">ir </w:t>
      </w:r>
      <w:r w:rsidR="00834BDB" w:rsidRPr="00645928">
        <w:t>vyresni</w:t>
      </w:r>
      <w:r w:rsidR="00DA331F" w:rsidRPr="00645928">
        <w:t>o amžiaus</w:t>
      </w:r>
      <w:r w:rsidR="00834BDB" w:rsidRPr="00645928">
        <w:t xml:space="preserve"> asmenys</w:t>
      </w:r>
      <w:r w:rsidR="009C56BF" w:rsidRPr="00645928">
        <w:t xml:space="preserve"> (pavyzdžiui, 3 iš 19</w:t>
      </w:r>
      <w:r w:rsidR="00645928">
        <w:t xml:space="preserve"> individų</w:t>
      </w:r>
      <w:r w:rsidR="009C56BF" w:rsidRPr="00645928">
        <w:t>, priklausančių 55-64 m.</w:t>
      </w:r>
      <w:r w:rsidR="00D74F08" w:rsidRPr="00645928">
        <w:t xml:space="preserve"> </w:t>
      </w:r>
      <w:r w:rsidR="009C56BF" w:rsidRPr="00645928">
        <w:t>amžiaus</w:t>
      </w:r>
      <w:r w:rsidR="003B71B0" w:rsidRPr="00645928">
        <w:t xml:space="preserve"> kategorijai</w:t>
      </w:r>
      <w:r w:rsidR="009C56BF" w:rsidRPr="00645928">
        <w:t>).</w:t>
      </w:r>
    </w:p>
    <w:p w:rsidR="00C70273" w:rsidRDefault="00C70273" w:rsidP="00134869">
      <w:pPr>
        <w:spacing w:after="0" w:line="240" w:lineRule="auto"/>
        <w:ind w:firstLine="0"/>
      </w:pPr>
      <w:r w:rsidRPr="00C70273">
        <w:rPr>
          <w:noProof/>
          <w:lang w:val="en-US"/>
        </w:rPr>
        <w:drawing>
          <wp:inline distT="0" distB="0" distL="0" distR="0">
            <wp:extent cx="6496050" cy="2143125"/>
            <wp:effectExtent l="0" t="19050" r="76200" b="4762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34869" w:rsidRDefault="00134869" w:rsidP="00F819C5">
      <w:pPr>
        <w:spacing w:after="0" w:line="240" w:lineRule="auto"/>
        <w:rPr>
          <w:sz w:val="20"/>
        </w:rPr>
      </w:pPr>
      <w:r w:rsidRPr="00134869">
        <w:rPr>
          <w:b/>
          <w:sz w:val="20"/>
        </w:rPr>
        <w:t>Šaltinis</w:t>
      </w:r>
      <w:r w:rsidRPr="00134869">
        <w:rPr>
          <w:sz w:val="20"/>
        </w:rPr>
        <w:t>: sudaryta šio darbo autorės, remiantis apklausos rezultatais</w:t>
      </w:r>
    </w:p>
    <w:bookmarkStart w:id="36" w:name="_Toc343590408"/>
    <w:p w:rsidR="00134869" w:rsidRPr="00134869" w:rsidRDefault="00D84BC4" w:rsidP="00886347">
      <w:pPr>
        <w:pStyle w:val="Caption"/>
      </w:pPr>
      <w:r w:rsidRPr="001D3008">
        <w:rPr>
          <w:b w:val="0"/>
        </w:rPr>
        <w:fldChar w:fldCharType="begin"/>
      </w:r>
      <w:r w:rsidR="00496140" w:rsidRPr="001D3008">
        <w:rPr>
          <w:b w:val="0"/>
        </w:rPr>
        <w:instrText xml:space="preserve"> SEQ pav. \* ARABIC </w:instrText>
      </w:r>
      <w:r w:rsidRPr="001D3008">
        <w:rPr>
          <w:b w:val="0"/>
        </w:rPr>
        <w:fldChar w:fldCharType="separate"/>
      </w:r>
      <w:r w:rsidR="00496140" w:rsidRPr="001D3008">
        <w:rPr>
          <w:b w:val="0"/>
        </w:rPr>
        <w:t>11</w:t>
      </w:r>
      <w:r w:rsidRPr="001D3008">
        <w:rPr>
          <w:b w:val="0"/>
        </w:rPr>
        <w:fldChar w:fldCharType="end"/>
      </w:r>
      <w:r w:rsidR="00496140" w:rsidRPr="001D3008">
        <w:rPr>
          <w:b w:val="0"/>
        </w:rPr>
        <w:t xml:space="preserve"> </w:t>
      </w:r>
      <w:r w:rsidR="00F819C5" w:rsidRPr="001D3008">
        <w:rPr>
          <w:b w:val="0"/>
        </w:rPr>
        <w:t>pav.</w:t>
      </w:r>
      <w:r w:rsidR="00F819C5" w:rsidRPr="00F819C5">
        <w:rPr>
          <w:color w:val="FF0000"/>
        </w:rPr>
        <w:t xml:space="preserve"> </w:t>
      </w:r>
      <w:r w:rsidR="00F819C5">
        <w:t xml:space="preserve">Apklausos rezultatai: elgsena </w:t>
      </w:r>
      <w:r w:rsidR="00F819C5" w:rsidRPr="00AC6900">
        <w:rPr>
          <w:i/>
        </w:rPr>
        <w:t>socialinių-demografinių</w:t>
      </w:r>
      <w:r w:rsidR="00F819C5">
        <w:t xml:space="preserve"> veiksnių atžvilgiu</w:t>
      </w:r>
      <w:bookmarkEnd w:id="36"/>
    </w:p>
    <w:p w:rsidR="002E2E9F" w:rsidRDefault="00947CEE" w:rsidP="00732CF2">
      <w:r w:rsidRPr="00B616F7">
        <w:rPr>
          <w:b/>
          <w:i/>
          <w:u w:val="single"/>
        </w:rPr>
        <w:t>E</w:t>
      </w:r>
      <w:r w:rsidR="00DE09ED">
        <w:rPr>
          <w:b/>
          <w:i/>
          <w:u w:val="single"/>
        </w:rPr>
        <w:t>lgsena e</w:t>
      </w:r>
      <w:r w:rsidRPr="00B616F7">
        <w:rPr>
          <w:b/>
          <w:i/>
          <w:u w:val="single"/>
        </w:rPr>
        <w:t>konominių veiksni</w:t>
      </w:r>
      <w:r w:rsidR="00DE09ED">
        <w:rPr>
          <w:b/>
          <w:i/>
          <w:u w:val="single"/>
        </w:rPr>
        <w:t>ų atžvilgiu</w:t>
      </w:r>
      <w:r>
        <w:t>.</w:t>
      </w:r>
      <w:r w:rsidR="008D013D">
        <w:t xml:space="preserve"> Ekonominių veiksnių </w:t>
      </w:r>
      <w:r w:rsidR="008D013D" w:rsidRPr="00496140">
        <w:t>įvertinimai (žr. 4 priedą) parodė</w:t>
      </w:r>
      <w:r w:rsidR="00044EEA">
        <w:t xml:space="preserve">, jog </w:t>
      </w:r>
      <w:r w:rsidR="008D013D">
        <w:t xml:space="preserve">apklausos dalyviai </w:t>
      </w:r>
      <w:r w:rsidR="00E879F3">
        <w:t xml:space="preserve">šių veiksnių atžvilgiu </w:t>
      </w:r>
      <w:r w:rsidR="004677CA">
        <w:t>nėra</w:t>
      </w:r>
      <w:r w:rsidR="00FC71F0">
        <w:t xml:space="preserve"> racionalūs</w:t>
      </w:r>
      <w:r w:rsidR="004D10D2">
        <w:t>, nes</w:t>
      </w:r>
      <w:r w:rsidR="005A3D99">
        <w:t xml:space="preserve"> </w:t>
      </w:r>
      <w:r w:rsidR="006F3FA4">
        <w:t xml:space="preserve">jų </w:t>
      </w:r>
      <w:r w:rsidR="004677CA">
        <w:t xml:space="preserve">finansinė </w:t>
      </w:r>
      <w:r w:rsidR="006F3FA4">
        <w:t>elgsena</w:t>
      </w:r>
      <w:r w:rsidR="00A16B11">
        <w:t xml:space="preserve"> (19 balų)</w:t>
      </w:r>
      <w:r w:rsidR="005A3D99">
        <w:t xml:space="preserve"> </w:t>
      </w:r>
      <w:r w:rsidR="00F91660">
        <w:t>„pusiausvyros tašką“</w:t>
      </w:r>
      <w:r w:rsidR="00A16B11">
        <w:t xml:space="preserve"> (17 balų)</w:t>
      </w:r>
      <w:r w:rsidR="00F91660">
        <w:t xml:space="preserve"> </w:t>
      </w:r>
      <w:r w:rsidR="00A16B11">
        <w:t xml:space="preserve">pranoko tik </w:t>
      </w:r>
      <w:r w:rsidR="005A3D99">
        <w:t>2 balais</w:t>
      </w:r>
      <w:r w:rsidR="00A16B11">
        <w:t>. Tai</w:t>
      </w:r>
      <w:r w:rsidR="00E76376">
        <w:t xml:space="preserve"> byloja</w:t>
      </w:r>
      <w:r w:rsidR="00A16B11">
        <w:t>, jog ekonominiai veiksniai</w:t>
      </w:r>
      <w:r w:rsidR="00A459B5">
        <w:t xml:space="preserve"> </w:t>
      </w:r>
      <w:r w:rsidR="003646A8">
        <w:t xml:space="preserve">pasirinkimui </w:t>
      </w:r>
      <w:r w:rsidR="004677CA">
        <w:t xml:space="preserve">pajamas </w:t>
      </w:r>
      <w:r w:rsidR="00D205DD">
        <w:t xml:space="preserve">formuoti </w:t>
      </w:r>
      <w:r w:rsidR="00084871">
        <w:t>iš</w:t>
      </w:r>
      <w:r w:rsidR="001D262A">
        <w:t xml:space="preserve"> </w:t>
      </w:r>
      <w:r w:rsidR="00DC44F1">
        <w:t xml:space="preserve">valstybės </w:t>
      </w:r>
      <w:r w:rsidR="00A459B5">
        <w:t xml:space="preserve">lėšų daro </w:t>
      </w:r>
      <w:r w:rsidR="00DC44F1">
        <w:t xml:space="preserve">itin </w:t>
      </w:r>
      <w:r w:rsidR="00BC080C">
        <w:t>didelę</w:t>
      </w:r>
      <w:r w:rsidR="00A459B5">
        <w:t xml:space="preserve"> įtaką</w:t>
      </w:r>
      <w:r w:rsidR="00235B1E">
        <w:t xml:space="preserve">, kuri </w:t>
      </w:r>
      <w:r w:rsidR="00F266D6">
        <w:t>yra</w:t>
      </w:r>
      <w:r w:rsidR="00235B1E">
        <w:t xml:space="preserve"> neigiamo pobūdžio.</w:t>
      </w:r>
      <w:r w:rsidR="00500E13">
        <w:t xml:space="preserve"> </w:t>
      </w:r>
      <w:r w:rsidR="00DC44F1">
        <w:t xml:space="preserve">Žiūrint </w:t>
      </w:r>
      <w:r w:rsidR="00450BFC">
        <w:t xml:space="preserve">į </w:t>
      </w:r>
      <w:r w:rsidR="0004796D">
        <w:t>atskirus veiksni</w:t>
      </w:r>
      <w:r w:rsidR="00A90843">
        <w:t>ų įvertinimus</w:t>
      </w:r>
      <w:r w:rsidR="0004796D">
        <w:t>,</w:t>
      </w:r>
      <w:r w:rsidR="002D6400">
        <w:t xml:space="preserve"> </w:t>
      </w:r>
      <w:r w:rsidR="00411CCF">
        <w:t>tampa aišku</w:t>
      </w:r>
      <w:r w:rsidR="002D6400">
        <w:t>, jog</w:t>
      </w:r>
      <w:r w:rsidR="00DA2CA3">
        <w:t xml:space="preserve"> </w:t>
      </w:r>
      <w:r w:rsidR="00DA2CA3" w:rsidRPr="00F21EBF">
        <w:rPr>
          <w:b/>
          <w:i/>
        </w:rPr>
        <w:t>labiausiai</w:t>
      </w:r>
      <w:r w:rsidR="00B80D90" w:rsidRPr="00F21EBF">
        <w:rPr>
          <w:b/>
          <w:i/>
        </w:rPr>
        <w:t xml:space="preserve"> </w:t>
      </w:r>
      <w:r w:rsidR="00CE08A0" w:rsidRPr="001D55DF">
        <w:t>naudotis soc</w:t>
      </w:r>
      <w:r w:rsidR="003646A8" w:rsidRPr="001D55DF">
        <w:t>ialine</w:t>
      </w:r>
      <w:r w:rsidR="003F1219" w:rsidRPr="001D55DF">
        <w:t xml:space="preserve"> gerove</w:t>
      </w:r>
      <w:r w:rsidR="00411CCF">
        <w:t xml:space="preserve"> skatina</w:t>
      </w:r>
      <w:r w:rsidR="007A6EFC">
        <w:t xml:space="preserve"> </w:t>
      </w:r>
      <w:r w:rsidR="00AF5FC6">
        <w:t>„</w:t>
      </w:r>
      <w:r w:rsidR="00AF5FC6">
        <w:rPr>
          <w:i/>
        </w:rPr>
        <w:t>šešėlis“</w:t>
      </w:r>
      <w:r w:rsidR="007A6EFC" w:rsidRPr="008201A7">
        <w:rPr>
          <w:i/>
        </w:rPr>
        <w:t xml:space="preserve"> (c</w:t>
      </w:r>
      <w:r w:rsidR="007A6EFC" w:rsidRPr="008201A7">
        <w:rPr>
          <w:i/>
          <w:vertAlign w:val="subscript"/>
        </w:rPr>
        <w:t>2</w:t>
      </w:r>
      <w:r w:rsidR="007A6EFC" w:rsidRPr="008201A7">
        <w:rPr>
          <w:i/>
        </w:rPr>
        <w:t>)</w:t>
      </w:r>
      <w:r w:rsidR="006556AC">
        <w:rPr>
          <w:i/>
        </w:rPr>
        <w:t xml:space="preserve"> </w:t>
      </w:r>
      <w:r w:rsidR="006556AC" w:rsidRPr="006556AC">
        <w:t>(</w:t>
      </w:r>
      <w:r w:rsidR="004D3214">
        <w:t>K –1,5; skirtumas – 4,5 balo</w:t>
      </w:r>
      <w:r w:rsidR="006556AC" w:rsidRPr="006556AC">
        <w:t>)</w:t>
      </w:r>
      <w:r w:rsidR="00202EB8" w:rsidRPr="006556AC">
        <w:t>,</w:t>
      </w:r>
      <w:r w:rsidR="008816D3">
        <w:t xml:space="preserve"> </w:t>
      </w:r>
      <w:r w:rsidR="004D3214">
        <w:rPr>
          <w:i/>
        </w:rPr>
        <w:t>išmokos mokėjimo trukmė</w:t>
      </w:r>
      <w:r w:rsidR="00202EB8" w:rsidRPr="008201A7">
        <w:rPr>
          <w:i/>
        </w:rPr>
        <w:t xml:space="preserve"> (c</w:t>
      </w:r>
      <w:r w:rsidR="00202EB8" w:rsidRPr="008201A7">
        <w:rPr>
          <w:i/>
          <w:vertAlign w:val="subscript"/>
        </w:rPr>
        <w:t>5</w:t>
      </w:r>
      <w:r w:rsidR="00202EB8" w:rsidRPr="008201A7">
        <w:rPr>
          <w:i/>
        </w:rPr>
        <w:t>)</w:t>
      </w:r>
      <w:r w:rsidR="00C23AFE">
        <w:t xml:space="preserve"> (K – 2,0; skirtumas – 4 balai)</w:t>
      </w:r>
      <w:r w:rsidR="00234B79">
        <w:t xml:space="preserve"> bei</w:t>
      </w:r>
      <w:r w:rsidR="008201A7">
        <w:t xml:space="preserve"> </w:t>
      </w:r>
      <w:r w:rsidR="008201A7" w:rsidRPr="008201A7">
        <w:rPr>
          <w:i/>
        </w:rPr>
        <w:t>mokesčių našta (c</w:t>
      </w:r>
      <w:r w:rsidR="008201A7" w:rsidRPr="008201A7">
        <w:rPr>
          <w:i/>
          <w:vertAlign w:val="subscript"/>
        </w:rPr>
        <w:t>3</w:t>
      </w:r>
      <w:r w:rsidR="008201A7" w:rsidRPr="008201A7">
        <w:rPr>
          <w:i/>
        </w:rPr>
        <w:t>)</w:t>
      </w:r>
      <w:r w:rsidR="00202EB8">
        <w:t xml:space="preserve"> </w:t>
      </w:r>
      <w:r w:rsidR="00C23AFE">
        <w:t xml:space="preserve">(K – </w:t>
      </w:r>
      <w:r w:rsidR="007B7B2C">
        <w:t>1,5; skirtumas – 3 balai</w:t>
      </w:r>
      <w:r w:rsidR="00C23AFE">
        <w:t xml:space="preserve">) </w:t>
      </w:r>
      <w:r w:rsidR="001F08DB">
        <w:t>t. </w:t>
      </w:r>
      <w:r w:rsidR="00202EB8">
        <w:t xml:space="preserve">y. </w:t>
      </w:r>
      <w:r w:rsidR="00D42E81">
        <w:t>veiksniai, kurių bu</w:t>
      </w:r>
      <w:r w:rsidR="009E4CCF">
        <w:t>vimas</w:t>
      </w:r>
      <w:r w:rsidR="007F060B">
        <w:t xml:space="preserve"> </w:t>
      </w:r>
      <w:r w:rsidR="002D36C2">
        <w:t xml:space="preserve">savaime </w:t>
      </w:r>
      <w:r w:rsidR="00885F02">
        <w:t xml:space="preserve">suprantamas </w:t>
      </w:r>
      <w:r w:rsidR="008816D3">
        <w:t>kaip</w:t>
      </w:r>
      <w:r w:rsidR="007F060B">
        <w:t xml:space="preserve"> neigiamas reiškinys.</w:t>
      </w:r>
      <w:r w:rsidR="00723129">
        <w:t xml:space="preserve"> Tai</w:t>
      </w:r>
      <w:r w:rsidR="00D42E81">
        <w:t xml:space="preserve"> suponuoja</w:t>
      </w:r>
      <w:r w:rsidR="00D7479C">
        <w:t xml:space="preserve"> faktą</w:t>
      </w:r>
      <w:r w:rsidR="00723129">
        <w:t xml:space="preserve">, jog netinkama elgsena </w:t>
      </w:r>
      <w:r w:rsidR="00A83159">
        <w:t>gali atsirasti</w:t>
      </w:r>
      <w:r w:rsidR="00723129">
        <w:t xml:space="preserve"> iš noro</w:t>
      </w:r>
      <w:r w:rsidR="00DD3F31">
        <w:t xml:space="preserve"> turėti daugiau</w:t>
      </w:r>
      <w:r w:rsidR="00D7479C">
        <w:t xml:space="preserve"> negu</w:t>
      </w:r>
      <w:r w:rsidR="00DD3F31">
        <w:t xml:space="preserve"> priklauso, kas neatsiejama nuo mentaliteto.</w:t>
      </w:r>
    </w:p>
    <w:p w:rsidR="004A731C" w:rsidRPr="00054415" w:rsidRDefault="004A731C" w:rsidP="004A731C">
      <w:r w:rsidRPr="00054415">
        <w:t xml:space="preserve">Siekiant geriau suvokti, kaip išmokos mokėjimo trukmė veikia individų finansinę elgseną, tikslinga būtų panagrinėti, kaip apklausos dalyvių atsakymai pasiskirstė, priklausomai nuo buvimo išmokų gavėjais </w:t>
      </w:r>
      <w:r w:rsidRPr="00496140">
        <w:t>laiko (</w:t>
      </w:r>
      <w:r w:rsidR="00F17BA7" w:rsidRPr="00496140">
        <w:t>žr. 8</w:t>
      </w:r>
      <w:r w:rsidRPr="00496140">
        <w:t> lent.) – tai</w:t>
      </w:r>
      <w:r w:rsidRPr="00054415">
        <w:t xml:space="preserve"> leis daryti pagrįstas išvadas apie žmonių naudojimosi socialine </w:t>
      </w:r>
      <w:r w:rsidR="00054415" w:rsidRPr="00054415">
        <w:t xml:space="preserve">apsauga </w:t>
      </w:r>
      <w:r w:rsidRPr="00054415">
        <w:t>pagrįstumą.</w:t>
      </w:r>
    </w:p>
    <w:bookmarkStart w:id="37" w:name="_Toc343638403"/>
    <w:p w:rsidR="00F62CDC" w:rsidRPr="00F62CDC" w:rsidRDefault="00D84BC4" w:rsidP="00886347">
      <w:pPr>
        <w:pStyle w:val="Caption"/>
        <w:rPr>
          <w:lang w:val="en-US"/>
        </w:rPr>
      </w:pPr>
      <w:r w:rsidRPr="00496140">
        <w:lastRenderedPageBreak/>
        <w:fldChar w:fldCharType="begin"/>
      </w:r>
      <w:r w:rsidR="00496140" w:rsidRPr="00496140">
        <w:instrText xml:space="preserve"> SEQ lentelė \* ARABIC </w:instrText>
      </w:r>
      <w:r w:rsidRPr="00496140">
        <w:fldChar w:fldCharType="separate"/>
      </w:r>
      <w:r w:rsidR="00496140" w:rsidRPr="00496140">
        <w:t>8</w:t>
      </w:r>
      <w:r w:rsidRPr="00496140">
        <w:fldChar w:fldCharType="end"/>
      </w:r>
      <w:r w:rsidR="00496140" w:rsidRPr="00496140">
        <w:t xml:space="preserve"> </w:t>
      </w:r>
      <w:r w:rsidR="00EF40C3" w:rsidRPr="00496140">
        <w:t>lentelė</w:t>
      </w:r>
      <w:r w:rsidR="00496140" w:rsidRPr="00496140">
        <w:t>.</w:t>
      </w:r>
      <w:r w:rsidR="00EF40C3" w:rsidRPr="00EF40C3">
        <w:rPr>
          <w:color w:val="FF0000"/>
        </w:rPr>
        <w:t xml:space="preserve"> </w:t>
      </w:r>
      <w:r w:rsidR="000D1648">
        <w:t>Išmokos mokėjimo trukmės įtaka, priklausomai nuo buvimo socialinių išmokų gavėju laiko</w:t>
      </w:r>
      <w:bookmarkEnd w:id="37"/>
    </w:p>
    <w:tbl>
      <w:tblPr>
        <w:tblW w:w="10260" w:type="dxa"/>
        <w:tblInd w:w="3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shd w:val="clear" w:color="auto" w:fill="D9D9D9" w:themeFill="background1" w:themeFillShade="D9"/>
        <w:tblLayout w:type="fixed"/>
        <w:tblCellMar>
          <w:left w:w="30" w:type="dxa"/>
          <w:right w:w="30" w:type="dxa"/>
        </w:tblCellMar>
        <w:tblLook w:val="0000"/>
      </w:tblPr>
      <w:tblGrid>
        <w:gridCol w:w="2430"/>
        <w:gridCol w:w="1350"/>
        <w:gridCol w:w="1350"/>
        <w:gridCol w:w="1350"/>
        <w:gridCol w:w="1350"/>
        <w:gridCol w:w="1350"/>
        <w:gridCol w:w="1080"/>
      </w:tblGrid>
      <w:tr w:rsidR="00834592" w:rsidRPr="008F4E1E" w:rsidTr="00712B48">
        <w:trPr>
          <w:cantSplit/>
          <w:tblHeader/>
        </w:trPr>
        <w:tc>
          <w:tcPr>
            <w:tcW w:w="2430" w:type="dxa"/>
            <w:vMerge w:val="restart"/>
            <w:tcBorders>
              <w:top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8F4E1E" w:rsidRDefault="008F4E1E" w:rsidP="00834592">
            <w:pPr>
              <w:widowControl/>
              <w:autoSpaceDE w:val="0"/>
              <w:autoSpaceDN w:val="0"/>
              <w:adjustRightInd w:val="0"/>
              <w:spacing w:after="0" w:line="240" w:lineRule="auto"/>
              <w:ind w:firstLine="0"/>
              <w:contextualSpacing w:val="0"/>
              <w:jc w:val="center"/>
              <w:rPr>
                <w:b/>
                <w:i/>
                <w:sz w:val="17"/>
                <w:szCs w:val="17"/>
              </w:rPr>
            </w:pPr>
            <w:r>
              <w:rPr>
                <w:b/>
                <w:i/>
                <w:sz w:val="17"/>
                <w:szCs w:val="17"/>
              </w:rPr>
              <w:t>Išmokos mokėjimo</w:t>
            </w:r>
          </w:p>
          <w:p w:rsidR="00834592" w:rsidRPr="008F4E1E" w:rsidRDefault="00834592" w:rsidP="00834592">
            <w:pPr>
              <w:widowControl/>
              <w:autoSpaceDE w:val="0"/>
              <w:autoSpaceDN w:val="0"/>
              <w:adjustRightInd w:val="0"/>
              <w:spacing w:after="0" w:line="240" w:lineRule="auto"/>
              <w:ind w:firstLine="0"/>
              <w:contextualSpacing w:val="0"/>
              <w:jc w:val="center"/>
              <w:rPr>
                <w:b/>
                <w:i/>
                <w:sz w:val="17"/>
                <w:szCs w:val="17"/>
              </w:rPr>
            </w:pPr>
            <w:r w:rsidRPr="008F4E1E">
              <w:rPr>
                <w:b/>
                <w:i/>
                <w:sz w:val="17"/>
                <w:szCs w:val="17"/>
              </w:rPr>
              <w:t>trukmė</w:t>
            </w:r>
          </w:p>
        </w:tc>
        <w:tc>
          <w:tcPr>
            <w:tcW w:w="6750" w:type="dxa"/>
            <w:gridSpan w:val="5"/>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834592" w:rsidRPr="008F4E1E" w:rsidRDefault="00834592" w:rsidP="00F62CDC">
            <w:pPr>
              <w:widowControl/>
              <w:autoSpaceDE w:val="0"/>
              <w:autoSpaceDN w:val="0"/>
              <w:adjustRightInd w:val="0"/>
              <w:spacing w:after="0" w:line="240" w:lineRule="auto"/>
              <w:ind w:firstLine="0"/>
              <w:contextualSpacing w:val="0"/>
              <w:jc w:val="center"/>
              <w:rPr>
                <w:b/>
                <w:color w:val="000000"/>
                <w:sz w:val="17"/>
                <w:szCs w:val="17"/>
              </w:rPr>
            </w:pPr>
            <w:r w:rsidRPr="008F4E1E">
              <w:rPr>
                <w:b/>
                <w:color w:val="000000"/>
                <w:sz w:val="17"/>
                <w:szCs w:val="17"/>
              </w:rPr>
              <w:t>Laikas, kurį ieškomasi darbo / pajamų šaltinio</w:t>
            </w:r>
          </w:p>
        </w:tc>
        <w:tc>
          <w:tcPr>
            <w:tcW w:w="1080" w:type="dxa"/>
            <w:vMerge w:val="restart"/>
            <w:tcBorders>
              <w:top w:val="single" w:sz="12" w:space="0" w:color="000000"/>
              <w:left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bottom"/>
          </w:tcPr>
          <w:p w:rsidR="00834592" w:rsidRPr="008F4E1E" w:rsidRDefault="00834592" w:rsidP="00834592">
            <w:pPr>
              <w:widowControl/>
              <w:autoSpaceDE w:val="0"/>
              <w:autoSpaceDN w:val="0"/>
              <w:adjustRightInd w:val="0"/>
              <w:spacing w:after="0" w:line="240" w:lineRule="auto"/>
              <w:ind w:firstLine="0"/>
              <w:contextualSpacing w:val="0"/>
              <w:jc w:val="center"/>
              <w:rPr>
                <w:b/>
                <w:i/>
                <w:color w:val="000000"/>
                <w:sz w:val="17"/>
                <w:szCs w:val="17"/>
              </w:rPr>
            </w:pPr>
            <w:r w:rsidRPr="008F4E1E">
              <w:rPr>
                <w:b/>
                <w:i/>
                <w:color w:val="000000"/>
                <w:sz w:val="17"/>
                <w:szCs w:val="17"/>
              </w:rPr>
              <w:t>Iš viso:</w:t>
            </w:r>
          </w:p>
        </w:tc>
      </w:tr>
      <w:tr w:rsidR="00834592" w:rsidRPr="00834592" w:rsidTr="00712B48">
        <w:trPr>
          <w:cantSplit/>
          <w:tblHeader/>
        </w:trPr>
        <w:tc>
          <w:tcPr>
            <w:tcW w:w="2430" w:type="dxa"/>
            <w:vMerge/>
            <w:tcBorders>
              <w:bottom w:val="single" w:sz="12" w:space="0" w:color="000000"/>
              <w:right w:val="single" w:sz="12" w:space="0" w:color="000000"/>
            </w:tcBorders>
            <w:shd w:val="clear" w:color="auto" w:fill="D9D9D9" w:themeFill="background1" w:themeFillShade="D9"/>
            <w:tcMar>
              <w:top w:w="30" w:type="dxa"/>
              <w:left w:w="30" w:type="dxa"/>
              <w:bottom w:w="30" w:type="dxa"/>
              <w:right w:w="30" w:type="dxa"/>
            </w:tcMar>
          </w:tcPr>
          <w:p w:rsidR="00834592" w:rsidRPr="00F62CDC" w:rsidRDefault="00834592" w:rsidP="00F62CDC">
            <w:pPr>
              <w:widowControl/>
              <w:autoSpaceDE w:val="0"/>
              <w:autoSpaceDN w:val="0"/>
              <w:adjustRightInd w:val="0"/>
              <w:spacing w:after="0" w:line="240" w:lineRule="auto"/>
              <w:ind w:firstLine="0"/>
              <w:contextualSpacing w:val="0"/>
              <w:jc w:val="left"/>
              <w:rPr>
                <w:sz w:val="18"/>
                <w:szCs w:val="18"/>
              </w:rPr>
            </w:pP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834592" w:rsidRPr="008F4E1E" w:rsidRDefault="00834592" w:rsidP="00F62CDC">
            <w:pPr>
              <w:widowControl/>
              <w:autoSpaceDE w:val="0"/>
              <w:autoSpaceDN w:val="0"/>
              <w:adjustRightInd w:val="0"/>
              <w:spacing w:after="0" w:line="240" w:lineRule="auto"/>
              <w:ind w:firstLine="0"/>
              <w:contextualSpacing w:val="0"/>
              <w:jc w:val="center"/>
              <w:rPr>
                <w:b/>
                <w:i/>
                <w:color w:val="000000"/>
                <w:sz w:val="17"/>
                <w:szCs w:val="17"/>
              </w:rPr>
            </w:pPr>
            <w:r w:rsidRPr="008F4E1E">
              <w:rPr>
                <w:b/>
                <w:i/>
                <w:color w:val="000000"/>
                <w:sz w:val="17"/>
                <w:szCs w:val="17"/>
              </w:rPr>
              <w:t>&gt; 1 mėn.</w:t>
            </w: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834592" w:rsidRPr="008F4E1E" w:rsidRDefault="00834592" w:rsidP="00834592">
            <w:pPr>
              <w:widowControl/>
              <w:autoSpaceDE w:val="0"/>
              <w:autoSpaceDN w:val="0"/>
              <w:adjustRightInd w:val="0"/>
              <w:spacing w:after="0" w:line="240" w:lineRule="auto"/>
              <w:ind w:firstLine="0"/>
              <w:contextualSpacing w:val="0"/>
              <w:jc w:val="center"/>
              <w:rPr>
                <w:b/>
                <w:i/>
                <w:color w:val="000000"/>
                <w:sz w:val="17"/>
                <w:szCs w:val="17"/>
              </w:rPr>
            </w:pPr>
            <w:r w:rsidRPr="008F4E1E">
              <w:rPr>
                <w:b/>
                <w:i/>
                <w:color w:val="000000"/>
                <w:sz w:val="17"/>
                <w:szCs w:val="17"/>
              </w:rPr>
              <w:t>1-3 mėn.</w:t>
            </w: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834592" w:rsidRPr="008F4E1E" w:rsidRDefault="00834592" w:rsidP="00834592">
            <w:pPr>
              <w:widowControl/>
              <w:autoSpaceDE w:val="0"/>
              <w:autoSpaceDN w:val="0"/>
              <w:adjustRightInd w:val="0"/>
              <w:spacing w:after="0" w:line="240" w:lineRule="auto"/>
              <w:ind w:firstLine="0"/>
              <w:contextualSpacing w:val="0"/>
              <w:jc w:val="center"/>
              <w:rPr>
                <w:b/>
                <w:i/>
                <w:color w:val="000000"/>
                <w:sz w:val="17"/>
                <w:szCs w:val="17"/>
              </w:rPr>
            </w:pPr>
            <w:r w:rsidRPr="008F4E1E">
              <w:rPr>
                <w:b/>
                <w:i/>
                <w:color w:val="000000"/>
                <w:sz w:val="17"/>
                <w:szCs w:val="17"/>
              </w:rPr>
              <w:t>3-6 mėn.</w:t>
            </w: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834592" w:rsidRPr="008F4E1E" w:rsidRDefault="00834592" w:rsidP="00834592">
            <w:pPr>
              <w:widowControl/>
              <w:autoSpaceDE w:val="0"/>
              <w:autoSpaceDN w:val="0"/>
              <w:adjustRightInd w:val="0"/>
              <w:spacing w:after="0" w:line="240" w:lineRule="auto"/>
              <w:ind w:firstLine="0"/>
              <w:contextualSpacing w:val="0"/>
              <w:jc w:val="center"/>
              <w:rPr>
                <w:b/>
                <w:i/>
                <w:color w:val="000000"/>
                <w:sz w:val="17"/>
                <w:szCs w:val="17"/>
              </w:rPr>
            </w:pPr>
            <w:r w:rsidRPr="008F4E1E">
              <w:rPr>
                <w:b/>
                <w:i/>
                <w:color w:val="000000"/>
                <w:sz w:val="17"/>
                <w:szCs w:val="17"/>
              </w:rPr>
              <w:t>6-12 mėn.</w:t>
            </w: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bottom"/>
          </w:tcPr>
          <w:p w:rsidR="00834592" w:rsidRPr="008F4E1E" w:rsidRDefault="00834592" w:rsidP="00F62CDC">
            <w:pPr>
              <w:widowControl/>
              <w:autoSpaceDE w:val="0"/>
              <w:autoSpaceDN w:val="0"/>
              <w:adjustRightInd w:val="0"/>
              <w:spacing w:after="0" w:line="240" w:lineRule="auto"/>
              <w:ind w:firstLine="0"/>
              <w:contextualSpacing w:val="0"/>
              <w:jc w:val="center"/>
              <w:rPr>
                <w:b/>
                <w:i/>
                <w:color w:val="000000"/>
                <w:sz w:val="17"/>
                <w:szCs w:val="17"/>
              </w:rPr>
            </w:pPr>
            <w:r w:rsidRPr="008F4E1E">
              <w:rPr>
                <w:b/>
                <w:i/>
                <w:color w:val="000000"/>
                <w:sz w:val="17"/>
                <w:szCs w:val="17"/>
              </w:rPr>
              <w:t>&gt; 12 mėn.</w:t>
            </w:r>
          </w:p>
        </w:tc>
        <w:tc>
          <w:tcPr>
            <w:tcW w:w="1080" w:type="dxa"/>
            <w:vMerge/>
            <w:tcBorders>
              <w:top w:val="single" w:sz="12" w:space="0" w:color="000000"/>
              <w:left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bottom"/>
          </w:tcPr>
          <w:p w:rsidR="00834592" w:rsidRPr="00F62CDC" w:rsidRDefault="00834592" w:rsidP="00F62CDC">
            <w:pPr>
              <w:widowControl/>
              <w:autoSpaceDE w:val="0"/>
              <w:autoSpaceDN w:val="0"/>
              <w:adjustRightInd w:val="0"/>
              <w:spacing w:after="0" w:line="240" w:lineRule="auto"/>
              <w:ind w:firstLine="0"/>
              <w:contextualSpacing w:val="0"/>
              <w:jc w:val="left"/>
              <w:rPr>
                <w:color w:val="000000"/>
                <w:sz w:val="18"/>
                <w:szCs w:val="18"/>
              </w:rPr>
            </w:pPr>
          </w:p>
        </w:tc>
      </w:tr>
      <w:tr w:rsidR="00712B48" w:rsidRPr="00834592" w:rsidTr="00475AFC">
        <w:trPr>
          <w:cantSplit/>
          <w:trHeight w:val="147"/>
          <w:tblHeader/>
        </w:trPr>
        <w:tc>
          <w:tcPr>
            <w:tcW w:w="2430" w:type="dxa"/>
            <w:tcBorders>
              <w:top w:val="single" w:sz="12" w:space="0" w:color="000000"/>
              <w:bottom w:val="single" w:sz="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712B48" w:rsidRPr="00166980" w:rsidRDefault="00712B48" w:rsidP="00D7479C">
            <w:pPr>
              <w:widowControl/>
              <w:autoSpaceDE w:val="0"/>
              <w:autoSpaceDN w:val="0"/>
              <w:adjustRightInd w:val="0"/>
              <w:spacing w:after="0" w:line="240" w:lineRule="auto"/>
              <w:ind w:firstLine="0"/>
              <w:contextualSpacing w:val="0"/>
              <w:jc w:val="left"/>
              <w:rPr>
                <w:b/>
                <w:i/>
                <w:color w:val="000000"/>
                <w:sz w:val="18"/>
                <w:szCs w:val="18"/>
              </w:rPr>
            </w:pPr>
            <w:r w:rsidRPr="00166980">
              <w:rPr>
                <w:b/>
                <w:i/>
                <w:color w:val="000000"/>
                <w:sz w:val="18"/>
                <w:szCs w:val="18"/>
              </w:rPr>
              <w:t>1</w:t>
            </w:r>
            <w:r>
              <w:rPr>
                <w:b/>
                <w:i/>
                <w:color w:val="000000"/>
                <w:sz w:val="18"/>
                <w:szCs w:val="18"/>
              </w:rPr>
              <w:t xml:space="preserve"> – labai didelė įtaka</w:t>
            </w:r>
          </w:p>
        </w:tc>
        <w:tc>
          <w:tcPr>
            <w:tcW w:w="1350" w:type="dxa"/>
            <w:tcBorders>
              <w:top w:val="single" w:sz="12" w:space="0" w:color="000000"/>
              <w:left w:val="single" w:sz="12" w:space="0" w:color="000000"/>
              <w:bottom w:val="single" w:sz="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3C1AB0">
            <w:pPr>
              <w:widowControl/>
              <w:autoSpaceDE w:val="0"/>
              <w:autoSpaceDN w:val="0"/>
              <w:adjustRightInd w:val="0"/>
              <w:spacing w:after="0" w:line="240" w:lineRule="auto"/>
              <w:ind w:firstLine="0"/>
              <w:contextualSpacing w:val="0"/>
              <w:jc w:val="center"/>
              <w:rPr>
                <w:color w:val="000000"/>
                <w:sz w:val="18"/>
                <w:szCs w:val="18"/>
              </w:rPr>
            </w:pPr>
            <w:r w:rsidRPr="00475AFC">
              <w:rPr>
                <w:color w:val="000000"/>
                <w:sz w:val="18"/>
                <w:szCs w:val="18"/>
              </w:rPr>
              <w:t>3 (5,6 %)</w:t>
            </w:r>
          </w:p>
        </w:tc>
        <w:tc>
          <w:tcPr>
            <w:tcW w:w="1350" w:type="dxa"/>
            <w:tcBorders>
              <w:top w:val="single" w:sz="12" w:space="0" w:color="000000"/>
              <w:left w:val="single" w:sz="12" w:space="0" w:color="000000"/>
              <w:bottom w:val="single" w:sz="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3C1AB0">
            <w:pPr>
              <w:widowControl/>
              <w:autoSpaceDE w:val="0"/>
              <w:autoSpaceDN w:val="0"/>
              <w:adjustRightInd w:val="0"/>
              <w:spacing w:after="0" w:line="240" w:lineRule="auto"/>
              <w:ind w:firstLine="0"/>
              <w:contextualSpacing w:val="0"/>
              <w:jc w:val="center"/>
              <w:rPr>
                <w:color w:val="000000"/>
                <w:sz w:val="18"/>
                <w:szCs w:val="18"/>
              </w:rPr>
            </w:pPr>
            <w:r w:rsidRPr="00475AFC">
              <w:rPr>
                <w:color w:val="000000"/>
                <w:sz w:val="18"/>
                <w:szCs w:val="18"/>
              </w:rPr>
              <w:t>5 (5,3 %)</w:t>
            </w:r>
          </w:p>
        </w:tc>
        <w:tc>
          <w:tcPr>
            <w:tcW w:w="1350" w:type="dxa"/>
            <w:tcBorders>
              <w:top w:val="single" w:sz="12" w:space="0" w:color="000000"/>
              <w:left w:val="single" w:sz="12" w:space="0" w:color="000000"/>
              <w:bottom w:val="single" w:sz="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7A5CFD">
            <w:pPr>
              <w:widowControl/>
              <w:autoSpaceDE w:val="0"/>
              <w:autoSpaceDN w:val="0"/>
              <w:adjustRightInd w:val="0"/>
              <w:spacing w:after="0" w:line="240" w:lineRule="auto"/>
              <w:ind w:firstLine="0"/>
              <w:contextualSpacing w:val="0"/>
              <w:jc w:val="center"/>
              <w:rPr>
                <w:color w:val="000000"/>
                <w:sz w:val="18"/>
                <w:szCs w:val="18"/>
              </w:rPr>
            </w:pPr>
            <w:r w:rsidRPr="00475AFC">
              <w:rPr>
                <w:color w:val="000000"/>
                <w:sz w:val="18"/>
                <w:szCs w:val="18"/>
              </w:rPr>
              <w:t>4 (4,7 %)</w:t>
            </w:r>
          </w:p>
        </w:tc>
        <w:tc>
          <w:tcPr>
            <w:tcW w:w="1350" w:type="dxa"/>
            <w:tcBorders>
              <w:top w:val="single" w:sz="12" w:space="0" w:color="000000"/>
              <w:left w:val="single" w:sz="12" w:space="0" w:color="000000"/>
              <w:bottom w:val="single" w:sz="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7A5CFD">
            <w:pPr>
              <w:widowControl/>
              <w:autoSpaceDE w:val="0"/>
              <w:autoSpaceDN w:val="0"/>
              <w:adjustRightInd w:val="0"/>
              <w:spacing w:after="0" w:line="240" w:lineRule="auto"/>
              <w:ind w:firstLine="0"/>
              <w:contextualSpacing w:val="0"/>
              <w:jc w:val="center"/>
              <w:rPr>
                <w:color w:val="000000"/>
                <w:sz w:val="18"/>
                <w:szCs w:val="18"/>
              </w:rPr>
            </w:pPr>
            <w:r w:rsidRPr="00475AFC">
              <w:rPr>
                <w:color w:val="000000"/>
                <w:sz w:val="18"/>
                <w:szCs w:val="18"/>
              </w:rPr>
              <w:t>8 (15,4 %)</w:t>
            </w:r>
          </w:p>
        </w:tc>
        <w:tc>
          <w:tcPr>
            <w:tcW w:w="1350" w:type="dxa"/>
            <w:tcBorders>
              <w:top w:val="single" w:sz="12" w:space="0" w:color="000000"/>
              <w:left w:val="single" w:sz="12" w:space="0" w:color="000000"/>
              <w:bottom w:val="single" w:sz="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7A5CFD">
            <w:pPr>
              <w:widowControl/>
              <w:autoSpaceDE w:val="0"/>
              <w:autoSpaceDN w:val="0"/>
              <w:adjustRightInd w:val="0"/>
              <w:spacing w:after="0" w:line="240" w:lineRule="auto"/>
              <w:ind w:firstLine="0"/>
              <w:contextualSpacing w:val="0"/>
              <w:jc w:val="center"/>
              <w:rPr>
                <w:color w:val="FF0000"/>
                <w:sz w:val="18"/>
                <w:szCs w:val="18"/>
              </w:rPr>
            </w:pPr>
            <w:r w:rsidRPr="00475AFC">
              <w:rPr>
                <w:color w:val="FF0000"/>
                <w:sz w:val="18"/>
                <w:szCs w:val="18"/>
              </w:rPr>
              <w:t>12 (22,2 %)</w:t>
            </w:r>
          </w:p>
        </w:tc>
        <w:tc>
          <w:tcPr>
            <w:tcW w:w="1080" w:type="dxa"/>
            <w:tcBorders>
              <w:top w:val="single" w:sz="12" w:space="0" w:color="000000"/>
              <w:left w:val="single" w:sz="12" w:space="0" w:color="000000"/>
            </w:tcBorders>
            <w:shd w:val="clear" w:color="auto" w:fill="D9D9D9" w:themeFill="background1" w:themeFillShade="D9"/>
            <w:tcMar>
              <w:top w:w="30" w:type="dxa"/>
              <w:left w:w="30" w:type="dxa"/>
              <w:bottom w:w="30" w:type="dxa"/>
              <w:right w:w="30" w:type="dxa"/>
            </w:tcMar>
            <w:vAlign w:val="center"/>
          </w:tcPr>
          <w:p w:rsidR="00712B48" w:rsidRPr="00C95ECB" w:rsidRDefault="00712B48" w:rsidP="007A5CFD">
            <w:pPr>
              <w:widowControl/>
              <w:autoSpaceDE w:val="0"/>
              <w:autoSpaceDN w:val="0"/>
              <w:adjustRightInd w:val="0"/>
              <w:spacing w:after="0" w:line="240" w:lineRule="auto"/>
              <w:ind w:firstLine="0"/>
              <w:contextualSpacing w:val="0"/>
              <w:jc w:val="center"/>
              <w:rPr>
                <w:b/>
                <w:color w:val="000000"/>
                <w:sz w:val="18"/>
                <w:szCs w:val="18"/>
              </w:rPr>
            </w:pPr>
            <w:r w:rsidRPr="00C95ECB">
              <w:rPr>
                <w:b/>
                <w:color w:val="000000"/>
                <w:sz w:val="18"/>
                <w:szCs w:val="18"/>
              </w:rPr>
              <w:t>32</w:t>
            </w:r>
            <w:r>
              <w:rPr>
                <w:b/>
                <w:color w:val="000000"/>
                <w:sz w:val="18"/>
                <w:szCs w:val="18"/>
              </w:rPr>
              <w:t xml:space="preserve"> </w:t>
            </w:r>
            <w:r w:rsidRPr="00C95ECB">
              <w:rPr>
                <w:b/>
                <w:color w:val="000000"/>
                <w:sz w:val="18"/>
                <w:szCs w:val="18"/>
              </w:rPr>
              <w:t>(9,4 %)</w:t>
            </w:r>
          </w:p>
        </w:tc>
      </w:tr>
      <w:tr w:rsidR="00712B48" w:rsidRPr="00834592" w:rsidTr="00475AFC">
        <w:trPr>
          <w:cantSplit/>
          <w:trHeight w:val="136"/>
          <w:tblHeader/>
        </w:trPr>
        <w:tc>
          <w:tcPr>
            <w:tcW w:w="2430" w:type="dxa"/>
            <w:tcBorders>
              <w:right w:val="single" w:sz="12" w:space="0" w:color="000000"/>
            </w:tcBorders>
            <w:shd w:val="clear" w:color="auto" w:fill="D9D9D9" w:themeFill="background1" w:themeFillShade="D9"/>
            <w:tcMar>
              <w:top w:w="30" w:type="dxa"/>
              <w:left w:w="30" w:type="dxa"/>
              <w:bottom w:w="30" w:type="dxa"/>
              <w:right w:w="30" w:type="dxa"/>
            </w:tcMar>
            <w:vAlign w:val="center"/>
          </w:tcPr>
          <w:p w:rsidR="00712B48" w:rsidRPr="00166980" w:rsidRDefault="00712B48" w:rsidP="00D7479C">
            <w:pPr>
              <w:widowControl/>
              <w:autoSpaceDE w:val="0"/>
              <w:autoSpaceDN w:val="0"/>
              <w:adjustRightInd w:val="0"/>
              <w:spacing w:after="0" w:line="240" w:lineRule="auto"/>
              <w:ind w:firstLine="0"/>
              <w:contextualSpacing w:val="0"/>
              <w:jc w:val="left"/>
              <w:rPr>
                <w:b/>
                <w:i/>
                <w:color w:val="000000"/>
                <w:sz w:val="18"/>
                <w:szCs w:val="18"/>
              </w:rPr>
            </w:pPr>
            <w:r w:rsidRPr="00166980">
              <w:rPr>
                <w:b/>
                <w:i/>
                <w:color w:val="000000"/>
                <w:sz w:val="18"/>
                <w:szCs w:val="18"/>
              </w:rPr>
              <w:t>2</w:t>
            </w:r>
            <w:r>
              <w:rPr>
                <w:b/>
                <w:i/>
                <w:color w:val="000000"/>
                <w:sz w:val="18"/>
                <w:szCs w:val="18"/>
              </w:rPr>
              <w:t xml:space="preserve"> – didelė įtaka</w:t>
            </w:r>
          </w:p>
        </w:tc>
        <w:tc>
          <w:tcPr>
            <w:tcW w:w="1350" w:type="dxa"/>
            <w:tcBorders>
              <w:top w:val="single" w:sz="2" w:space="0" w:color="000000"/>
              <w:left w:val="single" w:sz="12" w:space="0" w:color="000000"/>
              <w:bottom w:val="single" w:sz="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3C1AB0">
            <w:pPr>
              <w:widowControl/>
              <w:autoSpaceDE w:val="0"/>
              <w:autoSpaceDN w:val="0"/>
              <w:adjustRightInd w:val="0"/>
              <w:spacing w:after="0" w:line="240" w:lineRule="auto"/>
              <w:ind w:firstLine="0"/>
              <w:contextualSpacing w:val="0"/>
              <w:jc w:val="center"/>
              <w:rPr>
                <w:color w:val="000000"/>
                <w:sz w:val="18"/>
                <w:szCs w:val="18"/>
              </w:rPr>
            </w:pPr>
            <w:r w:rsidRPr="00475AFC">
              <w:rPr>
                <w:color w:val="000000"/>
                <w:sz w:val="18"/>
                <w:szCs w:val="18"/>
              </w:rPr>
              <w:t>8 (14,8 %)</w:t>
            </w:r>
          </w:p>
        </w:tc>
        <w:tc>
          <w:tcPr>
            <w:tcW w:w="1350" w:type="dxa"/>
            <w:tcBorders>
              <w:top w:val="single" w:sz="2" w:space="0" w:color="000000"/>
              <w:left w:val="single" w:sz="12" w:space="0" w:color="000000"/>
              <w:bottom w:val="single" w:sz="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3C1AB0">
            <w:pPr>
              <w:widowControl/>
              <w:autoSpaceDE w:val="0"/>
              <w:autoSpaceDN w:val="0"/>
              <w:adjustRightInd w:val="0"/>
              <w:spacing w:after="0" w:line="240" w:lineRule="auto"/>
              <w:ind w:firstLine="0"/>
              <w:contextualSpacing w:val="0"/>
              <w:jc w:val="center"/>
              <w:rPr>
                <w:color w:val="000000"/>
                <w:sz w:val="18"/>
                <w:szCs w:val="18"/>
              </w:rPr>
            </w:pPr>
            <w:r w:rsidRPr="00475AFC">
              <w:rPr>
                <w:color w:val="000000"/>
                <w:sz w:val="18"/>
                <w:szCs w:val="18"/>
              </w:rPr>
              <w:t>11 (11,6 %)</w:t>
            </w:r>
          </w:p>
        </w:tc>
        <w:tc>
          <w:tcPr>
            <w:tcW w:w="1350" w:type="dxa"/>
            <w:tcBorders>
              <w:top w:val="single" w:sz="2" w:space="0" w:color="000000"/>
              <w:left w:val="single" w:sz="12" w:space="0" w:color="000000"/>
              <w:bottom w:val="single" w:sz="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7A5CFD">
            <w:pPr>
              <w:widowControl/>
              <w:autoSpaceDE w:val="0"/>
              <w:autoSpaceDN w:val="0"/>
              <w:adjustRightInd w:val="0"/>
              <w:spacing w:after="0" w:line="240" w:lineRule="auto"/>
              <w:ind w:firstLine="0"/>
              <w:contextualSpacing w:val="0"/>
              <w:jc w:val="center"/>
              <w:rPr>
                <w:color w:val="000000"/>
                <w:sz w:val="18"/>
                <w:szCs w:val="18"/>
              </w:rPr>
            </w:pPr>
            <w:r w:rsidRPr="00475AFC">
              <w:rPr>
                <w:color w:val="000000"/>
                <w:sz w:val="18"/>
                <w:szCs w:val="18"/>
              </w:rPr>
              <w:t>12 (14,0 %)</w:t>
            </w:r>
          </w:p>
        </w:tc>
        <w:tc>
          <w:tcPr>
            <w:tcW w:w="1350" w:type="dxa"/>
            <w:tcBorders>
              <w:top w:val="single" w:sz="2" w:space="0" w:color="000000"/>
              <w:left w:val="single" w:sz="12" w:space="0" w:color="000000"/>
              <w:bottom w:val="single" w:sz="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7A5CFD">
            <w:pPr>
              <w:widowControl/>
              <w:autoSpaceDE w:val="0"/>
              <w:autoSpaceDN w:val="0"/>
              <w:adjustRightInd w:val="0"/>
              <w:spacing w:after="0" w:line="240" w:lineRule="auto"/>
              <w:ind w:firstLine="0"/>
              <w:contextualSpacing w:val="0"/>
              <w:jc w:val="center"/>
              <w:rPr>
                <w:color w:val="000000"/>
                <w:sz w:val="18"/>
                <w:szCs w:val="18"/>
              </w:rPr>
            </w:pPr>
            <w:r w:rsidRPr="00475AFC">
              <w:rPr>
                <w:color w:val="000000"/>
                <w:sz w:val="18"/>
                <w:szCs w:val="18"/>
              </w:rPr>
              <w:t>14 (26,9 %)</w:t>
            </w:r>
          </w:p>
        </w:tc>
        <w:tc>
          <w:tcPr>
            <w:tcW w:w="1350" w:type="dxa"/>
            <w:tcBorders>
              <w:top w:val="single" w:sz="2" w:space="0" w:color="000000"/>
              <w:left w:val="single" w:sz="12" w:space="0" w:color="000000"/>
              <w:bottom w:val="single" w:sz="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7A5CFD">
            <w:pPr>
              <w:widowControl/>
              <w:autoSpaceDE w:val="0"/>
              <w:autoSpaceDN w:val="0"/>
              <w:adjustRightInd w:val="0"/>
              <w:spacing w:after="0" w:line="240" w:lineRule="auto"/>
              <w:ind w:firstLine="0"/>
              <w:contextualSpacing w:val="0"/>
              <w:jc w:val="center"/>
              <w:rPr>
                <w:color w:val="FF0000"/>
                <w:sz w:val="18"/>
                <w:szCs w:val="18"/>
              </w:rPr>
            </w:pPr>
            <w:r w:rsidRPr="00475AFC">
              <w:rPr>
                <w:color w:val="FF0000"/>
                <w:sz w:val="18"/>
                <w:szCs w:val="18"/>
              </w:rPr>
              <w:t>15 (27,8 %)</w:t>
            </w:r>
          </w:p>
        </w:tc>
        <w:tc>
          <w:tcPr>
            <w:tcW w:w="1080" w:type="dxa"/>
            <w:tcBorders>
              <w:left w:val="single" w:sz="12" w:space="0" w:color="000000"/>
            </w:tcBorders>
            <w:shd w:val="clear" w:color="auto" w:fill="D9D9D9" w:themeFill="background1" w:themeFillShade="D9"/>
            <w:tcMar>
              <w:top w:w="30" w:type="dxa"/>
              <w:left w:w="30" w:type="dxa"/>
              <w:bottom w:w="30" w:type="dxa"/>
              <w:right w:w="30" w:type="dxa"/>
            </w:tcMar>
            <w:vAlign w:val="center"/>
          </w:tcPr>
          <w:p w:rsidR="00712B48" w:rsidRPr="00C95ECB" w:rsidRDefault="00712B48" w:rsidP="007A5CFD">
            <w:pPr>
              <w:widowControl/>
              <w:autoSpaceDE w:val="0"/>
              <w:autoSpaceDN w:val="0"/>
              <w:adjustRightInd w:val="0"/>
              <w:spacing w:after="0" w:line="240" w:lineRule="auto"/>
              <w:ind w:firstLine="0"/>
              <w:contextualSpacing w:val="0"/>
              <w:jc w:val="center"/>
              <w:rPr>
                <w:b/>
                <w:color w:val="000000"/>
                <w:sz w:val="18"/>
                <w:szCs w:val="18"/>
              </w:rPr>
            </w:pPr>
            <w:r w:rsidRPr="00C95ECB">
              <w:rPr>
                <w:b/>
                <w:color w:val="000000"/>
                <w:sz w:val="18"/>
                <w:szCs w:val="18"/>
              </w:rPr>
              <w:t>60</w:t>
            </w:r>
            <w:r>
              <w:rPr>
                <w:b/>
                <w:color w:val="000000"/>
                <w:sz w:val="18"/>
                <w:szCs w:val="18"/>
              </w:rPr>
              <w:t xml:space="preserve"> </w:t>
            </w:r>
            <w:r w:rsidRPr="00C95ECB">
              <w:rPr>
                <w:b/>
                <w:color w:val="000000"/>
                <w:sz w:val="18"/>
                <w:szCs w:val="18"/>
              </w:rPr>
              <w:t>(17,6 %)</w:t>
            </w:r>
          </w:p>
        </w:tc>
      </w:tr>
      <w:tr w:rsidR="00712B48" w:rsidRPr="00834592" w:rsidTr="00475AFC">
        <w:trPr>
          <w:cantSplit/>
          <w:trHeight w:val="46"/>
          <w:tblHeader/>
        </w:trPr>
        <w:tc>
          <w:tcPr>
            <w:tcW w:w="2430" w:type="dxa"/>
            <w:tcBorders>
              <w:right w:val="single" w:sz="12" w:space="0" w:color="000000"/>
            </w:tcBorders>
            <w:shd w:val="clear" w:color="auto" w:fill="D9D9D9" w:themeFill="background1" w:themeFillShade="D9"/>
            <w:tcMar>
              <w:top w:w="30" w:type="dxa"/>
              <w:left w:w="30" w:type="dxa"/>
              <w:bottom w:w="30" w:type="dxa"/>
              <w:right w:w="30" w:type="dxa"/>
            </w:tcMar>
            <w:vAlign w:val="center"/>
          </w:tcPr>
          <w:p w:rsidR="00712B48" w:rsidRPr="00166980" w:rsidRDefault="00712B48" w:rsidP="00D7479C">
            <w:pPr>
              <w:widowControl/>
              <w:autoSpaceDE w:val="0"/>
              <w:autoSpaceDN w:val="0"/>
              <w:adjustRightInd w:val="0"/>
              <w:spacing w:after="0" w:line="240" w:lineRule="auto"/>
              <w:ind w:firstLine="0"/>
              <w:contextualSpacing w:val="0"/>
              <w:jc w:val="left"/>
              <w:rPr>
                <w:b/>
                <w:i/>
                <w:color w:val="000000"/>
                <w:sz w:val="18"/>
                <w:szCs w:val="18"/>
              </w:rPr>
            </w:pPr>
            <w:r w:rsidRPr="00166980">
              <w:rPr>
                <w:b/>
                <w:i/>
                <w:color w:val="000000"/>
                <w:sz w:val="18"/>
                <w:szCs w:val="18"/>
              </w:rPr>
              <w:t>3</w:t>
            </w:r>
            <w:r>
              <w:rPr>
                <w:b/>
                <w:i/>
                <w:color w:val="000000"/>
                <w:sz w:val="18"/>
                <w:szCs w:val="18"/>
              </w:rPr>
              <w:t xml:space="preserve"> – vidutinė įtaka</w:t>
            </w:r>
          </w:p>
        </w:tc>
        <w:tc>
          <w:tcPr>
            <w:tcW w:w="1350" w:type="dxa"/>
            <w:tcBorders>
              <w:top w:val="single" w:sz="2" w:space="0" w:color="000000"/>
              <w:left w:val="single" w:sz="12" w:space="0" w:color="000000"/>
              <w:bottom w:val="single" w:sz="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3C1AB0">
            <w:pPr>
              <w:widowControl/>
              <w:autoSpaceDE w:val="0"/>
              <w:autoSpaceDN w:val="0"/>
              <w:adjustRightInd w:val="0"/>
              <w:spacing w:after="0" w:line="240" w:lineRule="auto"/>
              <w:ind w:firstLine="0"/>
              <w:contextualSpacing w:val="0"/>
              <w:jc w:val="center"/>
              <w:rPr>
                <w:color w:val="000000"/>
                <w:sz w:val="18"/>
                <w:szCs w:val="18"/>
              </w:rPr>
            </w:pPr>
            <w:r w:rsidRPr="00475AFC">
              <w:rPr>
                <w:color w:val="000000"/>
                <w:sz w:val="18"/>
                <w:szCs w:val="18"/>
              </w:rPr>
              <w:t>12 (22,2 %)</w:t>
            </w:r>
          </w:p>
        </w:tc>
        <w:tc>
          <w:tcPr>
            <w:tcW w:w="1350" w:type="dxa"/>
            <w:tcBorders>
              <w:top w:val="single" w:sz="2" w:space="0" w:color="000000"/>
              <w:left w:val="single" w:sz="12" w:space="0" w:color="000000"/>
              <w:bottom w:val="single" w:sz="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3C1AB0">
            <w:pPr>
              <w:widowControl/>
              <w:autoSpaceDE w:val="0"/>
              <w:autoSpaceDN w:val="0"/>
              <w:adjustRightInd w:val="0"/>
              <w:spacing w:after="0" w:line="240" w:lineRule="auto"/>
              <w:ind w:firstLine="0"/>
              <w:contextualSpacing w:val="0"/>
              <w:jc w:val="center"/>
              <w:rPr>
                <w:color w:val="000000"/>
                <w:sz w:val="18"/>
                <w:szCs w:val="18"/>
              </w:rPr>
            </w:pPr>
            <w:r w:rsidRPr="00475AFC">
              <w:rPr>
                <w:color w:val="000000"/>
                <w:sz w:val="18"/>
                <w:szCs w:val="18"/>
              </w:rPr>
              <w:t>33 (34,7 %)</w:t>
            </w:r>
          </w:p>
        </w:tc>
        <w:tc>
          <w:tcPr>
            <w:tcW w:w="1350" w:type="dxa"/>
            <w:tcBorders>
              <w:top w:val="single" w:sz="2" w:space="0" w:color="000000"/>
              <w:left w:val="single" w:sz="12" w:space="0" w:color="000000"/>
              <w:bottom w:val="single" w:sz="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7A5CFD">
            <w:pPr>
              <w:widowControl/>
              <w:autoSpaceDE w:val="0"/>
              <w:autoSpaceDN w:val="0"/>
              <w:adjustRightInd w:val="0"/>
              <w:spacing w:after="0" w:line="240" w:lineRule="auto"/>
              <w:ind w:firstLine="0"/>
              <w:contextualSpacing w:val="0"/>
              <w:jc w:val="center"/>
              <w:rPr>
                <w:color w:val="FF0000"/>
                <w:sz w:val="18"/>
                <w:szCs w:val="18"/>
              </w:rPr>
            </w:pPr>
            <w:r w:rsidRPr="00475AFC">
              <w:rPr>
                <w:color w:val="FF0000"/>
                <w:sz w:val="18"/>
                <w:szCs w:val="18"/>
              </w:rPr>
              <w:t>32 (37,2 %)</w:t>
            </w:r>
          </w:p>
        </w:tc>
        <w:tc>
          <w:tcPr>
            <w:tcW w:w="1350" w:type="dxa"/>
            <w:tcBorders>
              <w:top w:val="single" w:sz="2" w:space="0" w:color="000000"/>
              <w:left w:val="single" w:sz="12" w:space="0" w:color="000000"/>
              <w:bottom w:val="single" w:sz="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7A5CFD">
            <w:pPr>
              <w:widowControl/>
              <w:autoSpaceDE w:val="0"/>
              <w:autoSpaceDN w:val="0"/>
              <w:adjustRightInd w:val="0"/>
              <w:spacing w:after="0" w:line="240" w:lineRule="auto"/>
              <w:ind w:firstLine="0"/>
              <w:contextualSpacing w:val="0"/>
              <w:jc w:val="center"/>
              <w:rPr>
                <w:color w:val="000000"/>
                <w:sz w:val="18"/>
                <w:szCs w:val="18"/>
              </w:rPr>
            </w:pPr>
            <w:r w:rsidRPr="00475AFC">
              <w:rPr>
                <w:color w:val="000000"/>
                <w:sz w:val="18"/>
                <w:szCs w:val="18"/>
              </w:rPr>
              <w:t>11 (21,2 %)</w:t>
            </w:r>
          </w:p>
        </w:tc>
        <w:tc>
          <w:tcPr>
            <w:tcW w:w="1350" w:type="dxa"/>
            <w:tcBorders>
              <w:top w:val="single" w:sz="2" w:space="0" w:color="000000"/>
              <w:left w:val="single" w:sz="12" w:space="0" w:color="000000"/>
              <w:bottom w:val="single" w:sz="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7A5CFD">
            <w:pPr>
              <w:widowControl/>
              <w:autoSpaceDE w:val="0"/>
              <w:autoSpaceDN w:val="0"/>
              <w:adjustRightInd w:val="0"/>
              <w:spacing w:after="0" w:line="240" w:lineRule="auto"/>
              <w:ind w:firstLine="0"/>
              <w:contextualSpacing w:val="0"/>
              <w:jc w:val="center"/>
              <w:rPr>
                <w:color w:val="000000"/>
                <w:sz w:val="18"/>
                <w:szCs w:val="18"/>
              </w:rPr>
            </w:pPr>
            <w:r w:rsidRPr="00475AFC">
              <w:rPr>
                <w:color w:val="000000"/>
                <w:sz w:val="18"/>
                <w:szCs w:val="18"/>
              </w:rPr>
              <w:t>10 (18,5 %)</w:t>
            </w:r>
          </w:p>
        </w:tc>
        <w:tc>
          <w:tcPr>
            <w:tcW w:w="1080" w:type="dxa"/>
            <w:tcBorders>
              <w:left w:val="single" w:sz="12" w:space="0" w:color="000000"/>
            </w:tcBorders>
            <w:shd w:val="clear" w:color="auto" w:fill="D9D9D9" w:themeFill="background1" w:themeFillShade="D9"/>
            <w:tcMar>
              <w:top w:w="30" w:type="dxa"/>
              <w:left w:w="30" w:type="dxa"/>
              <w:bottom w:w="30" w:type="dxa"/>
              <w:right w:w="30" w:type="dxa"/>
            </w:tcMar>
            <w:vAlign w:val="center"/>
          </w:tcPr>
          <w:p w:rsidR="00712B48" w:rsidRPr="00C95ECB" w:rsidRDefault="00712B48" w:rsidP="007A5CFD">
            <w:pPr>
              <w:widowControl/>
              <w:autoSpaceDE w:val="0"/>
              <w:autoSpaceDN w:val="0"/>
              <w:adjustRightInd w:val="0"/>
              <w:spacing w:after="0" w:line="240" w:lineRule="auto"/>
              <w:ind w:firstLine="0"/>
              <w:contextualSpacing w:val="0"/>
              <w:jc w:val="center"/>
              <w:rPr>
                <w:b/>
                <w:color w:val="000000"/>
                <w:sz w:val="18"/>
                <w:szCs w:val="18"/>
              </w:rPr>
            </w:pPr>
            <w:r w:rsidRPr="00C95ECB">
              <w:rPr>
                <w:b/>
                <w:color w:val="000000"/>
                <w:sz w:val="18"/>
                <w:szCs w:val="18"/>
              </w:rPr>
              <w:t>98</w:t>
            </w:r>
            <w:r>
              <w:rPr>
                <w:b/>
                <w:color w:val="000000"/>
                <w:sz w:val="18"/>
                <w:szCs w:val="18"/>
              </w:rPr>
              <w:t xml:space="preserve"> </w:t>
            </w:r>
            <w:r w:rsidRPr="00C95ECB">
              <w:rPr>
                <w:b/>
                <w:color w:val="000000"/>
                <w:sz w:val="18"/>
                <w:szCs w:val="18"/>
              </w:rPr>
              <w:t>(28,7 %)</w:t>
            </w:r>
          </w:p>
        </w:tc>
      </w:tr>
      <w:tr w:rsidR="00712B48" w:rsidRPr="00834592" w:rsidTr="00475AFC">
        <w:trPr>
          <w:cantSplit/>
          <w:trHeight w:val="46"/>
          <w:tblHeader/>
        </w:trPr>
        <w:tc>
          <w:tcPr>
            <w:tcW w:w="2430" w:type="dxa"/>
            <w:tcBorders>
              <w:right w:val="single" w:sz="12" w:space="0" w:color="000000"/>
            </w:tcBorders>
            <w:shd w:val="clear" w:color="auto" w:fill="D9D9D9" w:themeFill="background1" w:themeFillShade="D9"/>
            <w:tcMar>
              <w:top w:w="30" w:type="dxa"/>
              <w:left w:w="30" w:type="dxa"/>
              <w:bottom w:w="30" w:type="dxa"/>
              <w:right w:w="30" w:type="dxa"/>
            </w:tcMar>
            <w:vAlign w:val="center"/>
          </w:tcPr>
          <w:p w:rsidR="00712B48" w:rsidRPr="00166980" w:rsidRDefault="00712B48" w:rsidP="00D7479C">
            <w:pPr>
              <w:widowControl/>
              <w:autoSpaceDE w:val="0"/>
              <w:autoSpaceDN w:val="0"/>
              <w:adjustRightInd w:val="0"/>
              <w:spacing w:after="0" w:line="240" w:lineRule="auto"/>
              <w:ind w:firstLine="0"/>
              <w:contextualSpacing w:val="0"/>
              <w:jc w:val="left"/>
              <w:rPr>
                <w:b/>
                <w:i/>
                <w:color w:val="000000"/>
                <w:sz w:val="18"/>
                <w:szCs w:val="18"/>
              </w:rPr>
            </w:pPr>
            <w:r w:rsidRPr="00166980">
              <w:rPr>
                <w:b/>
                <w:i/>
                <w:color w:val="000000"/>
                <w:sz w:val="18"/>
                <w:szCs w:val="18"/>
              </w:rPr>
              <w:t>4</w:t>
            </w:r>
            <w:r>
              <w:rPr>
                <w:b/>
                <w:i/>
                <w:color w:val="000000"/>
                <w:sz w:val="18"/>
                <w:szCs w:val="18"/>
              </w:rPr>
              <w:t xml:space="preserve"> – </w:t>
            </w:r>
            <w:r w:rsidRPr="00166980">
              <w:rPr>
                <w:b/>
                <w:i/>
                <w:color w:val="000000"/>
                <w:sz w:val="18"/>
                <w:szCs w:val="18"/>
              </w:rPr>
              <w:t>maža įtaka</w:t>
            </w:r>
          </w:p>
        </w:tc>
        <w:tc>
          <w:tcPr>
            <w:tcW w:w="1350" w:type="dxa"/>
            <w:tcBorders>
              <w:top w:val="single" w:sz="2" w:space="0" w:color="000000"/>
              <w:left w:val="single" w:sz="12" w:space="0" w:color="000000"/>
              <w:bottom w:val="single" w:sz="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3C1AB0">
            <w:pPr>
              <w:widowControl/>
              <w:autoSpaceDE w:val="0"/>
              <w:autoSpaceDN w:val="0"/>
              <w:adjustRightInd w:val="0"/>
              <w:spacing w:after="0" w:line="240" w:lineRule="auto"/>
              <w:ind w:firstLine="0"/>
              <w:contextualSpacing w:val="0"/>
              <w:jc w:val="center"/>
              <w:rPr>
                <w:color w:val="FF0000"/>
                <w:sz w:val="18"/>
                <w:szCs w:val="18"/>
              </w:rPr>
            </w:pPr>
            <w:r w:rsidRPr="00475AFC">
              <w:rPr>
                <w:color w:val="FF0000"/>
                <w:sz w:val="18"/>
                <w:szCs w:val="18"/>
              </w:rPr>
              <w:t>16 (29,6 %)</w:t>
            </w:r>
          </w:p>
        </w:tc>
        <w:tc>
          <w:tcPr>
            <w:tcW w:w="1350" w:type="dxa"/>
            <w:tcBorders>
              <w:top w:val="single" w:sz="2" w:space="0" w:color="000000"/>
              <w:left w:val="single" w:sz="12" w:space="0" w:color="000000"/>
              <w:bottom w:val="single" w:sz="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3C1AB0">
            <w:pPr>
              <w:widowControl/>
              <w:autoSpaceDE w:val="0"/>
              <w:autoSpaceDN w:val="0"/>
              <w:adjustRightInd w:val="0"/>
              <w:spacing w:after="0" w:line="240" w:lineRule="auto"/>
              <w:ind w:firstLine="0"/>
              <w:contextualSpacing w:val="0"/>
              <w:jc w:val="center"/>
              <w:rPr>
                <w:color w:val="000000"/>
                <w:sz w:val="18"/>
                <w:szCs w:val="18"/>
              </w:rPr>
            </w:pPr>
            <w:r w:rsidRPr="00475AFC">
              <w:rPr>
                <w:color w:val="000000"/>
                <w:sz w:val="18"/>
                <w:szCs w:val="18"/>
              </w:rPr>
              <w:t>25 (26,3 %)</w:t>
            </w:r>
          </w:p>
        </w:tc>
        <w:tc>
          <w:tcPr>
            <w:tcW w:w="1350" w:type="dxa"/>
            <w:tcBorders>
              <w:top w:val="single" w:sz="2" w:space="0" w:color="000000"/>
              <w:left w:val="single" w:sz="12" w:space="0" w:color="000000"/>
              <w:bottom w:val="single" w:sz="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7A5CFD">
            <w:pPr>
              <w:widowControl/>
              <w:autoSpaceDE w:val="0"/>
              <w:autoSpaceDN w:val="0"/>
              <w:adjustRightInd w:val="0"/>
              <w:spacing w:after="0" w:line="240" w:lineRule="auto"/>
              <w:ind w:firstLine="0"/>
              <w:contextualSpacing w:val="0"/>
              <w:jc w:val="center"/>
              <w:rPr>
                <w:color w:val="000000"/>
                <w:sz w:val="18"/>
                <w:szCs w:val="18"/>
              </w:rPr>
            </w:pPr>
            <w:r w:rsidRPr="00475AFC">
              <w:rPr>
                <w:color w:val="000000"/>
                <w:sz w:val="18"/>
                <w:szCs w:val="18"/>
              </w:rPr>
              <w:t>24 (27,9 %)</w:t>
            </w:r>
          </w:p>
        </w:tc>
        <w:tc>
          <w:tcPr>
            <w:tcW w:w="1350" w:type="dxa"/>
            <w:tcBorders>
              <w:top w:val="single" w:sz="2" w:space="0" w:color="000000"/>
              <w:left w:val="single" w:sz="12" w:space="0" w:color="000000"/>
              <w:bottom w:val="single" w:sz="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7A5CFD">
            <w:pPr>
              <w:widowControl/>
              <w:autoSpaceDE w:val="0"/>
              <w:autoSpaceDN w:val="0"/>
              <w:adjustRightInd w:val="0"/>
              <w:spacing w:after="0" w:line="240" w:lineRule="auto"/>
              <w:ind w:firstLine="0"/>
              <w:contextualSpacing w:val="0"/>
              <w:jc w:val="center"/>
              <w:rPr>
                <w:color w:val="000000"/>
                <w:sz w:val="18"/>
                <w:szCs w:val="18"/>
              </w:rPr>
            </w:pPr>
            <w:r w:rsidRPr="00475AFC">
              <w:rPr>
                <w:color w:val="000000"/>
                <w:sz w:val="18"/>
                <w:szCs w:val="18"/>
              </w:rPr>
              <w:t>9 (17,3 %)</w:t>
            </w:r>
          </w:p>
        </w:tc>
        <w:tc>
          <w:tcPr>
            <w:tcW w:w="1350" w:type="dxa"/>
            <w:tcBorders>
              <w:top w:val="single" w:sz="2" w:space="0" w:color="000000"/>
              <w:left w:val="single" w:sz="12" w:space="0" w:color="000000"/>
              <w:bottom w:val="single" w:sz="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7A5CFD">
            <w:pPr>
              <w:widowControl/>
              <w:autoSpaceDE w:val="0"/>
              <w:autoSpaceDN w:val="0"/>
              <w:adjustRightInd w:val="0"/>
              <w:spacing w:after="0" w:line="240" w:lineRule="auto"/>
              <w:ind w:firstLine="0"/>
              <w:contextualSpacing w:val="0"/>
              <w:jc w:val="center"/>
              <w:rPr>
                <w:color w:val="000000"/>
                <w:sz w:val="18"/>
                <w:szCs w:val="18"/>
              </w:rPr>
            </w:pPr>
            <w:r w:rsidRPr="00475AFC">
              <w:rPr>
                <w:color w:val="000000"/>
                <w:sz w:val="18"/>
                <w:szCs w:val="18"/>
              </w:rPr>
              <w:t>9 (16,7 %)</w:t>
            </w:r>
          </w:p>
        </w:tc>
        <w:tc>
          <w:tcPr>
            <w:tcW w:w="1080" w:type="dxa"/>
            <w:tcBorders>
              <w:left w:val="single" w:sz="12" w:space="0" w:color="000000"/>
            </w:tcBorders>
            <w:shd w:val="clear" w:color="auto" w:fill="D9D9D9" w:themeFill="background1" w:themeFillShade="D9"/>
            <w:tcMar>
              <w:top w:w="30" w:type="dxa"/>
              <w:left w:w="30" w:type="dxa"/>
              <w:bottom w:w="30" w:type="dxa"/>
              <w:right w:w="30" w:type="dxa"/>
            </w:tcMar>
            <w:vAlign w:val="center"/>
          </w:tcPr>
          <w:p w:rsidR="00712B48" w:rsidRPr="00C95ECB" w:rsidRDefault="00712B48" w:rsidP="007A5CFD">
            <w:pPr>
              <w:widowControl/>
              <w:autoSpaceDE w:val="0"/>
              <w:autoSpaceDN w:val="0"/>
              <w:adjustRightInd w:val="0"/>
              <w:spacing w:after="0" w:line="240" w:lineRule="auto"/>
              <w:ind w:firstLine="0"/>
              <w:contextualSpacing w:val="0"/>
              <w:jc w:val="center"/>
              <w:rPr>
                <w:b/>
                <w:color w:val="000000"/>
                <w:sz w:val="18"/>
                <w:szCs w:val="18"/>
              </w:rPr>
            </w:pPr>
            <w:r w:rsidRPr="00C95ECB">
              <w:rPr>
                <w:b/>
                <w:color w:val="000000"/>
                <w:sz w:val="18"/>
                <w:szCs w:val="18"/>
              </w:rPr>
              <w:t>83</w:t>
            </w:r>
            <w:r>
              <w:rPr>
                <w:b/>
                <w:color w:val="000000"/>
                <w:sz w:val="18"/>
                <w:szCs w:val="18"/>
              </w:rPr>
              <w:t xml:space="preserve"> </w:t>
            </w:r>
            <w:r w:rsidRPr="00C95ECB">
              <w:rPr>
                <w:b/>
                <w:color w:val="000000"/>
                <w:sz w:val="18"/>
                <w:szCs w:val="18"/>
              </w:rPr>
              <w:t>(24,3 %)</w:t>
            </w:r>
          </w:p>
        </w:tc>
      </w:tr>
      <w:tr w:rsidR="00712B48" w:rsidRPr="00834592" w:rsidTr="00475AFC">
        <w:trPr>
          <w:cantSplit/>
          <w:trHeight w:val="136"/>
          <w:tblHeader/>
        </w:trPr>
        <w:tc>
          <w:tcPr>
            <w:tcW w:w="2430" w:type="dxa"/>
            <w:tcBorders>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712B48" w:rsidRPr="00166980" w:rsidRDefault="00712B48" w:rsidP="00D7479C">
            <w:pPr>
              <w:widowControl/>
              <w:autoSpaceDE w:val="0"/>
              <w:autoSpaceDN w:val="0"/>
              <w:adjustRightInd w:val="0"/>
              <w:spacing w:after="0" w:line="240" w:lineRule="auto"/>
              <w:ind w:firstLine="0"/>
              <w:contextualSpacing w:val="0"/>
              <w:jc w:val="left"/>
              <w:rPr>
                <w:b/>
                <w:i/>
                <w:color w:val="000000"/>
                <w:sz w:val="18"/>
                <w:szCs w:val="18"/>
              </w:rPr>
            </w:pPr>
            <w:r w:rsidRPr="00166980">
              <w:rPr>
                <w:b/>
                <w:i/>
                <w:color w:val="000000"/>
                <w:sz w:val="18"/>
                <w:szCs w:val="18"/>
              </w:rPr>
              <w:t>5</w:t>
            </w:r>
            <w:r>
              <w:rPr>
                <w:b/>
                <w:i/>
                <w:color w:val="000000"/>
                <w:sz w:val="18"/>
                <w:szCs w:val="18"/>
              </w:rPr>
              <w:t xml:space="preserve"> – labai maža įtaka</w:t>
            </w:r>
          </w:p>
        </w:tc>
        <w:tc>
          <w:tcPr>
            <w:tcW w:w="1350" w:type="dxa"/>
            <w:tcBorders>
              <w:top w:val="single" w:sz="2" w:space="0" w:color="000000"/>
              <w:left w:val="single" w:sz="12" w:space="0" w:color="000000"/>
              <w:bottom w:val="single" w:sz="1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3C1AB0">
            <w:pPr>
              <w:widowControl/>
              <w:autoSpaceDE w:val="0"/>
              <w:autoSpaceDN w:val="0"/>
              <w:adjustRightInd w:val="0"/>
              <w:spacing w:after="0" w:line="240" w:lineRule="auto"/>
              <w:ind w:firstLine="0"/>
              <w:contextualSpacing w:val="0"/>
              <w:jc w:val="center"/>
              <w:rPr>
                <w:color w:val="FF0000"/>
                <w:sz w:val="18"/>
                <w:szCs w:val="18"/>
              </w:rPr>
            </w:pPr>
            <w:r w:rsidRPr="00475AFC">
              <w:rPr>
                <w:color w:val="FF0000"/>
                <w:sz w:val="18"/>
                <w:szCs w:val="18"/>
              </w:rPr>
              <w:t>15 (27,8 %)</w:t>
            </w:r>
          </w:p>
        </w:tc>
        <w:tc>
          <w:tcPr>
            <w:tcW w:w="1350" w:type="dxa"/>
            <w:tcBorders>
              <w:top w:val="single" w:sz="2" w:space="0" w:color="000000"/>
              <w:left w:val="single" w:sz="12" w:space="0" w:color="000000"/>
              <w:bottom w:val="single" w:sz="1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3C1AB0">
            <w:pPr>
              <w:widowControl/>
              <w:autoSpaceDE w:val="0"/>
              <w:autoSpaceDN w:val="0"/>
              <w:adjustRightInd w:val="0"/>
              <w:spacing w:after="0" w:line="240" w:lineRule="auto"/>
              <w:ind w:firstLine="0"/>
              <w:contextualSpacing w:val="0"/>
              <w:jc w:val="center"/>
              <w:rPr>
                <w:color w:val="000000"/>
                <w:sz w:val="18"/>
                <w:szCs w:val="18"/>
              </w:rPr>
            </w:pPr>
            <w:r w:rsidRPr="00475AFC">
              <w:rPr>
                <w:color w:val="000000"/>
                <w:sz w:val="18"/>
                <w:szCs w:val="18"/>
              </w:rPr>
              <w:t>21 (22,1 %)</w:t>
            </w:r>
          </w:p>
        </w:tc>
        <w:tc>
          <w:tcPr>
            <w:tcW w:w="1350" w:type="dxa"/>
            <w:tcBorders>
              <w:top w:val="single" w:sz="2" w:space="0" w:color="000000"/>
              <w:left w:val="single" w:sz="12" w:space="0" w:color="000000"/>
              <w:bottom w:val="single" w:sz="1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7A5CFD">
            <w:pPr>
              <w:widowControl/>
              <w:autoSpaceDE w:val="0"/>
              <w:autoSpaceDN w:val="0"/>
              <w:adjustRightInd w:val="0"/>
              <w:spacing w:after="0" w:line="240" w:lineRule="auto"/>
              <w:ind w:firstLine="0"/>
              <w:contextualSpacing w:val="0"/>
              <w:jc w:val="center"/>
              <w:rPr>
                <w:color w:val="000000"/>
                <w:sz w:val="18"/>
                <w:szCs w:val="18"/>
              </w:rPr>
            </w:pPr>
            <w:r w:rsidRPr="00475AFC">
              <w:rPr>
                <w:color w:val="000000"/>
                <w:sz w:val="18"/>
                <w:szCs w:val="18"/>
              </w:rPr>
              <w:t>14 (16,3 %)</w:t>
            </w:r>
          </w:p>
        </w:tc>
        <w:tc>
          <w:tcPr>
            <w:tcW w:w="1350" w:type="dxa"/>
            <w:tcBorders>
              <w:top w:val="single" w:sz="2" w:space="0" w:color="000000"/>
              <w:left w:val="single" w:sz="12" w:space="0" w:color="000000"/>
              <w:bottom w:val="single" w:sz="1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7A5CFD">
            <w:pPr>
              <w:widowControl/>
              <w:autoSpaceDE w:val="0"/>
              <w:autoSpaceDN w:val="0"/>
              <w:adjustRightInd w:val="0"/>
              <w:spacing w:after="0" w:line="240" w:lineRule="auto"/>
              <w:ind w:firstLine="0"/>
              <w:contextualSpacing w:val="0"/>
              <w:jc w:val="center"/>
              <w:rPr>
                <w:color w:val="000000"/>
                <w:sz w:val="18"/>
                <w:szCs w:val="18"/>
              </w:rPr>
            </w:pPr>
            <w:r w:rsidRPr="00475AFC">
              <w:rPr>
                <w:color w:val="000000"/>
                <w:sz w:val="18"/>
                <w:szCs w:val="18"/>
              </w:rPr>
              <w:t>10 (19,2 %)</w:t>
            </w:r>
          </w:p>
        </w:tc>
        <w:tc>
          <w:tcPr>
            <w:tcW w:w="1350" w:type="dxa"/>
            <w:tcBorders>
              <w:top w:val="single" w:sz="2" w:space="0" w:color="000000"/>
              <w:left w:val="single" w:sz="12" w:space="0" w:color="000000"/>
              <w:bottom w:val="single" w:sz="12" w:space="0" w:color="000000"/>
              <w:right w:val="single" w:sz="12" w:space="0" w:color="000000"/>
            </w:tcBorders>
            <w:shd w:val="clear" w:color="auto" w:fill="auto"/>
            <w:tcMar>
              <w:top w:w="30" w:type="dxa"/>
              <w:left w:w="30" w:type="dxa"/>
              <w:bottom w:w="30" w:type="dxa"/>
              <w:right w:w="30" w:type="dxa"/>
            </w:tcMar>
            <w:vAlign w:val="center"/>
          </w:tcPr>
          <w:p w:rsidR="00712B48" w:rsidRPr="00475AFC" w:rsidRDefault="00712B48" w:rsidP="007A5CFD">
            <w:pPr>
              <w:widowControl/>
              <w:autoSpaceDE w:val="0"/>
              <w:autoSpaceDN w:val="0"/>
              <w:adjustRightInd w:val="0"/>
              <w:spacing w:after="0" w:line="240" w:lineRule="auto"/>
              <w:ind w:firstLine="0"/>
              <w:contextualSpacing w:val="0"/>
              <w:jc w:val="center"/>
              <w:rPr>
                <w:color w:val="000000"/>
                <w:sz w:val="18"/>
                <w:szCs w:val="18"/>
              </w:rPr>
            </w:pPr>
            <w:r w:rsidRPr="00475AFC">
              <w:rPr>
                <w:color w:val="000000"/>
                <w:sz w:val="18"/>
                <w:szCs w:val="18"/>
              </w:rPr>
              <w:t>8 (14,8 %)</w:t>
            </w:r>
          </w:p>
        </w:tc>
        <w:tc>
          <w:tcPr>
            <w:tcW w:w="1080" w:type="dxa"/>
            <w:tcBorders>
              <w:left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center"/>
          </w:tcPr>
          <w:p w:rsidR="00712B48" w:rsidRPr="00C95ECB" w:rsidRDefault="00712B48" w:rsidP="007A5CFD">
            <w:pPr>
              <w:widowControl/>
              <w:autoSpaceDE w:val="0"/>
              <w:autoSpaceDN w:val="0"/>
              <w:adjustRightInd w:val="0"/>
              <w:spacing w:after="0" w:line="240" w:lineRule="auto"/>
              <w:ind w:firstLine="0"/>
              <w:contextualSpacing w:val="0"/>
              <w:jc w:val="center"/>
              <w:rPr>
                <w:b/>
                <w:color w:val="000000"/>
                <w:sz w:val="18"/>
                <w:szCs w:val="18"/>
              </w:rPr>
            </w:pPr>
            <w:r w:rsidRPr="00C95ECB">
              <w:rPr>
                <w:b/>
                <w:color w:val="000000"/>
                <w:sz w:val="18"/>
                <w:szCs w:val="18"/>
              </w:rPr>
              <w:t>68</w:t>
            </w:r>
            <w:r>
              <w:rPr>
                <w:b/>
                <w:color w:val="000000"/>
                <w:sz w:val="18"/>
                <w:szCs w:val="18"/>
              </w:rPr>
              <w:t xml:space="preserve"> </w:t>
            </w:r>
            <w:r w:rsidRPr="00C95ECB">
              <w:rPr>
                <w:b/>
                <w:color w:val="000000"/>
                <w:sz w:val="18"/>
                <w:szCs w:val="18"/>
              </w:rPr>
              <w:t>(19,9 %)</w:t>
            </w:r>
          </w:p>
        </w:tc>
      </w:tr>
      <w:tr w:rsidR="000C2ADD" w:rsidRPr="008F4E1E" w:rsidTr="00712B48">
        <w:trPr>
          <w:cantSplit/>
          <w:trHeight w:val="20"/>
          <w:tblHeader/>
        </w:trPr>
        <w:tc>
          <w:tcPr>
            <w:tcW w:w="2430" w:type="dxa"/>
            <w:tcBorders>
              <w:top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0C2ADD" w:rsidRPr="008F4E1E" w:rsidRDefault="000C2ADD" w:rsidP="00834592">
            <w:pPr>
              <w:widowControl/>
              <w:autoSpaceDE w:val="0"/>
              <w:autoSpaceDN w:val="0"/>
              <w:adjustRightInd w:val="0"/>
              <w:spacing w:after="0" w:line="240" w:lineRule="auto"/>
              <w:ind w:firstLine="0"/>
              <w:contextualSpacing w:val="0"/>
              <w:jc w:val="right"/>
              <w:rPr>
                <w:b/>
                <w:i/>
                <w:color w:val="000000"/>
                <w:sz w:val="17"/>
                <w:szCs w:val="17"/>
              </w:rPr>
            </w:pPr>
            <w:r w:rsidRPr="008F4E1E">
              <w:rPr>
                <w:b/>
                <w:i/>
                <w:color w:val="000000"/>
                <w:sz w:val="17"/>
                <w:szCs w:val="17"/>
              </w:rPr>
              <w:t>Iš viso:</w:t>
            </w: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0C2ADD" w:rsidRPr="008F4E1E" w:rsidRDefault="000C2ADD" w:rsidP="003C1AB0">
            <w:pPr>
              <w:widowControl/>
              <w:autoSpaceDE w:val="0"/>
              <w:autoSpaceDN w:val="0"/>
              <w:adjustRightInd w:val="0"/>
              <w:spacing w:after="0" w:line="240" w:lineRule="auto"/>
              <w:ind w:firstLine="0"/>
              <w:contextualSpacing w:val="0"/>
              <w:jc w:val="center"/>
              <w:rPr>
                <w:b/>
                <w:color w:val="000000"/>
                <w:sz w:val="17"/>
                <w:szCs w:val="17"/>
              </w:rPr>
            </w:pPr>
            <w:r w:rsidRPr="008F4E1E">
              <w:rPr>
                <w:b/>
                <w:color w:val="000000"/>
                <w:sz w:val="17"/>
                <w:szCs w:val="17"/>
              </w:rPr>
              <w:t>54</w:t>
            </w:r>
            <w:r w:rsidR="00712B48">
              <w:rPr>
                <w:b/>
                <w:color w:val="000000"/>
                <w:sz w:val="17"/>
                <w:szCs w:val="17"/>
              </w:rPr>
              <w:t xml:space="preserve"> </w:t>
            </w:r>
            <w:r w:rsidR="003C1AB0" w:rsidRPr="008F4E1E">
              <w:rPr>
                <w:b/>
                <w:color w:val="000000"/>
                <w:sz w:val="17"/>
                <w:szCs w:val="17"/>
              </w:rPr>
              <w:t>(</w:t>
            </w:r>
            <w:r w:rsidRPr="008F4E1E">
              <w:rPr>
                <w:b/>
                <w:color w:val="000000"/>
                <w:sz w:val="17"/>
                <w:szCs w:val="17"/>
              </w:rPr>
              <w:t>100,0</w:t>
            </w:r>
            <w:r w:rsidR="003C1AB0" w:rsidRPr="008F4E1E">
              <w:rPr>
                <w:b/>
                <w:color w:val="000000"/>
                <w:sz w:val="17"/>
                <w:szCs w:val="17"/>
              </w:rPr>
              <w:t xml:space="preserve"> </w:t>
            </w:r>
            <w:r w:rsidRPr="008F4E1E">
              <w:rPr>
                <w:b/>
                <w:color w:val="000000"/>
                <w:sz w:val="17"/>
                <w:szCs w:val="17"/>
              </w:rPr>
              <w:t>%</w:t>
            </w:r>
            <w:r w:rsidR="003C1AB0" w:rsidRPr="008F4E1E">
              <w:rPr>
                <w:b/>
                <w:color w:val="000000"/>
                <w:sz w:val="17"/>
                <w:szCs w:val="17"/>
              </w:rPr>
              <w:t>)</w:t>
            </w: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0C2ADD" w:rsidRPr="008F4E1E" w:rsidRDefault="000C2ADD" w:rsidP="003C1AB0">
            <w:pPr>
              <w:widowControl/>
              <w:autoSpaceDE w:val="0"/>
              <w:autoSpaceDN w:val="0"/>
              <w:adjustRightInd w:val="0"/>
              <w:spacing w:after="0" w:line="240" w:lineRule="auto"/>
              <w:ind w:firstLine="0"/>
              <w:contextualSpacing w:val="0"/>
              <w:jc w:val="center"/>
              <w:rPr>
                <w:b/>
                <w:color w:val="000000"/>
                <w:sz w:val="17"/>
                <w:szCs w:val="17"/>
              </w:rPr>
            </w:pPr>
            <w:r w:rsidRPr="008F4E1E">
              <w:rPr>
                <w:b/>
                <w:color w:val="000000"/>
                <w:sz w:val="17"/>
                <w:szCs w:val="17"/>
              </w:rPr>
              <w:t>95</w:t>
            </w:r>
            <w:r w:rsidR="00712B48">
              <w:rPr>
                <w:b/>
                <w:color w:val="000000"/>
                <w:sz w:val="17"/>
                <w:szCs w:val="17"/>
              </w:rPr>
              <w:t xml:space="preserve"> </w:t>
            </w:r>
            <w:r w:rsidR="003C1AB0" w:rsidRPr="008F4E1E">
              <w:rPr>
                <w:b/>
                <w:color w:val="000000"/>
                <w:sz w:val="17"/>
                <w:szCs w:val="17"/>
              </w:rPr>
              <w:t>(</w:t>
            </w:r>
            <w:r w:rsidRPr="008F4E1E">
              <w:rPr>
                <w:b/>
                <w:color w:val="000000"/>
                <w:sz w:val="17"/>
                <w:szCs w:val="17"/>
              </w:rPr>
              <w:t>100,0</w:t>
            </w:r>
            <w:r w:rsidR="003C1AB0" w:rsidRPr="008F4E1E">
              <w:rPr>
                <w:b/>
                <w:color w:val="000000"/>
                <w:sz w:val="17"/>
                <w:szCs w:val="17"/>
              </w:rPr>
              <w:t xml:space="preserve"> </w:t>
            </w:r>
            <w:r w:rsidRPr="008F4E1E">
              <w:rPr>
                <w:b/>
                <w:color w:val="000000"/>
                <w:sz w:val="17"/>
                <w:szCs w:val="17"/>
              </w:rPr>
              <w:t>%</w:t>
            </w:r>
            <w:r w:rsidR="003C1AB0" w:rsidRPr="008F4E1E">
              <w:rPr>
                <w:b/>
                <w:color w:val="000000"/>
                <w:sz w:val="17"/>
                <w:szCs w:val="17"/>
              </w:rPr>
              <w:t>)</w:t>
            </w: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0C2ADD" w:rsidRPr="008F4E1E" w:rsidRDefault="000C2ADD" w:rsidP="007A5CFD">
            <w:pPr>
              <w:widowControl/>
              <w:autoSpaceDE w:val="0"/>
              <w:autoSpaceDN w:val="0"/>
              <w:adjustRightInd w:val="0"/>
              <w:spacing w:after="0" w:line="240" w:lineRule="auto"/>
              <w:ind w:firstLine="0"/>
              <w:contextualSpacing w:val="0"/>
              <w:jc w:val="center"/>
              <w:rPr>
                <w:b/>
                <w:color w:val="000000"/>
                <w:sz w:val="17"/>
                <w:szCs w:val="17"/>
              </w:rPr>
            </w:pPr>
            <w:r w:rsidRPr="008F4E1E">
              <w:rPr>
                <w:b/>
                <w:color w:val="000000"/>
                <w:sz w:val="17"/>
                <w:szCs w:val="17"/>
              </w:rPr>
              <w:t>86</w:t>
            </w:r>
            <w:r w:rsidR="00712B48">
              <w:rPr>
                <w:b/>
                <w:color w:val="000000"/>
                <w:sz w:val="17"/>
                <w:szCs w:val="17"/>
              </w:rPr>
              <w:t xml:space="preserve"> </w:t>
            </w:r>
            <w:r w:rsidR="007A5CFD" w:rsidRPr="008F4E1E">
              <w:rPr>
                <w:b/>
                <w:color w:val="000000"/>
                <w:sz w:val="17"/>
                <w:szCs w:val="17"/>
              </w:rPr>
              <w:t>(</w:t>
            </w:r>
            <w:r w:rsidRPr="008F4E1E">
              <w:rPr>
                <w:b/>
                <w:color w:val="000000"/>
                <w:sz w:val="17"/>
                <w:szCs w:val="17"/>
              </w:rPr>
              <w:t>100,0</w:t>
            </w:r>
            <w:r w:rsidR="007A5CFD" w:rsidRPr="008F4E1E">
              <w:rPr>
                <w:b/>
                <w:color w:val="000000"/>
                <w:sz w:val="17"/>
                <w:szCs w:val="17"/>
              </w:rPr>
              <w:t xml:space="preserve"> </w:t>
            </w:r>
            <w:r w:rsidRPr="008F4E1E">
              <w:rPr>
                <w:b/>
                <w:color w:val="000000"/>
                <w:sz w:val="17"/>
                <w:szCs w:val="17"/>
              </w:rPr>
              <w:t>%</w:t>
            </w:r>
            <w:r w:rsidR="007A5CFD" w:rsidRPr="008F4E1E">
              <w:rPr>
                <w:b/>
                <w:color w:val="000000"/>
                <w:sz w:val="17"/>
                <w:szCs w:val="17"/>
              </w:rPr>
              <w:t>)</w:t>
            </w: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0C2ADD" w:rsidRPr="008F4E1E" w:rsidRDefault="000C2ADD" w:rsidP="007A5CFD">
            <w:pPr>
              <w:widowControl/>
              <w:autoSpaceDE w:val="0"/>
              <w:autoSpaceDN w:val="0"/>
              <w:adjustRightInd w:val="0"/>
              <w:spacing w:after="0" w:line="240" w:lineRule="auto"/>
              <w:ind w:firstLine="0"/>
              <w:contextualSpacing w:val="0"/>
              <w:jc w:val="center"/>
              <w:rPr>
                <w:b/>
                <w:color w:val="000000"/>
                <w:sz w:val="17"/>
                <w:szCs w:val="17"/>
              </w:rPr>
            </w:pPr>
            <w:r w:rsidRPr="008F4E1E">
              <w:rPr>
                <w:b/>
                <w:color w:val="000000"/>
                <w:sz w:val="17"/>
                <w:szCs w:val="17"/>
              </w:rPr>
              <w:t>52</w:t>
            </w:r>
            <w:r w:rsidR="00712B48">
              <w:rPr>
                <w:b/>
                <w:color w:val="000000"/>
                <w:sz w:val="17"/>
                <w:szCs w:val="17"/>
              </w:rPr>
              <w:t xml:space="preserve"> </w:t>
            </w:r>
            <w:r w:rsidR="007A5CFD" w:rsidRPr="008F4E1E">
              <w:rPr>
                <w:b/>
                <w:color w:val="000000"/>
                <w:sz w:val="17"/>
                <w:szCs w:val="17"/>
              </w:rPr>
              <w:t>(</w:t>
            </w:r>
            <w:r w:rsidRPr="008F4E1E">
              <w:rPr>
                <w:b/>
                <w:color w:val="000000"/>
                <w:sz w:val="17"/>
                <w:szCs w:val="17"/>
              </w:rPr>
              <w:t>100,0</w:t>
            </w:r>
            <w:r w:rsidR="007A5CFD" w:rsidRPr="008F4E1E">
              <w:rPr>
                <w:b/>
                <w:color w:val="000000"/>
                <w:sz w:val="17"/>
                <w:szCs w:val="17"/>
              </w:rPr>
              <w:t xml:space="preserve"> </w:t>
            </w:r>
            <w:r w:rsidRPr="008F4E1E">
              <w:rPr>
                <w:b/>
                <w:color w:val="000000"/>
                <w:sz w:val="17"/>
                <w:szCs w:val="17"/>
              </w:rPr>
              <w:t>%</w:t>
            </w:r>
            <w:r w:rsidR="007A5CFD" w:rsidRPr="008F4E1E">
              <w:rPr>
                <w:b/>
                <w:color w:val="000000"/>
                <w:sz w:val="17"/>
                <w:szCs w:val="17"/>
              </w:rPr>
              <w:t>)</w:t>
            </w: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30" w:type="dxa"/>
              <w:left w:w="30" w:type="dxa"/>
              <w:bottom w:w="30" w:type="dxa"/>
              <w:right w:w="30" w:type="dxa"/>
            </w:tcMar>
            <w:vAlign w:val="center"/>
          </w:tcPr>
          <w:p w:rsidR="000C2ADD" w:rsidRPr="008F4E1E" w:rsidRDefault="000C2ADD" w:rsidP="007A5CFD">
            <w:pPr>
              <w:widowControl/>
              <w:autoSpaceDE w:val="0"/>
              <w:autoSpaceDN w:val="0"/>
              <w:adjustRightInd w:val="0"/>
              <w:spacing w:after="0" w:line="240" w:lineRule="auto"/>
              <w:ind w:firstLine="0"/>
              <w:contextualSpacing w:val="0"/>
              <w:jc w:val="center"/>
              <w:rPr>
                <w:b/>
                <w:color w:val="000000"/>
                <w:sz w:val="17"/>
                <w:szCs w:val="17"/>
              </w:rPr>
            </w:pPr>
            <w:r w:rsidRPr="008F4E1E">
              <w:rPr>
                <w:b/>
                <w:color w:val="000000"/>
                <w:sz w:val="17"/>
                <w:szCs w:val="17"/>
              </w:rPr>
              <w:t>54</w:t>
            </w:r>
            <w:r w:rsidR="00712B48">
              <w:rPr>
                <w:b/>
                <w:color w:val="000000"/>
                <w:sz w:val="17"/>
                <w:szCs w:val="17"/>
              </w:rPr>
              <w:t xml:space="preserve"> </w:t>
            </w:r>
            <w:r w:rsidR="007A5CFD" w:rsidRPr="008F4E1E">
              <w:rPr>
                <w:b/>
                <w:color w:val="000000"/>
                <w:sz w:val="17"/>
                <w:szCs w:val="17"/>
              </w:rPr>
              <w:t>(</w:t>
            </w:r>
            <w:r w:rsidRPr="008F4E1E">
              <w:rPr>
                <w:b/>
                <w:color w:val="000000"/>
                <w:sz w:val="17"/>
                <w:szCs w:val="17"/>
              </w:rPr>
              <w:t>100,0</w:t>
            </w:r>
            <w:r w:rsidR="007A5CFD" w:rsidRPr="008F4E1E">
              <w:rPr>
                <w:b/>
                <w:color w:val="000000"/>
                <w:sz w:val="17"/>
                <w:szCs w:val="17"/>
              </w:rPr>
              <w:t xml:space="preserve"> </w:t>
            </w:r>
            <w:r w:rsidRPr="008F4E1E">
              <w:rPr>
                <w:b/>
                <w:color w:val="000000"/>
                <w:sz w:val="17"/>
                <w:szCs w:val="17"/>
              </w:rPr>
              <w:t>%</w:t>
            </w:r>
            <w:r w:rsidR="007A5CFD" w:rsidRPr="008F4E1E">
              <w:rPr>
                <w:b/>
                <w:color w:val="000000"/>
                <w:sz w:val="17"/>
                <w:szCs w:val="17"/>
              </w:rPr>
              <w:t>)</w:t>
            </w:r>
          </w:p>
        </w:tc>
        <w:tc>
          <w:tcPr>
            <w:tcW w:w="1080" w:type="dxa"/>
            <w:tcBorders>
              <w:top w:val="single" w:sz="12" w:space="0" w:color="000000"/>
              <w:left w:val="single" w:sz="12" w:space="0" w:color="000000"/>
              <w:bottom w:val="single" w:sz="12" w:space="0" w:color="000000"/>
            </w:tcBorders>
            <w:shd w:val="clear" w:color="auto" w:fill="D9D9D9" w:themeFill="background1" w:themeFillShade="D9"/>
            <w:tcMar>
              <w:top w:w="30" w:type="dxa"/>
              <w:left w:w="30" w:type="dxa"/>
              <w:bottom w:w="30" w:type="dxa"/>
              <w:right w:w="30" w:type="dxa"/>
            </w:tcMar>
            <w:vAlign w:val="center"/>
          </w:tcPr>
          <w:p w:rsidR="000C2ADD" w:rsidRPr="008F4E1E" w:rsidRDefault="000C2ADD" w:rsidP="007A5CFD">
            <w:pPr>
              <w:widowControl/>
              <w:autoSpaceDE w:val="0"/>
              <w:autoSpaceDN w:val="0"/>
              <w:adjustRightInd w:val="0"/>
              <w:spacing w:after="0" w:line="240" w:lineRule="auto"/>
              <w:ind w:firstLine="0"/>
              <w:contextualSpacing w:val="0"/>
              <w:jc w:val="center"/>
              <w:rPr>
                <w:b/>
                <w:color w:val="000000"/>
                <w:sz w:val="17"/>
                <w:szCs w:val="17"/>
              </w:rPr>
            </w:pPr>
            <w:r w:rsidRPr="008F4E1E">
              <w:rPr>
                <w:b/>
                <w:color w:val="000000"/>
                <w:sz w:val="17"/>
                <w:szCs w:val="17"/>
              </w:rPr>
              <w:t>341</w:t>
            </w:r>
            <w:r w:rsidR="00712B48">
              <w:rPr>
                <w:b/>
                <w:color w:val="000000"/>
                <w:sz w:val="17"/>
                <w:szCs w:val="17"/>
              </w:rPr>
              <w:t xml:space="preserve"> </w:t>
            </w:r>
            <w:r w:rsidR="007A5CFD" w:rsidRPr="008F4E1E">
              <w:rPr>
                <w:b/>
                <w:color w:val="000000"/>
                <w:sz w:val="17"/>
                <w:szCs w:val="17"/>
              </w:rPr>
              <w:t>(</w:t>
            </w:r>
            <w:r w:rsidRPr="008F4E1E">
              <w:rPr>
                <w:b/>
                <w:color w:val="000000"/>
                <w:sz w:val="17"/>
                <w:szCs w:val="17"/>
              </w:rPr>
              <w:t>100,0</w:t>
            </w:r>
            <w:r w:rsidR="007A5CFD" w:rsidRPr="008F4E1E">
              <w:rPr>
                <w:b/>
                <w:color w:val="000000"/>
                <w:sz w:val="17"/>
                <w:szCs w:val="17"/>
              </w:rPr>
              <w:t xml:space="preserve"> </w:t>
            </w:r>
            <w:r w:rsidRPr="008F4E1E">
              <w:rPr>
                <w:b/>
                <w:color w:val="000000"/>
                <w:sz w:val="17"/>
                <w:szCs w:val="17"/>
              </w:rPr>
              <w:t>%</w:t>
            </w:r>
            <w:r w:rsidR="007A5CFD" w:rsidRPr="008F4E1E">
              <w:rPr>
                <w:b/>
                <w:color w:val="000000"/>
                <w:sz w:val="17"/>
                <w:szCs w:val="17"/>
              </w:rPr>
              <w:t>)</w:t>
            </w:r>
          </w:p>
        </w:tc>
      </w:tr>
    </w:tbl>
    <w:p w:rsidR="00F62CDC" w:rsidRPr="000D1648" w:rsidRDefault="000D1648" w:rsidP="000D1648">
      <w:pPr>
        <w:rPr>
          <w:sz w:val="20"/>
        </w:rPr>
      </w:pPr>
      <w:r w:rsidRPr="000D1648">
        <w:rPr>
          <w:b/>
          <w:sz w:val="20"/>
        </w:rPr>
        <w:t>Šaltinis</w:t>
      </w:r>
      <w:r w:rsidRPr="000D1648">
        <w:rPr>
          <w:sz w:val="20"/>
        </w:rPr>
        <w:t>: sudaryta šio darbo autorės</w:t>
      </w:r>
      <w:r w:rsidR="00475AFC">
        <w:rPr>
          <w:sz w:val="20"/>
        </w:rPr>
        <w:t>, remiantis apklausos rezultatais</w:t>
      </w:r>
    </w:p>
    <w:p w:rsidR="00F62CDC" w:rsidRPr="00DA1FA5" w:rsidRDefault="001B2675" w:rsidP="00732CF2">
      <w:r w:rsidRPr="00DA1FA5">
        <w:t>Kaip matyti iš lentelės, išmokos mokėjimo trukmės veiksnys</w:t>
      </w:r>
      <w:r w:rsidR="008F0CB4" w:rsidRPr="00DA1FA5">
        <w:t xml:space="preserve"> labiau reiškės</w:t>
      </w:r>
      <w:r w:rsidR="004678ED" w:rsidRPr="00DA1FA5">
        <w:t xml:space="preserve">i pas tuos asmenis, kurie darbo ar pajamų </w:t>
      </w:r>
      <w:r w:rsidR="008F0CB4" w:rsidRPr="00DA1FA5">
        <w:t>šaltinio neturėjo</w:t>
      </w:r>
      <w:r w:rsidR="004678ED" w:rsidRPr="00DA1FA5">
        <w:t xml:space="preserve"> </w:t>
      </w:r>
      <w:r w:rsidR="00216C87" w:rsidRPr="00DA1FA5">
        <w:t xml:space="preserve">daugiau </w:t>
      </w:r>
      <w:r w:rsidR="004678ED" w:rsidRPr="00DA1FA5">
        <w:t>kaip metus</w:t>
      </w:r>
      <w:r w:rsidR="00216C87" w:rsidRPr="00DA1FA5">
        <w:t>, ir</w:t>
      </w:r>
      <w:r w:rsidR="008F0CB4" w:rsidRPr="00DA1FA5">
        <w:t xml:space="preserve"> atvirkščiai – mažą įtaką jautė</w:t>
      </w:r>
      <w:r w:rsidR="00216C87" w:rsidRPr="00DA1FA5">
        <w:t xml:space="preserve"> tie individai, kurie socialine </w:t>
      </w:r>
      <w:r w:rsidR="00DA1FA5" w:rsidRPr="00DA1FA5">
        <w:t xml:space="preserve">apsauga </w:t>
      </w:r>
      <w:r w:rsidR="008F0CB4" w:rsidRPr="00DA1FA5">
        <w:t>naudojo</w:t>
      </w:r>
      <w:r w:rsidR="008667DC" w:rsidRPr="00DA1FA5">
        <w:t>si trumpą laiką. Tai reiškia, j</w:t>
      </w:r>
      <w:r w:rsidR="008F0CB4" w:rsidRPr="00DA1FA5">
        <w:t xml:space="preserve">og, galėdami pakankamai ilgai </w:t>
      </w:r>
      <w:r w:rsidR="008667DC" w:rsidRPr="00DA1FA5">
        <w:t xml:space="preserve">gyventi iš </w:t>
      </w:r>
      <w:r w:rsidR="0017433B" w:rsidRPr="00DA1FA5">
        <w:t xml:space="preserve">socialinės apsaugos lėšų, </w:t>
      </w:r>
      <w:r w:rsidR="00D7003E" w:rsidRPr="00DA1FA5">
        <w:t xml:space="preserve">žmonės </w:t>
      </w:r>
      <w:r w:rsidR="00E30B7B" w:rsidRPr="00DA1FA5">
        <w:t xml:space="preserve">lieka </w:t>
      </w:r>
      <w:r w:rsidR="0017433B" w:rsidRPr="00DA1FA5">
        <w:t>patenkinti savo padėtimi</w:t>
      </w:r>
      <w:r w:rsidR="00D7003E" w:rsidRPr="00DA1FA5">
        <w:t xml:space="preserve"> –</w:t>
      </w:r>
      <w:r w:rsidR="0017433B" w:rsidRPr="00DA1FA5">
        <w:t xml:space="preserve"> ir dėl to</w:t>
      </w:r>
      <w:r w:rsidR="00D7003E" w:rsidRPr="00DA1FA5">
        <w:t xml:space="preserve"> </w:t>
      </w:r>
      <w:r w:rsidR="00350801" w:rsidRPr="00DA1FA5">
        <w:t>tampa suinteresuoti išlaikyti tokį statusą.</w:t>
      </w:r>
    </w:p>
    <w:p w:rsidR="009E1B84" w:rsidRDefault="00E30B7B" w:rsidP="00732CF2">
      <w:r>
        <w:t xml:space="preserve">Kalbant apie </w:t>
      </w:r>
      <w:r w:rsidR="002A75C2">
        <w:t>veiksnius, kurie</w:t>
      </w:r>
      <w:r w:rsidR="00881EA3">
        <w:t xml:space="preserve"> darė įtaką </w:t>
      </w:r>
      <w:r w:rsidR="00DA1FA5">
        <w:rPr>
          <w:b/>
          <w:i/>
        </w:rPr>
        <w:t>ger</w:t>
      </w:r>
      <w:r w:rsidR="00881EA3">
        <w:rPr>
          <w:b/>
          <w:i/>
        </w:rPr>
        <w:t>esnei</w:t>
      </w:r>
      <w:r w:rsidR="000A3166" w:rsidRPr="006D346E">
        <w:rPr>
          <w:b/>
          <w:i/>
        </w:rPr>
        <w:t xml:space="preserve"> elgsen</w:t>
      </w:r>
      <w:r w:rsidR="00881EA3">
        <w:rPr>
          <w:b/>
          <w:i/>
        </w:rPr>
        <w:t>ai</w:t>
      </w:r>
      <w:r w:rsidR="000A3166">
        <w:t>, reikėtų pasakyti, jog mažiausias nuotolis</w:t>
      </w:r>
      <w:r w:rsidR="006D346E">
        <w:t xml:space="preserve"> (1,5 balo)</w:t>
      </w:r>
      <w:r w:rsidR="000A3166">
        <w:t xml:space="preserve"> nuo pageidau</w:t>
      </w:r>
      <w:r w:rsidR="00AC7496">
        <w:t>tin</w:t>
      </w:r>
      <w:r w:rsidR="000A3166">
        <w:t>os re</w:t>
      </w:r>
      <w:r w:rsidR="00AC7496">
        <w:t>ikšmės</w:t>
      </w:r>
      <w:r w:rsidR="006D346E">
        <w:t xml:space="preserve"> (4,5 balo)</w:t>
      </w:r>
      <w:r w:rsidR="005C34DF">
        <w:t xml:space="preserve"> buvo</w:t>
      </w:r>
      <w:r w:rsidR="006D346E">
        <w:t xml:space="preserve">, vertinant </w:t>
      </w:r>
      <w:r w:rsidR="006D346E" w:rsidRPr="002D33DA">
        <w:rPr>
          <w:i/>
        </w:rPr>
        <w:t xml:space="preserve">skurdo </w:t>
      </w:r>
      <w:r w:rsidR="005C34DF">
        <w:rPr>
          <w:i/>
        </w:rPr>
        <w:t>„</w:t>
      </w:r>
      <w:r w:rsidR="006D346E" w:rsidRPr="002D33DA">
        <w:rPr>
          <w:i/>
        </w:rPr>
        <w:t>spąstų</w:t>
      </w:r>
      <w:r w:rsidR="005C34DF">
        <w:rPr>
          <w:i/>
        </w:rPr>
        <w:t>“</w:t>
      </w:r>
      <w:r w:rsidR="006D346E" w:rsidRPr="002D33DA">
        <w:rPr>
          <w:i/>
        </w:rPr>
        <w:t xml:space="preserve"> (c</w:t>
      </w:r>
      <w:r w:rsidR="006D346E" w:rsidRPr="002D33DA">
        <w:rPr>
          <w:i/>
          <w:vertAlign w:val="subscript"/>
        </w:rPr>
        <w:t>4</w:t>
      </w:r>
      <w:r w:rsidR="006D346E" w:rsidRPr="002D33DA">
        <w:rPr>
          <w:i/>
        </w:rPr>
        <w:t>)</w:t>
      </w:r>
      <w:r w:rsidR="006D346E">
        <w:t xml:space="preserve"> (K –</w:t>
      </w:r>
      <w:r w:rsidR="002D33DA">
        <w:t xml:space="preserve"> 1,5) veiksnį.</w:t>
      </w:r>
      <w:r w:rsidR="0039792B">
        <w:t xml:space="preserve"> Tačiau dėl to, kad šis veiksnys</w:t>
      </w:r>
      <w:r w:rsidR="007870B7">
        <w:t xml:space="preserve"> neigiamai veikia ir racional</w:t>
      </w:r>
      <w:r w:rsidR="005C34DF">
        <w:t>i</w:t>
      </w:r>
      <w:r w:rsidR="001C776A">
        <w:t>ą</w:t>
      </w:r>
      <w:r w:rsidR="00980D2C">
        <w:t xml:space="preserve"> </w:t>
      </w:r>
      <w:r w:rsidR="001C776A">
        <w:t>būtybę</w:t>
      </w:r>
      <w:r w:rsidR="00A116CA">
        <w:t>, galima</w:t>
      </w:r>
      <w:r w:rsidR="00EC3618">
        <w:t xml:space="preserve"> tvirtinti</w:t>
      </w:r>
      <w:r w:rsidR="00A116CA">
        <w:t>, jog</w:t>
      </w:r>
      <w:r w:rsidR="008458E3">
        <w:t xml:space="preserve"> jo įtaka</w:t>
      </w:r>
      <w:r w:rsidR="00B52648">
        <w:t>, priimant sprendimus</w:t>
      </w:r>
      <w:r w:rsidR="00E03C45">
        <w:t xml:space="preserve"> dėl socialinės apsaugos lėšų</w:t>
      </w:r>
      <w:r w:rsidR="00B52648">
        <w:t xml:space="preserve">, yra </w:t>
      </w:r>
      <w:r w:rsidR="00E54C56">
        <w:t xml:space="preserve">itin </w:t>
      </w:r>
      <w:r w:rsidR="00B52648">
        <w:t>pavojinga.</w:t>
      </w:r>
      <w:r w:rsidR="002051F6">
        <w:t xml:space="preserve"> Tą patį būtų galima pasakyti ir apie neigiamus </w:t>
      </w:r>
      <w:r w:rsidR="002051F6" w:rsidRPr="00E240D2">
        <w:rPr>
          <w:i/>
        </w:rPr>
        <w:t>užimtumo pokyčius (c</w:t>
      </w:r>
      <w:r w:rsidR="002051F6" w:rsidRPr="00E240D2">
        <w:rPr>
          <w:i/>
          <w:vertAlign w:val="subscript"/>
        </w:rPr>
        <w:t>1</w:t>
      </w:r>
      <w:r w:rsidR="002051F6" w:rsidRPr="00E240D2">
        <w:rPr>
          <w:i/>
        </w:rPr>
        <w:t>)</w:t>
      </w:r>
      <w:r w:rsidR="002A5BEA">
        <w:t xml:space="preserve"> (K – 2,0</w:t>
      </w:r>
      <w:r w:rsidR="00375286">
        <w:t>)</w:t>
      </w:r>
      <w:r w:rsidR="00D21C18">
        <w:t xml:space="preserve">: nors </w:t>
      </w:r>
      <w:r w:rsidR="00E240D2">
        <w:t xml:space="preserve">svertinis </w:t>
      </w:r>
      <w:r w:rsidR="00E54C56">
        <w:t>bal</w:t>
      </w:r>
      <w:r w:rsidR="00375286">
        <w:t xml:space="preserve">as </w:t>
      </w:r>
      <w:r w:rsidR="008B0CF6">
        <w:t>(4 balai)</w:t>
      </w:r>
      <w:r w:rsidR="00E240D2">
        <w:t xml:space="preserve"> tapo nedaug mažesnis </w:t>
      </w:r>
      <w:r w:rsidR="008B0CF6">
        <w:t xml:space="preserve">už </w:t>
      </w:r>
      <w:r w:rsidR="00E54C56">
        <w:t xml:space="preserve">optimalią </w:t>
      </w:r>
      <w:r w:rsidR="008B0CF6">
        <w:t>reikšmę (6 balai), pats veiksnys daugumos buvo vertinamas kaip darantis didelę įtaką</w:t>
      </w:r>
      <w:r w:rsidR="00962884">
        <w:t xml:space="preserve"> elgsenai </w:t>
      </w:r>
      <w:r w:rsidR="0084092C">
        <w:t>–</w:t>
      </w:r>
      <w:r w:rsidR="00591050">
        <w:t xml:space="preserve"> tai</w:t>
      </w:r>
      <w:r w:rsidR="00962884">
        <w:t xml:space="preserve"> atskleidžia</w:t>
      </w:r>
      <w:r w:rsidR="0084092C">
        <w:t xml:space="preserve">, </w:t>
      </w:r>
      <w:r w:rsidR="00591050">
        <w:t xml:space="preserve">jog </w:t>
      </w:r>
      <w:r w:rsidR="009E3DFC">
        <w:t xml:space="preserve">problemos slypi ne </w:t>
      </w:r>
      <w:r w:rsidR="0084092C">
        <w:t>atskiruose</w:t>
      </w:r>
      <w:r w:rsidR="004A7F03">
        <w:t xml:space="preserve"> individuose</w:t>
      </w:r>
      <w:r w:rsidR="0084092C">
        <w:t xml:space="preserve">, bet visuomenėje, kuri leidžia </w:t>
      </w:r>
      <w:r w:rsidR="004A7F03">
        <w:t>plėtotis</w:t>
      </w:r>
      <w:r w:rsidR="00CA2374">
        <w:t xml:space="preserve"> neigiamiems</w:t>
      </w:r>
      <w:r w:rsidR="0084092C">
        <w:t xml:space="preserve"> </w:t>
      </w:r>
      <w:r w:rsidR="00CA2374">
        <w:t>reiškiniams.</w:t>
      </w:r>
    </w:p>
    <w:p w:rsidR="00294B31" w:rsidRDefault="00294B31" w:rsidP="0050377F">
      <w:pPr>
        <w:spacing w:after="0" w:line="240" w:lineRule="auto"/>
        <w:ind w:firstLine="0"/>
      </w:pPr>
      <w:r w:rsidRPr="00294B31">
        <w:rPr>
          <w:noProof/>
          <w:lang w:val="en-US"/>
        </w:rPr>
        <w:drawing>
          <wp:inline distT="0" distB="0" distL="0" distR="0">
            <wp:extent cx="6496050" cy="2143125"/>
            <wp:effectExtent l="0" t="19050" r="76200" b="47625"/>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0377F" w:rsidRDefault="0050377F" w:rsidP="0050377F">
      <w:pPr>
        <w:spacing w:after="0" w:line="240" w:lineRule="auto"/>
        <w:rPr>
          <w:sz w:val="20"/>
        </w:rPr>
      </w:pPr>
      <w:r w:rsidRPr="0050377F">
        <w:rPr>
          <w:b/>
          <w:sz w:val="20"/>
        </w:rPr>
        <w:t>Šaltinis</w:t>
      </w:r>
      <w:r w:rsidRPr="0050377F">
        <w:rPr>
          <w:sz w:val="20"/>
        </w:rPr>
        <w:t>: sudaryta šio darbo autorės, remiantis apklausos rezultatais</w:t>
      </w:r>
    </w:p>
    <w:bookmarkStart w:id="38" w:name="_Toc343590409"/>
    <w:p w:rsidR="0050377F" w:rsidRPr="0050377F" w:rsidRDefault="00D84BC4" w:rsidP="00886347">
      <w:pPr>
        <w:pStyle w:val="Caption"/>
        <w:rPr>
          <w:szCs w:val="20"/>
        </w:rPr>
      </w:pPr>
      <w:r w:rsidRPr="00706361">
        <w:rPr>
          <w:b w:val="0"/>
        </w:rPr>
        <w:fldChar w:fldCharType="begin"/>
      </w:r>
      <w:r w:rsidR="00496140" w:rsidRPr="00706361">
        <w:rPr>
          <w:b w:val="0"/>
        </w:rPr>
        <w:instrText xml:space="preserve"> SEQ pav. \* ARABIC </w:instrText>
      </w:r>
      <w:r w:rsidRPr="00706361">
        <w:rPr>
          <w:b w:val="0"/>
        </w:rPr>
        <w:fldChar w:fldCharType="separate"/>
      </w:r>
      <w:r w:rsidR="00496140" w:rsidRPr="00706361">
        <w:rPr>
          <w:b w:val="0"/>
        </w:rPr>
        <w:t>12</w:t>
      </w:r>
      <w:r w:rsidRPr="00706361">
        <w:rPr>
          <w:b w:val="0"/>
        </w:rPr>
        <w:fldChar w:fldCharType="end"/>
      </w:r>
      <w:r w:rsidR="00496140" w:rsidRPr="00706361">
        <w:rPr>
          <w:b w:val="0"/>
        </w:rPr>
        <w:t xml:space="preserve"> </w:t>
      </w:r>
      <w:r w:rsidR="00377D60" w:rsidRPr="00706361">
        <w:rPr>
          <w:b w:val="0"/>
        </w:rPr>
        <w:t>pav.</w:t>
      </w:r>
      <w:r w:rsidR="00377D60" w:rsidRPr="00377D60">
        <w:rPr>
          <w:color w:val="FF0000"/>
        </w:rPr>
        <w:t xml:space="preserve"> </w:t>
      </w:r>
      <w:r w:rsidR="00377D60">
        <w:t xml:space="preserve">Apklausos rezultatai: elgsena </w:t>
      </w:r>
      <w:r w:rsidR="00377D60" w:rsidRPr="00377D60">
        <w:rPr>
          <w:i/>
        </w:rPr>
        <w:t>ekonominių veiksnių</w:t>
      </w:r>
      <w:r w:rsidR="00377D60">
        <w:t xml:space="preserve"> atžvilgiu</w:t>
      </w:r>
      <w:bookmarkEnd w:id="38"/>
    </w:p>
    <w:p w:rsidR="00CA2374" w:rsidRDefault="00DE09ED" w:rsidP="00732CF2">
      <w:r>
        <w:rPr>
          <w:b/>
          <w:i/>
          <w:u w:val="single"/>
        </w:rPr>
        <w:t>Elgsena t</w:t>
      </w:r>
      <w:r w:rsidR="00E367B0" w:rsidRPr="005C1A1D">
        <w:rPr>
          <w:b/>
          <w:i/>
          <w:u w:val="single"/>
        </w:rPr>
        <w:t>eisinių-politinių veiksni</w:t>
      </w:r>
      <w:r>
        <w:rPr>
          <w:b/>
          <w:i/>
          <w:u w:val="single"/>
        </w:rPr>
        <w:t>ų atžvilgiu</w:t>
      </w:r>
      <w:r w:rsidR="00E367B0">
        <w:t>.</w:t>
      </w:r>
      <w:r w:rsidR="00650353">
        <w:t xml:space="preserve"> </w:t>
      </w:r>
      <w:r w:rsidR="00675BA0">
        <w:t xml:space="preserve">Tyrimas atskleidė, jog individų finansinė elgsena šių veiksnių atžvilgiu </w:t>
      </w:r>
      <w:r w:rsidR="00363F4C">
        <w:t>yra</w:t>
      </w:r>
      <w:r w:rsidR="00FD01B4">
        <w:t xml:space="preserve"> lab</w:t>
      </w:r>
      <w:r w:rsidR="007B6BE5">
        <w:t>iau racionali nei</w:t>
      </w:r>
      <w:r w:rsidR="00675BA0">
        <w:t xml:space="preserve"> </w:t>
      </w:r>
      <w:r w:rsidR="00675BA0" w:rsidRPr="00496140">
        <w:t>neracionali</w:t>
      </w:r>
      <w:r w:rsidR="007C58C3" w:rsidRPr="00496140">
        <w:t xml:space="preserve"> (</w:t>
      </w:r>
      <w:r w:rsidR="000A243E" w:rsidRPr="00496140">
        <w:t xml:space="preserve">žr. </w:t>
      </w:r>
      <w:r w:rsidR="00CC3E35" w:rsidRPr="00496140">
        <w:t>4 priedą</w:t>
      </w:r>
      <w:r w:rsidR="007C58C3" w:rsidRPr="00496140">
        <w:t>)</w:t>
      </w:r>
      <w:r w:rsidR="00FD01B4" w:rsidRPr="00496140">
        <w:t>,</w:t>
      </w:r>
      <w:r w:rsidR="00FD01B4">
        <w:t xml:space="preserve"> kadangi</w:t>
      </w:r>
      <w:r w:rsidR="00675BA0">
        <w:t xml:space="preserve"> svertinis </w:t>
      </w:r>
      <w:r w:rsidR="00363F4C">
        <w:t xml:space="preserve">šios veiksnių grupės </w:t>
      </w:r>
      <w:r w:rsidR="00675BA0">
        <w:t>balas (</w:t>
      </w:r>
      <w:r w:rsidR="00363F4C">
        <w:t xml:space="preserve">15 </w:t>
      </w:r>
      <w:r w:rsidR="00FD01B4">
        <w:t>balų) tapo 5 balais didesnis negu</w:t>
      </w:r>
      <w:r w:rsidR="00363F4C">
        <w:t xml:space="preserve"> „pusiausvyros taškas“ (</w:t>
      </w:r>
      <w:r w:rsidR="00E727E6">
        <w:t>10 balų). Tai leidžia daryti išvadą, jog</w:t>
      </w:r>
      <w:r w:rsidR="00920089">
        <w:t>, nepaisant to, kad</w:t>
      </w:r>
      <w:r w:rsidR="00E727E6">
        <w:t xml:space="preserve"> </w:t>
      </w:r>
      <w:r w:rsidR="00CB6AEB">
        <w:t xml:space="preserve">teisiniai-politiniai </w:t>
      </w:r>
      <w:r w:rsidR="00E727E6">
        <w:t>veiksniai</w:t>
      </w:r>
      <w:r w:rsidR="00C5479F">
        <w:t xml:space="preserve"> </w:t>
      </w:r>
      <w:r w:rsidR="00076F83">
        <w:t xml:space="preserve">daro </w:t>
      </w:r>
      <w:r w:rsidR="00FD01B4">
        <w:t xml:space="preserve">vidutinę ar </w:t>
      </w:r>
      <w:r w:rsidR="00076F83">
        <w:t>didelę įtaką</w:t>
      </w:r>
      <w:r w:rsidR="00057247">
        <w:t xml:space="preserve"> </w:t>
      </w:r>
      <w:r w:rsidR="00CB6AEB">
        <w:t xml:space="preserve">(tai matyti iš įvertinimų modų) </w:t>
      </w:r>
      <w:r w:rsidR="00057247">
        <w:t>individų finansiniams sprendimams</w:t>
      </w:r>
      <w:r w:rsidR="00076F83">
        <w:t xml:space="preserve">, prie netinkamos elgsenos atsiradimo jie prisideda </w:t>
      </w:r>
      <w:r w:rsidR="00C5479F">
        <w:t>mažesniu mastu</w:t>
      </w:r>
      <w:r w:rsidR="00076F83">
        <w:t>.</w:t>
      </w:r>
    </w:p>
    <w:p w:rsidR="003C6C7F" w:rsidRDefault="003C6C7F" w:rsidP="00732CF2">
      <w:r>
        <w:lastRenderedPageBreak/>
        <w:t xml:space="preserve">Nagrinėjant atskirų veiksnių </w:t>
      </w:r>
      <w:r w:rsidR="00920EBF">
        <w:t>įtaką, tampa akivaizdu, jog</w:t>
      </w:r>
      <w:r w:rsidR="006A6255">
        <w:t xml:space="preserve"> </w:t>
      </w:r>
      <w:r w:rsidR="006A6255" w:rsidRPr="00812F36">
        <w:rPr>
          <w:b/>
          <w:i/>
        </w:rPr>
        <w:t>racionalumas</w:t>
      </w:r>
      <w:r w:rsidR="009A7398">
        <w:t xml:space="preserve"> atsirado</w:t>
      </w:r>
      <w:r w:rsidR="006A6255">
        <w:t xml:space="preserve"> dėl to</w:t>
      </w:r>
      <w:r w:rsidR="00E12D2A">
        <w:t>,</w:t>
      </w:r>
      <w:r w:rsidR="00334FAE">
        <w:t xml:space="preserve"> jog</w:t>
      </w:r>
      <w:r w:rsidR="004E4D0E">
        <w:t xml:space="preserve"> </w:t>
      </w:r>
      <w:r w:rsidR="004E4D0E" w:rsidRPr="008F4C59">
        <w:rPr>
          <w:i/>
        </w:rPr>
        <w:t>neigiamas</w:t>
      </w:r>
      <w:r w:rsidR="00E12D2A">
        <w:t xml:space="preserve"> </w:t>
      </w:r>
      <w:r w:rsidR="00E12D2A" w:rsidRPr="00334FAE">
        <w:rPr>
          <w:i/>
        </w:rPr>
        <w:t>socialinės apsaugos sistem</w:t>
      </w:r>
      <w:r w:rsidR="00C049D6" w:rsidRPr="00334FAE">
        <w:rPr>
          <w:i/>
        </w:rPr>
        <w:t xml:space="preserve">os </w:t>
      </w:r>
      <w:r w:rsidR="004E4D0E">
        <w:rPr>
          <w:i/>
        </w:rPr>
        <w:t>„</w:t>
      </w:r>
      <w:r w:rsidR="00C049D6" w:rsidRPr="00334FAE">
        <w:rPr>
          <w:i/>
        </w:rPr>
        <w:t>įvaizdis</w:t>
      </w:r>
      <w:r w:rsidR="004E4D0E">
        <w:rPr>
          <w:i/>
        </w:rPr>
        <w:t>“</w:t>
      </w:r>
      <w:r w:rsidR="00334FAE" w:rsidRPr="00334FAE">
        <w:rPr>
          <w:i/>
        </w:rPr>
        <w:t xml:space="preserve"> (d</w:t>
      </w:r>
      <w:r w:rsidR="00334FAE" w:rsidRPr="00334FAE">
        <w:rPr>
          <w:i/>
          <w:vertAlign w:val="subscript"/>
        </w:rPr>
        <w:t>1</w:t>
      </w:r>
      <w:r w:rsidR="00334FAE" w:rsidRPr="00334FAE">
        <w:rPr>
          <w:i/>
        </w:rPr>
        <w:t>)</w:t>
      </w:r>
      <w:r w:rsidR="00E12D2A">
        <w:t xml:space="preserve"> eksp</w:t>
      </w:r>
      <w:r w:rsidR="00C049D6">
        <w:t xml:space="preserve">ertų buvo </w:t>
      </w:r>
      <w:r w:rsidR="00933036">
        <w:t xml:space="preserve">įvertintas </w:t>
      </w:r>
      <w:r w:rsidR="00C049D6">
        <w:t>kaip racionalia</w:t>
      </w:r>
      <w:r w:rsidR="004E4D0E">
        <w:t>i mąstančiam</w:t>
      </w:r>
      <w:r w:rsidR="00C049D6">
        <w:t xml:space="preserve"> </w:t>
      </w:r>
      <w:r w:rsidR="004E4D0E">
        <w:t xml:space="preserve">žmogui </w:t>
      </w:r>
      <w:r w:rsidR="00C049D6">
        <w:t>reikšminga</w:t>
      </w:r>
      <w:r w:rsidR="0013183E">
        <w:t xml:space="preserve"> aplinkybė</w:t>
      </w:r>
      <w:r w:rsidR="00933036">
        <w:t>, suteikianti teisę naudotis socialinės apsaugos lėšomis</w:t>
      </w:r>
      <w:r w:rsidR="00C049D6">
        <w:t>.</w:t>
      </w:r>
      <w:r w:rsidR="004E4D0E">
        <w:t xml:space="preserve"> Tai </w:t>
      </w:r>
      <w:r w:rsidR="003F4F8D">
        <w:t>suponuoja</w:t>
      </w:r>
      <w:r w:rsidR="00933036">
        <w:t xml:space="preserve"> faktą</w:t>
      </w:r>
      <w:r w:rsidR="003F4F8D">
        <w:t>, jog</w:t>
      </w:r>
      <w:r w:rsidR="00935913">
        <w:t xml:space="preserve"> šis veiksnys turėtų būti priskirtas pavojingųjų kategorijai – ir ypatingai tada, kai jis vertinamas</w:t>
      </w:r>
      <w:r w:rsidR="00835094">
        <w:t>,</w:t>
      </w:r>
      <w:r w:rsidR="00935913">
        <w:t xml:space="preserve"> kaip darantis didel</w:t>
      </w:r>
      <w:r w:rsidR="0013183E">
        <w:t>ę įtaką.</w:t>
      </w:r>
      <w:r w:rsidR="003C66D7">
        <w:t xml:space="preserve"> Šiuo atveju</w:t>
      </w:r>
      <w:r w:rsidR="00835094">
        <w:t>,</w:t>
      </w:r>
      <w:r w:rsidR="003C66D7">
        <w:t xml:space="preserve"> socialinės apsaugos sistema buvo suvokiama</w:t>
      </w:r>
      <w:r w:rsidR="009B1226">
        <w:t xml:space="preserve"> </w:t>
      </w:r>
      <w:r w:rsidR="008D01E0">
        <w:t xml:space="preserve">kaip vidutiniškai lemianti </w:t>
      </w:r>
      <w:r w:rsidR="009F6F13">
        <w:t>socialinių išmokų gavėjų finansinę elgseną</w:t>
      </w:r>
      <w:r w:rsidR="00246E47">
        <w:t>, todėl</w:t>
      </w:r>
      <w:r w:rsidR="006240F8">
        <w:t>, galima teigti</w:t>
      </w:r>
      <w:r w:rsidR="00387B07">
        <w:t xml:space="preserve">, </w:t>
      </w:r>
      <w:r w:rsidR="00812F36">
        <w:t>jog</w:t>
      </w:r>
      <w:r w:rsidR="00387B07">
        <w:t xml:space="preserve"> veiksnys nebuvo </w:t>
      </w:r>
      <w:r w:rsidR="007F791E">
        <w:t xml:space="preserve">itin </w:t>
      </w:r>
      <w:r w:rsidR="009F6F13">
        <w:t xml:space="preserve">svarbus </w:t>
      </w:r>
      <w:r w:rsidR="007F791E">
        <w:t>bendram rezultatui.</w:t>
      </w:r>
    </w:p>
    <w:p w:rsidR="009A7398" w:rsidRDefault="009A7398" w:rsidP="00732CF2">
      <w:r>
        <w:t xml:space="preserve">Kalbant apie veiksnius, </w:t>
      </w:r>
      <w:r w:rsidR="0068057D">
        <w:t>dar</w:t>
      </w:r>
      <w:r w:rsidR="00D56C63">
        <w:t>iusius</w:t>
      </w:r>
      <w:r w:rsidR="0068057D">
        <w:t xml:space="preserve"> </w:t>
      </w:r>
      <w:r w:rsidR="0068057D" w:rsidRPr="0068057D">
        <w:rPr>
          <w:b/>
          <w:i/>
        </w:rPr>
        <w:t>neigiamą įtaką</w:t>
      </w:r>
      <w:r w:rsidR="0068057D">
        <w:t xml:space="preserve"> individų</w:t>
      </w:r>
      <w:r w:rsidR="00D56C63">
        <w:t xml:space="preserve"> </w:t>
      </w:r>
      <w:r w:rsidR="0068057D">
        <w:t>sprendimams,</w:t>
      </w:r>
      <w:r w:rsidR="00D56C63">
        <w:t xml:space="preserve"> būtina</w:t>
      </w:r>
      <w:r w:rsidR="0068057D">
        <w:t xml:space="preserve"> paminėti </w:t>
      </w:r>
      <w:r w:rsidR="0068057D" w:rsidRPr="006D75E2">
        <w:rPr>
          <w:i/>
        </w:rPr>
        <w:t>solidarumo stoką</w:t>
      </w:r>
      <w:r w:rsidR="006D75E2" w:rsidRPr="006D75E2">
        <w:rPr>
          <w:i/>
        </w:rPr>
        <w:t xml:space="preserve"> (d</w:t>
      </w:r>
      <w:r w:rsidR="006D75E2" w:rsidRPr="006D75E2">
        <w:rPr>
          <w:i/>
          <w:vertAlign w:val="subscript"/>
        </w:rPr>
        <w:t>3</w:t>
      </w:r>
      <w:r w:rsidR="006D75E2" w:rsidRPr="006D75E2">
        <w:rPr>
          <w:i/>
        </w:rPr>
        <w:t>)</w:t>
      </w:r>
      <w:r w:rsidR="006D75E2">
        <w:t xml:space="preserve"> (K – 1,5; skirtumas – </w:t>
      </w:r>
      <w:r w:rsidR="008B5C72">
        <w:t>3</w:t>
      </w:r>
      <w:r w:rsidR="006D75E2">
        <w:t xml:space="preserve"> balai)</w:t>
      </w:r>
      <w:r w:rsidR="008B5C72">
        <w:t>, kuri apklausos dalyvių buvo vertinama kaip daranti didelę įtaką</w:t>
      </w:r>
      <w:r w:rsidR="00F42593">
        <w:t>.</w:t>
      </w:r>
      <w:r w:rsidR="009005D1">
        <w:t xml:space="preserve"> Tai reiškia, jog</w:t>
      </w:r>
      <w:r w:rsidR="00BF73BE">
        <w:t xml:space="preserve"> </w:t>
      </w:r>
      <w:r w:rsidR="005064B0">
        <w:t xml:space="preserve">didžioji dauguma </w:t>
      </w:r>
      <w:r w:rsidR="00BF73BE">
        <w:t>Lietuvos žmon</w:t>
      </w:r>
      <w:r w:rsidR="005064B0">
        <w:t xml:space="preserve">ių mano esanti verta </w:t>
      </w:r>
      <w:r w:rsidR="0020097F">
        <w:t xml:space="preserve">socialinės apsaugos </w:t>
      </w:r>
      <w:r w:rsidR="00E20AEF">
        <w:t>netgi tuo atveju,</w:t>
      </w:r>
      <w:r w:rsidR="006C1107">
        <w:t xml:space="preserve"> </w:t>
      </w:r>
      <w:r w:rsidR="006D6370">
        <w:t>kai pat</w:t>
      </w:r>
      <w:r w:rsidR="008557E6">
        <w:t>i</w:t>
      </w:r>
      <w:r w:rsidR="006D6370">
        <w:t xml:space="preserve"> prie solidarumo neprisid</w:t>
      </w:r>
      <w:r w:rsidR="00226AB6">
        <w:t>eda</w:t>
      </w:r>
      <w:r w:rsidR="006D6370">
        <w:t xml:space="preserve">, t. y. </w:t>
      </w:r>
      <w:r w:rsidR="00226AB6">
        <w:t xml:space="preserve">kai </w:t>
      </w:r>
      <w:r w:rsidR="005D7DF5">
        <w:t>vengia mokėti mokesčius ar kita</w:t>
      </w:r>
      <w:r w:rsidR="008557E6">
        <w:t>ip</w:t>
      </w:r>
      <w:r w:rsidR="005D7DF5">
        <w:t xml:space="preserve"> slepia</w:t>
      </w:r>
      <w:r w:rsidR="008557E6">
        <w:t xml:space="preserve"> savo</w:t>
      </w:r>
      <w:r w:rsidR="005D7DF5">
        <w:t xml:space="preserve"> pajamas.</w:t>
      </w:r>
      <w:r w:rsidR="006F784E">
        <w:t xml:space="preserve"> Taip pat reikėtų</w:t>
      </w:r>
      <w:r w:rsidR="00D834F6">
        <w:t xml:space="preserve"> pastebėti</w:t>
      </w:r>
      <w:r w:rsidR="006F784E">
        <w:t>, jog</w:t>
      </w:r>
      <w:r w:rsidR="00D9477D">
        <w:t xml:space="preserve"> </w:t>
      </w:r>
      <w:r w:rsidR="00D834F6">
        <w:t xml:space="preserve">ne itin gerai </w:t>
      </w:r>
      <w:r w:rsidR="00927FB5">
        <w:t>buvo įvertinta</w:t>
      </w:r>
      <w:r w:rsidR="00D9477D">
        <w:t xml:space="preserve"> </w:t>
      </w:r>
      <w:r w:rsidR="00927FB5">
        <w:rPr>
          <w:i/>
        </w:rPr>
        <w:t>įstatyminė bazė</w:t>
      </w:r>
      <w:r w:rsidR="00D9477D" w:rsidRPr="00320BCB">
        <w:rPr>
          <w:i/>
        </w:rPr>
        <w:t xml:space="preserve"> (d</w:t>
      </w:r>
      <w:r w:rsidR="00D9477D" w:rsidRPr="00320BCB">
        <w:rPr>
          <w:i/>
          <w:vertAlign w:val="subscript"/>
        </w:rPr>
        <w:t>2</w:t>
      </w:r>
      <w:r w:rsidR="00D9477D" w:rsidRPr="00320BCB">
        <w:rPr>
          <w:i/>
        </w:rPr>
        <w:t>)</w:t>
      </w:r>
      <w:r w:rsidR="00D9477D">
        <w:t xml:space="preserve"> (K –</w:t>
      </w:r>
      <w:r w:rsidR="00320BCB">
        <w:t xml:space="preserve"> 2,0),</w:t>
      </w:r>
      <w:r w:rsidR="00D9477D">
        <w:t xml:space="preserve"> </w:t>
      </w:r>
      <w:r w:rsidR="00927FB5">
        <w:t>kuri</w:t>
      </w:r>
      <w:r w:rsidR="00320BCB">
        <w:t xml:space="preserve">, nuo pageidautinos reikšmės </w:t>
      </w:r>
      <w:r w:rsidR="00C6541C">
        <w:t>atsilikdam</w:t>
      </w:r>
      <w:r w:rsidR="00927FB5">
        <w:t>a</w:t>
      </w:r>
      <w:r w:rsidR="00094E9D">
        <w:t xml:space="preserve"> 2 balais, </w:t>
      </w:r>
      <w:r w:rsidR="00C6541C">
        <w:t>parodė</w:t>
      </w:r>
      <w:r w:rsidR="00094E9D">
        <w:t xml:space="preserve">, jog </w:t>
      </w:r>
      <w:r w:rsidR="00D834F6">
        <w:t xml:space="preserve">socialinių išmokų </w:t>
      </w:r>
      <w:r w:rsidR="00094E9D">
        <w:t>gavėjai yra linkę</w:t>
      </w:r>
      <w:r w:rsidR="00C6541C">
        <w:t xml:space="preserve"> išn</w:t>
      </w:r>
      <w:r w:rsidR="008F5095">
        <w:t xml:space="preserve">audoti </w:t>
      </w:r>
      <w:r w:rsidR="00B53AAD">
        <w:t xml:space="preserve">įstatymų </w:t>
      </w:r>
      <w:r w:rsidR="00522AE0">
        <w:t>spragas</w:t>
      </w:r>
      <w:r w:rsidR="008F5095">
        <w:t>.</w:t>
      </w:r>
    </w:p>
    <w:p w:rsidR="00CF4192" w:rsidRDefault="00FA6F18" w:rsidP="006B3AC0">
      <w:pPr>
        <w:spacing w:after="0" w:line="240" w:lineRule="auto"/>
        <w:ind w:firstLine="0"/>
      </w:pPr>
      <w:r w:rsidRPr="00FA6F18">
        <w:rPr>
          <w:noProof/>
          <w:lang w:val="en-US"/>
        </w:rPr>
        <w:drawing>
          <wp:inline distT="0" distB="0" distL="0" distR="0">
            <wp:extent cx="6496050" cy="2143125"/>
            <wp:effectExtent l="0" t="19050" r="76200" b="47625"/>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B3AC0" w:rsidRDefault="006B3AC0" w:rsidP="007001FD">
      <w:pPr>
        <w:spacing w:after="0" w:line="240" w:lineRule="auto"/>
        <w:rPr>
          <w:sz w:val="20"/>
        </w:rPr>
      </w:pPr>
      <w:r w:rsidRPr="006B3AC0">
        <w:rPr>
          <w:b/>
          <w:sz w:val="20"/>
        </w:rPr>
        <w:t>Šaltinis</w:t>
      </w:r>
      <w:r w:rsidRPr="006B3AC0">
        <w:rPr>
          <w:sz w:val="20"/>
        </w:rPr>
        <w:t>: sudaryta šio darbo autorės, remiantis apklausos rezultatais</w:t>
      </w:r>
    </w:p>
    <w:bookmarkStart w:id="39" w:name="_Toc343590410"/>
    <w:p w:rsidR="007001FD" w:rsidRPr="006B3AC0" w:rsidRDefault="00D84BC4" w:rsidP="00886347">
      <w:pPr>
        <w:pStyle w:val="Caption"/>
        <w:rPr>
          <w:szCs w:val="20"/>
        </w:rPr>
      </w:pPr>
      <w:r w:rsidRPr="003355F9">
        <w:rPr>
          <w:b w:val="0"/>
        </w:rPr>
        <w:fldChar w:fldCharType="begin"/>
      </w:r>
      <w:r w:rsidR="00725FA7" w:rsidRPr="003355F9">
        <w:rPr>
          <w:b w:val="0"/>
        </w:rPr>
        <w:instrText xml:space="preserve"> SEQ pav. \* ARABIC </w:instrText>
      </w:r>
      <w:r w:rsidRPr="003355F9">
        <w:rPr>
          <w:b w:val="0"/>
        </w:rPr>
        <w:fldChar w:fldCharType="separate"/>
      </w:r>
      <w:r w:rsidR="00725FA7" w:rsidRPr="003355F9">
        <w:rPr>
          <w:b w:val="0"/>
        </w:rPr>
        <w:t>13</w:t>
      </w:r>
      <w:r w:rsidRPr="003355F9">
        <w:rPr>
          <w:b w:val="0"/>
        </w:rPr>
        <w:fldChar w:fldCharType="end"/>
      </w:r>
      <w:r w:rsidR="00725FA7" w:rsidRPr="003355F9">
        <w:rPr>
          <w:b w:val="0"/>
        </w:rPr>
        <w:t xml:space="preserve"> </w:t>
      </w:r>
      <w:r w:rsidR="007001FD" w:rsidRPr="003355F9">
        <w:rPr>
          <w:b w:val="0"/>
        </w:rPr>
        <w:t>pav.</w:t>
      </w:r>
      <w:r w:rsidR="007001FD" w:rsidRPr="005C1A1D">
        <w:rPr>
          <w:color w:val="FF0000"/>
        </w:rPr>
        <w:t xml:space="preserve"> </w:t>
      </w:r>
      <w:r w:rsidR="007001FD">
        <w:t xml:space="preserve">Apklausos rezultatai: elgsena </w:t>
      </w:r>
      <w:r w:rsidR="007001FD" w:rsidRPr="009F6D13">
        <w:rPr>
          <w:i/>
        </w:rPr>
        <w:t>teisinių-politinių veiksnių</w:t>
      </w:r>
      <w:r w:rsidR="007001FD">
        <w:t xml:space="preserve"> atžvilgiu</w:t>
      </w:r>
      <w:bookmarkEnd w:id="39"/>
    </w:p>
    <w:p w:rsidR="00A0702D" w:rsidRDefault="00CF4192" w:rsidP="00732CF2">
      <w:r>
        <w:rPr>
          <w:b/>
          <w:i/>
          <w:u w:val="single"/>
        </w:rPr>
        <w:t>Netinkamą</w:t>
      </w:r>
      <w:r w:rsidR="00A0702D">
        <w:rPr>
          <w:b/>
          <w:i/>
          <w:u w:val="single"/>
        </w:rPr>
        <w:t xml:space="preserve"> finansinę elgseną </w:t>
      </w:r>
      <w:r w:rsidRPr="00CF4192">
        <w:rPr>
          <w:b/>
          <w:i/>
          <w:u w:val="single"/>
        </w:rPr>
        <w:t>skatin</w:t>
      </w:r>
      <w:r w:rsidR="0087738B" w:rsidRPr="00CF4192">
        <w:rPr>
          <w:b/>
          <w:i/>
          <w:u w:val="single"/>
        </w:rPr>
        <w:t>usi</w:t>
      </w:r>
      <w:r w:rsidR="00443C5C" w:rsidRPr="00CF4192">
        <w:rPr>
          <w:b/>
          <w:i/>
          <w:u w:val="single"/>
        </w:rPr>
        <w:t>ų</w:t>
      </w:r>
      <w:r w:rsidR="00A0702D">
        <w:rPr>
          <w:b/>
          <w:i/>
          <w:u w:val="single"/>
        </w:rPr>
        <w:t xml:space="preserve"> veiksnių </w:t>
      </w:r>
      <w:r w:rsidR="00A0702D" w:rsidRPr="00443C5C">
        <w:rPr>
          <w:b/>
          <w:i/>
          <w:u w:val="single"/>
        </w:rPr>
        <w:t>nustatymas</w:t>
      </w:r>
      <w:r w:rsidR="00443C5C" w:rsidRPr="00443C5C">
        <w:rPr>
          <w:b/>
          <w:i/>
          <w:u w:val="single"/>
        </w:rPr>
        <w:t>: problemų identifikavimas</w:t>
      </w:r>
      <w:r w:rsidR="00443C5C">
        <w:t>.</w:t>
      </w:r>
      <w:r w:rsidR="0087738B">
        <w:t xml:space="preserve"> Siekiant </w:t>
      </w:r>
      <w:r w:rsidR="008F73E8">
        <w:t>atskleisti, k</w:t>
      </w:r>
      <w:r w:rsidR="002164A4">
        <w:t>okių</w:t>
      </w:r>
      <w:r w:rsidR="008F73E8">
        <w:t xml:space="preserve"> veiksnių </w:t>
      </w:r>
      <w:r w:rsidR="002164A4">
        <w:t xml:space="preserve">pasireiškimas </w:t>
      </w:r>
      <w:r w:rsidR="007F3168">
        <w:t>labiausiai skatino neracionali</w:t>
      </w:r>
      <w:r w:rsidR="002164A4">
        <w:t>os</w:t>
      </w:r>
      <w:r w:rsidR="007F3168">
        <w:t xml:space="preserve"> elgsenos atsiradimą</w:t>
      </w:r>
      <w:r w:rsidR="0035167D">
        <w:t>, tikslinga būtų</w:t>
      </w:r>
      <w:r w:rsidR="00F90B8F">
        <w:t xml:space="preserve"> patyrinėti</w:t>
      </w:r>
      <w:r w:rsidR="00C816D4">
        <w:t>, koki</w:t>
      </w:r>
      <w:r w:rsidR="00535A8A">
        <w:t xml:space="preserve">a </w:t>
      </w:r>
      <w:r w:rsidR="000D582A">
        <w:t xml:space="preserve">procentine </w:t>
      </w:r>
      <w:r w:rsidR="0010551A">
        <w:t xml:space="preserve">dalimi </w:t>
      </w:r>
      <w:r w:rsidR="002E6A02" w:rsidRPr="00952D72">
        <w:rPr>
          <w:i/>
        </w:rPr>
        <w:t>konkrečios veiksnių grupės atžvilgiu</w:t>
      </w:r>
      <w:r w:rsidR="002E6A02">
        <w:t xml:space="preserve"> </w:t>
      </w:r>
      <w:r w:rsidR="00F90B8F">
        <w:t>socialinių išmokų gavėjų</w:t>
      </w:r>
      <w:r w:rsidR="00BC406C">
        <w:t xml:space="preserve"> </w:t>
      </w:r>
      <w:r w:rsidR="00C816D4">
        <w:t>elgsen</w:t>
      </w:r>
      <w:r w:rsidR="00603B38">
        <w:t xml:space="preserve">a </w:t>
      </w:r>
      <w:r w:rsidR="000D582A">
        <w:t>prilygo</w:t>
      </w:r>
      <w:r w:rsidR="005A21BD">
        <w:t xml:space="preserve"> optimaliai </w:t>
      </w:r>
      <w:r w:rsidR="001B1998">
        <w:t xml:space="preserve">elgsenai </w:t>
      </w:r>
      <w:r w:rsidR="00BC406C">
        <w:t xml:space="preserve">– </w:t>
      </w:r>
      <w:r w:rsidR="00CC1149">
        <w:t>tai leis patikrinti hipotezę (</w:t>
      </w:r>
      <w:r w:rsidR="00CC1149" w:rsidRPr="00CC1149">
        <w:rPr>
          <w:i/>
        </w:rPr>
        <w:t>H</w:t>
      </w:r>
      <w:r w:rsidR="00CC1149" w:rsidRPr="00CC1149">
        <w:rPr>
          <w:i/>
          <w:vertAlign w:val="subscript"/>
        </w:rPr>
        <w:t>2</w:t>
      </w:r>
      <w:r w:rsidR="001B1998">
        <w:t xml:space="preserve">), </w:t>
      </w:r>
      <w:r w:rsidR="00B150E5">
        <w:t>kad</w:t>
      </w:r>
      <w:r w:rsidR="00A612A0">
        <w:t xml:space="preserve"> </w:t>
      </w:r>
      <w:r w:rsidR="00AC1FD8">
        <w:t>netinkam</w:t>
      </w:r>
      <w:r w:rsidR="005A21BD">
        <w:t xml:space="preserve">ą </w:t>
      </w:r>
      <w:r w:rsidR="009A29EB">
        <w:t xml:space="preserve">bedarbių </w:t>
      </w:r>
      <w:r w:rsidR="00A612A0">
        <w:t>ir socialinės paramos gavėjų elgseną labiausiai lemia emociniai-psichologiniai</w:t>
      </w:r>
      <w:r w:rsidR="00BE63AF">
        <w:t xml:space="preserve"> </w:t>
      </w:r>
      <w:r w:rsidR="00A612A0">
        <w:t xml:space="preserve">veiksniai, </w:t>
      </w:r>
      <w:r w:rsidR="00B150E5">
        <w:t xml:space="preserve">– </w:t>
      </w:r>
      <w:r w:rsidR="001B1998">
        <w:t>ir kartu nustatyti problem</w:t>
      </w:r>
      <w:r w:rsidR="00AC1FD8">
        <w:t>ines sritis</w:t>
      </w:r>
      <w:r w:rsidR="00CC1149">
        <w:t>.</w:t>
      </w:r>
    </w:p>
    <w:p w:rsidR="00CC1149" w:rsidRDefault="004B7351" w:rsidP="00732CF2">
      <w:r>
        <w:t xml:space="preserve">Apskaičiavus </w:t>
      </w:r>
      <w:r w:rsidR="001D7E61">
        <w:t>santykinius dydžius</w:t>
      </w:r>
      <w:r w:rsidR="00734A10">
        <w:t xml:space="preserve">, </w:t>
      </w:r>
      <w:r w:rsidR="001D7E61">
        <w:t xml:space="preserve">tapo aišku, </w:t>
      </w:r>
      <w:r w:rsidR="00734A10">
        <w:t>jog</w:t>
      </w:r>
      <w:r w:rsidR="001D7E61">
        <w:t xml:space="preserve"> labiausiai </w:t>
      </w:r>
      <w:r w:rsidR="001D7E61" w:rsidRPr="00CD6A70">
        <w:rPr>
          <w:b/>
          <w:i/>
        </w:rPr>
        <w:t>neracionalią elgseną skatino emocinių-psichologin</w:t>
      </w:r>
      <w:r w:rsidR="003831F3" w:rsidRPr="00CD6A70">
        <w:rPr>
          <w:b/>
          <w:i/>
        </w:rPr>
        <w:t>ių veiksnių</w:t>
      </w:r>
      <w:r w:rsidR="0084402A">
        <w:rPr>
          <w:b/>
          <w:i/>
        </w:rPr>
        <w:t xml:space="preserve"> pasireiškimas</w:t>
      </w:r>
      <w:r w:rsidR="00BC77C7">
        <w:t xml:space="preserve">, </w:t>
      </w:r>
      <w:r w:rsidR="0084402A">
        <w:t>kadangi</w:t>
      </w:r>
      <w:r w:rsidR="00BC77C7">
        <w:t xml:space="preserve"> </w:t>
      </w:r>
      <w:r w:rsidR="00137279">
        <w:t>įvertinimas (31,5 balo)</w:t>
      </w:r>
      <w:r w:rsidR="0084402A">
        <w:t xml:space="preserve"> sudarė tik 54 proc. </w:t>
      </w:r>
      <w:r w:rsidR="00137279">
        <w:t>pageidautin</w:t>
      </w:r>
      <w:r w:rsidR="0084402A">
        <w:t>os</w:t>
      </w:r>
      <w:r w:rsidR="00137279">
        <w:t xml:space="preserve"> reikšm</w:t>
      </w:r>
      <w:r w:rsidR="0084402A">
        <w:t>ės</w:t>
      </w:r>
      <w:r w:rsidR="00137279">
        <w:t xml:space="preserve"> </w:t>
      </w:r>
      <w:r w:rsidR="00BC77C7">
        <w:t>(5</w:t>
      </w:r>
      <w:r w:rsidR="003831F3">
        <w:t>8 balai</w:t>
      </w:r>
      <w:r w:rsidR="00BC77C7">
        <w:t>)</w:t>
      </w:r>
      <w:r w:rsidR="000C2DE6">
        <w:t xml:space="preserve">. </w:t>
      </w:r>
      <w:r w:rsidR="00807EF8">
        <w:t>Nedaug nu</w:t>
      </w:r>
      <w:r w:rsidR="004F59DB">
        <w:t>o šios veiksnių grupės atsiliko</w:t>
      </w:r>
      <w:r w:rsidR="00EE48A6">
        <w:t xml:space="preserve"> </w:t>
      </w:r>
      <w:r w:rsidR="00807EF8">
        <w:t>ekonominiai veiksniai (</w:t>
      </w:r>
      <w:r w:rsidR="00A94253">
        <w:t>19 balų</w:t>
      </w:r>
      <w:r w:rsidR="0005138F">
        <w:t>)</w:t>
      </w:r>
      <w:r w:rsidR="004F59DB">
        <w:t>, kurių</w:t>
      </w:r>
      <w:r w:rsidR="0005138F">
        <w:t xml:space="preserve"> dalis </w:t>
      </w:r>
      <w:r w:rsidR="00D65300">
        <w:t>optimalioj</w:t>
      </w:r>
      <w:r w:rsidR="008D429A">
        <w:t>e</w:t>
      </w:r>
      <w:r w:rsidR="00D65300">
        <w:t xml:space="preserve"> </w:t>
      </w:r>
      <w:r w:rsidR="00A94253">
        <w:t>elgsenoj</w:t>
      </w:r>
      <w:r w:rsidR="008D429A">
        <w:t>e</w:t>
      </w:r>
      <w:r w:rsidR="00A94253">
        <w:t xml:space="preserve"> (34</w:t>
      </w:r>
      <w:r w:rsidR="0005138F">
        <w:t xml:space="preserve"> balai) sudarė</w:t>
      </w:r>
      <w:r w:rsidR="00D65300">
        <w:t xml:space="preserve"> </w:t>
      </w:r>
      <w:r w:rsidR="00EE48A6">
        <w:t>56 proc.</w:t>
      </w:r>
      <w:r w:rsidR="004F59DB">
        <w:t xml:space="preserve"> </w:t>
      </w:r>
      <w:r w:rsidR="008D429A">
        <w:t>T</w:t>
      </w:r>
      <w:r w:rsidR="00AF6954">
        <w:t xml:space="preserve">ai reiškia, jog </w:t>
      </w:r>
      <w:r w:rsidR="008D429A">
        <w:t xml:space="preserve">netinkamos </w:t>
      </w:r>
      <w:r w:rsidR="002C44BD">
        <w:t>elgsenos problemos slypi</w:t>
      </w:r>
      <w:r w:rsidR="00A475A9">
        <w:t xml:space="preserve"> tose srityse, kurios yra susijusios su </w:t>
      </w:r>
      <w:r w:rsidR="00ED55C0">
        <w:t>asmens vidinėmis savybėmis</w:t>
      </w:r>
      <w:r w:rsidR="00A475A9">
        <w:t xml:space="preserve">, </w:t>
      </w:r>
      <w:r w:rsidR="001B40AA">
        <w:t>ir</w:t>
      </w:r>
      <w:r w:rsidR="00CC5E7A">
        <w:t xml:space="preserve">, kad jos </w:t>
      </w:r>
      <w:r w:rsidR="003B2ABC">
        <w:t xml:space="preserve">yra </w:t>
      </w:r>
      <w:r w:rsidR="006656CF">
        <w:t xml:space="preserve">stipriai veikiamos </w:t>
      </w:r>
      <w:r w:rsidR="000062DA">
        <w:t>reiškinių</w:t>
      </w:r>
      <w:r w:rsidR="00160D54">
        <w:t xml:space="preserve">, </w:t>
      </w:r>
      <w:r w:rsidR="00F66D89">
        <w:t xml:space="preserve">– </w:t>
      </w:r>
      <w:r w:rsidR="00336F16" w:rsidRPr="00F66D89">
        <w:rPr>
          <w:i/>
        </w:rPr>
        <w:t>tokių</w:t>
      </w:r>
      <w:r w:rsidR="000062DA" w:rsidRPr="00F66D89">
        <w:rPr>
          <w:i/>
        </w:rPr>
        <w:t xml:space="preserve"> kaip skurdo „spąstai“</w:t>
      </w:r>
      <w:r w:rsidR="005B7899" w:rsidRPr="00F66D89">
        <w:rPr>
          <w:i/>
        </w:rPr>
        <w:t xml:space="preserve"> ar </w:t>
      </w:r>
      <w:r w:rsidR="000062DA" w:rsidRPr="00F66D89">
        <w:rPr>
          <w:i/>
        </w:rPr>
        <w:t>šešėlinė ekonomika</w:t>
      </w:r>
      <w:r w:rsidR="005B4E65">
        <w:t xml:space="preserve">, </w:t>
      </w:r>
      <w:r w:rsidR="00F66D89">
        <w:t xml:space="preserve">– </w:t>
      </w:r>
      <w:r w:rsidR="005B4E65">
        <w:t xml:space="preserve">kurie </w:t>
      </w:r>
      <w:r w:rsidR="005B7899">
        <w:t>sudaro sąlygas</w:t>
      </w:r>
      <w:r w:rsidR="00564394">
        <w:t xml:space="preserve"> rinktis blog</w:t>
      </w:r>
      <w:r w:rsidR="006656CF">
        <w:t>ą finansinę elgseną.</w:t>
      </w:r>
    </w:p>
    <w:p w:rsidR="00732EC3" w:rsidRDefault="008429C0" w:rsidP="00732CF2">
      <w:r>
        <w:lastRenderedPageBreak/>
        <w:t xml:space="preserve">Kalbant apie kitas veiksnių </w:t>
      </w:r>
      <w:r w:rsidRPr="00725FA7">
        <w:t>grupes</w:t>
      </w:r>
      <w:r w:rsidR="00BA3483" w:rsidRPr="00725FA7">
        <w:t xml:space="preserve"> (</w:t>
      </w:r>
      <w:r w:rsidR="006A0900" w:rsidRPr="00725FA7">
        <w:t>žr. 14</w:t>
      </w:r>
      <w:r w:rsidR="00BA3483" w:rsidRPr="00725FA7">
        <w:t> pav.)</w:t>
      </w:r>
      <w:r w:rsidRPr="00725FA7">
        <w:t>,</w:t>
      </w:r>
      <w:r>
        <w:t xml:space="preserve"> reiktų</w:t>
      </w:r>
      <w:r w:rsidR="008A3022">
        <w:t xml:space="preserve"> p</w:t>
      </w:r>
      <w:r w:rsidR="00BA3483">
        <w:t>asaky</w:t>
      </w:r>
      <w:r w:rsidR="008A3022">
        <w:t>ti</w:t>
      </w:r>
      <w:r>
        <w:t xml:space="preserve">, jog labiausiai pageidautinai elgsenai </w:t>
      </w:r>
      <w:r w:rsidR="008A3022">
        <w:t xml:space="preserve">(36 balai) </w:t>
      </w:r>
      <w:r>
        <w:t>prilygo socialini</w:t>
      </w:r>
      <w:r w:rsidR="00BA3483">
        <w:t>ai</w:t>
      </w:r>
      <w:r w:rsidR="00DD03DF">
        <w:t>-demografini</w:t>
      </w:r>
      <w:r w:rsidR="00BA3483">
        <w:t>ai</w:t>
      </w:r>
      <w:r w:rsidR="00F140D8">
        <w:t xml:space="preserve"> </w:t>
      </w:r>
      <w:r w:rsidR="00DD03DF">
        <w:t>veiksni</w:t>
      </w:r>
      <w:r w:rsidR="00BA3483">
        <w:t>ai</w:t>
      </w:r>
      <w:r w:rsidR="00DD03DF">
        <w:t xml:space="preserve"> </w:t>
      </w:r>
      <w:r w:rsidR="00BA3483">
        <w:t>(29 balai)</w:t>
      </w:r>
      <w:r w:rsidR="00F140D8">
        <w:t xml:space="preserve">, kurių </w:t>
      </w:r>
      <w:r w:rsidR="007E1753">
        <w:t xml:space="preserve">bendras </w:t>
      </w:r>
      <w:r w:rsidR="00DD03DF">
        <w:t>įvertinimas</w:t>
      </w:r>
      <w:r w:rsidR="00F140D8">
        <w:t xml:space="preserve"> sudarė</w:t>
      </w:r>
      <w:r w:rsidR="00D95098">
        <w:t xml:space="preserve"> </w:t>
      </w:r>
      <w:r w:rsidR="00BA3483">
        <w:t>81 proc</w:t>
      </w:r>
      <w:r w:rsidR="00D95098">
        <w:t>.</w:t>
      </w:r>
      <w:r w:rsidR="00B43FE2">
        <w:t xml:space="preserve"> </w:t>
      </w:r>
      <w:r w:rsidR="00E83C5F">
        <w:t>optimalios elgsenos. Ganėtin</w:t>
      </w:r>
      <w:r w:rsidR="00B43FE2">
        <w:t>ai</w:t>
      </w:r>
      <w:r w:rsidR="00942BA9">
        <w:t xml:space="preserve"> </w:t>
      </w:r>
      <w:r w:rsidR="00E452FB">
        <w:t>pagrįst</w:t>
      </w:r>
      <w:r w:rsidR="00C26B63">
        <w:t>ą</w:t>
      </w:r>
      <w:r w:rsidR="00E452FB">
        <w:t xml:space="preserve"> </w:t>
      </w:r>
      <w:r w:rsidR="00942BA9">
        <w:t>elgsen</w:t>
      </w:r>
      <w:r w:rsidR="00C26B63">
        <w:t xml:space="preserve">ą </w:t>
      </w:r>
      <w:r w:rsidR="00E83C5F">
        <w:t xml:space="preserve">socialinių išmokų gavėjai </w:t>
      </w:r>
      <w:r w:rsidR="00C26B63">
        <w:t>demonstravo</w:t>
      </w:r>
      <w:r w:rsidR="00E452FB">
        <w:t xml:space="preserve"> </w:t>
      </w:r>
      <w:r w:rsidR="007D0A5A">
        <w:t xml:space="preserve">ir </w:t>
      </w:r>
      <w:r w:rsidR="00942BA9">
        <w:t xml:space="preserve">teisinių-politinių </w:t>
      </w:r>
      <w:r w:rsidR="00E452FB">
        <w:t xml:space="preserve">(15 balų) </w:t>
      </w:r>
      <w:r w:rsidR="00942BA9">
        <w:t>veiksnių</w:t>
      </w:r>
      <w:r w:rsidR="00E452FB">
        <w:t xml:space="preserve"> atžvilgiu</w:t>
      </w:r>
      <w:r w:rsidR="00C26B63">
        <w:t xml:space="preserve">, </w:t>
      </w:r>
      <w:r w:rsidR="00C11AB5">
        <w:t>kurių</w:t>
      </w:r>
      <w:r w:rsidR="00E452FB">
        <w:t xml:space="preserve"> </w:t>
      </w:r>
      <w:r w:rsidR="00555022">
        <w:t xml:space="preserve">svertinis </w:t>
      </w:r>
      <w:r w:rsidR="000865BA">
        <w:t xml:space="preserve">balas </w:t>
      </w:r>
      <w:r w:rsidR="00D801E1">
        <w:t xml:space="preserve">sudarė </w:t>
      </w:r>
      <w:r w:rsidR="003F3729">
        <w:t xml:space="preserve">75 proc. </w:t>
      </w:r>
      <w:r w:rsidR="00D801E1">
        <w:t xml:space="preserve">pageidautinos </w:t>
      </w:r>
      <w:r w:rsidR="003F3729">
        <w:t>elgsenos</w:t>
      </w:r>
      <w:r w:rsidR="00395AF9">
        <w:t xml:space="preserve"> (20 balų)</w:t>
      </w:r>
      <w:r w:rsidR="00E1596A">
        <w:t xml:space="preserve">. </w:t>
      </w:r>
      <w:r w:rsidR="00521E0B">
        <w:t xml:space="preserve">Nors </w:t>
      </w:r>
      <w:r w:rsidR="00732EC3">
        <w:t>tok</w:t>
      </w:r>
      <w:r w:rsidR="00D801E1">
        <w:t xml:space="preserve">ie </w:t>
      </w:r>
      <w:r w:rsidR="00BD7DF2">
        <w:t>skaičiai</w:t>
      </w:r>
      <w:r w:rsidR="003F3729">
        <w:t xml:space="preserve"> </w:t>
      </w:r>
      <w:r w:rsidR="000865BA">
        <w:t>byloj</w:t>
      </w:r>
      <w:r w:rsidR="003F3729">
        <w:t xml:space="preserve">a, jog </w:t>
      </w:r>
      <w:r w:rsidR="000865BA" w:rsidRPr="008E64BC">
        <w:rPr>
          <w:i/>
        </w:rPr>
        <w:t xml:space="preserve">antroji </w:t>
      </w:r>
      <w:r w:rsidR="00521E0B" w:rsidRPr="008E64BC">
        <w:rPr>
          <w:i/>
        </w:rPr>
        <w:t>hipotezė (H</w:t>
      </w:r>
      <w:r w:rsidR="00521E0B" w:rsidRPr="008E64BC">
        <w:rPr>
          <w:i/>
          <w:vertAlign w:val="subscript"/>
        </w:rPr>
        <w:t>2</w:t>
      </w:r>
      <w:r w:rsidR="00521E0B" w:rsidRPr="008E64BC">
        <w:rPr>
          <w:i/>
        </w:rPr>
        <w:t>)</w:t>
      </w:r>
      <w:r w:rsidR="00C75070" w:rsidRPr="008E64BC">
        <w:rPr>
          <w:i/>
        </w:rPr>
        <w:t xml:space="preserve"> </w:t>
      </w:r>
      <w:r w:rsidR="008E64BC" w:rsidRPr="008E64BC">
        <w:rPr>
          <w:i/>
        </w:rPr>
        <w:t>turėtų būti patvirtinta</w:t>
      </w:r>
      <w:r w:rsidR="00776ADB">
        <w:t xml:space="preserve">, vis dėlto </w:t>
      </w:r>
      <w:r w:rsidR="00CB30B2">
        <w:t>turime</w:t>
      </w:r>
      <w:r w:rsidR="00D93E27">
        <w:t xml:space="preserve"> </w:t>
      </w:r>
      <w:r w:rsidR="00CB30B2">
        <w:t xml:space="preserve">pagrindo manyti, jog </w:t>
      </w:r>
      <w:r w:rsidR="00E1596A">
        <w:t xml:space="preserve">apklausos dalyviai </w:t>
      </w:r>
      <w:r w:rsidR="0035238D">
        <w:t xml:space="preserve">nebuvo visiškai atviri, </w:t>
      </w:r>
      <w:r w:rsidR="00F25915">
        <w:t xml:space="preserve">vertindami veiksnius </w:t>
      </w:r>
      <w:r w:rsidR="00A612A0">
        <w:t>(</w:t>
      </w:r>
      <w:r w:rsidR="00AE2E9C">
        <w:t xml:space="preserve">prieštaravimų atsiranda, apžvelgiant </w:t>
      </w:r>
      <w:r w:rsidR="002730A1">
        <w:t xml:space="preserve">visus </w:t>
      </w:r>
      <w:r w:rsidR="00AE2E9C">
        <w:t xml:space="preserve">konkretaus </w:t>
      </w:r>
      <w:r w:rsidR="00F25915">
        <w:t xml:space="preserve">žmogaus </w:t>
      </w:r>
      <w:r w:rsidR="00B47627">
        <w:t>atsakymus</w:t>
      </w:r>
      <w:r w:rsidR="000A0158">
        <w:t xml:space="preserve">, pavyzdžiui, </w:t>
      </w:r>
      <w:r w:rsidR="001F47A3">
        <w:t>18</w:t>
      </w:r>
      <w:r w:rsidR="00CC1615">
        <w:t xml:space="preserve"> proc. </w:t>
      </w:r>
      <w:r w:rsidR="001F47A3">
        <w:t>darbo</w:t>
      </w:r>
      <w:r w:rsidR="00C3520E">
        <w:t xml:space="preserve"> </w:t>
      </w:r>
      <w:r w:rsidR="00C3520E" w:rsidRPr="00C3520E">
        <w:rPr>
          <w:i/>
        </w:rPr>
        <w:t>daugiau kaip</w:t>
      </w:r>
      <w:r w:rsidR="001F47A3">
        <w:t xml:space="preserve"> </w:t>
      </w:r>
      <w:r w:rsidR="001F47A3" w:rsidRPr="001F47A3">
        <w:rPr>
          <w:i/>
        </w:rPr>
        <w:t>metus laiko</w:t>
      </w:r>
      <w:r w:rsidR="005E0094">
        <w:t xml:space="preserve"> ieškoju</w:t>
      </w:r>
      <w:r w:rsidR="001F47A3">
        <w:t>sių</w:t>
      </w:r>
      <w:r w:rsidR="002730A1">
        <w:t xml:space="preserve"> </w:t>
      </w:r>
      <w:r w:rsidR="001F47A3">
        <w:t xml:space="preserve">individų </w:t>
      </w:r>
      <w:r w:rsidR="002730A1">
        <w:t xml:space="preserve">teigė, jog </w:t>
      </w:r>
      <w:r w:rsidR="005E0094">
        <w:t>motyvacija</w:t>
      </w:r>
      <w:r w:rsidR="00C3520E">
        <w:t xml:space="preserve"> </w:t>
      </w:r>
      <w:r w:rsidR="00B47332">
        <w:t xml:space="preserve">jų nesugebėjimui įsilieti į darbo rinką </w:t>
      </w:r>
      <w:r w:rsidR="00C3520E">
        <w:t>nedaro jokios įtakos</w:t>
      </w:r>
      <w:r w:rsidR="000A0158">
        <w:t>)</w:t>
      </w:r>
      <w:r w:rsidR="005E0094">
        <w:t>,</w:t>
      </w:r>
      <w:r w:rsidR="00B47627">
        <w:t xml:space="preserve"> – </w:t>
      </w:r>
      <w:r w:rsidR="00D21B81">
        <w:t>tai reiškia, jog did</w:t>
      </w:r>
      <w:r w:rsidR="005E0094">
        <w:t xml:space="preserve">esnę įtaką socialinių išmokų gavėjų elgsenai </w:t>
      </w:r>
      <w:r w:rsidR="00D21B81">
        <w:t>galėjo</w:t>
      </w:r>
      <w:r w:rsidR="00220E75">
        <w:t xml:space="preserve"> daryti</w:t>
      </w:r>
      <w:r w:rsidR="00B86BD3">
        <w:t xml:space="preserve"> ir</w:t>
      </w:r>
      <w:r w:rsidR="00220E75">
        <w:t xml:space="preserve"> kiti veiksniai</w:t>
      </w:r>
      <w:r w:rsidR="0057773B">
        <w:t>,</w:t>
      </w:r>
      <w:r w:rsidR="0074441D">
        <w:t xml:space="preserve"> ne</w:t>
      </w:r>
      <w:r w:rsidR="00B86BD3">
        <w:t>i</w:t>
      </w:r>
      <w:r w:rsidR="0074441D">
        <w:t xml:space="preserve"> </w:t>
      </w:r>
      <w:r w:rsidR="00FE01B0">
        <w:t>nurodė patys apklausos dalyviai</w:t>
      </w:r>
      <w:r w:rsidR="00732EC3">
        <w:t>.</w:t>
      </w:r>
    </w:p>
    <w:p w:rsidR="006656CF" w:rsidRDefault="00AF24CC" w:rsidP="003C3C81">
      <w:pPr>
        <w:spacing w:after="100" w:line="240" w:lineRule="auto"/>
        <w:ind w:firstLine="0"/>
      </w:pPr>
      <w:r w:rsidRPr="00AF24CC">
        <w:rPr>
          <w:noProof/>
          <w:lang w:val="en-US"/>
        </w:rPr>
        <w:drawing>
          <wp:inline distT="0" distB="0" distL="0" distR="0">
            <wp:extent cx="6511925" cy="2390775"/>
            <wp:effectExtent l="0" t="19050" r="79375" b="47625"/>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C4B29" w:rsidRDefault="008C4B29" w:rsidP="00B35CF5">
      <w:pPr>
        <w:spacing w:after="0" w:line="240" w:lineRule="auto"/>
        <w:rPr>
          <w:sz w:val="20"/>
        </w:rPr>
      </w:pPr>
      <w:r w:rsidRPr="008C4B29">
        <w:rPr>
          <w:b/>
          <w:sz w:val="20"/>
        </w:rPr>
        <w:t>Šaltinis</w:t>
      </w:r>
      <w:r w:rsidRPr="008C4B29">
        <w:rPr>
          <w:sz w:val="20"/>
        </w:rPr>
        <w:t>: sudaryta šio darbo autorės</w:t>
      </w:r>
      <w:r w:rsidR="00FF2CFA">
        <w:rPr>
          <w:sz w:val="20"/>
        </w:rPr>
        <w:t>, remiantis apklausos rezultatais</w:t>
      </w:r>
    </w:p>
    <w:bookmarkStart w:id="40" w:name="_Toc343590411"/>
    <w:p w:rsidR="00B019E2" w:rsidRDefault="00D84BC4" w:rsidP="00886347">
      <w:pPr>
        <w:pStyle w:val="Caption"/>
      </w:pPr>
      <w:r w:rsidRPr="003355F9">
        <w:rPr>
          <w:b w:val="0"/>
        </w:rPr>
        <w:fldChar w:fldCharType="begin"/>
      </w:r>
      <w:r w:rsidR="00725FA7" w:rsidRPr="003355F9">
        <w:rPr>
          <w:b w:val="0"/>
        </w:rPr>
        <w:instrText xml:space="preserve"> SEQ pav. \* ARABIC </w:instrText>
      </w:r>
      <w:r w:rsidRPr="003355F9">
        <w:rPr>
          <w:b w:val="0"/>
        </w:rPr>
        <w:fldChar w:fldCharType="separate"/>
      </w:r>
      <w:r w:rsidR="00725FA7" w:rsidRPr="003355F9">
        <w:rPr>
          <w:b w:val="0"/>
        </w:rPr>
        <w:t>14</w:t>
      </w:r>
      <w:r w:rsidRPr="003355F9">
        <w:rPr>
          <w:b w:val="0"/>
        </w:rPr>
        <w:fldChar w:fldCharType="end"/>
      </w:r>
      <w:r w:rsidR="00725FA7" w:rsidRPr="003355F9">
        <w:rPr>
          <w:b w:val="0"/>
        </w:rPr>
        <w:t xml:space="preserve"> </w:t>
      </w:r>
      <w:r w:rsidR="00FF2CFA" w:rsidRPr="003355F9">
        <w:rPr>
          <w:b w:val="0"/>
        </w:rPr>
        <w:t>pav.</w:t>
      </w:r>
      <w:r w:rsidR="00FF2CFA" w:rsidRPr="00FF2CFA">
        <w:rPr>
          <w:color w:val="FF0000"/>
        </w:rPr>
        <w:t xml:space="preserve"> </w:t>
      </w:r>
      <w:r w:rsidR="00B35CF5">
        <w:t>Apklausos rezultatai: bedarbių ir socialinės paramos gavėjų finansinė elgsena</w:t>
      </w:r>
      <w:bookmarkEnd w:id="40"/>
    </w:p>
    <w:p w:rsidR="008F4771" w:rsidRDefault="008F4771" w:rsidP="008F4771">
      <w:r>
        <w:t>Taigi</w:t>
      </w:r>
      <w:r w:rsidR="006F77B1">
        <w:t>,</w:t>
      </w:r>
      <w:r>
        <w:t xml:space="preserve"> </w:t>
      </w:r>
      <w:r w:rsidRPr="00FF2CFA">
        <w:t>atsiranda poreikis atlikti palyginamąjį vertinimą</w:t>
      </w:r>
      <w:r>
        <w:t>, kuris leis</w:t>
      </w:r>
      <w:r w:rsidR="00FF2CFA">
        <w:t>tų</w:t>
      </w:r>
      <w:r>
        <w:t xml:space="preserve"> ne tik patikrinti socialinių išmokų gavėjų </w:t>
      </w:r>
      <w:r w:rsidR="00FF2CFA">
        <w:t xml:space="preserve">atliktus </w:t>
      </w:r>
      <w:r>
        <w:t>vertinimus, bet kartu</w:t>
      </w:r>
      <w:r w:rsidR="00FF2CFA">
        <w:t xml:space="preserve"> </w:t>
      </w:r>
      <w:r>
        <w:t xml:space="preserve">įsitikinti asmeninėmis </w:t>
      </w:r>
      <w:r w:rsidR="00D370BA">
        <w:t xml:space="preserve">jų </w:t>
      </w:r>
      <w:r>
        <w:t>pastangomis pakeisti savo socialinį statusą.</w:t>
      </w:r>
    </w:p>
    <w:p w:rsidR="00E77A1E" w:rsidRPr="000B1DB6" w:rsidRDefault="00B424E6" w:rsidP="00404939">
      <w:pPr>
        <w:pStyle w:val="Heading3"/>
      </w:pPr>
      <w:bookmarkStart w:id="41" w:name="_Toc343636890"/>
      <w:r w:rsidRPr="000B1DB6">
        <w:t xml:space="preserve">Ekspertinio </w:t>
      </w:r>
      <w:r w:rsidR="006C308D" w:rsidRPr="000B1DB6">
        <w:t>vertinimo rezultatai</w:t>
      </w:r>
      <w:bookmarkEnd w:id="41"/>
    </w:p>
    <w:p w:rsidR="008677E7" w:rsidRDefault="00585E26" w:rsidP="006D4DD9">
      <w:r>
        <w:t xml:space="preserve">Siekiant išsiaiškinti, kaip specialistai, </w:t>
      </w:r>
      <w:r w:rsidR="005C2260">
        <w:t xml:space="preserve">t. y. </w:t>
      </w:r>
      <w:r>
        <w:t>savo srities žinovai, vertina nedarbo draudimo išmok</w:t>
      </w:r>
      <w:r w:rsidR="00852C93">
        <w:t>ų</w:t>
      </w:r>
      <w:r w:rsidR="005C2260">
        <w:t xml:space="preserve"> </w:t>
      </w:r>
      <w:r w:rsidR="009E2808">
        <w:t>bei</w:t>
      </w:r>
      <w:r w:rsidR="00CE329C">
        <w:t xml:space="preserve"> </w:t>
      </w:r>
      <w:r w:rsidR="005C2260">
        <w:t>socialin</w:t>
      </w:r>
      <w:r w:rsidR="00852C93">
        <w:t>ės</w:t>
      </w:r>
      <w:r w:rsidR="005C2260">
        <w:t xml:space="preserve"> param</w:t>
      </w:r>
      <w:r w:rsidR="00852C93">
        <w:t>os</w:t>
      </w:r>
      <w:r w:rsidR="005C2260">
        <w:t xml:space="preserve"> </w:t>
      </w:r>
      <w:r w:rsidR="00852C93">
        <w:t>gavėjų finansin</w:t>
      </w:r>
      <w:r w:rsidR="00CE329C">
        <w:t>ę</w:t>
      </w:r>
      <w:r w:rsidR="00852C93">
        <w:t xml:space="preserve"> </w:t>
      </w:r>
      <w:r w:rsidR="005C2260">
        <w:t>elgseną</w:t>
      </w:r>
      <w:r w:rsidR="00852C93">
        <w:t xml:space="preserve">, </w:t>
      </w:r>
      <w:r w:rsidR="00CE329C">
        <w:t xml:space="preserve">buvo </w:t>
      </w:r>
      <w:r w:rsidR="00852C93">
        <w:t xml:space="preserve">atliktas </w:t>
      </w:r>
      <w:r w:rsidR="009E2808">
        <w:t xml:space="preserve">kokybinis </w:t>
      </w:r>
      <w:r w:rsidR="00CE329C">
        <w:t>interviu</w:t>
      </w:r>
      <w:r w:rsidR="00C63766">
        <w:t xml:space="preserve">, kurio </w:t>
      </w:r>
      <w:r w:rsidR="00C63766" w:rsidRPr="001960C7">
        <w:rPr>
          <w:b/>
          <w:i/>
        </w:rPr>
        <w:t>tikslas</w:t>
      </w:r>
      <w:r w:rsidR="006729DF">
        <w:t xml:space="preserve"> </w:t>
      </w:r>
      <w:r w:rsidR="006729DF" w:rsidRPr="00DF4FA8">
        <w:rPr>
          <w:i/>
        </w:rPr>
        <w:t>buvo</w:t>
      </w:r>
      <w:r w:rsidR="00457CDF" w:rsidRPr="00DF4FA8">
        <w:rPr>
          <w:i/>
        </w:rPr>
        <w:t xml:space="preserve"> sužinoti</w:t>
      </w:r>
      <w:r w:rsidR="001E3F21" w:rsidRPr="00DF4FA8">
        <w:rPr>
          <w:i/>
        </w:rPr>
        <w:t>, k</w:t>
      </w:r>
      <w:r w:rsidR="006E047C">
        <w:rPr>
          <w:i/>
        </w:rPr>
        <w:t>ok</w:t>
      </w:r>
      <w:r w:rsidR="00457CDF" w:rsidRPr="00DF4FA8">
        <w:rPr>
          <w:i/>
        </w:rPr>
        <w:t>ie</w:t>
      </w:r>
      <w:r w:rsidR="001E3F21" w:rsidRPr="00DF4FA8">
        <w:rPr>
          <w:i/>
        </w:rPr>
        <w:t xml:space="preserve"> veiksniai </w:t>
      </w:r>
      <w:r w:rsidR="0059455D" w:rsidRPr="00DF4FA8">
        <w:rPr>
          <w:i/>
        </w:rPr>
        <w:t xml:space="preserve">labiausiai </w:t>
      </w:r>
      <w:r w:rsidR="007C50DB">
        <w:rPr>
          <w:i/>
        </w:rPr>
        <w:t>skatina priimti sprendimą</w:t>
      </w:r>
      <w:r w:rsidR="00985C68">
        <w:rPr>
          <w:i/>
        </w:rPr>
        <w:t xml:space="preserve"> </w:t>
      </w:r>
      <w:r w:rsidR="001E3F21" w:rsidRPr="00DF4FA8">
        <w:rPr>
          <w:i/>
        </w:rPr>
        <w:t>pajam</w:t>
      </w:r>
      <w:r w:rsidR="00985C68">
        <w:rPr>
          <w:i/>
        </w:rPr>
        <w:t>as</w:t>
      </w:r>
      <w:r w:rsidR="001E3F21" w:rsidRPr="00DF4FA8">
        <w:rPr>
          <w:i/>
        </w:rPr>
        <w:t xml:space="preserve"> form</w:t>
      </w:r>
      <w:r w:rsidR="00985C68">
        <w:rPr>
          <w:i/>
        </w:rPr>
        <w:t>uoti</w:t>
      </w:r>
      <w:r w:rsidR="001E3F21" w:rsidRPr="00DF4FA8">
        <w:rPr>
          <w:i/>
        </w:rPr>
        <w:t xml:space="preserve"> iš </w:t>
      </w:r>
      <w:r w:rsidR="006E047C">
        <w:rPr>
          <w:i/>
        </w:rPr>
        <w:t xml:space="preserve">socialinės apsaugos </w:t>
      </w:r>
      <w:r w:rsidR="001E3F21" w:rsidRPr="00DF4FA8">
        <w:rPr>
          <w:i/>
        </w:rPr>
        <w:t>lėšų</w:t>
      </w:r>
      <w:r w:rsidR="007C50DB">
        <w:rPr>
          <w:i/>
        </w:rPr>
        <w:t>,</w:t>
      </w:r>
      <w:r w:rsidR="0059455D" w:rsidRPr="00DF4FA8">
        <w:rPr>
          <w:i/>
        </w:rPr>
        <w:t xml:space="preserve"> ir kartu</w:t>
      </w:r>
      <w:r w:rsidR="00EF3BD8" w:rsidRPr="00DF4FA8">
        <w:rPr>
          <w:i/>
        </w:rPr>
        <w:t xml:space="preserve"> atskleisti</w:t>
      </w:r>
      <w:r w:rsidR="0059455D" w:rsidRPr="00DF4FA8">
        <w:rPr>
          <w:i/>
        </w:rPr>
        <w:t xml:space="preserve">, </w:t>
      </w:r>
      <w:r w:rsidR="00B424E6" w:rsidRPr="00DF4FA8">
        <w:rPr>
          <w:i/>
        </w:rPr>
        <w:t>kokios yra asmen</w:t>
      </w:r>
      <w:r w:rsidR="004024DB" w:rsidRPr="00DF4FA8">
        <w:rPr>
          <w:i/>
        </w:rPr>
        <w:t xml:space="preserve">inių pastangų </w:t>
      </w:r>
      <w:r w:rsidR="004D6A36">
        <w:rPr>
          <w:i/>
        </w:rPr>
        <w:t xml:space="preserve">pakeisti </w:t>
      </w:r>
      <w:r w:rsidR="00523A32">
        <w:rPr>
          <w:i/>
        </w:rPr>
        <w:t xml:space="preserve">savo </w:t>
      </w:r>
      <w:r w:rsidR="004D6A36">
        <w:rPr>
          <w:i/>
        </w:rPr>
        <w:t xml:space="preserve">socialinį statusą </w:t>
      </w:r>
      <w:r w:rsidR="00B424E6" w:rsidRPr="00DF4FA8">
        <w:rPr>
          <w:i/>
        </w:rPr>
        <w:t>tendencijos</w:t>
      </w:r>
      <w:r w:rsidR="008677E7">
        <w:t xml:space="preserve">. Metodas </w:t>
      </w:r>
      <w:r w:rsidR="007C50DB">
        <w:t>pasi</w:t>
      </w:r>
      <w:r w:rsidR="008D57D2">
        <w:t>rinktas</w:t>
      </w:r>
      <w:r w:rsidR="003E5382">
        <w:t xml:space="preserve"> apgalvotai</w:t>
      </w:r>
      <w:r w:rsidR="008677E7">
        <w:t>:</w:t>
      </w:r>
      <w:r w:rsidR="0055730A">
        <w:t xml:space="preserve"> kadangi</w:t>
      </w:r>
      <w:r w:rsidR="00D25586">
        <w:t xml:space="preserve"> </w:t>
      </w:r>
      <w:r w:rsidR="00945163">
        <w:t xml:space="preserve">bedarbiai ir socialinės paramos </w:t>
      </w:r>
      <w:r w:rsidR="00D25586">
        <w:t xml:space="preserve">gavėjai </w:t>
      </w:r>
      <w:r w:rsidR="008634F8">
        <w:t xml:space="preserve">nėra </w:t>
      </w:r>
      <w:r w:rsidR="00D25586">
        <w:t xml:space="preserve">linkę </w:t>
      </w:r>
      <w:r w:rsidR="00F532BE">
        <w:t xml:space="preserve">apie save </w:t>
      </w:r>
      <w:r w:rsidR="00D25586">
        <w:t>atskleisti</w:t>
      </w:r>
      <w:r w:rsidR="00982092">
        <w:t xml:space="preserve"> </w:t>
      </w:r>
      <w:r w:rsidR="00333E37">
        <w:t>vis</w:t>
      </w:r>
      <w:r w:rsidR="007D360B">
        <w:t>ų duomenų</w:t>
      </w:r>
      <w:r w:rsidR="00140E5E">
        <w:t>,</w:t>
      </w:r>
      <w:r w:rsidR="00F532BE">
        <w:t xml:space="preserve"> </w:t>
      </w:r>
      <w:r w:rsidR="00646D24">
        <w:t>ekspert</w:t>
      </w:r>
      <w:r w:rsidR="008D57D2">
        <w:t>ų</w:t>
      </w:r>
      <w:r w:rsidR="00646D24">
        <w:t xml:space="preserve"> </w:t>
      </w:r>
      <w:r w:rsidR="008D57D2">
        <w:t xml:space="preserve">apklausa </w:t>
      </w:r>
      <w:r w:rsidR="00745798">
        <w:t>tapo</w:t>
      </w:r>
      <w:r w:rsidR="00646D24">
        <w:t xml:space="preserve"> pagalbin</w:t>
      </w:r>
      <w:r w:rsidR="00F1669F">
        <w:t>e</w:t>
      </w:r>
      <w:r w:rsidR="00646D24">
        <w:t xml:space="preserve"> priemon</w:t>
      </w:r>
      <w:r w:rsidR="00F1669F">
        <w:t>e</w:t>
      </w:r>
      <w:r w:rsidR="004F0748">
        <w:t>, leidžian</w:t>
      </w:r>
      <w:r w:rsidR="00F1669F">
        <w:t>čia</w:t>
      </w:r>
      <w:r w:rsidR="004F0748">
        <w:t xml:space="preserve"> </w:t>
      </w:r>
      <w:r w:rsidR="00642EF9">
        <w:t>suprasti</w:t>
      </w:r>
      <w:r w:rsidR="00D06ABB">
        <w:t xml:space="preserve"> </w:t>
      </w:r>
      <w:r w:rsidR="001C5121">
        <w:t xml:space="preserve">priimamų </w:t>
      </w:r>
      <w:r w:rsidR="00F532BE">
        <w:t>finansin</w:t>
      </w:r>
      <w:r w:rsidR="001C5121">
        <w:t>ių</w:t>
      </w:r>
      <w:r w:rsidR="00F532BE">
        <w:t xml:space="preserve"> </w:t>
      </w:r>
      <w:r w:rsidR="001C5121">
        <w:t xml:space="preserve">sprendimų </w:t>
      </w:r>
      <w:r w:rsidR="003E5382">
        <w:t>priežastis</w:t>
      </w:r>
      <w:r w:rsidR="00D06ABB">
        <w:t>.</w:t>
      </w:r>
    </w:p>
    <w:p w:rsidR="006C308D" w:rsidRDefault="000B5E14" w:rsidP="006D4DD9">
      <w:r>
        <w:t xml:space="preserve">Reiktų </w:t>
      </w:r>
      <w:r w:rsidR="00D60CF9">
        <w:t>pastebėti</w:t>
      </w:r>
      <w:r>
        <w:t>, jog veiksnių įtaka</w:t>
      </w:r>
      <w:r w:rsidR="001C3E86">
        <w:t xml:space="preserve">i </w:t>
      </w:r>
      <w:r w:rsidR="00D60CF9">
        <w:t xml:space="preserve">– </w:t>
      </w:r>
      <w:r w:rsidR="003C6FDA" w:rsidRPr="00AB09A3">
        <w:rPr>
          <w:i/>
        </w:rPr>
        <w:t>formuoti pajamas iš socialinės apsaugos lėšų</w:t>
      </w:r>
      <w:r w:rsidR="00D60CF9">
        <w:t xml:space="preserve"> –</w:t>
      </w:r>
      <w:r w:rsidR="003C6FDA">
        <w:t xml:space="preserve"> </w:t>
      </w:r>
      <w:r w:rsidR="001C3E86">
        <w:t>nustatyti buvo atlikta</w:t>
      </w:r>
      <w:r w:rsidR="001C3E86" w:rsidRPr="00AF7EC7">
        <w:t xml:space="preserve"> </w:t>
      </w:r>
      <w:proofErr w:type="spellStart"/>
      <w:r w:rsidR="001C3E86" w:rsidRPr="003242CA">
        <w:rPr>
          <w:b/>
          <w:i/>
        </w:rPr>
        <w:t>daugiakriterinė</w:t>
      </w:r>
      <w:proofErr w:type="spellEnd"/>
      <w:r w:rsidR="001C3E86" w:rsidRPr="003242CA">
        <w:rPr>
          <w:b/>
          <w:i/>
        </w:rPr>
        <w:t xml:space="preserve"> analizė</w:t>
      </w:r>
      <w:r w:rsidR="00370AB6" w:rsidRPr="00AF7EC7">
        <w:t xml:space="preserve">, </w:t>
      </w:r>
      <w:r w:rsidR="00370AB6">
        <w:t xml:space="preserve">o </w:t>
      </w:r>
      <w:r w:rsidR="00E655D5">
        <w:t xml:space="preserve">pagrindinėms tendencijoms </w:t>
      </w:r>
      <w:r w:rsidR="00A36A8E">
        <w:t>atskleisti</w:t>
      </w:r>
      <w:r w:rsidR="004B5AE4">
        <w:t xml:space="preserve"> –</w:t>
      </w:r>
      <w:r w:rsidR="00A36A8E">
        <w:t xml:space="preserve"> </w:t>
      </w:r>
      <w:r w:rsidR="00E655D5">
        <w:t>pasitelkta</w:t>
      </w:r>
      <w:r w:rsidR="00370AB6">
        <w:t xml:space="preserve"> </w:t>
      </w:r>
      <w:proofErr w:type="spellStart"/>
      <w:r w:rsidR="00370AB6" w:rsidRPr="00A36A8E">
        <w:rPr>
          <w:i/>
        </w:rPr>
        <w:t>Likerto</w:t>
      </w:r>
      <w:proofErr w:type="spellEnd"/>
      <w:r w:rsidR="00370AB6" w:rsidRPr="00A36A8E">
        <w:rPr>
          <w:i/>
        </w:rPr>
        <w:t xml:space="preserve"> skalė</w:t>
      </w:r>
      <w:r w:rsidR="00764C52">
        <w:t>, t.</w:t>
      </w:r>
      <w:r w:rsidR="00C33FD9">
        <w:t> </w:t>
      </w:r>
      <w:r w:rsidR="00764C52">
        <w:t>y.</w:t>
      </w:r>
      <w:r w:rsidR="00A36A8E">
        <w:t xml:space="preserve"> </w:t>
      </w:r>
      <w:r w:rsidR="004C2245">
        <w:t xml:space="preserve">toks </w:t>
      </w:r>
      <w:r w:rsidR="00CB1749">
        <w:t xml:space="preserve">matavimo instrumentas, </w:t>
      </w:r>
      <w:r w:rsidR="004C2245">
        <w:t xml:space="preserve">kuris </w:t>
      </w:r>
      <w:r w:rsidR="000C060E">
        <w:t>padeda nustatyti, kiek</w:t>
      </w:r>
      <w:r w:rsidR="004C2245">
        <w:t xml:space="preserve"> sutinkama su įvardytu teiginiu.</w:t>
      </w:r>
      <w:r w:rsidR="00472A27">
        <w:t xml:space="preserve"> Taigi</w:t>
      </w:r>
      <w:r w:rsidR="00346BD4">
        <w:t>,</w:t>
      </w:r>
      <w:r w:rsidR="00472A27">
        <w:t xml:space="preserve"> tiems patiems veiksniams įvertinti buvo panaudot</w:t>
      </w:r>
      <w:r w:rsidR="003B5D28">
        <w:t>a</w:t>
      </w:r>
      <w:r w:rsidR="00472A27">
        <w:t xml:space="preserve"> </w:t>
      </w:r>
      <w:r w:rsidR="00F1669F">
        <w:t xml:space="preserve">net </w:t>
      </w:r>
      <w:r w:rsidR="00472A27">
        <w:t>keletas</w:t>
      </w:r>
      <w:r w:rsidR="0032300E">
        <w:t xml:space="preserve"> metodų, kurie leido gauti tiksl</w:t>
      </w:r>
      <w:r w:rsidR="000C060E">
        <w:t>esniu</w:t>
      </w:r>
      <w:r w:rsidR="0032300E">
        <w:t>s vertinimo rezultatus.</w:t>
      </w:r>
    </w:p>
    <w:p w:rsidR="00795765" w:rsidRDefault="00C33FD9" w:rsidP="006D4DD9">
      <w:r>
        <w:lastRenderedPageBreak/>
        <w:t>Būt</w:t>
      </w:r>
      <w:r w:rsidR="009C0407">
        <w:t>ina</w:t>
      </w:r>
      <w:r w:rsidR="0070381D">
        <w:t xml:space="preserve"> </w:t>
      </w:r>
      <w:r w:rsidR="009C0407">
        <w:t>akcentuoti</w:t>
      </w:r>
      <w:r>
        <w:t xml:space="preserve">, jog </w:t>
      </w:r>
      <w:r w:rsidR="00EF3BD8">
        <w:t xml:space="preserve">iš viso </w:t>
      </w:r>
      <w:r w:rsidR="00AF7EC7">
        <w:rPr>
          <w:b/>
          <w:i/>
        </w:rPr>
        <w:t>apklausta 10 ekspert</w:t>
      </w:r>
      <w:r w:rsidR="00DA6C00" w:rsidRPr="00DA6C00">
        <w:rPr>
          <w:b/>
          <w:i/>
        </w:rPr>
        <w:t>ų</w:t>
      </w:r>
      <w:r w:rsidR="00DA6C00">
        <w:t>: vyriausi specialist</w:t>
      </w:r>
      <w:r w:rsidR="00A008C8">
        <w:t xml:space="preserve">ai, </w:t>
      </w:r>
      <w:r w:rsidR="00E866B6">
        <w:t>skyri</w:t>
      </w:r>
      <w:r w:rsidR="0070381D">
        <w:t>ų</w:t>
      </w:r>
      <w:r w:rsidR="00E866B6">
        <w:t xml:space="preserve"> vedėjai</w:t>
      </w:r>
      <w:r w:rsidR="00067C50">
        <w:t xml:space="preserve"> ir </w:t>
      </w:r>
      <w:r w:rsidR="00FA1DC6">
        <w:t>mokymų</w:t>
      </w:r>
      <w:r w:rsidR="00FD576F">
        <w:t xml:space="preserve"> organizatoriai</w:t>
      </w:r>
      <w:r w:rsidR="002A1F7A">
        <w:t>, kurie</w:t>
      </w:r>
      <w:r w:rsidR="008E0291">
        <w:t>, būdami</w:t>
      </w:r>
      <w:r w:rsidR="002A1F7A">
        <w:t xml:space="preserve"> sukaupę </w:t>
      </w:r>
      <w:r w:rsidR="00701E29">
        <w:t>nemažą patirtį</w:t>
      </w:r>
      <w:r w:rsidR="002A07D7">
        <w:t xml:space="preserve">, susijusią su </w:t>
      </w:r>
      <w:r w:rsidR="002478C9">
        <w:t xml:space="preserve">bedarbių ir </w:t>
      </w:r>
      <w:r w:rsidR="00B746EE">
        <w:t>socia</w:t>
      </w:r>
      <w:r w:rsidR="002478C9">
        <w:t xml:space="preserve">linės paramos </w:t>
      </w:r>
      <w:r w:rsidR="006C5311">
        <w:t>gavėj</w:t>
      </w:r>
      <w:r w:rsidR="002A07D7">
        <w:t>ai</w:t>
      </w:r>
      <w:r w:rsidR="006C5311">
        <w:t>s</w:t>
      </w:r>
      <w:r w:rsidR="008E0291">
        <w:t>,</w:t>
      </w:r>
      <w:r w:rsidR="00AF7EC7">
        <w:t xml:space="preserve"> </w:t>
      </w:r>
      <w:r w:rsidR="009C0407">
        <w:t>g</w:t>
      </w:r>
      <w:r w:rsidR="00353BF6">
        <w:t>al</w:t>
      </w:r>
      <w:r w:rsidR="008E0291">
        <w:t>ėjo</w:t>
      </w:r>
      <w:r w:rsidR="009C0407">
        <w:t xml:space="preserve"> </w:t>
      </w:r>
      <w:r w:rsidR="00D068A8">
        <w:t xml:space="preserve">geriau </w:t>
      </w:r>
      <w:r w:rsidR="00E4508D">
        <w:t xml:space="preserve">pagrįsti ir </w:t>
      </w:r>
      <w:r w:rsidR="00D068A8">
        <w:t>perteikti</w:t>
      </w:r>
      <w:r w:rsidR="009C0407">
        <w:t xml:space="preserve"> </w:t>
      </w:r>
      <w:r w:rsidR="00067C50">
        <w:t xml:space="preserve">savo </w:t>
      </w:r>
      <w:r w:rsidR="00665F2B">
        <w:t>nuomonę</w:t>
      </w:r>
      <w:r w:rsidR="00425C45">
        <w:t xml:space="preserve"> apie</w:t>
      </w:r>
      <w:r w:rsidR="00416229">
        <w:t xml:space="preserve"> </w:t>
      </w:r>
      <w:r w:rsidR="00094029">
        <w:t>finansinę individų elgsen</w:t>
      </w:r>
      <w:r w:rsidR="00DF4FA8">
        <w:t>ą</w:t>
      </w:r>
      <w:r w:rsidR="00094029">
        <w:t xml:space="preserve"> socialinės apsaugos srityje</w:t>
      </w:r>
      <w:r w:rsidR="00701E29">
        <w:t>.</w:t>
      </w:r>
      <w:r w:rsidR="00263A7E">
        <w:t xml:space="preserve"> </w:t>
      </w:r>
      <w:r w:rsidR="00C45B6A">
        <w:t>Taip pat reikėtų pasakyti</w:t>
      </w:r>
      <w:r w:rsidR="00263A7E">
        <w:t xml:space="preserve">, jog </w:t>
      </w:r>
      <w:r w:rsidR="00C45B6A" w:rsidRPr="00C45B6A">
        <w:rPr>
          <w:b/>
          <w:i/>
        </w:rPr>
        <w:t>ekspertų</w:t>
      </w:r>
      <w:r w:rsidR="00C45B6A">
        <w:t xml:space="preserve"> </w:t>
      </w:r>
      <w:r w:rsidR="00263A7E" w:rsidRPr="00263A7E">
        <w:rPr>
          <w:b/>
          <w:i/>
        </w:rPr>
        <w:t>apklausos buvo vykdomos dvejopai</w:t>
      </w:r>
      <w:r w:rsidR="00263A7E">
        <w:t>:</w:t>
      </w:r>
      <w:r w:rsidR="001042AA">
        <w:t xml:space="preserve"> su vienais ekspertais </w:t>
      </w:r>
      <w:proofErr w:type="spellStart"/>
      <w:r w:rsidR="001042AA">
        <w:t>kalbėtąsi</w:t>
      </w:r>
      <w:proofErr w:type="spellEnd"/>
      <w:r w:rsidR="001042AA">
        <w:t xml:space="preserve"> individualiai</w:t>
      </w:r>
      <w:r w:rsidR="003841BB">
        <w:t xml:space="preserve">, o kitiems anketos buvo pateiktos elektronine forma – tai </w:t>
      </w:r>
      <w:r w:rsidR="0057570B">
        <w:t>leido</w:t>
      </w:r>
      <w:r w:rsidR="000065C7">
        <w:t xml:space="preserve"> </w:t>
      </w:r>
      <w:r w:rsidR="007F5034">
        <w:t xml:space="preserve">ne tik </w:t>
      </w:r>
      <w:r w:rsidR="000065C7">
        <w:t xml:space="preserve">apklausti </w:t>
      </w:r>
      <w:r w:rsidR="007F5034">
        <w:t>didesnį kiekį žmonių, bet (</w:t>
      </w:r>
      <w:r w:rsidR="002004D3">
        <w:t xml:space="preserve">dar </w:t>
      </w:r>
      <w:r w:rsidR="007F5034">
        <w:t>svarbiau</w:t>
      </w:r>
      <w:r w:rsidR="007F5034">
        <w:rPr>
          <w:lang w:val="en-US"/>
        </w:rPr>
        <w:t>!</w:t>
      </w:r>
      <w:r w:rsidR="007F5034">
        <w:t>) apklausti tuos specialistus</w:t>
      </w:r>
      <w:r w:rsidR="001539A6">
        <w:t xml:space="preserve">, kurie kreipimosi į juos metu </w:t>
      </w:r>
      <w:r w:rsidR="008A4E72">
        <w:t>buvo nut</w:t>
      </w:r>
      <w:r w:rsidR="00795765">
        <w:t>olę nuo paties tyrėjo</w:t>
      </w:r>
      <w:r w:rsidR="0052541F">
        <w:t xml:space="preserve">. Taigi, atliekant tyrimą, buvo </w:t>
      </w:r>
      <w:r w:rsidR="00F664D2">
        <w:t>siekiama sužinoti specialistų iš skirtingų Lietuvos regionų nuomonę.</w:t>
      </w:r>
    </w:p>
    <w:p w:rsidR="00930BAC" w:rsidRPr="00A76D43" w:rsidRDefault="00BC6A50" w:rsidP="006D4DD9">
      <w:r w:rsidRPr="00A76D43">
        <w:t>Eksper</w:t>
      </w:r>
      <w:r w:rsidR="00833737" w:rsidRPr="00A76D43">
        <w:t>tinis vertinimas</w:t>
      </w:r>
      <w:r w:rsidRPr="00A76D43">
        <w:t xml:space="preserve"> </w:t>
      </w:r>
      <w:r w:rsidR="00833737" w:rsidRPr="00A76D43">
        <w:t xml:space="preserve">atliktas </w:t>
      </w:r>
      <w:r w:rsidRPr="00A76D43">
        <w:t xml:space="preserve">po </w:t>
      </w:r>
      <w:r w:rsidR="00833737" w:rsidRPr="00A76D43">
        <w:t xml:space="preserve">nedarbo </w:t>
      </w:r>
      <w:r w:rsidR="008D3E3A" w:rsidRPr="00A76D43">
        <w:t>socialinio draudimo išmokų bei</w:t>
      </w:r>
      <w:r w:rsidR="00833737" w:rsidRPr="00A76D43">
        <w:t xml:space="preserve"> socialinės paramos gavėjų apklausos</w:t>
      </w:r>
      <w:r w:rsidR="00CE4497" w:rsidRPr="00A76D43">
        <w:t xml:space="preserve">. Siekiant </w:t>
      </w:r>
      <w:r w:rsidR="00A36071" w:rsidRPr="00A76D43">
        <w:t xml:space="preserve">suderinti ekspertų </w:t>
      </w:r>
      <w:r w:rsidR="00CE4497" w:rsidRPr="00A76D43">
        <w:t>nuomon</w:t>
      </w:r>
      <w:r w:rsidR="00A36071" w:rsidRPr="00A76D43">
        <w:t>es</w:t>
      </w:r>
      <w:r w:rsidR="00CE4497" w:rsidRPr="00A76D43">
        <w:t xml:space="preserve">, kai kurių veiksnių </w:t>
      </w:r>
      <w:r w:rsidR="00945F7B" w:rsidRPr="00A76D43">
        <w:t>įtakos vertinimai buvo pakartoti</w:t>
      </w:r>
      <w:r w:rsidR="00C4193D" w:rsidRPr="00A76D43">
        <w:t>.</w:t>
      </w:r>
    </w:p>
    <w:p w:rsidR="00A36071" w:rsidRDefault="00ED1F84" w:rsidP="00A36071">
      <w:r>
        <w:rPr>
          <w:b/>
          <w:i/>
          <w:u w:val="single"/>
        </w:rPr>
        <w:t xml:space="preserve">Bedarbių </w:t>
      </w:r>
      <w:r w:rsidR="0092404B" w:rsidRPr="00244E86">
        <w:rPr>
          <w:b/>
          <w:i/>
          <w:u w:val="single"/>
        </w:rPr>
        <w:t xml:space="preserve">ir </w:t>
      </w:r>
      <w:r>
        <w:rPr>
          <w:b/>
          <w:i/>
          <w:u w:val="single"/>
        </w:rPr>
        <w:t xml:space="preserve">socialinės </w:t>
      </w:r>
      <w:r w:rsidR="0092404B" w:rsidRPr="00244E86">
        <w:rPr>
          <w:b/>
          <w:i/>
          <w:u w:val="single"/>
        </w:rPr>
        <w:t>paramos gavėjų</w:t>
      </w:r>
      <w:r w:rsidR="006058DC" w:rsidRPr="00244E86">
        <w:rPr>
          <w:b/>
          <w:i/>
          <w:u w:val="single"/>
        </w:rPr>
        <w:t xml:space="preserve"> </w:t>
      </w:r>
      <w:r w:rsidR="0092404B" w:rsidRPr="00244E86">
        <w:rPr>
          <w:b/>
          <w:i/>
          <w:u w:val="single"/>
        </w:rPr>
        <w:t>elgsenai įtaką darantys</w:t>
      </w:r>
      <w:r w:rsidR="006058DC" w:rsidRPr="00244E86">
        <w:rPr>
          <w:b/>
          <w:i/>
          <w:u w:val="single"/>
        </w:rPr>
        <w:t xml:space="preserve"> </w:t>
      </w:r>
      <w:r w:rsidR="00B05F08" w:rsidRPr="00244E86">
        <w:rPr>
          <w:b/>
          <w:i/>
          <w:u w:val="single"/>
        </w:rPr>
        <w:t>veiksniai</w:t>
      </w:r>
      <w:r w:rsidR="00AC4752">
        <w:t xml:space="preserve">. </w:t>
      </w:r>
      <w:r w:rsidR="00A36071">
        <w:t>Kadangi ši</w:t>
      </w:r>
      <w:r w:rsidR="005C37F9">
        <w:t>uo tyrimu buvo siekiama patikrinti</w:t>
      </w:r>
      <w:r w:rsidR="00A36071">
        <w:t xml:space="preserve"> hipotezę (</w:t>
      </w:r>
      <w:r w:rsidR="00A36071" w:rsidRPr="004D11B7">
        <w:rPr>
          <w:i/>
        </w:rPr>
        <w:t>H</w:t>
      </w:r>
      <w:r w:rsidR="00A36071" w:rsidRPr="004D11B7">
        <w:rPr>
          <w:i/>
          <w:vertAlign w:val="subscript"/>
        </w:rPr>
        <w:t>1</w:t>
      </w:r>
      <w:r w:rsidR="00A36071">
        <w:rPr>
          <w:i/>
        </w:rPr>
        <w:t>)</w:t>
      </w:r>
      <w:r w:rsidR="00A36071">
        <w:t>, jog didžiosios dalies nedarbo draudimo išmokas ir / ar socialinę paramą gaunančių</w:t>
      </w:r>
      <w:r w:rsidR="00922B4B">
        <w:t xml:space="preserve"> individ</w:t>
      </w:r>
      <w:r w:rsidR="00A36071">
        <w:t>ų elgsena yra</w:t>
      </w:r>
      <w:r w:rsidR="005C37F9">
        <w:t>,</w:t>
      </w:r>
      <w:r w:rsidR="00A36071">
        <w:t xml:space="preserve"> veikiau</w:t>
      </w:r>
      <w:r w:rsidR="005C37F9">
        <w:t>, neracionali ne</w:t>
      </w:r>
      <w:r w:rsidR="006D4FA4">
        <w:t>i</w:t>
      </w:r>
      <w:r w:rsidR="00A36071">
        <w:t xml:space="preserve"> </w:t>
      </w:r>
      <w:r w:rsidR="006D4FA4">
        <w:t>racionali, pirmiausia ekspertų</w:t>
      </w:r>
      <w:r w:rsidR="00A36071">
        <w:t xml:space="preserve"> buvo </w:t>
      </w:r>
      <w:r w:rsidR="006D4FA4">
        <w:t>klausiama</w:t>
      </w:r>
      <w:r w:rsidR="00A36071">
        <w:t>, ar jie sutinka su teiginiu, jog: „</w:t>
      </w:r>
      <w:r w:rsidR="00587ECB">
        <w:t xml:space="preserve">VISI </w:t>
      </w:r>
      <w:r w:rsidR="00DC5273">
        <w:t>nedarbo draudimo</w:t>
      </w:r>
      <w:r w:rsidR="00922B4B">
        <w:t xml:space="preserve"> išmokas</w:t>
      </w:r>
      <w:r w:rsidR="00DC5273">
        <w:t xml:space="preserve"> ir /</w:t>
      </w:r>
      <w:r w:rsidR="00DC5273">
        <w:rPr>
          <w:lang w:val="en-US"/>
        </w:rPr>
        <w:t> </w:t>
      </w:r>
      <w:r w:rsidR="00DC5273">
        <w:t>ar</w:t>
      </w:r>
      <w:r w:rsidR="00922B4B">
        <w:t xml:space="preserve"> </w:t>
      </w:r>
      <w:r w:rsidR="00DC5273">
        <w:t xml:space="preserve">socialinę paramą </w:t>
      </w:r>
      <w:r w:rsidR="00922B4B">
        <w:t xml:space="preserve">gaunantys </w:t>
      </w:r>
      <w:r w:rsidR="00553D75">
        <w:t>asmeny</w:t>
      </w:r>
      <w:r w:rsidR="00922B4B">
        <w:t>s</w:t>
      </w:r>
      <w:r w:rsidR="00A36071">
        <w:t xml:space="preserve"> teisėtai ir pagrįstai naudojasi teise į socialinę gerovę“. At</w:t>
      </w:r>
      <w:r w:rsidR="00CD405B">
        <w:t>sakymai atskleidė, jog dauguma, t. y. 80 proc.,</w:t>
      </w:r>
      <w:r w:rsidR="00A36071">
        <w:t xml:space="preserve"> specialistų yra įsitikinę, jog ne visi išmokas gaunantys žmonės pelnytai naudojasi valstybės lėšomis – o tai reiškia, jog jau tyrimo pradžioje buvo </w:t>
      </w:r>
      <w:r w:rsidR="00A36071" w:rsidRPr="008D707F">
        <w:rPr>
          <w:i/>
        </w:rPr>
        <w:t>pagrįstas problemos aktualumas</w:t>
      </w:r>
      <w:r w:rsidR="00CC7600">
        <w:t>, kas</w:t>
      </w:r>
      <w:r w:rsidR="00A36071">
        <w:t xml:space="preserve"> </w:t>
      </w:r>
      <w:r w:rsidR="00A8460C">
        <w:t xml:space="preserve">tapo tvirtu pagrindu </w:t>
      </w:r>
      <w:r w:rsidR="00CC7600">
        <w:t xml:space="preserve">kitiems </w:t>
      </w:r>
      <w:r w:rsidR="00A8460C">
        <w:t>vertinimams</w:t>
      </w:r>
      <w:r w:rsidR="00A36071">
        <w:t xml:space="preserve">. Atkreiptinas dėmesys, jog kiti ekspertai </w:t>
      </w:r>
      <w:r w:rsidR="00CC7600">
        <w:t xml:space="preserve">tiesiog </w:t>
      </w:r>
      <w:r w:rsidR="00A36071">
        <w:t xml:space="preserve">neatsakė į </w:t>
      </w:r>
      <w:r w:rsidR="00CC7600">
        <w:t xml:space="preserve">šį klausimą </w:t>
      </w:r>
      <w:r w:rsidR="00A36071">
        <w:t>– tai</w:t>
      </w:r>
      <w:r w:rsidR="00CE4EE8">
        <w:t xml:space="preserve"> byloja, jog esama nuomonių, jog</w:t>
      </w:r>
      <w:r w:rsidR="00A36071">
        <w:t xml:space="preserve"> </w:t>
      </w:r>
      <w:r w:rsidR="00265846">
        <w:t xml:space="preserve">vyrauja pusiausvyra, t. y. </w:t>
      </w:r>
      <w:r w:rsidR="00CE4EE8">
        <w:t>kad</w:t>
      </w:r>
      <w:r w:rsidR="008D707F">
        <w:t xml:space="preserve"> </w:t>
      </w:r>
      <w:r w:rsidR="00AE5FA0" w:rsidRPr="001D55DF">
        <w:t xml:space="preserve">vieni </w:t>
      </w:r>
      <w:r w:rsidR="00A36071" w:rsidRPr="001D55DF">
        <w:t xml:space="preserve">socialine </w:t>
      </w:r>
      <w:r w:rsidR="00CE4EE8" w:rsidRPr="001D55DF">
        <w:t>gerove</w:t>
      </w:r>
      <w:r w:rsidR="00CE4EE8">
        <w:t xml:space="preserve"> </w:t>
      </w:r>
      <w:r w:rsidR="00A36071">
        <w:t>naudojasi neteisėtai, o kiti –</w:t>
      </w:r>
      <w:r w:rsidR="00AE5FA0">
        <w:t xml:space="preserve"> </w:t>
      </w:r>
      <w:r w:rsidR="00A36071">
        <w:t>pagrįstai.</w:t>
      </w:r>
    </w:p>
    <w:p w:rsidR="00AC234A" w:rsidRDefault="00290C53" w:rsidP="00D16632">
      <w:r>
        <w:t>Siekiant su</w:t>
      </w:r>
      <w:r w:rsidR="00045ECE">
        <w:t>formuo</w:t>
      </w:r>
      <w:r w:rsidR="00AC4752" w:rsidRPr="004D1339">
        <w:t xml:space="preserve">ti </w:t>
      </w:r>
      <w:r w:rsidR="00AC4752" w:rsidRPr="003973A3">
        <w:t>bendrą suvokimą</w:t>
      </w:r>
      <w:r w:rsidR="00AC4752" w:rsidRPr="004D1339">
        <w:t xml:space="preserve"> apie</w:t>
      </w:r>
      <w:r w:rsidR="00C14E47">
        <w:t xml:space="preserve"> </w:t>
      </w:r>
      <w:r w:rsidR="00433D80">
        <w:t xml:space="preserve">bedarbių ir socialinės paramos gavėjų </w:t>
      </w:r>
      <w:r w:rsidR="00F8097A" w:rsidRPr="004D1339">
        <w:t>finansinei elgsenai įtaką darančius veiksnius, eks</w:t>
      </w:r>
      <w:r w:rsidR="00A5730C" w:rsidRPr="004D1339">
        <w:t>pertų buvo prašoma</w:t>
      </w:r>
      <w:r w:rsidR="007E21BD" w:rsidRPr="004D1339">
        <w:t xml:space="preserve"> </w:t>
      </w:r>
      <w:r w:rsidR="006678B2">
        <w:t xml:space="preserve">išreitinguoti veiksnius </w:t>
      </w:r>
      <w:r w:rsidR="00206852" w:rsidRPr="004D1339">
        <w:t xml:space="preserve">pagal tai, kiek </w:t>
      </w:r>
      <w:r w:rsidR="00CD6036" w:rsidRPr="004D1339">
        <w:t xml:space="preserve">stipriai </w:t>
      </w:r>
      <w:r>
        <w:t xml:space="preserve">jie </w:t>
      </w:r>
      <w:r w:rsidR="00555257">
        <w:t xml:space="preserve">skatina </w:t>
      </w:r>
      <w:r w:rsidR="006678B2">
        <w:t>sprendimo</w:t>
      </w:r>
      <w:r w:rsidR="00206852" w:rsidRPr="004D1339">
        <w:t xml:space="preserve"> </w:t>
      </w:r>
      <w:r w:rsidR="00045ECE">
        <w:rPr>
          <w:i/>
        </w:rPr>
        <w:t xml:space="preserve">pajamas </w:t>
      </w:r>
      <w:r w:rsidR="00440E27">
        <w:rPr>
          <w:i/>
        </w:rPr>
        <w:t xml:space="preserve">formuoti </w:t>
      </w:r>
      <w:r w:rsidR="008016CA">
        <w:rPr>
          <w:i/>
        </w:rPr>
        <w:t xml:space="preserve">iš </w:t>
      </w:r>
      <w:r w:rsidR="00206852" w:rsidRPr="004D1339">
        <w:rPr>
          <w:i/>
        </w:rPr>
        <w:t>socialinės</w:t>
      </w:r>
      <w:r w:rsidR="000B3213" w:rsidRPr="004D1339">
        <w:rPr>
          <w:i/>
        </w:rPr>
        <w:t xml:space="preserve"> apsaugos lėš</w:t>
      </w:r>
      <w:r w:rsidR="008016CA">
        <w:rPr>
          <w:i/>
        </w:rPr>
        <w:t>ų</w:t>
      </w:r>
      <w:r w:rsidR="006678B2">
        <w:t xml:space="preserve"> </w:t>
      </w:r>
      <w:r w:rsidR="006678B2" w:rsidRPr="00725FA7">
        <w:t>priėmimą</w:t>
      </w:r>
      <w:r w:rsidR="004935DA" w:rsidRPr="00725FA7">
        <w:t xml:space="preserve"> </w:t>
      </w:r>
      <w:r w:rsidR="00217B06" w:rsidRPr="00725FA7">
        <w:t>(žr. 5 priedą)</w:t>
      </w:r>
      <w:r w:rsidR="007E008D" w:rsidRPr="00725FA7">
        <w:t>.</w:t>
      </w:r>
      <w:r w:rsidR="00CE0387">
        <w:t xml:space="preserve"> </w:t>
      </w:r>
      <w:r w:rsidR="007E008D" w:rsidRPr="003973A3">
        <w:rPr>
          <w:b/>
          <w:i/>
        </w:rPr>
        <w:t xml:space="preserve">Esant ekspertų </w:t>
      </w:r>
      <w:r w:rsidR="00CE0387" w:rsidRPr="003973A3">
        <w:rPr>
          <w:b/>
          <w:i/>
        </w:rPr>
        <w:t>požiūr</w:t>
      </w:r>
      <w:r w:rsidR="007E008D" w:rsidRPr="003973A3">
        <w:rPr>
          <w:b/>
          <w:i/>
        </w:rPr>
        <w:t>ių suderinamumui</w:t>
      </w:r>
      <w:r w:rsidR="007E008D">
        <w:t>, galima t</w:t>
      </w:r>
      <w:r w:rsidR="00A47241">
        <w:t>eigti</w:t>
      </w:r>
      <w:r w:rsidR="004935DA">
        <w:t>, jog</w:t>
      </w:r>
      <w:r w:rsidR="00F14A56">
        <w:t xml:space="preserve"> rinktis </w:t>
      </w:r>
      <w:r w:rsidR="00CC5C6E">
        <w:t xml:space="preserve">gyvenimą iš </w:t>
      </w:r>
      <w:r w:rsidR="00FE1AC3">
        <w:t>valstybės lėšų turėtų skatinti</w:t>
      </w:r>
      <w:r w:rsidR="00A47241">
        <w:t xml:space="preserve"> </w:t>
      </w:r>
      <w:r w:rsidR="00A47241" w:rsidRPr="005E29D9">
        <w:rPr>
          <w:i/>
        </w:rPr>
        <w:t>motyvacijos stoka</w:t>
      </w:r>
      <w:r w:rsidR="00A47241">
        <w:t xml:space="preserve"> </w:t>
      </w:r>
      <w:r w:rsidR="00A47241">
        <w:rPr>
          <w:i/>
        </w:rPr>
        <w:t>(a</w:t>
      </w:r>
      <w:r w:rsidR="00A47241">
        <w:rPr>
          <w:i/>
          <w:vertAlign w:val="subscript"/>
        </w:rPr>
        <w:t>6</w:t>
      </w:r>
      <w:r w:rsidR="00A47241">
        <w:rPr>
          <w:i/>
        </w:rPr>
        <w:t>)</w:t>
      </w:r>
      <w:r w:rsidR="00961A6A">
        <w:t xml:space="preserve"> ir</w:t>
      </w:r>
      <w:r w:rsidR="00A47241">
        <w:t xml:space="preserve"> </w:t>
      </w:r>
      <w:r w:rsidR="00A47241">
        <w:rPr>
          <w:i/>
        </w:rPr>
        <w:t>„sovietinis</w:t>
      </w:r>
      <w:r w:rsidR="00A47241" w:rsidRPr="00244E86">
        <w:rPr>
          <w:i/>
        </w:rPr>
        <w:t>“ mentalitet</w:t>
      </w:r>
      <w:r w:rsidR="00A47241">
        <w:rPr>
          <w:i/>
        </w:rPr>
        <w:t>as (a</w:t>
      </w:r>
      <w:r w:rsidR="00A47241">
        <w:rPr>
          <w:i/>
          <w:vertAlign w:val="subscript"/>
        </w:rPr>
        <w:t>2</w:t>
      </w:r>
      <w:r w:rsidR="00A47241">
        <w:rPr>
          <w:i/>
        </w:rPr>
        <w:t>)</w:t>
      </w:r>
      <w:r w:rsidR="005E29D9">
        <w:t>,</w:t>
      </w:r>
      <w:r w:rsidR="00961A6A">
        <w:t xml:space="preserve"> t. y. tie veiksniai, kurie užkerta žmonėms kelią patiems rūpintis finansine</w:t>
      </w:r>
      <w:r w:rsidR="005E29D9">
        <w:t xml:space="preserve"> </w:t>
      </w:r>
      <w:r w:rsidR="00BF616A">
        <w:t xml:space="preserve">gerove. Iš socialinių-demografinių veiksnių reikėtų </w:t>
      </w:r>
      <w:r w:rsidR="00FD5FAA">
        <w:t xml:space="preserve">paminėti </w:t>
      </w:r>
      <w:r w:rsidR="005E29D9" w:rsidRPr="00852278">
        <w:rPr>
          <w:i/>
        </w:rPr>
        <w:t xml:space="preserve">išsilavinimo </w:t>
      </w:r>
      <w:r w:rsidR="00FD5FAA">
        <w:rPr>
          <w:i/>
        </w:rPr>
        <w:t xml:space="preserve">stoką </w:t>
      </w:r>
      <w:r w:rsidR="005E29D9">
        <w:rPr>
          <w:i/>
        </w:rPr>
        <w:t>(b</w:t>
      </w:r>
      <w:r w:rsidR="005E29D9">
        <w:rPr>
          <w:i/>
          <w:vertAlign w:val="subscript"/>
        </w:rPr>
        <w:t>1</w:t>
      </w:r>
      <w:r w:rsidR="005E29D9">
        <w:rPr>
          <w:i/>
        </w:rPr>
        <w:t>)</w:t>
      </w:r>
      <w:r w:rsidR="005E29D9">
        <w:t xml:space="preserve">, </w:t>
      </w:r>
      <w:r w:rsidR="005E29D9">
        <w:rPr>
          <w:i/>
        </w:rPr>
        <w:t>ne</w:t>
      </w:r>
      <w:r w:rsidR="005E29D9" w:rsidRPr="00852278">
        <w:rPr>
          <w:i/>
        </w:rPr>
        <w:t>paklausi</w:t>
      </w:r>
      <w:r w:rsidR="00FD5FAA">
        <w:rPr>
          <w:i/>
        </w:rPr>
        <w:t>ą profesiją</w:t>
      </w:r>
      <w:r w:rsidR="005E29D9">
        <w:rPr>
          <w:i/>
        </w:rPr>
        <w:t xml:space="preserve"> (b</w:t>
      </w:r>
      <w:r w:rsidR="005E29D9">
        <w:rPr>
          <w:i/>
          <w:vertAlign w:val="subscript"/>
        </w:rPr>
        <w:t>2</w:t>
      </w:r>
      <w:r w:rsidR="005E29D9">
        <w:rPr>
          <w:i/>
        </w:rPr>
        <w:t>)</w:t>
      </w:r>
      <w:r w:rsidR="00FD5FAA">
        <w:t xml:space="preserve"> </w:t>
      </w:r>
      <w:r w:rsidR="00E02666">
        <w:t>bei</w:t>
      </w:r>
      <w:r w:rsidR="005E29D9">
        <w:t xml:space="preserve"> </w:t>
      </w:r>
      <w:r w:rsidR="00FD5FAA">
        <w:rPr>
          <w:i/>
        </w:rPr>
        <w:t>jaunatvišką maksimalizmą</w:t>
      </w:r>
      <w:r w:rsidR="005E29D9">
        <w:rPr>
          <w:i/>
        </w:rPr>
        <w:t xml:space="preserve"> (b</w:t>
      </w:r>
      <w:r w:rsidR="005E29D9">
        <w:rPr>
          <w:i/>
          <w:vertAlign w:val="subscript"/>
        </w:rPr>
        <w:t>6</w:t>
      </w:r>
      <w:r w:rsidR="005E29D9">
        <w:rPr>
          <w:i/>
        </w:rPr>
        <w:t>)</w:t>
      </w:r>
      <w:r w:rsidR="005E29D9">
        <w:t>,</w:t>
      </w:r>
      <w:r w:rsidR="00FD5FAA">
        <w:t xml:space="preserve"> kurie</w:t>
      </w:r>
      <w:r w:rsidR="00EC5137">
        <w:t xml:space="preserve"> atskleidžia</w:t>
      </w:r>
      <w:r w:rsidR="005B3F20">
        <w:t xml:space="preserve">, jog vienu atveju tapti tautos „išlaikytiniu“ </w:t>
      </w:r>
      <w:r w:rsidR="00E02666">
        <w:t xml:space="preserve">gali </w:t>
      </w:r>
      <w:r w:rsidR="005B3F20">
        <w:t>skatin</w:t>
      </w:r>
      <w:r w:rsidR="00E02666">
        <w:t>ti</w:t>
      </w:r>
      <w:r w:rsidR="00EC5137">
        <w:t xml:space="preserve"> </w:t>
      </w:r>
      <w:r w:rsidR="003E0B8B">
        <w:t xml:space="preserve">pakankamai </w:t>
      </w:r>
      <w:r w:rsidR="00E02666">
        <w:t>objektyvios priežastys, o kitu – godumas</w:t>
      </w:r>
      <w:r w:rsidR="003E0B8B">
        <w:t xml:space="preserve"> bei</w:t>
      </w:r>
      <w:r w:rsidR="00FC23F7">
        <w:t xml:space="preserve"> savigarbos nebuvimas</w:t>
      </w:r>
      <w:r w:rsidR="007C3654">
        <w:t>. Taip pat reikėtų</w:t>
      </w:r>
      <w:r w:rsidR="004A68A7">
        <w:t xml:space="preserve"> pastebėti</w:t>
      </w:r>
      <w:r w:rsidR="007C3654">
        <w:t>, jog ekspertų</w:t>
      </w:r>
      <w:r w:rsidR="00571034">
        <w:t xml:space="preserve"> manymu</w:t>
      </w:r>
      <w:r w:rsidR="007C3654">
        <w:t xml:space="preserve">, </w:t>
      </w:r>
      <w:r w:rsidR="003E0B8B" w:rsidRPr="00A43B13">
        <w:rPr>
          <w:i/>
        </w:rPr>
        <w:t xml:space="preserve">šeimos </w:t>
      </w:r>
      <w:r w:rsidR="00205D91" w:rsidRPr="00A43B13">
        <w:rPr>
          <w:i/>
        </w:rPr>
        <w:t>dydis (b</w:t>
      </w:r>
      <w:r w:rsidR="00205D91" w:rsidRPr="00A43B13">
        <w:rPr>
          <w:i/>
          <w:vertAlign w:val="subscript"/>
        </w:rPr>
        <w:t>5</w:t>
      </w:r>
      <w:r w:rsidR="00205D91" w:rsidRPr="00A43B13">
        <w:rPr>
          <w:i/>
        </w:rPr>
        <w:t>)</w:t>
      </w:r>
      <w:r w:rsidR="00205D91">
        <w:t xml:space="preserve"> </w:t>
      </w:r>
      <w:r w:rsidR="003E0B8B">
        <w:t xml:space="preserve">negali </w:t>
      </w:r>
      <w:r w:rsidR="00350F88">
        <w:t>bū</w:t>
      </w:r>
      <w:r w:rsidR="003E0B8B">
        <w:t>ti tikr</w:t>
      </w:r>
      <w:r w:rsidR="003A718A">
        <w:t>ąja</w:t>
      </w:r>
      <w:r w:rsidR="003E0B8B">
        <w:t xml:space="preserve"> neįsidarbinimo</w:t>
      </w:r>
      <w:r w:rsidR="003A718A">
        <w:t xml:space="preserve"> priežastimi</w:t>
      </w:r>
      <w:r w:rsidR="00A43B13">
        <w:t xml:space="preserve">, </w:t>
      </w:r>
      <w:r w:rsidR="00350F88">
        <w:t>nes</w:t>
      </w:r>
      <w:r w:rsidR="00571034">
        <w:t xml:space="preserve"> </w:t>
      </w:r>
      <w:r w:rsidR="002B2654">
        <w:t xml:space="preserve">vaikų </w:t>
      </w:r>
      <w:r w:rsidR="004568E9">
        <w:t>priežiūra</w:t>
      </w:r>
      <w:r w:rsidR="003A718A">
        <w:t>, derinant tėvų pareigas,</w:t>
      </w:r>
      <w:r w:rsidR="004568E9">
        <w:t xml:space="preserve"> </w:t>
      </w:r>
      <w:r w:rsidR="002B2654">
        <w:t>ne</w:t>
      </w:r>
      <w:r w:rsidR="003E0B8B">
        <w:t>reikalau</w:t>
      </w:r>
      <w:r w:rsidR="002B2654">
        <w:t>ja</w:t>
      </w:r>
      <w:r w:rsidR="003E0B8B">
        <w:t xml:space="preserve"> tiek laiko, kad taptų </w:t>
      </w:r>
      <w:r w:rsidR="00350F88">
        <w:t>su</w:t>
      </w:r>
      <w:r w:rsidR="00236C0E">
        <w:t>dėtinga</w:t>
      </w:r>
      <w:r w:rsidR="003E0B8B">
        <w:t xml:space="preserve"> įsidarbinti.</w:t>
      </w:r>
      <w:r w:rsidR="003A718A">
        <w:t xml:space="preserve"> I</w:t>
      </w:r>
      <w:r w:rsidR="00A46BC1">
        <w:t xml:space="preserve">š </w:t>
      </w:r>
      <w:r w:rsidR="00977F8E">
        <w:t xml:space="preserve">likusių </w:t>
      </w:r>
      <w:r w:rsidR="0098732E">
        <w:t xml:space="preserve">veiksnių </w:t>
      </w:r>
      <w:r w:rsidR="007E2C6A">
        <w:t xml:space="preserve">esminiais </w:t>
      </w:r>
      <w:r w:rsidR="00983445">
        <w:t xml:space="preserve">buvo pripažinti </w:t>
      </w:r>
      <w:r w:rsidR="00840339" w:rsidRPr="00F332AC">
        <w:rPr>
          <w:i/>
        </w:rPr>
        <w:t>skurdo „spąst</w:t>
      </w:r>
      <w:r w:rsidR="007B4067">
        <w:rPr>
          <w:i/>
        </w:rPr>
        <w:t xml:space="preserve">ai“ </w:t>
      </w:r>
      <w:r w:rsidR="00840339">
        <w:rPr>
          <w:i/>
        </w:rPr>
        <w:t>(c</w:t>
      </w:r>
      <w:r w:rsidR="00840339">
        <w:rPr>
          <w:i/>
          <w:vertAlign w:val="subscript"/>
        </w:rPr>
        <w:t>4</w:t>
      </w:r>
      <w:r w:rsidR="00983445">
        <w:rPr>
          <w:i/>
        </w:rPr>
        <w:t>)</w:t>
      </w:r>
      <w:r w:rsidR="006338DD">
        <w:rPr>
          <w:i/>
        </w:rPr>
        <w:t>,</w:t>
      </w:r>
      <w:r w:rsidR="00236C0E">
        <w:rPr>
          <w:i/>
        </w:rPr>
        <w:t xml:space="preserve"> </w:t>
      </w:r>
      <w:r w:rsidR="00840339" w:rsidRPr="00F332AC">
        <w:rPr>
          <w:i/>
        </w:rPr>
        <w:t>užimtumo pokyči</w:t>
      </w:r>
      <w:r w:rsidR="007B4067">
        <w:rPr>
          <w:i/>
        </w:rPr>
        <w:t>ai</w:t>
      </w:r>
      <w:r w:rsidR="00840339">
        <w:rPr>
          <w:i/>
        </w:rPr>
        <w:t xml:space="preserve"> (c</w:t>
      </w:r>
      <w:r w:rsidR="00840339">
        <w:rPr>
          <w:i/>
          <w:vertAlign w:val="subscript"/>
        </w:rPr>
        <w:t>1</w:t>
      </w:r>
      <w:r w:rsidR="00840339">
        <w:rPr>
          <w:i/>
        </w:rPr>
        <w:t>)</w:t>
      </w:r>
      <w:r w:rsidR="007E2C6A">
        <w:t>,</w:t>
      </w:r>
      <w:r w:rsidR="00977F8E">
        <w:t xml:space="preserve"> </w:t>
      </w:r>
      <w:r w:rsidR="00977F8E" w:rsidRPr="007D1333">
        <w:rPr>
          <w:i/>
        </w:rPr>
        <w:t xml:space="preserve">socialinės apsaugos </w:t>
      </w:r>
      <w:r w:rsidR="00822972">
        <w:rPr>
          <w:i/>
        </w:rPr>
        <w:t xml:space="preserve">sistema </w:t>
      </w:r>
      <w:r w:rsidR="007D1333" w:rsidRPr="007D1333">
        <w:rPr>
          <w:i/>
        </w:rPr>
        <w:t>(d</w:t>
      </w:r>
      <w:r w:rsidR="007D1333" w:rsidRPr="007D1333">
        <w:rPr>
          <w:i/>
          <w:vertAlign w:val="subscript"/>
        </w:rPr>
        <w:t>1</w:t>
      </w:r>
      <w:r w:rsidR="007D1333" w:rsidRPr="007D1333">
        <w:rPr>
          <w:i/>
        </w:rPr>
        <w:t>)</w:t>
      </w:r>
      <w:r w:rsidR="007D1333">
        <w:t xml:space="preserve">, </w:t>
      </w:r>
      <w:r w:rsidR="004F168B">
        <w:t xml:space="preserve">kurie byloja </w:t>
      </w:r>
      <w:r w:rsidR="00EF138B">
        <w:t xml:space="preserve">apie tai, kad </w:t>
      </w:r>
      <w:r w:rsidR="002B2654">
        <w:t xml:space="preserve">rinktis </w:t>
      </w:r>
      <w:r w:rsidR="00801F37">
        <w:t xml:space="preserve">gyvenimą iš </w:t>
      </w:r>
      <w:r w:rsidR="00236C0E">
        <w:t xml:space="preserve">valstybės </w:t>
      </w:r>
      <w:r w:rsidR="00801F37">
        <w:t>lėšų</w:t>
      </w:r>
      <w:r w:rsidR="002B2654">
        <w:t xml:space="preserve"> </w:t>
      </w:r>
      <w:r w:rsidR="007E2C6A">
        <w:t xml:space="preserve">taipogi </w:t>
      </w:r>
      <w:r w:rsidR="006A6DCA">
        <w:t>turėtų</w:t>
      </w:r>
      <w:r w:rsidR="002B2654">
        <w:t xml:space="preserve"> skatinti </w:t>
      </w:r>
      <w:r w:rsidR="006338DD">
        <w:t>atsakomybės</w:t>
      </w:r>
      <w:r w:rsidR="00A76D43">
        <w:t xml:space="preserve"> nebuvimas</w:t>
      </w:r>
      <w:r w:rsidR="006338DD">
        <w:t>.</w:t>
      </w:r>
    </w:p>
    <w:p w:rsidR="00743150" w:rsidRDefault="00EC5137" w:rsidP="00743150">
      <w:r>
        <w:t>Kadangi</w:t>
      </w:r>
      <w:r w:rsidR="009E070F">
        <w:t xml:space="preserve"> </w:t>
      </w:r>
      <w:r w:rsidR="00A942FA">
        <w:t>ekspertų vertinimai parodė, jog</w:t>
      </w:r>
      <w:r w:rsidR="00BB71E6">
        <w:t xml:space="preserve"> sprendimą pajamas </w:t>
      </w:r>
      <w:r w:rsidR="00DC3687">
        <w:t xml:space="preserve">formuoti </w:t>
      </w:r>
      <w:r w:rsidR="00FA0496">
        <w:t xml:space="preserve">iš </w:t>
      </w:r>
      <w:r w:rsidR="00DC3687">
        <w:t xml:space="preserve">valstybės </w:t>
      </w:r>
      <w:r w:rsidR="00FA0496">
        <w:t>lėšų</w:t>
      </w:r>
      <w:r w:rsidR="00BB71E6">
        <w:t>,</w:t>
      </w:r>
      <w:r w:rsidR="00A942FA">
        <w:t xml:space="preserve"> vienu atveju</w:t>
      </w:r>
      <w:r w:rsidR="00BB71E6">
        <w:t>,</w:t>
      </w:r>
      <w:r w:rsidR="00A942FA">
        <w:t xml:space="preserve"> </w:t>
      </w:r>
      <w:r w:rsidR="00DC3687">
        <w:t xml:space="preserve">gali lemti </w:t>
      </w:r>
      <w:r w:rsidR="00A942FA">
        <w:t>o</w:t>
      </w:r>
      <w:r w:rsidR="00312AD9">
        <w:t>bjektyvios, o kitu –</w:t>
      </w:r>
      <w:r w:rsidR="00DC3687">
        <w:t xml:space="preserve"> </w:t>
      </w:r>
      <w:r w:rsidR="00312AD9">
        <w:t>visiškai</w:t>
      </w:r>
      <w:r w:rsidR="00BB71E6">
        <w:t xml:space="preserve"> netinkamos priežastys</w:t>
      </w:r>
      <w:r w:rsidR="003736F6">
        <w:t xml:space="preserve">, siekiant geriau suvokti </w:t>
      </w:r>
      <w:r w:rsidR="00DC3687">
        <w:t xml:space="preserve">žmonių </w:t>
      </w:r>
      <w:r w:rsidR="008C5FE3">
        <w:t>sprendimus</w:t>
      </w:r>
      <w:r w:rsidR="003736F6">
        <w:t xml:space="preserve">, </w:t>
      </w:r>
      <w:r w:rsidR="00CF6C6D">
        <w:t>atsiranda poreikis</w:t>
      </w:r>
      <w:r w:rsidR="00F2370F">
        <w:t xml:space="preserve"> atskleisti</w:t>
      </w:r>
      <w:r w:rsidR="003736F6">
        <w:t>, kokia</w:t>
      </w:r>
      <w:r w:rsidR="007F2DBE">
        <w:t xml:space="preserve"> elgsena</w:t>
      </w:r>
      <w:r w:rsidR="008C5FE3">
        <w:t xml:space="preserve"> </w:t>
      </w:r>
      <w:r w:rsidR="00F2370F">
        <w:t xml:space="preserve">– </w:t>
      </w:r>
      <w:r w:rsidR="00F2370F" w:rsidRPr="00A76D43">
        <w:rPr>
          <w:i/>
        </w:rPr>
        <w:t>tarp socialinių išmokų gavėjų</w:t>
      </w:r>
      <w:r w:rsidR="00F2370F">
        <w:t xml:space="preserve"> – </w:t>
      </w:r>
      <w:r w:rsidR="007F2DBE">
        <w:t>buvo</w:t>
      </w:r>
      <w:r w:rsidR="009E070F">
        <w:t xml:space="preserve"> vyraujanti</w:t>
      </w:r>
      <w:r w:rsidR="00F75D59">
        <w:t xml:space="preserve"> </w:t>
      </w:r>
      <w:r w:rsidR="007951B6">
        <w:t xml:space="preserve">šiais </w:t>
      </w:r>
      <w:r w:rsidR="00F75D59">
        <w:t>metais</w:t>
      </w:r>
      <w:r w:rsidR="008C5FE3">
        <w:t>.</w:t>
      </w:r>
    </w:p>
    <w:p w:rsidR="00E57CAC" w:rsidRDefault="002A71D4" w:rsidP="00743150">
      <w:r>
        <w:rPr>
          <w:b/>
          <w:i/>
          <w:u w:val="single"/>
        </w:rPr>
        <w:lastRenderedPageBreak/>
        <w:t xml:space="preserve">Bedarbių ir </w:t>
      </w:r>
      <w:r w:rsidR="00CE593B">
        <w:rPr>
          <w:b/>
          <w:i/>
          <w:u w:val="single"/>
        </w:rPr>
        <w:t xml:space="preserve">socialinės </w:t>
      </w:r>
      <w:r w:rsidR="004647D3" w:rsidRPr="00244E86">
        <w:rPr>
          <w:b/>
          <w:i/>
          <w:u w:val="single"/>
        </w:rPr>
        <w:t xml:space="preserve">paramos gavėjų </w:t>
      </w:r>
      <w:r w:rsidR="004647D3">
        <w:rPr>
          <w:b/>
          <w:i/>
          <w:u w:val="single"/>
        </w:rPr>
        <w:t>finansinės elgsenos pobūdžio nustatymas</w:t>
      </w:r>
      <w:r w:rsidR="004647D3" w:rsidRPr="00E22D51">
        <w:t>.</w:t>
      </w:r>
      <w:r w:rsidR="00DA0643" w:rsidRPr="00E22D51">
        <w:t xml:space="preserve"> Siekiant</w:t>
      </w:r>
      <w:r w:rsidRPr="00E22D51">
        <w:t xml:space="preserve"> sužinoti</w:t>
      </w:r>
      <w:r w:rsidR="00DA0643" w:rsidRPr="00E22D51">
        <w:t xml:space="preserve">, kokia buvo vyraujanti </w:t>
      </w:r>
      <w:r w:rsidR="003C5E1F" w:rsidRPr="00E22D51">
        <w:t xml:space="preserve">socialinių išmokų gavėjų </w:t>
      </w:r>
      <w:r w:rsidR="009704D2" w:rsidRPr="00E22D51">
        <w:t xml:space="preserve">finansinė </w:t>
      </w:r>
      <w:r w:rsidR="00DA0643" w:rsidRPr="00E22D51">
        <w:t>elgse</w:t>
      </w:r>
      <w:r w:rsidR="009704D2" w:rsidRPr="00E22D51">
        <w:t xml:space="preserve">na, ekspertų buvo prašoma įvertinti visus, </w:t>
      </w:r>
      <w:r w:rsidR="00A73A3F" w:rsidRPr="00E22D51">
        <w:t xml:space="preserve">sprendimui </w:t>
      </w:r>
      <w:r w:rsidR="009704D2" w:rsidRPr="00E22D51">
        <w:t xml:space="preserve">pajamas </w:t>
      </w:r>
      <w:r w:rsidR="00A73A3F" w:rsidRPr="00E22D51">
        <w:t xml:space="preserve">formuoti </w:t>
      </w:r>
      <w:r w:rsidR="009704D2" w:rsidRPr="00E22D51">
        <w:t xml:space="preserve">iš socialinės apsaugos lėšų lemiančius, veiksnius </w:t>
      </w:r>
      <w:r w:rsidR="009B2964" w:rsidRPr="00E22D51">
        <w:t>i</w:t>
      </w:r>
      <w:r w:rsidR="00A73A3F" w:rsidRPr="00E22D51">
        <w:t>r</w:t>
      </w:r>
      <w:r w:rsidR="009B2964" w:rsidRPr="00E22D51">
        <w:t xml:space="preserve"> nurodyti, k</w:t>
      </w:r>
      <w:r w:rsidR="00442445" w:rsidRPr="00E22D51">
        <w:t>ur</w:t>
      </w:r>
      <w:r w:rsidR="009B2964" w:rsidRPr="00E22D51">
        <w:t xml:space="preserve">ių veiksnių </w:t>
      </w:r>
      <w:r w:rsidR="00442445" w:rsidRPr="00E22D51">
        <w:t>įtaka per pastaruosius metus padidėjo, o kurių – sumažėjo.</w:t>
      </w:r>
      <w:r w:rsidR="00B84DC1" w:rsidRPr="00E22D51">
        <w:t xml:space="preserve"> </w:t>
      </w:r>
      <w:r w:rsidR="00957815" w:rsidRPr="00E22D51">
        <w:t>Ž</w:t>
      </w:r>
      <w:r w:rsidR="00E81342" w:rsidRPr="00E22D51">
        <w:t>velgiant</w:t>
      </w:r>
      <w:r w:rsidR="005D5754" w:rsidRPr="00E22D51">
        <w:t xml:space="preserve"> į bendrą </w:t>
      </w:r>
      <w:r w:rsidR="00B21E6B" w:rsidRPr="00E22D51">
        <w:t>vis</w:t>
      </w:r>
      <w:r w:rsidR="00197578" w:rsidRPr="00E22D51">
        <w:t xml:space="preserve">ų </w:t>
      </w:r>
      <w:r w:rsidR="00B21E6B" w:rsidRPr="00E22D51">
        <w:t xml:space="preserve">keturių </w:t>
      </w:r>
      <w:r w:rsidR="00957815" w:rsidRPr="00E22D51">
        <w:t xml:space="preserve">veiksnių </w:t>
      </w:r>
      <w:r w:rsidR="00776968" w:rsidRPr="00E22D51">
        <w:t>grupių</w:t>
      </w:r>
      <w:r w:rsidR="001363E0" w:rsidRPr="00E22D51">
        <w:t xml:space="preserve"> </w:t>
      </w:r>
      <w:r w:rsidR="00317110" w:rsidRPr="00E22D51">
        <w:t>rodiklį</w:t>
      </w:r>
      <w:r w:rsidR="005B3D58" w:rsidRPr="00E22D51">
        <w:t xml:space="preserve"> </w:t>
      </w:r>
      <w:r w:rsidR="00B21E6B" w:rsidRPr="00E22D51">
        <w:t>(žr. 6 priedą)</w:t>
      </w:r>
      <w:r w:rsidR="00776968" w:rsidRPr="00E22D51">
        <w:t xml:space="preserve">, </w:t>
      </w:r>
      <w:r w:rsidR="00DB546F" w:rsidRPr="00E22D51">
        <w:t>matyti, jog Lietuvos</w:t>
      </w:r>
      <w:r w:rsidR="00D93D79" w:rsidRPr="00E22D51">
        <w:t xml:space="preserve"> bedarbių ir socialinės paramos gavėjų </w:t>
      </w:r>
      <w:r w:rsidR="00D93D79" w:rsidRPr="00E22D51">
        <w:rPr>
          <w:b/>
          <w:i/>
        </w:rPr>
        <w:t xml:space="preserve">finansinė elgsena </w:t>
      </w:r>
      <w:r w:rsidR="006968E4" w:rsidRPr="00E22D51">
        <w:rPr>
          <w:b/>
          <w:i/>
        </w:rPr>
        <w:t>linksta</w:t>
      </w:r>
      <w:r w:rsidR="00D93D79" w:rsidRPr="00E22D51">
        <w:rPr>
          <w:b/>
          <w:i/>
        </w:rPr>
        <w:t xml:space="preserve"> į neracionalią pus</w:t>
      </w:r>
      <w:r w:rsidR="00426CD5" w:rsidRPr="00E22D51">
        <w:rPr>
          <w:b/>
          <w:i/>
        </w:rPr>
        <w:t>ę</w:t>
      </w:r>
      <w:r w:rsidR="00953C78" w:rsidRPr="00E22D51">
        <w:t>, nes</w:t>
      </w:r>
      <w:r w:rsidR="00AB38F6" w:rsidRPr="00E22D51">
        <w:t xml:space="preserve"> </w:t>
      </w:r>
      <w:r w:rsidR="00426CD5" w:rsidRPr="00E22D51">
        <w:t>rezultatas</w:t>
      </w:r>
      <w:r w:rsidR="00E22D51" w:rsidRPr="00E22D51">
        <w:t xml:space="preserve"> (68,5 balo</w:t>
      </w:r>
      <w:r w:rsidR="0041253A" w:rsidRPr="00E22D51">
        <w:t>)</w:t>
      </w:r>
      <w:r w:rsidR="00426CD5" w:rsidRPr="00E22D51">
        <w:t xml:space="preserve"> </w:t>
      </w:r>
      <w:r w:rsidR="005B3D58" w:rsidRPr="00E22D51">
        <w:t>tapo šiek tiek blogesnis negu dydis, kuris buvo</w:t>
      </w:r>
      <w:r w:rsidR="00953C78" w:rsidRPr="00E22D51">
        <w:t xml:space="preserve"> </w:t>
      </w:r>
      <w:r w:rsidR="00E46A44" w:rsidRPr="00E22D51">
        <w:t>pavadin</w:t>
      </w:r>
      <w:r w:rsidR="005B3D58" w:rsidRPr="00E22D51">
        <w:t>tas</w:t>
      </w:r>
      <w:r w:rsidR="00953C78" w:rsidRPr="00E22D51">
        <w:t xml:space="preserve"> „pusiausvyros tašku“</w:t>
      </w:r>
      <w:r w:rsidR="001363E0" w:rsidRPr="00E22D51">
        <w:t xml:space="preserve"> (74 balai</w:t>
      </w:r>
      <w:r w:rsidR="0041253A" w:rsidRPr="00CB312D">
        <w:t>)</w:t>
      </w:r>
      <w:r w:rsidR="00953C78" w:rsidRPr="00CB312D">
        <w:t>.</w:t>
      </w:r>
      <w:r w:rsidR="00204818" w:rsidRPr="00CB312D">
        <w:t xml:space="preserve"> Tai</w:t>
      </w:r>
      <w:r w:rsidR="00830380" w:rsidRPr="00CB312D">
        <w:t xml:space="preserve"> parodo</w:t>
      </w:r>
      <w:r w:rsidR="00204818" w:rsidRPr="00CB312D">
        <w:t xml:space="preserve">, jog </w:t>
      </w:r>
      <w:r w:rsidR="007E0F57" w:rsidRPr="00CB312D">
        <w:rPr>
          <w:i/>
        </w:rPr>
        <w:t xml:space="preserve">labai didelė dalis </w:t>
      </w:r>
      <w:r w:rsidR="00830380" w:rsidRPr="00CB312D">
        <w:rPr>
          <w:i/>
        </w:rPr>
        <w:t xml:space="preserve">bedarbių </w:t>
      </w:r>
      <w:r w:rsidR="00185994" w:rsidRPr="00CB312D">
        <w:rPr>
          <w:i/>
        </w:rPr>
        <w:t>i</w:t>
      </w:r>
      <w:r w:rsidR="001363E0" w:rsidRPr="00CB312D">
        <w:rPr>
          <w:i/>
        </w:rPr>
        <w:t>r</w:t>
      </w:r>
      <w:r w:rsidR="00185994" w:rsidRPr="00CB312D">
        <w:rPr>
          <w:i/>
        </w:rPr>
        <w:t xml:space="preserve"> socialinės paramos</w:t>
      </w:r>
      <w:r w:rsidR="00FF1540" w:rsidRPr="00CB312D">
        <w:rPr>
          <w:i/>
        </w:rPr>
        <w:t xml:space="preserve"> </w:t>
      </w:r>
      <w:r w:rsidR="00185994" w:rsidRPr="00CB312D">
        <w:rPr>
          <w:i/>
        </w:rPr>
        <w:t xml:space="preserve">gavėjų </w:t>
      </w:r>
      <w:r w:rsidR="00C936D9" w:rsidRPr="00CB312D">
        <w:rPr>
          <w:i/>
        </w:rPr>
        <w:t>socialin</w:t>
      </w:r>
      <w:r w:rsidR="001B4A75" w:rsidRPr="00CB312D">
        <w:rPr>
          <w:i/>
        </w:rPr>
        <w:t xml:space="preserve">e </w:t>
      </w:r>
      <w:r w:rsidR="005A6C1E" w:rsidRPr="00CB312D">
        <w:rPr>
          <w:i/>
        </w:rPr>
        <w:t xml:space="preserve">gerove </w:t>
      </w:r>
      <w:r w:rsidR="001B4A75" w:rsidRPr="00CB312D">
        <w:rPr>
          <w:i/>
        </w:rPr>
        <w:t xml:space="preserve">naudojasi </w:t>
      </w:r>
      <w:r w:rsidR="00F31674" w:rsidRPr="00CB312D">
        <w:rPr>
          <w:i/>
        </w:rPr>
        <w:t xml:space="preserve">nepagrįstai, t. y. nesant </w:t>
      </w:r>
      <w:r w:rsidR="00E5157B">
        <w:rPr>
          <w:i/>
        </w:rPr>
        <w:t>objektyvių priežasčių</w:t>
      </w:r>
      <w:r w:rsidR="00B97652" w:rsidRPr="00CB312D">
        <w:rPr>
          <w:i/>
        </w:rPr>
        <w:t>, ar</w:t>
      </w:r>
      <w:r w:rsidR="00F5776D" w:rsidRPr="00CB312D">
        <w:rPr>
          <w:i/>
        </w:rPr>
        <w:t xml:space="preserve"> </w:t>
      </w:r>
      <w:r w:rsidR="00F31674" w:rsidRPr="00CB312D">
        <w:rPr>
          <w:i/>
        </w:rPr>
        <w:t>neteisėtai</w:t>
      </w:r>
      <w:r w:rsidR="00F5776D" w:rsidRPr="00CB312D">
        <w:rPr>
          <w:i/>
        </w:rPr>
        <w:t>, t. y. nesant</w:t>
      </w:r>
      <w:r w:rsidR="00F31674" w:rsidRPr="00CB312D">
        <w:rPr>
          <w:i/>
        </w:rPr>
        <w:t xml:space="preserve"> </w:t>
      </w:r>
      <w:r w:rsidR="00CD210E" w:rsidRPr="00CB312D">
        <w:rPr>
          <w:i/>
        </w:rPr>
        <w:t>teisinio pagrindo</w:t>
      </w:r>
      <w:r w:rsidR="00627221" w:rsidRPr="00CB312D">
        <w:rPr>
          <w:i/>
        </w:rPr>
        <w:t xml:space="preserve"> (H</w:t>
      </w:r>
      <w:r w:rsidR="00627221" w:rsidRPr="00CB312D">
        <w:rPr>
          <w:i/>
          <w:vertAlign w:val="subscript"/>
        </w:rPr>
        <w:t>1</w:t>
      </w:r>
      <w:r w:rsidR="00627221" w:rsidRPr="00CB312D">
        <w:rPr>
          <w:i/>
        </w:rPr>
        <w:t>)</w:t>
      </w:r>
      <w:r w:rsidR="00CD210E" w:rsidRPr="00CB312D">
        <w:t>, todėl bereikalingai naudoja valstybės</w:t>
      </w:r>
      <w:r w:rsidR="0067743F" w:rsidRPr="00CB312D">
        <w:t>, –</w:t>
      </w:r>
      <w:r w:rsidR="00AC0843" w:rsidRPr="00CB312D">
        <w:t xml:space="preserve"> </w:t>
      </w:r>
      <w:r w:rsidR="007E0CB2" w:rsidRPr="00CB312D">
        <w:t xml:space="preserve">o tai reiškia ir </w:t>
      </w:r>
      <w:r w:rsidR="0067743F" w:rsidRPr="00CB312D">
        <w:t xml:space="preserve">visuomenės, – </w:t>
      </w:r>
      <w:r w:rsidR="00AC0843" w:rsidRPr="00CB312D">
        <w:t xml:space="preserve">finansinius </w:t>
      </w:r>
      <w:r w:rsidR="0067743F" w:rsidRPr="00CB312D">
        <w:t>išteklius.</w:t>
      </w:r>
    </w:p>
    <w:p w:rsidR="001F7482" w:rsidRPr="00776968" w:rsidRDefault="001F7482" w:rsidP="00743150">
      <w:r w:rsidRPr="00323181">
        <w:rPr>
          <w:b/>
          <w:i/>
          <w:u w:val="single"/>
        </w:rPr>
        <w:t>E</w:t>
      </w:r>
      <w:r w:rsidR="00BC18B1" w:rsidRPr="00323181">
        <w:rPr>
          <w:b/>
          <w:i/>
          <w:u w:val="single"/>
        </w:rPr>
        <w:t>lgsena e</w:t>
      </w:r>
      <w:r w:rsidRPr="00323181">
        <w:rPr>
          <w:b/>
          <w:i/>
          <w:u w:val="single"/>
        </w:rPr>
        <w:t>mocinių-psichologinių veiksni</w:t>
      </w:r>
      <w:r w:rsidR="001B0BEA" w:rsidRPr="00323181">
        <w:rPr>
          <w:b/>
          <w:i/>
          <w:u w:val="single"/>
        </w:rPr>
        <w:t>ų</w:t>
      </w:r>
      <w:r w:rsidR="00BC18B1" w:rsidRPr="00323181">
        <w:rPr>
          <w:b/>
          <w:i/>
          <w:u w:val="single"/>
        </w:rPr>
        <w:t xml:space="preserve"> atžvilgiu</w:t>
      </w:r>
      <w:r>
        <w:t>.</w:t>
      </w:r>
      <w:r w:rsidR="005E2DED">
        <w:t xml:space="preserve"> Kaip matyti iš ekspertų </w:t>
      </w:r>
      <w:r w:rsidR="005E2DED" w:rsidRPr="008921F9">
        <w:t>vertinimų</w:t>
      </w:r>
      <w:r w:rsidR="006F1FAF" w:rsidRPr="008921F9">
        <w:t xml:space="preserve"> (</w:t>
      </w:r>
      <w:r w:rsidR="00C964F2" w:rsidRPr="008921F9">
        <w:t>žr. 6 priedą</w:t>
      </w:r>
      <w:r w:rsidR="006F1FAF" w:rsidRPr="008921F9">
        <w:t>)</w:t>
      </w:r>
      <w:r w:rsidR="005E2DED" w:rsidRPr="008921F9">
        <w:t>,</w:t>
      </w:r>
      <w:r w:rsidR="005E2DED">
        <w:t xml:space="preserve"> </w:t>
      </w:r>
      <w:r w:rsidR="002117CB">
        <w:t>nedarbo draudimo išmokų bei</w:t>
      </w:r>
      <w:r w:rsidR="007C12D3">
        <w:t xml:space="preserve"> socialinės paramos gavėjų elgsen</w:t>
      </w:r>
      <w:r w:rsidR="00C809BE">
        <w:t>ą</w:t>
      </w:r>
      <w:r w:rsidR="007C12D3">
        <w:t xml:space="preserve"> </w:t>
      </w:r>
      <w:r w:rsidR="005E2DED">
        <w:t>emocin</w:t>
      </w:r>
      <w:r w:rsidR="00E0625F">
        <w:t>iai</w:t>
      </w:r>
      <w:r w:rsidR="005E2DED">
        <w:t>-psichologin</w:t>
      </w:r>
      <w:r w:rsidR="00AC61FA">
        <w:t>iai veiksniai</w:t>
      </w:r>
      <w:r w:rsidR="007C12D3">
        <w:t xml:space="preserve"> </w:t>
      </w:r>
      <w:r w:rsidR="00C809BE">
        <w:t>veikė aktyviai</w:t>
      </w:r>
      <w:r w:rsidR="007375CC">
        <w:t xml:space="preserve">, </w:t>
      </w:r>
      <w:r w:rsidR="00A56EB3">
        <w:t>nes</w:t>
      </w:r>
      <w:r w:rsidR="005938F6">
        <w:t xml:space="preserve"> dauguma jų </w:t>
      </w:r>
      <w:r w:rsidR="001C72B0">
        <w:t xml:space="preserve">buvo įvertinti kaip darantys </w:t>
      </w:r>
      <w:r w:rsidR="00E45AF1">
        <w:t xml:space="preserve">didelę ar net </w:t>
      </w:r>
      <w:r w:rsidR="00A56EB3">
        <w:t xml:space="preserve">itin </w:t>
      </w:r>
      <w:r w:rsidR="001C72B0">
        <w:t>didelę įtaką</w:t>
      </w:r>
      <w:r w:rsidR="00271E6F">
        <w:t>.</w:t>
      </w:r>
      <w:r w:rsidR="005938F6">
        <w:t xml:space="preserve"> </w:t>
      </w:r>
      <w:r w:rsidR="001C72B0">
        <w:t>Apskaičiavus</w:t>
      </w:r>
      <w:r w:rsidR="003571EA">
        <w:t xml:space="preserve"> svertinį </w:t>
      </w:r>
      <w:r w:rsidR="00A56EB3">
        <w:t xml:space="preserve">šios veiksnių grupės </w:t>
      </w:r>
      <w:r w:rsidR="003571EA">
        <w:t xml:space="preserve">balą </w:t>
      </w:r>
      <w:r w:rsidR="00427575">
        <w:t>(26 balai</w:t>
      </w:r>
      <w:r w:rsidR="00724AC0">
        <w:t>)</w:t>
      </w:r>
      <w:r w:rsidR="005C4FBA">
        <w:t>,</w:t>
      </w:r>
      <w:r w:rsidR="00724AC0">
        <w:t xml:space="preserve"> </w:t>
      </w:r>
      <w:r w:rsidR="003571EA">
        <w:t xml:space="preserve">paaiškėjo, jog </w:t>
      </w:r>
      <w:r w:rsidR="00A5432A">
        <w:t xml:space="preserve">emocinių-psichologinių veiksnių </w:t>
      </w:r>
      <w:r w:rsidR="000B1393">
        <w:t>įtaka buvo neigiama</w:t>
      </w:r>
      <w:r w:rsidR="00EB58C2">
        <w:t xml:space="preserve">, </w:t>
      </w:r>
      <w:r w:rsidR="00A5432A">
        <w:t xml:space="preserve">nes </w:t>
      </w:r>
      <w:r w:rsidR="00E23C37">
        <w:t>nuo optimal</w:t>
      </w:r>
      <w:r w:rsidR="00D9313E">
        <w:t>ios reikšmės</w:t>
      </w:r>
      <w:r w:rsidR="00E35314">
        <w:t xml:space="preserve"> (58 balai)</w:t>
      </w:r>
      <w:r w:rsidR="00D9313E">
        <w:t xml:space="preserve"> </w:t>
      </w:r>
      <w:r w:rsidR="00F3530A">
        <w:t xml:space="preserve">atsiliko </w:t>
      </w:r>
      <w:r w:rsidR="009F729B">
        <w:t>32</w:t>
      </w:r>
      <w:r w:rsidR="00D211DC">
        <w:t xml:space="preserve"> bal</w:t>
      </w:r>
      <w:r w:rsidR="009F729B">
        <w:t>ais</w:t>
      </w:r>
      <w:r w:rsidR="00E2058C">
        <w:t xml:space="preserve">, o nuo </w:t>
      </w:r>
      <w:r w:rsidR="00A76F47">
        <w:t>„pusiausvyros tašk</w:t>
      </w:r>
      <w:r w:rsidR="00E2058C">
        <w:t>o</w:t>
      </w:r>
      <w:r w:rsidR="00F300CB">
        <w:t>“ (29 balai</w:t>
      </w:r>
      <w:r w:rsidR="00A76F47">
        <w:t>)</w:t>
      </w:r>
      <w:r w:rsidR="00E23C37">
        <w:t xml:space="preserve"> </w:t>
      </w:r>
      <w:r w:rsidR="009F729B">
        <w:t>– 3 balais</w:t>
      </w:r>
      <w:r w:rsidR="005D2990">
        <w:t>.</w:t>
      </w:r>
    </w:p>
    <w:p w:rsidR="00FE1F2F" w:rsidRDefault="005F0D10" w:rsidP="00743150">
      <w:r>
        <w:t>Galima t</w:t>
      </w:r>
      <w:r w:rsidR="00DA0DAB">
        <w:t>eig</w:t>
      </w:r>
      <w:r>
        <w:t xml:space="preserve">ti, jog </w:t>
      </w:r>
      <w:r w:rsidR="000902EC">
        <w:t>labiausiai tokį rezultatą</w:t>
      </w:r>
      <w:r w:rsidR="00DA72A1">
        <w:t xml:space="preserve"> </w:t>
      </w:r>
      <w:r w:rsidR="000902EC">
        <w:t>lėmė</w:t>
      </w:r>
      <w:r w:rsidR="00F53405">
        <w:t xml:space="preserve"> </w:t>
      </w:r>
      <w:r w:rsidR="00B103D7" w:rsidRPr="00A30B60">
        <w:rPr>
          <w:i/>
        </w:rPr>
        <w:t>motyvacijos stoka</w:t>
      </w:r>
      <w:r w:rsidR="00E86C4E">
        <w:rPr>
          <w:i/>
        </w:rPr>
        <w:t xml:space="preserve"> (a</w:t>
      </w:r>
      <w:r w:rsidR="00E86C4E">
        <w:rPr>
          <w:i/>
          <w:vertAlign w:val="subscript"/>
        </w:rPr>
        <w:t>6</w:t>
      </w:r>
      <w:r w:rsidR="00E86C4E">
        <w:rPr>
          <w:i/>
        </w:rPr>
        <w:t>)</w:t>
      </w:r>
      <w:r w:rsidR="00B103D7">
        <w:t xml:space="preserve"> </w:t>
      </w:r>
      <w:r w:rsidR="0012465A">
        <w:t>(</w:t>
      </w:r>
      <w:r w:rsidR="00A561DD">
        <w:t xml:space="preserve">K </w:t>
      </w:r>
      <w:r w:rsidR="00DA0DAB">
        <w:t>– 2,0</w:t>
      </w:r>
      <w:r w:rsidR="0012465A">
        <w:t>;</w:t>
      </w:r>
      <w:r w:rsidR="006E66BF">
        <w:t xml:space="preserve"> </w:t>
      </w:r>
      <w:r w:rsidR="009B5BC1">
        <w:t>skirtumas</w:t>
      </w:r>
      <w:r w:rsidR="00DA0DAB">
        <w:t xml:space="preserve"> </w:t>
      </w:r>
      <w:r w:rsidR="0012465A">
        <w:t xml:space="preserve">– </w:t>
      </w:r>
      <w:r w:rsidR="00E86C4E">
        <w:t>6</w:t>
      </w:r>
      <w:r w:rsidR="006A007E">
        <w:t xml:space="preserve"> bal</w:t>
      </w:r>
      <w:r w:rsidR="0012465A">
        <w:t>ai</w:t>
      </w:r>
      <w:r w:rsidR="006A007E">
        <w:t>)</w:t>
      </w:r>
      <w:r w:rsidR="00B103D7">
        <w:t xml:space="preserve"> </w:t>
      </w:r>
      <w:r w:rsidR="00F53405" w:rsidRPr="00A30B60">
        <w:rPr>
          <w:i/>
        </w:rPr>
        <w:t>mentalin</w:t>
      </w:r>
      <w:r w:rsidR="0012465A">
        <w:rPr>
          <w:i/>
        </w:rPr>
        <w:t>ės</w:t>
      </w:r>
      <w:r w:rsidR="00F53405" w:rsidRPr="00A30B60">
        <w:rPr>
          <w:i/>
        </w:rPr>
        <w:t xml:space="preserve"> sąskait</w:t>
      </w:r>
      <w:r w:rsidR="0012465A">
        <w:rPr>
          <w:i/>
        </w:rPr>
        <w:t>os</w:t>
      </w:r>
      <w:r w:rsidR="009B5BC1">
        <w:rPr>
          <w:i/>
        </w:rPr>
        <w:t xml:space="preserve"> (a</w:t>
      </w:r>
      <w:r w:rsidR="009B5BC1">
        <w:rPr>
          <w:i/>
          <w:vertAlign w:val="subscript"/>
        </w:rPr>
        <w:t>1</w:t>
      </w:r>
      <w:r w:rsidR="009B5BC1">
        <w:rPr>
          <w:i/>
        </w:rPr>
        <w:t>)</w:t>
      </w:r>
      <w:r w:rsidR="00F53405" w:rsidRPr="00A30B60">
        <w:rPr>
          <w:i/>
        </w:rPr>
        <w:t xml:space="preserve"> </w:t>
      </w:r>
      <w:r w:rsidR="006A007E">
        <w:t>(</w:t>
      </w:r>
      <w:r w:rsidR="00A561DD">
        <w:t xml:space="preserve">K </w:t>
      </w:r>
      <w:r w:rsidR="0012465A">
        <w:t>–</w:t>
      </w:r>
      <w:r w:rsidR="002B23BE">
        <w:t xml:space="preserve"> </w:t>
      </w:r>
      <w:r w:rsidR="009B5BC1">
        <w:t>1,5</w:t>
      </w:r>
      <w:r w:rsidR="002B23BE">
        <w:t>;</w:t>
      </w:r>
      <w:r w:rsidR="009B5BC1">
        <w:t xml:space="preserve"> skirtumas </w:t>
      </w:r>
      <w:r w:rsidR="002B23BE">
        <w:t xml:space="preserve">– </w:t>
      </w:r>
      <w:r w:rsidR="0018040F">
        <w:t>6</w:t>
      </w:r>
      <w:r w:rsidR="006A007E">
        <w:t xml:space="preserve"> ba</w:t>
      </w:r>
      <w:r w:rsidR="002B23BE">
        <w:t>lai</w:t>
      </w:r>
      <w:r w:rsidR="006A007E">
        <w:t>)</w:t>
      </w:r>
      <w:r w:rsidR="009C56D4">
        <w:t xml:space="preserve"> ir</w:t>
      </w:r>
      <w:r w:rsidR="00F53405">
        <w:t xml:space="preserve"> </w:t>
      </w:r>
      <w:r w:rsidR="009B33F2">
        <w:rPr>
          <w:i/>
        </w:rPr>
        <w:t xml:space="preserve">„sovietinis“ </w:t>
      </w:r>
      <w:r w:rsidR="000D45F9">
        <w:rPr>
          <w:i/>
        </w:rPr>
        <w:t xml:space="preserve">požiūris </w:t>
      </w:r>
      <w:r w:rsidR="002C2BBD">
        <w:rPr>
          <w:i/>
        </w:rPr>
        <w:t>(a</w:t>
      </w:r>
      <w:r w:rsidR="009B33F2">
        <w:rPr>
          <w:i/>
          <w:vertAlign w:val="subscript"/>
        </w:rPr>
        <w:t>2</w:t>
      </w:r>
      <w:r w:rsidR="002C2BBD">
        <w:rPr>
          <w:i/>
        </w:rPr>
        <w:t xml:space="preserve">) </w:t>
      </w:r>
      <w:r w:rsidR="0004384A">
        <w:t>(</w:t>
      </w:r>
      <w:r w:rsidR="00A561DD">
        <w:t xml:space="preserve">K </w:t>
      </w:r>
      <w:r w:rsidR="000D45F9">
        <w:t>– 1,0</w:t>
      </w:r>
      <w:r w:rsidR="002B23BE">
        <w:t xml:space="preserve">; </w:t>
      </w:r>
      <w:r w:rsidR="002C2BBD">
        <w:t>skirtumas –</w:t>
      </w:r>
      <w:r w:rsidR="000D45F9">
        <w:t xml:space="preserve"> </w:t>
      </w:r>
      <w:r w:rsidR="002C2BBD">
        <w:t>4,5 balo</w:t>
      </w:r>
      <w:r w:rsidR="00B02C04">
        <w:t>)</w:t>
      </w:r>
      <w:r w:rsidR="00D50B2B">
        <w:t xml:space="preserve"> – o</w:t>
      </w:r>
      <w:r w:rsidR="00D23280">
        <w:t xml:space="preserve"> tai</w:t>
      </w:r>
      <w:r w:rsidR="00E10D3C">
        <w:t xml:space="preserve"> reiškia, jog Lietuvos žm</w:t>
      </w:r>
      <w:r w:rsidR="00CF1090">
        <w:t>onės ne tik nesuvokia, koks yra valstybės vaidmuo, kalbant apie socialinę apsaugą</w:t>
      </w:r>
      <w:r w:rsidR="00E10D3C">
        <w:t xml:space="preserve">, bet </w:t>
      </w:r>
      <w:r w:rsidR="00FE1F2F">
        <w:t>(dar blogiau!)</w:t>
      </w:r>
      <w:r w:rsidR="00A84E10">
        <w:t xml:space="preserve"> nesugeba patys įdėti pakankamai pastangų, kad jų statusas pasikeistų.</w:t>
      </w:r>
    </w:p>
    <w:p w:rsidR="0064148E" w:rsidRPr="00660572" w:rsidRDefault="0064148E" w:rsidP="00743150">
      <w:r w:rsidRPr="00660572">
        <w:t xml:space="preserve">Lyginant su pačių bedarbių ir socialinės paramos gavėjų apklausos </w:t>
      </w:r>
      <w:r w:rsidRPr="008921F9">
        <w:t>rezultatais (</w:t>
      </w:r>
      <w:r w:rsidR="0089095F" w:rsidRPr="008921F9">
        <w:t>žr. 15</w:t>
      </w:r>
      <w:r w:rsidRPr="008921F9">
        <w:t> pav.),</w:t>
      </w:r>
      <w:r w:rsidRPr="00660572">
        <w:t xml:space="preserve"> </w:t>
      </w:r>
      <w:r w:rsidR="00660572" w:rsidRPr="00660572">
        <w:t>matyti</w:t>
      </w:r>
      <w:r w:rsidRPr="00660572">
        <w:t>, jog</w:t>
      </w:r>
      <w:r w:rsidR="00660572" w:rsidRPr="00660572">
        <w:t xml:space="preserve"> daugiausiai prieštaravimų atsirado, vertinant</w:t>
      </w:r>
      <w:r w:rsidR="00CD0412">
        <w:t xml:space="preserve"> </w:t>
      </w:r>
      <w:r w:rsidR="00660572" w:rsidRPr="00660572">
        <w:rPr>
          <w:i/>
        </w:rPr>
        <w:t>motyvacijos stoką</w:t>
      </w:r>
      <w:r w:rsidR="00CD0412">
        <w:rPr>
          <w:i/>
        </w:rPr>
        <w:t xml:space="preserve"> (a</w:t>
      </w:r>
      <w:r w:rsidR="00CD0412">
        <w:rPr>
          <w:i/>
          <w:vertAlign w:val="subscript"/>
        </w:rPr>
        <w:t>6</w:t>
      </w:r>
      <w:r w:rsidR="00CD0412">
        <w:rPr>
          <w:i/>
        </w:rPr>
        <w:t>)</w:t>
      </w:r>
      <w:r w:rsidR="00660572" w:rsidRPr="00660572">
        <w:t>:</w:t>
      </w:r>
      <w:r w:rsidR="003C31DF">
        <w:t xml:space="preserve"> individai save buvo linkę laikyti pakankamai motyvuotais (</w:t>
      </w:r>
      <w:r w:rsidR="0014271F">
        <w:t xml:space="preserve">6 balai), </w:t>
      </w:r>
      <w:r w:rsidR="00F91C78">
        <w:t xml:space="preserve">t. y. kaip dedančiais </w:t>
      </w:r>
      <w:r w:rsidR="00191490">
        <w:t xml:space="preserve">vidutinio dydžio </w:t>
      </w:r>
      <w:r w:rsidR="00F91C78">
        <w:t>pastangas</w:t>
      </w:r>
      <w:r w:rsidR="00191490">
        <w:t>, siekiant įsidarbinti,</w:t>
      </w:r>
      <w:r w:rsidR="00F91C78">
        <w:t xml:space="preserve"> </w:t>
      </w:r>
      <w:r w:rsidR="00864F72">
        <w:t>tuo tarpu</w:t>
      </w:r>
      <w:r w:rsidR="0014271F">
        <w:t xml:space="preserve"> ekspertai </w:t>
      </w:r>
      <w:r w:rsidR="00864F72">
        <w:t xml:space="preserve">tą patį veiksnį </w:t>
      </w:r>
      <w:r w:rsidR="0014271F">
        <w:t>įvertino tik 2 balais</w:t>
      </w:r>
      <w:r w:rsidR="00191490">
        <w:t>.</w:t>
      </w:r>
      <w:r w:rsidR="00864F72">
        <w:t xml:space="preserve"> Tai</w:t>
      </w:r>
      <w:r w:rsidR="009E544B">
        <w:t xml:space="preserve"> suponuoja faktą</w:t>
      </w:r>
      <w:r w:rsidR="00864F72">
        <w:t>, jog</w:t>
      </w:r>
      <w:r w:rsidR="009E544B">
        <w:t xml:space="preserve"> Lietuvos žmonės yra linkę </w:t>
      </w:r>
      <w:r w:rsidR="005F383D">
        <w:t xml:space="preserve">ne tik </w:t>
      </w:r>
      <w:r w:rsidR="009E544B">
        <w:t xml:space="preserve">pervertinti savo </w:t>
      </w:r>
      <w:r w:rsidR="00AA0B41">
        <w:t>pastangas, bet</w:t>
      </w:r>
      <w:r w:rsidR="008236A2">
        <w:t xml:space="preserve"> ir pasirodyti geresniais</w:t>
      </w:r>
      <w:r w:rsidR="005F383D">
        <w:t>,</w:t>
      </w:r>
      <w:r w:rsidR="008236A2">
        <w:t xml:space="preserve"> –</w:t>
      </w:r>
      <w:r w:rsidR="00AA0B41">
        <w:t xml:space="preserve"> kad kitų požiūris į juos butų</w:t>
      </w:r>
      <w:r w:rsidR="005F383D">
        <w:t xml:space="preserve"> palankesnis</w:t>
      </w:r>
      <w:r w:rsidR="00AA0B41">
        <w:t>.</w:t>
      </w:r>
    </w:p>
    <w:p w:rsidR="00B71B18" w:rsidRDefault="00B71B18" w:rsidP="00984377">
      <w:pPr>
        <w:spacing w:after="0" w:line="240" w:lineRule="auto"/>
        <w:ind w:firstLine="0"/>
        <w:jc w:val="center"/>
      </w:pPr>
      <w:r>
        <w:rPr>
          <w:noProof/>
          <w:lang w:val="en-US"/>
        </w:rPr>
        <w:drawing>
          <wp:inline distT="0" distB="0" distL="0" distR="0">
            <wp:extent cx="6496050" cy="2143125"/>
            <wp:effectExtent l="0" t="19050" r="76200" b="47625"/>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71B18" w:rsidRPr="00D70D09" w:rsidRDefault="00B71B18" w:rsidP="00B71B18">
      <w:pPr>
        <w:spacing w:after="0" w:line="240" w:lineRule="auto"/>
        <w:rPr>
          <w:sz w:val="20"/>
        </w:rPr>
      </w:pPr>
      <w:r w:rsidRPr="00D70D09">
        <w:rPr>
          <w:b/>
          <w:sz w:val="20"/>
        </w:rPr>
        <w:t>Šaltinis</w:t>
      </w:r>
      <w:r w:rsidRPr="00D70D09">
        <w:rPr>
          <w:sz w:val="20"/>
        </w:rPr>
        <w:t>: sudaryta šio darbo autorės</w:t>
      </w:r>
      <w:r w:rsidR="00236B3C">
        <w:rPr>
          <w:sz w:val="20"/>
        </w:rPr>
        <w:t>, remiantis ekspertų vertinimais</w:t>
      </w:r>
    </w:p>
    <w:bookmarkStart w:id="42" w:name="_Toc343590412"/>
    <w:p w:rsidR="00B71B18" w:rsidRDefault="00D84BC4" w:rsidP="00886347">
      <w:pPr>
        <w:pStyle w:val="Caption"/>
      </w:pPr>
      <w:r w:rsidRPr="003355F9">
        <w:rPr>
          <w:b w:val="0"/>
        </w:rPr>
        <w:fldChar w:fldCharType="begin"/>
      </w:r>
      <w:r w:rsidR="008921F9" w:rsidRPr="003355F9">
        <w:rPr>
          <w:b w:val="0"/>
        </w:rPr>
        <w:instrText xml:space="preserve"> SEQ pav. \* ARABIC </w:instrText>
      </w:r>
      <w:r w:rsidRPr="003355F9">
        <w:rPr>
          <w:b w:val="0"/>
        </w:rPr>
        <w:fldChar w:fldCharType="separate"/>
      </w:r>
      <w:r w:rsidR="008921F9" w:rsidRPr="003355F9">
        <w:rPr>
          <w:b w:val="0"/>
        </w:rPr>
        <w:t>15</w:t>
      </w:r>
      <w:r w:rsidRPr="003355F9">
        <w:rPr>
          <w:b w:val="0"/>
        </w:rPr>
        <w:fldChar w:fldCharType="end"/>
      </w:r>
      <w:r w:rsidR="008921F9" w:rsidRPr="003355F9">
        <w:rPr>
          <w:b w:val="0"/>
        </w:rPr>
        <w:t xml:space="preserve"> </w:t>
      </w:r>
      <w:r w:rsidR="00984377" w:rsidRPr="003355F9">
        <w:rPr>
          <w:b w:val="0"/>
        </w:rPr>
        <w:t>pav.</w:t>
      </w:r>
      <w:r w:rsidR="00984377" w:rsidRPr="00984377">
        <w:rPr>
          <w:color w:val="FF0000"/>
        </w:rPr>
        <w:t xml:space="preserve"> </w:t>
      </w:r>
      <w:r w:rsidR="00B71B18">
        <w:t xml:space="preserve">Ekspertų vertinimas: elgsena </w:t>
      </w:r>
      <w:r w:rsidR="00B71B18" w:rsidRPr="00F97444">
        <w:rPr>
          <w:i/>
        </w:rPr>
        <w:t>emocinių-psichologinių veiksnių</w:t>
      </w:r>
      <w:r w:rsidR="00B71B18">
        <w:t xml:space="preserve"> atžvilgiu</w:t>
      </w:r>
      <w:bookmarkEnd w:id="42"/>
    </w:p>
    <w:p w:rsidR="00C34561" w:rsidRDefault="00D50B2B" w:rsidP="00743150">
      <w:r>
        <w:lastRenderedPageBreak/>
        <w:t>Reik</w:t>
      </w:r>
      <w:r w:rsidR="0062450E">
        <w:t>ė</w:t>
      </w:r>
      <w:r w:rsidR="00AA434A">
        <w:t xml:space="preserve">tų </w:t>
      </w:r>
      <w:r w:rsidR="00FE1F2F">
        <w:t>atkreipti dėmesį, jog, ekspertų</w:t>
      </w:r>
      <w:r w:rsidR="0062450E">
        <w:t xml:space="preserve"> manymu</w:t>
      </w:r>
      <w:r w:rsidR="00AA434A">
        <w:t>,</w:t>
      </w:r>
      <w:r w:rsidR="00FE2AC4">
        <w:t xml:space="preserve"> šiek tiek padidėjusi yra</w:t>
      </w:r>
      <w:r>
        <w:t xml:space="preserve"> ir</w:t>
      </w:r>
      <w:r w:rsidR="00FE2AC4">
        <w:t xml:space="preserve"> </w:t>
      </w:r>
      <w:r w:rsidR="00FE2AC4" w:rsidRPr="005A62CD">
        <w:rPr>
          <w:i/>
        </w:rPr>
        <w:t>orumo</w:t>
      </w:r>
      <w:r w:rsidR="00983577">
        <w:t xml:space="preserve"> </w:t>
      </w:r>
      <w:r w:rsidR="00FE1F2F" w:rsidRPr="00FE1F2F">
        <w:rPr>
          <w:i/>
        </w:rPr>
        <w:t>(a</w:t>
      </w:r>
      <w:r w:rsidR="00FE1F2F" w:rsidRPr="00FE1F2F">
        <w:rPr>
          <w:i/>
          <w:vertAlign w:val="subscript"/>
        </w:rPr>
        <w:t>5</w:t>
      </w:r>
      <w:r w:rsidR="00FE1F2F" w:rsidRPr="00FE1F2F">
        <w:rPr>
          <w:i/>
        </w:rPr>
        <w:t>)</w:t>
      </w:r>
      <w:r w:rsidR="00FE1F2F">
        <w:t xml:space="preserve"> </w:t>
      </w:r>
      <w:r w:rsidR="00983577">
        <w:t xml:space="preserve">bei </w:t>
      </w:r>
      <w:r w:rsidR="00983577" w:rsidRPr="005A62CD">
        <w:rPr>
          <w:i/>
        </w:rPr>
        <w:t>amoralaus šeimyniškumo</w:t>
      </w:r>
      <w:r w:rsidR="00DA22DF">
        <w:rPr>
          <w:i/>
        </w:rPr>
        <w:t xml:space="preserve"> (a</w:t>
      </w:r>
      <w:r w:rsidR="00DA22DF">
        <w:rPr>
          <w:i/>
          <w:vertAlign w:val="subscript"/>
        </w:rPr>
        <w:t>3</w:t>
      </w:r>
      <w:r w:rsidR="00DA22DF">
        <w:rPr>
          <w:i/>
        </w:rPr>
        <w:t>)</w:t>
      </w:r>
      <w:r w:rsidR="00FE2AC4">
        <w:t xml:space="preserve"> įtaka</w:t>
      </w:r>
      <w:r w:rsidR="00DA72A1">
        <w:t xml:space="preserve">, </w:t>
      </w:r>
      <w:r w:rsidR="00D23280">
        <w:t>vadinasi</w:t>
      </w:r>
      <w:r w:rsidR="00DA72A1">
        <w:t>,</w:t>
      </w:r>
      <w:r w:rsidR="005A62CD">
        <w:t xml:space="preserve"> sprendim</w:t>
      </w:r>
      <w:r w:rsidR="00150CC2">
        <w:t>ai</w:t>
      </w:r>
      <w:r w:rsidR="005A62CD">
        <w:t xml:space="preserve"> pajamas </w:t>
      </w:r>
      <w:r>
        <w:t>kaup</w:t>
      </w:r>
      <w:r w:rsidR="00473F36">
        <w:t xml:space="preserve">ti </w:t>
      </w:r>
      <w:r w:rsidR="005A62CD">
        <w:t>iš socialinės apsaugos lėšų</w:t>
      </w:r>
      <w:r w:rsidR="00150CC2">
        <w:t xml:space="preserve"> vis dažniau </w:t>
      </w:r>
      <w:r>
        <w:t xml:space="preserve">yra </w:t>
      </w:r>
      <w:r w:rsidR="00150CC2">
        <w:t>grindžiami nenoru dirbti už minimalų atly</w:t>
      </w:r>
      <w:r w:rsidR="00535220">
        <w:t>gį ar tiesiog siekiu</w:t>
      </w:r>
      <w:r w:rsidR="00473F36">
        <w:t xml:space="preserve"> </w:t>
      </w:r>
      <w:r w:rsidR="000B16FD">
        <w:t>šeimai parūpinti daugiau pinigų</w:t>
      </w:r>
      <w:r w:rsidR="00535220">
        <w:t>.</w:t>
      </w:r>
      <w:r w:rsidR="00800116">
        <w:t xml:space="preserve"> </w:t>
      </w:r>
      <w:r w:rsidR="000C676C">
        <w:t xml:space="preserve">Bedarbiai ir socialinės paramos gavėjai </w:t>
      </w:r>
      <w:r w:rsidR="000C676C" w:rsidRPr="000C676C">
        <w:rPr>
          <w:i/>
        </w:rPr>
        <w:t>o</w:t>
      </w:r>
      <w:r w:rsidR="00A544F3">
        <w:rPr>
          <w:i/>
        </w:rPr>
        <w:t>rumą</w:t>
      </w:r>
      <w:r w:rsidR="00D5610D" w:rsidRPr="000C676C">
        <w:rPr>
          <w:i/>
        </w:rPr>
        <w:t xml:space="preserve"> </w:t>
      </w:r>
      <w:r w:rsidR="00AC4AAA">
        <w:t>vertino</w:t>
      </w:r>
      <w:r w:rsidR="00D5610D">
        <w:t xml:space="preserve"> </w:t>
      </w:r>
      <w:r w:rsidR="001F0848">
        <w:t xml:space="preserve">kur kas </w:t>
      </w:r>
      <w:r w:rsidR="00D5610D">
        <w:t>palankiau</w:t>
      </w:r>
      <w:r w:rsidR="00A544F3">
        <w:t xml:space="preserve"> (6 balai)</w:t>
      </w:r>
      <w:r w:rsidR="000E1A6F">
        <w:t>, o tai</w:t>
      </w:r>
      <w:r w:rsidR="00C071DE">
        <w:t xml:space="preserve"> tik pagrindžia išsakytą mintį</w:t>
      </w:r>
      <w:r w:rsidR="000E1A6F">
        <w:t>, jog</w:t>
      </w:r>
      <w:r w:rsidR="00523318">
        <w:t xml:space="preserve"> </w:t>
      </w:r>
      <w:r w:rsidR="00965B02">
        <w:t xml:space="preserve">žmonės </w:t>
      </w:r>
      <w:r w:rsidR="004C24EE">
        <w:t>nenori</w:t>
      </w:r>
      <w:r w:rsidR="00EF2B7B">
        <w:t xml:space="preserve"> pripažinti</w:t>
      </w:r>
      <w:r w:rsidR="00373758">
        <w:t>, jog jų elgsena</w:t>
      </w:r>
      <w:r w:rsidR="006D7116">
        <w:t xml:space="preserve"> yra</w:t>
      </w:r>
      <w:r w:rsidR="00373758">
        <w:t xml:space="preserve"> netinkama</w:t>
      </w:r>
      <w:r w:rsidR="00234435">
        <w:t>.</w:t>
      </w:r>
      <w:r w:rsidR="00D643E1">
        <w:t xml:space="preserve"> </w:t>
      </w:r>
      <w:r w:rsidR="00D65CC1">
        <w:t>Tiesa,</w:t>
      </w:r>
      <w:r w:rsidR="00D643E1">
        <w:t xml:space="preserve"> </w:t>
      </w:r>
      <w:r w:rsidR="00255EFE" w:rsidRPr="00255EFE">
        <w:rPr>
          <w:i/>
        </w:rPr>
        <w:t>amoralus</w:t>
      </w:r>
      <w:r w:rsidR="00255EFE">
        <w:t xml:space="preserve"> </w:t>
      </w:r>
      <w:r w:rsidR="00D65CC1" w:rsidRPr="00D643E1">
        <w:rPr>
          <w:i/>
        </w:rPr>
        <w:t>šeimyniškum</w:t>
      </w:r>
      <w:r w:rsidR="00AB3442">
        <w:rPr>
          <w:i/>
        </w:rPr>
        <w:t>as</w:t>
      </w:r>
      <w:r w:rsidR="00D65CC1">
        <w:t xml:space="preserve"> </w:t>
      </w:r>
      <w:r w:rsidR="00270C03" w:rsidRPr="00270C03">
        <w:rPr>
          <w:i/>
        </w:rPr>
        <w:t>(a</w:t>
      </w:r>
      <w:r w:rsidR="00270C03" w:rsidRPr="00270C03">
        <w:rPr>
          <w:i/>
          <w:vertAlign w:val="subscript"/>
        </w:rPr>
        <w:t>3</w:t>
      </w:r>
      <w:r w:rsidR="00270C03" w:rsidRPr="00270C03">
        <w:rPr>
          <w:i/>
        </w:rPr>
        <w:t>)</w:t>
      </w:r>
      <w:r w:rsidR="005A09C0">
        <w:t xml:space="preserve"> </w:t>
      </w:r>
      <w:r w:rsidR="00255EFE">
        <w:t xml:space="preserve">pačių </w:t>
      </w:r>
      <w:r w:rsidR="00970EAC">
        <w:t xml:space="preserve">žmonių </w:t>
      </w:r>
      <w:r w:rsidR="00523318">
        <w:t>buvo</w:t>
      </w:r>
      <w:r w:rsidR="00892C90">
        <w:t xml:space="preserve"> </w:t>
      </w:r>
      <w:r w:rsidR="00255EFE">
        <w:t>vertinamas</w:t>
      </w:r>
      <w:r w:rsidR="00DD4C27">
        <w:t xml:space="preserve"> </w:t>
      </w:r>
      <w:r w:rsidR="00892C90">
        <w:t>kaip labiau veikian</w:t>
      </w:r>
      <w:r w:rsidR="00AB3442">
        <w:t>tys</w:t>
      </w:r>
      <w:r w:rsidR="00892C90">
        <w:t xml:space="preserve"> jų elgseną</w:t>
      </w:r>
      <w:r w:rsidR="005A09C0">
        <w:t>, ne</w:t>
      </w:r>
      <w:r w:rsidR="00215CD6">
        <w:t>gu</w:t>
      </w:r>
      <w:r w:rsidR="005A09C0">
        <w:t xml:space="preserve"> tai</w:t>
      </w:r>
      <w:r w:rsidR="007C155D">
        <w:t xml:space="preserve"> </w:t>
      </w:r>
      <w:r w:rsidR="00215CD6">
        <w:t xml:space="preserve">nurodė </w:t>
      </w:r>
      <w:r w:rsidR="005A09C0">
        <w:t>ekspertai</w:t>
      </w:r>
      <w:r w:rsidR="00A5088F">
        <w:t>,</w:t>
      </w:r>
      <w:r w:rsidR="00215CD6">
        <w:t xml:space="preserve"> – mūsų manymu, teisingesn</w:t>
      </w:r>
      <w:r w:rsidR="00687657">
        <w:t>i</w:t>
      </w:r>
      <w:r w:rsidR="00063BFB">
        <w:t>,</w:t>
      </w:r>
      <w:r w:rsidR="00687657">
        <w:t xml:space="preserve"> š</w:t>
      </w:r>
      <w:r w:rsidR="00863315">
        <w:t>iuo</w:t>
      </w:r>
      <w:r w:rsidR="00687657">
        <w:t xml:space="preserve"> </w:t>
      </w:r>
      <w:r w:rsidR="00863315">
        <w:t>atveju</w:t>
      </w:r>
      <w:r w:rsidR="00063BFB">
        <w:t>,</w:t>
      </w:r>
      <w:r w:rsidR="00863315">
        <w:t xml:space="preserve"> </w:t>
      </w:r>
      <w:r w:rsidR="00215CD6">
        <w:t xml:space="preserve">yra </w:t>
      </w:r>
      <w:r w:rsidR="005A09C0">
        <w:t>apklausos rezultatai</w:t>
      </w:r>
      <w:r w:rsidR="00863315">
        <w:t xml:space="preserve">, </w:t>
      </w:r>
      <w:r w:rsidR="00AB3442">
        <w:t>nes</w:t>
      </w:r>
      <w:r w:rsidR="00687657">
        <w:t xml:space="preserve"> </w:t>
      </w:r>
      <w:r w:rsidR="00EE226C">
        <w:t xml:space="preserve">vertinti </w:t>
      </w:r>
      <w:r w:rsidR="00DD4C27">
        <w:t xml:space="preserve">sąžiningai </w:t>
      </w:r>
      <w:r w:rsidR="00863315">
        <w:t>galėjo</w:t>
      </w:r>
      <w:r w:rsidR="001B6F7A">
        <w:t xml:space="preserve"> </w:t>
      </w:r>
      <w:r w:rsidR="00642AD3">
        <w:t>pa</w:t>
      </w:r>
      <w:r w:rsidR="001B6F7A">
        <w:t>skatin</w:t>
      </w:r>
      <w:r w:rsidR="00863315">
        <w:t>ti</w:t>
      </w:r>
      <w:r w:rsidR="001B6F7A">
        <w:t xml:space="preserve"> </w:t>
      </w:r>
      <w:r w:rsidR="0090677F">
        <w:t>pateikt</w:t>
      </w:r>
      <w:r w:rsidR="00DD4C27">
        <w:t>i teiginiai</w:t>
      </w:r>
      <w:r w:rsidR="00AB3442">
        <w:t>.</w:t>
      </w:r>
    </w:p>
    <w:p w:rsidR="009B4A36" w:rsidRDefault="00E51E92" w:rsidP="00C16D1E">
      <w:r w:rsidRPr="000245B7">
        <w:rPr>
          <w:b/>
          <w:i/>
          <w:u w:val="single"/>
        </w:rPr>
        <w:t>Elgsena s</w:t>
      </w:r>
      <w:r w:rsidR="00C16D1E" w:rsidRPr="000245B7">
        <w:rPr>
          <w:b/>
          <w:i/>
          <w:u w:val="single"/>
        </w:rPr>
        <w:t>ocialinių-demografinių veiksnių</w:t>
      </w:r>
      <w:r w:rsidRPr="000245B7">
        <w:rPr>
          <w:b/>
          <w:i/>
          <w:u w:val="single"/>
        </w:rPr>
        <w:t xml:space="preserve"> atžvilgiu</w:t>
      </w:r>
      <w:r w:rsidR="00C16D1E">
        <w:t xml:space="preserve">. Iš ekspertų vertinimų </w:t>
      </w:r>
      <w:r w:rsidR="00C16D1E" w:rsidRPr="008921F9">
        <w:t>matyti</w:t>
      </w:r>
      <w:r w:rsidR="00114070" w:rsidRPr="008921F9">
        <w:t xml:space="preserve"> (</w:t>
      </w:r>
      <w:r w:rsidR="00FF5547" w:rsidRPr="008921F9">
        <w:t xml:space="preserve">žr. </w:t>
      </w:r>
      <w:r w:rsidR="001030ED" w:rsidRPr="008921F9">
        <w:t>6 priedą</w:t>
      </w:r>
      <w:r w:rsidR="00114070" w:rsidRPr="008921F9">
        <w:t>)</w:t>
      </w:r>
      <w:r w:rsidR="00C16D1E" w:rsidRPr="008921F9">
        <w:t>, jog</w:t>
      </w:r>
      <w:r w:rsidR="00C16D1E">
        <w:t xml:space="preserve"> </w:t>
      </w:r>
      <w:r w:rsidR="003B41D4">
        <w:t>š</w:t>
      </w:r>
      <w:r w:rsidR="00A66425">
        <w:t>ių</w:t>
      </w:r>
      <w:r w:rsidR="003B41D4">
        <w:t xml:space="preserve"> veiksni</w:t>
      </w:r>
      <w:r w:rsidR="00A66425">
        <w:t>ų atžvilgiu</w:t>
      </w:r>
      <w:r w:rsidR="00A66425" w:rsidRPr="00A66425">
        <w:t xml:space="preserve"> </w:t>
      </w:r>
      <w:r w:rsidR="00A66425">
        <w:t xml:space="preserve">bedarbių ir socialinės paramos gavėjų </w:t>
      </w:r>
      <w:r w:rsidR="001E5C9B">
        <w:t>atlikti sprendimai buvo artimesni racionaliai elgsenai</w:t>
      </w:r>
      <w:r w:rsidR="00B832B9">
        <w:t>,</w:t>
      </w:r>
      <w:r w:rsidR="00ED5D65">
        <w:t xml:space="preserve"> </w:t>
      </w:r>
      <w:r w:rsidR="00F713C9">
        <w:t>nes svertinis balas</w:t>
      </w:r>
      <w:r w:rsidR="00ED5D65">
        <w:t xml:space="preserve"> </w:t>
      </w:r>
      <w:r w:rsidR="00490055">
        <w:t>(20 balų</w:t>
      </w:r>
      <w:r w:rsidR="00FA0CE5">
        <w:t>)</w:t>
      </w:r>
      <w:r w:rsidR="00E17223">
        <w:t xml:space="preserve"> </w:t>
      </w:r>
      <w:r w:rsidR="009630BC">
        <w:t xml:space="preserve">„pusiausvyros tašką“ (18 balų) </w:t>
      </w:r>
      <w:r w:rsidR="008D3D28">
        <w:t xml:space="preserve">pranoko </w:t>
      </w:r>
      <w:r w:rsidR="00FD6C52">
        <w:t>2</w:t>
      </w:r>
      <w:r w:rsidR="00412A35">
        <w:t xml:space="preserve"> balais</w:t>
      </w:r>
      <w:r w:rsidR="002C6A3B">
        <w:t>.</w:t>
      </w:r>
      <w:r w:rsidR="00352623">
        <w:t xml:space="preserve"> </w:t>
      </w:r>
      <w:r w:rsidR="00F713C9">
        <w:t xml:space="preserve">Žvelgiant </w:t>
      </w:r>
      <w:r w:rsidR="004463C7">
        <w:t>į atskir</w:t>
      </w:r>
      <w:r w:rsidR="00016A49">
        <w:t>us</w:t>
      </w:r>
      <w:r w:rsidR="004463C7">
        <w:t xml:space="preserve"> veiksni</w:t>
      </w:r>
      <w:r w:rsidR="00412A35">
        <w:t xml:space="preserve">ų </w:t>
      </w:r>
      <w:r w:rsidR="00016A49">
        <w:t>į</w:t>
      </w:r>
      <w:r w:rsidR="00412A35">
        <w:t>vertinimus</w:t>
      </w:r>
      <w:r w:rsidR="0056488A">
        <w:t>,</w:t>
      </w:r>
      <w:r w:rsidR="00412A35">
        <w:t xml:space="preserve"> </w:t>
      </w:r>
      <w:r w:rsidR="00016A49">
        <w:t>tampa aišku</w:t>
      </w:r>
      <w:r w:rsidR="00412A35">
        <w:t xml:space="preserve">, jog </w:t>
      </w:r>
      <w:r w:rsidR="0019061C">
        <w:t>labiaus</w:t>
      </w:r>
      <w:r w:rsidR="00AE62CF">
        <w:t xml:space="preserve">iai tokį </w:t>
      </w:r>
      <w:r w:rsidR="00E64F56">
        <w:t xml:space="preserve">rezultatą </w:t>
      </w:r>
      <w:r w:rsidR="00C03F57">
        <w:t>nu</w:t>
      </w:r>
      <w:r w:rsidR="00AE62CF">
        <w:t xml:space="preserve">lėmė </w:t>
      </w:r>
      <w:r w:rsidR="00E21E0F" w:rsidRPr="00E64F56">
        <w:rPr>
          <w:i/>
        </w:rPr>
        <w:t xml:space="preserve">nepaklausi profesija </w:t>
      </w:r>
      <w:r w:rsidR="00AE62CF" w:rsidRPr="00E64F56">
        <w:rPr>
          <w:i/>
        </w:rPr>
        <w:t>(b</w:t>
      </w:r>
      <w:r w:rsidR="00E21E0F" w:rsidRPr="00E64F56">
        <w:rPr>
          <w:i/>
          <w:vertAlign w:val="subscript"/>
        </w:rPr>
        <w:t>2</w:t>
      </w:r>
      <w:r w:rsidR="00AE62CF" w:rsidRPr="00E64F56">
        <w:rPr>
          <w:i/>
        </w:rPr>
        <w:t>)</w:t>
      </w:r>
      <w:r w:rsidR="00E64F56">
        <w:t xml:space="preserve">, </w:t>
      </w:r>
      <w:r w:rsidR="00E64F56" w:rsidRPr="00DE08BE">
        <w:rPr>
          <w:i/>
        </w:rPr>
        <w:t>įgūdžių stoka (</w:t>
      </w:r>
      <w:r w:rsidR="00DE08BE" w:rsidRPr="00DE08BE">
        <w:rPr>
          <w:i/>
        </w:rPr>
        <w:t>b</w:t>
      </w:r>
      <w:r w:rsidR="00DE08BE" w:rsidRPr="00DE08BE">
        <w:rPr>
          <w:i/>
          <w:vertAlign w:val="subscript"/>
        </w:rPr>
        <w:t>3</w:t>
      </w:r>
      <w:r w:rsidR="00E64F56" w:rsidRPr="00DE08BE">
        <w:rPr>
          <w:i/>
        </w:rPr>
        <w:t>)</w:t>
      </w:r>
      <w:r w:rsidR="00DE08BE">
        <w:t xml:space="preserve"> ir</w:t>
      </w:r>
      <w:r w:rsidR="00BF2968">
        <w:t xml:space="preserve"> </w:t>
      </w:r>
      <w:r w:rsidR="00BF2968" w:rsidRPr="00BF2968">
        <w:rPr>
          <w:i/>
        </w:rPr>
        <w:t>minimali darbo patirtis (b</w:t>
      </w:r>
      <w:r w:rsidR="00BF2968" w:rsidRPr="00BF2968">
        <w:rPr>
          <w:i/>
          <w:vertAlign w:val="subscript"/>
        </w:rPr>
        <w:t>4</w:t>
      </w:r>
      <w:r w:rsidR="00BF2968" w:rsidRPr="00BF2968">
        <w:rPr>
          <w:i/>
        </w:rPr>
        <w:t>)</w:t>
      </w:r>
      <w:r w:rsidR="00BD2C63">
        <w:t xml:space="preserve">, kurie nuo </w:t>
      </w:r>
      <w:r w:rsidR="00AA2AC6">
        <w:t xml:space="preserve">optimalaus rezultato </w:t>
      </w:r>
      <w:r w:rsidR="00F71CC4">
        <w:t>atsiliko tik 1,5 balo –</w:t>
      </w:r>
      <w:r w:rsidR="00BD2C63">
        <w:t xml:space="preserve"> tai reiškia, jog</w:t>
      </w:r>
      <w:r w:rsidR="002E1D33">
        <w:t xml:space="preserve"> naudojimąsi socialine</w:t>
      </w:r>
      <w:r w:rsidR="008C70F6">
        <w:t xml:space="preserve"> gerove</w:t>
      </w:r>
      <w:r w:rsidR="002E1D33">
        <w:t xml:space="preserve"> skatino</w:t>
      </w:r>
      <w:r w:rsidR="000A6842">
        <w:t xml:space="preserve"> tie veiksniai, kur</w:t>
      </w:r>
      <w:r w:rsidR="00E3083A">
        <w:t>iuos</w:t>
      </w:r>
      <w:r w:rsidR="00C03F57">
        <w:t xml:space="preserve"> </w:t>
      </w:r>
      <w:r w:rsidR="00E3083A">
        <w:t>galima vadinti objektyvi</w:t>
      </w:r>
      <w:r w:rsidR="008C70F6">
        <w:t>omis priežastimis</w:t>
      </w:r>
      <w:r w:rsidR="00E3083A">
        <w:t>.</w:t>
      </w:r>
    </w:p>
    <w:p w:rsidR="00FB3AF7" w:rsidRDefault="00AA2AC6" w:rsidP="00E248A0">
      <w:r>
        <w:t>A</w:t>
      </w:r>
      <w:r w:rsidR="00D550D2">
        <w:t>tkreipti</w:t>
      </w:r>
      <w:r>
        <w:t>nas dėmesys</w:t>
      </w:r>
      <w:r w:rsidR="00D550D2">
        <w:t xml:space="preserve">, jog </w:t>
      </w:r>
      <w:r w:rsidR="00A241F6">
        <w:t xml:space="preserve">bedarbiai </w:t>
      </w:r>
      <w:r w:rsidR="00D550D2">
        <w:t>ir soc</w:t>
      </w:r>
      <w:r w:rsidR="00B92E09">
        <w:t xml:space="preserve">ialinės paramos gavėjai geriau </w:t>
      </w:r>
      <w:r w:rsidR="00B92E09" w:rsidRPr="00506460">
        <w:rPr>
          <w:i/>
        </w:rPr>
        <w:t>iš aptartų veiksnių</w:t>
      </w:r>
      <w:r w:rsidR="00B92E09">
        <w:t xml:space="preserve"> </w:t>
      </w:r>
      <w:r w:rsidR="00D550D2">
        <w:t xml:space="preserve">vertino tik </w:t>
      </w:r>
      <w:r w:rsidRPr="00853039">
        <w:rPr>
          <w:i/>
        </w:rPr>
        <w:t>įgūdžių stoką</w:t>
      </w:r>
      <w:r w:rsidR="009B6370">
        <w:rPr>
          <w:i/>
        </w:rPr>
        <w:t xml:space="preserve"> </w:t>
      </w:r>
      <w:r w:rsidR="009B6370" w:rsidRPr="00693F4D">
        <w:t>(</w:t>
      </w:r>
      <w:r w:rsidR="00693F4D" w:rsidRPr="00693F4D">
        <w:t>4,5 bal</w:t>
      </w:r>
      <w:r w:rsidR="00693F4D">
        <w:t>ais</w:t>
      </w:r>
      <w:r w:rsidR="009B6370" w:rsidRPr="00693F4D">
        <w:t>)</w:t>
      </w:r>
      <w:r w:rsidR="00064C30">
        <w:t xml:space="preserve">, </w:t>
      </w:r>
      <w:r w:rsidR="00C27A4D">
        <w:t>kas</w:t>
      </w:r>
      <w:r w:rsidR="00064C30">
        <w:t xml:space="preserve"> gal</w:t>
      </w:r>
      <w:r w:rsidR="00A241F6">
        <w:t>i</w:t>
      </w:r>
      <w:r w:rsidR="00064C30">
        <w:t xml:space="preserve"> būti </w:t>
      </w:r>
      <w:r w:rsidR="00CD1912">
        <w:t xml:space="preserve">aiškinama </w:t>
      </w:r>
      <w:r w:rsidR="00064C30">
        <w:t xml:space="preserve">tuo, jog į tyrimą </w:t>
      </w:r>
      <w:r w:rsidR="00693F4D">
        <w:t xml:space="preserve">pateko </w:t>
      </w:r>
      <w:r w:rsidR="00064C30">
        <w:t xml:space="preserve">daugiau </w:t>
      </w:r>
      <w:r w:rsidR="00C27A4D">
        <w:t xml:space="preserve">išprususių </w:t>
      </w:r>
      <w:r w:rsidR="00064C30">
        <w:t>žmonių</w:t>
      </w:r>
      <w:r w:rsidR="005B73A1">
        <w:t>. T</w:t>
      </w:r>
      <w:r w:rsidR="00E945CD">
        <w:t xml:space="preserve">ą patį būtų galima pasakyti ir </w:t>
      </w:r>
      <w:r w:rsidR="00DF64C1">
        <w:t xml:space="preserve">apie </w:t>
      </w:r>
      <w:r w:rsidR="00DF64C1" w:rsidRPr="00F62BF2">
        <w:rPr>
          <w:i/>
        </w:rPr>
        <w:t xml:space="preserve">išsilavinimo </w:t>
      </w:r>
      <w:r w:rsidR="00A241F6">
        <w:rPr>
          <w:i/>
        </w:rPr>
        <w:t xml:space="preserve">trūkumą </w:t>
      </w:r>
      <w:r w:rsidR="00F62BF2">
        <w:rPr>
          <w:i/>
        </w:rPr>
        <w:t>(b</w:t>
      </w:r>
      <w:r w:rsidR="00F62BF2">
        <w:rPr>
          <w:i/>
          <w:vertAlign w:val="subscript"/>
        </w:rPr>
        <w:t>1</w:t>
      </w:r>
      <w:r w:rsidR="00F62BF2">
        <w:rPr>
          <w:i/>
        </w:rPr>
        <w:t>)</w:t>
      </w:r>
      <w:r w:rsidR="00823506">
        <w:t xml:space="preserve"> (K – 2,0)</w:t>
      </w:r>
      <w:r w:rsidR="00F51BE6">
        <w:t xml:space="preserve">, kuris </w:t>
      </w:r>
      <w:r w:rsidR="00C827AE">
        <w:t xml:space="preserve">specialistų </w:t>
      </w:r>
      <w:r w:rsidR="00F51BE6">
        <w:t>buvo įvertintas</w:t>
      </w:r>
      <w:r w:rsidR="00590887">
        <w:t xml:space="preserve"> </w:t>
      </w:r>
      <w:r w:rsidR="00934AC1">
        <w:t xml:space="preserve">tik </w:t>
      </w:r>
      <w:r w:rsidR="00A241F6">
        <w:t>2 </w:t>
      </w:r>
      <w:r w:rsidR="005242F4">
        <w:t>balais</w:t>
      </w:r>
      <w:r w:rsidR="00DC0A30">
        <w:t>, o pačių</w:t>
      </w:r>
      <w:r w:rsidR="00C827AE">
        <w:t xml:space="preserve"> </w:t>
      </w:r>
      <w:r w:rsidR="00A241F6">
        <w:t xml:space="preserve">socialinių išmokų </w:t>
      </w:r>
      <w:r w:rsidR="00C827AE">
        <w:t xml:space="preserve">gavėjų </w:t>
      </w:r>
      <w:r w:rsidR="00DC0A30">
        <w:t>–</w:t>
      </w:r>
      <w:r w:rsidR="005242F4">
        <w:t xml:space="preserve"> 4 balais.</w:t>
      </w:r>
      <w:r w:rsidR="00952775">
        <w:t xml:space="preserve"> </w:t>
      </w:r>
      <w:r w:rsidR="00825E73">
        <w:t>R</w:t>
      </w:r>
      <w:r w:rsidR="00BE2BD0">
        <w:t>ei</w:t>
      </w:r>
      <w:r w:rsidR="00952775">
        <w:t>k</w:t>
      </w:r>
      <w:r w:rsidR="00C276D8">
        <w:t>ė</w:t>
      </w:r>
      <w:r w:rsidR="00BE2BD0">
        <w:t>tų</w:t>
      </w:r>
      <w:r w:rsidR="00C276D8">
        <w:t xml:space="preserve"> pastebėti</w:t>
      </w:r>
      <w:r w:rsidR="00BE2BD0">
        <w:t>, jog</w:t>
      </w:r>
      <w:r w:rsidR="00C03F57">
        <w:t xml:space="preserve"> kiti veiksniai, pavyzdžiui</w:t>
      </w:r>
      <w:r w:rsidR="00E74316">
        <w:t xml:space="preserve">, </w:t>
      </w:r>
      <w:r w:rsidR="007E3309">
        <w:rPr>
          <w:i/>
        </w:rPr>
        <w:t>jaunatviškas</w:t>
      </w:r>
      <w:r w:rsidR="00E74316" w:rsidRPr="00226F22">
        <w:rPr>
          <w:i/>
        </w:rPr>
        <w:t xml:space="preserve"> „maksima</w:t>
      </w:r>
      <w:r w:rsidR="007E3309">
        <w:rPr>
          <w:i/>
        </w:rPr>
        <w:t>lizmas</w:t>
      </w:r>
      <w:r w:rsidR="00E74316" w:rsidRPr="00226F22">
        <w:rPr>
          <w:i/>
        </w:rPr>
        <w:t>“</w:t>
      </w:r>
      <w:r w:rsidR="0095092D">
        <w:rPr>
          <w:i/>
        </w:rPr>
        <w:t xml:space="preserve"> </w:t>
      </w:r>
      <w:r w:rsidR="00226F22" w:rsidRPr="00226F22">
        <w:rPr>
          <w:i/>
        </w:rPr>
        <w:t>(b</w:t>
      </w:r>
      <w:r w:rsidR="00226F22" w:rsidRPr="00226F22">
        <w:rPr>
          <w:i/>
          <w:vertAlign w:val="subscript"/>
        </w:rPr>
        <w:t>6</w:t>
      </w:r>
      <w:r w:rsidR="00226F22" w:rsidRPr="00226F22">
        <w:rPr>
          <w:i/>
        </w:rPr>
        <w:t>)</w:t>
      </w:r>
      <w:r w:rsidR="00952775">
        <w:t>,</w:t>
      </w:r>
      <w:r w:rsidR="007E3309">
        <w:t xml:space="preserve"> nuo </w:t>
      </w:r>
      <w:r w:rsidR="00934AC1">
        <w:t xml:space="preserve">optimalios </w:t>
      </w:r>
      <w:r w:rsidR="00DA7DB6">
        <w:t xml:space="preserve">reikšmės </w:t>
      </w:r>
      <w:r w:rsidR="00E74316">
        <w:t>atsiliko</w:t>
      </w:r>
      <w:r w:rsidR="009A506C">
        <w:t xml:space="preserve"> </w:t>
      </w:r>
      <w:r w:rsidR="00952775">
        <w:t>4,5 balo</w:t>
      </w:r>
      <w:r w:rsidR="00B82202">
        <w:t>.</w:t>
      </w:r>
      <w:r w:rsidR="008C70F6">
        <w:t xml:space="preserve"> </w:t>
      </w:r>
      <w:r w:rsidR="00B82202">
        <w:t>K</w:t>
      </w:r>
      <w:r w:rsidR="008C70F6">
        <w:t xml:space="preserve">adangi šis veiksnys </w:t>
      </w:r>
      <w:r w:rsidR="00B82202">
        <w:t>buvo siejamas</w:t>
      </w:r>
      <w:r w:rsidR="008C70F6">
        <w:t xml:space="preserve"> </w:t>
      </w:r>
      <w:r w:rsidR="00A829FF">
        <w:t>su naudos vaikymųsi, galima teigti, jog</w:t>
      </w:r>
      <w:r w:rsidR="00D01EB5">
        <w:t xml:space="preserve"> vis daugiau žmonių socialine gerove naudojasi</w:t>
      </w:r>
      <w:r w:rsidR="00B82202">
        <w:t xml:space="preserve"> neteisėtai</w:t>
      </w:r>
      <w:r w:rsidR="00D01EB5">
        <w:t xml:space="preserve">. </w:t>
      </w:r>
    </w:p>
    <w:p w:rsidR="00E82865" w:rsidRDefault="009319B7" w:rsidP="00E248A0">
      <w:r>
        <w:t>L</w:t>
      </w:r>
      <w:r w:rsidR="00CF7957" w:rsidRPr="00CF7957">
        <w:t>abiausiai nuomonės nesutapo</w:t>
      </w:r>
      <w:r w:rsidR="00CF7957">
        <w:t>, vertinant</w:t>
      </w:r>
      <w:r w:rsidR="00647827">
        <w:t xml:space="preserve"> </w:t>
      </w:r>
      <w:r w:rsidR="00647827" w:rsidRPr="00647827">
        <w:rPr>
          <w:i/>
        </w:rPr>
        <w:t>šeimos</w:t>
      </w:r>
      <w:r w:rsidR="00D4019B">
        <w:rPr>
          <w:i/>
        </w:rPr>
        <w:t xml:space="preserve"> dydžio </w:t>
      </w:r>
      <w:r w:rsidR="00647827" w:rsidRPr="00647827">
        <w:rPr>
          <w:i/>
        </w:rPr>
        <w:t>(b</w:t>
      </w:r>
      <w:r w:rsidR="00647827" w:rsidRPr="00647827">
        <w:rPr>
          <w:i/>
          <w:vertAlign w:val="subscript"/>
        </w:rPr>
        <w:t>5</w:t>
      </w:r>
      <w:r w:rsidR="00647827" w:rsidRPr="00647827">
        <w:rPr>
          <w:i/>
        </w:rPr>
        <w:t>)</w:t>
      </w:r>
      <w:r w:rsidR="00647827">
        <w:t xml:space="preserve"> veiksnį (K – </w:t>
      </w:r>
      <w:r w:rsidR="00D4019B">
        <w:t>1,5</w:t>
      </w:r>
      <w:r w:rsidR="00647827">
        <w:t>)</w:t>
      </w:r>
      <w:r w:rsidR="00D4019B">
        <w:t xml:space="preserve">, kuris ekspertų </w:t>
      </w:r>
      <w:r w:rsidR="006909A8">
        <w:t xml:space="preserve">buvo </w:t>
      </w:r>
      <w:r w:rsidR="00D4019B">
        <w:t xml:space="preserve">įvertintas 3 balais, o </w:t>
      </w:r>
      <w:r w:rsidR="006909A8">
        <w:t xml:space="preserve">pačių </w:t>
      </w:r>
      <w:r w:rsidR="00FB3AF7">
        <w:t xml:space="preserve">išmokų </w:t>
      </w:r>
      <w:r w:rsidR="002F79C5" w:rsidRPr="0070690D">
        <w:t>gavėjų – 6 balais</w:t>
      </w:r>
      <w:r w:rsidR="002F79C5" w:rsidRPr="00793AE9">
        <w:t>.</w:t>
      </w:r>
      <w:r w:rsidR="004E5A18" w:rsidRPr="00793AE9">
        <w:t xml:space="preserve"> Toks neatitikimas galėjo atsirasti dėl to, jog</w:t>
      </w:r>
      <w:r w:rsidR="00B11502" w:rsidRPr="00793AE9">
        <w:t>,</w:t>
      </w:r>
      <w:r w:rsidR="008E367B" w:rsidRPr="00793AE9">
        <w:t xml:space="preserve"> </w:t>
      </w:r>
      <w:r w:rsidR="00B11502" w:rsidRPr="00793AE9">
        <w:t xml:space="preserve">atliekant </w:t>
      </w:r>
      <w:r w:rsidR="006B2615">
        <w:t>apklausas</w:t>
      </w:r>
      <w:r w:rsidR="00B11502" w:rsidRPr="00793AE9">
        <w:t xml:space="preserve">, </w:t>
      </w:r>
      <w:r w:rsidR="00741819" w:rsidRPr="00793AE9">
        <w:t>tarp</w:t>
      </w:r>
      <w:r w:rsidR="006B2615">
        <w:t xml:space="preserve"> respondentų</w:t>
      </w:r>
      <w:r w:rsidR="00741819" w:rsidRPr="00793AE9">
        <w:t>, kuri</w:t>
      </w:r>
      <w:r w:rsidR="00292874" w:rsidRPr="00793AE9">
        <w:t xml:space="preserve">ų </w:t>
      </w:r>
      <w:r w:rsidR="00804E28">
        <w:t>namų ūkius</w:t>
      </w:r>
      <w:r w:rsidR="00741819" w:rsidRPr="00793AE9">
        <w:t xml:space="preserve"> sudarė </w:t>
      </w:r>
      <w:r w:rsidR="006A33BA" w:rsidRPr="00793AE9">
        <w:t>5</w:t>
      </w:r>
      <w:r w:rsidR="00B11502" w:rsidRPr="00793AE9">
        <w:t>-</w:t>
      </w:r>
      <w:r w:rsidR="006A33BA" w:rsidRPr="00793AE9">
        <w:t>7</w:t>
      </w:r>
      <w:r w:rsidR="00C22CFD">
        <w:t xml:space="preserve"> žmonės</w:t>
      </w:r>
      <w:r w:rsidR="006A33BA" w:rsidRPr="00793AE9">
        <w:t xml:space="preserve">, </w:t>
      </w:r>
      <w:r w:rsidR="00292874" w:rsidRPr="00793AE9">
        <w:t>buvo</w:t>
      </w:r>
      <w:r w:rsidR="00BC1927">
        <w:t xml:space="preserve"> </w:t>
      </w:r>
      <w:r w:rsidR="00292874" w:rsidRPr="00793AE9">
        <w:t>tokių</w:t>
      </w:r>
      <w:r w:rsidR="00BC1927">
        <w:t xml:space="preserve"> </w:t>
      </w:r>
      <w:r w:rsidR="00FA47EB">
        <w:t>asmen</w:t>
      </w:r>
      <w:r w:rsidR="00BC1927">
        <w:t>ų</w:t>
      </w:r>
      <w:r w:rsidR="00A12938" w:rsidRPr="00793AE9">
        <w:t xml:space="preserve">, kurie </w:t>
      </w:r>
      <w:r w:rsidR="000952A5">
        <w:t xml:space="preserve">dalijosi būstu </w:t>
      </w:r>
      <w:r w:rsidR="00A12938" w:rsidRPr="00793AE9">
        <w:t xml:space="preserve">su </w:t>
      </w:r>
      <w:r w:rsidR="005135F1">
        <w:t>žmonėmis</w:t>
      </w:r>
      <w:r w:rsidR="00B2767A">
        <w:t>,</w:t>
      </w:r>
      <w:r w:rsidR="000952A5">
        <w:t xml:space="preserve"> </w:t>
      </w:r>
      <w:r w:rsidR="008D3241">
        <w:t>nesusaistytais giminystės ryši</w:t>
      </w:r>
      <w:r w:rsidR="004333AD">
        <w:t>u, –</w:t>
      </w:r>
      <w:r w:rsidR="008D3241">
        <w:t xml:space="preserve"> ir dėl </w:t>
      </w:r>
      <w:r w:rsidR="004333AD">
        <w:t xml:space="preserve">to neturinčiais </w:t>
      </w:r>
      <w:r w:rsidR="007F742C">
        <w:t xml:space="preserve">vienas kitam </w:t>
      </w:r>
      <w:r w:rsidR="009F3DD5">
        <w:t>šeiminių</w:t>
      </w:r>
      <w:r w:rsidR="004333AD">
        <w:t xml:space="preserve"> įsipareigojimų.</w:t>
      </w:r>
    </w:p>
    <w:p w:rsidR="00815E1F" w:rsidRDefault="00815E1F" w:rsidP="00642AD3">
      <w:pPr>
        <w:spacing w:after="0" w:line="240" w:lineRule="auto"/>
        <w:ind w:firstLine="0"/>
        <w:jc w:val="center"/>
      </w:pPr>
      <w:r>
        <w:rPr>
          <w:noProof/>
          <w:lang w:val="en-US"/>
        </w:rPr>
        <w:drawing>
          <wp:inline distT="0" distB="0" distL="0" distR="0">
            <wp:extent cx="6505575" cy="2171700"/>
            <wp:effectExtent l="0" t="19050" r="66675" b="57150"/>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15E1F" w:rsidRPr="00D70D09" w:rsidRDefault="00815E1F" w:rsidP="00815E1F">
      <w:pPr>
        <w:spacing w:after="0" w:line="240" w:lineRule="auto"/>
        <w:rPr>
          <w:sz w:val="20"/>
        </w:rPr>
      </w:pPr>
      <w:r w:rsidRPr="00D70D09">
        <w:rPr>
          <w:b/>
          <w:sz w:val="20"/>
        </w:rPr>
        <w:t>Šaltinis</w:t>
      </w:r>
      <w:r w:rsidRPr="00D70D09">
        <w:rPr>
          <w:sz w:val="20"/>
        </w:rPr>
        <w:t>: sudaryta šio darbo autorės</w:t>
      </w:r>
      <w:r w:rsidR="00642AD3">
        <w:rPr>
          <w:sz w:val="20"/>
        </w:rPr>
        <w:t>, remiantis ekspertų vertinimais</w:t>
      </w:r>
    </w:p>
    <w:bookmarkStart w:id="43" w:name="_Toc343590413"/>
    <w:p w:rsidR="00815E1F" w:rsidRDefault="00D84BC4" w:rsidP="00886347">
      <w:pPr>
        <w:pStyle w:val="Caption"/>
      </w:pPr>
      <w:r w:rsidRPr="008F6972">
        <w:rPr>
          <w:b w:val="0"/>
        </w:rPr>
        <w:fldChar w:fldCharType="begin"/>
      </w:r>
      <w:r w:rsidR="008921F9" w:rsidRPr="008F6972">
        <w:rPr>
          <w:b w:val="0"/>
        </w:rPr>
        <w:instrText xml:space="preserve"> SEQ pav. \* ARABIC </w:instrText>
      </w:r>
      <w:r w:rsidRPr="008F6972">
        <w:rPr>
          <w:b w:val="0"/>
        </w:rPr>
        <w:fldChar w:fldCharType="separate"/>
      </w:r>
      <w:r w:rsidR="008921F9" w:rsidRPr="008F6972">
        <w:rPr>
          <w:b w:val="0"/>
        </w:rPr>
        <w:t>16</w:t>
      </w:r>
      <w:r w:rsidRPr="008F6972">
        <w:rPr>
          <w:b w:val="0"/>
        </w:rPr>
        <w:fldChar w:fldCharType="end"/>
      </w:r>
      <w:r w:rsidR="008921F9" w:rsidRPr="008F6972">
        <w:rPr>
          <w:b w:val="0"/>
        </w:rPr>
        <w:t xml:space="preserve"> </w:t>
      </w:r>
      <w:r w:rsidR="00642AD3" w:rsidRPr="008F6972">
        <w:rPr>
          <w:b w:val="0"/>
        </w:rPr>
        <w:t>pav.</w:t>
      </w:r>
      <w:r w:rsidR="00642AD3" w:rsidRPr="00642AD3">
        <w:rPr>
          <w:color w:val="FF0000"/>
        </w:rPr>
        <w:t xml:space="preserve"> </w:t>
      </w:r>
      <w:r w:rsidR="00815E1F">
        <w:t xml:space="preserve">Ekspertų vertinimas: elgsena </w:t>
      </w:r>
      <w:r w:rsidR="00815E1F" w:rsidRPr="00FB25ED">
        <w:rPr>
          <w:i/>
        </w:rPr>
        <w:t>socialinių-demografinių veiksnių</w:t>
      </w:r>
      <w:r w:rsidR="00815E1F">
        <w:t xml:space="preserve"> atžvilgiu</w:t>
      </w:r>
      <w:bookmarkEnd w:id="43"/>
    </w:p>
    <w:p w:rsidR="00B1425E" w:rsidRDefault="00B34D9D" w:rsidP="00E248A0">
      <w:r w:rsidRPr="00375E81">
        <w:rPr>
          <w:b/>
          <w:i/>
          <w:u w:val="single"/>
        </w:rPr>
        <w:lastRenderedPageBreak/>
        <w:t>E</w:t>
      </w:r>
      <w:r w:rsidR="00FB25ED" w:rsidRPr="00375E81">
        <w:rPr>
          <w:b/>
          <w:i/>
          <w:u w:val="single"/>
        </w:rPr>
        <w:t>lgsena e</w:t>
      </w:r>
      <w:r w:rsidRPr="00375E81">
        <w:rPr>
          <w:b/>
          <w:i/>
          <w:u w:val="single"/>
        </w:rPr>
        <w:t>konominių veiksnių</w:t>
      </w:r>
      <w:r w:rsidR="00FB25ED" w:rsidRPr="00375E81">
        <w:rPr>
          <w:b/>
          <w:i/>
          <w:u w:val="single"/>
        </w:rPr>
        <w:t xml:space="preserve"> atžvilgiu</w:t>
      </w:r>
      <w:r>
        <w:t>.</w:t>
      </w:r>
      <w:r w:rsidR="00464CB2">
        <w:t xml:space="preserve"> </w:t>
      </w:r>
      <w:r w:rsidR="00FF4CB3">
        <w:t xml:space="preserve">Ekspertų </w:t>
      </w:r>
      <w:r w:rsidR="004E7CA1">
        <w:t xml:space="preserve">apklausa </w:t>
      </w:r>
      <w:r w:rsidR="00FF4CB3">
        <w:t xml:space="preserve">parodė, jog </w:t>
      </w:r>
      <w:r w:rsidR="004E7CA1">
        <w:t xml:space="preserve">šie veiksniai </w:t>
      </w:r>
      <w:r w:rsidR="004E1CC3">
        <w:t xml:space="preserve">prie </w:t>
      </w:r>
      <w:r w:rsidR="00FA7EDC">
        <w:t xml:space="preserve">netinkamos </w:t>
      </w:r>
      <w:r w:rsidR="00184318">
        <w:t xml:space="preserve">finansinės </w:t>
      </w:r>
      <w:r w:rsidR="004E1CC3">
        <w:t>elgsenos atsiradim</w:t>
      </w:r>
      <w:r w:rsidR="00FC4939">
        <w:t xml:space="preserve">o </w:t>
      </w:r>
      <w:r w:rsidR="004E7CA1">
        <w:t>prisideda</w:t>
      </w:r>
      <w:r w:rsidR="00FC4939">
        <w:t xml:space="preserve"> daugiausiai, nes</w:t>
      </w:r>
      <w:r w:rsidR="00371439">
        <w:t xml:space="preserve"> svertinis balas (13,5 balo) tapo 3,5 balo mažesnis už</w:t>
      </w:r>
      <w:r w:rsidR="00F6536C">
        <w:t xml:space="preserve"> „pusiausvyros tašką“ (17 balų)</w:t>
      </w:r>
      <w:r w:rsidR="00733311">
        <w:t xml:space="preserve">, </w:t>
      </w:r>
      <w:r w:rsidR="00F440E8">
        <w:t>ir</w:t>
      </w:r>
      <w:r w:rsidR="00733311">
        <w:t xml:space="preserve"> </w:t>
      </w:r>
      <w:r w:rsidR="00184318">
        <w:t xml:space="preserve">pageidautinai </w:t>
      </w:r>
      <w:r w:rsidR="00733311">
        <w:t xml:space="preserve">elgsenai prilygo </w:t>
      </w:r>
      <w:r w:rsidR="00F440E8">
        <w:t xml:space="preserve">tik </w:t>
      </w:r>
      <w:r w:rsidR="00733311">
        <w:t>40 proc.</w:t>
      </w:r>
      <w:r w:rsidR="00F440E8">
        <w:t xml:space="preserve"> Taigi</w:t>
      </w:r>
      <w:r w:rsidR="00FE45C9">
        <w:t xml:space="preserve">, </w:t>
      </w:r>
      <w:r w:rsidR="00AE36EF" w:rsidRPr="0004301D">
        <w:rPr>
          <w:i/>
        </w:rPr>
        <w:t>hipotezę (H</w:t>
      </w:r>
      <w:r w:rsidR="00AE36EF" w:rsidRPr="0004301D">
        <w:rPr>
          <w:i/>
          <w:vertAlign w:val="subscript"/>
        </w:rPr>
        <w:t>2</w:t>
      </w:r>
      <w:r w:rsidR="00AE36EF" w:rsidRPr="0004301D">
        <w:rPr>
          <w:i/>
        </w:rPr>
        <w:t xml:space="preserve">), jog neracionalią </w:t>
      </w:r>
      <w:r w:rsidR="00184318">
        <w:rPr>
          <w:i/>
        </w:rPr>
        <w:t xml:space="preserve">elgseną labiausiai veikia </w:t>
      </w:r>
      <w:r w:rsidR="00A77748" w:rsidRPr="0004301D">
        <w:rPr>
          <w:i/>
        </w:rPr>
        <w:t>emociniai-psichologiniai</w:t>
      </w:r>
      <w:r w:rsidR="00F440E8">
        <w:rPr>
          <w:i/>
        </w:rPr>
        <w:t xml:space="preserve"> veiksniai, reik</w:t>
      </w:r>
      <w:r w:rsidR="0004301D" w:rsidRPr="0004301D">
        <w:rPr>
          <w:i/>
        </w:rPr>
        <w:t>tų atmesti</w:t>
      </w:r>
      <w:r w:rsidR="0004301D">
        <w:t xml:space="preserve">, </w:t>
      </w:r>
      <w:r w:rsidR="00DB5891">
        <w:t xml:space="preserve">– </w:t>
      </w:r>
      <w:r w:rsidR="000E68ED">
        <w:t>nes</w:t>
      </w:r>
      <w:r w:rsidR="0004301D">
        <w:t xml:space="preserve"> ir </w:t>
      </w:r>
      <w:r w:rsidR="009C72BE">
        <w:t xml:space="preserve">pirmasis tyrimas </w:t>
      </w:r>
      <w:r w:rsidR="00B67764">
        <w:t>parodė</w:t>
      </w:r>
      <w:r w:rsidR="000E68ED">
        <w:t>, jog ekonominiai</w:t>
      </w:r>
      <w:r w:rsidR="00E120F8">
        <w:t xml:space="preserve"> veiksniai </w:t>
      </w:r>
      <w:r w:rsidR="00B67764">
        <w:t xml:space="preserve">žmonių </w:t>
      </w:r>
      <w:r w:rsidR="008E7AFD">
        <w:t xml:space="preserve">elgseną veikia </w:t>
      </w:r>
      <w:r w:rsidR="00435C5C" w:rsidRPr="00DB5891">
        <w:rPr>
          <w:i/>
        </w:rPr>
        <w:t xml:space="preserve">tik santykinai </w:t>
      </w:r>
      <w:r w:rsidR="00DB5891">
        <w:rPr>
          <w:i/>
        </w:rPr>
        <w:t>ger</w:t>
      </w:r>
      <w:r w:rsidR="00006500" w:rsidRPr="00DB5891">
        <w:rPr>
          <w:i/>
        </w:rPr>
        <w:t>ai</w:t>
      </w:r>
      <w:r w:rsidR="00B67764">
        <w:t xml:space="preserve"> (56 proc.)</w:t>
      </w:r>
      <w:r w:rsidR="008E7AFD">
        <w:t>.</w:t>
      </w:r>
      <w:r w:rsidR="00B67764">
        <w:t xml:space="preserve"> </w:t>
      </w:r>
      <w:r w:rsidR="00DB5891">
        <w:t>Žiūri</w:t>
      </w:r>
      <w:r w:rsidR="00733EE6">
        <w:t xml:space="preserve">nt į atskirus </w:t>
      </w:r>
      <w:r w:rsidR="00552EAC">
        <w:t xml:space="preserve">veiksnių </w:t>
      </w:r>
      <w:r w:rsidR="00733EE6" w:rsidRPr="008921F9">
        <w:t>vertinimus</w:t>
      </w:r>
      <w:r w:rsidR="0004301D" w:rsidRPr="008921F9">
        <w:t xml:space="preserve"> (</w:t>
      </w:r>
      <w:r w:rsidR="00FF5547" w:rsidRPr="008921F9">
        <w:t xml:space="preserve">žr. </w:t>
      </w:r>
      <w:r w:rsidR="00850ADA" w:rsidRPr="008921F9">
        <w:t>6 priedą</w:t>
      </w:r>
      <w:r w:rsidR="0004301D" w:rsidRPr="008921F9">
        <w:t>)</w:t>
      </w:r>
      <w:r w:rsidR="00DB5891" w:rsidRPr="008921F9">
        <w:t>,</w:t>
      </w:r>
      <w:r w:rsidR="00DB5891">
        <w:t xml:space="preserve"> matyti</w:t>
      </w:r>
      <w:r w:rsidR="00733EE6">
        <w:t xml:space="preserve">, jog </w:t>
      </w:r>
      <w:r w:rsidR="00342B64">
        <w:t>toki</w:t>
      </w:r>
      <w:r w:rsidR="00BD71FF">
        <w:t>ą</w:t>
      </w:r>
      <w:r w:rsidR="00342B64">
        <w:t xml:space="preserve"> </w:t>
      </w:r>
      <w:r w:rsidR="00BD71FF">
        <w:t>elgseną lėmė</w:t>
      </w:r>
      <w:r w:rsidR="00733EE6">
        <w:t xml:space="preserve"> </w:t>
      </w:r>
      <w:r w:rsidR="003A5E85" w:rsidRPr="00552EAC">
        <w:rPr>
          <w:i/>
        </w:rPr>
        <w:t xml:space="preserve">išmokų </w:t>
      </w:r>
      <w:r w:rsidR="003A5E85" w:rsidRPr="00B32E2E">
        <w:rPr>
          <w:i/>
        </w:rPr>
        <w:t xml:space="preserve">mokėjimo </w:t>
      </w:r>
      <w:r w:rsidR="00A84AAD">
        <w:rPr>
          <w:i/>
        </w:rPr>
        <w:t xml:space="preserve">terminas </w:t>
      </w:r>
      <w:r w:rsidR="003A5E85" w:rsidRPr="00B32E2E">
        <w:rPr>
          <w:i/>
        </w:rPr>
        <w:t>(c</w:t>
      </w:r>
      <w:r w:rsidR="003A5E85" w:rsidRPr="00B32E2E">
        <w:rPr>
          <w:i/>
          <w:vertAlign w:val="subscript"/>
        </w:rPr>
        <w:t>5</w:t>
      </w:r>
      <w:r w:rsidR="003A5E85" w:rsidRPr="00B32E2E">
        <w:rPr>
          <w:i/>
        </w:rPr>
        <w:t>)</w:t>
      </w:r>
      <w:r w:rsidR="003A5E85">
        <w:t xml:space="preserve"> (K</w:t>
      </w:r>
      <w:r w:rsidR="00B32E2E">
        <w:t> – 2,0; skirtumas – 6 balai</w:t>
      </w:r>
      <w:r w:rsidR="003A5E85">
        <w:t>)</w:t>
      </w:r>
      <w:r w:rsidR="00552EAC">
        <w:t xml:space="preserve"> </w:t>
      </w:r>
      <w:r w:rsidR="00BD71FF">
        <w:t>bei</w:t>
      </w:r>
      <w:r w:rsidR="00552EAC">
        <w:t xml:space="preserve"> </w:t>
      </w:r>
      <w:r w:rsidR="00552EAC" w:rsidRPr="000919FA">
        <w:rPr>
          <w:i/>
        </w:rPr>
        <w:t>užimtumo pokyčiai (c</w:t>
      </w:r>
      <w:r w:rsidR="00552EAC" w:rsidRPr="000919FA">
        <w:rPr>
          <w:i/>
          <w:vertAlign w:val="subscript"/>
        </w:rPr>
        <w:t>1</w:t>
      </w:r>
      <w:r w:rsidR="00552EAC" w:rsidRPr="000919FA">
        <w:rPr>
          <w:i/>
        </w:rPr>
        <w:t>)</w:t>
      </w:r>
      <w:r w:rsidR="00552EAC">
        <w:t xml:space="preserve"> (K – 2,0</w:t>
      </w:r>
      <w:r w:rsidR="004E689E">
        <w:t>; skirtumas – 4 balai)</w:t>
      </w:r>
      <w:r w:rsidR="000D6894">
        <w:t xml:space="preserve">, kurie </w:t>
      </w:r>
      <w:r w:rsidR="00342B64">
        <w:t xml:space="preserve">socialinių išmokų gavėjų </w:t>
      </w:r>
      <w:r w:rsidR="000D6894">
        <w:t xml:space="preserve">buvo </w:t>
      </w:r>
      <w:r w:rsidR="00CF50D1">
        <w:t xml:space="preserve">įvertinti </w:t>
      </w:r>
      <w:r w:rsidR="00A84AAD">
        <w:t>2 balais geriau</w:t>
      </w:r>
      <w:r w:rsidR="000D6894">
        <w:t xml:space="preserve"> – tai</w:t>
      </w:r>
      <w:r w:rsidR="004733EE">
        <w:t xml:space="preserve"> byloja</w:t>
      </w:r>
      <w:r w:rsidR="00D03959">
        <w:t xml:space="preserve">, jog vienus </w:t>
      </w:r>
      <w:r w:rsidR="004733EE">
        <w:t xml:space="preserve">žmones </w:t>
      </w:r>
      <w:r w:rsidR="00D03959">
        <w:t xml:space="preserve">rinktis </w:t>
      </w:r>
      <w:r w:rsidR="004733EE">
        <w:t xml:space="preserve">valstybės </w:t>
      </w:r>
      <w:r w:rsidR="00CF50D1">
        <w:t>lėšas skatina</w:t>
      </w:r>
      <w:r w:rsidR="004A1EA2">
        <w:t xml:space="preserve"> santykinai didelis</w:t>
      </w:r>
      <w:r w:rsidR="001C48A5">
        <w:t xml:space="preserve"> išmokos mok</w:t>
      </w:r>
      <w:r w:rsidR="001247F9">
        <w:t>ėjimo</w:t>
      </w:r>
      <w:r w:rsidR="004A1EA2">
        <w:t xml:space="preserve"> terminas</w:t>
      </w:r>
      <w:r w:rsidR="002D51A4">
        <w:t>, o mažesniąją dalį</w:t>
      </w:r>
      <w:r w:rsidR="001247F9">
        <w:t xml:space="preserve"> – didelio nedarbo </w:t>
      </w:r>
      <w:r w:rsidR="001722B6">
        <w:t>sukelti apribojimai.</w:t>
      </w:r>
    </w:p>
    <w:p w:rsidR="00520E11" w:rsidRDefault="00EF0111" w:rsidP="004249C5">
      <w:r>
        <w:t xml:space="preserve">Ekspertų komentarai taip pat padėjo </w:t>
      </w:r>
      <w:r w:rsidRPr="00D57D7C">
        <w:t>atskleisti, jog</w:t>
      </w:r>
      <w:r w:rsidR="00115EE6" w:rsidRPr="00D57D7C">
        <w:t xml:space="preserve"> pasta</w:t>
      </w:r>
      <w:r w:rsidR="002F3F5F" w:rsidRPr="00D57D7C">
        <w:t>rai</w:t>
      </w:r>
      <w:r w:rsidR="00115EE6" w:rsidRPr="00D57D7C">
        <w:t>s</w:t>
      </w:r>
      <w:r w:rsidR="002F3F5F" w:rsidRPr="00D57D7C">
        <w:t>iai</w:t>
      </w:r>
      <w:r w:rsidR="00115EE6" w:rsidRPr="00D57D7C">
        <w:t>s me</w:t>
      </w:r>
      <w:r w:rsidR="002F3F5F" w:rsidRPr="00D57D7C">
        <w:t>tai</w:t>
      </w:r>
      <w:r w:rsidR="00115EE6" w:rsidRPr="00D57D7C">
        <w:t>s didėjo</w:t>
      </w:r>
      <w:r w:rsidR="00115EE6">
        <w:t xml:space="preserve"> </w:t>
      </w:r>
      <w:r w:rsidR="00115EE6" w:rsidRPr="002F3F5F">
        <w:rPr>
          <w:i/>
        </w:rPr>
        <w:t xml:space="preserve">skurdo </w:t>
      </w:r>
      <w:r w:rsidR="00BA4E8A">
        <w:rPr>
          <w:i/>
        </w:rPr>
        <w:t>„</w:t>
      </w:r>
      <w:r w:rsidR="00115EE6" w:rsidRPr="002F3F5F">
        <w:rPr>
          <w:i/>
        </w:rPr>
        <w:t>spąstų“</w:t>
      </w:r>
      <w:r w:rsidR="00AC2D72" w:rsidRPr="002F3F5F">
        <w:rPr>
          <w:i/>
        </w:rPr>
        <w:t xml:space="preserve"> </w:t>
      </w:r>
      <w:r w:rsidR="00813DBE" w:rsidRPr="002F3F5F">
        <w:rPr>
          <w:i/>
        </w:rPr>
        <w:t>(</w:t>
      </w:r>
      <w:r w:rsidR="00BC7908" w:rsidRPr="002F3F5F">
        <w:rPr>
          <w:i/>
        </w:rPr>
        <w:t>c</w:t>
      </w:r>
      <w:r w:rsidR="00BC7908" w:rsidRPr="002F3F5F">
        <w:rPr>
          <w:i/>
          <w:vertAlign w:val="subscript"/>
        </w:rPr>
        <w:t>4</w:t>
      </w:r>
      <w:r w:rsidR="00813DBE" w:rsidRPr="002F3F5F">
        <w:rPr>
          <w:i/>
        </w:rPr>
        <w:t>)</w:t>
      </w:r>
      <w:r w:rsidR="00BC7908">
        <w:t xml:space="preserve"> </w:t>
      </w:r>
      <w:r w:rsidR="00AC2D72">
        <w:t xml:space="preserve">įtaka, kuri </w:t>
      </w:r>
      <w:r w:rsidR="00813DBE">
        <w:t>buvo</w:t>
      </w:r>
      <w:r w:rsidR="00837B74">
        <w:t xml:space="preserve"> </w:t>
      </w:r>
      <w:r w:rsidR="00F26C79">
        <w:t xml:space="preserve">įvertinta </w:t>
      </w:r>
      <w:r w:rsidR="00D9751D">
        <w:t>1,5 balo</w:t>
      </w:r>
      <w:r w:rsidR="00813DBE">
        <w:t xml:space="preserve"> (</w:t>
      </w:r>
      <w:r w:rsidR="002F3F5F">
        <w:t xml:space="preserve">K – </w:t>
      </w:r>
      <w:r w:rsidR="00837B74">
        <w:t>1,5</w:t>
      </w:r>
      <w:r w:rsidR="00813DBE">
        <w:t xml:space="preserve">) </w:t>
      </w:r>
      <w:r w:rsidR="00320D1C">
        <w:t xml:space="preserve">ir kuri nuo </w:t>
      </w:r>
      <w:r w:rsidR="00D9751D">
        <w:t>pageidautin</w:t>
      </w:r>
      <w:r w:rsidR="00ED56BE">
        <w:t xml:space="preserve">os </w:t>
      </w:r>
      <w:r w:rsidR="00320D1C">
        <w:t>reikšmės</w:t>
      </w:r>
      <w:r w:rsidR="00813DBE">
        <w:t xml:space="preserve"> (4,5</w:t>
      </w:r>
      <w:r w:rsidR="00837B74">
        <w:t> </w:t>
      </w:r>
      <w:r w:rsidR="00813DBE">
        <w:t>balo)</w:t>
      </w:r>
      <w:r w:rsidR="00294D84">
        <w:t xml:space="preserve"> atsiliko</w:t>
      </w:r>
      <w:r w:rsidR="00320D1C">
        <w:t xml:space="preserve"> 3 balais.</w:t>
      </w:r>
      <w:r w:rsidR="00355782">
        <w:t xml:space="preserve"> </w:t>
      </w:r>
      <w:r w:rsidR="00D57D7C">
        <w:t xml:space="preserve">Socialinių išmokų </w:t>
      </w:r>
      <w:r w:rsidR="00D9751D">
        <w:t xml:space="preserve">gavėjai šį veiksnį vertino </w:t>
      </w:r>
      <w:r w:rsidR="00D57D7C">
        <w:t>k</w:t>
      </w:r>
      <w:r w:rsidR="00DE2BB7">
        <w:t xml:space="preserve">iek </w:t>
      </w:r>
      <w:r w:rsidR="00D9751D">
        <w:t xml:space="preserve">geriau, t. y. </w:t>
      </w:r>
      <w:r w:rsidR="00F26C79">
        <w:t xml:space="preserve">3 balais, bet taip pat įžvelgė stiprią jo įtaką. </w:t>
      </w:r>
      <w:r w:rsidR="00355782">
        <w:t>Vadinasi, kai kuriuos žmones gyven</w:t>
      </w:r>
      <w:r w:rsidR="000241EA">
        <w:t>ti</w:t>
      </w:r>
      <w:r w:rsidR="00355782">
        <w:t xml:space="preserve"> iš </w:t>
      </w:r>
      <w:r w:rsidR="004B4ACE">
        <w:t xml:space="preserve">valstybės </w:t>
      </w:r>
      <w:r w:rsidR="00355782">
        <w:t xml:space="preserve">lėšų skatina </w:t>
      </w:r>
      <w:r w:rsidR="00ED56BE">
        <w:t xml:space="preserve">ne kas kita kaip </w:t>
      </w:r>
      <w:r w:rsidR="000241EA">
        <w:t>suvokimas, jog</w:t>
      </w:r>
      <w:r w:rsidR="00ED56BE">
        <w:t>,</w:t>
      </w:r>
      <w:r w:rsidR="000B5EDF">
        <w:t xml:space="preserve"> dirbti</w:t>
      </w:r>
      <w:r w:rsidR="000241EA">
        <w:t xml:space="preserve"> už minimalų atly</w:t>
      </w:r>
      <w:r w:rsidR="0077137D">
        <w:t>gį</w:t>
      </w:r>
      <w:r w:rsidR="000B5EDF">
        <w:t xml:space="preserve"> tampa </w:t>
      </w:r>
      <w:r w:rsidR="0077137D">
        <w:t xml:space="preserve">finansiškai </w:t>
      </w:r>
      <w:r w:rsidR="000B5EDF" w:rsidRPr="007E2366">
        <w:t>nenaudinga</w:t>
      </w:r>
      <w:r w:rsidR="002D2ABE">
        <w:t xml:space="preserve"> – t</w:t>
      </w:r>
      <w:r w:rsidR="000B5EDF" w:rsidRPr="00BA4E8A">
        <w:t>okią reakciją</w:t>
      </w:r>
      <w:r w:rsidR="00F71C14" w:rsidRPr="00BA4E8A">
        <w:t xml:space="preserve"> į </w:t>
      </w:r>
      <w:r w:rsidR="00BA4E8A">
        <w:t xml:space="preserve">skurdo „spąstų“ egzistavimą </w:t>
      </w:r>
      <w:r w:rsidR="000B5EDF" w:rsidRPr="00BA4E8A">
        <w:t xml:space="preserve">iš dalies </w:t>
      </w:r>
      <w:r w:rsidR="00D02587" w:rsidRPr="00BA4E8A">
        <w:t>būtų galima</w:t>
      </w:r>
      <w:r w:rsidR="00AB3C2D" w:rsidRPr="00BA4E8A">
        <w:t xml:space="preserve"> laikyti pagrįst</w:t>
      </w:r>
      <w:r w:rsidR="00BA4E8A">
        <w:t>a</w:t>
      </w:r>
      <w:r w:rsidR="00B21AFF" w:rsidRPr="00BA4E8A">
        <w:t xml:space="preserve">, </w:t>
      </w:r>
      <w:r w:rsidR="00D57D7C">
        <w:t>nes</w:t>
      </w:r>
      <w:r w:rsidR="00486D92">
        <w:t xml:space="preserve"> </w:t>
      </w:r>
      <w:r w:rsidR="0077137D">
        <w:t xml:space="preserve">ir </w:t>
      </w:r>
      <w:r w:rsidR="00486D92">
        <w:t>patys</w:t>
      </w:r>
      <w:r w:rsidR="00BA16D7">
        <w:t xml:space="preserve"> ekspertai</w:t>
      </w:r>
      <w:r w:rsidR="008474A6">
        <w:t xml:space="preserve"> </w:t>
      </w:r>
      <w:r w:rsidR="002D2ABE">
        <w:t>buvo</w:t>
      </w:r>
      <w:r w:rsidR="00487C7F">
        <w:t xml:space="preserve"> </w:t>
      </w:r>
      <w:r w:rsidR="008474A6">
        <w:t>linkę manyti</w:t>
      </w:r>
      <w:r w:rsidR="00BA16D7">
        <w:t>, jog racional</w:t>
      </w:r>
      <w:r w:rsidR="00487C7F">
        <w:t>iai mąstančiam</w:t>
      </w:r>
      <w:r w:rsidR="00BA16D7">
        <w:t xml:space="preserve"> </w:t>
      </w:r>
      <w:r w:rsidR="00487C7F">
        <w:t xml:space="preserve">individui </w:t>
      </w:r>
      <w:r w:rsidR="00486D92">
        <w:t>šis veiksnys turėtų daryti vidutinę įtaką.</w:t>
      </w:r>
      <w:r w:rsidR="00BA16D7">
        <w:t xml:space="preserve"> </w:t>
      </w:r>
      <w:r w:rsidR="001421EA">
        <w:t>T</w:t>
      </w:r>
      <w:r w:rsidR="00CC5A0A">
        <w:t xml:space="preserve">ačiau, </w:t>
      </w:r>
      <w:r w:rsidR="008474A6">
        <w:t>suvokiant</w:t>
      </w:r>
      <w:r w:rsidR="00CC5A0A">
        <w:t>, jog</w:t>
      </w:r>
      <w:r w:rsidR="00394F5F">
        <w:t xml:space="preserve"> </w:t>
      </w:r>
      <w:r w:rsidR="00D604F9">
        <w:t xml:space="preserve">šalia </w:t>
      </w:r>
      <w:r w:rsidR="00394F5F">
        <w:t>skurdo „spąstų“</w:t>
      </w:r>
      <w:r w:rsidR="006944C9">
        <w:t xml:space="preserve"> </w:t>
      </w:r>
      <w:r w:rsidR="00AD09A9">
        <w:t>visada</w:t>
      </w:r>
      <w:r w:rsidR="00394F5F">
        <w:t xml:space="preserve"> </w:t>
      </w:r>
      <w:r w:rsidR="00E92064">
        <w:t xml:space="preserve">reiškiasi </w:t>
      </w:r>
      <w:r w:rsidR="00044D13">
        <w:t xml:space="preserve">ir kiti veiksniai, </w:t>
      </w:r>
      <w:r w:rsidR="00394F5F">
        <w:t xml:space="preserve">pavyzdžiui, </w:t>
      </w:r>
      <w:r w:rsidR="002A6404">
        <w:rPr>
          <w:i/>
        </w:rPr>
        <w:t xml:space="preserve">motyvacijos stoka </w:t>
      </w:r>
      <w:r w:rsidR="00394F5F" w:rsidRPr="006944C9">
        <w:rPr>
          <w:i/>
        </w:rPr>
        <w:t>(</w:t>
      </w:r>
      <w:r w:rsidR="00A21383" w:rsidRPr="006944C9">
        <w:rPr>
          <w:i/>
        </w:rPr>
        <w:t>a</w:t>
      </w:r>
      <w:r w:rsidR="00A21383" w:rsidRPr="006944C9">
        <w:rPr>
          <w:i/>
          <w:vertAlign w:val="subscript"/>
        </w:rPr>
        <w:t>6</w:t>
      </w:r>
      <w:r w:rsidR="00394F5F" w:rsidRPr="006944C9">
        <w:rPr>
          <w:i/>
        </w:rPr>
        <w:t>)</w:t>
      </w:r>
      <w:r w:rsidR="006944C9">
        <w:t xml:space="preserve">, </w:t>
      </w:r>
      <w:r w:rsidR="00D604F9">
        <w:t>kuri</w:t>
      </w:r>
      <w:r w:rsidR="00487C7F">
        <w:t>, vertinant ekspertams,</w:t>
      </w:r>
      <w:r w:rsidR="002A6404">
        <w:t xml:space="preserve"> nuo optimalaus rodiklio </w:t>
      </w:r>
      <w:r w:rsidR="008474A6">
        <w:t>atsiliko</w:t>
      </w:r>
      <w:r w:rsidR="00D604F9">
        <w:t xml:space="preserve"> 6</w:t>
      </w:r>
      <w:r w:rsidR="00BA02CE">
        <w:t> </w:t>
      </w:r>
      <w:r w:rsidR="00044D13">
        <w:t>balais</w:t>
      </w:r>
      <w:r w:rsidR="00A40CD4">
        <w:t xml:space="preserve">, </w:t>
      </w:r>
      <w:r w:rsidR="006944C9">
        <w:t>galima</w:t>
      </w:r>
      <w:r w:rsidR="00044D13">
        <w:t xml:space="preserve"> manyti</w:t>
      </w:r>
      <w:r w:rsidR="006944C9">
        <w:t>, jog</w:t>
      </w:r>
      <w:r w:rsidR="00F827BE">
        <w:t xml:space="preserve"> netinkamų sprendimų priėmimą</w:t>
      </w:r>
      <w:r w:rsidR="004A2E8B">
        <w:t xml:space="preserve"> vis dėlto lemia asmeninės žmogaus savybės.</w:t>
      </w:r>
    </w:p>
    <w:p w:rsidR="004D622A" w:rsidRDefault="004D622A" w:rsidP="009321BF">
      <w:pPr>
        <w:spacing w:after="0" w:line="240" w:lineRule="auto"/>
        <w:ind w:firstLine="0"/>
        <w:jc w:val="center"/>
      </w:pPr>
      <w:r>
        <w:rPr>
          <w:noProof/>
          <w:lang w:val="en-US"/>
        </w:rPr>
        <w:drawing>
          <wp:inline distT="0" distB="0" distL="0" distR="0">
            <wp:extent cx="6515100" cy="2190750"/>
            <wp:effectExtent l="0" t="19050" r="76200" b="571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D598F" w:rsidRPr="006D598F" w:rsidRDefault="006D598F" w:rsidP="006D598F">
      <w:pPr>
        <w:spacing w:after="0" w:line="240" w:lineRule="auto"/>
        <w:rPr>
          <w:sz w:val="20"/>
        </w:rPr>
      </w:pPr>
      <w:r w:rsidRPr="006D598F">
        <w:rPr>
          <w:b/>
          <w:sz w:val="20"/>
        </w:rPr>
        <w:t>Šaltinis</w:t>
      </w:r>
      <w:r w:rsidRPr="006D598F">
        <w:rPr>
          <w:sz w:val="20"/>
        </w:rPr>
        <w:t>: sudaryta šio darbo autorės</w:t>
      </w:r>
      <w:r w:rsidR="005C0A9F">
        <w:rPr>
          <w:sz w:val="20"/>
        </w:rPr>
        <w:t>, remiantis ekspertų vertinimais</w:t>
      </w:r>
    </w:p>
    <w:bookmarkStart w:id="44" w:name="_Toc343590414"/>
    <w:p w:rsidR="00CE364E" w:rsidRDefault="00D84BC4" w:rsidP="00886347">
      <w:pPr>
        <w:pStyle w:val="Caption"/>
      </w:pPr>
      <w:r w:rsidRPr="00390AB4">
        <w:rPr>
          <w:b w:val="0"/>
        </w:rPr>
        <w:fldChar w:fldCharType="begin"/>
      </w:r>
      <w:r w:rsidR="008921F9" w:rsidRPr="00390AB4">
        <w:rPr>
          <w:b w:val="0"/>
        </w:rPr>
        <w:instrText xml:space="preserve"> SEQ pav. \* ARABIC </w:instrText>
      </w:r>
      <w:r w:rsidRPr="00390AB4">
        <w:rPr>
          <w:b w:val="0"/>
        </w:rPr>
        <w:fldChar w:fldCharType="separate"/>
      </w:r>
      <w:r w:rsidR="008921F9" w:rsidRPr="00390AB4">
        <w:rPr>
          <w:b w:val="0"/>
        </w:rPr>
        <w:t>17</w:t>
      </w:r>
      <w:r w:rsidRPr="00390AB4">
        <w:rPr>
          <w:b w:val="0"/>
        </w:rPr>
        <w:fldChar w:fldCharType="end"/>
      </w:r>
      <w:r w:rsidR="008921F9" w:rsidRPr="00390AB4">
        <w:rPr>
          <w:b w:val="0"/>
        </w:rPr>
        <w:t xml:space="preserve"> </w:t>
      </w:r>
      <w:r w:rsidR="00B634DF" w:rsidRPr="00390AB4">
        <w:rPr>
          <w:b w:val="0"/>
        </w:rPr>
        <w:t>pav.</w:t>
      </w:r>
      <w:r w:rsidR="00B634DF" w:rsidRPr="00B634DF">
        <w:rPr>
          <w:color w:val="FF0000"/>
        </w:rPr>
        <w:t xml:space="preserve"> </w:t>
      </w:r>
      <w:r w:rsidR="00515541">
        <w:t xml:space="preserve">Ekspertų vertinimas: </w:t>
      </w:r>
      <w:r w:rsidR="00A3179D">
        <w:t xml:space="preserve">elgsena </w:t>
      </w:r>
      <w:r w:rsidR="00A3179D" w:rsidRPr="00515541">
        <w:rPr>
          <w:i/>
        </w:rPr>
        <w:t>ekonominių veiksnių</w:t>
      </w:r>
      <w:r w:rsidR="00A3179D">
        <w:t xml:space="preserve"> atžvilgiu</w:t>
      </w:r>
      <w:bookmarkEnd w:id="44"/>
    </w:p>
    <w:p w:rsidR="004249C5" w:rsidRDefault="00AE6475" w:rsidP="004249C5">
      <w:r w:rsidRPr="00B634DF">
        <w:rPr>
          <w:b/>
          <w:i/>
          <w:u w:val="single"/>
        </w:rPr>
        <w:t>Elgsena</w:t>
      </w:r>
      <w:r w:rsidR="004C03E4" w:rsidRPr="00B634DF">
        <w:rPr>
          <w:b/>
          <w:i/>
          <w:u w:val="single"/>
        </w:rPr>
        <w:t xml:space="preserve"> </w:t>
      </w:r>
      <w:r w:rsidRPr="00B634DF">
        <w:rPr>
          <w:b/>
          <w:i/>
          <w:u w:val="single"/>
        </w:rPr>
        <w:t>t</w:t>
      </w:r>
      <w:r w:rsidR="004A2E8B" w:rsidRPr="00B634DF">
        <w:rPr>
          <w:b/>
          <w:i/>
          <w:u w:val="single"/>
        </w:rPr>
        <w:t>eisinių-politinių</w:t>
      </w:r>
      <w:r w:rsidR="00515541" w:rsidRPr="00B634DF">
        <w:rPr>
          <w:b/>
          <w:i/>
          <w:u w:val="single"/>
        </w:rPr>
        <w:t xml:space="preserve"> </w:t>
      </w:r>
      <w:r w:rsidR="004A2E8B" w:rsidRPr="00B634DF">
        <w:rPr>
          <w:b/>
          <w:i/>
          <w:u w:val="single"/>
        </w:rPr>
        <w:t>veiksnių</w:t>
      </w:r>
      <w:r w:rsidRPr="00B634DF">
        <w:rPr>
          <w:b/>
          <w:i/>
          <w:u w:val="single"/>
        </w:rPr>
        <w:t xml:space="preserve"> atžvilgiu</w:t>
      </w:r>
      <w:r w:rsidR="004A2E8B">
        <w:t>.</w:t>
      </w:r>
      <w:r w:rsidR="00AD6842">
        <w:t xml:space="preserve"> </w:t>
      </w:r>
      <w:r w:rsidR="005260DF">
        <w:t>V</w:t>
      </w:r>
      <w:r w:rsidR="00AD6842">
        <w:t>ertin</w:t>
      </w:r>
      <w:r w:rsidR="0064645C">
        <w:t>da</w:t>
      </w:r>
      <w:r w:rsidR="008442D4">
        <w:t>mi</w:t>
      </w:r>
      <w:r w:rsidR="00AD6842">
        <w:t xml:space="preserve"> </w:t>
      </w:r>
      <w:r w:rsidR="005260DF">
        <w:t>šiuos</w:t>
      </w:r>
      <w:r w:rsidR="004C03E4">
        <w:t xml:space="preserve"> </w:t>
      </w:r>
      <w:r w:rsidR="00024E63">
        <w:t xml:space="preserve">veiksnius, </w:t>
      </w:r>
      <w:r w:rsidR="008442D4">
        <w:t>4</w:t>
      </w:r>
      <w:r w:rsidR="00024E63">
        <w:t>0 proc.</w:t>
      </w:r>
      <w:r w:rsidR="008442D4">
        <w:t xml:space="preserve"> ekspertų</w:t>
      </w:r>
      <w:r w:rsidR="000B5063">
        <w:t xml:space="preserve"> </w:t>
      </w:r>
      <w:r w:rsidR="000022AF">
        <w:t>nurodė</w:t>
      </w:r>
      <w:r w:rsidR="000B5063">
        <w:t xml:space="preserve">, jog visų </w:t>
      </w:r>
      <w:r w:rsidR="004C03E4">
        <w:t>teisinių-politinių</w:t>
      </w:r>
      <w:r w:rsidR="00EB10BF">
        <w:t xml:space="preserve"> </w:t>
      </w:r>
      <w:r w:rsidR="000B5063">
        <w:t>veiksnių įtaka</w:t>
      </w:r>
      <w:r w:rsidR="00EB10BF">
        <w:t xml:space="preserve"> </w:t>
      </w:r>
      <w:r w:rsidR="009B3E9B">
        <w:t xml:space="preserve">individų </w:t>
      </w:r>
      <w:r w:rsidR="004C03E4">
        <w:t>finansin</w:t>
      </w:r>
      <w:r w:rsidR="009B3E9B">
        <w:t>ei elgsenai</w:t>
      </w:r>
      <w:r w:rsidR="004C03E4">
        <w:t xml:space="preserve"> </w:t>
      </w:r>
      <w:r w:rsidR="008674BF">
        <w:t xml:space="preserve">yra </w:t>
      </w:r>
      <w:r w:rsidR="0039519B">
        <w:t>padidėjusi.</w:t>
      </w:r>
      <w:r w:rsidR="0021327B">
        <w:t xml:space="preserve"> Žiūrin</w:t>
      </w:r>
      <w:r w:rsidR="002F649E">
        <w:t>t į</w:t>
      </w:r>
      <w:r w:rsidR="0021327B">
        <w:t xml:space="preserve"> svertinį balą (9 balai), matyti</w:t>
      </w:r>
      <w:r w:rsidR="002F649E">
        <w:t>, jog</w:t>
      </w:r>
      <w:r w:rsidR="00B412EA">
        <w:t xml:space="preserve"> dėl šios priežasties</w:t>
      </w:r>
      <w:r w:rsidR="00FD1F22">
        <w:t xml:space="preserve"> finansinė elgs</w:t>
      </w:r>
      <w:r w:rsidR="00CA635C">
        <w:t>e</w:t>
      </w:r>
      <w:r w:rsidR="008369AA">
        <w:t>na tapo daugiau neracionali nei</w:t>
      </w:r>
      <w:r w:rsidR="00FD1F22">
        <w:t xml:space="preserve"> racionali, </w:t>
      </w:r>
      <w:r w:rsidR="008369AA">
        <w:t>kadangi</w:t>
      </w:r>
      <w:r w:rsidR="00FD1F22">
        <w:t xml:space="preserve"> „pusiausvyros tašk</w:t>
      </w:r>
      <w:r w:rsidR="000D0096">
        <w:t>u</w:t>
      </w:r>
      <w:r w:rsidR="00704B8F">
        <w:t>i</w:t>
      </w:r>
      <w:r w:rsidR="00FD1F22">
        <w:t>“</w:t>
      </w:r>
      <w:r w:rsidR="00294D84">
        <w:t xml:space="preserve"> (10 balų)</w:t>
      </w:r>
      <w:r w:rsidR="00704B8F">
        <w:t xml:space="preserve"> pasiekti pritrūko</w:t>
      </w:r>
      <w:r w:rsidR="000D0096">
        <w:t xml:space="preserve"> </w:t>
      </w:r>
      <w:r w:rsidR="00294D84">
        <w:t>1 bal</w:t>
      </w:r>
      <w:r w:rsidR="00704B8F">
        <w:t>o</w:t>
      </w:r>
      <w:r w:rsidR="00294D84">
        <w:t>.</w:t>
      </w:r>
      <w:r w:rsidR="00FD1F22">
        <w:t xml:space="preserve"> </w:t>
      </w:r>
      <w:r w:rsidR="00D65FAD">
        <w:t>Tai leidžia</w:t>
      </w:r>
      <w:r w:rsidR="008369AA">
        <w:t xml:space="preserve"> teigti</w:t>
      </w:r>
      <w:r w:rsidR="00D65FAD">
        <w:t xml:space="preserve">, jog </w:t>
      </w:r>
      <w:r w:rsidR="008369AA">
        <w:t xml:space="preserve">labai </w:t>
      </w:r>
      <w:r w:rsidR="00D65FAD">
        <w:t xml:space="preserve">didelė dalis </w:t>
      </w:r>
      <w:r w:rsidR="004147D4">
        <w:t xml:space="preserve">socialinių išmokų gavėjų </w:t>
      </w:r>
      <w:r w:rsidR="00FF7126">
        <w:t xml:space="preserve">teise į socialinę </w:t>
      </w:r>
      <w:r w:rsidR="00B839B2">
        <w:t xml:space="preserve">apsaugą </w:t>
      </w:r>
      <w:r w:rsidR="00FF7126">
        <w:t>naudojasi</w:t>
      </w:r>
      <w:r w:rsidR="00530DCC">
        <w:t xml:space="preserve"> ne visai teisėtai</w:t>
      </w:r>
      <w:r w:rsidR="007D57C5">
        <w:t>, t. y. išnaudodami teisės akt</w:t>
      </w:r>
      <w:r w:rsidR="00530DCC">
        <w:t>ų spragas</w:t>
      </w:r>
      <w:r w:rsidR="008369AA">
        <w:t>.</w:t>
      </w:r>
    </w:p>
    <w:p w:rsidR="0024614A" w:rsidRDefault="0024614A" w:rsidP="0024614A">
      <w:pPr>
        <w:pStyle w:val="Heading1"/>
        <w:numPr>
          <w:ilvl w:val="0"/>
          <w:numId w:val="0"/>
        </w:numPr>
        <w:spacing w:after="40" w:line="240" w:lineRule="auto"/>
      </w:pPr>
      <w:r>
        <w:rPr>
          <w:noProof/>
          <w:lang w:val="en-US"/>
        </w:rPr>
        <w:lastRenderedPageBreak/>
        <w:drawing>
          <wp:inline distT="0" distB="0" distL="0" distR="0">
            <wp:extent cx="6515100" cy="2247900"/>
            <wp:effectExtent l="0" t="19050" r="76200" b="57150"/>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4614A" w:rsidRPr="006D598F" w:rsidRDefault="0024614A" w:rsidP="0024614A">
      <w:pPr>
        <w:spacing w:after="0" w:line="240" w:lineRule="auto"/>
        <w:rPr>
          <w:sz w:val="20"/>
        </w:rPr>
      </w:pPr>
      <w:r w:rsidRPr="006D598F">
        <w:rPr>
          <w:b/>
          <w:sz w:val="20"/>
        </w:rPr>
        <w:t>Šaltinis</w:t>
      </w:r>
      <w:r w:rsidRPr="006D598F">
        <w:rPr>
          <w:sz w:val="20"/>
        </w:rPr>
        <w:t>: sudaryta šio darbo autorės</w:t>
      </w:r>
      <w:r>
        <w:rPr>
          <w:sz w:val="20"/>
        </w:rPr>
        <w:t>, remiantis ekspertų vertinimais</w:t>
      </w:r>
    </w:p>
    <w:bookmarkStart w:id="45" w:name="_Toc343590415"/>
    <w:p w:rsidR="0024614A" w:rsidRDefault="00D84BC4" w:rsidP="00886347">
      <w:pPr>
        <w:pStyle w:val="Caption"/>
      </w:pPr>
      <w:r w:rsidRPr="00390AB4">
        <w:rPr>
          <w:b w:val="0"/>
        </w:rPr>
        <w:fldChar w:fldCharType="begin"/>
      </w:r>
      <w:r w:rsidR="000C0647" w:rsidRPr="00390AB4">
        <w:rPr>
          <w:b w:val="0"/>
        </w:rPr>
        <w:instrText xml:space="preserve"> SEQ pav. \* ARABIC </w:instrText>
      </w:r>
      <w:r w:rsidRPr="00390AB4">
        <w:rPr>
          <w:b w:val="0"/>
        </w:rPr>
        <w:fldChar w:fldCharType="separate"/>
      </w:r>
      <w:r w:rsidR="000C0647" w:rsidRPr="00390AB4">
        <w:rPr>
          <w:b w:val="0"/>
        </w:rPr>
        <w:t>18</w:t>
      </w:r>
      <w:r w:rsidRPr="00390AB4">
        <w:rPr>
          <w:b w:val="0"/>
        </w:rPr>
        <w:fldChar w:fldCharType="end"/>
      </w:r>
      <w:r w:rsidR="000C0647" w:rsidRPr="00390AB4">
        <w:rPr>
          <w:b w:val="0"/>
        </w:rPr>
        <w:t xml:space="preserve"> </w:t>
      </w:r>
      <w:r w:rsidR="0024614A" w:rsidRPr="00390AB4">
        <w:rPr>
          <w:b w:val="0"/>
        </w:rPr>
        <w:t>pav.</w:t>
      </w:r>
      <w:r w:rsidR="0024614A" w:rsidRPr="0021369E">
        <w:rPr>
          <w:color w:val="FF0000"/>
        </w:rPr>
        <w:t xml:space="preserve"> </w:t>
      </w:r>
      <w:r w:rsidR="0024614A">
        <w:t xml:space="preserve">Ekspertų vertinimas: elgsena </w:t>
      </w:r>
      <w:r w:rsidR="0024614A" w:rsidRPr="00C55381">
        <w:rPr>
          <w:i/>
        </w:rPr>
        <w:t xml:space="preserve">teisinių-politinių veiksnių </w:t>
      </w:r>
      <w:r w:rsidR="0024614A">
        <w:t>atžvilgiu</w:t>
      </w:r>
      <w:bookmarkEnd w:id="45"/>
    </w:p>
    <w:p w:rsidR="009D7834" w:rsidRPr="00C92359" w:rsidRDefault="00274A41" w:rsidP="00274A41">
      <w:r w:rsidRPr="006B1DD2">
        <w:t>Lyginant</w:t>
      </w:r>
      <w:r w:rsidR="0097139A">
        <w:t xml:space="preserve"> šiuos</w:t>
      </w:r>
      <w:r w:rsidRPr="006B1DD2">
        <w:t xml:space="preserve"> </w:t>
      </w:r>
      <w:r w:rsidR="003D78A9">
        <w:t xml:space="preserve">rezultatus </w:t>
      </w:r>
      <w:r w:rsidRPr="006B1DD2">
        <w:t xml:space="preserve">su </w:t>
      </w:r>
      <w:r w:rsidR="000A7DEF">
        <w:t xml:space="preserve">apklausos dalyvių </w:t>
      </w:r>
      <w:r w:rsidR="0097139A">
        <w:t xml:space="preserve">pateiktais </w:t>
      </w:r>
      <w:r w:rsidR="0097139A" w:rsidRPr="000C0647">
        <w:t xml:space="preserve">atsakymais </w:t>
      </w:r>
      <w:r w:rsidRPr="000C0647">
        <w:t>(žr.</w:t>
      </w:r>
      <w:r w:rsidR="00B839B2" w:rsidRPr="000C0647">
        <w:t xml:space="preserve"> 18</w:t>
      </w:r>
      <w:r w:rsidR="008E4B06" w:rsidRPr="000C0647">
        <w:t> pav.</w:t>
      </w:r>
      <w:r w:rsidRPr="000C0647">
        <w:t>)</w:t>
      </w:r>
      <w:r w:rsidR="006B1DD2" w:rsidRPr="000C0647">
        <w:t>,</w:t>
      </w:r>
      <w:r w:rsidR="006B1DD2" w:rsidRPr="006B1DD2">
        <w:t xml:space="preserve"> matyti</w:t>
      </w:r>
      <w:r w:rsidR="006B1DD2">
        <w:t xml:space="preserve">, jog </w:t>
      </w:r>
      <w:r w:rsidR="000A7DEF">
        <w:t xml:space="preserve">didelis nuokrypis </w:t>
      </w:r>
      <w:r w:rsidR="00C80983">
        <w:t xml:space="preserve">(4 balai) </w:t>
      </w:r>
      <w:r w:rsidR="000A7DEF">
        <w:t xml:space="preserve">atsirado, vertinant </w:t>
      </w:r>
      <w:r w:rsidR="000A7DEF" w:rsidRPr="00C80983">
        <w:rPr>
          <w:i/>
        </w:rPr>
        <w:t>socialinės apsaugos sistem</w:t>
      </w:r>
      <w:r w:rsidR="006D6735">
        <w:rPr>
          <w:i/>
        </w:rPr>
        <w:t>ą</w:t>
      </w:r>
      <w:r w:rsidR="00C80983" w:rsidRPr="00C80983">
        <w:rPr>
          <w:i/>
        </w:rPr>
        <w:t xml:space="preserve"> (d</w:t>
      </w:r>
      <w:r w:rsidR="00C80983" w:rsidRPr="00C80983">
        <w:rPr>
          <w:i/>
          <w:vertAlign w:val="subscript"/>
        </w:rPr>
        <w:t>1</w:t>
      </w:r>
      <w:r w:rsidR="00C80983" w:rsidRPr="00C80983">
        <w:rPr>
          <w:i/>
        </w:rPr>
        <w:t>)</w:t>
      </w:r>
      <w:r w:rsidR="00845F87">
        <w:t xml:space="preserve"> (K – 2,0)</w:t>
      </w:r>
      <w:r w:rsidR="006D6735">
        <w:t xml:space="preserve">: specialistai </w:t>
      </w:r>
      <w:r w:rsidR="00406F65">
        <w:t xml:space="preserve">šio veiksnio įtaką </w:t>
      </w:r>
      <w:r w:rsidR="00271D4F">
        <w:t>vertino 2 balais</w:t>
      </w:r>
      <w:r w:rsidR="00845F87">
        <w:t xml:space="preserve">, o </w:t>
      </w:r>
      <w:r w:rsidR="006D6735">
        <w:t>socialinių išmokų</w:t>
      </w:r>
      <w:r w:rsidR="00845F87">
        <w:t xml:space="preserve"> gavėjai – 6 balais.</w:t>
      </w:r>
      <w:r w:rsidR="00AE2700">
        <w:t xml:space="preserve"> Tai verčia manyti, jog </w:t>
      </w:r>
      <w:r w:rsidR="00E93E1A">
        <w:t xml:space="preserve">reali </w:t>
      </w:r>
      <w:r w:rsidR="00EA3F9D">
        <w:t xml:space="preserve">finansinė </w:t>
      </w:r>
      <w:r w:rsidR="00E93E1A">
        <w:t xml:space="preserve">elgsena </w:t>
      </w:r>
      <w:r w:rsidR="00E93E1A" w:rsidRPr="00507524">
        <w:rPr>
          <w:i/>
        </w:rPr>
        <w:t>šio veiksnio atžvilgiu</w:t>
      </w:r>
      <w:r w:rsidR="00E93E1A">
        <w:t xml:space="preserve"> turėtų būti </w:t>
      </w:r>
      <w:r w:rsidR="002D78D4">
        <w:t xml:space="preserve">kažkur tarp šių dviejų įvertinimų, </w:t>
      </w:r>
      <w:r w:rsidR="00A87A59">
        <w:t>kas</w:t>
      </w:r>
      <w:r w:rsidR="00261888">
        <w:t xml:space="preserve"> atskleidžia</w:t>
      </w:r>
      <w:r w:rsidR="00A87A59">
        <w:t xml:space="preserve">, jog socialinės apsaugos sistema turėtų </w:t>
      </w:r>
      <w:r w:rsidR="00261888">
        <w:t>neigiamai veikti atsakomybę bei</w:t>
      </w:r>
      <w:r w:rsidR="009D7834">
        <w:t xml:space="preserve"> </w:t>
      </w:r>
      <w:r w:rsidR="00EA3F9D">
        <w:t>neskatinti užimtumo (</w:t>
      </w:r>
      <w:r w:rsidR="00CA635C">
        <w:t xml:space="preserve">2 – </w:t>
      </w:r>
      <w:r w:rsidR="00EA3F9D">
        <w:t>didelė įtaka).</w:t>
      </w:r>
      <w:r w:rsidR="004935D4">
        <w:t xml:space="preserve"> </w:t>
      </w:r>
      <w:r w:rsidR="00CD5FCD" w:rsidRPr="00C92359">
        <w:t>Taip pat reikėtų</w:t>
      </w:r>
      <w:r w:rsidR="004935D4">
        <w:t xml:space="preserve"> akcentuoti</w:t>
      </w:r>
      <w:r w:rsidR="00CD5FCD" w:rsidRPr="00C92359">
        <w:t xml:space="preserve">, jog </w:t>
      </w:r>
      <w:r w:rsidR="004935D4">
        <w:t xml:space="preserve">socialinių išmokų </w:t>
      </w:r>
      <w:r w:rsidR="00F86FF4">
        <w:t>gavėjų</w:t>
      </w:r>
      <w:r w:rsidR="00AC3899">
        <w:t xml:space="preserve"> nuomonė</w:t>
      </w:r>
      <w:r w:rsidR="00F86FF4">
        <w:t xml:space="preserve"> </w:t>
      </w:r>
      <w:r w:rsidR="00AC3899" w:rsidRPr="00C92359">
        <w:t xml:space="preserve">vieno veiksnio, t. y. </w:t>
      </w:r>
      <w:r w:rsidR="00AC3899" w:rsidRPr="00C92359">
        <w:rPr>
          <w:i/>
        </w:rPr>
        <w:t>solidarumo stokos (d</w:t>
      </w:r>
      <w:r w:rsidR="00FD38AA">
        <w:rPr>
          <w:i/>
          <w:vertAlign w:val="subscript"/>
        </w:rPr>
        <w:t>3</w:t>
      </w:r>
      <w:r w:rsidR="00AC3899" w:rsidRPr="00C92359">
        <w:rPr>
          <w:i/>
        </w:rPr>
        <w:t>)</w:t>
      </w:r>
      <w:r w:rsidR="00261888">
        <w:t xml:space="preserve"> (K – 1,5),</w:t>
      </w:r>
      <w:r w:rsidR="00AC3899" w:rsidRPr="00C92359">
        <w:t xml:space="preserve"> </w:t>
      </w:r>
      <w:r w:rsidR="00AC3899">
        <w:t>atžvilgiu sutapo su</w:t>
      </w:r>
      <w:r w:rsidR="00C92359">
        <w:t xml:space="preserve"> ekspertų </w:t>
      </w:r>
      <w:r w:rsidR="00CD5FCD" w:rsidRPr="00C92359">
        <w:t>nuomon</w:t>
      </w:r>
      <w:r w:rsidR="00AC3899">
        <w:t>e</w:t>
      </w:r>
      <w:r w:rsidR="00495AAE">
        <w:t xml:space="preserve"> (</w:t>
      </w:r>
      <w:r w:rsidR="00663158">
        <w:t>svertinis balas</w:t>
      </w:r>
      <w:r w:rsidR="00EA57E9">
        <w:t xml:space="preserve"> –</w:t>
      </w:r>
      <w:r w:rsidR="00495AAE">
        <w:t xml:space="preserve"> 3; skirtumas –</w:t>
      </w:r>
      <w:r w:rsidR="00EA57E9">
        <w:t xml:space="preserve"> 3 balai)</w:t>
      </w:r>
      <w:r w:rsidR="00261888">
        <w:t xml:space="preserve"> – tai reiškia</w:t>
      </w:r>
      <w:r w:rsidR="00CA2EAB">
        <w:t xml:space="preserve">, </w:t>
      </w:r>
      <w:r w:rsidR="00261888">
        <w:t xml:space="preserve">jog </w:t>
      </w:r>
      <w:r w:rsidR="005B069B">
        <w:t xml:space="preserve">bedarbiai ir socialinės paramos gavėjai </w:t>
      </w:r>
      <w:r w:rsidR="008A25F0">
        <w:t xml:space="preserve">labai </w:t>
      </w:r>
      <w:r w:rsidR="00663158">
        <w:t>dažn</w:t>
      </w:r>
      <w:r w:rsidR="008A25F0">
        <w:t>ai</w:t>
      </w:r>
      <w:r w:rsidR="00663158">
        <w:t xml:space="preserve"> </w:t>
      </w:r>
      <w:r w:rsidR="00CF07DB">
        <w:t>reikalauja</w:t>
      </w:r>
      <w:r w:rsidR="008A25F0">
        <w:t xml:space="preserve"> </w:t>
      </w:r>
      <w:r w:rsidR="00CF07DB">
        <w:t>pagalbos iš išorės</w:t>
      </w:r>
      <w:r w:rsidR="006E4B82">
        <w:t xml:space="preserve">, </w:t>
      </w:r>
      <w:r w:rsidR="008A25F0">
        <w:t xml:space="preserve">net ir neturėdami į ją </w:t>
      </w:r>
      <w:r w:rsidR="007F1430">
        <w:t xml:space="preserve">pilnos </w:t>
      </w:r>
      <w:r w:rsidR="008A25F0">
        <w:t>teisės</w:t>
      </w:r>
      <w:r w:rsidR="002C6F73">
        <w:t>.</w:t>
      </w:r>
    </w:p>
    <w:p w:rsidR="008A25F0" w:rsidRPr="008A25F0" w:rsidRDefault="008A25F0" w:rsidP="008A25F0">
      <w:r>
        <w:t>Apibendrinant, reikėtų pasakyti, jog</w:t>
      </w:r>
      <w:r w:rsidR="00E40C4E">
        <w:t xml:space="preserve"> šiandien </w:t>
      </w:r>
      <w:r w:rsidR="00E40C4E" w:rsidRPr="00E84049">
        <w:t>didžiosios</w:t>
      </w:r>
      <w:r w:rsidR="00E40C4E">
        <w:t xml:space="preserve"> dalies bedarbių ir socialinės paramos gavėjų elgsena yra </w:t>
      </w:r>
      <w:r w:rsidR="00E40C4E" w:rsidRPr="000C0647">
        <w:t>neracionali</w:t>
      </w:r>
      <w:r w:rsidR="005B2CA1" w:rsidRPr="000C0647">
        <w:t xml:space="preserve"> (</w:t>
      </w:r>
      <w:r w:rsidR="00BA6866" w:rsidRPr="000C0647">
        <w:t>žr. 19</w:t>
      </w:r>
      <w:r w:rsidR="005B2CA1" w:rsidRPr="000C0647">
        <w:t> pav.)</w:t>
      </w:r>
      <w:r w:rsidR="00DB3B45" w:rsidRPr="000C0647">
        <w:t>,</w:t>
      </w:r>
      <w:r w:rsidR="00DB3B45">
        <w:t xml:space="preserve"> kadangi socialine gerove dažnai bandoma pasinaudoti neteisėtai arba nepagrįstai.</w:t>
      </w:r>
      <w:r w:rsidR="006A2A17">
        <w:t xml:space="preserve"> Atlikti tyrimai</w:t>
      </w:r>
      <w:r w:rsidR="00884226">
        <w:t xml:space="preserve"> parodė</w:t>
      </w:r>
      <w:r w:rsidR="000838C2">
        <w:t xml:space="preserve">, </w:t>
      </w:r>
      <w:r w:rsidR="00BB10EB">
        <w:t>jog toki</w:t>
      </w:r>
      <w:r w:rsidR="006B5C0B">
        <w:t>ą</w:t>
      </w:r>
      <w:r w:rsidR="00BB10EB">
        <w:t xml:space="preserve"> elgsen</w:t>
      </w:r>
      <w:r w:rsidR="006B5C0B">
        <w:t>ą</w:t>
      </w:r>
      <w:r w:rsidR="00BB10EB">
        <w:t xml:space="preserve"> </w:t>
      </w:r>
      <w:r w:rsidR="006B5C0B">
        <w:t xml:space="preserve">labiausiai veikia </w:t>
      </w:r>
      <w:r w:rsidR="000838C2">
        <w:t>tam t</w:t>
      </w:r>
      <w:r w:rsidR="00482655">
        <w:t xml:space="preserve">ikras </w:t>
      </w:r>
      <w:r w:rsidR="00BB10EB">
        <w:t>ekonominių</w:t>
      </w:r>
      <w:r w:rsidR="00884226">
        <w:t xml:space="preserve"> ir </w:t>
      </w:r>
      <w:r w:rsidR="00390AB4">
        <w:t>emocinių</w:t>
      </w:r>
      <w:r w:rsidR="00482655">
        <w:t>-</w:t>
      </w:r>
      <w:r w:rsidR="00390AB4">
        <w:t>psichologinių</w:t>
      </w:r>
      <w:r w:rsidR="00482655">
        <w:t xml:space="preserve"> </w:t>
      </w:r>
      <w:r w:rsidR="000838C2">
        <w:t>veiksnių derinys</w:t>
      </w:r>
      <w:r w:rsidR="006A2A17">
        <w:t>, kurių pirmieji</w:t>
      </w:r>
      <w:r w:rsidR="00961ECF">
        <w:t xml:space="preserve"> </w:t>
      </w:r>
      <w:r w:rsidR="006B5C0B" w:rsidRPr="00961ECF">
        <w:rPr>
          <w:i/>
        </w:rPr>
        <w:t>skatina</w:t>
      </w:r>
      <w:r w:rsidR="00D61274">
        <w:t>, o antrieji –</w:t>
      </w:r>
      <w:r w:rsidR="006B5C0B">
        <w:t xml:space="preserve"> </w:t>
      </w:r>
      <w:r w:rsidR="006B5C0B" w:rsidRPr="00961ECF">
        <w:rPr>
          <w:i/>
        </w:rPr>
        <w:t>lemia</w:t>
      </w:r>
      <w:r w:rsidR="006B5C0B">
        <w:t xml:space="preserve"> netinkamų sprendimų priėmimą.</w:t>
      </w:r>
    </w:p>
    <w:p w:rsidR="005F27EF" w:rsidRDefault="005F27EF" w:rsidP="00BA6866">
      <w:pPr>
        <w:spacing w:after="0" w:line="240" w:lineRule="auto"/>
        <w:ind w:firstLine="0"/>
        <w:jc w:val="center"/>
      </w:pPr>
      <w:r w:rsidRPr="00481823">
        <w:rPr>
          <w:noProof/>
          <w:lang w:val="en-US"/>
        </w:rPr>
        <w:drawing>
          <wp:inline distT="0" distB="0" distL="0" distR="0">
            <wp:extent cx="6511925" cy="2343150"/>
            <wp:effectExtent l="0" t="19050" r="79375" b="5715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55816" w:rsidRPr="00E55816" w:rsidRDefault="00E55816" w:rsidP="00E55816">
      <w:pPr>
        <w:spacing w:after="0" w:line="240" w:lineRule="auto"/>
        <w:rPr>
          <w:sz w:val="20"/>
        </w:rPr>
      </w:pPr>
      <w:r w:rsidRPr="00E55816">
        <w:rPr>
          <w:b/>
          <w:sz w:val="20"/>
        </w:rPr>
        <w:t>Šaltinis</w:t>
      </w:r>
      <w:r w:rsidRPr="00E55816">
        <w:rPr>
          <w:sz w:val="20"/>
        </w:rPr>
        <w:t>: sudaryta šio darbo autorės</w:t>
      </w:r>
      <w:r w:rsidR="00BA6866">
        <w:rPr>
          <w:sz w:val="20"/>
        </w:rPr>
        <w:t>, remiantis ekspertų vertinimais</w:t>
      </w:r>
    </w:p>
    <w:bookmarkStart w:id="46" w:name="_Toc343590416"/>
    <w:p w:rsidR="005F27EF" w:rsidRDefault="00D84BC4" w:rsidP="00886347">
      <w:pPr>
        <w:pStyle w:val="Caption"/>
      </w:pPr>
      <w:r w:rsidRPr="000E2316">
        <w:rPr>
          <w:b w:val="0"/>
        </w:rPr>
        <w:fldChar w:fldCharType="begin"/>
      </w:r>
      <w:r w:rsidR="000C0647" w:rsidRPr="000E2316">
        <w:rPr>
          <w:b w:val="0"/>
        </w:rPr>
        <w:instrText xml:space="preserve"> SEQ pav. \* ARABIC </w:instrText>
      </w:r>
      <w:r w:rsidRPr="000E2316">
        <w:rPr>
          <w:b w:val="0"/>
        </w:rPr>
        <w:fldChar w:fldCharType="separate"/>
      </w:r>
      <w:r w:rsidR="000C0647" w:rsidRPr="000E2316">
        <w:rPr>
          <w:b w:val="0"/>
        </w:rPr>
        <w:t>19</w:t>
      </w:r>
      <w:r w:rsidRPr="000E2316">
        <w:rPr>
          <w:b w:val="0"/>
        </w:rPr>
        <w:fldChar w:fldCharType="end"/>
      </w:r>
      <w:r w:rsidR="000C0647" w:rsidRPr="000E2316">
        <w:rPr>
          <w:b w:val="0"/>
        </w:rPr>
        <w:t xml:space="preserve"> </w:t>
      </w:r>
      <w:r w:rsidR="00BA6866" w:rsidRPr="000E2316">
        <w:rPr>
          <w:b w:val="0"/>
        </w:rPr>
        <w:t>pav.</w:t>
      </w:r>
      <w:r w:rsidR="00BA6866" w:rsidRPr="00BA6866">
        <w:rPr>
          <w:color w:val="FF0000"/>
        </w:rPr>
        <w:t xml:space="preserve"> </w:t>
      </w:r>
      <w:r w:rsidR="009D7834">
        <w:t>Ekspertų vertinimas: b</w:t>
      </w:r>
      <w:r w:rsidR="005F27EF">
        <w:t>edarbių ir socialinės paramos gavėjų finansinė elgsena</w:t>
      </w:r>
      <w:bookmarkEnd w:id="46"/>
    </w:p>
    <w:p w:rsidR="005F27EF" w:rsidRDefault="00910DAE" w:rsidP="00AF5A65">
      <w:r w:rsidRPr="00F57D58">
        <w:rPr>
          <w:b/>
          <w:i/>
          <w:u w:val="single"/>
        </w:rPr>
        <w:lastRenderedPageBreak/>
        <w:t>Pastangų p</w:t>
      </w:r>
      <w:r w:rsidR="00CF4DE6">
        <w:rPr>
          <w:b/>
          <w:i/>
          <w:u w:val="single"/>
        </w:rPr>
        <w:t xml:space="preserve">akeisti savo socialinį statusą </w:t>
      </w:r>
      <w:r w:rsidRPr="00F57D58">
        <w:rPr>
          <w:b/>
          <w:i/>
          <w:u w:val="single"/>
        </w:rPr>
        <w:t>vertinimas</w:t>
      </w:r>
      <w:r>
        <w:t xml:space="preserve">. </w:t>
      </w:r>
      <w:r w:rsidR="00EF36FA">
        <w:t>Siekiant</w:t>
      </w:r>
      <w:r w:rsidR="00AB5E2C">
        <w:t xml:space="preserve"> sužinoti</w:t>
      </w:r>
      <w:r w:rsidR="00EF36FA">
        <w:t xml:space="preserve">, </w:t>
      </w:r>
      <w:r w:rsidR="00C834FE">
        <w:t xml:space="preserve">ar </w:t>
      </w:r>
      <w:r w:rsidR="00AB5E2C">
        <w:t xml:space="preserve">bedarbiai </w:t>
      </w:r>
      <w:r w:rsidR="00237198">
        <w:t xml:space="preserve">yra </w:t>
      </w:r>
      <w:r w:rsidR="00EF36FA">
        <w:t>linkę keisti savo socialinį statusą</w:t>
      </w:r>
      <w:r w:rsidR="00DF2164">
        <w:t xml:space="preserve">, ekspertų buvo prašoma įvertinti </w:t>
      </w:r>
      <w:r w:rsidR="00DF2164" w:rsidRPr="000C0647">
        <w:t>veiksnius</w:t>
      </w:r>
      <w:r w:rsidR="002609F9" w:rsidRPr="000C0647">
        <w:t xml:space="preserve"> (žr</w:t>
      </w:r>
      <w:r w:rsidR="00AB5E2C" w:rsidRPr="000C0647">
        <w:t>. 9</w:t>
      </w:r>
      <w:r w:rsidR="002609F9" w:rsidRPr="000C0647">
        <w:t> lent</w:t>
      </w:r>
      <w:r w:rsidR="003E4CCA" w:rsidRPr="000C0647">
        <w:t>.</w:t>
      </w:r>
      <w:r w:rsidR="002609F9" w:rsidRPr="000C0647">
        <w:t>)</w:t>
      </w:r>
      <w:r w:rsidR="00DF2164" w:rsidRPr="000C0647">
        <w:t>,</w:t>
      </w:r>
      <w:r w:rsidR="00DF2164">
        <w:t xml:space="preserve"> nurodant, kiek sutinkama su pateiktu teiginiu</w:t>
      </w:r>
      <w:r w:rsidR="00FA3D98">
        <w:t xml:space="preserve"> (kur: 1 – visiškai nesutinku; 2 –</w:t>
      </w:r>
      <w:r w:rsidR="00261DA3">
        <w:t xml:space="preserve"> </w:t>
      </w:r>
      <w:r w:rsidR="00FA3D98">
        <w:t>nesutinku; 3 – nei sutinku, nei</w:t>
      </w:r>
      <w:r w:rsidR="00F10FD5">
        <w:t xml:space="preserve"> nesutinku; 4 – sutinku; 5 –</w:t>
      </w:r>
      <w:r w:rsidR="00261DA3">
        <w:t>visiškai sutinku)</w:t>
      </w:r>
      <w:r w:rsidR="00317E52">
        <w:t xml:space="preserve">, kurie </w:t>
      </w:r>
      <w:r w:rsidR="00006208">
        <w:t xml:space="preserve">buvo </w:t>
      </w:r>
      <w:r w:rsidR="00237198">
        <w:t xml:space="preserve">suformuluoti taip, kad </w:t>
      </w:r>
      <w:r w:rsidR="007324E2">
        <w:t>padėtų atskleisti</w:t>
      </w:r>
      <w:r w:rsidR="00237198">
        <w:t xml:space="preserve"> </w:t>
      </w:r>
      <w:r w:rsidR="00006208">
        <w:t>asmenin</w:t>
      </w:r>
      <w:r w:rsidR="00237198">
        <w:t>e</w:t>
      </w:r>
      <w:r w:rsidR="00006208">
        <w:t>s pastang</w:t>
      </w:r>
      <w:r w:rsidR="00237198">
        <w:t>a</w:t>
      </w:r>
      <w:r w:rsidR="00006208">
        <w:t>s tikslui</w:t>
      </w:r>
      <w:r w:rsidR="00665B9F">
        <w:t xml:space="preserve"> pasiekti.</w:t>
      </w:r>
    </w:p>
    <w:bookmarkStart w:id="47" w:name="_Toc343638404"/>
    <w:p w:rsidR="006314F3" w:rsidRDefault="00D84BC4" w:rsidP="00886347">
      <w:pPr>
        <w:pStyle w:val="Caption"/>
      </w:pPr>
      <w:r w:rsidRPr="000C0647">
        <w:fldChar w:fldCharType="begin"/>
      </w:r>
      <w:r w:rsidR="000C0647" w:rsidRPr="000C0647">
        <w:instrText xml:space="preserve"> SEQ lentelė \* ARABIC </w:instrText>
      </w:r>
      <w:r w:rsidRPr="000C0647">
        <w:fldChar w:fldCharType="separate"/>
      </w:r>
      <w:r w:rsidR="000C0647" w:rsidRPr="000C0647">
        <w:t>9</w:t>
      </w:r>
      <w:r w:rsidRPr="000C0647">
        <w:fldChar w:fldCharType="end"/>
      </w:r>
      <w:r w:rsidR="000C0647" w:rsidRPr="000C0647">
        <w:t xml:space="preserve"> </w:t>
      </w:r>
      <w:r w:rsidR="00AB5E2C" w:rsidRPr="000C0647">
        <w:t>lentelė</w:t>
      </w:r>
      <w:r w:rsidR="000C0647" w:rsidRPr="000C0647">
        <w:t>.</w:t>
      </w:r>
      <w:r w:rsidR="00AB5E2C" w:rsidRPr="00AB5E2C">
        <w:rPr>
          <w:color w:val="FF0000"/>
        </w:rPr>
        <w:t xml:space="preserve"> </w:t>
      </w:r>
      <w:r w:rsidR="00B02074">
        <w:t>Ekspertų vertinimas: p</w:t>
      </w:r>
      <w:r w:rsidR="004C4A68">
        <w:t xml:space="preserve">astangų pakeisti savo socialinį statusą </w:t>
      </w:r>
      <w:r w:rsidR="00B02074">
        <w:t>nustatymas</w:t>
      </w:r>
      <w:bookmarkEnd w:id="47"/>
    </w:p>
    <w:tbl>
      <w:tblPr>
        <w:tblStyle w:val="TableGrid"/>
        <w:tblW w:w="10386"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tblPr>
      <w:tblGrid>
        <w:gridCol w:w="3348"/>
        <w:gridCol w:w="490"/>
        <w:gridCol w:w="490"/>
        <w:gridCol w:w="490"/>
        <w:gridCol w:w="490"/>
        <w:gridCol w:w="490"/>
        <w:gridCol w:w="490"/>
        <w:gridCol w:w="490"/>
        <w:gridCol w:w="490"/>
        <w:gridCol w:w="490"/>
        <w:gridCol w:w="490"/>
        <w:gridCol w:w="1058"/>
        <w:gridCol w:w="1080"/>
      </w:tblGrid>
      <w:tr w:rsidR="00A3719E" w:rsidRPr="00342390" w:rsidTr="009730A3">
        <w:trPr>
          <w:trHeight w:val="218"/>
        </w:trPr>
        <w:tc>
          <w:tcPr>
            <w:tcW w:w="3348" w:type="dxa"/>
            <w:vMerge w:val="restart"/>
            <w:tcBorders>
              <w:top w:val="single" w:sz="12" w:space="0" w:color="auto"/>
              <w:right w:val="single" w:sz="12" w:space="0" w:color="auto"/>
            </w:tcBorders>
            <w:shd w:val="clear" w:color="auto" w:fill="D9D9D9" w:themeFill="background1" w:themeFillShade="D9"/>
            <w:vAlign w:val="center"/>
          </w:tcPr>
          <w:p w:rsidR="00A3719E" w:rsidRPr="00342390" w:rsidRDefault="00A3719E" w:rsidP="00FA3D98">
            <w:pPr>
              <w:spacing w:after="0" w:line="240" w:lineRule="auto"/>
              <w:ind w:firstLine="0"/>
              <w:jc w:val="center"/>
              <w:rPr>
                <w:b/>
                <w:i/>
                <w:sz w:val="17"/>
                <w:szCs w:val="17"/>
              </w:rPr>
            </w:pPr>
            <w:r w:rsidRPr="00342390">
              <w:rPr>
                <w:b/>
                <w:i/>
                <w:sz w:val="17"/>
                <w:szCs w:val="17"/>
              </w:rPr>
              <w:t>Veiksniai</w:t>
            </w:r>
          </w:p>
        </w:tc>
        <w:tc>
          <w:tcPr>
            <w:tcW w:w="4900" w:type="dxa"/>
            <w:gridSpan w:val="10"/>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A3719E" w:rsidRPr="00342390" w:rsidRDefault="00A3719E" w:rsidP="00FA3D98">
            <w:pPr>
              <w:spacing w:after="0" w:line="240" w:lineRule="auto"/>
              <w:ind w:firstLine="0"/>
              <w:jc w:val="center"/>
              <w:rPr>
                <w:b/>
                <w:i/>
                <w:sz w:val="17"/>
                <w:szCs w:val="17"/>
              </w:rPr>
            </w:pPr>
            <w:r w:rsidRPr="00342390">
              <w:rPr>
                <w:b/>
                <w:i/>
                <w:sz w:val="17"/>
                <w:szCs w:val="17"/>
              </w:rPr>
              <w:t>Ekspertų vertinimai</w:t>
            </w:r>
          </w:p>
        </w:tc>
        <w:tc>
          <w:tcPr>
            <w:tcW w:w="1058" w:type="dxa"/>
            <w:vMerge w:val="restart"/>
            <w:tcBorders>
              <w:top w:val="single" w:sz="12" w:space="0" w:color="auto"/>
              <w:left w:val="single" w:sz="12" w:space="0" w:color="auto"/>
            </w:tcBorders>
            <w:shd w:val="clear" w:color="auto" w:fill="D9D9D9" w:themeFill="background1" w:themeFillShade="D9"/>
            <w:vAlign w:val="center"/>
          </w:tcPr>
          <w:p w:rsidR="00A3719E" w:rsidRPr="00342390" w:rsidRDefault="009730A3" w:rsidP="00FA3D98">
            <w:pPr>
              <w:spacing w:after="0" w:line="240" w:lineRule="auto"/>
              <w:ind w:firstLine="0"/>
              <w:jc w:val="center"/>
              <w:rPr>
                <w:b/>
                <w:i/>
                <w:sz w:val="17"/>
                <w:szCs w:val="17"/>
              </w:rPr>
            </w:pPr>
            <w:proofErr w:type="spellStart"/>
            <w:r w:rsidRPr="00342390">
              <w:rPr>
                <w:b/>
                <w:i/>
                <w:sz w:val="17"/>
                <w:szCs w:val="17"/>
              </w:rPr>
              <w:t>M</w:t>
            </w:r>
            <w:r w:rsidR="00342390">
              <w:rPr>
                <w:b/>
                <w:i/>
                <w:sz w:val="17"/>
                <w:szCs w:val="17"/>
              </w:rPr>
              <w:t>o</w:t>
            </w:r>
            <w:proofErr w:type="spellEnd"/>
          </w:p>
        </w:tc>
        <w:tc>
          <w:tcPr>
            <w:tcW w:w="1080" w:type="dxa"/>
            <w:vMerge w:val="restart"/>
            <w:tcBorders>
              <w:top w:val="single" w:sz="12" w:space="0" w:color="auto"/>
              <w:left w:val="single" w:sz="12" w:space="0" w:color="auto"/>
            </w:tcBorders>
            <w:shd w:val="clear" w:color="auto" w:fill="D9D9D9" w:themeFill="background1" w:themeFillShade="D9"/>
            <w:vAlign w:val="center"/>
          </w:tcPr>
          <w:p w:rsidR="00A3719E" w:rsidRPr="00342390" w:rsidRDefault="00146EB5" w:rsidP="00FA3D98">
            <w:pPr>
              <w:spacing w:after="0" w:line="240" w:lineRule="auto"/>
              <w:ind w:firstLine="0"/>
              <w:jc w:val="center"/>
              <w:rPr>
                <w:b/>
                <w:i/>
                <w:sz w:val="17"/>
                <w:szCs w:val="17"/>
              </w:rPr>
            </w:pPr>
            <w:r>
              <w:rPr>
                <w:b/>
                <w:i/>
                <w:sz w:val="17"/>
                <w:szCs w:val="17"/>
              </w:rPr>
              <w:t>Optima</w:t>
            </w:r>
            <w:r w:rsidR="00A3719E" w:rsidRPr="00342390">
              <w:rPr>
                <w:b/>
                <w:i/>
                <w:sz w:val="17"/>
                <w:szCs w:val="17"/>
              </w:rPr>
              <w:t>li reikšmė</w:t>
            </w:r>
            <w:r w:rsidR="00003A3F">
              <w:rPr>
                <w:rStyle w:val="FootnoteReference"/>
                <w:b/>
                <w:i/>
                <w:sz w:val="17"/>
                <w:szCs w:val="17"/>
              </w:rPr>
              <w:footnoteReference w:id="14"/>
            </w:r>
          </w:p>
        </w:tc>
      </w:tr>
      <w:tr w:rsidR="00223419" w:rsidRPr="00342390" w:rsidTr="009730A3">
        <w:trPr>
          <w:trHeight w:val="217"/>
        </w:trPr>
        <w:tc>
          <w:tcPr>
            <w:tcW w:w="3348" w:type="dxa"/>
            <w:vMerge/>
            <w:tcBorders>
              <w:bottom w:val="single" w:sz="12" w:space="0" w:color="auto"/>
              <w:right w:val="single" w:sz="12" w:space="0" w:color="auto"/>
            </w:tcBorders>
            <w:shd w:val="clear" w:color="auto" w:fill="D9D9D9" w:themeFill="background1" w:themeFillShade="D9"/>
            <w:vAlign w:val="center"/>
          </w:tcPr>
          <w:p w:rsidR="00223419" w:rsidRPr="00342390" w:rsidRDefault="00223419" w:rsidP="00FA3D98">
            <w:pPr>
              <w:spacing w:after="0" w:line="240" w:lineRule="auto"/>
              <w:ind w:firstLine="0"/>
              <w:jc w:val="center"/>
              <w:rPr>
                <w:b/>
                <w:i/>
                <w:sz w:val="18"/>
                <w:szCs w:val="18"/>
              </w:rPr>
            </w:pP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23419" w:rsidRPr="00342390" w:rsidRDefault="00223419" w:rsidP="00FA3D98">
            <w:pPr>
              <w:spacing w:after="0" w:line="240" w:lineRule="auto"/>
              <w:ind w:firstLine="0"/>
              <w:jc w:val="center"/>
              <w:rPr>
                <w:b/>
                <w:i/>
                <w:sz w:val="18"/>
                <w:szCs w:val="18"/>
                <w:vertAlign w:val="subscript"/>
              </w:rPr>
            </w:pPr>
            <w:r w:rsidRPr="00342390">
              <w:rPr>
                <w:b/>
                <w:i/>
                <w:sz w:val="18"/>
                <w:szCs w:val="18"/>
              </w:rPr>
              <w:t>m</w:t>
            </w:r>
            <w:r w:rsidRPr="00342390">
              <w:rPr>
                <w:b/>
                <w:i/>
                <w:sz w:val="18"/>
                <w:szCs w:val="18"/>
                <w:vertAlign w:val="subscript"/>
              </w:rPr>
              <w:t>1</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23419" w:rsidRPr="00342390" w:rsidRDefault="00223419" w:rsidP="00FA3D98">
            <w:pPr>
              <w:spacing w:after="0" w:line="240" w:lineRule="auto"/>
              <w:ind w:firstLine="0"/>
              <w:jc w:val="center"/>
              <w:rPr>
                <w:b/>
                <w:i/>
                <w:sz w:val="18"/>
                <w:szCs w:val="18"/>
                <w:vertAlign w:val="subscript"/>
              </w:rPr>
            </w:pPr>
            <w:r w:rsidRPr="00342390">
              <w:rPr>
                <w:b/>
                <w:i/>
                <w:sz w:val="18"/>
                <w:szCs w:val="18"/>
              </w:rPr>
              <w:t>m</w:t>
            </w:r>
            <w:r w:rsidRPr="00342390">
              <w:rPr>
                <w:b/>
                <w:i/>
                <w:sz w:val="18"/>
                <w:szCs w:val="18"/>
                <w:vertAlign w:val="subscript"/>
              </w:rPr>
              <w:t>2</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23419" w:rsidRPr="00342390" w:rsidRDefault="00223419" w:rsidP="00FA3D98">
            <w:pPr>
              <w:spacing w:after="0" w:line="240" w:lineRule="auto"/>
              <w:ind w:firstLine="0"/>
              <w:jc w:val="center"/>
              <w:rPr>
                <w:b/>
                <w:i/>
                <w:sz w:val="18"/>
                <w:szCs w:val="18"/>
                <w:vertAlign w:val="subscript"/>
              </w:rPr>
            </w:pPr>
            <w:r w:rsidRPr="00342390">
              <w:rPr>
                <w:b/>
                <w:i/>
                <w:sz w:val="18"/>
                <w:szCs w:val="18"/>
              </w:rPr>
              <w:t>m</w:t>
            </w:r>
            <w:r w:rsidRPr="00342390">
              <w:rPr>
                <w:b/>
                <w:i/>
                <w:sz w:val="18"/>
                <w:szCs w:val="18"/>
                <w:vertAlign w:val="subscript"/>
              </w:rPr>
              <w:t>3</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23419" w:rsidRPr="00342390" w:rsidRDefault="00223419" w:rsidP="00FA3D98">
            <w:pPr>
              <w:spacing w:after="0" w:line="240" w:lineRule="auto"/>
              <w:ind w:firstLine="0"/>
              <w:jc w:val="center"/>
              <w:rPr>
                <w:b/>
                <w:i/>
                <w:sz w:val="18"/>
                <w:szCs w:val="18"/>
                <w:vertAlign w:val="subscript"/>
              </w:rPr>
            </w:pPr>
            <w:r w:rsidRPr="00342390">
              <w:rPr>
                <w:b/>
                <w:i/>
                <w:sz w:val="18"/>
                <w:szCs w:val="18"/>
              </w:rPr>
              <w:t>m</w:t>
            </w:r>
            <w:r w:rsidRPr="00342390">
              <w:rPr>
                <w:b/>
                <w:i/>
                <w:sz w:val="18"/>
                <w:szCs w:val="18"/>
                <w:vertAlign w:val="subscript"/>
              </w:rPr>
              <w:t>4</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23419" w:rsidRPr="00342390" w:rsidRDefault="00223419" w:rsidP="00FA3D98">
            <w:pPr>
              <w:spacing w:after="0" w:line="240" w:lineRule="auto"/>
              <w:ind w:firstLine="0"/>
              <w:jc w:val="center"/>
              <w:rPr>
                <w:b/>
                <w:i/>
                <w:sz w:val="18"/>
                <w:szCs w:val="18"/>
                <w:vertAlign w:val="subscript"/>
              </w:rPr>
            </w:pPr>
            <w:r w:rsidRPr="00342390">
              <w:rPr>
                <w:b/>
                <w:i/>
                <w:sz w:val="18"/>
                <w:szCs w:val="18"/>
              </w:rPr>
              <w:t>m</w:t>
            </w:r>
            <w:r w:rsidRPr="00342390">
              <w:rPr>
                <w:b/>
                <w:i/>
                <w:sz w:val="18"/>
                <w:szCs w:val="18"/>
                <w:vertAlign w:val="subscript"/>
              </w:rPr>
              <w:t>5</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23419" w:rsidRPr="00342390" w:rsidRDefault="00223419" w:rsidP="00FA3D98">
            <w:pPr>
              <w:spacing w:after="0" w:line="240" w:lineRule="auto"/>
              <w:ind w:firstLine="0"/>
              <w:jc w:val="center"/>
              <w:rPr>
                <w:b/>
                <w:i/>
                <w:sz w:val="18"/>
                <w:szCs w:val="18"/>
                <w:vertAlign w:val="subscript"/>
              </w:rPr>
            </w:pPr>
            <w:r w:rsidRPr="00342390">
              <w:rPr>
                <w:b/>
                <w:i/>
                <w:sz w:val="18"/>
                <w:szCs w:val="18"/>
              </w:rPr>
              <w:t>m</w:t>
            </w:r>
            <w:r w:rsidRPr="00342390">
              <w:rPr>
                <w:b/>
                <w:i/>
                <w:sz w:val="18"/>
                <w:szCs w:val="18"/>
                <w:vertAlign w:val="subscript"/>
              </w:rPr>
              <w:t>6</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23419" w:rsidRPr="00342390" w:rsidRDefault="00223419" w:rsidP="00FA3D98">
            <w:pPr>
              <w:spacing w:after="0" w:line="240" w:lineRule="auto"/>
              <w:ind w:firstLine="0"/>
              <w:jc w:val="center"/>
              <w:rPr>
                <w:b/>
                <w:i/>
                <w:sz w:val="18"/>
                <w:szCs w:val="18"/>
                <w:vertAlign w:val="subscript"/>
              </w:rPr>
            </w:pPr>
            <w:r w:rsidRPr="00342390">
              <w:rPr>
                <w:b/>
                <w:i/>
                <w:sz w:val="18"/>
                <w:szCs w:val="18"/>
              </w:rPr>
              <w:t>m</w:t>
            </w:r>
            <w:r w:rsidRPr="00342390">
              <w:rPr>
                <w:b/>
                <w:i/>
                <w:sz w:val="18"/>
                <w:szCs w:val="18"/>
                <w:vertAlign w:val="subscript"/>
              </w:rPr>
              <w:t>7</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23419" w:rsidRPr="00342390" w:rsidRDefault="00223419" w:rsidP="00FA3D98">
            <w:pPr>
              <w:spacing w:after="0" w:line="240" w:lineRule="auto"/>
              <w:ind w:firstLine="0"/>
              <w:jc w:val="center"/>
              <w:rPr>
                <w:b/>
                <w:i/>
                <w:sz w:val="18"/>
                <w:szCs w:val="18"/>
                <w:vertAlign w:val="subscript"/>
              </w:rPr>
            </w:pPr>
            <w:r w:rsidRPr="00342390">
              <w:rPr>
                <w:b/>
                <w:i/>
                <w:sz w:val="18"/>
                <w:szCs w:val="18"/>
              </w:rPr>
              <w:t>m</w:t>
            </w:r>
            <w:r w:rsidRPr="00342390">
              <w:rPr>
                <w:b/>
                <w:i/>
                <w:sz w:val="18"/>
                <w:szCs w:val="18"/>
                <w:vertAlign w:val="subscript"/>
              </w:rPr>
              <w:t>8</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23419" w:rsidRPr="00342390" w:rsidRDefault="00223419" w:rsidP="00FA3D98">
            <w:pPr>
              <w:spacing w:after="0" w:line="240" w:lineRule="auto"/>
              <w:ind w:firstLine="0"/>
              <w:jc w:val="center"/>
              <w:rPr>
                <w:b/>
                <w:i/>
                <w:sz w:val="18"/>
                <w:szCs w:val="18"/>
                <w:vertAlign w:val="subscript"/>
              </w:rPr>
            </w:pPr>
            <w:r w:rsidRPr="00342390">
              <w:rPr>
                <w:b/>
                <w:i/>
                <w:sz w:val="18"/>
                <w:szCs w:val="18"/>
              </w:rPr>
              <w:t>m</w:t>
            </w:r>
            <w:r w:rsidRPr="00342390">
              <w:rPr>
                <w:b/>
                <w:i/>
                <w:sz w:val="18"/>
                <w:szCs w:val="18"/>
                <w:vertAlign w:val="subscript"/>
              </w:rPr>
              <w:t>9</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23419" w:rsidRPr="00342390" w:rsidRDefault="00223419" w:rsidP="00FA3D98">
            <w:pPr>
              <w:spacing w:after="0" w:line="240" w:lineRule="auto"/>
              <w:ind w:firstLine="0"/>
              <w:jc w:val="center"/>
              <w:rPr>
                <w:b/>
                <w:i/>
                <w:sz w:val="18"/>
                <w:szCs w:val="18"/>
                <w:vertAlign w:val="subscript"/>
              </w:rPr>
            </w:pPr>
            <w:r w:rsidRPr="00342390">
              <w:rPr>
                <w:b/>
                <w:i/>
                <w:sz w:val="18"/>
                <w:szCs w:val="18"/>
              </w:rPr>
              <w:t>m</w:t>
            </w:r>
            <w:r w:rsidRPr="00342390">
              <w:rPr>
                <w:b/>
                <w:i/>
                <w:sz w:val="18"/>
                <w:szCs w:val="18"/>
                <w:vertAlign w:val="subscript"/>
              </w:rPr>
              <w:t>10</w:t>
            </w:r>
          </w:p>
        </w:tc>
        <w:tc>
          <w:tcPr>
            <w:tcW w:w="1058" w:type="dxa"/>
            <w:vMerge/>
            <w:tcBorders>
              <w:left w:val="single" w:sz="12" w:space="0" w:color="auto"/>
              <w:bottom w:val="single" w:sz="12" w:space="0" w:color="auto"/>
            </w:tcBorders>
            <w:shd w:val="clear" w:color="auto" w:fill="D9D9D9" w:themeFill="background1" w:themeFillShade="D9"/>
            <w:vAlign w:val="center"/>
          </w:tcPr>
          <w:p w:rsidR="00223419" w:rsidRPr="00342390" w:rsidRDefault="00223419" w:rsidP="00FA3D98">
            <w:pPr>
              <w:spacing w:after="0" w:line="240" w:lineRule="auto"/>
              <w:ind w:firstLine="0"/>
              <w:jc w:val="center"/>
              <w:rPr>
                <w:b/>
                <w:i/>
                <w:sz w:val="18"/>
                <w:szCs w:val="18"/>
              </w:rPr>
            </w:pPr>
          </w:p>
        </w:tc>
        <w:tc>
          <w:tcPr>
            <w:tcW w:w="1080" w:type="dxa"/>
            <w:vMerge/>
            <w:tcBorders>
              <w:left w:val="single" w:sz="12" w:space="0" w:color="auto"/>
              <w:bottom w:val="single" w:sz="12" w:space="0" w:color="auto"/>
            </w:tcBorders>
            <w:shd w:val="clear" w:color="auto" w:fill="D9D9D9" w:themeFill="background1" w:themeFillShade="D9"/>
          </w:tcPr>
          <w:p w:rsidR="00223419" w:rsidRPr="00342390" w:rsidRDefault="00223419" w:rsidP="00FA3D98">
            <w:pPr>
              <w:spacing w:after="0" w:line="240" w:lineRule="auto"/>
              <w:ind w:firstLine="0"/>
              <w:jc w:val="center"/>
              <w:rPr>
                <w:b/>
                <w:i/>
                <w:color w:val="0070C0"/>
                <w:sz w:val="18"/>
                <w:szCs w:val="18"/>
              </w:rPr>
            </w:pPr>
          </w:p>
        </w:tc>
      </w:tr>
      <w:tr w:rsidR="00223419" w:rsidRPr="00342390" w:rsidTr="009730A3">
        <w:tc>
          <w:tcPr>
            <w:tcW w:w="3348" w:type="dxa"/>
            <w:tcBorders>
              <w:top w:val="single" w:sz="12" w:space="0" w:color="auto"/>
              <w:bottom w:val="single" w:sz="2" w:space="0" w:color="auto"/>
              <w:right w:val="single" w:sz="12" w:space="0" w:color="auto"/>
            </w:tcBorders>
            <w:shd w:val="clear" w:color="auto" w:fill="D9D9D9" w:themeFill="background1" w:themeFillShade="D9"/>
          </w:tcPr>
          <w:p w:rsidR="00223419" w:rsidRPr="00342390" w:rsidRDefault="00223419" w:rsidP="0080048E">
            <w:pPr>
              <w:spacing w:after="0" w:line="240" w:lineRule="auto"/>
              <w:ind w:firstLine="0"/>
              <w:jc w:val="left"/>
              <w:rPr>
                <w:i/>
                <w:sz w:val="18"/>
                <w:szCs w:val="18"/>
              </w:rPr>
            </w:pPr>
            <w:r w:rsidRPr="00342390">
              <w:rPr>
                <w:i/>
                <w:sz w:val="18"/>
                <w:szCs w:val="18"/>
              </w:rPr>
              <w:t>Požiūris į socialinę apsaugą</w:t>
            </w:r>
            <w:r w:rsidR="00960F10" w:rsidRPr="00342390">
              <w:rPr>
                <w:i/>
                <w:sz w:val="18"/>
                <w:szCs w:val="18"/>
              </w:rPr>
              <w:t xml:space="preserve"> (1)</w:t>
            </w:r>
          </w:p>
        </w:tc>
        <w:tc>
          <w:tcPr>
            <w:tcW w:w="490" w:type="dxa"/>
            <w:tcBorders>
              <w:top w:val="single" w:sz="12" w:space="0" w:color="auto"/>
              <w:left w:val="single" w:sz="2" w:space="0" w:color="auto"/>
              <w:bottom w:val="single" w:sz="2" w:space="0" w:color="auto"/>
              <w:right w:val="single" w:sz="12" w:space="0" w:color="auto"/>
            </w:tcBorders>
            <w:shd w:val="clear" w:color="auto" w:fill="auto"/>
          </w:tcPr>
          <w:p w:rsidR="00223419" w:rsidRPr="00342390" w:rsidRDefault="000A375F" w:rsidP="00FA3D98">
            <w:pPr>
              <w:spacing w:after="0" w:line="240" w:lineRule="auto"/>
              <w:ind w:firstLine="0"/>
              <w:jc w:val="center"/>
              <w:rPr>
                <w:sz w:val="18"/>
                <w:szCs w:val="18"/>
              </w:rPr>
            </w:pPr>
            <w:r w:rsidRPr="00342390">
              <w:rPr>
                <w:sz w:val="18"/>
                <w:szCs w:val="18"/>
              </w:rPr>
              <w:t>2</w:t>
            </w:r>
          </w:p>
        </w:tc>
        <w:tc>
          <w:tcPr>
            <w:tcW w:w="490" w:type="dxa"/>
            <w:tcBorders>
              <w:top w:val="single" w:sz="12" w:space="0" w:color="auto"/>
              <w:left w:val="single" w:sz="2" w:space="0" w:color="auto"/>
              <w:bottom w:val="single" w:sz="2" w:space="0" w:color="auto"/>
              <w:right w:val="single" w:sz="12" w:space="0" w:color="auto"/>
            </w:tcBorders>
            <w:shd w:val="clear" w:color="auto" w:fill="auto"/>
          </w:tcPr>
          <w:p w:rsidR="00223419" w:rsidRPr="00342390" w:rsidRDefault="007606C2" w:rsidP="00FA3D98">
            <w:pPr>
              <w:spacing w:after="0" w:line="240" w:lineRule="auto"/>
              <w:ind w:firstLine="0"/>
              <w:jc w:val="center"/>
              <w:rPr>
                <w:sz w:val="18"/>
                <w:szCs w:val="18"/>
              </w:rPr>
            </w:pPr>
            <w:r w:rsidRPr="00342390">
              <w:rPr>
                <w:sz w:val="18"/>
                <w:szCs w:val="18"/>
              </w:rPr>
              <w:t>1</w:t>
            </w:r>
          </w:p>
        </w:tc>
        <w:tc>
          <w:tcPr>
            <w:tcW w:w="490" w:type="dxa"/>
            <w:tcBorders>
              <w:top w:val="single" w:sz="12" w:space="0" w:color="auto"/>
              <w:left w:val="single" w:sz="2" w:space="0" w:color="auto"/>
              <w:bottom w:val="single" w:sz="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1</w:t>
            </w:r>
          </w:p>
        </w:tc>
        <w:tc>
          <w:tcPr>
            <w:tcW w:w="490" w:type="dxa"/>
            <w:tcBorders>
              <w:top w:val="single" w:sz="12" w:space="0" w:color="auto"/>
              <w:left w:val="single" w:sz="2" w:space="0" w:color="auto"/>
              <w:bottom w:val="single" w:sz="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3</w:t>
            </w:r>
          </w:p>
        </w:tc>
        <w:tc>
          <w:tcPr>
            <w:tcW w:w="490" w:type="dxa"/>
            <w:tcBorders>
              <w:top w:val="single" w:sz="12" w:space="0" w:color="auto"/>
              <w:left w:val="single" w:sz="2" w:space="0" w:color="auto"/>
              <w:bottom w:val="single" w:sz="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3</w:t>
            </w:r>
          </w:p>
        </w:tc>
        <w:tc>
          <w:tcPr>
            <w:tcW w:w="490" w:type="dxa"/>
            <w:tcBorders>
              <w:top w:val="single" w:sz="12" w:space="0" w:color="auto"/>
              <w:left w:val="single" w:sz="2" w:space="0" w:color="auto"/>
              <w:bottom w:val="single" w:sz="2" w:space="0" w:color="auto"/>
              <w:right w:val="single" w:sz="12" w:space="0" w:color="auto"/>
            </w:tcBorders>
            <w:shd w:val="clear" w:color="auto" w:fill="auto"/>
          </w:tcPr>
          <w:p w:rsidR="00223419" w:rsidRPr="00342390" w:rsidRDefault="00D666A0" w:rsidP="00FA3D98">
            <w:pPr>
              <w:spacing w:after="0" w:line="240" w:lineRule="auto"/>
              <w:ind w:firstLine="0"/>
              <w:jc w:val="center"/>
              <w:rPr>
                <w:sz w:val="18"/>
                <w:szCs w:val="18"/>
              </w:rPr>
            </w:pPr>
            <w:r w:rsidRPr="00342390">
              <w:rPr>
                <w:sz w:val="18"/>
                <w:szCs w:val="18"/>
              </w:rPr>
              <w:t>2</w:t>
            </w:r>
          </w:p>
        </w:tc>
        <w:tc>
          <w:tcPr>
            <w:tcW w:w="490" w:type="dxa"/>
            <w:tcBorders>
              <w:top w:val="single" w:sz="1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2</w:t>
            </w:r>
          </w:p>
        </w:tc>
        <w:tc>
          <w:tcPr>
            <w:tcW w:w="490" w:type="dxa"/>
            <w:tcBorders>
              <w:top w:val="single" w:sz="1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1</w:t>
            </w:r>
          </w:p>
        </w:tc>
        <w:tc>
          <w:tcPr>
            <w:tcW w:w="490" w:type="dxa"/>
            <w:tcBorders>
              <w:top w:val="single" w:sz="1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2</w:t>
            </w:r>
          </w:p>
        </w:tc>
        <w:tc>
          <w:tcPr>
            <w:tcW w:w="490" w:type="dxa"/>
            <w:tcBorders>
              <w:top w:val="single" w:sz="12" w:space="0" w:color="auto"/>
              <w:left w:val="single" w:sz="2" w:space="0" w:color="auto"/>
              <w:bottom w:val="single" w:sz="2" w:space="0" w:color="auto"/>
              <w:right w:val="single" w:sz="12" w:space="0" w:color="auto"/>
            </w:tcBorders>
            <w:shd w:val="clear" w:color="auto" w:fill="auto"/>
          </w:tcPr>
          <w:p w:rsidR="00223419" w:rsidRPr="00342390" w:rsidRDefault="00AD5274" w:rsidP="00FA3D98">
            <w:pPr>
              <w:spacing w:after="0" w:line="240" w:lineRule="auto"/>
              <w:ind w:firstLine="0"/>
              <w:jc w:val="center"/>
              <w:rPr>
                <w:sz w:val="18"/>
                <w:szCs w:val="18"/>
              </w:rPr>
            </w:pPr>
            <w:r w:rsidRPr="00342390">
              <w:rPr>
                <w:sz w:val="18"/>
                <w:szCs w:val="18"/>
              </w:rPr>
              <w:t>2</w:t>
            </w:r>
          </w:p>
        </w:tc>
        <w:tc>
          <w:tcPr>
            <w:tcW w:w="1058" w:type="dxa"/>
            <w:tcBorders>
              <w:top w:val="single" w:sz="12" w:space="0" w:color="auto"/>
              <w:left w:val="single" w:sz="12" w:space="0" w:color="auto"/>
              <w:bottom w:val="single" w:sz="2" w:space="0" w:color="auto"/>
            </w:tcBorders>
            <w:shd w:val="clear" w:color="auto" w:fill="D9D9D9" w:themeFill="background1" w:themeFillShade="D9"/>
          </w:tcPr>
          <w:p w:rsidR="00223419" w:rsidRPr="00342390" w:rsidRDefault="003E2904" w:rsidP="00FA3D98">
            <w:pPr>
              <w:spacing w:after="0" w:line="240" w:lineRule="auto"/>
              <w:ind w:firstLine="0"/>
              <w:jc w:val="center"/>
              <w:rPr>
                <w:b/>
                <w:sz w:val="18"/>
                <w:szCs w:val="18"/>
              </w:rPr>
            </w:pPr>
            <w:r w:rsidRPr="00342390">
              <w:rPr>
                <w:b/>
                <w:sz w:val="18"/>
                <w:szCs w:val="18"/>
              </w:rPr>
              <w:t>2</w:t>
            </w:r>
          </w:p>
        </w:tc>
        <w:tc>
          <w:tcPr>
            <w:tcW w:w="1080" w:type="dxa"/>
            <w:tcBorders>
              <w:top w:val="single" w:sz="12" w:space="0" w:color="auto"/>
              <w:left w:val="single" w:sz="12" w:space="0" w:color="auto"/>
              <w:bottom w:val="single" w:sz="2" w:space="0" w:color="auto"/>
            </w:tcBorders>
            <w:shd w:val="clear" w:color="auto" w:fill="auto"/>
          </w:tcPr>
          <w:p w:rsidR="00223419" w:rsidRPr="00525AD0" w:rsidRDefault="00952521" w:rsidP="00FA3D98">
            <w:pPr>
              <w:spacing w:after="0" w:line="240" w:lineRule="auto"/>
              <w:ind w:firstLine="0"/>
              <w:jc w:val="center"/>
              <w:rPr>
                <w:b/>
                <w:sz w:val="18"/>
                <w:szCs w:val="18"/>
              </w:rPr>
            </w:pPr>
            <w:r w:rsidRPr="00525AD0">
              <w:rPr>
                <w:b/>
                <w:sz w:val="18"/>
                <w:szCs w:val="18"/>
              </w:rPr>
              <w:t>5</w:t>
            </w:r>
          </w:p>
        </w:tc>
      </w:tr>
      <w:tr w:rsidR="00223419" w:rsidRPr="00342390" w:rsidTr="009730A3">
        <w:tc>
          <w:tcPr>
            <w:tcW w:w="3348" w:type="dxa"/>
            <w:tcBorders>
              <w:top w:val="single" w:sz="2" w:space="0" w:color="auto"/>
              <w:bottom w:val="single" w:sz="2" w:space="0" w:color="auto"/>
              <w:right w:val="single" w:sz="12" w:space="0" w:color="auto"/>
            </w:tcBorders>
            <w:shd w:val="clear" w:color="auto" w:fill="D9D9D9" w:themeFill="background1" w:themeFillShade="D9"/>
          </w:tcPr>
          <w:p w:rsidR="00223419" w:rsidRPr="00342390" w:rsidRDefault="00952521" w:rsidP="0080048E">
            <w:pPr>
              <w:spacing w:after="0" w:line="240" w:lineRule="auto"/>
              <w:ind w:firstLine="0"/>
              <w:jc w:val="left"/>
              <w:rPr>
                <w:i/>
                <w:sz w:val="18"/>
                <w:szCs w:val="18"/>
              </w:rPr>
            </w:pPr>
            <w:r w:rsidRPr="00342390">
              <w:rPr>
                <w:i/>
                <w:sz w:val="18"/>
                <w:szCs w:val="18"/>
              </w:rPr>
              <w:t>Motyvacija</w:t>
            </w:r>
            <w:r w:rsidR="00960F10" w:rsidRPr="00342390">
              <w:rPr>
                <w:i/>
                <w:sz w:val="18"/>
                <w:szCs w:val="18"/>
              </w:rPr>
              <w:t xml:space="preserve"> (2)</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0A375F"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7606C2"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66A0"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AD5274" w:rsidP="00FA3D98">
            <w:pPr>
              <w:spacing w:after="0" w:line="240" w:lineRule="auto"/>
              <w:ind w:firstLine="0"/>
              <w:jc w:val="center"/>
              <w:rPr>
                <w:sz w:val="18"/>
                <w:szCs w:val="18"/>
              </w:rPr>
            </w:pPr>
            <w:r w:rsidRPr="00342390">
              <w:rPr>
                <w:sz w:val="18"/>
                <w:szCs w:val="18"/>
              </w:rPr>
              <w:t>3</w:t>
            </w:r>
          </w:p>
        </w:tc>
        <w:tc>
          <w:tcPr>
            <w:tcW w:w="1058" w:type="dxa"/>
            <w:tcBorders>
              <w:top w:val="single" w:sz="2" w:space="0" w:color="auto"/>
              <w:left w:val="single" w:sz="12" w:space="0" w:color="auto"/>
              <w:bottom w:val="single" w:sz="2" w:space="0" w:color="auto"/>
            </w:tcBorders>
            <w:shd w:val="clear" w:color="auto" w:fill="D9D9D9" w:themeFill="background1" w:themeFillShade="D9"/>
          </w:tcPr>
          <w:p w:rsidR="00223419" w:rsidRPr="00342390" w:rsidRDefault="003E2904" w:rsidP="00FA3D98">
            <w:pPr>
              <w:spacing w:after="0" w:line="240" w:lineRule="auto"/>
              <w:ind w:firstLine="0"/>
              <w:jc w:val="center"/>
              <w:rPr>
                <w:b/>
                <w:sz w:val="18"/>
                <w:szCs w:val="18"/>
              </w:rPr>
            </w:pPr>
            <w:r w:rsidRPr="00342390">
              <w:rPr>
                <w:b/>
                <w:sz w:val="18"/>
                <w:szCs w:val="18"/>
              </w:rPr>
              <w:t>2</w:t>
            </w:r>
          </w:p>
        </w:tc>
        <w:tc>
          <w:tcPr>
            <w:tcW w:w="1080" w:type="dxa"/>
            <w:tcBorders>
              <w:top w:val="single" w:sz="2" w:space="0" w:color="auto"/>
              <w:left w:val="single" w:sz="12" w:space="0" w:color="auto"/>
              <w:bottom w:val="single" w:sz="2" w:space="0" w:color="auto"/>
            </w:tcBorders>
            <w:shd w:val="clear" w:color="auto" w:fill="auto"/>
          </w:tcPr>
          <w:p w:rsidR="00223419" w:rsidRPr="00525AD0" w:rsidRDefault="00952521" w:rsidP="00FA3D98">
            <w:pPr>
              <w:spacing w:after="0" w:line="240" w:lineRule="auto"/>
              <w:ind w:firstLine="0"/>
              <w:jc w:val="center"/>
              <w:rPr>
                <w:b/>
                <w:sz w:val="18"/>
                <w:szCs w:val="18"/>
              </w:rPr>
            </w:pPr>
            <w:r w:rsidRPr="00525AD0">
              <w:rPr>
                <w:b/>
                <w:sz w:val="18"/>
                <w:szCs w:val="18"/>
              </w:rPr>
              <w:t>5</w:t>
            </w:r>
          </w:p>
        </w:tc>
      </w:tr>
      <w:tr w:rsidR="00223419" w:rsidRPr="00342390" w:rsidTr="009730A3">
        <w:tc>
          <w:tcPr>
            <w:tcW w:w="3348" w:type="dxa"/>
            <w:tcBorders>
              <w:top w:val="single" w:sz="2" w:space="0" w:color="auto"/>
              <w:bottom w:val="single" w:sz="2" w:space="0" w:color="auto"/>
              <w:right w:val="single" w:sz="12" w:space="0" w:color="auto"/>
            </w:tcBorders>
            <w:shd w:val="clear" w:color="auto" w:fill="D9D9D9" w:themeFill="background1" w:themeFillShade="D9"/>
          </w:tcPr>
          <w:p w:rsidR="00223419" w:rsidRPr="00342390" w:rsidRDefault="00952521" w:rsidP="0080048E">
            <w:pPr>
              <w:spacing w:after="0" w:line="240" w:lineRule="auto"/>
              <w:ind w:firstLine="0"/>
              <w:jc w:val="left"/>
              <w:rPr>
                <w:i/>
                <w:sz w:val="18"/>
                <w:szCs w:val="18"/>
              </w:rPr>
            </w:pPr>
            <w:r w:rsidRPr="00342390">
              <w:rPr>
                <w:i/>
                <w:sz w:val="18"/>
                <w:szCs w:val="18"/>
              </w:rPr>
              <w:t>Prioritetai</w:t>
            </w:r>
            <w:r w:rsidR="00960F10" w:rsidRPr="00342390">
              <w:rPr>
                <w:i/>
                <w:sz w:val="18"/>
                <w:szCs w:val="18"/>
              </w:rPr>
              <w:t xml:space="preserve"> (3)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0A375F"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7606C2"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4</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66A0"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4</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AD5274" w:rsidP="00FA3D98">
            <w:pPr>
              <w:spacing w:after="0" w:line="240" w:lineRule="auto"/>
              <w:ind w:firstLine="0"/>
              <w:jc w:val="center"/>
              <w:rPr>
                <w:sz w:val="18"/>
                <w:szCs w:val="18"/>
              </w:rPr>
            </w:pPr>
            <w:r w:rsidRPr="00342390">
              <w:rPr>
                <w:sz w:val="18"/>
                <w:szCs w:val="18"/>
              </w:rPr>
              <w:t>2</w:t>
            </w:r>
          </w:p>
        </w:tc>
        <w:tc>
          <w:tcPr>
            <w:tcW w:w="1058" w:type="dxa"/>
            <w:tcBorders>
              <w:top w:val="single" w:sz="2" w:space="0" w:color="auto"/>
              <w:left w:val="single" w:sz="12" w:space="0" w:color="auto"/>
              <w:bottom w:val="single" w:sz="2" w:space="0" w:color="auto"/>
            </w:tcBorders>
            <w:shd w:val="clear" w:color="auto" w:fill="D9D9D9" w:themeFill="background1" w:themeFillShade="D9"/>
          </w:tcPr>
          <w:p w:rsidR="00223419" w:rsidRPr="00342390" w:rsidRDefault="003E2904" w:rsidP="00FA3D98">
            <w:pPr>
              <w:spacing w:after="0" w:line="240" w:lineRule="auto"/>
              <w:ind w:firstLine="0"/>
              <w:jc w:val="center"/>
              <w:rPr>
                <w:b/>
                <w:sz w:val="18"/>
                <w:szCs w:val="18"/>
              </w:rPr>
            </w:pPr>
            <w:r w:rsidRPr="00342390">
              <w:rPr>
                <w:b/>
                <w:sz w:val="18"/>
                <w:szCs w:val="18"/>
              </w:rPr>
              <w:t>3</w:t>
            </w:r>
          </w:p>
        </w:tc>
        <w:tc>
          <w:tcPr>
            <w:tcW w:w="1080" w:type="dxa"/>
            <w:tcBorders>
              <w:top w:val="single" w:sz="2" w:space="0" w:color="auto"/>
              <w:left w:val="single" w:sz="12" w:space="0" w:color="auto"/>
              <w:bottom w:val="single" w:sz="2" w:space="0" w:color="auto"/>
            </w:tcBorders>
            <w:shd w:val="clear" w:color="auto" w:fill="auto"/>
          </w:tcPr>
          <w:p w:rsidR="00223419" w:rsidRPr="00525AD0" w:rsidRDefault="00952521" w:rsidP="00FA3D98">
            <w:pPr>
              <w:spacing w:after="0" w:line="240" w:lineRule="auto"/>
              <w:ind w:firstLine="0"/>
              <w:jc w:val="center"/>
              <w:rPr>
                <w:b/>
                <w:sz w:val="18"/>
                <w:szCs w:val="18"/>
              </w:rPr>
            </w:pPr>
            <w:r w:rsidRPr="00525AD0">
              <w:rPr>
                <w:b/>
                <w:sz w:val="18"/>
                <w:szCs w:val="18"/>
              </w:rPr>
              <w:t>5</w:t>
            </w:r>
          </w:p>
        </w:tc>
      </w:tr>
      <w:tr w:rsidR="00223419" w:rsidRPr="00342390" w:rsidTr="009730A3">
        <w:tc>
          <w:tcPr>
            <w:tcW w:w="3348" w:type="dxa"/>
            <w:tcBorders>
              <w:top w:val="single" w:sz="2" w:space="0" w:color="auto"/>
              <w:bottom w:val="single" w:sz="2" w:space="0" w:color="auto"/>
              <w:right w:val="single" w:sz="12" w:space="0" w:color="auto"/>
            </w:tcBorders>
            <w:shd w:val="clear" w:color="auto" w:fill="D9D9D9" w:themeFill="background1" w:themeFillShade="D9"/>
          </w:tcPr>
          <w:p w:rsidR="00223419" w:rsidRPr="00342390" w:rsidRDefault="007E5A27" w:rsidP="0080048E">
            <w:pPr>
              <w:spacing w:after="0" w:line="240" w:lineRule="auto"/>
              <w:ind w:firstLine="0"/>
              <w:jc w:val="left"/>
              <w:rPr>
                <w:i/>
                <w:sz w:val="18"/>
                <w:szCs w:val="18"/>
              </w:rPr>
            </w:pPr>
            <w:r w:rsidRPr="00342390">
              <w:rPr>
                <w:i/>
                <w:sz w:val="18"/>
                <w:szCs w:val="18"/>
              </w:rPr>
              <w:t>Išsilavinimas</w:t>
            </w:r>
            <w:r w:rsidR="00960F10" w:rsidRPr="00342390">
              <w:rPr>
                <w:i/>
                <w:sz w:val="18"/>
                <w:szCs w:val="18"/>
              </w:rPr>
              <w:t xml:space="preserve"> (4)</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0A375F"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7606C2"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66A0"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AD5274" w:rsidP="00FA3D98">
            <w:pPr>
              <w:spacing w:after="0" w:line="240" w:lineRule="auto"/>
              <w:ind w:firstLine="0"/>
              <w:jc w:val="center"/>
              <w:rPr>
                <w:sz w:val="18"/>
                <w:szCs w:val="18"/>
              </w:rPr>
            </w:pPr>
            <w:r w:rsidRPr="00342390">
              <w:rPr>
                <w:sz w:val="18"/>
                <w:szCs w:val="18"/>
              </w:rPr>
              <w:t>3</w:t>
            </w:r>
          </w:p>
        </w:tc>
        <w:tc>
          <w:tcPr>
            <w:tcW w:w="1058" w:type="dxa"/>
            <w:tcBorders>
              <w:top w:val="single" w:sz="2" w:space="0" w:color="auto"/>
              <w:left w:val="single" w:sz="12" w:space="0" w:color="auto"/>
              <w:bottom w:val="single" w:sz="2" w:space="0" w:color="auto"/>
            </w:tcBorders>
            <w:shd w:val="clear" w:color="auto" w:fill="D9D9D9" w:themeFill="background1" w:themeFillShade="D9"/>
          </w:tcPr>
          <w:p w:rsidR="00223419" w:rsidRPr="00342390" w:rsidRDefault="003E2904" w:rsidP="00FA3D98">
            <w:pPr>
              <w:spacing w:after="0" w:line="240" w:lineRule="auto"/>
              <w:ind w:firstLine="0"/>
              <w:jc w:val="center"/>
              <w:rPr>
                <w:b/>
                <w:sz w:val="18"/>
                <w:szCs w:val="18"/>
              </w:rPr>
            </w:pPr>
            <w:r w:rsidRPr="00342390">
              <w:rPr>
                <w:b/>
                <w:sz w:val="18"/>
                <w:szCs w:val="18"/>
              </w:rPr>
              <w:t>3</w:t>
            </w:r>
          </w:p>
        </w:tc>
        <w:tc>
          <w:tcPr>
            <w:tcW w:w="1080" w:type="dxa"/>
            <w:tcBorders>
              <w:top w:val="single" w:sz="2" w:space="0" w:color="auto"/>
              <w:left w:val="single" w:sz="12" w:space="0" w:color="auto"/>
              <w:bottom w:val="single" w:sz="2" w:space="0" w:color="auto"/>
            </w:tcBorders>
            <w:shd w:val="clear" w:color="auto" w:fill="auto"/>
          </w:tcPr>
          <w:p w:rsidR="00223419" w:rsidRPr="00525AD0" w:rsidRDefault="00952521" w:rsidP="00FA3D98">
            <w:pPr>
              <w:spacing w:after="0" w:line="240" w:lineRule="auto"/>
              <w:ind w:firstLine="0"/>
              <w:jc w:val="center"/>
              <w:rPr>
                <w:b/>
                <w:sz w:val="18"/>
                <w:szCs w:val="18"/>
              </w:rPr>
            </w:pPr>
            <w:r w:rsidRPr="00525AD0">
              <w:rPr>
                <w:b/>
                <w:sz w:val="18"/>
                <w:szCs w:val="18"/>
              </w:rPr>
              <w:t>5</w:t>
            </w:r>
          </w:p>
        </w:tc>
      </w:tr>
      <w:tr w:rsidR="00223419" w:rsidRPr="00342390" w:rsidTr="009730A3">
        <w:tc>
          <w:tcPr>
            <w:tcW w:w="3348" w:type="dxa"/>
            <w:tcBorders>
              <w:top w:val="single" w:sz="2" w:space="0" w:color="auto"/>
              <w:bottom w:val="single" w:sz="2" w:space="0" w:color="auto"/>
              <w:right w:val="single" w:sz="12" w:space="0" w:color="auto"/>
            </w:tcBorders>
            <w:shd w:val="clear" w:color="auto" w:fill="D9D9D9" w:themeFill="background1" w:themeFillShade="D9"/>
          </w:tcPr>
          <w:p w:rsidR="00223419" w:rsidRPr="00342390" w:rsidRDefault="007E5A27" w:rsidP="0080048E">
            <w:pPr>
              <w:spacing w:after="0" w:line="240" w:lineRule="auto"/>
              <w:ind w:firstLine="0"/>
              <w:jc w:val="left"/>
              <w:rPr>
                <w:i/>
                <w:sz w:val="18"/>
                <w:szCs w:val="18"/>
              </w:rPr>
            </w:pPr>
            <w:r w:rsidRPr="00342390">
              <w:rPr>
                <w:i/>
                <w:sz w:val="18"/>
                <w:szCs w:val="18"/>
              </w:rPr>
              <w:t>Skurdo „spąstai“</w:t>
            </w:r>
            <w:r w:rsidR="00960F10" w:rsidRPr="00342390">
              <w:rPr>
                <w:i/>
                <w:sz w:val="18"/>
                <w:szCs w:val="18"/>
              </w:rPr>
              <w:t xml:space="preserve"> (5)</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0A375F"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7606C2"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66A0"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66A0"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4</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AD5274" w:rsidP="00FA3D98">
            <w:pPr>
              <w:spacing w:after="0" w:line="240" w:lineRule="auto"/>
              <w:ind w:firstLine="0"/>
              <w:jc w:val="center"/>
              <w:rPr>
                <w:sz w:val="18"/>
                <w:szCs w:val="18"/>
              </w:rPr>
            </w:pPr>
            <w:r w:rsidRPr="00342390">
              <w:rPr>
                <w:sz w:val="18"/>
                <w:szCs w:val="18"/>
              </w:rPr>
              <w:t>1</w:t>
            </w:r>
          </w:p>
        </w:tc>
        <w:tc>
          <w:tcPr>
            <w:tcW w:w="1058" w:type="dxa"/>
            <w:tcBorders>
              <w:top w:val="single" w:sz="2" w:space="0" w:color="auto"/>
              <w:left w:val="single" w:sz="12" w:space="0" w:color="auto"/>
              <w:bottom w:val="single" w:sz="2" w:space="0" w:color="auto"/>
            </w:tcBorders>
            <w:shd w:val="clear" w:color="auto" w:fill="D9D9D9" w:themeFill="background1" w:themeFillShade="D9"/>
          </w:tcPr>
          <w:p w:rsidR="00223419" w:rsidRPr="00342390" w:rsidRDefault="003E2904" w:rsidP="00FA3D98">
            <w:pPr>
              <w:spacing w:after="0" w:line="240" w:lineRule="auto"/>
              <w:ind w:firstLine="0"/>
              <w:jc w:val="center"/>
              <w:rPr>
                <w:b/>
                <w:sz w:val="18"/>
                <w:szCs w:val="18"/>
              </w:rPr>
            </w:pPr>
            <w:r w:rsidRPr="00342390">
              <w:rPr>
                <w:b/>
                <w:sz w:val="18"/>
                <w:szCs w:val="18"/>
              </w:rPr>
              <w:t>1</w:t>
            </w:r>
          </w:p>
        </w:tc>
        <w:tc>
          <w:tcPr>
            <w:tcW w:w="1080" w:type="dxa"/>
            <w:tcBorders>
              <w:top w:val="single" w:sz="2" w:space="0" w:color="auto"/>
              <w:left w:val="single" w:sz="12" w:space="0" w:color="auto"/>
              <w:bottom w:val="single" w:sz="2" w:space="0" w:color="auto"/>
            </w:tcBorders>
            <w:shd w:val="clear" w:color="auto" w:fill="auto"/>
          </w:tcPr>
          <w:p w:rsidR="00223419" w:rsidRPr="00525AD0" w:rsidRDefault="00952521" w:rsidP="00FA3D98">
            <w:pPr>
              <w:spacing w:after="0" w:line="240" w:lineRule="auto"/>
              <w:ind w:firstLine="0"/>
              <w:jc w:val="center"/>
              <w:rPr>
                <w:b/>
                <w:sz w:val="18"/>
                <w:szCs w:val="18"/>
              </w:rPr>
            </w:pPr>
            <w:r w:rsidRPr="00525AD0">
              <w:rPr>
                <w:b/>
                <w:sz w:val="18"/>
                <w:szCs w:val="18"/>
              </w:rPr>
              <w:t>5</w:t>
            </w:r>
          </w:p>
        </w:tc>
      </w:tr>
      <w:tr w:rsidR="00223419" w:rsidRPr="00342390" w:rsidTr="009730A3">
        <w:tc>
          <w:tcPr>
            <w:tcW w:w="3348" w:type="dxa"/>
            <w:tcBorders>
              <w:top w:val="single" w:sz="2" w:space="0" w:color="auto"/>
              <w:bottom w:val="single" w:sz="2" w:space="0" w:color="auto"/>
              <w:right w:val="single" w:sz="12" w:space="0" w:color="auto"/>
            </w:tcBorders>
            <w:shd w:val="clear" w:color="auto" w:fill="D9D9D9" w:themeFill="background1" w:themeFillShade="D9"/>
          </w:tcPr>
          <w:p w:rsidR="00223419" w:rsidRPr="00342390" w:rsidRDefault="00A5021D" w:rsidP="0080048E">
            <w:pPr>
              <w:spacing w:after="0" w:line="240" w:lineRule="auto"/>
              <w:ind w:firstLine="0"/>
              <w:jc w:val="left"/>
              <w:rPr>
                <w:i/>
                <w:sz w:val="18"/>
                <w:szCs w:val="18"/>
              </w:rPr>
            </w:pPr>
            <w:r w:rsidRPr="00342390">
              <w:rPr>
                <w:i/>
                <w:sz w:val="18"/>
                <w:szCs w:val="18"/>
              </w:rPr>
              <w:t>Neoficialiosios pajamos</w:t>
            </w:r>
            <w:r w:rsidR="00960F10" w:rsidRPr="00342390">
              <w:rPr>
                <w:i/>
                <w:sz w:val="18"/>
                <w:szCs w:val="18"/>
              </w:rPr>
              <w:t xml:space="preserve"> (6)</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0A375F"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7606C2"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870388" w:rsidP="00FA3D98">
            <w:pPr>
              <w:spacing w:after="0" w:line="240" w:lineRule="auto"/>
              <w:ind w:firstLine="0"/>
              <w:jc w:val="center"/>
              <w:rPr>
                <w:sz w:val="18"/>
                <w:szCs w:val="18"/>
              </w:rPr>
            </w:pPr>
            <w:r>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66A0"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66A0"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AD5274" w:rsidP="00FA3D98">
            <w:pPr>
              <w:spacing w:after="0" w:line="240" w:lineRule="auto"/>
              <w:ind w:firstLine="0"/>
              <w:jc w:val="center"/>
              <w:rPr>
                <w:sz w:val="18"/>
                <w:szCs w:val="18"/>
              </w:rPr>
            </w:pPr>
            <w:r w:rsidRPr="00342390">
              <w:rPr>
                <w:sz w:val="18"/>
                <w:szCs w:val="18"/>
              </w:rPr>
              <w:t>2</w:t>
            </w:r>
          </w:p>
        </w:tc>
        <w:tc>
          <w:tcPr>
            <w:tcW w:w="1058" w:type="dxa"/>
            <w:tcBorders>
              <w:top w:val="single" w:sz="2" w:space="0" w:color="auto"/>
              <w:left w:val="single" w:sz="12" w:space="0" w:color="auto"/>
              <w:bottom w:val="single" w:sz="2" w:space="0" w:color="auto"/>
            </w:tcBorders>
            <w:shd w:val="clear" w:color="auto" w:fill="D9D9D9" w:themeFill="background1" w:themeFillShade="D9"/>
          </w:tcPr>
          <w:p w:rsidR="00223419" w:rsidRPr="00342390" w:rsidRDefault="003E2904" w:rsidP="00FA3D98">
            <w:pPr>
              <w:spacing w:after="0" w:line="240" w:lineRule="auto"/>
              <w:ind w:firstLine="0"/>
              <w:jc w:val="center"/>
              <w:rPr>
                <w:b/>
                <w:sz w:val="18"/>
                <w:szCs w:val="18"/>
              </w:rPr>
            </w:pPr>
            <w:r w:rsidRPr="00342390">
              <w:rPr>
                <w:b/>
                <w:sz w:val="18"/>
                <w:szCs w:val="18"/>
              </w:rPr>
              <w:t>1</w:t>
            </w:r>
          </w:p>
        </w:tc>
        <w:tc>
          <w:tcPr>
            <w:tcW w:w="1080" w:type="dxa"/>
            <w:tcBorders>
              <w:top w:val="single" w:sz="2" w:space="0" w:color="auto"/>
              <w:left w:val="single" w:sz="12" w:space="0" w:color="auto"/>
              <w:bottom w:val="single" w:sz="2" w:space="0" w:color="auto"/>
            </w:tcBorders>
            <w:shd w:val="clear" w:color="auto" w:fill="auto"/>
          </w:tcPr>
          <w:p w:rsidR="00223419" w:rsidRPr="00525AD0" w:rsidRDefault="00952521" w:rsidP="00FA3D98">
            <w:pPr>
              <w:spacing w:after="0" w:line="240" w:lineRule="auto"/>
              <w:ind w:firstLine="0"/>
              <w:jc w:val="center"/>
              <w:rPr>
                <w:b/>
                <w:sz w:val="18"/>
                <w:szCs w:val="18"/>
              </w:rPr>
            </w:pPr>
            <w:r w:rsidRPr="00525AD0">
              <w:rPr>
                <w:b/>
                <w:sz w:val="18"/>
                <w:szCs w:val="18"/>
              </w:rPr>
              <w:t>5</w:t>
            </w:r>
          </w:p>
        </w:tc>
      </w:tr>
      <w:tr w:rsidR="00223419" w:rsidRPr="00342390" w:rsidTr="009730A3">
        <w:tc>
          <w:tcPr>
            <w:tcW w:w="3348" w:type="dxa"/>
            <w:tcBorders>
              <w:top w:val="single" w:sz="2" w:space="0" w:color="auto"/>
              <w:bottom w:val="single" w:sz="2" w:space="0" w:color="auto"/>
              <w:right w:val="single" w:sz="12" w:space="0" w:color="auto"/>
            </w:tcBorders>
            <w:shd w:val="clear" w:color="auto" w:fill="D9D9D9" w:themeFill="background1" w:themeFillShade="D9"/>
          </w:tcPr>
          <w:p w:rsidR="00223419" w:rsidRPr="00342390" w:rsidRDefault="00A5021D" w:rsidP="0080048E">
            <w:pPr>
              <w:spacing w:after="0" w:line="240" w:lineRule="auto"/>
              <w:ind w:firstLine="0"/>
              <w:jc w:val="left"/>
              <w:rPr>
                <w:i/>
                <w:sz w:val="18"/>
                <w:szCs w:val="18"/>
              </w:rPr>
            </w:pPr>
            <w:r w:rsidRPr="00342390">
              <w:rPr>
                <w:i/>
                <w:sz w:val="18"/>
                <w:szCs w:val="18"/>
              </w:rPr>
              <w:t>Pareigos</w:t>
            </w:r>
            <w:r w:rsidR="00960F10" w:rsidRPr="00342390">
              <w:rPr>
                <w:i/>
                <w:sz w:val="18"/>
                <w:szCs w:val="18"/>
              </w:rPr>
              <w:t xml:space="preserve"> (7)</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0A375F"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7606C2"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66A0"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66A0"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4</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165F97"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0D0C23"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AD5274" w:rsidP="00FA3D98">
            <w:pPr>
              <w:spacing w:after="0" w:line="240" w:lineRule="auto"/>
              <w:ind w:firstLine="0"/>
              <w:jc w:val="center"/>
              <w:rPr>
                <w:sz w:val="18"/>
                <w:szCs w:val="18"/>
              </w:rPr>
            </w:pPr>
            <w:r w:rsidRPr="00342390">
              <w:rPr>
                <w:sz w:val="18"/>
                <w:szCs w:val="18"/>
              </w:rPr>
              <w:t>3</w:t>
            </w:r>
          </w:p>
        </w:tc>
        <w:tc>
          <w:tcPr>
            <w:tcW w:w="1058" w:type="dxa"/>
            <w:tcBorders>
              <w:top w:val="single" w:sz="2" w:space="0" w:color="auto"/>
              <w:left w:val="single" w:sz="12" w:space="0" w:color="auto"/>
              <w:bottom w:val="single" w:sz="2" w:space="0" w:color="auto"/>
            </w:tcBorders>
            <w:shd w:val="clear" w:color="auto" w:fill="D9D9D9" w:themeFill="background1" w:themeFillShade="D9"/>
          </w:tcPr>
          <w:p w:rsidR="00223419" w:rsidRPr="00342390" w:rsidRDefault="003E2904" w:rsidP="00FA3D98">
            <w:pPr>
              <w:spacing w:after="0" w:line="240" w:lineRule="auto"/>
              <w:ind w:firstLine="0"/>
              <w:jc w:val="center"/>
              <w:rPr>
                <w:b/>
                <w:sz w:val="18"/>
                <w:szCs w:val="18"/>
              </w:rPr>
            </w:pPr>
            <w:r w:rsidRPr="00342390">
              <w:rPr>
                <w:b/>
                <w:sz w:val="18"/>
                <w:szCs w:val="18"/>
              </w:rPr>
              <w:t>3</w:t>
            </w:r>
          </w:p>
        </w:tc>
        <w:tc>
          <w:tcPr>
            <w:tcW w:w="1080" w:type="dxa"/>
            <w:tcBorders>
              <w:top w:val="single" w:sz="2" w:space="0" w:color="auto"/>
              <w:left w:val="single" w:sz="12" w:space="0" w:color="auto"/>
              <w:bottom w:val="single" w:sz="2" w:space="0" w:color="auto"/>
            </w:tcBorders>
            <w:shd w:val="clear" w:color="auto" w:fill="auto"/>
          </w:tcPr>
          <w:p w:rsidR="00223419" w:rsidRPr="00525AD0" w:rsidRDefault="00952521" w:rsidP="00FA3D98">
            <w:pPr>
              <w:spacing w:after="0" w:line="240" w:lineRule="auto"/>
              <w:ind w:firstLine="0"/>
              <w:jc w:val="center"/>
              <w:rPr>
                <w:b/>
                <w:sz w:val="18"/>
                <w:szCs w:val="18"/>
              </w:rPr>
            </w:pPr>
            <w:r w:rsidRPr="00525AD0">
              <w:rPr>
                <w:b/>
                <w:sz w:val="18"/>
                <w:szCs w:val="18"/>
              </w:rPr>
              <w:t>5</w:t>
            </w:r>
          </w:p>
        </w:tc>
      </w:tr>
      <w:tr w:rsidR="007E5A27" w:rsidRPr="00342390" w:rsidTr="009730A3">
        <w:tc>
          <w:tcPr>
            <w:tcW w:w="3348" w:type="dxa"/>
            <w:tcBorders>
              <w:top w:val="single" w:sz="2" w:space="0" w:color="auto"/>
              <w:bottom w:val="single" w:sz="2" w:space="0" w:color="auto"/>
              <w:right w:val="single" w:sz="12" w:space="0" w:color="auto"/>
            </w:tcBorders>
            <w:shd w:val="clear" w:color="auto" w:fill="D9D9D9" w:themeFill="background1" w:themeFillShade="D9"/>
          </w:tcPr>
          <w:p w:rsidR="007E5A27" w:rsidRPr="00342390" w:rsidRDefault="00A5021D" w:rsidP="0080048E">
            <w:pPr>
              <w:spacing w:after="0" w:line="240" w:lineRule="auto"/>
              <w:ind w:firstLine="0"/>
              <w:jc w:val="left"/>
              <w:rPr>
                <w:i/>
                <w:sz w:val="18"/>
                <w:szCs w:val="18"/>
              </w:rPr>
            </w:pPr>
            <w:r w:rsidRPr="00342390">
              <w:rPr>
                <w:i/>
                <w:sz w:val="18"/>
                <w:szCs w:val="18"/>
              </w:rPr>
              <w:t>Įstatymai</w:t>
            </w:r>
            <w:r w:rsidR="00960F10" w:rsidRPr="00342390">
              <w:rPr>
                <w:i/>
                <w:sz w:val="18"/>
                <w:szCs w:val="18"/>
              </w:rPr>
              <w:t xml:space="preserve"> (8)</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7E5A27" w:rsidRPr="00342390" w:rsidRDefault="000A375F" w:rsidP="00FA3D98">
            <w:pPr>
              <w:spacing w:after="0" w:line="240" w:lineRule="auto"/>
              <w:ind w:firstLine="0"/>
              <w:jc w:val="center"/>
              <w:rPr>
                <w:sz w:val="18"/>
                <w:szCs w:val="18"/>
              </w:rPr>
            </w:pPr>
            <w:r w:rsidRPr="00342390">
              <w:rPr>
                <w:sz w:val="18"/>
                <w:szCs w:val="18"/>
              </w:rPr>
              <w:t>5</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7E5A27" w:rsidRPr="00342390" w:rsidRDefault="007606C2"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7E5A27" w:rsidRPr="00342390" w:rsidRDefault="00D67C9C"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7E5A27" w:rsidRPr="00342390" w:rsidRDefault="003A234D"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7E5A27" w:rsidRPr="00342390" w:rsidRDefault="00D666A0" w:rsidP="00FA3D98">
            <w:pPr>
              <w:spacing w:after="0" w:line="240" w:lineRule="auto"/>
              <w:ind w:firstLine="0"/>
              <w:jc w:val="center"/>
              <w:rPr>
                <w:sz w:val="18"/>
                <w:szCs w:val="18"/>
              </w:rPr>
            </w:pPr>
            <w:r w:rsidRPr="00342390">
              <w:rPr>
                <w:sz w:val="18"/>
                <w:szCs w:val="18"/>
              </w:rPr>
              <w:t>4</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7E5A27" w:rsidRPr="00342390" w:rsidRDefault="00D666A0"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7E5A27" w:rsidRPr="00342390" w:rsidRDefault="005143AF" w:rsidP="00FA3D98">
            <w:pPr>
              <w:spacing w:after="0" w:line="240" w:lineRule="auto"/>
              <w:ind w:firstLine="0"/>
              <w:jc w:val="center"/>
              <w:rPr>
                <w:sz w:val="18"/>
                <w:szCs w:val="18"/>
              </w:rPr>
            </w:pPr>
            <w:r w:rsidRPr="00342390">
              <w:rPr>
                <w:sz w:val="18"/>
                <w:szCs w:val="18"/>
              </w:rPr>
              <w:t>4</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7E5A27" w:rsidRPr="00342390" w:rsidRDefault="005143AF" w:rsidP="00FA3D98">
            <w:pPr>
              <w:spacing w:after="0" w:line="240" w:lineRule="auto"/>
              <w:ind w:firstLine="0"/>
              <w:jc w:val="center"/>
              <w:rPr>
                <w:sz w:val="18"/>
                <w:szCs w:val="18"/>
              </w:rPr>
            </w:pPr>
            <w:r w:rsidRPr="00342390">
              <w:rPr>
                <w:sz w:val="18"/>
                <w:szCs w:val="18"/>
              </w:rPr>
              <w:t>4</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7E5A27" w:rsidRPr="00342390" w:rsidRDefault="005143AF"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7E5A27" w:rsidRPr="00342390" w:rsidRDefault="00AD5274" w:rsidP="00FA3D98">
            <w:pPr>
              <w:spacing w:after="0" w:line="240" w:lineRule="auto"/>
              <w:ind w:firstLine="0"/>
              <w:jc w:val="center"/>
              <w:rPr>
                <w:sz w:val="18"/>
                <w:szCs w:val="18"/>
              </w:rPr>
            </w:pPr>
            <w:r w:rsidRPr="00342390">
              <w:rPr>
                <w:sz w:val="18"/>
                <w:szCs w:val="18"/>
              </w:rPr>
              <w:t>2</w:t>
            </w:r>
          </w:p>
        </w:tc>
        <w:tc>
          <w:tcPr>
            <w:tcW w:w="1058" w:type="dxa"/>
            <w:tcBorders>
              <w:top w:val="single" w:sz="2" w:space="0" w:color="auto"/>
              <w:left w:val="single" w:sz="12" w:space="0" w:color="auto"/>
              <w:bottom w:val="single" w:sz="2" w:space="0" w:color="auto"/>
            </w:tcBorders>
            <w:shd w:val="clear" w:color="auto" w:fill="D9D9D9" w:themeFill="background1" w:themeFillShade="D9"/>
          </w:tcPr>
          <w:p w:rsidR="007E5A27" w:rsidRPr="00342390" w:rsidRDefault="003A234D" w:rsidP="00FA3D98">
            <w:pPr>
              <w:spacing w:after="0" w:line="240" w:lineRule="auto"/>
              <w:ind w:firstLine="0"/>
              <w:jc w:val="center"/>
              <w:rPr>
                <w:b/>
                <w:sz w:val="18"/>
                <w:szCs w:val="18"/>
              </w:rPr>
            </w:pPr>
            <w:r w:rsidRPr="00342390">
              <w:rPr>
                <w:b/>
                <w:sz w:val="18"/>
                <w:szCs w:val="18"/>
              </w:rPr>
              <w:t>2</w:t>
            </w:r>
          </w:p>
        </w:tc>
        <w:tc>
          <w:tcPr>
            <w:tcW w:w="1080" w:type="dxa"/>
            <w:tcBorders>
              <w:top w:val="single" w:sz="2" w:space="0" w:color="auto"/>
              <w:left w:val="single" w:sz="12" w:space="0" w:color="auto"/>
              <w:bottom w:val="single" w:sz="2" w:space="0" w:color="auto"/>
            </w:tcBorders>
            <w:shd w:val="clear" w:color="auto" w:fill="auto"/>
          </w:tcPr>
          <w:p w:rsidR="007E5A27" w:rsidRPr="00525AD0" w:rsidRDefault="00A5021D" w:rsidP="00FA3D98">
            <w:pPr>
              <w:spacing w:after="0" w:line="240" w:lineRule="auto"/>
              <w:ind w:firstLine="0"/>
              <w:jc w:val="center"/>
              <w:rPr>
                <w:b/>
                <w:sz w:val="18"/>
                <w:szCs w:val="18"/>
              </w:rPr>
            </w:pPr>
            <w:r w:rsidRPr="00525AD0">
              <w:rPr>
                <w:b/>
                <w:sz w:val="18"/>
                <w:szCs w:val="18"/>
              </w:rPr>
              <w:t>5</w:t>
            </w:r>
          </w:p>
        </w:tc>
      </w:tr>
      <w:tr w:rsidR="00223419" w:rsidRPr="00342390" w:rsidTr="009730A3">
        <w:tc>
          <w:tcPr>
            <w:tcW w:w="3348" w:type="dxa"/>
            <w:tcBorders>
              <w:top w:val="single" w:sz="2" w:space="0" w:color="auto"/>
              <w:bottom w:val="single" w:sz="2" w:space="0" w:color="auto"/>
              <w:right w:val="single" w:sz="12" w:space="0" w:color="auto"/>
            </w:tcBorders>
            <w:shd w:val="clear" w:color="auto" w:fill="D9D9D9" w:themeFill="background1" w:themeFillShade="D9"/>
          </w:tcPr>
          <w:p w:rsidR="00223419" w:rsidRPr="00342390" w:rsidRDefault="00A5021D" w:rsidP="0080048E">
            <w:pPr>
              <w:spacing w:after="0" w:line="240" w:lineRule="auto"/>
              <w:ind w:firstLine="0"/>
              <w:jc w:val="left"/>
              <w:rPr>
                <w:i/>
                <w:sz w:val="18"/>
                <w:szCs w:val="18"/>
              </w:rPr>
            </w:pPr>
            <w:r w:rsidRPr="00342390">
              <w:rPr>
                <w:i/>
                <w:sz w:val="18"/>
                <w:szCs w:val="18"/>
              </w:rPr>
              <w:t>Kliūtys</w:t>
            </w:r>
            <w:r w:rsidR="00960F10" w:rsidRPr="00342390">
              <w:rPr>
                <w:i/>
                <w:sz w:val="18"/>
                <w:szCs w:val="18"/>
              </w:rPr>
              <w:t xml:space="preserve"> (9)</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0A375F"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7606C2"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66A0"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D666A0"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4</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auto"/>
          </w:tcPr>
          <w:p w:rsidR="00223419" w:rsidRPr="00342390" w:rsidRDefault="00AD5274" w:rsidP="00FA3D98">
            <w:pPr>
              <w:spacing w:after="0" w:line="240" w:lineRule="auto"/>
              <w:ind w:firstLine="0"/>
              <w:jc w:val="center"/>
              <w:rPr>
                <w:sz w:val="18"/>
                <w:szCs w:val="18"/>
              </w:rPr>
            </w:pPr>
            <w:r w:rsidRPr="00342390">
              <w:rPr>
                <w:sz w:val="18"/>
                <w:szCs w:val="18"/>
              </w:rPr>
              <w:t>3</w:t>
            </w:r>
          </w:p>
        </w:tc>
        <w:tc>
          <w:tcPr>
            <w:tcW w:w="1058" w:type="dxa"/>
            <w:tcBorders>
              <w:top w:val="single" w:sz="2" w:space="0" w:color="auto"/>
              <w:left w:val="single" w:sz="12" w:space="0" w:color="auto"/>
              <w:bottom w:val="single" w:sz="2" w:space="0" w:color="auto"/>
            </w:tcBorders>
            <w:shd w:val="clear" w:color="auto" w:fill="D9D9D9" w:themeFill="background1" w:themeFillShade="D9"/>
          </w:tcPr>
          <w:p w:rsidR="00223419" w:rsidRPr="00342390" w:rsidRDefault="004C6FF8" w:rsidP="00FA3D98">
            <w:pPr>
              <w:spacing w:after="0" w:line="240" w:lineRule="auto"/>
              <w:ind w:firstLine="0"/>
              <w:jc w:val="center"/>
              <w:rPr>
                <w:b/>
                <w:sz w:val="18"/>
                <w:szCs w:val="18"/>
              </w:rPr>
            </w:pPr>
            <w:r w:rsidRPr="00342390">
              <w:rPr>
                <w:b/>
                <w:sz w:val="18"/>
                <w:szCs w:val="18"/>
              </w:rPr>
              <w:t>3</w:t>
            </w:r>
          </w:p>
        </w:tc>
        <w:tc>
          <w:tcPr>
            <w:tcW w:w="1080" w:type="dxa"/>
            <w:tcBorders>
              <w:top w:val="single" w:sz="2" w:space="0" w:color="auto"/>
              <w:left w:val="single" w:sz="12" w:space="0" w:color="auto"/>
              <w:bottom w:val="single" w:sz="2" w:space="0" w:color="auto"/>
            </w:tcBorders>
            <w:shd w:val="clear" w:color="auto" w:fill="auto"/>
          </w:tcPr>
          <w:p w:rsidR="00223419" w:rsidRPr="00525AD0" w:rsidRDefault="00952521" w:rsidP="00FA3D98">
            <w:pPr>
              <w:spacing w:after="0" w:line="240" w:lineRule="auto"/>
              <w:ind w:firstLine="0"/>
              <w:jc w:val="center"/>
              <w:rPr>
                <w:b/>
                <w:sz w:val="18"/>
                <w:szCs w:val="18"/>
              </w:rPr>
            </w:pPr>
            <w:r w:rsidRPr="00525AD0">
              <w:rPr>
                <w:b/>
                <w:sz w:val="18"/>
                <w:szCs w:val="18"/>
              </w:rPr>
              <w:t>5</w:t>
            </w:r>
          </w:p>
        </w:tc>
      </w:tr>
      <w:tr w:rsidR="00223419" w:rsidRPr="00342390" w:rsidTr="009730A3">
        <w:tc>
          <w:tcPr>
            <w:tcW w:w="3348" w:type="dxa"/>
            <w:tcBorders>
              <w:top w:val="single" w:sz="2" w:space="0" w:color="auto"/>
              <w:bottom w:val="single" w:sz="12" w:space="0" w:color="auto"/>
              <w:right w:val="single" w:sz="12" w:space="0" w:color="auto"/>
            </w:tcBorders>
            <w:shd w:val="clear" w:color="auto" w:fill="D9D9D9" w:themeFill="background1" w:themeFillShade="D9"/>
          </w:tcPr>
          <w:p w:rsidR="00223419" w:rsidRPr="00342390" w:rsidRDefault="00A5021D" w:rsidP="0080048E">
            <w:pPr>
              <w:spacing w:after="0" w:line="240" w:lineRule="auto"/>
              <w:ind w:firstLine="0"/>
              <w:jc w:val="left"/>
              <w:rPr>
                <w:i/>
                <w:sz w:val="18"/>
                <w:szCs w:val="18"/>
              </w:rPr>
            </w:pPr>
            <w:r w:rsidRPr="00342390">
              <w:rPr>
                <w:i/>
                <w:sz w:val="18"/>
                <w:szCs w:val="18"/>
              </w:rPr>
              <w:t>Laikas</w:t>
            </w:r>
            <w:r w:rsidR="00960F10" w:rsidRPr="00342390">
              <w:rPr>
                <w:i/>
                <w:sz w:val="18"/>
                <w:szCs w:val="18"/>
              </w:rPr>
              <w:t xml:space="preserve"> (10)</w:t>
            </w:r>
          </w:p>
        </w:tc>
        <w:tc>
          <w:tcPr>
            <w:tcW w:w="490" w:type="dxa"/>
            <w:tcBorders>
              <w:top w:val="single" w:sz="2" w:space="0" w:color="auto"/>
              <w:left w:val="single" w:sz="2" w:space="0" w:color="auto"/>
              <w:bottom w:val="single" w:sz="12" w:space="0" w:color="auto"/>
              <w:right w:val="single" w:sz="12" w:space="0" w:color="auto"/>
            </w:tcBorders>
            <w:shd w:val="clear" w:color="auto" w:fill="auto"/>
          </w:tcPr>
          <w:p w:rsidR="00223419" w:rsidRPr="00342390" w:rsidRDefault="000A375F"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12" w:space="0" w:color="auto"/>
              <w:right w:val="single" w:sz="12" w:space="0" w:color="auto"/>
            </w:tcBorders>
            <w:shd w:val="clear" w:color="auto" w:fill="auto"/>
          </w:tcPr>
          <w:p w:rsidR="00223419" w:rsidRPr="00342390" w:rsidRDefault="007606C2"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1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12" w:space="0" w:color="auto"/>
              <w:right w:val="single" w:sz="12" w:space="0" w:color="auto"/>
            </w:tcBorders>
            <w:shd w:val="clear" w:color="auto" w:fill="auto"/>
          </w:tcPr>
          <w:p w:rsidR="00223419" w:rsidRPr="00342390" w:rsidRDefault="00D67C9C"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12" w:space="0" w:color="auto"/>
              <w:right w:val="single" w:sz="12" w:space="0" w:color="auto"/>
            </w:tcBorders>
            <w:shd w:val="clear" w:color="auto" w:fill="auto"/>
          </w:tcPr>
          <w:p w:rsidR="00223419" w:rsidRPr="00342390" w:rsidRDefault="00D666A0"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12" w:space="0" w:color="auto"/>
              <w:right w:val="single" w:sz="12" w:space="0" w:color="auto"/>
            </w:tcBorders>
            <w:shd w:val="clear" w:color="auto" w:fill="auto"/>
          </w:tcPr>
          <w:p w:rsidR="00223419" w:rsidRPr="00342390" w:rsidRDefault="00D666A0"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1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3</w:t>
            </w:r>
          </w:p>
        </w:tc>
        <w:tc>
          <w:tcPr>
            <w:tcW w:w="490" w:type="dxa"/>
            <w:tcBorders>
              <w:top w:val="single" w:sz="2" w:space="0" w:color="auto"/>
              <w:left w:val="single" w:sz="2" w:space="0" w:color="auto"/>
              <w:bottom w:val="single" w:sz="12" w:space="0" w:color="auto"/>
              <w:right w:val="single" w:sz="12" w:space="0" w:color="auto"/>
            </w:tcBorders>
            <w:shd w:val="clear" w:color="auto" w:fill="auto"/>
          </w:tcPr>
          <w:p w:rsidR="00223419" w:rsidRPr="00342390" w:rsidRDefault="005143AF" w:rsidP="00FA3D98">
            <w:pPr>
              <w:spacing w:after="0" w:line="240" w:lineRule="auto"/>
              <w:ind w:firstLine="0"/>
              <w:jc w:val="center"/>
              <w:rPr>
                <w:sz w:val="18"/>
                <w:szCs w:val="18"/>
              </w:rPr>
            </w:pPr>
            <w:r w:rsidRPr="00342390">
              <w:rPr>
                <w:sz w:val="18"/>
                <w:szCs w:val="18"/>
              </w:rPr>
              <w:t>2</w:t>
            </w:r>
          </w:p>
        </w:tc>
        <w:tc>
          <w:tcPr>
            <w:tcW w:w="490" w:type="dxa"/>
            <w:tcBorders>
              <w:top w:val="single" w:sz="2" w:space="0" w:color="auto"/>
              <w:left w:val="single" w:sz="2" w:space="0" w:color="auto"/>
              <w:bottom w:val="single" w:sz="12" w:space="0" w:color="auto"/>
              <w:right w:val="single" w:sz="12" w:space="0" w:color="auto"/>
            </w:tcBorders>
            <w:shd w:val="clear" w:color="auto" w:fill="auto"/>
          </w:tcPr>
          <w:p w:rsidR="00223419" w:rsidRPr="00342390" w:rsidRDefault="00AD5274" w:rsidP="00FA3D98">
            <w:pPr>
              <w:spacing w:after="0" w:line="240" w:lineRule="auto"/>
              <w:ind w:firstLine="0"/>
              <w:jc w:val="center"/>
              <w:rPr>
                <w:sz w:val="18"/>
                <w:szCs w:val="18"/>
              </w:rPr>
            </w:pPr>
            <w:r w:rsidRPr="00342390">
              <w:rPr>
                <w:sz w:val="18"/>
                <w:szCs w:val="18"/>
              </w:rPr>
              <w:t>1</w:t>
            </w:r>
          </w:p>
        </w:tc>
        <w:tc>
          <w:tcPr>
            <w:tcW w:w="490" w:type="dxa"/>
            <w:tcBorders>
              <w:top w:val="single" w:sz="2" w:space="0" w:color="auto"/>
              <w:left w:val="single" w:sz="2" w:space="0" w:color="auto"/>
              <w:bottom w:val="single" w:sz="12" w:space="0" w:color="auto"/>
              <w:right w:val="single" w:sz="12" w:space="0" w:color="auto"/>
            </w:tcBorders>
            <w:shd w:val="clear" w:color="auto" w:fill="auto"/>
          </w:tcPr>
          <w:p w:rsidR="00223419" w:rsidRPr="00342390" w:rsidRDefault="00AD5274" w:rsidP="00FA3D98">
            <w:pPr>
              <w:spacing w:after="0" w:line="240" w:lineRule="auto"/>
              <w:ind w:firstLine="0"/>
              <w:jc w:val="center"/>
              <w:rPr>
                <w:sz w:val="18"/>
                <w:szCs w:val="18"/>
              </w:rPr>
            </w:pPr>
            <w:r w:rsidRPr="00342390">
              <w:rPr>
                <w:sz w:val="18"/>
                <w:szCs w:val="18"/>
              </w:rPr>
              <w:t>1</w:t>
            </w:r>
          </w:p>
        </w:tc>
        <w:tc>
          <w:tcPr>
            <w:tcW w:w="1058" w:type="dxa"/>
            <w:tcBorders>
              <w:top w:val="single" w:sz="2" w:space="0" w:color="auto"/>
              <w:left w:val="single" w:sz="12" w:space="0" w:color="auto"/>
              <w:bottom w:val="single" w:sz="12" w:space="0" w:color="auto"/>
            </w:tcBorders>
            <w:shd w:val="clear" w:color="auto" w:fill="D9D9D9" w:themeFill="background1" w:themeFillShade="D9"/>
          </w:tcPr>
          <w:p w:rsidR="00223419" w:rsidRPr="00342390" w:rsidRDefault="004C6FF8" w:rsidP="00FA3D98">
            <w:pPr>
              <w:spacing w:after="0" w:line="240" w:lineRule="auto"/>
              <w:ind w:firstLine="0"/>
              <w:jc w:val="center"/>
              <w:rPr>
                <w:b/>
                <w:sz w:val="18"/>
                <w:szCs w:val="18"/>
              </w:rPr>
            </w:pPr>
            <w:r w:rsidRPr="00342390">
              <w:rPr>
                <w:b/>
                <w:sz w:val="18"/>
                <w:szCs w:val="18"/>
              </w:rPr>
              <w:t>1</w:t>
            </w:r>
          </w:p>
        </w:tc>
        <w:tc>
          <w:tcPr>
            <w:tcW w:w="1080" w:type="dxa"/>
            <w:tcBorders>
              <w:top w:val="single" w:sz="2" w:space="0" w:color="auto"/>
              <w:left w:val="single" w:sz="12" w:space="0" w:color="auto"/>
              <w:bottom w:val="single" w:sz="12" w:space="0" w:color="auto"/>
            </w:tcBorders>
            <w:shd w:val="clear" w:color="auto" w:fill="auto"/>
          </w:tcPr>
          <w:p w:rsidR="00223419" w:rsidRPr="00525AD0" w:rsidRDefault="00952521" w:rsidP="00FA3D98">
            <w:pPr>
              <w:spacing w:after="0" w:line="240" w:lineRule="auto"/>
              <w:ind w:firstLine="0"/>
              <w:jc w:val="center"/>
              <w:rPr>
                <w:b/>
                <w:sz w:val="18"/>
                <w:szCs w:val="18"/>
              </w:rPr>
            </w:pPr>
            <w:r w:rsidRPr="00525AD0">
              <w:rPr>
                <w:b/>
                <w:sz w:val="18"/>
                <w:szCs w:val="18"/>
              </w:rPr>
              <w:t>5</w:t>
            </w:r>
          </w:p>
        </w:tc>
      </w:tr>
      <w:tr w:rsidR="00223419" w:rsidRPr="00E63ACF" w:rsidTr="009730A3">
        <w:tc>
          <w:tcPr>
            <w:tcW w:w="3348" w:type="dxa"/>
            <w:tcBorders>
              <w:top w:val="single" w:sz="12" w:space="0" w:color="auto"/>
              <w:bottom w:val="single" w:sz="12" w:space="0" w:color="auto"/>
              <w:right w:val="single" w:sz="12" w:space="0" w:color="auto"/>
            </w:tcBorders>
            <w:shd w:val="clear" w:color="auto" w:fill="D9D9D9" w:themeFill="background1" w:themeFillShade="D9"/>
          </w:tcPr>
          <w:p w:rsidR="00223419" w:rsidRPr="00E63ACF" w:rsidRDefault="00223419" w:rsidP="00FA3D98">
            <w:pPr>
              <w:spacing w:after="0" w:line="240" w:lineRule="auto"/>
              <w:ind w:firstLine="0"/>
              <w:jc w:val="right"/>
              <w:rPr>
                <w:b/>
                <w:i/>
                <w:sz w:val="17"/>
                <w:szCs w:val="17"/>
              </w:rPr>
            </w:pPr>
            <w:r w:rsidRPr="00E63ACF">
              <w:rPr>
                <w:b/>
                <w:i/>
                <w:sz w:val="17"/>
                <w:szCs w:val="17"/>
              </w:rPr>
              <w:t>SUMA:</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23419" w:rsidRPr="00E63ACF" w:rsidRDefault="00223419" w:rsidP="00FA3D98">
            <w:pPr>
              <w:spacing w:after="0" w:line="240" w:lineRule="auto"/>
              <w:ind w:firstLine="0"/>
              <w:jc w:val="center"/>
              <w:rPr>
                <w:b/>
                <w:i/>
                <w:sz w:val="17"/>
                <w:szCs w:val="17"/>
              </w:rPr>
            </w:pPr>
            <w:r w:rsidRPr="00E63ACF">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23419" w:rsidRPr="00E63ACF" w:rsidRDefault="00223419" w:rsidP="00FA3D98">
            <w:pPr>
              <w:spacing w:after="0" w:line="240" w:lineRule="auto"/>
              <w:ind w:firstLine="0"/>
              <w:jc w:val="center"/>
              <w:rPr>
                <w:b/>
                <w:i/>
                <w:sz w:val="17"/>
                <w:szCs w:val="17"/>
              </w:rPr>
            </w:pPr>
            <w:r w:rsidRPr="00E63ACF">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23419" w:rsidRPr="00E63ACF" w:rsidRDefault="00223419" w:rsidP="00FA3D98">
            <w:pPr>
              <w:spacing w:after="0" w:line="240" w:lineRule="auto"/>
              <w:ind w:firstLine="0"/>
              <w:jc w:val="center"/>
              <w:rPr>
                <w:b/>
                <w:i/>
                <w:sz w:val="17"/>
                <w:szCs w:val="17"/>
              </w:rPr>
            </w:pPr>
            <w:r w:rsidRPr="00E63ACF">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23419" w:rsidRPr="00E63ACF" w:rsidRDefault="00223419" w:rsidP="00FA3D98">
            <w:pPr>
              <w:spacing w:after="0" w:line="240" w:lineRule="auto"/>
              <w:ind w:firstLine="0"/>
              <w:jc w:val="center"/>
              <w:rPr>
                <w:b/>
                <w:i/>
                <w:sz w:val="17"/>
                <w:szCs w:val="17"/>
              </w:rPr>
            </w:pPr>
            <w:r w:rsidRPr="00E63ACF">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23419" w:rsidRPr="00E63ACF" w:rsidRDefault="00223419" w:rsidP="00FA3D98">
            <w:pPr>
              <w:spacing w:after="0" w:line="240" w:lineRule="auto"/>
              <w:ind w:firstLine="0"/>
              <w:jc w:val="center"/>
              <w:rPr>
                <w:b/>
                <w:i/>
                <w:sz w:val="17"/>
                <w:szCs w:val="17"/>
              </w:rPr>
            </w:pPr>
            <w:r w:rsidRPr="00E63ACF">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23419" w:rsidRPr="00E63ACF" w:rsidRDefault="00223419" w:rsidP="00FA3D98">
            <w:pPr>
              <w:spacing w:after="0" w:line="240" w:lineRule="auto"/>
              <w:ind w:firstLine="0"/>
              <w:jc w:val="center"/>
              <w:rPr>
                <w:b/>
                <w:i/>
                <w:sz w:val="17"/>
                <w:szCs w:val="17"/>
              </w:rPr>
            </w:pPr>
            <w:r w:rsidRPr="00E63ACF">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23419" w:rsidRPr="00E63ACF" w:rsidRDefault="00223419" w:rsidP="00FA3D98">
            <w:pPr>
              <w:spacing w:after="0" w:line="240" w:lineRule="auto"/>
              <w:ind w:firstLine="0"/>
              <w:jc w:val="center"/>
              <w:rPr>
                <w:b/>
                <w:i/>
                <w:sz w:val="17"/>
                <w:szCs w:val="17"/>
              </w:rPr>
            </w:pPr>
            <w:r w:rsidRPr="00E63ACF">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23419" w:rsidRPr="00E63ACF" w:rsidRDefault="00223419" w:rsidP="00FA3D98">
            <w:pPr>
              <w:spacing w:after="0" w:line="240" w:lineRule="auto"/>
              <w:ind w:firstLine="0"/>
              <w:jc w:val="center"/>
              <w:rPr>
                <w:b/>
                <w:i/>
                <w:sz w:val="17"/>
                <w:szCs w:val="17"/>
              </w:rPr>
            </w:pPr>
            <w:r w:rsidRPr="00E63ACF">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23419" w:rsidRPr="00E63ACF" w:rsidRDefault="00223419" w:rsidP="00FA3D98">
            <w:pPr>
              <w:spacing w:after="0" w:line="240" w:lineRule="auto"/>
              <w:ind w:firstLine="0"/>
              <w:jc w:val="center"/>
              <w:rPr>
                <w:b/>
                <w:i/>
                <w:sz w:val="17"/>
                <w:szCs w:val="17"/>
              </w:rPr>
            </w:pPr>
            <w:r w:rsidRPr="00E63ACF">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23419" w:rsidRPr="00E63ACF" w:rsidRDefault="00223419" w:rsidP="00FA3D98">
            <w:pPr>
              <w:spacing w:after="0" w:line="240" w:lineRule="auto"/>
              <w:ind w:firstLine="0"/>
              <w:jc w:val="center"/>
              <w:rPr>
                <w:b/>
                <w:i/>
                <w:sz w:val="17"/>
                <w:szCs w:val="17"/>
              </w:rPr>
            </w:pPr>
            <w:r w:rsidRPr="00E63ACF">
              <w:rPr>
                <w:b/>
                <w:i/>
                <w:sz w:val="17"/>
                <w:szCs w:val="17"/>
              </w:rPr>
              <w:t>-</w:t>
            </w:r>
          </w:p>
        </w:tc>
        <w:tc>
          <w:tcPr>
            <w:tcW w:w="1058" w:type="dxa"/>
            <w:tcBorders>
              <w:top w:val="single" w:sz="12" w:space="0" w:color="auto"/>
              <w:left w:val="single" w:sz="12" w:space="0" w:color="auto"/>
              <w:bottom w:val="single" w:sz="12" w:space="0" w:color="auto"/>
            </w:tcBorders>
            <w:shd w:val="clear" w:color="auto" w:fill="D9D9D9" w:themeFill="background1" w:themeFillShade="D9"/>
            <w:vAlign w:val="center"/>
          </w:tcPr>
          <w:p w:rsidR="00223419" w:rsidRPr="00E63ACF" w:rsidRDefault="004C6FF8" w:rsidP="00FA3D98">
            <w:pPr>
              <w:spacing w:after="0" w:line="240" w:lineRule="auto"/>
              <w:ind w:firstLine="0"/>
              <w:jc w:val="center"/>
              <w:rPr>
                <w:b/>
                <w:sz w:val="17"/>
                <w:szCs w:val="17"/>
              </w:rPr>
            </w:pPr>
            <w:r w:rsidRPr="00E63ACF">
              <w:rPr>
                <w:b/>
                <w:sz w:val="17"/>
                <w:szCs w:val="17"/>
              </w:rPr>
              <w:t>2</w:t>
            </w:r>
            <w:r w:rsidR="003A234D" w:rsidRPr="00E63ACF">
              <w:rPr>
                <w:b/>
                <w:sz w:val="17"/>
                <w:szCs w:val="17"/>
              </w:rPr>
              <w:t>1</w:t>
            </w:r>
          </w:p>
        </w:tc>
        <w:tc>
          <w:tcPr>
            <w:tcW w:w="1080" w:type="dxa"/>
            <w:tcBorders>
              <w:top w:val="single" w:sz="12" w:space="0" w:color="auto"/>
              <w:left w:val="single" w:sz="12" w:space="0" w:color="auto"/>
              <w:bottom w:val="single" w:sz="12" w:space="0" w:color="auto"/>
            </w:tcBorders>
            <w:shd w:val="clear" w:color="auto" w:fill="D9D9D9" w:themeFill="background1" w:themeFillShade="D9"/>
            <w:vAlign w:val="center"/>
          </w:tcPr>
          <w:p w:rsidR="00223419" w:rsidRPr="00E63ACF" w:rsidRDefault="00A5021D" w:rsidP="00FA3D98">
            <w:pPr>
              <w:spacing w:after="0" w:line="240" w:lineRule="auto"/>
              <w:ind w:firstLine="0"/>
              <w:jc w:val="center"/>
              <w:rPr>
                <w:b/>
                <w:sz w:val="17"/>
                <w:szCs w:val="17"/>
              </w:rPr>
            </w:pPr>
            <w:r w:rsidRPr="00E63ACF">
              <w:rPr>
                <w:b/>
                <w:sz w:val="17"/>
                <w:szCs w:val="17"/>
              </w:rPr>
              <w:t>50</w:t>
            </w:r>
          </w:p>
        </w:tc>
      </w:tr>
    </w:tbl>
    <w:p w:rsidR="006314F3" w:rsidRPr="003E4CCA" w:rsidRDefault="004C4A68" w:rsidP="00AF5A65">
      <w:pPr>
        <w:rPr>
          <w:sz w:val="20"/>
        </w:rPr>
      </w:pPr>
      <w:r w:rsidRPr="003E4CCA">
        <w:rPr>
          <w:b/>
          <w:sz w:val="20"/>
        </w:rPr>
        <w:t>Šaltinis</w:t>
      </w:r>
      <w:r w:rsidRPr="003E4CCA">
        <w:rPr>
          <w:sz w:val="20"/>
        </w:rPr>
        <w:t>: sudaryta šio darbo autorės</w:t>
      </w:r>
      <w:r w:rsidR="005D24CE">
        <w:rPr>
          <w:sz w:val="20"/>
        </w:rPr>
        <w:t>, remiantis ekspertų vertinimais</w:t>
      </w:r>
    </w:p>
    <w:p w:rsidR="00DA4AAE" w:rsidRDefault="003B2572" w:rsidP="00AF5A65">
      <w:r>
        <w:t xml:space="preserve">Ekspertų vertinimai parodė, jog </w:t>
      </w:r>
      <w:r w:rsidRPr="00102AAE">
        <w:rPr>
          <w:b/>
          <w:i/>
        </w:rPr>
        <w:t>žmonių pastangos pakeisti savo statusą yra nepakankamos</w:t>
      </w:r>
      <w:r>
        <w:t xml:space="preserve">, </w:t>
      </w:r>
      <w:r w:rsidR="003A234D">
        <w:t>nes jos buvo įvertintos tik 21 balu</w:t>
      </w:r>
      <w:r w:rsidR="00846DE0">
        <w:t xml:space="preserve"> iš 50 galimų. </w:t>
      </w:r>
      <w:r w:rsidR="003A5426" w:rsidRPr="003A5426">
        <w:rPr>
          <w:b/>
          <w:i/>
        </w:rPr>
        <w:t>D</w:t>
      </w:r>
      <w:r w:rsidR="00960F10" w:rsidRPr="003A5426">
        <w:rPr>
          <w:b/>
          <w:i/>
        </w:rPr>
        <w:t>idžiausią</w:t>
      </w:r>
      <w:r w:rsidR="00960F10" w:rsidRPr="005246B5">
        <w:rPr>
          <w:b/>
          <w:i/>
        </w:rPr>
        <w:t xml:space="preserve"> įtaką</w:t>
      </w:r>
      <w:r w:rsidR="00960F10">
        <w:t xml:space="preserve"> tokiam rezultatui padarė </w:t>
      </w:r>
      <w:r w:rsidR="003A5426">
        <w:t xml:space="preserve">silpnai </w:t>
      </w:r>
      <w:r w:rsidR="0080048E">
        <w:t>įvertinti 5-asis, 6-asis ir 10-asis veiksniai</w:t>
      </w:r>
      <w:r w:rsidR="00D1169D">
        <w:t xml:space="preserve">, kurie buvo </w:t>
      </w:r>
      <w:r w:rsidR="00340DE1">
        <w:t xml:space="preserve">siejami </w:t>
      </w:r>
      <w:r w:rsidR="00D1169D">
        <w:t xml:space="preserve">su žmogaus gaunamomis </w:t>
      </w:r>
      <w:r w:rsidR="00D1169D" w:rsidRPr="006F0D6E">
        <w:rPr>
          <w:i/>
        </w:rPr>
        <w:t>pajamomis</w:t>
      </w:r>
      <w:r w:rsidR="00D1169D">
        <w:t xml:space="preserve"> – tiek oficialiomis, tiek </w:t>
      </w:r>
      <w:r w:rsidR="003A5426">
        <w:t xml:space="preserve">ir </w:t>
      </w:r>
      <w:r w:rsidR="00D1169D">
        <w:t>neoficialiomis.</w:t>
      </w:r>
      <w:r w:rsidR="003316B0">
        <w:t xml:space="preserve"> Ekspertų </w:t>
      </w:r>
      <w:r w:rsidR="00996134">
        <w:t xml:space="preserve">pastabos </w:t>
      </w:r>
      <w:r w:rsidR="003316B0">
        <w:t>padėjo įsitikinti</w:t>
      </w:r>
      <w:r w:rsidR="00920F84">
        <w:t xml:space="preserve">, </w:t>
      </w:r>
      <w:r w:rsidR="003316B0">
        <w:t xml:space="preserve">jog Lietuvos </w:t>
      </w:r>
      <w:r w:rsidR="003A5426">
        <w:t>socialinių</w:t>
      </w:r>
      <w:r w:rsidR="003316B0">
        <w:t xml:space="preserve"> </w:t>
      </w:r>
      <w:r w:rsidR="003A5426">
        <w:t xml:space="preserve">išmokų </w:t>
      </w:r>
      <w:r w:rsidR="003316B0">
        <w:t>gavėjai</w:t>
      </w:r>
      <w:r w:rsidR="00920F84">
        <w:t xml:space="preserve"> vengia darbo už minimalų atly</w:t>
      </w:r>
      <w:r w:rsidR="003316B0">
        <w:t>gį</w:t>
      </w:r>
      <w:r w:rsidR="0056737E">
        <w:t>, kadangi</w:t>
      </w:r>
      <w:r w:rsidR="00BB795D">
        <w:t xml:space="preserve"> žino, jog </w:t>
      </w:r>
      <w:r w:rsidR="000261BB">
        <w:t xml:space="preserve">šitaip praras teisę į socialines išmokas ir dėl to </w:t>
      </w:r>
      <w:r w:rsidR="00BB795D">
        <w:t xml:space="preserve">nepagerins </w:t>
      </w:r>
      <w:r w:rsidR="004E1DD9">
        <w:t xml:space="preserve">finansinės padėties. </w:t>
      </w:r>
      <w:r w:rsidR="0056737E">
        <w:t xml:space="preserve">Šis žinojimas </w:t>
      </w:r>
      <w:r w:rsidR="004E1DD9">
        <w:t>verčia r</w:t>
      </w:r>
      <w:r w:rsidR="00BB795D">
        <w:t>i</w:t>
      </w:r>
      <w:r w:rsidR="004E1DD9">
        <w:t>nktis</w:t>
      </w:r>
      <w:r w:rsidR="00BB795D">
        <w:t xml:space="preserve"> kitus įplaukų formavimo šaltinius, t. y. </w:t>
      </w:r>
      <w:r w:rsidR="0069387C" w:rsidRPr="0069387C">
        <w:t>valstybę</w:t>
      </w:r>
      <w:r w:rsidR="0056737E">
        <w:t>,</w:t>
      </w:r>
      <w:r w:rsidR="0069387C">
        <w:t xml:space="preserve"> – </w:t>
      </w:r>
      <w:r w:rsidR="0072452D" w:rsidRPr="0056737E">
        <w:rPr>
          <w:i/>
        </w:rPr>
        <w:t xml:space="preserve">kaip </w:t>
      </w:r>
      <w:r w:rsidR="00E2656D" w:rsidRPr="0056737E">
        <w:rPr>
          <w:i/>
        </w:rPr>
        <w:t xml:space="preserve">„nemokamų“ </w:t>
      </w:r>
      <w:r w:rsidR="004E1DD9" w:rsidRPr="0056737E">
        <w:rPr>
          <w:i/>
        </w:rPr>
        <w:t xml:space="preserve">pinigų </w:t>
      </w:r>
      <w:r w:rsidR="0072452D" w:rsidRPr="0056737E">
        <w:rPr>
          <w:i/>
        </w:rPr>
        <w:t>davėją</w:t>
      </w:r>
      <w:r w:rsidR="0056737E">
        <w:t>,</w:t>
      </w:r>
      <w:r w:rsidR="0069387C">
        <w:t xml:space="preserve"> –</w:t>
      </w:r>
      <w:r w:rsidR="0069387C" w:rsidRPr="0069387C">
        <w:t xml:space="preserve"> </w:t>
      </w:r>
      <w:r w:rsidR="0072452D" w:rsidRPr="0069387C">
        <w:t>ir</w:t>
      </w:r>
      <w:r w:rsidR="0069387C" w:rsidRPr="0069387C">
        <w:t xml:space="preserve"> „šešėlį“</w:t>
      </w:r>
      <w:r w:rsidR="006E21D8">
        <w:t>,</w:t>
      </w:r>
      <w:r w:rsidR="0069387C">
        <w:t xml:space="preserve"> – </w:t>
      </w:r>
      <w:r w:rsidR="0072452D" w:rsidRPr="006E21D8">
        <w:rPr>
          <w:i/>
        </w:rPr>
        <w:t xml:space="preserve">kaip </w:t>
      </w:r>
      <w:r w:rsidR="00E2656D" w:rsidRPr="006E21D8">
        <w:rPr>
          <w:i/>
        </w:rPr>
        <w:t>neoficialiųjų pajamų garantą</w:t>
      </w:r>
      <w:r w:rsidR="00E2656D" w:rsidRPr="0069387C">
        <w:t>.</w:t>
      </w:r>
      <w:r w:rsidR="006E21D8">
        <w:t xml:space="preserve"> </w:t>
      </w:r>
      <w:r w:rsidR="004276A2">
        <w:t xml:space="preserve">Be to, </w:t>
      </w:r>
      <w:r w:rsidR="00D230C3">
        <w:t xml:space="preserve">ekspertų tvirtinimu, </w:t>
      </w:r>
      <w:r w:rsidR="004276A2">
        <w:t>net ir gaudami pakankamai „juodų“ pinigų</w:t>
      </w:r>
      <w:r w:rsidR="00143BC6">
        <w:t xml:space="preserve"> (6)</w:t>
      </w:r>
      <w:r w:rsidR="00D230C3">
        <w:t xml:space="preserve">, tokie </w:t>
      </w:r>
      <w:r w:rsidR="00F5655D">
        <w:t>asmenys</w:t>
      </w:r>
      <w:r w:rsidR="00B72687">
        <w:t xml:space="preserve"> </w:t>
      </w:r>
      <w:r w:rsidR="001104AE">
        <w:t>ne</w:t>
      </w:r>
      <w:r w:rsidR="00D230C3">
        <w:t>linkę</w:t>
      </w:r>
      <w:r w:rsidR="00DA7386">
        <w:t xml:space="preserve"> atsisakyti</w:t>
      </w:r>
      <w:r w:rsidR="001104AE">
        <w:t xml:space="preserve"> paramos </w:t>
      </w:r>
      <w:r w:rsidR="00143BC6">
        <w:t>–</w:t>
      </w:r>
      <w:r w:rsidR="001104AE">
        <w:t xml:space="preserve"> </w:t>
      </w:r>
      <w:r w:rsidR="004729D3">
        <w:t>tai</w:t>
      </w:r>
      <w:r w:rsidR="001104AE">
        <w:t xml:space="preserve"> parodo</w:t>
      </w:r>
      <w:r w:rsidR="004729D3">
        <w:t>, jog</w:t>
      </w:r>
      <w:r w:rsidR="00B72687">
        <w:t xml:space="preserve"> ž</w:t>
      </w:r>
      <w:r w:rsidR="00F5655D">
        <w:t xml:space="preserve">mones </w:t>
      </w:r>
      <w:r w:rsidR="00173B9A">
        <w:t xml:space="preserve">stipriai </w:t>
      </w:r>
      <w:r w:rsidR="00F5655D">
        <w:t>veikia mentali</w:t>
      </w:r>
      <w:r w:rsidR="00173B9A">
        <w:t>nės sąskaitos</w:t>
      </w:r>
      <w:r w:rsidR="00B72687">
        <w:t xml:space="preserve"> </w:t>
      </w:r>
      <w:r w:rsidR="00346367">
        <w:t xml:space="preserve">bei </w:t>
      </w:r>
      <w:r w:rsidR="00B72687">
        <w:t>amoralus šeimyniškumas</w:t>
      </w:r>
      <w:r w:rsidR="00346367">
        <w:t>, t. y.</w:t>
      </w:r>
      <w:r w:rsidR="00173B9A">
        <w:t xml:space="preserve"> </w:t>
      </w:r>
      <w:r w:rsidR="00B72687">
        <w:t xml:space="preserve">siekis </w:t>
      </w:r>
      <w:r w:rsidR="00F5655D">
        <w:t xml:space="preserve">šeimos gerovę </w:t>
      </w:r>
      <w:r w:rsidR="00173B9A">
        <w:t>did</w:t>
      </w:r>
      <w:r w:rsidR="00C45FD2">
        <w:t xml:space="preserve">inti </w:t>
      </w:r>
      <w:r w:rsidR="00B72687">
        <w:t>kitų sąskaita</w:t>
      </w:r>
      <w:r w:rsidR="00191D55">
        <w:t>.</w:t>
      </w:r>
    </w:p>
    <w:p w:rsidR="00B91267" w:rsidRDefault="0079364C" w:rsidP="00AF5A65">
      <w:r>
        <w:t>E</w:t>
      </w:r>
      <w:r w:rsidR="001B46A9">
        <w:t>kspertų vertinimai</w:t>
      </w:r>
      <w:r w:rsidR="00382931">
        <w:t xml:space="preserve"> </w:t>
      </w:r>
      <w:r>
        <w:t>taip pat</w:t>
      </w:r>
      <w:r w:rsidR="0059073F">
        <w:t xml:space="preserve"> atskleidė</w:t>
      </w:r>
      <w:r w:rsidR="001B46A9">
        <w:t xml:space="preserve">, jog </w:t>
      </w:r>
      <w:r w:rsidR="0007735C">
        <w:t xml:space="preserve">dauguma </w:t>
      </w:r>
      <w:r w:rsidR="0055292C">
        <w:t>socialin</w:t>
      </w:r>
      <w:r w:rsidR="00757101">
        <w:t>ių</w:t>
      </w:r>
      <w:r w:rsidR="0055292C">
        <w:t xml:space="preserve"> išmok</w:t>
      </w:r>
      <w:r w:rsidR="00757101">
        <w:t>ų</w:t>
      </w:r>
      <w:r w:rsidR="0055292C">
        <w:t xml:space="preserve"> </w:t>
      </w:r>
      <w:r w:rsidR="00757101">
        <w:t xml:space="preserve">gavėjų </w:t>
      </w:r>
      <w:r w:rsidR="0007735C">
        <w:t xml:space="preserve">nesistengia </w:t>
      </w:r>
      <w:r w:rsidR="00F60B49">
        <w:t xml:space="preserve">rasti darbo </w:t>
      </w:r>
      <w:r w:rsidR="0041565E">
        <w:t>anksčiau</w:t>
      </w:r>
      <w:r w:rsidR="003222B7">
        <w:t>,</w:t>
      </w:r>
      <w:r>
        <w:t xml:space="preserve"> nei</w:t>
      </w:r>
      <w:r w:rsidR="00D4059C">
        <w:t xml:space="preserve"> baigiasi </w:t>
      </w:r>
      <w:r w:rsidR="00C062B6">
        <w:rPr>
          <w:i/>
        </w:rPr>
        <w:t>išmokų mokėjimo terminas</w:t>
      </w:r>
      <w:r w:rsidR="0041565E">
        <w:rPr>
          <w:i/>
        </w:rPr>
        <w:t xml:space="preserve"> (10)</w:t>
      </w:r>
      <w:r w:rsidR="00757101">
        <w:t>,</w:t>
      </w:r>
      <w:r w:rsidR="00C062B6">
        <w:t xml:space="preserve"> kas</w:t>
      </w:r>
      <w:r w:rsidR="00F60B49">
        <w:t xml:space="preserve"> leidžia</w:t>
      </w:r>
      <w:r w:rsidR="00780732">
        <w:t xml:space="preserve"> teigti</w:t>
      </w:r>
      <w:r w:rsidR="00F60B49">
        <w:t>, jog</w:t>
      </w:r>
      <w:r w:rsidR="00BD7618">
        <w:t>, gaunant</w:t>
      </w:r>
      <w:r w:rsidR="00FE5CD7">
        <w:t xml:space="preserve"> „nemokamų“ pinigų</w:t>
      </w:r>
      <w:r w:rsidR="00D360D2">
        <w:t xml:space="preserve">, </w:t>
      </w:r>
      <w:r w:rsidR="00780732">
        <w:t xml:space="preserve">netenkama </w:t>
      </w:r>
      <w:r w:rsidR="00C773DA" w:rsidRPr="002E7FC0">
        <w:rPr>
          <w:i/>
        </w:rPr>
        <w:t>motyvaci</w:t>
      </w:r>
      <w:r w:rsidR="00780732">
        <w:rPr>
          <w:i/>
        </w:rPr>
        <w:t>jos</w:t>
      </w:r>
      <w:r w:rsidR="0041565E">
        <w:rPr>
          <w:i/>
        </w:rPr>
        <w:t xml:space="preserve"> (</w:t>
      </w:r>
      <w:r w:rsidR="00780732">
        <w:rPr>
          <w:i/>
        </w:rPr>
        <w:t>2</w:t>
      </w:r>
      <w:r w:rsidR="0041565E">
        <w:rPr>
          <w:i/>
        </w:rPr>
        <w:t>)</w:t>
      </w:r>
      <w:r w:rsidR="00537F70">
        <w:t xml:space="preserve"> (</w:t>
      </w:r>
      <w:proofErr w:type="spellStart"/>
      <w:r w:rsidR="00537F70">
        <w:t>Mo</w:t>
      </w:r>
      <w:proofErr w:type="spellEnd"/>
      <w:r w:rsidR="00537F70">
        <w:t xml:space="preserve"> – 2 balai</w:t>
      </w:r>
      <w:r w:rsidR="002E7FC0">
        <w:t>)</w:t>
      </w:r>
      <w:r w:rsidR="00C773DA">
        <w:t xml:space="preserve"> </w:t>
      </w:r>
      <w:r w:rsidR="00C062B6">
        <w:t xml:space="preserve">stengtis </w:t>
      </w:r>
      <w:r w:rsidR="00C70D2D">
        <w:t xml:space="preserve">ir </w:t>
      </w:r>
      <w:r w:rsidR="00382931">
        <w:t>ne</w:t>
      </w:r>
      <w:r w:rsidR="005262B3">
        <w:t>be</w:t>
      </w:r>
      <w:r w:rsidR="00382931">
        <w:t xml:space="preserve">jaučiama </w:t>
      </w:r>
      <w:r w:rsidR="00382931" w:rsidRPr="007B4BD4">
        <w:rPr>
          <w:i/>
        </w:rPr>
        <w:t xml:space="preserve">atsakomybė už </w:t>
      </w:r>
      <w:r w:rsidR="00F37E8E" w:rsidRPr="007B4BD4">
        <w:rPr>
          <w:i/>
        </w:rPr>
        <w:t>priimtus</w:t>
      </w:r>
      <w:r w:rsidR="00C703F0" w:rsidRPr="007B4BD4">
        <w:rPr>
          <w:i/>
        </w:rPr>
        <w:t xml:space="preserve"> </w:t>
      </w:r>
      <w:r w:rsidR="00382931" w:rsidRPr="007B4BD4">
        <w:rPr>
          <w:i/>
        </w:rPr>
        <w:t>sprendim</w:t>
      </w:r>
      <w:r w:rsidR="00C703F0" w:rsidRPr="007B4BD4">
        <w:rPr>
          <w:i/>
        </w:rPr>
        <w:t>us</w:t>
      </w:r>
      <w:r w:rsidR="00B02074">
        <w:rPr>
          <w:i/>
        </w:rPr>
        <w:t xml:space="preserve"> (1)</w:t>
      </w:r>
      <w:r w:rsidR="003F3E24">
        <w:t xml:space="preserve"> (</w:t>
      </w:r>
      <w:proofErr w:type="spellStart"/>
      <w:r w:rsidR="00B02074">
        <w:t>Mo</w:t>
      </w:r>
      <w:proofErr w:type="spellEnd"/>
      <w:r w:rsidR="00B02074">
        <w:t xml:space="preserve"> – 2 balai</w:t>
      </w:r>
      <w:r w:rsidR="003F3E24">
        <w:t>)</w:t>
      </w:r>
      <w:r w:rsidR="006935DF">
        <w:t xml:space="preserve">. </w:t>
      </w:r>
      <w:r w:rsidR="00DE617C">
        <w:t xml:space="preserve">Mūsų </w:t>
      </w:r>
      <w:r w:rsidR="005262B3">
        <w:t>many</w:t>
      </w:r>
      <w:r w:rsidR="00DE617C">
        <w:t xml:space="preserve">mu, didžiausia </w:t>
      </w:r>
      <w:r w:rsidR="007A4A95">
        <w:t xml:space="preserve">problema </w:t>
      </w:r>
      <w:r w:rsidR="00E03F44">
        <w:t>slypi</w:t>
      </w:r>
      <w:r w:rsidR="007A4A95">
        <w:t xml:space="preserve"> tame, kad toks </w:t>
      </w:r>
      <w:r w:rsidR="00E03F44">
        <w:t>suvokimas</w:t>
      </w:r>
      <w:r w:rsidR="007A4A95">
        <w:t xml:space="preserve"> yra</w:t>
      </w:r>
      <w:r w:rsidR="00A246EA">
        <w:t xml:space="preserve"> daugiau</w:t>
      </w:r>
      <w:r w:rsidR="007A4A95">
        <w:t xml:space="preserve"> būdinga</w:t>
      </w:r>
      <w:r w:rsidR="005B4F7D">
        <w:t xml:space="preserve">s tiems žmonėms, kurie prie kitų </w:t>
      </w:r>
      <w:r w:rsidR="006A4C63">
        <w:t xml:space="preserve">visuomenės narių </w:t>
      </w:r>
      <w:r w:rsidR="005262B3">
        <w:t>gerovės kūrimo</w:t>
      </w:r>
      <w:r w:rsidR="006A4C63">
        <w:t xml:space="preserve"> neprisideda, t. y. reikalauja</w:t>
      </w:r>
      <w:r w:rsidR="00B72135">
        <w:t xml:space="preserve"> solidarumo, tačiau</w:t>
      </w:r>
      <w:r w:rsidR="006A4C63">
        <w:t xml:space="preserve"> </w:t>
      </w:r>
      <w:r w:rsidR="00E03F44">
        <w:t>patys</w:t>
      </w:r>
      <w:r w:rsidR="00B91267">
        <w:t xml:space="preserve"> </w:t>
      </w:r>
      <w:r w:rsidR="00E04D0C">
        <w:t xml:space="preserve">jame </w:t>
      </w:r>
      <w:r w:rsidR="00B91267">
        <w:t>nedalyvauja</w:t>
      </w:r>
      <w:r w:rsidR="006A4C63">
        <w:t>.</w:t>
      </w:r>
      <w:r w:rsidR="00B72135">
        <w:t xml:space="preserve"> </w:t>
      </w:r>
      <w:r w:rsidR="00B91267">
        <w:t>Iš b</w:t>
      </w:r>
      <w:r w:rsidR="00A246EA">
        <w:t>logiau įvertintų veiksnių taip pat reikė</w:t>
      </w:r>
      <w:r w:rsidR="00B91267">
        <w:t>tų paminėti</w:t>
      </w:r>
      <w:r w:rsidR="000A7293">
        <w:t xml:space="preserve"> </w:t>
      </w:r>
      <w:r w:rsidR="000A7293" w:rsidRPr="00E04D0C">
        <w:rPr>
          <w:i/>
        </w:rPr>
        <w:t>įstatymus</w:t>
      </w:r>
      <w:r w:rsidR="00A246EA">
        <w:rPr>
          <w:i/>
        </w:rPr>
        <w:t xml:space="preserve"> (8)</w:t>
      </w:r>
      <w:r w:rsidR="000A7293">
        <w:t xml:space="preserve">, nes, paklausti, ar </w:t>
      </w:r>
      <w:r w:rsidR="00B72135">
        <w:t xml:space="preserve">socialinių išmokų </w:t>
      </w:r>
      <w:r w:rsidR="0009153C">
        <w:t xml:space="preserve">gavėjai </w:t>
      </w:r>
      <w:r w:rsidR="007A7843">
        <w:t>valstybės lėšomis</w:t>
      </w:r>
      <w:r w:rsidR="006F374A">
        <w:t xml:space="preserve"> naudojasi tokiu m</w:t>
      </w:r>
      <w:r w:rsidR="00BB321F">
        <w:t>a</w:t>
      </w:r>
      <w:r w:rsidR="006F374A">
        <w:t>stu</w:t>
      </w:r>
      <w:r w:rsidR="00BB321F">
        <w:t xml:space="preserve">, kokiu </w:t>
      </w:r>
      <w:r w:rsidR="0009153C">
        <w:t xml:space="preserve">priklauso, </w:t>
      </w:r>
      <w:r w:rsidR="00BB321F">
        <w:t xml:space="preserve">ekspertai </w:t>
      </w:r>
      <w:r w:rsidR="007A7843">
        <w:t>nurod</w:t>
      </w:r>
      <w:r w:rsidR="00BB321F">
        <w:t xml:space="preserve">ė, jog didžioji dauguma </w:t>
      </w:r>
      <w:r w:rsidR="006F2BC0">
        <w:t xml:space="preserve">stengiasi </w:t>
      </w:r>
      <w:r w:rsidR="0009153C">
        <w:t>i</w:t>
      </w:r>
      <w:r w:rsidR="00BA092C">
        <w:t xml:space="preserve">šnaudoti </w:t>
      </w:r>
      <w:r w:rsidR="00102AAE">
        <w:t>įstatymų</w:t>
      </w:r>
      <w:r w:rsidR="00354D53">
        <w:t xml:space="preserve"> </w:t>
      </w:r>
      <w:r w:rsidR="00BA092C">
        <w:t>spragas. T</w:t>
      </w:r>
      <w:r w:rsidR="00717AD2">
        <w:t>ai pagrindžia</w:t>
      </w:r>
      <w:r w:rsidR="002707DB">
        <w:t xml:space="preserve"> mūsų spėjimą</w:t>
      </w:r>
      <w:r w:rsidR="00212438">
        <w:t xml:space="preserve">, jog </w:t>
      </w:r>
      <w:r w:rsidR="00FA6F3C">
        <w:t xml:space="preserve">labai </w:t>
      </w:r>
      <w:r w:rsidR="008C2F13">
        <w:t xml:space="preserve">daug </w:t>
      </w:r>
      <w:r w:rsidR="00E230D9" w:rsidRPr="00FA163F">
        <w:t xml:space="preserve">žmonių </w:t>
      </w:r>
      <w:r w:rsidR="007A7843" w:rsidRPr="00FA163F">
        <w:t>socialine gerove</w:t>
      </w:r>
      <w:r w:rsidR="007A7843">
        <w:t xml:space="preserve"> </w:t>
      </w:r>
      <w:r w:rsidR="002C582C">
        <w:t xml:space="preserve">naudojasi neteisėtai, </w:t>
      </w:r>
      <w:r w:rsidR="00E230D9">
        <w:t xml:space="preserve">– </w:t>
      </w:r>
      <w:r w:rsidR="002C582C">
        <w:t xml:space="preserve">ir todėl </w:t>
      </w:r>
      <w:r w:rsidR="008C2F13">
        <w:t>neį</w:t>
      </w:r>
      <w:r w:rsidR="001F1853">
        <w:t>deda pastangų, kad jų statusas pasikeistų.</w:t>
      </w:r>
    </w:p>
    <w:p w:rsidR="004F6549" w:rsidRDefault="00A03CEB" w:rsidP="00AF5A65">
      <w:r>
        <w:lastRenderedPageBreak/>
        <w:t>Prie</w:t>
      </w:r>
      <w:r w:rsidR="00AB65A2">
        <w:t xml:space="preserve"> </w:t>
      </w:r>
      <w:r w:rsidR="00AB65A2" w:rsidRPr="005246B5">
        <w:rPr>
          <w:b/>
          <w:i/>
        </w:rPr>
        <w:t>tinkamą elgse</w:t>
      </w:r>
      <w:r w:rsidR="004A1769">
        <w:rPr>
          <w:b/>
          <w:i/>
        </w:rPr>
        <w:t xml:space="preserve">ną </w:t>
      </w:r>
      <w:r w:rsidR="0038010C">
        <w:rPr>
          <w:b/>
          <w:i/>
        </w:rPr>
        <w:t xml:space="preserve">atspindėjusių </w:t>
      </w:r>
      <w:r w:rsidR="004F6549" w:rsidRPr="005246B5">
        <w:rPr>
          <w:b/>
          <w:i/>
        </w:rPr>
        <w:t>veiksnių</w:t>
      </w:r>
      <w:r w:rsidR="004F6549">
        <w:t xml:space="preserve"> </w:t>
      </w:r>
      <w:r w:rsidR="007F0B34">
        <w:t xml:space="preserve">būtų galima </w:t>
      </w:r>
      <w:r>
        <w:t xml:space="preserve">priskirti </w:t>
      </w:r>
      <w:r w:rsidR="00465C42" w:rsidRPr="00A67183">
        <w:rPr>
          <w:i/>
        </w:rPr>
        <w:t>išsilavinimą</w:t>
      </w:r>
      <w:r w:rsidR="00AB65A2">
        <w:rPr>
          <w:i/>
        </w:rPr>
        <w:t xml:space="preserve"> (4)</w:t>
      </w:r>
      <w:r w:rsidR="0038010C">
        <w:t xml:space="preserve"> ir</w:t>
      </w:r>
      <w:r w:rsidR="00465C42">
        <w:t xml:space="preserve"> </w:t>
      </w:r>
      <w:r w:rsidR="00465C42" w:rsidRPr="00A67183">
        <w:rPr>
          <w:i/>
        </w:rPr>
        <w:t>prioritetus</w:t>
      </w:r>
      <w:r w:rsidR="00AB65A2">
        <w:rPr>
          <w:i/>
        </w:rPr>
        <w:t xml:space="preserve"> (3)</w:t>
      </w:r>
      <w:r>
        <w:t xml:space="preserve">, </w:t>
      </w:r>
      <w:r w:rsidR="00465C42">
        <w:t xml:space="preserve">kurie </w:t>
      </w:r>
      <w:r w:rsidR="007F0B34">
        <w:t xml:space="preserve">ekspertų </w:t>
      </w:r>
      <w:r w:rsidR="00465C42">
        <w:t>buvo įvertinti 3 balais.</w:t>
      </w:r>
      <w:r w:rsidR="004A1769">
        <w:t xml:space="preserve"> Tai</w:t>
      </w:r>
      <w:r w:rsidR="003D10E5">
        <w:t xml:space="preserve"> </w:t>
      </w:r>
      <w:r w:rsidR="007F0B34">
        <w:t>parodė</w:t>
      </w:r>
      <w:r w:rsidR="003D10E5">
        <w:t xml:space="preserve">, jog žmonės </w:t>
      </w:r>
      <w:r w:rsidR="00201D7F">
        <w:t xml:space="preserve">jau </w:t>
      </w:r>
      <w:r w:rsidR="0095488C">
        <w:t xml:space="preserve">ne tik nori, bet ir </w:t>
      </w:r>
      <w:r w:rsidR="00DD4CE5">
        <w:t xml:space="preserve">daugiau </w:t>
      </w:r>
      <w:r w:rsidR="0095488C">
        <w:t>stengiasi</w:t>
      </w:r>
      <w:r w:rsidR="00DD4CE5">
        <w:t xml:space="preserve">, kad </w:t>
      </w:r>
      <w:r w:rsidR="0095488C">
        <w:t>tap</w:t>
      </w:r>
      <w:r w:rsidR="00DD4CE5">
        <w:t>tų</w:t>
      </w:r>
      <w:r w:rsidR="0095488C">
        <w:t xml:space="preserve"> </w:t>
      </w:r>
      <w:r w:rsidR="00A67183">
        <w:t>patraukl</w:t>
      </w:r>
      <w:r w:rsidR="00FB4D65">
        <w:t>iais</w:t>
      </w:r>
      <w:r w:rsidR="0095488C">
        <w:t xml:space="preserve"> </w:t>
      </w:r>
      <w:r w:rsidR="00A67183">
        <w:t>darbo rink</w:t>
      </w:r>
      <w:r w:rsidR="00DD4CE5">
        <w:t>oje</w:t>
      </w:r>
      <w:r w:rsidR="007E1A7D">
        <w:t>, t. y. keičia profesij</w:t>
      </w:r>
      <w:r w:rsidR="00DD4CE5">
        <w:t>ą</w:t>
      </w:r>
      <w:r w:rsidR="007E1A7D">
        <w:t>,</w:t>
      </w:r>
      <w:r w:rsidR="00201D7F">
        <w:t xml:space="preserve"> įgyja </w:t>
      </w:r>
      <w:r w:rsidR="00C9189A">
        <w:t xml:space="preserve">kitą </w:t>
      </w:r>
      <w:r w:rsidR="00201D7F">
        <w:t>išsilavinimą</w:t>
      </w:r>
      <w:r w:rsidR="00CF712C">
        <w:t>, prioritetą teikia</w:t>
      </w:r>
      <w:r w:rsidR="00D4416F">
        <w:t xml:space="preserve"> profesiniam</w:t>
      </w:r>
      <w:r w:rsidR="008E41EE">
        <w:t xml:space="preserve"> tobulėjimui</w:t>
      </w:r>
      <w:r w:rsidR="00D24BF2">
        <w:t>, o ne laikiniems darbams</w:t>
      </w:r>
      <w:r w:rsidR="008E41EE">
        <w:t>. Aišku, tai</w:t>
      </w:r>
      <w:r w:rsidR="00D24BF2">
        <w:t xml:space="preserve">, kad </w:t>
      </w:r>
      <w:r w:rsidR="00C9189A">
        <w:t>renka</w:t>
      </w:r>
      <w:r w:rsidR="00A34F85">
        <w:t>ma</w:t>
      </w:r>
      <w:r w:rsidR="00C9189A">
        <w:t xml:space="preserve">si </w:t>
      </w:r>
      <w:r w:rsidR="008452A8">
        <w:t>moky</w:t>
      </w:r>
      <w:r w:rsidR="00C9189A">
        <w:t>mus</w:t>
      </w:r>
      <w:r w:rsidR="00FD284F">
        <w:t xml:space="preserve">, o ne </w:t>
      </w:r>
      <w:r w:rsidR="00A34F85">
        <w:t>laikin</w:t>
      </w:r>
      <w:r w:rsidR="00FD284F">
        <w:t>us darbu</w:t>
      </w:r>
      <w:r w:rsidR="004C447C">
        <w:t>s</w:t>
      </w:r>
      <w:r w:rsidR="00054AFE">
        <w:t>,</w:t>
      </w:r>
      <w:r w:rsidR="004C447C">
        <w:t xml:space="preserve"> </w:t>
      </w:r>
      <w:r w:rsidR="00A80F83">
        <w:t>ne</w:t>
      </w:r>
      <w:r w:rsidR="00EC50BE">
        <w:t xml:space="preserve">būtinai </w:t>
      </w:r>
      <w:r w:rsidR="00D33827">
        <w:t>reiškia</w:t>
      </w:r>
      <w:r w:rsidR="00A80F83">
        <w:t>, jog elgia</w:t>
      </w:r>
      <w:r w:rsidR="00A34F85">
        <w:t>ma</w:t>
      </w:r>
      <w:r w:rsidR="00A80F83">
        <w:t xml:space="preserve">si </w:t>
      </w:r>
      <w:r w:rsidR="00583F6E">
        <w:t>tinkam</w:t>
      </w:r>
      <w:r w:rsidR="00A80F83">
        <w:t>ai</w:t>
      </w:r>
      <w:r w:rsidR="007A5409">
        <w:t xml:space="preserve"> –</w:t>
      </w:r>
      <w:r w:rsidR="00583F6E">
        <w:t xml:space="preserve"> viskas priklauso nuo to, kokiu tikslu taip yra</w:t>
      </w:r>
      <w:r w:rsidR="001553AF">
        <w:t xml:space="preserve"> daroma</w:t>
      </w:r>
      <w:r w:rsidR="00583F6E">
        <w:t>: jei</w:t>
      </w:r>
      <w:r w:rsidR="00C61D82">
        <w:t>gu</w:t>
      </w:r>
      <w:r w:rsidR="007A5409">
        <w:t xml:space="preserve"> mokomasi</w:t>
      </w:r>
      <w:r w:rsidR="001E015E">
        <w:t xml:space="preserve"> </w:t>
      </w:r>
      <w:r w:rsidR="008B1DFE">
        <w:t xml:space="preserve">tik </w:t>
      </w:r>
      <w:r w:rsidR="001E015E">
        <w:t>dėl to</w:t>
      </w:r>
      <w:r w:rsidR="00583F6E">
        <w:t xml:space="preserve">, </w:t>
      </w:r>
      <w:r w:rsidR="001E015E">
        <w:t>kad nereikėtų dirbti</w:t>
      </w:r>
      <w:r w:rsidR="000F1A9F">
        <w:t xml:space="preserve">, </w:t>
      </w:r>
      <w:r w:rsidR="00A34F85">
        <w:t xml:space="preserve">tada </w:t>
      </w:r>
      <w:r w:rsidR="000F1A9F">
        <w:t>elgsena tampa blogesnė</w:t>
      </w:r>
      <w:r w:rsidR="00E230D9">
        <w:t xml:space="preserve"> – nes </w:t>
      </w:r>
      <w:r w:rsidR="004E20FF">
        <w:t>taip eikvojami kitų žmonių laikas ir pinigai.</w:t>
      </w:r>
    </w:p>
    <w:p w:rsidR="0059790E" w:rsidRDefault="00E0052B" w:rsidP="00AF5A65">
      <w:r>
        <w:t>Reik</w:t>
      </w:r>
      <w:r w:rsidR="00FC6C1B">
        <w:t xml:space="preserve">tų pasakyti, </w:t>
      </w:r>
      <w:r w:rsidR="001553AF">
        <w:t xml:space="preserve">jog teigiamo </w:t>
      </w:r>
      <w:r>
        <w:t>„</w:t>
      </w:r>
      <w:r w:rsidR="001553AF">
        <w:t>atspalvio</w:t>
      </w:r>
      <w:r>
        <w:t>“</w:t>
      </w:r>
      <w:r w:rsidR="001553AF">
        <w:t xml:space="preserve"> žmonių elgsenai suteikė </w:t>
      </w:r>
      <w:r w:rsidR="003C284E">
        <w:t xml:space="preserve">ir </w:t>
      </w:r>
      <w:r w:rsidR="001553AF">
        <w:t xml:space="preserve">9-asis </w:t>
      </w:r>
      <w:r w:rsidR="003C284E">
        <w:t>bei 7-asis veiks</w:t>
      </w:r>
      <w:r w:rsidR="008F55FE">
        <w:t>niai, kurie buvo įvertinti 3 balais.</w:t>
      </w:r>
      <w:r w:rsidR="001A7420">
        <w:t xml:space="preserve"> Ekspertų nuomone, </w:t>
      </w:r>
      <w:r w:rsidR="00146A06">
        <w:t xml:space="preserve">didelė dalis </w:t>
      </w:r>
      <w:r w:rsidR="00C57134">
        <w:t xml:space="preserve">socialinių išmokų gavėjų stengiasi pašalinti </w:t>
      </w:r>
      <w:r w:rsidR="00C57134" w:rsidRPr="004654EA">
        <w:rPr>
          <w:i/>
        </w:rPr>
        <w:t>kliūtis</w:t>
      </w:r>
      <w:r w:rsidR="00C57134">
        <w:t xml:space="preserve">, </w:t>
      </w:r>
      <w:r w:rsidR="009248C9">
        <w:t xml:space="preserve">kurios </w:t>
      </w:r>
      <w:r w:rsidR="00C57134">
        <w:t>neleidžia jiems</w:t>
      </w:r>
      <w:r w:rsidR="00453BE0">
        <w:t xml:space="preserve"> įsidarbinti</w:t>
      </w:r>
      <w:r w:rsidR="00634FFC">
        <w:t xml:space="preserve">, </w:t>
      </w:r>
      <w:r w:rsidR="00F00752">
        <w:t>o</w:t>
      </w:r>
      <w:r w:rsidR="00634FFC">
        <w:t xml:space="preserve"> </w:t>
      </w:r>
      <w:r w:rsidR="00B14695">
        <w:t>įsidarbinę</w:t>
      </w:r>
      <w:r w:rsidR="00F00752">
        <w:t xml:space="preserve"> –</w:t>
      </w:r>
      <w:r w:rsidR="002B5E1E">
        <w:t xml:space="preserve"> </w:t>
      </w:r>
      <w:r w:rsidR="00903D1D">
        <w:t>atli</w:t>
      </w:r>
      <w:r w:rsidR="002B5E1E">
        <w:t>eka</w:t>
      </w:r>
      <w:r w:rsidR="00903D1D">
        <w:t xml:space="preserve"> </w:t>
      </w:r>
      <w:r w:rsidR="0070436E" w:rsidRPr="004654EA">
        <w:rPr>
          <w:i/>
        </w:rPr>
        <w:t>pareig</w:t>
      </w:r>
      <w:r w:rsidR="002B5E1E" w:rsidRPr="004654EA">
        <w:rPr>
          <w:i/>
        </w:rPr>
        <w:t>ą</w:t>
      </w:r>
      <w:r w:rsidR="0070436E">
        <w:t xml:space="preserve"> </w:t>
      </w:r>
      <w:r w:rsidR="0006737B">
        <w:t>pranešti apie</w:t>
      </w:r>
      <w:r w:rsidR="000B04EB">
        <w:t xml:space="preserve"> tai reikiamoms institucijoms</w:t>
      </w:r>
      <w:r w:rsidR="008253C5">
        <w:t>. Nors</w:t>
      </w:r>
      <w:r w:rsidR="009248C9">
        <w:t xml:space="preserve"> </w:t>
      </w:r>
      <w:r w:rsidR="00E15902">
        <w:t>tok</w:t>
      </w:r>
      <w:r w:rsidR="001B31C4">
        <w:t>ie</w:t>
      </w:r>
      <w:r w:rsidR="002B5E1E">
        <w:t xml:space="preserve"> veiksmai byloja </w:t>
      </w:r>
      <w:r w:rsidR="00BA1791">
        <w:t xml:space="preserve">apie </w:t>
      </w:r>
      <w:r w:rsidR="005E186D">
        <w:t>sveikintin</w:t>
      </w:r>
      <w:r w:rsidR="00BA1791">
        <w:t>ą</w:t>
      </w:r>
      <w:r w:rsidR="008626D5">
        <w:t xml:space="preserve"> elgseną</w:t>
      </w:r>
      <w:r w:rsidR="008253C5">
        <w:t xml:space="preserve">, </w:t>
      </w:r>
      <w:r w:rsidR="00BC0AE3">
        <w:t>š</w:t>
      </w:r>
      <w:r w:rsidR="001B31C4">
        <w:t>ių veiksnių</w:t>
      </w:r>
      <w:r w:rsidR="004E3CAC">
        <w:t xml:space="preserve"> </w:t>
      </w:r>
      <w:r w:rsidR="000736A7">
        <w:t>vertinimai</w:t>
      </w:r>
      <w:r w:rsidR="009248C9">
        <w:t>, mūsų supratimu,</w:t>
      </w:r>
      <w:r w:rsidR="000736A7">
        <w:t xml:space="preserve"> prieštarauja </w:t>
      </w:r>
      <w:r w:rsidR="005E186D">
        <w:t xml:space="preserve">tiems </w:t>
      </w:r>
      <w:r w:rsidR="000736A7">
        <w:t>vertinimams</w:t>
      </w:r>
      <w:r w:rsidR="002340FD">
        <w:t xml:space="preserve">, </w:t>
      </w:r>
      <w:r w:rsidR="005E186D">
        <w:t>kurie buvo atlikti</w:t>
      </w:r>
      <w:r w:rsidR="002340FD">
        <w:t>, nustatant elgsenos pobūdį</w:t>
      </w:r>
      <w:r w:rsidR="00B6314E">
        <w:t xml:space="preserve"> </w:t>
      </w:r>
      <w:r w:rsidR="00B6314E" w:rsidRPr="00936A8D">
        <w:t>(</w:t>
      </w:r>
      <w:r w:rsidR="00310305" w:rsidRPr="00936A8D">
        <w:t>žr. bedarbių ir</w:t>
      </w:r>
      <w:r w:rsidR="00B6314E" w:rsidRPr="00936A8D">
        <w:t xml:space="preserve"> socialinės paramos gavėjų finansinės elgsenos pobūdžio nustatymas)</w:t>
      </w:r>
      <w:r w:rsidR="000736A7" w:rsidRPr="00936A8D">
        <w:t>,</w:t>
      </w:r>
      <w:r w:rsidR="000736A7">
        <w:t xml:space="preserve"> todėl</w:t>
      </w:r>
      <w:r w:rsidR="00A010EE">
        <w:t>, tikėtina</w:t>
      </w:r>
      <w:r w:rsidR="0018180C">
        <w:t xml:space="preserve">, kad </w:t>
      </w:r>
      <w:r w:rsidR="00F56DCE">
        <w:t xml:space="preserve">šitaip </w:t>
      </w:r>
      <w:r w:rsidR="00BB5C7F">
        <w:t xml:space="preserve">buvo išreiškiama </w:t>
      </w:r>
      <w:r w:rsidR="00BB5C7F" w:rsidRPr="001A20DC">
        <w:rPr>
          <w:i/>
        </w:rPr>
        <w:t>neutrali pozicija</w:t>
      </w:r>
      <w:r w:rsidR="00A010EE">
        <w:t>.</w:t>
      </w:r>
    </w:p>
    <w:p w:rsidR="00F7421E" w:rsidRDefault="00922D7F" w:rsidP="00AF5A65">
      <w:r w:rsidRPr="00922D7F">
        <w:rPr>
          <w:b/>
          <w:i/>
          <w:u w:val="single"/>
        </w:rPr>
        <w:t>Gautų r</w:t>
      </w:r>
      <w:r w:rsidR="00717D7F" w:rsidRPr="00922D7F">
        <w:rPr>
          <w:b/>
          <w:i/>
          <w:u w:val="single"/>
        </w:rPr>
        <w:t>ezultatų apibendrinimas</w:t>
      </w:r>
      <w:r w:rsidRPr="00922D7F">
        <w:rPr>
          <w:b/>
          <w:i/>
          <w:u w:val="single"/>
        </w:rPr>
        <w:t xml:space="preserve"> ir problemų identifikavimas</w:t>
      </w:r>
      <w:r w:rsidR="00717D7F" w:rsidRPr="00922D7F">
        <w:t>:</w:t>
      </w:r>
      <w:r w:rsidR="00717D7F">
        <w:t xml:space="preserve"> </w:t>
      </w:r>
      <w:r w:rsidR="00AE45CC">
        <w:t>remiantis dvie</w:t>
      </w:r>
      <w:r w:rsidR="004D2867">
        <w:t>jų</w:t>
      </w:r>
      <w:r w:rsidR="00AE45CC">
        <w:t xml:space="preserve"> skirting</w:t>
      </w:r>
      <w:r w:rsidR="004D2867">
        <w:t>ų</w:t>
      </w:r>
      <w:r w:rsidR="00147B2E">
        <w:t xml:space="preserve">, </w:t>
      </w:r>
      <w:r>
        <w:t>tačiau</w:t>
      </w:r>
      <w:r w:rsidR="00AE45CC">
        <w:t xml:space="preserve"> tuo pačiu principu atlikt</w:t>
      </w:r>
      <w:r w:rsidR="004D2867">
        <w:t>ų</w:t>
      </w:r>
      <w:r w:rsidR="00147B2E">
        <w:t>,</w:t>
      </w:r>
      <w:r w:rsidR="004D2867">
        <w:t xml:space="preserve"> tyrimų rezultatais</w:t>
      </w:r>
      <w:r w:rsidR="00147B2E">
        <w:t xml:space="preserve">, galima teigti, jog </w:t>
      </w:r>
      <w:r w:rsidR="00147B2E" w:rsidRPr="00FC4369">
        <w:rPr>
          <w:b/>
          <w:i/>
        </w:rPr>
        <w:t>hipotezė</w:t>
      </w:r>
      <w:r w:rsidR="00A5191F">
        <w:rPr>
          <w:b/>
          <w:i/>
        </w:rPr>
        <w:t xml:space="preserve"> </w:t>
      </w:r>
      <w:r w:rsidR="003D4FEB" w:rsidRPr="00FC4369">
        <w:rPr>
          <w:b/>
          <w:i/>
        </w:rPr>
        <w:t>H</w:t>
      </w:r>
      <w:r w:rsidR="003D4FEB" w:rsidRPr="00FC4369">
        <w:rPr>
          <w:b/>
          <w:i/>
          <w:vertAlign w:val="subscript"/>
        </w:rPr>
        <w:t>1</w:t>
      </w:r>
      <w:r w:rsidR="001916D0">
        <w:t xml:space="preserve">, kad </w:t>
      </w:r>
      <w:r w:rsidR="00A17B0D">
        <w:t>daugumos nedarbo draudimo išmok</w:t>
      </w:r>
      <w:r w:rsidR="00201B7F">
        <w:t>as</w:t>
      </w:r>
      <w:r w:rsidR="00A17B0D">
        <w:t xml:space="preserve"> ir</w:t>
      </w:r>
      <w:r w:rsidR="00201B7F">
        <w:t> / ar</w:t>
      </w:r>
      <w:r w:rsidR="00A17B0D">
        <w:t xml:space="preserve"> socialin</w:t>
      </w:r>
      <w:r w:rsidR="00201B7F">
        <w:t>ę</w:t>
      </w:r>
      <w:r w:rsidR="00A17B0D">
        <w:t xml:space="preserve"> param</w:t>
      </w:r>
      <w:r w:rsidR="00201B7F">
        <w:t>ą</w:t>
      </w:r>
      <w:r w:rsidR="00A17B0D">
        <w:t xml:space="preserve"> </w:t>
      </w:r>
      <w:r w:rsidR="00201B7F">
        <w:t xml:space="preserve">gaunančių žmonių finansinė </w:t>
      </w:r>
      <w:r w:rsidR="00A17B0D">
        <w:t xml:space="preserve">elgsena yra neracionali, </w:t>
      </w:r>
      <w:r w:rsidR="00FC4369" w:rsidRPr="0006317F">
        <w:rPr>
          <w:b/>
          <w:i/>
        </w:rPr>
        <w:t>pasitvirtino</w:t>
      </w:r>
      <w:r w:rsidR="00F92257">
        <w:rPr>
          <w:b/>
          <w:i/>
        </w:rPr>
        <w:t xml:space="preserve">, </w:t>
      </w:r>
      <w:r w:rsidR="0039619A">
        <w:rPr>
          <w:b/>
          <w:i/>
        </w:rPr>
        <w:t xml:space="preserve">– </w:t>
      </w:r>
      <w:r w:rsidR="008A51E8">
        <w:rPr>
          <w:b/>
          <w:i/>
        </w:rPr>
        <w:t>bet</w:t>
      </w:r>
      <w:r w:rsidR="00F92257">
        <w:rPr>
          <w:b/>
          <w:i/>
        </w:rPr>
        <w:t xml:space="preserve"> tik</w:t>
      </w:r>
      <w:r w:rsidR="0006317F" w:rsidRPr="0006317F">
        <w:rPr>
          <w:b/>
          <w:i/>
        </w:rPr>
        <w:t xml:space="preserve"> </w:t>
      </w:r>
      <w:r w:rsidR="00A30D51" w:rsidRPr="0006317F">
        <w:rPr>
          <w:b/>
          <w:i/>
        </w:rPr>
        <w:t>iš dalies</w:t>
      </w:r>
      <w:r w:rsidR="0039619A" w:rsidRPr="007A571C">
        <w:t>,</w:t>
      </w:r>
      <w:r w:rsidR="00F92257" w:rsidRPr="007A571C">
        <w:t xml:space="preserve"> </w:t>
      </w:r>
      <w:r w:rsidR="00A5191F">
        <w:rPr>
          <w:i/>
        </w:rPr>
        <w:t>nes</w:t>
      </w:r>
      <w:r w:rsidR="00F92257" w:rsidRPr="007A571C">
        <w:rPr>
          <w:i/>
        </w:rPr>
        <w:t xml:space="preserve"> </w:t>
      </w:r>
      <w:r w:rsidR="00961ECF" w:rsidRPr="007A571C">
        <w:rPr>
          <w:i/>
        </w:rPr>
        <w:t xml:space="preserve">patys </w:t>
      </w:r>
      <w:r w:rsidR="001B6A25">
        <w:rPr>
          <w:i/>
        </w:rPr>
        <w:t xml:space="preserve">bedarbiai bei socialinės paramos gavėjai </w:t>
      </w:r>
      <w:r w:rsidR="0006317F" w:rsidRPr="007A571C">
        <w:rPr>
          <w:i/>
        </w:rPr>
        <w:t>savo elgseną</w:t>
      </w:r>
      <w:r w:rsidR="00961ECF" w:rsidRPr="007A571C">
        <w:rPr>
          <w:i/>
        </w:rPr>
        <w:t xml:space="preserve"> buvo linkę</w:t>
      </w:r>
      <w:r w:rsidR="007E65EB" w:rsidRPr="007A571C">
        <w:rPr>
          <w:i/>
        </w:rPr>
        <w:t xml:space="preserve"> vertinti geriau</w:t>
      </w:r>
      <w:r w:rsidR="001B6A25">
        <w:rPr>
          <w:i/>
        </w:rPr>
        <w:t xml:space="preserve"> negu</w:t>
      </w:r>
      <w:r w:rsidR="00614C88">
        <w:rPr>
          <w:i/>
        </w:rPr>
        <w:t xml:space="preserve"> ekspertai</w:t>
      </w:r>
      <w:r w:rsidR="007E65EB" w:rsidRPr="00D06546">
        <w:rPr>
          <w:i/>
        </w:rPr>
        <w:t>.</w:t>
      </w:r>
      <w:r w:rsidR="00D06546">
        <w:t xml:space="preserve"> </w:t>
      </w:r>
      <w:r w:rsidR="005141CF">
        <w:t>Tačiau</w:t>
      </w:r>
      <w:r w:rsidR="00184390">
        <w:t xml:space="preserve">, </w:t>
      </w:r>
      <w:r w:rsidR="003A27BA">
        <w:t>suprant</w:t>
      </w:r>
      <w:r w:rsidR="00776168">
        <w:t>ant</w:t>
      </w:r>
      <w:r w:rsidR="00184390">
        <w:t xml:space="preserve">, jog </w:t>
      </w:r>
      <w:r w:rsidR="0002706C">
        <w:t>labiau patikimi turėtų būti</w:t>
      </w:r>
      <w:r w:rsidR="00427813">
        <w:t xml:space="preserve"> </w:t>
      </w:r>
      <w:r w:rsidR="0002706C">
        <w:t xml:space="preserve">specialistų </w:t>
      </w:r>
      <w:r w:rsidR="00427813">
        <w:t>vertinimai</w:t>
      </w:r>
      <w:r w:rsidR="00184390">
        <w:t xml:space="preserve"> (</w:t>
      </w:r>
      <w:r w:rsidR="00F02D11">
        <w:t>dar</w:t>
      </w:r>
      <w:r w:rsidR="0002706C">
        <w:t>oma</w:t>
      </w:r>
      <w:r w:rsidR="00F02D11">
        <w:t xml:space="preserve"> prielaida, jog</w:t>
      </w:r>
      <w:r w:rsidR="008A51E8">
        <w:t xml:space="preserve"> ekspertai</w:t>
      </w:r>
      <w:r w:rsidR="005D40DE">
        <w:t xml:space="preserve">, </w:t>
      </w:r>
      <w:r w:rsidR="008A51E8">
        <w:t>kitaip</w:t>
      </w:r>
      <w:r w:rsidR="0002706C">
        <w:t xml:space="preserve"> negu</w:t>
      </w:r>
      <w:r w:rsidR="00BD416F">
        <w:t xml:space="preserve"> </w:t>
      </w:r>
      <w:r w:rsidR="00D70659">
        <w:t xml:space="preserve">bedarbiai ar socialinės paramos </w:t>
      </w:r>
      <w:r w:rsidR="00BD416F">
        <w:t>gavėjai</w:t>
      </w:r>
      <w:r w:rsidR="005D40DE">
        <w:t>,</w:t>
      </w:r>
      <w:r w:rsidR="00D70659">
        <w:t xml:space="preserve"> </w:t>
      </w:r>
      <w:r w:rsidR="00BD416F">
        <w:t>neturi</w:t>
      </w:r>
      <w:r w:rsidR="008A51E8">
        <w:t xml:space="preserve"> preteksto </w:t>
      </w:r>
      <w:r w:rsidR="00BD416F">
        <w:t xml:space="preserve">teikti </w:t>
      </w:r>
      <w:r w:rsidR="005478AE">
        <w:t>klaiding</w:t>
      </w:r>
      <w:r w:rsidR="00BD416F">
        <w:t>ų atsakymų)</w:t>
      </w:r>
      <w:r w:rsidR="00F95917">
        <w:t xml:space="preserve">, </w:t>
      </w:r>
      <w:r w:rsidR="00627C08">
        <w:t>galim</w:t>
      </w:r>
      <w:r w:rsidR="008461D1" w:rsidRPr="007A571C">
        <w:t xml:space="preserve">a </w:t>
      </w:r>
      <w:r w:rsidR="00F95917" w:rsidRPr="007A571C">
        <w:t xml:space="preserve">konstatuoti, jog </w:t>
      </w:r>
      <w:r w:rsidR="00F95917" w:rsidRPr="00040F1F">
        <w:rPr>
          <w:i/>
        </w:rPr>
        <w:t xml:space="preserve">neracionalumas </w:t>
      </w:r>
      <w:r w:rsidR="00627C08">
        <w:rPr>
          <w:i/>
        </w:rPr>
        <w:t xml:space="preserve">pas socialinių išmokų gavėjus </w:t>
      </w:r>
      <w:r w:rsidR="00C25A3F" w:rsidRPr="00040F1F">
        <w:rPr>
          <w:i/>
        </w:rPr>
        <w:t>reiškė</w:t>
      </w:r>
      <w:r w:rsidR="00776168" w:rsidRPr="00040F1F">
        <w:rPr>
          <w:i/>
        </w:rPr>
        <w:t>si</w:t>
      </w:r>
      <w:r w:rsidR="00C25A3F" w:rsidRPr="00040F1F">
        <w:rPr>
          <w:i/>
        </w:rPr>
        <w:t xml:space="preserve"> labiau </w:t>
      </w:r>
      <w:r w:rsidR="00627C08">
        <w:rPr>
          <w:i/>
        </w:rPr>
        <w:t>ne</w:t>
      </w:r>
      <w:r w:rsidR="000D7186">
        <w:rPr>
          <w:i/>
        </w:rPr>
        <w:t>gu</w:t>
      </w:r>
      <w:r w:rsidR="00C25A3F" w:rsidRPr="00040F1F">
        <w:rPr>
          <w:i/>
        </w:rPr>
        <w:t xml:space="preserve"> racionalumas</w:t>
      </w:r>
      <w:r w:rsidR="00C25A3F">
        <w:t>.</w:t>
      </w:r>
    </w:p>
    <w:p w:rsidR="00DA4AAE" w:rsidRDefault="007A571C" w:rsidP="00D92536">
      <w:r w:rsidRPr="007A571C">
        <w:t>Kalbant apie</w:t>
      </w:r>
      <w:r w:rsidR="00C753E5">
        <w:t xml:space="preserve"> neracionalumą</w:t>
      </w:r>
      <w:r w:rsidRPr="007A571C">
        <w:t>, rei</w:t>
      </w:r>
      <w:r w:rsidR="004E3167">
        <w:t>k</w:t>
      </w:r>
      <w:r w:rsidRPr="007A571C">
        <w:t>tų</w:t>
      </w:r>
      <w:r w:rsidR="003A27BA">
        <w:t xml:space="preserve"> pasakyti</w:t>
      </w:r>
      <w:r w:rsidR="006C6EDE">
        <w:t xml:space="preserve">, jog </w:t>
      </w:r>
      <w:r w:rsidR="004655E8">
        <w:t>pirm</w:t>
      </w:r>
      <w:r w:rsidR="004E3167">
        <w:t>am</w:t>
      </w:r>
      <w:r w:rsidR="004655E8">
        <w:t xml:space="preserve"> tyrim</w:t>
      </w:r>
      <w:r w:rsidR="004E3167">
        <w:t>e</w:t>
      </w:r>
      <w:r w:rsidR="004655E8">
        <w:t xml:space="preserve"> </w:t>
      </w:r>
      <w:r w:rsidR="00C46F9C">
        <w:t xml:space="preserve">hipotezė </w:t>
      </w:r>
      <w:r w:rsidR="00D91610" w:rsidRPr="00D91610">
        <w:rPr>
          <w:i/>
        </w:rPr>
        <w:t>H</w:t>
      </w:r>
      <w:r w:rsidR="00D91610" w:rsidRPr="00D91610">
        <w:rPr>
          <w:i/>
          <w:vertAlign w:val="subscript"/>
        </w:rPr>
        <w:t>2</w:t>
      </w:r>
      <w:r w:rsidR="003A27BA">
        <w:t>, kad netinkamą elgseną</w:t>
      </w:r>
      <w:r w:rsidR="00D91610">
        <w:t xml:space="preserve"> </w:t>
      </w:r>
      <w:r w:rsidR="00745071">
        <w:t xml:space="preserve">dažniausiai </w:t>
      </w:r>
      <w:r w:rsidR="004E3167">
        <w:t xml:space="preserve">lemia emociniai-psichologiniai veiksniai, </w:t>
      </w:r>
      <w:r w:rsidR="004655E8">
        <w:t>pa</w:t>
      </w:r>
      <w:r w:rsidR="00745071">
        <w:t>sitvirtino</w:t>
      </w:r>
      <w:r w:rsidR="004655E8">
        <w:t>, o antr</w:t>
      </w:r>
      <w:r w:rsidR="00745071">
        <w:t>ajame</w:t>
      </w:r>
      <w:r w:rsidR="00C46F9C">
        <w:t xml:space="preserve"> –</w:t>
      </w:r>
      <w:r w:rsidR="008D1B07">
        <w:t xml:space="preserve"> </w:t>
      </w:r>
      <w:r w:rsidR="004E3167">
        <w:t xml:space="preserve">buvo </w:t>
      </w:r>
      <w:r w:rsidR="008D1B07">
        <w:t>atmesta.</w:t>
      </w:r>
      <w:r w:rsidR="001A26E6">
        <w:t xml:space="preserve"> Tačiau </w:t>
      </w:r>
      <w:r w:rsidR="00750B9A">
        <w:t>tai</w:t>
      </w:r>
      <w:r w:rsidR="005D1F47">
        <w:t>, kad</w:t>
      </w:r>
      <w:r w:rsidR="001A26E6">
        <w:t xml:space="preserve"> abu tyrimai</w:t>
      </w:r>
      <w:r w:rsidR="005D1F47">
        <w:t xml:space="preserve"> parodė</w:t>
      </w:r>
      <w:r w:rsidR="001A26E6">
        <w:t xml:space="preserve">, </w:t>
      </w:r>
      <w:r w:rsidR="004A0299">
        <w:t>jog labai didelę</w:t>
      </w:r>
      <w:r w:rsidR="00F45D8D">
        <w:t xml:space="preserve"> įtaką </w:t>
      </w:r>
      <w:r w:rsidR="005D1F47">
        <w:t xml:space="preserve">finansiniams </w:t>
      </w:r>
      <w:r w:rsidR="00F45D8D">
        <w:t>sprendimams daro</w:t>
      </w:r>
      <w:r w:rsidR="000913F9">
        <w:t xml:space="preserve"> ekonominiai veiksniai, </w:t>
      </w:r>
      <w:r w:rsidR="00750B9A">
        <w:t xml:space="preserve">mus </w:t>
      </w:r>
      <w:r w:rsidR="004806C4">
        <w:t>pri</w:t>
      </w:r>
      <w:r w:rsidR="00750B9A">
        <w:t>vertė</w:t>
      </w:r>
      <w:r w:rsidR="00C64642">
        <w:t xml:space="preserve"> </w:t>
      </w:r>
      <w:r w:rsidR="005D1F47">
        <w:t xml:space="preserve">daryti tokią išvadą: </w:t>
      </w:r>
      <w:r w:rsidR="000075C4" w:rsidRPr="00652AD0">
        <w:rPr>
          <w:i/>
        </w:rPr>
        <w:t>neracionalią</w:t>
      </w:r>
      <w:r w:rsidR="00AC4C28" w:rsidRPr="00652AD0">
        <w:rPr>
          <w:i/>
        </w:rPr>
        <w:t xml:space="preserve"> </w:t>
      </w:r>
      <w:r w:rsidR="004806C4" w:rsidRPr="00652AD0">
        <w:rPr>
          <w:i/>
        </w:rPr>
        <w:t xml:space="preserve">finansinę </w:t>
      </w:r>
      <w:r w:rsidR="00AC4C28" w:rsidRPr="00652AD0">
        <w:rPr>
          <w:i/>
        </w:rPr>
        <w:t>elgseną</w:t>
      </w:r>
      <w:r w:rsidR="00AC4C28">
        <w:t xml:space="preserve"> </w:t>
      </w:r>
      <w:r w:rsidR="00AC4C28" w:rsidRPr="00652AD0">
        <w:rPr>
          <w:i/>
        </w:rPr>
        <w:t xml:space="preserve">labiausiai </w:t>
      </w:r>
      <w:r w:rsidR="000F35DE" w:rsidRPr="00C94E01">
        <w:rPr>
          <w:i/>
        </w:rPr>
        <w:t>skatina</w:t>
      </w:r>
      <w:r w:rsidR="00DF0FD5" w:rsidRPr="00652AD0">
        <w:rPr>
          <w:i/>
        </w:rPr>
        <w:t xml:space="preserve"> ekonominiai veiksniai</w:t>
      </w:r>
      <w:r w:rsidR="00DF0FD5">
        <w:t>, kurie</w:t>
      </w:r>
      <w:r w:rsidR="000F35DE">
        <w:t xml:space="preserve"> </w:t>
      </w:r>
      <w:r w:rsidR="000F35DE" w:rsidRPr="00C94E01">
        <w:rPr>
          <w:i/>
        </w:rPr>
        <w:t>sudaro sąlygas</w:t>
      </w:r>
      <w:r w:rsidR="000F35DE">
        <w:t xml:space="preserve"> </w:t>
      </w:r>
      <w:r w:rsidR="004806C4">
        <w:t xml:space="preserve">rinktis </w:t>
      </w:r>
      <w:r w:rsidR="000F35DE">
        <w:t>netinkam</w:t>
      </w:r>
      <w:r w:rsidR="004806C4">
        <w:t>us</w:t>
      </w:r>
      <w:r w:rsidR="000F35DE">
        <w:t xml:space="preserve"> </w:t>
      </w:r>
      <w:r w:rsidR="00805D61">
        <w:t xml:space="preserve">finansinius </w:t>
      </w:r>
      <w:r w:rsidR="000F35DE">
        <w:t>sprendim</w:t>
      </w:r>
      <w:r w:rsidR="004806C4">
        <w:t>us</w:t>
      </w:r>
      <w:r w:rsidR="000F35DE">
        <w:t xml:space="preserve">, </w:t>
      </w:r>
      <w:r w:rsidR="000F35DE" w:rsidRPr="00652AD0">
        <w:rPr>
          <w:i/>
        </w:rPr>
        <w:t>tačiau patys sprendimai</w:t>
      </w:r>
      <w:r w:rsidR="001268CC" w:rsidRPr="00652AD0">
        <w:rPr>
          <w:i/>
        </w:rPr>
        <w:t xml:space="preserve"> yra lemiami </w:t>
      </w:r>
      <w:r w:rsidR="000F35DE" w:rsidRPr="00652AD0">
        <w:rPr>
          <w:i/>
        </w:rPr>
        <w:t>emocini</w:t>
      </w:r>
      <w:r w:rsidR="00535F2D" w:rsidRPr="00652AD0">
        <w:rPr>
          <w:i/>
        </w:rPr>
        <w:t>ų</w:t>
      </w:r>
      <w:r w:rsidR="000F35DE" w:rsidRPr="00652AD0">
        <w:rPr>
          <w:i/>
        </w:rPr>
        <w:t>-psichologini</w:t>
      </w:r>
      <w:r w:rsidR="00535F2D" w:rsidRPr="00652AD0">
        <w:rPr>
          <w:i/>
        </w:rPr>
        <w:t>ų</w:t>
      </w:r>
      <w:r w:rsidR="000367C4" w:rsidRPr="00652AD0">
        <w:rPr>
          <w:i/>
        </w:rPr>
        <w:t xml:space="preserve"> veiksni</w:t>
      </w:r>
      <w:r w:rsidR="00535F2D" w:rsidRPr="00652AD0">
        <w:rPr>
          <w:i/>
        </w:rPr>
        <w:t>ų</w:t>
      </w:r>
      <w:r w:rsidR="00805D61">
        <w:t xml:space="preserve">, kurie </w:t>
      </w:r>
      <w:r w:rsidR="00805D61" w:rsidRPr="003A4E31">
        <w:rPr>
          <w:i/>
        </w:rPr>
        <w:t>priverčia</w:t>
      </w:r>
      <w:r w:rsidR="00805D61">
        <w:t xml:space="preserve"> atlikti</w:t>
      </w:r>
      <w:r w:rsidR="00D96192">
        <w:t xml:space="preserve"> veiksmą</w:t>
      </w:r>
      <w:r w:rsidR="000367C4">
        <w:t>.</w:t>
      </w:r>
      <w:r w:rsidR="003A4E31">
        <w:t xml:space="preserve"> Tai reiškia, jog</w:t>
      </w:r>
      <w:r w:rsidR="00D92536">
        <w:t xml:space="preserve"> </w:t>
      </w:r>
      <w:r w:rsidR="00D92536" w:rsidRPr="000450FA">
        <w:rPr>
          <w:b/>
          <w:i/>
        </w:rPr>
        <w:t xml:space="preserve">hipotezė </w:t>
      </w:r>
      <w:r w:rsidR="000450FA" w:rsidRPr="000450FA">
        <w:rPr>
          <w:b/>
          <w:i/>
        </w:rPr>
        <w:t>H</w:t>
      </w:r>
      <w:r w:rsidR="000450FA" w:rsidRPr="000450FA">
        <w:rPr>
          <w:b/>
          <w:i/>
          <w:vertAlign w:val="subscript"/>
        </w:rPr>
        <w:t>2</w:t>
      </w:r>
      <w:r w:rsidR="000450FA" w:rsidRPr="000450FA">
        <w:rPr>
          <w:b/>
          <w:i/>
        </w:rPr>
        <w:t xml:space="preserve"> </w:t>
      </w:r>
      <w:r w:rsidR="00EA34ED">
        <w:rPr>
          <w:b/>
          <w:i/>
        </w:rPr>
        <w:t>iš dalies</w:t>
      </w:r>
      <w:r w:rsidR="00D96192">
        <w:rPr>
          <w:b/>
          <w:i/>
          <w:color w:val="0070C0"/>
        </w:rPr>
        <w:t xml:space="preserve"> </w:t>
      </w:r>
      <w:r w:rsidR="00D96192" w:rsidRPr="00D96192">
        <w:rPr>
          <w:b/>
          <w:i/>
        </w:rPr>
        <w:t>pasitvirtino</w:t>
      </w:r>
      <w:r w:rsidR="00EA34ED">
        <w:rPr>
          <w:b/>
          <w:i/>
        </w:rPr>
        <w:t>.</w:t>
      </w:r>
    </w:p>
    <w:p w:rsidR="00652AD0" w:rsidRPr="003A4E31" w:rsidRDefault="00A40D58" w:rsidP="00D92536">
      <w:pPr>
        <w:rPr>
          <w:color w:val="0070C0"/>
        </w:rPr>
      </w:pPr>
      <w:r w:rsidRPr="00174210">
        <w:t xml:space="preserve">Galima </w:t>
      </w:r>
      <w:r w:rsidR="00EA34ED" w:rsidRPr="00174210">
        <w:t xml:space="preserve">teigti, jog šiuo metu </w:t>
      </w:r>
      <w:r w:rsidR="00391BD1" w:rsidRPr="00174210">
        <w:rPr>
          <w:b/>
          <w:i/>
        </w:rPr>
        <w:t>daugiausiai problemų</w:t>
      </w:r>
      <w:r w:rsidR="00DC7B55" w:rsidRPr="00174210">
        <w:t xml:space="preserve"> yra</w:t>
      </w:r>
      <w:r w:rsidR="00391BD1" w:rsidRPr="00174210">
        <w:t xml:space="preserve"> tose srityse, kurios yra susijusios su žmogaus </w:t>
      </w:r>
      <w:r w:rsidR="000B0C63" w:rsidRPr="00174210">
        <w:t>požiūriu į save ir aplinkinius</w:t>
      </w:r>
      <w:r w:rsidR="00C204C6" w:rsidRPr="00174210">
        <w:t xml:space="preserve">: kadangi </w:t>
      </w:r>
      <w:r w:rsidR="00637953" w:rsidRPr="00174210">
        <w:t>labai didelė</w:t>
      </w:r>
      <w:r w:rsidR="003451C5" w:rsidRPr="00174210">
        <w:t xml:space="preserve"> dalis</w:t>
      </w:r>
      <w:r w:rsidR="00C204C6" w:rsidRPr="00174210">
        <w:t xml:space="preserve"> </w:t>
      </w:r>
      <w:r w:rsidR="005A7A13" w:rsidRPr="00174210">
        <w:t>bedarbių ir socialinės pa</w:t>
      </w:r>
      <w:r w:rsidR="003451C5" w:rsidRPr="00174210">
        <w:t>ramos gavėjų yra mažai motyvuota, nejaučianti</w:t>
      </w:r>
      <w:r w:rsidR="005A7A13" w:rsidRPr="00174210">
        <w:t xml:space="preserve"> poreikio darbui</w:t>
      </w:r>
      <w:r w:rsidR="002C54A2" w:rsidRPr="00174210">
        <w:t xml:space="preserve"> </w:t>
      </w:r>
      <w:r w:rsidR="00584A5A" w:rsidRPr="00174210">
        <w:t>ir,</w:t>
      </w:r>
      <w:r w:rsidR="00DE1DE1" w:rsidRPr="00174210">
        <w:t xml:space="preserve"> apskritai</w:t>
      </w:r>
      <w:r w:rsidR="00584A5A" w:rsidRPr="00174210">
        <w:t>,</w:t>
      </w:r>
      <w:r w:rsidR="003451C5" w:rsidRPr="00174210">
        <w:t xml:space="preserve"> nesuvokianti</w:t>
      </w:r>
      <w:r w:rsidR="00584A5A" w:rsidRPr="00174210">
        <w:t xml:space="preserve"> </w:t>
      </w:r>
      <w:r w:rsidR="002C54A2" w:rsidRPr="00174210">
        <w:t xml:space="preserve">nei </w:t>
      </w:r>
      <w:r w:rsidR="00584A5A" w:rsidRPr="00174210">
        <w:t>socialinės apsaugos sistemos esmės</w:t>
      </w:r>
      <w:r w:rsidR="000D77A8" w:rsidRPr="00174210">
        <w:t xml:space="preserve">, </w:t>
      </w:r>
      <w:r w:rsidR="002C54A2" w:rsidRPr="00174210">
        <w:t xml:space="preserve">nei kitų </w:t>
      </w:r>
      <w:r w:rsidR="00ED6244" w:rsidRPr="00174210">
        <w:t xml:space="preserve">žmonių </w:t>
      </w:r>
      <w:r w:rsidR="002C54A2" w:rsidRPr="00174210">
        <w:rPr>
          <w:i/>
        </w:rPr>
        <w:t>teisėtų</w:t>
      </w:r>
      <w:r w:rsidR="002C54A2" w:rsidRPr="00174210">
        <w:t xml:space="preserve"> </w:t>
      </w:r>
      <w:r w:rsidR="00ED6244" w:rsidRPr="00174210">
        <w:t xml:space="preserve">finansinių </w:t>
      </w:r>
      <w:r w:rsidR="002C54A2" w:rsidRPr="00174210">
        <w:t>lūkesčių,</w:t>
      </w:r>
      <w:r w:rsidR="00174210">
        <w:t xml:space="preserve"> tai juos „verčia“ išnaudo</w:t>
      </w:r>
      <w:r w:rsidR="00AA2861">
        <w:t>ti teisės aktų spragas ar kitais būdais</w:t>
      </w:r>
      <w:r w:rsidR="00174210">
        <w:t xml:space="preserve"> pelnytis iš socialinės apsaugos</w:t>
      </w:r>
      <w:r w:rsidR="00AA2861">
        <w:t xml:space="preserve"> sistemos</w:t>
      </w:r>
      <w:r w:rsidR="00AA2861" w:rsidRPr="00F34CBD">
        <w:t>.</w:t>
      </w:r>
      <w:r w:rsidR="002C54A2" w:rsidRPr="00F34CBD">
        <w:t xml:space="preserve"> </w:t>
      </w:r>
      <w:r w:rsidR="00AA2861" w:rsidRPr="00F34CBD">
        <w:t xml:space="preserve">Darytina išvada, jog netinkama bedarbių </w:t>
      </w:r>
      <w:r w:rsidR="00F34CBD" w:rsidRPr="00F34CBD">
        <w:t>bei</w:t>
      </w:r>
      <w:r w:rsidR="00AA2861" w:rsidRPr="00F34CBD">
        <w:t xml:space="preserve"> socialinės paramos gavėjų</w:t>
      </w:r>
      <w:r w:rsidR="00F34CBD" w:rsidRPr="00F34CBD">
        <w:t xml:space="preserve"> </w:t>
      </w:r>
      <w:r w:rsidR="00E75D01">
        <w:rPr>
          <w:b/>
          <w:i/>
        </w:rPr>
        <w:t>elgsena turėtų</w:t>
      </w:r>
      <w:r w:rsidR="005F7E2F" w:rsidRPr="00F34CBD">
        <w:rPr>
          <w:b/>
          <w:i/>
        </w:rPr>
        <w:t xml:space="preserve"> būti gerinama</w:t>
      </w:r>
      <w:r w:rsidR="004C2122" w:rsidRPr="00F34CBD">
        <w:rPr>
          <w:b/>
          <w:i/>
        </w:rPr>
        <w:t>, keičiant ne</w:t>
      </w:r>
      <w:r w:rsidR="00F34CBD" w:rsidRPr="00F34CBD">
        <w:rPr>
          <w:b/>
          <w:i/>
        </w:rPr>
        <w:t xml:space="preserve"> patį</w:t>
      </w:r>
      <w:r w:rsidR="00F34CBD">
        <w:rPr>
          <w:b/>
          <w:i/>
        </w:rPr>
        <w:t xml:space="preserve"> požiūrį</w:t>
      </w:r>
      <w:r w:rsidR="00031BCD">
        <w:rPr>
          <w:b/>
          <w:i/>
        </w:rPr>
        <w:t xml:space="preserve"> į socialinės apsaugos esmę</w:t>
      </w:r>
      <w:r w:rsidR="00F34CBD">
        <w:rPr>
          <w:b/>
          <w:i/>
        </w:rPr>
        <w:t xml:space="preserve">, </w:t>
      </w:r>
      <w:r w:rsidR="00031BCD">
        <w:rPr>
          <w:b/>
          <w:i/>
        </w:rPr>
        <w:t>o</w:t>
      </w:r>
      <w:r w:rsidR="004C2122" w:rsidRPr="00F34CBD">
        <w:rPr>
          <w:b/>
          <w:i/>
        </w:rPr>
        <w:t xml:space="preserve"> </w:t>
      </w:r>
      <w:r w:rsidR="00755373" w:rsidRPr="00F34CBD">
        <w:rPr>
          <w:b/>
          <w:i/>
        </w:rPr>
        <w:t>atsaką</w:t>
      </w:r>
      <w:r w:rsidR="003451C5" w:rsidRPr="00F34CBD">
        <w:rPr>
          <w:b/>
          <w:i/>
        </w:rPr>
        <w:t>, t. y. veiksmus</w:t>
      </w:r>
      <w:r w:rsidR="00031BCD">
        <w:rPr>
          <w:b/>
          <w:i/>
        </w:rPr>
        <w:t xml:space="preserve"> ir sprendimus</w:t>
      </w:r>
      <w:r w:rsidR="00755373" w:rsidRPr="00F34CBD">
        <w:rPr>
          <w:b/>
          <w:i/>
        </w:rPr>
        <w:t xml:space="preserve"> į susidariusias aplinkybes</w:t>
      </w:r>
      <w:r w:rsidR="00DC7B55" w:rsidRPr="001428BE">
        <w:t xml:space="preserve">, </w:t>
      </w:r>
      <w:r w:rsidR="007579E7" w:rsidRPr="001428BE">
        <w:t xml:space="preserve">kitaip </w:t>
      </w:r>
      <w:r w:rsidR="006A0A0A" w:rsidRPr="001428BE">
        <w:t>tari</w:t>
      </w:r>
      <w:r w:rsidR="007579E7" w:rsidRPr="001428BE">
        <w:t>ant</w:t>
      </w:r>
      <w:r w:rsidR="00BC6C84" w:rsidRPr="001428BE">
        <w:t>,</w:t>
      </w:r>
      <w:r w:rsidR="007579E7" w:rsidRPr="001428BE">
        <w:t xml:space="preserve"> – </w:t>
      </w:r>
      <w:r w:rsidR="00BC6C84" w:rsidRPr="001428BE">
        <w:t xml:space="preserve">šių žmonių </w:t>
      </w:r>
      <w:r w:rsidR="00031BCD" w:rsidRPr="001428BE">
        <w:t>elgsen</w:t>
      </w:r>
      <w:r w:rsidR="00BC6C84" w:rsidRPr="001428BE">
        <w:t>ą reikėtų</w:t>
      </w:r>
      <w:r w:rsidR="00031BCD" w:rsidRPr="001428BE">
        <w:t xml:space="preserve"> gerin</w:t>
      </w:r>
      <w:r w:rsidR="00BC6C84" w:rsidRPr="001428BE">
        <w:t>ti</w:t>
      </w:r>
      <w:r w:rsidR="00031BCD" w:rsidRPr="001428BE">
        <w:t xml:space="preserve"> </w:t>
      </w:r>
      <w:r w:rsidR="00BA268D" w:rsidRPr="001428BE">
        <w:t xml:space="preserve">per </w:t>
      </w:r>
      <w:r w:rsidR="00BB6964" w:rsidRPr="001428BE">
        <w:t xml:space="preserve">netiesioginių </w:t>
      </w:r>
      <w:r w:rsidR="00BA268D" w:rsidRPr="001428BE">
        <w:t>veiksnių</w:t>
      </w:r>
      <w:r w:rsidR="004C2122" w:rsidRPr="001428BE">
        <w:t xml:space="preserve">, kurie sudaro </w:t>
      </w:r>
      <w:r w:rsidR="006A0A0A" w:rsidRPr="001428BE">
        <w:t>sąlygas</w:t>
      </w:r>
      <w:r w:rsidR="004A7756" w:rsidRPr="001428BE">
        <w:t xml:space="preserve"> atlik</w:t>
      </w:r>
      <w:r w:rsidR="00F2446D" w:rsidRPr="001428BE">
        <w:t xml:space="preserve">ti netinkamus </w:t>
      </w:r>
      <w:r w:rsidR="004A7756" w:rsidRPr="001428BE">
        <w:t xml:space="preserve">finansinius </w:t>
      </w:r>
      <w:r w:rsidR="00F2446D" w:rsidRPr="001428BE">
        <w:t>sprendimus</w:t>
      </w:r>
      <w:r w:rsidR="006A0A0A" w:rsidRPr="001428BE">
        <w:t>,</w:t>
      </w:r>
      <w:r w:rsidR="00BA268D" w:rsidRPr="001428BE">
        <w:t xml:space="preserve"> įtakos sumažinimą.</w:t>
      </w:r>
    </w:p>
    <w:p w:rsidR="008D5205" w:rsidRDefault="0048450B" w:rsidP="001E4E63">
      <w:pPr>
        <w:pStyle w:val="Heading1"/>
      </w:pPr>
      <w:bookmarkStart w:id="48" w:name="_Toc343636891"/>
      <w:r>
        <w:lastRenderedPageBreak/>
        <w:t>PRIEMONĖS NEDARBO SOCIALINIO DRAUDIMO IŠMOK</w:t>
      </w:r>
      <w:r w:rsidR="00F77D26">
        <w:t>Ų</w:t>
      </w:r>
      <w:r>
        <w:t xml:space="preserve"> </w:t>
      </w:r>
      <w:r w:rsidR="00DF019F">
        <w:t xml:space="preserve">IR </w:t>
      </w:r>
      <w:r>
        <w:t>SOCIALIN</w:t>
      </w:r>
      <w:r w:rsidR="00F77D26">
        <w:t>ĖS</w:t>
      </w:r>
      <w:r>
        <w:t xml:space="preserve"> PARAMOS </w:t>
      </w:r>
      <w:r w:rsidR="00F77D26">
        <w:t xml:space="preserve">GAVĖJŲ </w:t>
      </w:r>
      <w:r>
        <w:t>FINANSINEI ELGSENAI GERINTI</w:t>
      </w:r>
      <w:bookmarkEnd w:id="48"/>
    </w:p>
    <w:p w:rsidR="000F3D7C" w:rsidRDefault="00D63AAF" w:rsidP="000F3D7C">
      <w:r>
        <w:t xml:space="preserve">Kadangi tyrimai atskleidė, jog </w:t>
      </w:r>
      <w:r w:rsidR="0020529A">
        <w:t>didžio</w:t>
      </w:r>
      <w:r w:rsidR="00E55248">
        <w:t>sios</w:t>
      </w:r>
      <w:r w:rsidR="0020529A">
        <w:t xml:space="preserve"> daugum</w:t>
      </w:r>
      <w:r w:rsidR="00E55248">
        <w:t>os</w:t>
      </w:r>
      <w:r w:rsidR="0020529A">
        <w:t xml:space="preserve"> </w:t>
      </w:r>
      <w:r w:rsidR="00E55248">
        <w:t xml:space="preserve">Lietuvos </w:t>
      </w:r>
      <w:r w:rsidR="0020529A">
        <w:t xml:space="preserve">bedarbių ir socialinės paramos gavėjų </w:t>
      </w:r>
      <w:r w:rsidR="00E55248">
        <w:t>elgsena yra nepagrįsta</w:t>
      </w:r>
      <w:r w:rsidR="00C85A20">
        <w:t xml:space="preserve"> (</w:t>
      </w:r>
      <w:r w:rsidR="005A2BAB">
        <w:t>o kartais ir ne</w:t>
      </w:r>
      <w:r w:rsidR="00C85A20">
        <w:t>teisėta)</w:t>
      </w:r>
      <w:r w:rsidR="0093081F">
        <w:t xml:space="preserve">, </w:t>
      </w:r>
      <w:r w:rsidR="007C5498">
        <w:t xml:space="preserve">– </w:t>
      </w:r>
      <w:r w:rsidR="0093081F" w:rsidRPr="007C5498">
        <w:rPr>
          <w:i/>
        </w:rPr>
        <w:t>ir todėl</w:t>
      </w:r>
      <w:r w:rsidR="00E55248" w:rsidRPr="007C5498">
        <w:rPr>
          <w:i/>
        </w:rPr>
        <w:t xml:space="preserve"> </w:t>
      </w:r>
      <w:r w:rsidR="0093081F" w:rsidRPr="007C5498">
        <w:rPr>
          <w:i/>
        </w:rPr>
        <w:t>neracionali</w:t>
      </w:r>
      <w:r w:rsidR="005A2BAB">
        <w:t>, – manytu</w:t>
      </w:r>
      <w:r w:rsidR="007051FC">
        <w:t>me, jog efektyviausias būdas tok</w:t>
      </w:r>
      <w:r w:rsidR="007C5498">
        <w:t xml:space="preserve">ių žmonių </w:t>
      </w:r>
      <w:r w:rsidR="001F70BF">
        <w:t xml:space="preserve">finansinei </w:t>
      </w:r>
      <w:r w:rsidR="007C5498">
        <w:t xml:space="preserve">elgsenai gerinti būtų </w:t>
      </w:r>
      <w:r w:rsidR="006A33C2">
        <w:t>sąlygų, leidžiančių</w:t>
      </w:r>
      <w:r w:rsidR="000D455F">
        <w:t xml:space="preserve"> </w:t>
      </w:r>
      <w:r w:rsidR="007A5454" w:rsidRPr="00C153CF">
        <w:rPr>
          <w:i/>
        </w:rPr>
        <w:t>nepagrįstai</w:t>
      </w:r>
      <w:r w:rsidR="007A5454">
        <w:t xml:space="preserve"> </w:t>
      </w:r>
      <w:r w:rsidR="000D455F" w:rsidRPr="00FA163F">
        <w:t>pasinaudoti socialine</w:t>
      </w:r>
      <w:r w:rsidR="002B7F9C" w:rsidRPr="00FA163F">
        <w:t xml:space="preserve"> gerove</w:t>
      </w:r>
      <w:r w:rsidR="000D455F" w:rsidRPr="00FA163F">
        <w:t>,</w:t>
      </w:r>
      <w:r w:rsidR="000D455F">
        <w:t xml:space="preserve"> pakeitimas</w:t>
      </w:r>
      <w:r w:rsidR="007C7563">
        <w:t xml:space="preserve">. Taigi </w:t>
      </w:r>
      <w:r w:rsidR="00C74B69">
        <w:t xml:space="preserve">atsiranda poreikis peržiūrėti šiuo metu galiojančią </w:t>
      </w:r>
      <w:r w:rsidR="007C7563">
        <w:t xml:space="preserve">nedarbo draudimo išmokų mokėjimo ir socialinės paramos teikimo </w:t>
      </w:r>
      <w:r w:rsidR="00C74B69">
        <w:t xml:space="preserve">tvarką </w:t>
      </w:r>
      <w:r w:rsidR="002B7F9C">
        <w:t>bei</w:t>
      </w:r>
      <w:r w:rsidR="00B022B5">
        <w:t xml:space="preserve"> </w:t>
      </w:r>
      <w:r w:rsidR="00B022B5" w:rsidRPr="002B7F9C">
        <w:t xml:space="preserve">pasiūlyti </w:t>
      </w:r>
      <w:r w:rsidR="002B7F9C" w:rsidRPr="002B7F9C">
        <w:t xml:space="preserve">galimus </w:t>
      </w:r>
      <w:r w:rsidR="00B022B5" w:rsidRPr="002B7F9C">
        <w:t xml:space="preserve">sprendimus </w:t>
      </w:r>
      <w:r w:rsidR="00BA5A41" w:rsidRPr="002B7F9C">
        <w:t xml:space="preserve">egzistuojančioms </w:t>
      </w:r>
      <w:r w:rsidR="00C85A20" w:rsidRPr="002B7F9C">
        <w:t>spragoms</w:t>
      </w:r>
      <w:r w:rsidR="00D618CC" w:rsidRPr="002B7F9C">
        <w:t xml:space="preserve"> šalinti</w:t>
      </w:r>
      <w:r w:rsidR="0023011C" w:rsidRPr="002B7F9C">
        <w:t>.</w:t>
      </w:r>
    </w:p>
    <w:p w:rsidR="008D7DC9" w:rsidRDefault="009F4A38" w:rsidP="009F4A38">
      <w:pPr>
        <w:pStyle w:val="Heading2"/>
      </w:pPr>
      <w:bookmarkStart w:id="49" w:name="_Toc343636892"/>
      <w:r w:rsidRPr="0078481A">
        <w:t>Lietuvo</w:t>
      </w:r>
      <w:r w:rsidR="001E700C" w:rsidRPr="0078481A">
        <w:t>s socialinės politikos</w:t>
      </w:r>
      <w:r w:rsidR="001E700C">
        <w:t xml:space="preserve"> </w:t>
      </w:r>
      <w:r w:rsidR="002D1A0C">
        <w:t>bruožai, teikiant</w:t>
      </w:r>
      <w:r w:rsidR="0078481A">
        <w:t xml:space="preserve"> pagalbą</w:t>
      </w:r>
      <w:r w:rsidR="006135AE">
        <w:t xml:space="preserve"> </w:t>
      </w:r>
      <w:r w:rsidR="001E700C" w:rsidRPr="001A3C5C">
        <w:t>bedarbi</w:t>
      </w:r>
      <w:r w:rsidR="006135AE" w:rsidRPr="001A3C5C">
        <w:t>ams</w:t>
      </w:r>
      <w:r w:rsidR="001E700C" w:rsidRPr="001A3C5C">
        <w:t xml:space="preserve"> ir skurstan</w:t>
      </w:r>
      <w:r w:rsidR="006135AE" w:rsidRPr="001A3C5C">
        <w:t>tiesiems</w:t>
      </w:r>
      <w:bookmarkEnd w:id="49"/>
      <w:r w:rsidR="001E700C">
        <w:t xml:space="preserve"> </w:t>
      </w:r>
    </w:p>
    <w:p w:rsidR="00B81175" w:rsidRPr="0080293D" w:rsidRDefault="001D56AF" w:rsidP="009F4A38">
      <w:r w:rsidRPr="0080293D">
        <w:t>Kalbant apie Lietuvos socialinę politiką</w:t>
      </w:r>
      <w:r w:rsidR="00785721" w:rsidRPr="0080293D">
        <w:t xml:space="preserve"> </w:t>
      </w:r>
      <w:r w:rsidR="00785721" w:rsidRPr="0080293D">
        <w:rPr>
          <w:b/>
          <w:i/>
        </w:rPr>
        <w:t>darbo netekimo</w:t>
      </w:r>
      <w:r w:rsidR="00785721" w:rsidRPr="0080293D">
        <w:t xml:space="preserve"> </w:t>
      </w:r>
      <w:r w:rsidR="005F0A19" w:rsidRPr="0080293D">
        <w:t>atveju</w:t>
      </w:r>
      <w:r w:rsidR="00373DE3" w:rsidRPr="0080293D">
        <w:t>, reiktų</w:t>
      </w:r>
      <w:r w:rsidR="00D60CED" w:rsidRPr="0080293D">
        <w:t xml:space="preserve"> pasakyti</w:t>
      </w:r>
      <w:r w:rsidR="005F0A19" w:rsidRPr="0080293D">
        <w:t xml:space="preserve">, jog </w:t>
      </w:r>
      <w:r w:rsidR="002024F0" w:rsidRPr="0080293D">
        <w:t xml:space="preserve">šiuo metu </w:t>
      </w:r>
      <w:r w:rsidR="00D60CED" w:rsidRPr="0080293D">
        <w:t xml:space="preserve">pagal darbo sutartis </w:t>
      </w:r>
      <w:r w:rsidR="00685584" w:rsidRPr="0080293D">
        <w:t>dirbantys ar k</w:t>
      </w:r>
      <w:r w:rsidR="00B81175" w:rsidRPr="0080293D">
        <w:t>t.</w:t>
      </w:r>
      <w:r w:rsidR="00685584" w:rsidRPr="0080293D">
        <w:t xml:space="preserve"> sąlygas atitinkantys </w:t>
      </w:r>
      <w:r w:rsidR="002024F0" w:rsidRPr="0080293D">
        <w:t>žmonės</w:t>
      </w:r>
      <w:r w:rsidR="00B81175" w:rsidRPr="0080293D">
        <w:t xml:space="preserve"> socialiniu draudimu yra draudžiami privalomai, todėl </w:t>
      </w:r>
      <w:r w:rsidR="00454C63" w:rsidRPr="0080293D">
        <w:t xml:space="preserve">dėl </w:t>
      </w:r>
      <w:r w:rsidR="00B81175" w:rsidRPr="0080293D">
        <w:t xml:space="preserve">nedarbo negautos </w:t>
      </w:r>
      <w:r w:rsidR="00454C63" w:rsidRPr="0080293D">
        <w:t xml:space="preserve">pajamos (ar jų dalis) </w:t>
      </w:r>
      <w:r w:rsidR="00603C8C" w:rsidRPr="0080293D">
        <w:rPr>
          <w:i/>
        </w:rPr>
        <w:t>įstatymų nustatytais atvejais</w:t>
      </w:r>
      <w:r w:rsidR="00603C8C" w:rsidRPr="0080293D">
        <w:t xml:space="preserve"> </w:t>
      </w:r>
      <w:r w:rsidR="00454C63" w:rsidRPr="0080293D">
        <w:t>jiems yra kompensuojamos</w:t>
      </w:r>
      <w:r w:rsidR="00346F79" w:rsidRPr="0080293D">
        <w:t xml:space="preserve"> valstybės.</w:t>
      </w:r>
      <w:r w:rsidR="008F7ABE" w:rsidRPr="0080293D">
        <w:t xml:space="preserve"> Remiantis Nedarbo socialinio draudimo įstatym</w:t>
      </w:r>
      <w:r w:rsidR="0067101C" w:rsidRPr="0080293D">
        <w:t>o</w:t>
      </w:r>
      <w:r w:rsidR="00ED0644" w:rsidRPr="0080293D">
        <w:t xml:space="preserve"> (2004)</w:t>
      </w:r>
      <w:r w:rsidR="0067101C" w:rsidRPr="0080293D">
        <w:t xml:space="preserve"> 5 straipsniu</w:t>
      </w:r>
      <w:r w:rsidR="008F7ABE" w:rsidRPr="0080293D">
        <w:t>, t</w:t>
      </w:r>
      <w:r w:rsidR="00ED0644" w:rsidRPr="0080293D">
        <w:t>e</w:t>
      </w:r>
      <w:r w:rsidR="008F7ABE" w:rsidRPr="0080293D">
        <w:t>isė</w:t>
      </w:r>
      <w:r w:rsidR="00ED0644" w:rsidRPr="0080293D">
        <w:t xml:space="preserve"> į</w:t>
      </w:r>
      <w:r w:rsidR="00535FBF" w:rsidRPr="0080293D">
        <w:t xml:space="preserve"> nedarbo draudimo išmoką</w:t>
      </w:r>
      <w:r w:rsidR="00B57B66" w:rsidRPr="0080293D">
        <w:t xml:space="preserve"> </w:t>
      </w:r>
      <w:r w:rsidR="00A76A3E" w:rsidRPr="0080293D">
        <w:t xml:space="preserve">yra </w:t>
      </w:r>
      <w:r w:rsidR="00B57B66" w:rsidRPr="0080293D">
        <w:t>įgyjama</w:t>
      </w:r>
      <w:r w:rsidR="0067101C" w:rsidRPr="0080293D">
        <w:t>, kai</w:t>
      </w:r>
      <w:r w:rsidR="004B1F45" w:rsidRPr="0080293D">
        <w:t>:</w:t>
      </w:r>
      <w:r w:rsidR="00B57B66" w:rsidRPr="0080293D">
        <w:t xml:space="preserve"> </w:t>
      </w:r>
      <w:r w:rsidR="004B1F45" w:rsidRPr="0080293D">
        <w:t>1) </w:t>
      </w:r>
      <w:r w:rsidR="00B57B66" w:rsidRPr="0080293D">
        <w:t>bedarbis</w:t>
      </w:r>
      <w:r w:rsidR="00D542B3" w:rsidRPr="0080293D">
        <w:rPr>
          <w:rStyle w:val="FootnoteReference"/>
        </w:rPr>
        <w:footnoteReference w:id="15"/>
      </w:r>
      <w:r w:rsidR="00D24F5D" w:rsidRPr="0080293D">
        <w:t xml:space="preserve"> </w:t>
      </w:r>
      <w:r w:rsidR="00A9172C" w:rsidRPr="0080293D">
        <w:rPr>
          <w:i/>
        </w:rPr>
        <w:t>įsiregistruoja</w:t>
      </w:r>
      <w:r w:rsidR="00A9172C" w:rsidRPr="0080293D">
        <w:t xml:space="preserve"> teritorinėje darbo biržoje</w:t>
      </w:r>
      <w:r w:rsidR="00CA5988" w:rsidRPr="0080293D">
        <w:t xml:space="preserve"> </w:t>
      </w:r>
      <w:r w:rsidR="00CA5988" w:rsidRPr="0080293D">
        <w:rPr>
          <w:i/>
        </w:rPr>
        <w:t>ir</w:t>
      </w:r>
      <w:r w:rsidR="00CA5988" w:rsidRPr="0080293D">
        <w:t xml:space="preserve"> pastaroji jam </w:t>
      </w:r>
      <w:r w:rsidR="00CA5988" w:rsidRPr="0080293D">
        <w:rPr>
          <w:i/>
        </w:rPr>
        <w:t>nepasiūlo</w:t>
      </w:r>
      <w:r w:rsidR="00CA5988" w:rsidRPr="0080293D">
        <w:t xml:space="preserve"> tinkamo </w:t>
      </w:r>
      <w:r w:rsidR="00A53252" w:rsidRPr="0080293D">
        <w:t>darbo ar aktyvios darbo rinkos politikos priemonių</w:t>
      </w:r>
      <w:r w:rsidR="00E55682" w:rsidRPr="0080293D">
        <w:t>;</w:t>
      </w:r>
      <w:r w:rsidR="00A53252" w:rsidRPr="0080293D">
        <w:t xml:space="preserve"> </w:t>
      </w:r>
      <w:r w:rsidR="00A53252" w:rsidRPr="0080293D">
        <w:rPr>
          <w:i/>
        </w:rPr>
        <w:t>ir</w:t>
      </w:r>
      <w:r w:rsidR="00A53252" w:rsidRPr="0080293D">
        <w:t>, jeigu</w:t>
      </w:r>
      <w:r w:rsidR="00A21205" w:rsidRPr="0080293D">
        <w:t xml:space="preserve"> </w:t>
      </w:r>
      <w:r w:rsidR="00E55682" w:rsidRPr="0080293D">
        <w:t>2) </w:t>
      </w:r>
      <w:r w:rsidR="00A21205" w:rsidRPr="0080293D">
        <w:t>jis iki įsiregistravimo teritorinėje</w:t>
      </w:r>
      <w:r w:rsidR="00F17F2E" w:rsidRPr="0080293D">
        <w:t xml:space="preserve"> </w:t>
      </w:r>
      <w:r w:rsidR="004B1F45" w:rsidRPr="0080293D">
        <w:t xml:space="preserve">darbo </w:t>
      </w:r>
      <w:r w:rsidR="00E55682" w:rsidRPr="0080293D">
        <w:t>biržoje</w:t>
      </w:r>
      <w:r w:rsidR="0074428F" w:rsidRPr="0080293D">
        <w:t xml:space="preserve"> dienos</w:t>
      </w:r>
      <w:r w:rsidR="00E55682" w:rsidRPr="0080293D">
        <w:t xml:space="preserve"> </w:t>
      </w:r>
      <w:r w:rsidR="009A6CB9" w:rsidRPr="0080293D">
        <w:rPr>
          <w:i/>
        </w:rPr>
        <w:t>turi</w:t>
      </w:r>
      <w:r w:rsidR="009A6CB9" w:rsidRPr="0080293D">
        <w:t xml:space="preserve"> ne mažesnį kaip 18 mėn.</w:t>
      </w:r>
      <w:r w:rsidR="007D7BF7" w:rsidRPr="0080293D">
        <w:t xml:space="preserve"> nedarbo draudimo stažą per paskutinius 36 mėn</w:t>
      </w:r>
      <w:r w:rsidR="001B4885" w:rsidRPr="0080293D">
        <w:t>esius</w:t>
      </w:r>
      <w:r w:rsidR="004F6D97" w:rsidRPr="0080293D">
        <w:t>.</w:t>
      </w:r>
    </w:p>
    <w:p w:rsidR="00F17F2E" w:rsidRDefault="00F17F2E" w:rsidP="009F4A38">
      <w:r>
        <w:t>Reikėtų atkreipti dėmesį, jog dvi iš trijų pateiktų sąlygų</w:t>
      </w:r>
      <w:r w:rsidR="007029BB">
        <w:t xml:space="preserve"> </w:t>
      </w:r>
      <w:r w:rsidR="00523FC2">
        <w:t xml:space="preserve">yra susijusios su </w:t>
      </w:r>
      <w:r w:rsidR="007029BB">
        <w:t xml:space="preserve">žmogaus </w:t>
      </w:r>
      <w:r w:rsidR="007029BB" w:rsidRPr="00711420">
        <w:rPr>
          <w:i/>
        </w:rPr>
        <w:t>pareiga stengtis</w:t>
      </w:r>
      <w:r w:rsidR="007029BB">
        <w:t xml:space="preserve"> </w:t>
      </w:r>
      <w:r w:rsidR="00523FC2">
        <w:t xml:space="preserve">netapti tautos „išlaikytiniu“, kadangi </w:t>
      </w:r>
      <w:r w:rsidR="00910582">
        <w:t xml:space="preserve">būtinojo </w:t>
      </w:r>
      <w:r w:rsidR="00523FC2">
        <w:t xml:space="preserve">darbo stažo įtvirtinimas ir </w:t>
      </w:r>
      <w:r w:rsidR="00910582">
        <w:t xml:space="preserve">pareiga </w:t>
      </w:r>
      <w:r w:rsidR="004949AB">
        <w:t xml:space="preserve">neatsisakyti jam siūlomo </w:t>
      </w:r>
      <w:r w:rsidR="004949AB" w:rsidRPr="00E1156E">
        <w:rPr>
          <w:i/>
        </w:rPr>
        <w:t>tinkamo</w:t>
      </w:r>
      <w:r w:rsidR="004949AB">
        <w:t xml:space="preserve"> darbo akivaizdžiai </w:t>
      </w:r>
      <w:r w:rsidR="00802FCE">
        <w:t>parodo, jog žmogus</w:t>
      </w:r>
      <w:r w:rsidR="00711420">
        <w:t xml:space="preserve"> valstybės lėš</w:t>
      </w:r>
      <w:r w:rsidR="000C62E5">
        <w:t>ų</w:t>
      </w:r>
      <w:r w:rsidR="00711420">
        <w:t xml:space="preserve"> neturėtų naudoti </w:t>
      </w:r>
      <w:r w:rsidR="00711420" w:rsidRPr="00A01081">
        <w:rPr>
          <w:i/>
        </w:rPr>
        <w:t>be pateisinamo pagrindo</w:t>
      </w:r>
      <w:r w:rsidR="00711420">
        <w:t>.</w:t>
      </w:r>
      <w:r w:rsidR="00A01081">
        <w:t xml:space="preserve"> Kad taip neįvyktų</w:t>
      </w:r>
      <w:r w:rsidR="009D3A31">
        <w:t>,</w:t>
      </w:r>
      <w:r w:rsidR="009B2D53">
        <w:t xml:space="preserve"> įstatym</w:t>
      </w:r>
      <w:r w:rsidR="005C77AA">
        <w:t>e</w:t>
      </w:r>
      <w:r w:rsidR="009B2D53">
        <w:t xml:space="preserve"> įtvirtinta ir </w:t>
      </w:r>
      <w:r w:rsidR="009D3A31">
        <w:t xml:space="preserve">daugiau </w:t>
      </w:r>
      <w:r w:rsidR="00AB5C1C">
        <w:t xml:space="preserve">šios </w:t>
      </w:r>
      <w:r w:rsidR="00276B27">
        <w:t>išmokos gavim</w:t>
      </w:r>
      <w:r w:rsidR="009A0CCC">
        <w:t xml:space="preserve">ui </w:t>
      </w:r>
      <w:r w:rsidR="00882C8B">
        <w:t>keliamų</w:t>
      </w:r>
      <w:r w:rsidR="007430C5">
        <w:t xml:space="preserve"> reikalavimų</w:t>
      </w:r>
      <w:r w:rsidR="00CE0603">
        <w:t>:</w:t>
      </w:r>
      <w:r w:rsidR="009D3A31">
        <w:t xml:space="preserve"> pavyzdžiui, </w:t>
      </w:r>
      <w:r w:rsidR="009A0CCC" w:rsidRPr="0080293D">
        <w:t xml:space="preserve">bedarbis </w:t>
      </w:r>
      <w:r w:rsidR="0071585A" w:rsidRPr="0080293D">
        <w:rPr>
          <w:i/>
        </w:rPr>
        <w:t>negali atsisakyti</w:t>
      </w:r>
      <w:r w:rsidR="0071585A" w:rsidRPr="0080293D">
        <w:t xml:space="preserve"> teritorinės darbo biržos siūlomo </w:t>
      </w:r>
      <w:r w:rsidR="0071585A" w:rsidRPr="0080293D">
        <w:rPr>
          <w:i/>
        </w:rPr>
        <w:t>sveikatos patikrinimo</w:t>
      </w:r>
      <w:r w:rsidR="00D56D27" w:rsidRPr="0080293D">
        <w:t xml:space="preserve"> (</w:t>
      </w:r>
      <w:r w:rsidR="00782EDD" w:rsidRPr="0080293D">
        <w:t>9 straipsnis</w:t>
      </w:r>
      <w:r w:rsidR="00D56D27" w:rsidRPr="0080293D">
        <w:t>)</w:t>
      </w:r>
      <w:r w:rsidR="0071585A" w:rsidRPr="0080293D">
        <w:t xml:space="preserve">, </w:t>
      </w:r>
      <w:r w:rsidR="00AE2937" w:rsidRPr="0080293D">
        <w:t>kuriuo</w:t>
      </w:r>
      <w:r w:rsidR="0071585A" w:rsidRPr="0080293D">
        <w:t xml:space="preserve"> būtų</w:t>
      </w:r>
      <w:r w:rsidR="0071585A">
        <w:t xml:space="preserve"> </w:t>
      </w:r>
      <w:r w:rsidR="00BE68DF">
        <w:t xml:space="preserve">nustatytas </w:t>
      </w:r>
      <w:r w:rsidR="00AE2937">
        <w:t>tinkamumas darbui</w:t>
      </w:r>
      <w:r w:rsidR="00E45132">
        <w:t xml:space="preserve">, </w:t>
      </w:r>
      <w:r w:rsidR="00D84D16">
        <w:t>kas</w:t>
      </w:r>
      <w:r w:rsidR="00E45132">
        <w:t xml:space="preserve"> byloja, jog</w:t>
      </w:r>
      <w:r w:rsidR="0097172F">
        <w:t xml:space="preserve"> </w:t>
      </w:r>
      <w:r w:rsidR="00E10275">
        <w:t xml:space="preserve">įstatymu </w:t>
      </w:r>
      <w:r w:rsidR="0097172F" w:rsidRPr="005B2E9B">
        <w:rPr>
          <w:i/>
        </w:rPr>
        <w:t xml:space="preserve">stengiamasi </w:t>
      </w:r>
      <w:r w:rsidR="00AB5C1C" w:rsidRPr="005B2E9B">
        <w:rPr>
          <w:i/>
        </w:rPr>
        <w:t>apriboti</w:t>
      </w:r>
      <w:r w:rsidR="00AB5C1C">
        <w:t xml:space="preserve"> neteisėt</w:t>
      </w:r>
      <w:r w:rsidR="006760B0">
        <w:t>ų</w:t>
      </w:r>
      <w:r w:rsidR="00AB5C1C">
        <w:t xml:space="preserve"> lūkesči</w:t>
      </w:r>
      <w:r w:rsidR="006760B0">
        <w:t>ų</w:t>
      </w:r>
      <w:r w:rsidR="00A37910">
        <w:t xml:space="preserve"> tenkinimą</w:t>
      </w:r>
      <w:r w:rsidR="006760B0">
        <w:t>.</w:t>
      </w:r>
    </w:p>
    <w:p w:rsidR="005F3D62" w:rsidRDefault="00D84D16" w:rsidP="009F4A38">
      <w:r>
        <w:t xml:space="preserve">Deja, </w:t>
      </w:r>
      <w:r w:rsidR="007E49A1">
        <w:t xml:space="preserve">šių priemonių neužtenka, kad būtų pasiektas </w:t>
      </w:r>
      <w:r w:rsidR="00987D0B">
        <w:t xml:space="preserve">finansinis ir </w:t>
      </w:r>
      <w:r w:rsidR="007E49A1">
        <w:t>socialinis teisingumas</w:t>
      </w:r>
      <w:r w:rsidR="00562E1A">
        <w:t xml:space="preserve">, </w:t>
      </w:r>
      <w:r w:rsidR="00987D0B">
        <w:t>nes</w:t>
      </w:r>
      <w:r w:rsidR="00562E1A">
        <w:t xml:space="preserve"> įstatyme galima rasti pakankamai daug spragų</w:t>
      </w:r>
      <w:r w:rsidR="00EA1F7D">
        <w:t>, kurios kaip tik neskatina</w:t>
      </w:r>
      <w:r w:rsidR="00883CB2">
        <w:t xml:space="preserve"> atsakomybės</w:t>
      </w:r>
      <w:r w:rsidR="00EA1F7D">
        <w:t xml:space="preserve">: šiuo metu galiojanti </w:t>
      </w:r>
      <w:r w:rsidR="00D24F5D" w:rsidRPr="00942C66">
        <w:t xml:space="preserve">nedarbo draudimo </w:t>
      </w:r>
      <w:r w:rsidR="00EA1F7D" w:rsidRPr="00942C66">
        <w:t xml:space="preserve">išmokų </w:t>
      </w:r>
      <w:r w:rsidR="00AF155D">
        <w:t>skyr</w:t>
      </w:r>
      <w:r w:rsidR="00A502F9" w:rsidRPr="00942C66">
        <w:t xml:space="preserve">imo tvarka yra </w:t>
      </w:r>
      <w:r w:rsidR="00A502F9" w:rsidRPr="00942C66">
        <w:rPr>
          <w:b/>
          <w:i/>
        </w:rPr>
        <w:t>palankesnė</w:t>
      </w:r>
      <w:r w:rsidR="00A502F9" w:rsidRPr="00942C66">
        <w:t xml:space="preserve"> </w:t>
      </w:r>
      <w:r w:rsidR="00A502F9" w:rsidRPr="00942C66">
        <w:rPr>
          <w:b/>
          <w:i/>
        </w:rPr>
        <w:t>trumpiau dirbusiems</w:t>
      </w:r>
      <w:r w:rsidR="00281533" w:rsidRPr="00942C66">
        <w:rPr>
          <w:rStyle w:val="FootnoteReference"/>
          <w:b/>
          <w:i/>
        </w:rPr>
        <w:footnoteReference w:id="16"/>
      </w:r>
      <w:r w:rsidR="00A00084" w:rsidRPr="00942C66">
        <w:rPr>
          <w:b/>
          <w:i/>
        </w:rPr>
        <w:t xml:space="preserve"> ir</w:t>
      </w:r>
      <w:r w:rsidR="00B04B40" w:rsidRPr="00942C66">
        <w:rPr>
          <w:b/>
          <w:i/>
        </w:rPr>
        <w:t xml:space="preserve"> </w:t>
      </w:r>
      <w:r w:rsidR="00A00084" w:rsidRPr="00942C66">
        <w:rPr>
          <w:b/>
          <w:i/>
        </w:rPr>
        <w:t>mažesnes pajamas gavusiems</w:t>
      </w:r>
      <w:r w:rsidR="00A502F9" w:rsidRPr="00942C66">
        <w:rPr>
          <w:b/>
          <w:i/>
        </w:rPr>
        <w:t xml:space="preserve"> individams</w:t>
      </w:r>
      <w:r w:rsidR="008C5434" w:rsidRPr="00942C66">
        <w:rPr>
          <w:rStyle w:val="FootnoteReference"/>
        </w:rPr>
        <w:footnoteReference w:id="17"/>
      </w:r>
      <w:r w:rsidR="001253D1" w:rsidRPr="00C941B8">
        <w:t xml:space="preserve"> (</w:t>
      </w:r>
      <w:r w:rsidR="00F6701C" w:rsidRPr="00C941B8">
        <w:t>žr. 7</w:t>
      </w:r>
      <w:r w:rsidR="001253D1" w:rsidRPr="00C941B8">
        <w:t xml:space="preserve"> priedą)</w:t>
      </w:r>
      <w:r w:rsidR="00E46C3E" w:rsidRPr="00C941B8">
        <w:t>,</w:t>
      </w:r>
      <w:r w:rsidR="00E46C3E">
        <w:t xml:space="preserve"> o </w:t>
      </w:r>
      <w:r w:rsidR="00E46C3E" w:rsidRPr="00CB292A">
        <w:t>atsakomybė</w:t>
      </w:r>
      <w:r w:rsidR="00E46C3E">
        <w:t xml:space="preserve"> </w:t>
      </w:r>
      <w:r w:rsidR="00274288">
        <w:t>už informacijos nuslėpimą</w:t>
      </w:r>
      <w:r w:rsidR="00207494">
        <w:t xml:space="preserve">, </w:t>
      </w:r>
      <w:r w:rsidR="00B41503">
        <w:t xml:space="preserve">dėl ko </w:t>
      </w:r>
      <w:r w:rsidR="001253D1">
        <w:t xml:space="preserve">yra </w:t>
      </w:r>
      <w:r w:rsidR="00B41503">
        <w:t>įgyjama teisė į išmoką</w:t>
      </w:r>
      <w:r w:rsidR="00207494">
        <w:t>,</w:t>
      </w:r>
      <w:r w:rsidR="007B4F54">
        <w:t xml:space="preserve"> praktiškai </w:t>
      </w:r>
      <w:r w:rsidR="00236531">
        <w:t xml:space="preserve">visai </w:t>
      </w:r>
      <w:r w:rsidR="007B4F54" w:rsidRPr="00CB292A">
        <w:t>nėra įtvirtinta</w:t>
      </w:r>
      <w:r w:rsidR="0090633A">
        <w:rPr>
          <w:rStyle w:val="FootnoteReference"/>
        </w:rPr>
        <w:footnoteReference w:id="18"/>
      </w:r>
      <w:r w:rsidR="003012BF">
        <w:t xml:space="preserve"> </w:t>
      </w:r>
      <w:r w:rsidR="004E3F40">
        <w:t>– tai</w:t>
      </w:r>
      <w:r w:rsidR="00BD0925">
        <w:t xml:space="preserve"> atskleidžia</w:t>
      </w:r>
      <w:r w:rsidR="004E3F40">
        <w:t>, jog</w:t>
      </w:r>
      <w:r w:rsidR="00F259D0">
        <w:t xml:space="preserve"> dabartinė netektų pajamų kompensavimo sistema</w:t>
      </w:r>
      <w:r w:rsidR="00F90A6B">
        <w:t xml:space="preserve"> yra atvira neteisybei, </w:t>
      </w:r>
      <w:r w:rsidR="00BB3A30">
        <w:t>todėl n</w:t>
      </w:r>
      <w:r w:rsidR="00FC51B3">
        <w:t>ėra ko</w:t>
      </w:r>
      <w:r w:rsidR="00BB3A30">
        <w:t xml:space="preserve"> stebėtis, kad žmonės traukiasi į „šešėlį“</w:t>
      </w:r>
      <w:r w:rsidR="00410F38">
        <w:t xml:space="preserve"> </w:t>
      </w:r>
      <w:r w:rsidR="008B422A">
        <w:t>a</w:t>
      </w:r>
      <w:r w:rsidR="005C77AA">
        <w:t xml:space="preserve">r </w:t>
      </w:r>
      <w:r w:rsidR="00410F38">
        <w:t>dirba tik trumpalaikius darbus.</w:t>
      </w:r>
    </w:p>
    <w:p w:rsidR="007E366D" w:rsidRDefault="007E366D" w:rsidP="009F4A38">
      <w:r>
        <w:lastRenderedPageBreak/>
        <w:t xml:space="preserve">Kadangi </w:t>
      </w:r>
      <w:r w:rsidR="008F3A10">
        <w:t xml:space="preserve">nedarbo socialinis draudimas </w:t>
      </w:r>
      <w:r w:rsidR="00D82093">
        <w:t xml:space="preserve">žmogui </w:t>
      </w:r>
      <w:r w:rsidR="001747A0">
        <w:t xml:space="preserve">garantuoja </w:t>
      </w:r>
      <w:r w:rsidR="00CC0E09">
        <w:t xml:space="preserve">nedideles </w:t>
      </w:r>
      <w:r w:rsidR="002D6AEB">
        <w:t>pajamas</w:t>
      </w:r>
      <w:r w:rsidR="001747A0">
        <w:t>, galima</w:t>
      </w:r>
      <w:r w:rsidR="00EE6BF3">
        <w:t xml:space="preserve"> daryti prielaidą</w:t>
      </w:r>
      <w:r w:rsidR="001747A0">
        <w:t>, jog</w:t>
      </w:r>
      <w:r w:rsidR="004F2915">
        <w:t xml:space="preserve"> </w:t>
      </w:r>
      <w:r w:rsidR="00615473" w:rsidRPr="008F2DAA">
        <w:rPr>
          <w:b/>
          <w:i/>
        </w:rPr>
        <w:t>riba, kuri turėtų skirti bedarbius nuo</w:t>
      </w:r>
      <w:r w:rsidR="004B2799">
        <w:rPr>
          <w:b/>
          <w:i/>
        </w:rPr>
        <w:t xml:space="preserve"> skurdž</w:t>
      </w:r>
      <w:r w:rsidR="00EA6D18">
        <w:rPr>
          <w:b/>
          <w:i/>
        </w:rPr>
        <w:t>i</w:t>
      </w:r>
      <w:r w:rsidR="004B2799">
        <w:rPr>
          <w:b/>
          <w:i/>
        </w:rPr>
        <w:t>ai gyvenančių žmonių</w:t>
      </w:r>
      <w:r w:rsidR="00615473" w:rsidRPr="00F06DFB">
        <w:rPr>
          <w:b/>
          <w:i/>
        </w:rPr>
        <w:t xml:space="preserve">, </w:t>
      </w:r>
      <w:r w:rsidR="004F2915" w:rsidRPr="00C941B8">
        <w:rPr>
          <w:b/>
          <w:i/>
        </w:rPr>
        <w:t>išnyksta</w:t>
      </w:r>
      <w:r w:rsidR="004B2799" w:rsidRPr="00C941B8">
        <w:t xml:space="preserve"> (</w:t>
      </w:r>
      <w:r w:rsidR="00D44FA4" w:rsidRPr="00C941B8">
        <w:t>žr. 7</w:t>
      </w:r>
      <w:r w:rsidR="004B2799" w:rsidRPr="00C941B8">
        <w:t> priedą)</w:t>
      </w:r>
      <w:r w:rsidR="002C6C93" w:rsidRPr="00C941B8">
        <w:t>:</w:t>
      </w:r>
      <w:r w:rsidR="002C6C93" w:rsidRPr="00494A9F">
        <w:t xml:space="preserve"> šiuo metu </w:t>
      </w:r>
      <w:r w:rsidR="00442509" w:rsidRPr="00494A9F">
        <w:t>niekur nedirb</w:t>
      </w:r>
      <w:r w:rsidR="0093562E" w:rsidRPr="00494A9F">
        <w:t>ę</w:t>
      </w:r>
      <w:r w:rsidR="00442509" w:rsidRPr="00494A9F">
        <w:t xml:space="preserve"> vieniši tėvai</w:t>
      </w:r>
      <w:r w:rsidR="0093562E" w:rsidRPr="00494A9F">
        <w:t xml:space="preserve"> </w:t>
      </w:r>
      <w:r w:rsidR="00442509" w:rsidRPr="00494A9F">
        <w:t>iš socialinės</w:t>
      </w:r>
      <w:r w:rsidR="0093562E" w:rsidRPr="00494A9F">
        <w:t xml:space="preserve"> apsaugos gali gauti tokią pačią naudą, kokią gaun</w:t>
      </w:r>
      <w:r w:rsidR="000D0367" w:rsidRPr="00494A9F">
        <w:t>a</w:t>
      </w:r>
      <w:r w:rsidR="0093562E" w:rsidRPr="00494A9F">
        <w:t xml:space="preserve"> neseniai dirb</w:t>
      </w:r>
      <w:r w:rsidR="000D0367" w:rsidRPr="00494A9F">
        <w:t>ę vieniši tėvai</w:t>
      </w:r>
      <w:r w:rsidR="00704FA7" w:rsidRPr="00494A9F">
        <w:t xml:space="preserve">, </w:t>
      </w:r>
      <w:r w:rsidR="00204DA9" w:rsidRPr="00494A9F">
        <w:t>kadangi</w:t>
      </w:r>
      <w:r w:rsidR="00704FA7" w:rsidRPr="00494A9F">
        <w:t xml:space="preserve"> </w:t>
      </w:r>
      <w:r w:rsidR="00EA6D18" w:rsidRPr="00494A9F">
        <w:rPr>
          <w:b/>
          <w:i/>
        </w:rPr>
        <w:t>nepasiturinč</w:t>
      </w:r>
      <w:r w:rsidR="00204DA9" w:rsidRPr="00494A9F">
        <w:rPr>
          <w:b/>
          <w:i/>
        </w:rPr>
        <w:t>i</w:t>
      </w:r>
      <w:r w:rsidR="00704FA7" w:rsidRPr="00494A9F">
        <w:rPr>
          <w:b/>
          <w:i/>
        </w:rPr>
        <w:t xml:space="preserve">ų </w:t>
      </w:r>
      <w:r w:rsidR="00005BBF" w:rsidRPr="00494A9F">
        <w:rPr>
          <w:b/>
          <w:i/>
        </w:rPr>
        <w:t xml:space="preserve">gyventojų </w:t>
      </w:r>
      <w:r w:rsidR="00497323" w:rsidRPr="00494A9F">
        <w:rPr>
          <w:b/>
          <w:i/>
        </w:rPr>
        <w:t xml:space="preserve">(ir jų šeimų) </w:t>
      </w:r>
      <w:r w:rsidR="00005BBF" w:rsidRPr="00494A9F">
        <w:rPr>
          <w:b/>
          <w:i/>
        </w:rPr>
        <w:t>atžvilgiu priimti įstatymai</w:t>
      </w:r>
      <w:r w:rsidR="00102A89" w:rsidRPr="00494A9F">
        <w:rPr>
          <w:b/>
          <w:i/>
        </w:rPr>
        <w:t xml:space="preserve"> yra palankesni</w:t>
      </w:r>
      <w:r w:rsidR="00416444" w:rsidRPr="00494A9F">
        <w:rPr>
          <w:b/>
          <w:i/>
        </w:rPr>
        <w:t>,</w:t>
      </w:r>
      <w:r w:rsidR="00416444" w:rsidRPr="00494A9F">
        <w:t xml:space="preserve"> palyginti</w:t>
      </w:r>
      <w:r w:rsidR="00AE76FC" w:rsidRPr="00494A9F">
        <w:t xml:space="preserve"> </w:t>
      </w:r>
      <w:r w:rsidR="00416444" w:rsidRPr="00494A9F">
        <w:t xml:space="preserve">su </w:t>
      </w:r>
      <w:r w:rsidR="00430228" w:rsidRPr="00494A9F">
        <w:t>tų</w:t>
      </w:r>
      <w:r w:rsidR="006A3294" w:rsidRPr="00494A9F">
        <w:t xml:space="preserve"> asmenų</w:t>
      </w:r>
      <w:r w:rsidR="00494A9F">
        <w:t>, kurie patys mėgino</w:t>
      </w:r>
      <w:r w:rsidR="006A3294">
        <w:t xml:space="preserve"> susi</w:t>
      </w:r>
      <w:r w:rsidR="00430228">
        <w:t>kurti finansinę gerovę</w:t>
      </w:r>
      <w:r w:rsidR="00AE76FC">
        <w:t>, atžvilgiu</w:t>
      </w:r>
      <w:r w:rsidR="00416444">
        <w:t xml:space="preserve"> priimtais įstatymais</w:t>
      </w:r>
      <w:r w:rsidR="00AE76FC">
        <w:t xml:space="preserve">. </w:t>
      </w:r>
      <w:r w:rsidR="002B1E26">
        <w:t xml:space="preserve">Šiam </w:t>
      </w:r>
      <w:r w:rsidR="002B1E26" w:rsidRPr="0080293D">
        <w:t>teiginiui pagrįsti g</w:t>
      </w:r>
      <w:r w:rsidR="000E11A2" w:rsidRPr="0080293D">
        <w:t xml:space="preserve">alima pateikti tokį pavyzdį: </w:t>
      </w:r>
      <w:r w:rsidR="004257E1" w:rsidRPr="0080293D">
        <w:t>pretendentai</w:t>
      </w:r>
      <w:r w:rsidR="00BE6635" w:rsidRPr="0080293D">
        <w:t xml:space="preserve"> į </w:t>
      </w:r>
      <w:r w:rsidR="000E11A2" w:rsidRPr="0080293D">
        <w:t xml:space="preserve">socialinę </w:t>
      </w:r>
      <w:r w:rsidR="004257E1" w:rsidRPr="0080293D">
        <w:t>paramą</w:t>
      </w:r>
      <w:r w:rsidR="00BE6635" w:rsidRPr="0080293D">
        <w:t xml:space="preserve"> </w:t>
      </w:r>
      <w:r w:rsidR="00916503" w:rsidRPr="0080293D">
        <w:t>–</w:t>
      </w:r>
      <w:r w:rsidR="00396637" w:rsidRPr="0080293D">
        <w:t xml:space="preserve"> </w:t>
      </w:r>
      <w:r w:rsidR="00BE6635" w:rsidRPr="0080293D">
        <w:rPr>
          <w:i/>
        </w:rPr>
        <w:t>kaip ir bedarbiai</w:t>
      </w:r>
      <w:r w:rsidR="004257E1" w:rsidRPr="0080293D">
        <w:t xml:space="preserve"> </w:t>
      </w:r>
      <w:r w:rsidR="00916503" w:rsidRPr="0080293D">
        <w:t xml:space="preserve">– </w:t>
      </w:r>
      <w:r w:rsidR="004257E1" w:rsidRPr="0080293D">
        <w:t xml:space="preserve">privalo </w:t>
      </w:r>
      <w:r w:rsidR="00247E32" w:rsidRPr="0080293D">
        <w:t xml:space="preserve">registruotis darbo </w:t>
      </w:r>
      <w:r w:rsidR="0027775A" w:rsidRPr="0080293D">
        <w:t>biržoje</w:t>
      </w:r>
      <w:r w:rsidR="00324AC4" w:rsidRPr="0080293D">
        <w:t xml:space="preserve"> (Piniginės socialinės paramos nepasiturintiems gyventojams įstatymas 2003, 8 straipsnis)</w:t>
      </w:r>
      <w:r w:rsidR="00C107A1" w:rsidRPr="0080293D">
        <w:t xml:space="preserve">, </w:t>
      </w:r>
      <w:r w:rsidR="00916503" w:rsidRPr="0080293D">
        <w:t>jei</w:t>
      </w:r>
      <w:r w:rsidR="00324AC4" w:rsidRPr="0080293D">
        <w:t>gu</w:t>
      </w:r>
      <w:r w:rsidR="00916503" w:rsidRPr="0080293D">
        <w:t xml:space="preserve"> jie </w:t>
      </w:r>
      <w:r w:rsidR="00CB2C07" w:rsidRPr="0080293D">
        <w:t xml:space="preserve">yra </w:t>
      </w:r>
      <w:r w:rsidR="00824A38" w:rsidRPr="0080293D">
        <w:t>nedirba</w:t>
      </w:r>
      <w:r w:rsidR="00CB2C07" w:rsidRPr="0080293D">
        <w:t>ntys</w:t>
      </w:r>
      <w:r w:rsidR="00BA5F23" w:rsidRPr="0080293D">
        <w:t xml:space="preserve">, tačiau </w:t>
      </w:r>
      <w:r w:rsidR="00324AC4" w:rsidRPr="0080293D">
        <w:t>jiems</w:t>
      </w:r>
      <w:r w:rsidR="00F65267" w:rsidRPr="0080293D">
        <w:t>,</w:t>
      </w:r>
      <w:r w:rsidR="00976358" w:rsidRPr="0080293D">
        <w:t xml:space="preserve"> </w:t>
      </w:r>
      <w:r w:rsidR="00C107A1" w:rsidRPr="0080293D">
        <w:t xml:space="preserve">– </w:t>
      </w:r>
      <w:r w:rsidR="00976358" w:rsidRPr="0080293D">
        <w:rPr>
          <w:i/>
        </w:rPr>
        <w:t xml:space="preserve">kaip </w:t>
      </w:r>
      <w:r w:rsidR="00F16F36" w:rsidRPr="0080293D">
        <w:rPr>
          <w:i/>
        </w:rPr>
        <w:t xml:space="preserve">potencialiems </w:t>
      </w:r>
      <w:r w:rsidR="00976358" w:rsidRPr="0080293D">
        <w:rPr>
          <w:i/>
          <w:u w:val="single"/>
        </w:rPr>
        <w:t>paramos</w:t>
      </w:r>
      <w:r w:rsidR="00976358" w:rsidRPr="0080293D">
        <w:rPr>
          <w:i/>
        </w:rPr>
        <w:t xml:space="preserve"> gavėjams</w:t>
      </w:r>
      <w:r w:rsidR="00F65267" w:rsidRPr="0080293D">
        <w:rPr>
          <w:i/>
        </w:rPr>
        <w:t>,</w:t>
      </w:r>
      <w:r w:rsidR="00976358" w:rsidRPr="0080293D">
        <w:t xml:space="preserve"> </w:t>
      </w:r>
      <w:r w:rsidR="00C107A1" w:rsidRPr="0080293D">
        <w:t>–</w:t>
      </w:r>
      <w:r w:rsidR="00264482" w:rsidRPr="0080293D">
        <w:t xml:space="preserve"> </w:t>
      </w:r>
      <w:r w:rsidR="00D56AE3" w:rsidRPr="0080293D">
        <w:t xml:space="preserve">nėra </w:t>
      </w:r>
      <w:r w:rsidR="00976358" w:rsidRPr="0080293D">
        <w:t>keliama sąlyg</w:t>
      </w:r>
      <w:r w:rsidR="00BA5F23" w:rsidRPr="0080293D">
        <w:t>a</w:t>
      </w:r>
      <w:r w:rsidR="00F16F36" w:rsidRPr="0080293D">
        <w:t xml:space="preserve"> a</w:t>
      </w:r>
      <w:r w:rsidR="00BA3B3C" w:rsidRPr="0080293D">
        <w:t>ktyviai ieškoti</w:t>
      </w:r>
      <w:r w:rsidR="0054032C" w:rsidRPr="0080293D">
        <w:t>s</w:t>
      </w:r>
      <w:r w:rsidR="00BA5F23" w:rsidRPr="0080293D">
        <w:t xml:space="preserve"> darbo</w:t>
      </w:r>
      <w:r w:rsidR="00C93B52" w:rsidRPr="0080293D">
        <w:t xml:space="preserve">. </w:t>
      </w:r>
      <w:r w:rsidR="008B4469" w:rsidRPr="0080293D">
        <w:t>Tiesa,</w:t>
      </w:r>
      <w:r w:rsidR="00C93B52" w:rsidRPr="0080293D">
        <w:t xml:space="preserve"> </w:t>
      </w:r>
      <w:r w:rsidR="00911B70" w:rsidRPr="0080293D">
        <w:t>pretendenta</w:t>
      </w:r>
      <w:r w:rsidR="005623CF" w:rsidRPr="0080293D">
        <w:t>i</w:t>
      </w:r>
      <w:r w:rsidR="00911B70" w:rsidRPr="0080293D">
        <w:t xml:space="preserve"> į </w:t>
      </w:r>
      <w:r w:rsidR="00AB3CA6" w:rsidRPr="0080293D">
        <w:t>socialinę</w:t>
      </w:r>
      <w:r w:rsidR="00B91A35" w:rsidRPr="0080293D">
        <w:t xml:space="preserve"> </w:t>
      </w:r>
      <w:r w:rsidR="00911B70" w:rsidRPr="0080293D">
        <w:t xml:space="preserve">paramą </w:t>
      </w:r>
      <w:r w:rsidR="005623CF" w:rsidRPr="0080293D">
        <w:t xml:space="preserve">privalo </w:t>
      </w:r>
      <w:r w:rsidR="003873BA" w:rsidRPr="0080293D">
        <w:t>„</w:t>
      </w:r>
      <w:r w:rsidR="00C93B52" w:rsidRPr="0080293D">
        <w:rPr>
          <w:i/>
        </w:rPr>
        <w:t>išnaudoti</w:t>
      </w:r>
      <w:r w:rsidR="00C93B52" w:rsidRPr="0080293D">
        <w:t xml:space="preserve"> visas teisėtas </w:t>
      </w:r>
      <w:r w:rsidR="00C93B52" w:rsidRPr="0080293D">
        <w:rPr>
          <w:i/>
        </w:rPr>
        <w:t>kitų pajamų gavimo galimybes</w:t>
      </w:r>
      <w:r w:rsidR="003873BA" w:rsidRPr="0080293D">
        <w:t>“</w:t>
      </w:r>
      <w:r w:rsidR="00D44FA4" w:rsidRPr="0080293D">
        <w:t xml:space="preserve"> (</w:t>
      </w:r>
      <w:r w:rsidR="00F86A0C" w:rsidRPr="0080293D">
        <w:t>25 straipsnis</w:t>
      </w:r>
      <w:r w:rsidR="00D44FA4" w:rsidRPr="0080293D">
        <w:t>)</w:t>
      </w:r>
      <w:r w:rsidR="00D56AE3" w:rsidRPr="0080293D">
        <w:t xml:space="preserve"> </w:t>
      </w:r>
      <w:r w:rsidR="00607913" w:rsidRPr="0080293D">
        <w:t>tačiau</w:t>
      </w:r>
      <w:r w:rsidR="00A95C6F" w:rsidRPr="0080293D">
        <w:t xml:space="preserve"> </w:t>
      </w:r>
      <w:r w:rsidR="0089140E" w:rsidRPr="0080293D">
        <w:t>dėl to, kad jos</w:t>
      </w:r>
      <w:r w:rsidR="0034676E" w:rsidRPr="0080293D">
        <w:t xml:space="preserve"> </w:t>
      </w:r>
      <w:r w:rsidR="009F2967" w:rsidRPr="0080293D">
        <w:t xml:space="preserve">siejamos </w:t>
      </w:r>
      <w:r w:rsidR="00CF2688" w:rsidRPr="0080293D">
        <w:t xml:space="preserve">su </w:t>
      </w:r>
      <w:r w:rsidR="00CF2688" w:rsidRPr="0080293D">
        <w:rPr>
          <w:i/>
        </w:rPr>
        <w:t>išlaikymo</w:t>
      </w:r>
      <w:r w:rsidR="0034676E" w:rsidRPr="0080293D">
        <w:rPr>
          <w:i/>
        </w:rPr>
        <w:t xml:space="preserve"> </w:t>
      </w:r>
      <w:r w:rsidR="00B17BD5" w:rsidRPr="0080293D">
        <w:rPr>
          <w:i/>
        </w:rPr>
        <w:t>vaikams</w:t>
      </w:r>
      <w:r w:rsidR="00B17BD5" w:rsidRPr="0080293D">
        <w:t xml:space="preserve"> </w:t>
      </w:r>
      <w:r w:rsidR="0034676E" w:rsidRPr="0080293D">
        <w:t>ga</w:t>
      </w:r>
      <w:r w:rsidR="00BA3B3C" w:rsidRPr="0080293D">
        <w:t>vimu</w:t>
      </w:r>
      <w:r w:rsidR="00071092" w:rsidRPr="0080293D">
        <w:t>,</w:t>
      </w:r>
      <w:r w:rsidR="00C60517" w:rsidRPr="0080293D">
        <w:t xml:space="preserve"> o</w:t>
      </w:r>
      <w:r w:rsidR="00C60517">
        <w:t xml:space="preserve"> ne su</w:t>
      </w:r>
      <w:r w:rsidR="00480164">
        <w:t xml:space="preserve"> realių įplaukų</w:t>
      </w:r>
      <w:r w:rsidR="00B17BD5">
        <w:t xml:space="preserve"> „kūrimu“</w:t>
      </w:r>
      <w:r w:rsidR="00846E15">
        <w:t>, galima</w:t>
      </w:r>
      <w:r w:rsidR="00480164">
        <w:t xml:space="preserve"> teigti</w:t>
      </w:r>
      <w:r w:rsidR="00846E15">
        <w:t xml:space="preserve">, jog </w:t>
      </w:r>
      <w:r w:rsidR="00480164" w:rsidRPr="00333DA6">
        <w:t>skurstantiems nereikalingos pastangos gerovei pasiekti</w:t>
      </w:r>
      <w:r w:rsidR="00480164">
        <w:t>.</w:t>
      </w:r>
    </w:p>
    <w:p w:rsidR="00102306" w:rsidRDefault="00B624B7" w:rsidP="009F4A38">
      <w:r>
        <w:t>Atkreiptinas dėmesys</w:t>
      </w:r>
      <w:r w:rsidR="00A206B3">
        <w:t>, jog</w:t>
      </w:r>
      <w:r>
        <w:t xml:space="preserve"> pagal šiuo metu galiojančius įstatymus</w:t>
      </w:r>
      <w:r w:rsidR="00A206B3">
        <w:t xml:space="preserve"> </w:t>
      </w:r>
      <w:r w:rsidR="00050331">
        <w:t xml:space="preserve">nepasiturintys </w:t>
      </w:r>
      <w:r w:rsidR="00A206B3">
        <w:t xml:space="preserve">gyventojai </w:t>
      </w:r>
      <w:r w:rsidR="004D45EB">
        <w:t xml:space="preserve">gali įgyti </w:t>
      </w:r>
      <w:r w:rsidR="00A206B3">
        <w:t>teisę</w:t>
      </w:r>
      <w:r w:rsidR="000001C2">
        <w:t xml:space="preserve"> ne tik į </w:t>
      </w:r>
      <w:r w:rsidR="000001C2" w:rsidRPr="004D45EB">
        <w:rPr>
          <w:i/>
        </w:rPr>
        <w:t>kompensacijas</w:t>
      </w:r>
      <w:r w:rsidR="00065C42" w:rsidRPr="00065C42">
        <w:t>,</w:t>
      </w:r>
      <w:r w:rsidR="00A56974" w:rsidRPr="00065C42">
        <w:t xml:space="preserve"> </w:t>
      </w:r>
      <w:r w:rsidR="004D45EB" w:rsidRPr="00065C42">
        <w:t xml:space="preserve">bet </w:t>
      </w:r>
      <w:r w:rsidR="004D45EB">
        <w:t>ir</w:t>
      </w:r>
      <w:r w:rsidR="00C46649">
        <w:t xml:space="preserve"> į</w:t>
      </w:r>
      <w:r w:rsidR="008622DA">
        <w:t xml:space="preserve"> </w:t>
      </w:r>
      <w:r w:rsidR="00DA6C92">
        <w:t xml:space="preserve">paramą </w:t>
      </w:r>
      <w:r w:rsidR="00DA6C92" w:rsidRPr="00442BFC">
        <w:rPr>
          <w:i/>
        </w:rPr>
        <w:t>maisto produktais</w:t>
      </w:r>
      <w:r w:rsidR="00DA6C92">
        <w:t xml:space="preserve">, </w:t>
      </w:r>
      <w:r w:rsidR="001D3193" w:rsidRPr="00442BFC">
        <w:rPr>
          <w:i/>
        </w:rPr>
        <w:t xml:space="preserve">natūrinę </w:t>
      </w:r>
      <w:r w:rsidR="008622DA" w:rsidRPr="00442BFC">
        <w:rPr>
          <w:i/>
        </w:rPr>
        <w:t>paramą mokiniams</w:t>
      </w:r>
      <w:r w:rsidR="008622DA">
        <w:t xml:space="preserve"> </w:t>
      </w:r>
      <w:r w:rsidR="00CF2688">
        <w:t>(kurių dydis, skiriant socia</w:t>
      </w:r>
      <w:r w:rsidR="00C56750">
        <w:t>linę pašalpą, ne</w:t>
      </w:r>
      <w:r w:rsidR="00CF2688">
        <w:t>įtraukiama</w:t>
      </w:r>
      <w:r w:rsidR="00C56750">
        <w:t>s į bendrai gyvenančių asmen</w:t>
      </w:r>
      <w:r w:rsidR="00CF2688">
        <w:t>ų pajamas)</w:t>
      </w:r>
      <w:r w:rsidR="00C56750">
        <w:t xml:space="preserve"> bei</w:t>
      </w:r>
      <w:r w:rsidR="00442BFC">
        <w:t xml:space="preserve"> </w:t>
      </w:r>
      <w:r w:rsidR="00442BFC" w:rsidRPr="00C92393">
        <w:rPr>
          <w:i/>
        </w:rPr>
        <w:t>socialin</w:t>
      </w:r>
      <w:r w:rsidR="00E63FC6">
        <w:rPr>
          <w:i/>
        </w:rPr>
        <w:t>es</w:t>
      </w:r>
      <w:r w:rsidR="00442BFC" w:rsidRPr="00C92393">
        <w:rPr>
          <w:i/>
        </w:rPr>
        <w:t xml:space="preserve"> stipendij</w:t>
      </w:r>
      <w:r w:rsidR="00E63FC6">
        <w:rPr>
          <w:i/>
        </w:rPr>
        <w:t>as</w:t>
      </w:r>
      <w:r w:rsidR="00442BFC">
        <w:t xml:space="preserve"> </w:t>
      </w:r>
      <w:r w:rsidR="00B62E6A">
        <w:t>studentams</w:t>
      </w:r>
      <w:r w:rsidR="00FE7AF7">
        <w:t xml:space="preserve">, </w:t>
      </w:r>
      <w:r w:rsidR="004A7BC1">
        <w:t>kuri</w:t>
      </w:r>
      <w:r w:rsidR="00E63FC6">
        <w:t>os</w:t>
      </w:r>
      <w:r w:rsidR="004A7BC1">
        <w:t xml:space="preserve"> yra mokam</w:t>
      </w:r>
      <w:r w:rsidR="00E63FC6">
        <w:t>os</w:t>
      </w:r>
      <w:r w:rsidR="004A7BC1">
        <w:t xml:space="preserve">, </w:t>
      </w:r>
      <w:r w:rsidR="00906626">
        <w:t>neatsižvelgiant į studentų</w:t>
      </w:r>
      <w:r w:rsidR="001C7CAA">
        <w:t xml:space="preserve"> </w:t>
      </w:r>
      <w:r w:rsidR="004A7BC1">
        <w:t xml:space="preserve">mokymosi </w:t>
      </w:r>
      <w:r w:rsidR="00906626">
        <w:t>pasiekimus</w:t>
      </w:r>
      <w:r w:rsidR="008605E4">
        <w:t xml:space="preserve">, </w:t>
      </w:r>
      <w:r w:rsidR="00CE4636">
        <w:t xml:space="preserve">t. y. </w:t>
      </w:r>
      <w:r w:rsidR="008605E4">
        <w:t xml:space="preserve">į </w:t>
      </w:r>
      <w:r w:rsidR="00CE4636">
        <w:t>visą</w:t>
      </w:r>
      <w:r w:rsidR="00850657">
        <w:t xml:space="preserve"> </w:t>
      </w:r>
      <w:r w:rsidR="00F65267">
        <w:t>„</w:t>
      </w:r>
      <w:r w:rsidR="004E05BF">
        <w:t>krūvą</w:t>
      </w:r>
      <w:r w:rsidR="00F65267">
        <w:t>“</w:t>
      </w:r>
      <w:r w:rsidR="004E05BF">
        <w:t xml:space="preserve"> </w:t>
      </w:r>
      <w:r w:rsidR="00850657" w:rsidRPr="005175B3">
        <w:rPr>
          <w:b/>
          <w:i/>
        </w:rPr>
        <w:t>privilegijų</w:t>
      </w:r>
      <w:r w:rsidR="008A71E3">
        <w:t>, kurios yra</w:t>
      </w:r>
      <w:r w:rsidR="008605E4">
        <w:t xml:space="preserve"> </w:t>
      </w:r>
      <w:r w:rsidR="008A71E3">
        <w:t>ne</w:t>
      </w:r>
      <w:r w:rsidR="008605E4">
        <w:t>pasiekiamo</w:t>
      </w:r>
      <w:r w:rsidR="005C03CF">
        <w:t>s</w:t>
      </w:r>
      <w:r w:rsidR="009B4336">
        <w:t xml:space="preserve"> individams</w:t>
      </w:r>
      <w:r w:rsidR="005C03CF">
        <w:t xml:space="preserve">, kurių pajamos </w:t>
      </w:r>
      <w:r w:rsidR="009961C9" w:rsidRPr="00B67493">
        <w:rPr>
          <w:i/>
        </w:rPr>
        <w:t xml:space="preserve">tik </w:t>
      </w:r>
      <w:r w:rsidR="005C03CF" w:rsidRPr="00B67493">
        <w:rPr>
          <w:i/>
        </w:rPr>
        <w:t>šiek tiek</w:t>
      </w:r>
      <w:r w:rsidR="005C03CF">
        <w:t xml:space="preserve"> viršija valstybės nustatyt</w:t>
      </w:r>
      <w:r w:rsidR="009102AE">
        <w:t>as ribas</w:t>
      </w:r>
      <w:r w:rsidR="005C03CF">
        <w:t>.</w:t>
      </w:r>
      <w:r w:rsidR="007673F8">
        <w:t xml:space="preserve"> Įdomu</w:t>
      </w:r>
      <w:r w:rsidR="00C16326">
        <w:t xml:space="preserve"> </w:t>
      </w:r>
      <w:r w:rsidR="00FD301C">
        <w:t xml:space="preserve">tai, jog </w:t>
      </w:r>
      <w:r w:rsidR="007D11CA">
        <w:t xml:space="preserve">visas šis gėris </w:t>
      </w:r>
      <w:r w:rsidR="00C16326">
        <w:t>socialinės paramos gavėjams</w:t>
      </w:r>
      <w:r w:rsidR="007D11CA">
        <w:t xml:space="preserve"> </w:t>
      </w:r>
      <w:r w:rsidR="003E4033">
        <w:t>iš ti</w:t>
      </w:r>
      <w:r w:rsidR="0056773E">
        <w:t>krųj</w:t>
      </w:r>
      <w:r w:rsidR="007673F8">
        <w:t>ų</w:t>
      </w:r>
      <w:r w:rsidR="003E4033">
        <w:t xml:space="preserve"> </w:t>
      </w:r>
      <w:r w:rsidR="007673F8" w:rsidRPr="00333DA6">
        <w:rPr>
          <w:b/>
          <w:i/>
        </w:rPr>
        <w:t xml:space="preserve">gali </w:t>
      </w:r>
      <w:r w:rsidR="003E4033" w:rsidRPr="00333DA6">
        <w:rPr>
          <w:b/>
          <w:i/>
        </w:rPr>
        <w:t>tapti nemokam</w:t>
      </w:r>
      <w:r w:rsidR="0097562F">
        <w:rPr>
          <w:b/>
          <w:i/>
        </w:rPr>
        <w:t>u</w:t>
      </w:r>
      <w:r w:rsidR="003E4033">
        <w:t xml:space="preserve">, </w:t>
      </w:r>
      <w:r w:rsidR="0056773E">
        <w:t>nes</w:t>
      </w:r>
      <w:r w:rsidR="00C16326">
        <w:t xml:space="preserve"> jiems</w:t>
      </w:r>
      <w:r w:rsidR="009B4336">
        <w:t xml:space="preserve"> pri</w:t>
      </w:r>
      <w:r w:rsidR="008A244B">
        <w:t xml:space="preserve">skirta </w:t>
      </w:r>
      <w:r w:rsidR="008A244B" w:rsidRPr="00942C66">
        <w:rPr>
          <w:i/>
        </w:rPr>
        <w:t>pareiga</w:t>
      </w:r>
      <w:r w:rsidR="007C076E" w:rsidRPr="00942C66">
        <w:rPr>
          <w:i/>
        </w:rPr>
        <w:t xml:space="preserve"> dalyvauti visuomenei naudingoje veikloje ne </w:t>
      </w:r>
      <w:r w:rsidR="00EE2F5D" w:rsidRPr="00942C66">
        <w:rPr>
          <w:i/>
        </w:rPr>
        <w:t>visada gali būti įgyvendinama</w:t>
      </w:r>
      <w:r w:rsidR="00B67493">
        <w:t xml:space="preserve"> </w:t>
      </w:r>
      <w:r w:rsidR="0097562F">
        <w:t xml:space="preserve">– </w:t>
      </w:r>
      <w:r w:rsidR="00EE2F5D">
        <w:t>dėl</w:t>
      </w:r>
      <w:r w:rsidR="00755B0E">
        <w:t xml:space="preserve"> </w:t>
      </w:r>
      <w:r w:rsidR="001A2116">
        <w:t>kitos pusės, t. y. savivaldybės</w:t>
      </w:r>
      <w:r w:rsidR="005E3175">
        <w:t xml:space="preserve"> administracijos, </w:t>
      </w:r>
      <w:proofErr w:type="spellStart"/>
      <w:r w:rsidR="005E3175">
        <w:t>neorganizuotumo</w:t>
      </w:r>
      <w:proofErr w:type="spellEnd"/>
      <w:r w:rsidR="005E3175">
        <w:t xml:space="preserve"> ar</w:t>
      </w:r>
      <w:r w:rsidR="00C43ECC">
        <w:t>ba</w:t>
      </w:r>
      <w:r w:rsidR="005E3175">
        <w:t xml:space="preserve"> </w:t>
      </w:r>
      <w:r w:rsidR="00B827A5">
        <w:t>tiesiog dėl ekonominio efekto nebuvimo.</w:t>
      </w:r>
    </w:p>
    <w:p w:rsidR="00AE6CB9" w:rsidRPr="0080293D" w:rsidRDefault="00B04866" w:rsidP="009F4A38">
      <w:r>
        <w:t>Nemokamo</w:t>
      </w:r>
      <w:r w:rsidR="002D69D6">
        <w:t>mi</w:t>
      </w:r>
      <w:r>
        <w:t xml:space="preserve">s jos </w:t>
      </w:r>
      <w:r w:rsidR="00122392">
        <w:t>tampa</w:t>
      </w:r>
      <w:r w:rsidR="00102306">
        <w:t xml:space="preserve"> dar ir</w:t>
      </w:r>
      <w:r w:rsidR="00E0768E">
        <w:t xml:space="preserve"> </w:t>
      </w:r>
      <w:r w:rsidR="002D69D6">
        <w:t xml:space="preserve">dėl </w:t>
      </w:r>
      <w:r w:rsidR="003E46FE">
        <w:t>to</w:t>
      </w:r>
      <w:r w:rsidR="00102306">
        <w:t xml:space="preserve">, jog </w:t>
      </w:r>
      <w:r w:rsidR="00AB2CC8">
        <w:t>įstatyme</w:t>
      </w:r>
      <w:r w:rsidR="003E46FE">
        <w:t xml:space="preserve"> </w:t>
      </w:r>
      <w:r w:rsidR="00691614" w:rsidRPr="005D648A">
        <w:rPr>
          <w:i/>
        </w:rPr>
        <w:t xml:space="preserve">nėra </w:t>
      </w:r>
      <w:r w:rsidR="00122392" w:rsidRPr="005D648A">
        <w:rPr>
          <w:i/>
        </w:rPr>
        <w:t>pasakyta</w:t>
      </w:r>
      <w:r w:rsidR="00691614" w:rsidRPr="005D648A">
        <w:t>,</w:t>
      </w:r>
      <w:r w:rsidR="00691614">
        <w:t xml:space="preserve"> kad </w:t>
      </w:r>
      <w:r w:rsidR="002D69D6">
        <w:t xml:space="preserve">socialinės </w:t>
      </w:r>
      <w:r w:rsidR="00691614">
        <w:t>pašalp</w:t>
      </w:r>
      <w:r w:rsidR="002D69D6">
        <w:t>os</w:t>
      </w:r>
      <w:r w:rsidR="00E0768E">
        <w:t xml:space="preserve"> gavėja</w:t>
      </w:r>
      <w:r w:rsidR="003E46FE">
        <w:t>s</w:t>
      </w:r>
      <w:r w:rsidR="00C812EE">
        <w:t xml:space="preserve"> </w:t>
      </w:r>
      <w:r w:rsidR="00A1108B" w:rsidRPr="003E46FE">
        <w:rPr>
          <w:i/>
        </w:rPr>
        <w:t xml:space="preserve">darbais </w:t>
      </w:r>
      <w:r w:rsidR="00E0768E" w:rsidRPr="00B15898">
        <w:rPr>
          <w:i/>
          <w:u w:val="single"/>
        </w:rPr>
        <w:t>privalo</w:t>
      </w:r>
      <w:r w:rsidR="00E0768E" w:rsidRPr="003E46FE">
        <w:rPr>
          <w:i/>
        </w:rPr>
        <w:t xml:space="preserve"> </w:t>
      </w:r>
      <w:r w:rsidR="00DF6C36">
        <w:rPr>
          <w:i/>
        </w:rPr>
        <w:t xml:space="preserve">atlyginti </w:t>
      </w:r>
      <w:r w:rsidR="00637C2C" w:rsidRPr="00EA3CE7">
        <w:rPr>
          <w:i/>
          <w:u w:val="single"/>
        </w:rPr>
        <w:t>už</w:t>
      </w:r>
      <w:r w:rsidR="008E1A4F" w:rsidRPr="00EA3CE7">
        <w:rPr>
          <w:i/>
          <w:u w:val="single"/>
        </w:rPr>
        <w:t xml:space="preserve"> kiekvieną</w:t>
      </w:r>
      <w:r w:rsidR="00637C2C" w:rsidRPr="008A75F4">
        <w:rPr>
          <w:i/>
        </w:rPr>
        <w:t xml:space="preserve"> </w:t>
      </w:r>
      <w:r w:rsidR="00637C2C" w:rsidRPr="002D6DB3">
        <w:rPr>
          <w:i/>
        </w:rPr>
        <w:t>j</w:t>
      </w:r>
      <w:r w:rsidR="003E46FE" w:rsidRPr="002D6DB3">
        <w:rPr>
          <w:i/>
        </w:rPr>
        <w:t>am</w:t>
      </w:r>
      <w:r w:rsidR="00637C2C" w:rsidRPr="002D6DB3">
        <w:rPr>
          <w:i/>
        </w:rPr>
        <w:t xml:space="preserve"> suteiktą </w:t>
      </w:r>
      <w:r w:rsidR="007409C3" w:rsidRPr="002D6DB3">
        <w:rPr>
          <w:i/>
        </w:rPr>
        <w:t>piniginę paramą</w:t>
      </w:r>
      <w:r w:rsidR="00A506B4">
        <w:t xml:space="preserve">, </w:t>
      </w:r>
      <w:r w:rsidR="00621E5B">
        <w:t>kas</w:t>
      </w:r>
      <w:r w:rsidR="004A02CC">
        <w:t xml:space="preserve"> „savo teises </w:t>
      </w:r>
      <w:r w:rsidR="0022352B">
        <w:t>žinančiam</w:t>
      </w:r>
      <w:r w:rsidR="000A05EB">
        <w:t>“</w:t>
      </w:r>
      <w:r w:rsidR="00122392">
        <w:t xml:space="preserve"> piliečiui</w:t>
      </w:r>
      <w:r w:rsidR="00B15898">
        <w:t xml:space="preserve"> </w:t>
      </w:r>
      <w:r w:rsidR="009300EE">
        <w:t>atveria</w:t>
      </w:r>
      <w:r w:rsidR="005367CD">
        <w:t xml:space="preserve"> kelią</w:t>
      </w:r>
      <w:r w:rsidR="00621E5B">
        <w:t xml:space="preserve"> </w:t>
      </w:r>
      <w:r w:rsidR="001E3E71">
        <w:t>manipuli</w:t>
      </w:r>
      <w:r w:rsidR="006034EB">
        <w:t>acijoms</w:t>
      </w:r>
      <w:r w:rsidR="00826891">
        <w:t xml:space="preserve">, </w:t>
      </w:r>
      <w:r w:rsidR="000E0B49">
        <w:t>pavyzdžiui,</w:t>
      </w:r>
      <w:r w:rsidR="00206EE9">
        <w:t xml:space="preserve"> </w:t>
      </w:r>
      <w:r w:rsidR="00512B87">
        <w:t>nurodžius „pateisinamą“ nedalyvavimo</w:t>
      </w:r>
      <w:r w:rsidR="009300EE">
        <w:t xml:space="preserve"> visuomenei naudingoje veikloje</w:t>
      </w:r>
      <w:r w:rsidR="00512B87">
        <w:t xml:space="preserve"> priežastį</w:t>
      </w:r>
      <w:r w:rsidR="00512B87">
        <w:rPr>
          <w:rStyle w:val="FootnoteReference"/>
        </w:rPr>
        <w:footnoteReference w:id="19"/>
      </w:r>
      <w:r w:rsidR="00512B87">
        <w:t xml:space="preserve">, </w:t>
      </w:r>
      <w:r w:rsidR="00A35F85">
        <w:t>prievolė</w:t>
      </w:r>
      <w:r w:rsidR="00BC1717">
        <w:t xml:space="preserve"> yra panaikinama</w:t>
      </w:r>
      <w:r w:rsidR="003B3563">
        <w:t>, todėl</w:t>
      </w:r>
      <w:r w:rsidR="00F02812">
        <w:t xml:space="preserve"> </w:t>
      </w:r>
      <w:r w:rsidR="00485D59">
        <w:t xml:space="preserve">žmogus </w:t>
      </w:r>
      <w:r w:rsidR="009B6DC4">
        <w:t>tam tikrą laik</w:t>
      </w:r>
      <w:r w:rsidR="007D0CA2">
        <w:t>ą</w:t>
      </w:r>
      <w:r w:rsidR="009B6DC4">
        <w:t xml:space="preserve"> </w:t>
      </w:r>
      <w:r w:rsidR="00485D59">
        <w:t>socialine</w:t>
      </w:r>
      <w:r w:rsidR="009B6DC4">
        <w:t xml:space="preserve"> </w:t>
      </w:r>
      <w:r w:rsidR="007D0CA2">
        <w:t>pašalpa</w:t>
      </w:r>
      <w:r w:rsidR="00485D59">
        <w:t xml:space="preserve"> </w:t>
      </w:r>
      <w:r w:rsidR="008E61D1">
        <w:t>gali naudotis</w:t>
      </w:r>
      <w:r w:rsidR="00485D59">
        <w:t xml:space="preserve"> </w:t>
      </w:r>
      <w:r w:rsidR="009B6DC4">
        <w:t>nemokamai</w:t>
      </w:r>
      <w:r w:rsidR="00512B87">
        <w:t xml:space="preserve">. </w:t>
      </w:r>
      <w:r w:rsidR="00AE6CB9">
        <w:t>Be to,</w:t>
      </w:r>
      <w:r w:rsidR="00E61A2E">
        <w:t xml:space="preserve"> </w:t>
      </w:r>
      <w:r w:rsidR="008E3469">
        <w:t xml:space="preserve">ši </w:t>
      </w:r>
      <w:r w:rsidR="00D80E55">
        <w:t xml:space="preserve">prievolė </w:t>
      </w:r>
      <w:r w:rsidR="009053D7" w:rsidRPr="00AD3BA0">
        <w:t>nėra taikoma absoliučiai visiems</w:t>
      </w:r>
      <w:r w:rsidR="0052187D">
        <w:t xml:space="preserve"> individams</w:t>
      </w:r>
      <w:r w:rsidR="009531EE">
        <w:t>:</w:t>
      </w:r>
      <w:r w:rsidR="00533047">
        <w:t xml:space="preserve"> </w:t>
      </w:r>
      <w:r w:rsidR="001769A3" w:rsidRPr="00ED2103">
        <w:t>įstatyme</w:t>
      </w:r>
      <w:r w:rsidR="001769A3">
        <w:rPr>
          <w:color w:val="FF0000"/>
        </w:rPr>
        <w:t xml:space="preserve"> </w:t>
      </w:r>
      <w:r w:rsidR="001769A3" w:rsidRPr="006352F3">
        <w:t>yra pasakyta</w:t>
      </w:r>
      <w:r w:rsidR="001A5691" w:rsidRPr="006352F3">
        <w:t>,</w:t>
      </w:r>
      <w:r w:rsidR="001A5691">
        <w:t xml:space="preserve"> jog</w:t>
      </w:r>
      <w:r w:rsidR="005E6D99">
        <w:t xml:space="preserve"> </w:t>
      </w:r>
      <w:r w:rsidR="007031EE">
        <w:t>visuomenei naudingai veiklai atlikti gali</w:t>
      </w:r>
      <w:r w:rsidR="00B72C27">
        <w:t>ma</w:t>
      </w:r>
      <w:r w:rsidR="005E6D99">
        <w:t xml:space="preserve"> </w:t>
      </w:r>
      <w:r w:rsidR="00411AA6">
        <w:t xml:space="preserve">pasitelkti </w:t>
      </w:r>
      <w:r w:rsidR="008C1BA8" w:rsidRPr="005C6562">
        <w:t xml:space="preserve">tik </w:t>
      </w:r>
      <w:r w:rsidR="003D783B" w:rsidRPr="005C6562">
        <w:t>tuo</w:t>
      </w:r>
      <w:r w:rsidR="00773CFA" w:rsidRPr="005C6562">
        <w:t>s</w:t>
      </w:r>
      <w:r w:rsidR="003D783B" w:rsidRPr="005C6562">
        <w:t xml:space="preserve"> darbingo amžiaus </w:t>
      </w:r>
      <w:r w:rsidR="00964E14" w:rsidRPr="005C6562">
        <w:t>darbing</w:t>
      </w:r>
      <w:r w:rsidR="00103BFD" w:rsidRPr="005C6562">
        <w:t>us asmenis</w:t>
      </w:r>
      <w:r w:rsidR="00AD3BA0" w:rsidRPr="005C6562">
        <w:t xml:space="preserve">, </w:t>
      </w:r>
      <w:r w:rsidR="00103BFD" w:rsidRPr="005C6562">
        <w:t>kurie</w:t>
      </w:r>
      <w:r w:rsidR="0092009F" w:rsidRPr="005C6562">
        <w:t xml:space="preserve"> </w:t>
      </w:r>
      <w:r w:rsidR="00103BFD" w:rsidRPr="0080293D">
        <w:rPr>
          <w:i/>
          <w:u w:val="single"/>
        </w:rPr>
        <w:t>yra</w:t>
      </w:r>
      <w:r w:rsidR="0092009F" w:rsidRPr="0080293D">
        <w:rPr>
          <w:i/>
          <w:u w:val="single"/>
        </w:rPr>
        <w:t xml:space="preserve"> </w:t>
      </w:r>
      <w:r w:rsidR="008A00C0" w:rsidRPr="0080293D">
        <w:rPr>
          <w:i/>
          <w:u w:val="single"/>
        </w:rPr>
        <w:t>nedirban</w:t>
      </w:r>
      <w:r w:rsidR="003D783B" w:rsidRPr="0080293D">
        <w:rPr>
          <w:i/>
          <w:u w:val="single"/>
        </w:rPr>
        <w:t>tys</w:t>
      </w:r>
      <w:r w:rsidR="00964E14" w:rsidRPr="0080293D">
        <w:t xml:space="preserve"> </w:t>
      </w:r>
      <w:r w:rsidR="00324D8E" w:rsidRPr="0080293D">
        <w:rPr>
          <w:i/>
        </w:rPr>
        <w:t>ir</w:t>
      </w:r>
      <w:r w:rsidR="00324D8E" w:rsidRPr="0080293D">
        <w:t xml:space="preserve"> </w:t>
      </w:r>
      <w:r w:rsidR="00BE0D79" w:rsidRPr="0080293D">
        <w:t>kurie</w:t>
      </w:r>
      <w:r w:rsidR="00FF74A6" w:rsidRPr="0080293D">
        <w:t> </w:t>
      </w:r>
      <w:r w:rsidR="001006B4" w:rsidRPr="0080293D">
        <w:t>socialinę pašalpą</w:t>
      </w:r>
      <w:r w:rsidR="00BF2195" w:rsidRPr="0080293D">
        <w:t xml:space="preserve"> </w:t>
      </w:r>
      <w:r w:rsidR="00BF2195" w:rsidRPr="0080293D">
        <w:rPr>
          <w:i/>
          <w:u w:val="single"/>
        </w:rPr>
        <w:t>gauna ilgiau kaip 6 mėn</w:t>
      </w:r>
      <w:r w:rsidR="00BF2195" w:rsidRPr="0080293D">
        <w:t>.</w:t>
      </w:r>
      <w:r w:rsidR="00ED2103" w:rsidRPr="0080293D">
        <w:t xml:space="preserve"> (</w:t>
      </w:r>
      <w:r w:rsidR="001A6918" w:rsidRPr="0080293D">
        <w:t xml:space="preserve">23 </w:t>
      </w:r>
      <w:r w:rsidR="00CE323A" w:rsidRPr="0080293D">
        <w:t>straipsnis</w:t>
      </w:r>
      <w:r w:rsidR="00ED2103" w:rsidRPr="0080293D">
        <w:t>)</w:t>
      </w:r>
      <w:r w:rsidR="001A6918" w:rsidRPr="0080293D">
        <w:t xml:space="preserve"> </w:t>
      </w:r>
      <w:r w:rsidR="00DE5758" w:rsidRPr="0080293D">
        <w:t xml:space="preserve">– </w:t>
      </w:r>
      <w:r w:rsidR="00C46A7C" w:rsidRPr="0080293D">
        <w:t xml:space="preserve">o </w:t>
      </w:r>
      <w:r w:rsidR="00DE5758" w:rsidRPr="0080293D">
        <w:t>tai reiškia</w:t>
      </w:r>
      <w:r w:rsidR="00E838D7" w:rsidRPr="0080293D">
        <w:t xml:space="preserve">, jog </w:t>
      </w:r>
      <w:r w:rsidR="002E119A" w:rsidRPr="0080293D">
        <w:t>pati valstybė prisideda prie netinkamo požiūrio</w:t>
      </w:r>
      <w:r w:rsidR="00FD7301" w:rsidRPr="0080293D">
        <w:t xml:space="preserve"> į socialinę apsaugą</w:t>
      </w:r>
      <w:r w:rsidR="00457557" w:rsidRPr="0080293D">
        <w:t xml:space="preserve"> „kūrimo“</w:t>
      </w:r>
      <w:r w:rsidR="00FD7301" w:rsidRPr="0080293D">
        <w:t>, kuris</w:t>
      </w:r>
      <w:r w:rsidR="00FA1942" w:rsidRPr="0080293D">
        <w:t xml:space="preserve"> yra paremtas</w:t>
      </w:r>
      <w:r w:rsidR="00457557" w:rsidRPr="0080293D">
        <w:t xml:space="preserve"> tikėjimu</w:t>
      </w:r>
      <w:r w:rsidR="00FA1942" w:rsidRPr="0080293D">
        <w:t>, jog</w:t>
      </w:r>
      <w:r w:rsidR="001F4590" w:rsidRPr="0080293D">
        <w:t xml:space="preserve"> pašalp</w:t>
      </w:r>
      <w:r w:rsidR="002C260F" w:rsidRPr="0080293D">
        <w:t>a „nieko nekainuoja“</w:t>
      </w:r>
      <w:r w:rsidR="001F4590" w:rsidRPr="0080293D">
        <w:t>. Kr</w:t>
      </w:r>
      <w:r w:rsidR="00CE1970" w:rsidRPr="0080293D">
        <w:t xml:space="preserve">itikuotina gali būti ir tai, kad </w:t>
      </w:r>
      <w:r w:rsidR="002C260F" w:rsidRPr="0080293D">
        <w:rPr>
          <w:b/>
          <w:i/>
        </w:rPr>
        <w:t>priemonės, drausminančios pašalpų</w:t>
      </w:r>
      <w:r w:rsidR="00457557" w:rsidRPr="0080293D">
        <w:rPr>
          <w:b/>
          <w:i/>
        </w:rPr>
        <w:t xml:space="preserve"> gavėjus,</w:t>
      </w:r>
      <w:r w:rsidR="002C260F" w:rsidRPr="0080293D">
        <w:rPr>
          <w:b/>
          <w:i/>
        </w:rPr>
        <w:t xml:space="preserve"> yra</w:t>
      </w:r>
      <w:r w:rsidR="009F7E49" w:rsidRPr="0080293D">
        <w:rPr>
          <w:b/>
          <w:i/>
        </w:rPr>
        <w:t xml:space="preserve"> neefektyvios</w:t>
      </w:r>
      <w:r w:rsidR="00723565" w:rsidRPr="0080293D">
        <w:t xml:space="preserve">: </w:t>
      </w:r>
      <w:r w:rsidR="005A3487" w:rsidRPr="0080293D">
        <w:t xml:space="preserve">nevykdant </w:t>
      </w:r>
      <w:r w:rsidR="002D6AB5" w:rsidRPr="0080293D">
        <w:t>pareig</w:t>
      </w:r>
      <w:r w:rsidR="00AB2FE3" w:rsidRPr="0080293D">
        <w:t>os</w:t>
      </w:r>
      <w:r w:rsidR="002D6AB5" w:rsidRPr="0080293D">
        <w:t>, socialinė</w:t>
      </w:r>
      <w:r w:rsidR="00871C05" w:rsidRPr="0080293D">
        <w:t>s</w:t>
      </w:r>
      <w:r w:rsidR="002D6AB5" w:rsidRPr="0080293D">
        <w:t xml:space="preserve"> </w:t>
      </w:r>
      <w:r w:rsidR="005A2331" w:rsidRPr="0080293D">
        <w:t xml:space="preserve">paramos </w:t>
      </w:r>
      <w:r w:rsidR="00AE5F86" w:rsidRPr="0080293D">
        <w:t>teik</w:t>
      </w:r>
      <w:r w:rsidR="00871C05" w:rsidRPr="0080293D">
        <w:t>imas yra</w:t>
      </w:r>
      <w:r w:rsidR="00A1034A" w:rsidRPr="0080293D">
        <w:t xml:space="preserve"> </w:t>
      </w:r>
      <w:r w:rsidR="00A1034A" w:rsidRPr="0080293D">
        <w:rPr>
          <w:i/>
        </w:rPr>
        <w:t>tik</w:t>
      </w:r>
      <w:r w:rsidR="00A1034A" w:rsidRPr="0080293D">
        <w:t xml:space="preserve"> </w:t>
      </w:r>
      <w:r w:rsidR="00FC5B9E" w:rsidRPr="0080293D">
        <w:t>pri</w:t>
      </w:r>
      <w:r w:rsidR="00AE5F86" w:rsidRPr="0080293D">
        <w:t>stabdomas</w:t>
      </w:r>
      <w:r w:rsidR="00B47C49" w:rsidRPr="0080293D">
        <w:rPr>
          <w:rStyle w:val="FootnoteReference"/>
        </w:rPr>
        <w:footnoteReference w:id="20"/>
      </w:r>
      <w:r w:rsidR="00AE5F86" w:rsidRPr="0080293D">
        <w:t xml:space="preserve"> </w:t>
      </w:r>
      <w:r w:rsidR="00D67491" w:rsidRPr="0080293D">
        <w:t>„</w:t>
      </w:r>
      <w:r w:rsidR="00507A29" w:rsidRPr="0080293D">
        <w:rPr>
          <w:i/>
        </w:rPr>
        <w:t xml:space="preserve">iki </w:t>
      </w:r>
      <w:r w:rsidR="005A3487" w:rsidRPr="0080293D">
        <w:rPr>
          <w:i/>
        </w:rPr>
        <w:t>pareiga</w:t>
      </w:r>
      <w:r w:rsidR="001C7DD2" w:rsidRPr="0080293D">
        <w:rPr>
          <w:i/>
        </w:rPr>
        <w:t xml:space="preserve"> bus</w:t>
      </w:r>
      <w:r w:rsidR="00B57513" w:rsidRPr="0080293D">
        <w:rPr>
          <w:i/>
        </w:rPr>
        <w:t xml:space="preserve"> įvykdy</w:t>
      </w:r>
      <w:r w:rsidR="001C7DD2" w:rsidRPr="0080293D">
        <w:rPr>
          <w:i/>
        </w:rPr>
        <w:t>t</w:t>
      </w:r>
      <w:r w:rsidR="005A3487" w:rsidRPr="0080293D">
        <w:rPr>
          <w:i/>
        </w:rPr>
        <w:t>a</w:t>
      </w:r>
      <w:r w:rsidR="00D67491" w:rsidRPr="0080293D">
        <w:t>“</w:t>
      </w:r>
      <w:r w:rsidR="006C2692" w:rsidRPr="0080293D">
        <w:t xml:space="preserve"> </w:t>
      </w:r>
      <w:r w:rsidR="00ED2103" w:rsidRPr="0080293D">
        <w:t>(</w:t>
      </w:r>
      <w:r w:rsidR="00016632" w:rsidRPr="0080293D">
        <w:t>23 straipsni</w:t>
      </w:r>
      <w:r w:rsidR="001442F6" w:rsidRPr="0080293D">
        <w:t>s</w:t>
      </w:r>
      <w:r w:rsidR="00ED2103" w:rsidRPr="0080293D">
        <w:t>)</w:t>
      </w:r>
      <w:r w:rsidR="00831248" w:rsidRPr="0080293D">
        <w:t>,</w:t>
      </w:r>
      <w:r w:rsidR="001C3A16" w:rsidRPr="0080293D">
        <w:t xml:space="preserve"> kas</w:t>
      </w:r>
      <w:r w:rsidR="00142BE1" w:rsidRPr="0080293D">
        <w:t xml:space="preserve"> byloja</w:t>
      </w:r>
      <w:r w:rsidR="001C3A16" w:rsidRPr="0080293D">
        <w:t>, jog teisę</w:t>
      </w:r>
      <w:r w:rsidR="0075541C" w:rsidRPr="0080293D">
        <w:t xml:space="preserve"> į</w:t>
      </w:r>
      <w:r w:rsidR="001C3A16" w:rsidRPr="0080293D">
        <w:t xml:space="preserve"> </w:t>
      </w:r>
      <w:r w:rsidR="0063564C" w:rsidRPr="0080293D">
        <w:t>paramą</w:t>
      </w:r>
      <w:r w:rsidR="009F7E49" w:rsidRPr="0080293D">
        <w:t xml:space="preserve">, </w:t>
      </w:r>
      <w:r w:rsidR="00142BE1" w:rsidRPr="0080293D">
        <w:t xml:space="preserve">– </w:t>
      </w:r>
      <w:r w:rsidR="009F7E49" w:rsidRPr="0080293D">
        <w:rPr>
          <w:i/>
        </w:rPr>
        <w:t>net ir nusižengus</w:t>
      </w:r>
      <w:r w:rsidR="009F7E49" w:rsidRPr="0080293D">
        <w:t>,</w:t>
      </w:r>
      <w:r w:rsidR="0063564C" w:rsidRPr="0080293D">
        <w:t xml:space="preserve"> </w:t>
      </w:r>
      <w:r w:rsidR="00142BE1" w:rsidRPr="0080293D">
        <w:t xml:space="preserve">– </w:t>
      </w:r>
      <w:r w:rsidR="001C3A16" w:rsidRPr="0080293D">
        <w:t>galima</w:t>
      </w:r>
      <w:r w:rsidR="0063564C" w:rsidRPr="0080293D">
        <w:t xml:space="preserve"> </w:t>
      </w:r>
      <w:r w:rsidR="00B30AB3" w:rsidRPr="0080293D">
        <w:t xml:space="preserve">lengvai </w:t>
      </w:r>
      <w:r w:rsidR="001C3A16" w:rsidRPr="0080293D">
        <w:t>susigrąžinti</w:t>
      </w:r>
      <w:r w:rsidR="0075541C" w:rsidRPr="0080293D">
        <w:t>.</w:t>
      </w:r>
    </w:p>
    <w:p w:rsidR="00205C32" w:rsidRPr="0080293D" w:rsidRDefault="00B30AB3" w:rsidP="009F4A38">
      <w:r>
        <w:lastRenderedPageBreak/>
        <w:t xml:space="preserve">Tas pat gali būti pasakytina ir apie žmones, </w:t>
      </w:r>
      <w:r w:rsidR="005D648A">
        <w:t>užsiimančius nelegalia veikla:</w:t>
      </w:r>
      <w:r w:rsidR="00242D41">
        <w:t xml:space="preserve"> dabartiniame įstatyme yra teigiama, jog</w:t>
      </w:r>
      <w:r w:rsidR="004C012D">
        <w:t xml:space="preserve"> gavus </w:t>
      </w:r>
      <w:r w:rsidR="00D32F4B">
        <w:t>informacijos apie piniginės socialinės paramos teikimo laikotarpiu nelegaliai</w:t>
      </w:r>
      <w:r w:rsidR="00C05543">
        <w:t xml:space="preserve"> gautas ar </w:t>
      </w:r>
      <w:r w:rsidR="00C05543" w:rsidRPr="0080293D">
        <w:t>gaunamas pajamas ar</w:t>
      </w:r>
      <w:r w:rsidR="00D32F4B" w:rsidRPr="0080293D">
        <w:t xml:space="preserve"> </w:t>
      </w:r>
      <w:r w:rsidR="00D32F4B" w:rsidRPr="0080293D">
        <w:rPr>
          <w:b/>
          <w:i/>
        </w:rPr>
        <w:t>nelegalų darbą</w:t>
      </w:r>
      <w:r w:rsidR="00E2102B" w:rsidRPr="0080293D">
        <w:t>, socialinės pašalpos ir kompensacijų teikimas yra</w:t>
      </w:r>
      <w:r w:rsidR="00C05543" w:rsidRPr="0080293D">
        <w:t xml:space="preserve"> </w:t>
      </w:r>
      <w:r w:rsidR="005A3487" w:rsidRPr="0080293D">
        <w:t>[</w:t>
      </w:r>
      <w:r w:rsidR="00C05543" w:rsidRPr="0080293D">
        <w:t>tik</w:t>
      </w:r>
      <w:r w:rsidR="005A3487" w:rsidRPr="0080293D">
        <w:t>]</w:t>
      </w:r>
      <w:r w:rsidR="00E2102B" w:rsidRPr="0080293D">
        <w:t xml:space="preserve"> </w:t>
      </w:r>
      <w:r w:rsidR="00E2102B" w:rsidRPr="0080293D">
        <w:rPr>
          <w:b/>
          <w:i/>
        </w:rPr>
        <w:t xml:space="preserve">apribojamas </w:t>
      </w:r>
      <w:r w:rsidR="00965016" w:rsidRPr="0080293D">
        <w:rPr>
          <w:b/>
          <w:i/>
        </w:rPr>
        <w:t>6 </w:t>
      </w:r>
      <w:r w:rsidR="00E2102B" w:rsidRPr="0080293D">
        <w:rPr>
          <w:b/>
          <w:i/>
        </w:rPr>
        <w:t>mėn.</w:t>
      </w:r>
      <w:r w:rsidR="00E34A1C" w:rsidRPr="0080293D">
        <w:rPr>
          <w:b/>
          <w:i/>
        </w:rPr>
        <w:t xml:space="preserve"> </w:t>
      </w:r>
      <w:r w:rsidR="007A3971" w:rsidRPr="0080293D">
        <w:t>(</w:t>
      </w:r>
      <w:r w:rsidR="00E34A1C" w:rsidRPr="0080293D">
        <w:t>23 straipsnis</w:t>
      </w:r>
      <w:r w:rsidR="007A3971" w:rsidRPr="0080293D">
        <w:t>)</w:t>
      </w:r>
      <w:r w:rsidR="00B16BEB" w:rsidRPr="0080293D">
        <w:t xml:space="preserve">, kai tuo tarpu </w:t>
      </w:r>
      <w:r w:rsidR="00965016" w:rsidRPr="0080293D">
        <w:t>nelegalus</w:t>
      </w:r>
      <w:r w:rsidR="00FB74D3" w:rsidRPr="0080293D">
        <w:t xml:space="preserve"> darbas darbdaviams už kiekvieną nelegaliai dirbantį asmenį užtraukia</w:t>
      </w:r>
      <w:r w:rsidR="00CC4D36" w:rsidRPr="0080293D">
        <w:t xml:space="preserve"> baudą nuo 3 iki 10 tūkst. litų (Administracinių teisės pažeidimų kodeksas</w:t>
      </w:r>
      <w:r w:rsidR="00E34A1C" w:rsidRPr="0080293D">
        <w:t xml:space="preserve"> </w:t>
      </w:r>
      <w:r w:rsidR="00DF6B4A" w:rsidRPr="0080293D">
        <w:t>1985</w:t>
      </w:r>
      <w:r w:rsidR="00BE417F" w:rsidRPr="0080293D">
        <w:t>, 41</w:t>
      </w:r>
      <w:r w:rsidR="00BE417F" w:rsidRPr="0080293D">
        <w:rPr>
          <w:vertAlign w:val="superscript"/>
        </w:rPr>
        <w:t>(3)</w:t>
      </w:r>
      <w:r w:rsidR="00BE417F" w:rsidRPr="0080293D">
        <w:t xml:space="preserve"> straipsnis</w:t>
      </w:r>
      <w:r w:rsidR="00CC4D36" w:rsidRPr="0080293D">
        <w:t>)</w:t>
      </w:r>
      <w:r w:rsidR="00BE417F" w:rsidRPr="0080293D">
        <w:t>.</w:t>
      </w:r>
      <w:r w:rsidR="00965016" w:rsidRPr="0080293D">
        <w:t xml:space="preserve"> Manytume, jog tokia priemonė, įtvirtinta</w:t>
      </w:r>
      <w:r w:rsidR="00422743" w:rsidRPr="0080293D">
        <w:t xml:space="preserve"> įstatyme, yra </w:t>
      </w:r>
      <w:r w:rsidR="00716C75" w:rsidRPr="0080293D">
        <w:t xml:space="preserve">visiškai </w:t>
      </w:r>
      <w:r w:rsidR="00422743" w:rsidRPr="0080293D">
        <w:t>neadekvati atsakomybės paskirstymo</w:t>
      </w:r>
      <w:r w:rsidR="00716C75" w:rsidRPr="0080293D">
        <w:t xml:space="preserve"> tarp sprendimą priėmusių šalių</w:t>
      </w:r>
      <w:r w:rsidR="006F28E9" w:rsidRPr="0080293D">
        <w:t xml:space="preserve"> atžvilgiu</w:t>
      </w:r>
      <w:r w:rsidR="00B92BD8" w:rsidRPr="0080293D">
        <w:t xml:space="preserve">, </w:t>
      </w:r>
      <w:r w:rsidR="007F38B4" w:rsidRPr="0080293D">
        <w:t>nes</w:t>
      </w:r>
      <w:r w:rsidR="00ED4210" w:rsidRPr="0080293D">
        <w:t xml:space="preserve"> nelegaliai dirbantis žmogus </w:t>
      </w:r>
      <w:r w:rsidR="003A073E" w:rsidRPr="0080293D">
        <w:t xml:space="preserve">nėra suinteresuotas </w:t>
      </w:r>
      <w:r w:rsidR="00ED4210" w:rsidRPr="0080293D">
        <w:t>keisti elgsenos</w:t>
      </w:r>
      <w:r w:rsidR="00DE61CE" w:rsidRPr="0080293D">
        <w:t>.</w:t>
      </w:r>
      <w:r w:rsidR="007F38B4" w:rsidRPr="0080293D">
        <w:t xml:space="preserve"> Taip pat reik</w:t>
      </w:r>
      <w:r w:rsidR="00A82080" w:rsidRPr="0080293D">
        <w:t>ė</w:t>
      </w:r>
      <w:r w:rsidR="007F38B4" w:rsidRPr="0080293D">
        <w:t>tų</w:t>
      </w:r>
      <w:r w:rsidR="005C5DFF" w:rsidRPr="0080293D">
        <w:t xml:space="preserve"> pastebėti</w:t>
      </w:r>
      <w:r w:rsidR="007F38B4" w:rsidRPr="0080293D">
        <w:t>, jog</w:t>
      </w:r>
      <w:r w:rsidR="00F87215" w:rsidRPr="0080293D">
        <w:t xml:space="preserve"> </w:t>
      </w:r>
      <w:r w:rsidR="00535575" w:rsidRPr="0080293D">
        <w:t xml:space="preserve">pagal šiuo metu galiojančią tvarką </w:t>
      </w:r>
      <w:r w:rsidR="007364A1" w:rsidRPr="0080293D">
        <w:t>neteisėtai ga</w:t>
      </w:r>
      <w:r w:rsidR="004D3EFE" w:rsidRPr="0080293D">
        <w:t>utą</w:t>
      </w:r>
      <w:r w:rsidR="007364A1" w:rsidRPr="0080293D">
        <w:t xml:space="preserve"> piniginę paramą </w:t>
      </w:r>
      <w:r w:rsidR="0025753C" w:rsidRPr="0080293D">
        <w:t xml:space="preserve">užtenka </w:t>
      </w:r>
      <w:r w:rsidR="007364A1" w:rsidRPr="0080293D">
        <w:t xml:space="preserve">grąžinti </w:t>
      </w:r>
      <w:r w:rsidR="005C5DFF" w:rsidRPr="0080293D">
        <w:t>(arba</w:t>
      </w:r>
      <w:r w:rsidR="00612C9C" w:rsidRPr="0080293D">
        <w:t xml:space="preserve"> </w:t>
      </w:r>
      <w:r w:rsidR="005C5DFF" w:rsidRPr="0080293D">
        <w:t>sumokėti dalimis)</w:t>
      </w:r>
      <w:r w:rsidR="00535575" w:rsidRPr="0080293D">
        <w:t xml:space="preserve"> </w:t>
      </w:r>
      <w:r w:rsidR="00C749DB" w:rsidRPr="0080293D">
        <w:t>(</w:t>
      </w:r>
      <w:r w:rsidR="00535575" w:rsidRPr="0080293D">
        <w:t>26 straipsnis</w:t>
      </w:r>
      <w:r w:rsidR="00C749DB" w:rsidRPr="0080293D">
        <w:t>)</w:t>
      </w:r>
      <w:r w:rsidR="0025753C" w:rsidRPr="0080293D">
        <w:t xml:space="preserve"> ją skyrusiai institucijai</w:t>
      </w:r>
      <w:r w:rsidR="00686BF5" w:rsidRPr="0080293D">
        <w:t>,</w:t>
      </w:r>
      <w:r w:rsidR="00612C9C" w:rsidRPr="0080293D">
        <w:t xml:space="preserve"> </w:t>
      </w:r>
      <w:r w:rsidR="004D7409" w:rsidRPr="0080293D">
        <w:t xml:space="preserve">– ir tai jokios </w:t>
      </w:r>
      <w:r w:rsidR="00612C9C" w:rsidRPr="0080293D">
        <w:t>baudos</w:t>
      </w:r>
      <w:r w:rsidR="004D7409" w:rsidRPr="0080293D">
        <w:t xml:space="preserve"> neužtraukia</w:t>
      </w:r>
      <w:r w:rsidR="00535575" w:rsidRPr="0080293D">
        <w:t>.</w:t>
      </w:r>
    </w:p>
    <w:p w:rsidR="0068443B" w:rsidRDefault="00535140" w:rsidP="009F4A38">
      <w:r>
        <w:t xml:space="preserve">Kalbant apie </w:t>
      </w:r>
      <w:r w:rsidR="00C43ECC">
        <w:t xml:space="preserve">socialinės paramos mokėjimo trukmę, </w:t>
      </w:r>
      <w:r w:rsidR="00D86B22">
        <w:t xml:space="preserve">t. y. apie kitą paskatas mažinantį veiksnį, </w:t>
      </w:r>
      <w:r w:rsidR="00C43ECC">
        <w:t xml:space="preserve">reikėtų </w:t>
      </w:r>
      <w:r w:rsidR="00C43ECC" w:rsidRPr="0080293D">
        <w:t xml:space="preserve">pasakyti, jog </w:t>
      </w:r>
      <w:r w:rsidR="009E4092" w:rsidRPr="0080293D">
        <w:t xml:space="preserve">skurstantiems </w:t>
      </w:r>
      <w:r w:rsidR="00064ABC" w:rsidRPr="0080293D">
        <w:t xml:space="preserve">gyventojams </w:t>
      </w:r>
      <w:r w:rsidR="00A043C4" w:rsidRPr="0080293D">
        <w:rPr>
          <w:b/>
          <w:i/>
        </w:rPr>
        <w:t xml:space="preserve">nekintamo dydžio </w:t>
      </w:r>
      <w:r w:rsidR="00E06897" w:rsidRPr="0080293D">
        <w:rPr>
          <w:b/>
          <w:i/>
        </w:rPr>
        <w:t xml:space="preserve">socialinė pašalpa </w:t>
      </w:r>
      <w:r w:rsidR="00167DCA" w:rsidRPr="0080293D">
        <w:rPr>
          <w:b/>
          <w:i/>
        </w:rPr>
        <w:t>gali būti teikiama 36 mėn.</w:t>
      </w:r>
      <w:r w:rsidR="00216B79" w:rsidRPr="0080293D">
        <w:t xml:space="preserve"> </w:t>
      </w:r>
      <w:r w:rsidR="002B5EFC" w:rsidRPr="0080293D">
        <w:t>(</w:t>
      </w:r>
      <w:r w:rsidR="00C12530" w:rsidRPr="0080293D">
        <w:t>10 straipsnis</w:t>
      </w:r>
      <w:r w:rsidR="002B5EFC" w:rsidRPr="0080293D">
        <w:t>)</w:t>
      </w:r>
      <w:r w:rsidR="0068443B" w:rsidRPr="0080293D">
        <w:t>; k</w:t>
      </w:r>
      <w:r w:rsidR="00046F57" w:rsidRPr="0080293D">
        <w:t>ai</w:t>
      </w:r>
      <w:r w:rsidR="00167DCA" w:rsidRPr="0080293D">
        <w:t xml:space="preserve"> bent vienas iš bendrai gyvenančių</w:t>
      </w:r>
      <w:r w:rsidR="00064ABC" w:rsidRPr="0080293D">
        <w:t xml:space="preserve"> </w:t>
      </w:r>
      <w:r w:rsidR="00526DF8" w:rsidRPr="0080293D">
        <w:t xml:space="preserve">žmonių </w:t>
      </w:r>
      <w:r w:rsidR="009B7789" w:rsidRPr="0080293D">
        <w:t xml:space="preserve">(ar vienas gyvenantis asmuo) </w:t>
      </w:r>
      <w:r w:rsidR="00064ABC" w:rsidRPr="0080293D">
        <w:t xml:space="preserve">yra </w:t>
      </w:r>
      <w:r w:rsidR="00FF0668" w:rsidRPr="0080293D">
        <w:rPr>
          <w:i/>
        </w:rPr>
        <w:t>darbingo amžiaus darbing</w:t>
      </w:r>
      <w:r w:rsidR="00064ABC" w:rsidRPr="0080293D">
        <w:rPr>
          <w:i/>
        </w:rPr>
        <w:t>a</w:t>
      </w:r>
      <w:r w:rsidR="00FF0668" w:rsidRPr="0080293D">
        <w:rPr>
          <w:i/>
        </w:rPr>
        <w:t>s</w:t>
      </w:r>
      <w:r w:rsidR="007D6089" w:rsidRPr="0080293D">
        <w:rPr>
          <w:i/>
        </w:rPr>
        <w:t xml:space="preserve">, </w:t>
      </w:r>
      <w:r w:rsidR="008550AC" w:rsidRPr="0080293D">
        <w:rPr>
          <w:i/>
        </w:rPr>
        <w:t>bet</w:t>
      </w:r>
      <w:r w:rsidR="00FF0668" w:rsidRPr="0080293D">
        <w:rPr>
          <w:i/>
        </w:rPr>
        <w:t xml:space="preserve"> nedirbantis</w:t>
      </w:r>
      <w:r w:rsidR="008550AC" w:rsidRPr="0080293D">
        <w:rPr>
          <w:i/>
        </w:rPr>
        <w:t>,</w:t>
      </w:r>
      <w:r w:rsidR="00FF0668" w:rsidRPr="0080293D">
        <w:rPr>
          <w:i/>
        </w:rPr>
        <w:t xml:space="preserve"> </w:t>
      </w:r>
      <w:r w:rsidR="00046F57" w:rsidRPr="0080293D">
        <w:rPr>
          <w:i/>
        </w:rPr>
        <w:t>asmuo</w:t>
      </w:r>
      <w:r w:rsidR="00216B79" w:rsidRPr="0080293D">
        <w:t>, s</w:t>
      </w:r>
      <w:r w:rsidR="007D6089" w:rsidRPr="0080293D">
        <w:t>uėjus šiam terminui</w:t>
      </w:r>
      <w:r w:rsidR="00526DF8" w:rsidRPr="0080293D">
        <w:t xml:space="preserve">, socialinė pašalpa </w:t>
      </w:r>
      <w:r w:rsidR="008550AC" w:rsidRPr="0080293D">
        <w:t xml:space="preserve">palaipsniui </w:t>
      </w:r>
      <w:r w:rsidR="00526DF8" w:rsidRPr="0080293D">
        <w:t>pradedama mažinti</w:t>
      </w:r>
      <w:r w:rsidR="00760A5C" w:rsidRPr="0080293D">
        <w:t>,</w:t>
      </w:r>
      <w:r w:rsidR="00DA15E5" w:rsidRPr="0080293D">
        <w:t xml:space="preserve"> – ir </w:t>
      </w:r>
      <w:r w:rsidR="009D66F5" w:rsidRPr="0080293D">
        <w:t>jei</w:t>
      </w:r>
      <w:r w:rsidR="008F4419" w:rsidRPr="0080293D">
        <w:t>gu</w:t>
      </w:r>
      <w:r w:rsidR="009D66F5" w:rsidRPr="0080293D">
        <w:t xml:space="preserve"> </w:t>
      </w:r>
      <w:r w:rsidR="008560DC" w:rsidRPr="0080293D">
        <w:t xml:space="preserve">tokie bendrai gyvenantys </w:t>
      </w:r>
      <w:r w:rsidR="008F4419" w:rsidRPr="0080293D">
        <w:t>žmonės</w:t>
      </w:r>
      <w:r w:rsidR="00760A5C" w:rsidRPr="0080293D">
        <w:t>, laikui bėgant,</w:t>
      </w:r>
      <w:r w:rsidR="008F4419" w:rsidRPr="0080293D">
        <w:t xml:space="preserve"> </w:t>
      </w:r>
      <w:r w:rsidR="008560DC" w:rsidRPr="0080293D">
        <w:t xml:space="preserve">nekeičia savo </w:t>
      </w:r>
      <w:r w:rsidR="008F4419" w:rsidRPr="0080293D">
        <w:t xml:space="preserve">finansinės </w:t>
      </w:r>
      <w:r w:rsidR="008560DC" w:rsidRPr="0080293D">
        <w:t xml:space="preserve">elgsenos, </w:t>
      </w:r>
      <w:r w:rsidR="00E5614E" w:rsidRPr="0080293D">
        <w:t>t. y. neįsidarbina</w:t>
      </w:r>
      <w:r w:rsidR="008C15AD" w:rsidRPr="0080293D">
        <w:rPr>
          <w:rStyle w:val="FootnoteReference"/>
        </w:rPr>
        <w:footnoteReference w:id="21"/>
      </w:r>
      <w:r w:rsidR="00E5614E" w:rsidRPr="0080293D">
        <w:t xml:space="preserve">, </w:t>
      </w:r>
      <w:r w:rsidR="008560DC" w:rsidRPr="0080293D">
        <w:rPr>
          <w:i/>
        </w:rPr>
        <w:t>suėjus 60-</w:t>
      </w:r>
      <w:r w:rsidR="0074608F" w:rsidRPr="0080293D">
        <w:rPr>
          <w:i/>
        </w:rPr>
        <w:t>t</w:t>
      </w:r>
      <w:r w:rsidR="008560DC" w:rsidRPr="0080293D">
        <w:rPr>
          <w:i/>
        </w:rPr>
        <w:t xml:space="preserve">am </w:t>
      </w:r>
      <w:r w:rsidR="006E057E" w:rsidRPr="0080293D">
        <w:rPr>
          <w:i/>
        </w:rPr>
        <w:t xml:space="preserve">socialinės </w:t>
      </w:r>
      <w:r w:rsidR="008560DC" w:rsidRPr="0080293D">
        <w:rPr>
          <w:i/>
        </w:rPr>
        <w:t>pašalpos</w:t>
      </w:r>
      <w:r w:rsidR="0074608F" w:rsidRPr="0080293D">
        <w:rPr>
          <w:i/>
        </w:rPr>
        <w:t xml:space="preserve"> gavimo mėnesiui, </w:t>
      </w:r>
      <w:r w:rsidR="00EE1DB6" w:rsidRPr="0080293D">
        <w:rPr>
          <w:i/>
        </w:rPr>
        <w:t>j</w:t>
      </w:r>
      <w:r w:rsidR="002E0DE6" w:rsidRPr="0080293D">
        <w:rPr>
          <w:i/>
        </w:rPr>
        <w:t>os</w:t>
      </w:r>
      <w:r w:rsidR="006E057E" w:rsidRPr="0080293D">
        <w:rPr>
          <w:i/>
        </w:rPr>
        <w:t xml:space="preserve"> </w:t>
      </w:r>
      <w:r w:rsidR="002E0DE6" w:rsidRPr="0080293D">
        <w:rPr>
          <w:i/>
        </w:rPr>
        <w:t>mokėjimas</w:t>
      </w:r>
      <w:r w:rsidR="006E057E" w:rsidRPr="0080293D">
        <w:rPr>
          <w:i/>
        </w:rPr>
        <w:t xml:space="preserve"> </w:t>
      </w:r>
      <w:r w:rsidR="002E0DE6" w:rsidRPr="0080293D">
        <w:rPr>
          <w:i/>
        </w:rPr>
        <w:t>yra</w:t>
      </w:r>
      <w:r w:rsidR="00E5614E" w:rsidRPr="0080293D">
        <w:rPr>
          <w:i/>
        </w:rPr>
        <w:t xml:space="preserve"> nutraukiamas</w:t>
      </w:r>
      <w:r w:rsidR="00897DBF" w:rsidRPr="0080293D">
        <w:t xml:space="preserve">, </w:t>
      </w:r>
      <w:r w:rsidR="00760A5C" w:rsidRPr="0080293D">
        <w:t>–</w:t>
      </w:r>
      <w:r w:rsidR="00760A5C">
        <w:t xml:space="preserve"> </w:t>
      </w:r>
      <w:r w:rsidR="00222ED4" w:rsidRPr="00C26765">
        <w:rPr>
          <w:i/>
          <w:u w:val="single"/>
        </w:rPr>
        <w:t xml:space="preserve">išskyrus </w:t>
      </w:r>
      <w:r w:rsidR="00897DBF" w:rsidRPr="00C26765">
        <w:rPr>
          <w:i/>
          <w:u w:val="single"/>
        </w:rPr>
        <w:t>atvej</w:t>
      </w:r>
      <w:r w:rsidR="00CC06BF" w:rsidRPr="00C26765">
        <w:rPr>
          <w:i/>
          <w:u w:val="single"/>
        </w:rPr>
        <w:t>us</w:t>
      </w:r>
      <w:r w:rsidR="00897DBF" w:rsidRPr="00C26765">
        <w:rPr>
          <w:i/>
          <w:u w:val="single"/>
        </w:rPr>
        <w:t xml:space="preserve">, kai </w:t>
      </w:r>
      <w:r w:rsidR="00222ED4" w:rsidRPr="00C26765">
        <w:rPr>
          <w:i/>
          <w:u w:val="single"/>
        </w:rPr>
        <w:t>bendrai gyvenantys asmenys</w:t>
      </w:r>
      <w:r w:rsidR="005175C4" w:rsidRPr="00C26765">
        <w:rPr>
          <w:i/>
          <w:u w:val="single"/>
        </w:rPr>
        <w:t xml:space="preserve"> augina</w:t>
      </w:r>
      <w:r w:rsidR="004B1269" w:rsidRPr="00C26765">
        <w:rPr>
          <w:i/>
          <w:u w:val="single"/>
        </w:rPr>
        <w:t xml:space="preserve"> vaiką</w:t>
      </w:r>
      <w:r w:rsidR="004B1269">
        <w:t xml:space="preserve"> (-</w:t>
      </w:r>
      <w:proofErr w:type="spellStart"/>
      <w:r w:rsidR="004B1269">
        <w:t>us</w:t>
      </w:r>
      <w:proofErr w:type="spellEnd"/>
      <w:r w:rsidR="004B1269">
        <w:t>)</w:t>
      </w:r>
      <w:r w:rsidR="0068443B">
        <w:t>.</w:t>
      </w:r>
      <w:r w:rsidR="004F48BF">
        <w:t xml:space="preserve"> Tai</w:t>
      </w:r>
      <w:r w:rsidR="004B1269">
        <w:t xml:space="preserve"> parodo</w:t>
      </w:r>
      <w:r w:rsidR="004F48BF">
        <w:t>, jog</w:t>
      </w:r>
      <w:r w:rsidR="004B1269">
        <w:t xml:space="preserve"> </w:t>
      </w:r>
      <w:r w:rsidR="004B1269" w:rsidRPr="00F405DE">
        <w:rPr>
          <w:b/>
          <w:i/>
        </w:rPr>
        <w:t xml:space="preserve">niekur nedirbantis, </w:t>
      </w:r>
      <w:r w:rsidR="007862AC">
        <w:rPr>
          <w:b/>
          <w:i/>
        </w:rPr>
        <w:t>bet</w:t>
      </w:r>
      <w:r w:rsidR="004B1269" w:rsidRPr="00F405DE">
        <w:rPr>
          <w:b/>
          <w:i/>
        </w:rPr>
        <w:t xml:space="preserve"> piniginę paramą gaunantis</w:t>
      </w:r>
      <w:r w:rsidR="007862AC">
        <w:rPr>
          <w:b/>
          <w:i/>
        </w:rPr>
        <w:t>,</w:t>
      </w:r>
      <w:r w:rsidR="004B1269" w:rsidRPr="00F405DE">
        <w:rPr>
          <w:b/>
          <w:i/>
        </w:rPr>
        <w:t xml:space="preserve"> žmogus</w:t>
      </w:r>
      <w:r w:rsidR="00A22253">
        <w:rPr>
          <w:b/>
          <w:i/>
        </w:rPr>
        <w:t xml:space="preserve"> minimaliais standartais grįst</w:t>
      </w:r>
      <w:r w:rsidR="00292005">
        <w:rPr>
          <w:b/>
          <w:i/>
        </w:rPr>
        <w:t>ą</w:t>
      </w:r>
      <w:r w:rsidR="00A22253">
        <w:rPr>
          <w:b/>
          <w:i/>
        </w:rPr>
        <w:t xml:space="preserve"> gyvenimą </w:t>
      </w:r>
      <w:r w:rsidR="00A70519" w:rsidRPr="00F7057C">
        <w:rPr>
          <w:b/>
          <w:i/>
        </w:rPr>
        <w:t>gali</w:t>
      </w:r>
      <w:r w:rsidR="009B3337">
        <w:rPr>
          <w:b/>
          <w:i/>
        </w:rPr>
        <w:t xml:space="preserve"> </w:t>
      </w:r>
      <w:r w:rsidR="00EA74AD" w:rsidRPr="00F7057C">
        <w:rPr>
          <w:b/>
          <w:i/>
        </w:rPr>
        <w:t>gyventi 5 m</w:t>
      </w:r>
      <w:r w:rsidR="007862AC">
        <w:rPr>
          <w:b/>
          <w:i/>
        </w:rPr>
        <w:t>etus</w:t>
      </w:r>
      <w:r w:rsidR="006803CF">
        <w:t>,</w:t>
      </w:r>
      <w:r w:rsidR="00EA74AD">
        <w:t xml:space="preserve"> </w:t>
      </w:r>
      <w:r w:rsidR="009B3337">
        <w:t xml:space="preserve">– </w:t>
      </w:r>
      <w:r w:rsidR="00EA74AD">
        <w:t>arba n</w:t>
      </w:r>
      <w:r w:rsidR="00FB24C9">
        <w:t>etoli 6 m</w:t>
      </w:r>
      <w:r w:rsidR="007862AC">
        <w:t>etų</w:t>
      </w:r>
      <w:r w:rsidR="00A03CF8">
        <w:t>, jei</w:t>
      </w:r>
      <w:r w:rsidR="007862AC">
        <w:t>gu</w:t>
      </w:r>
      <w:r w:rsidR="008345A4">
        <w:t xml:space="preserve"> prieš socialinės</w:t>
      </w:r>
      <w:r w:rsidR="00CE78EF">
        <w:t xml:space="preserve"> paramos teikimą</w:t>
      </w:r>
      <w:r w:rsidR="00A03CF8">
        <w:t xml:space="preserve"> </w:t>
      </w:r>
      <w:r w:rsidR="0027752A">
        <w:t xml:space="preserve">jam </w:t>
      </w:r>
      <w:r w:rsidR="00A03CF8">
        <w:t xml:space="preserve">buvo </w:t>
      </w:r>
      <w:r w:rsidR="0027752A">
        <w:t xml:space="preserve">mokama </w:t>
      </w:r>
      <w:r w:rsidR="00A03CF8">
        <w:t>nedarbo draudimo išmok</w:t>
      </w:r>
      <w:r w:rsidR="00A22253">
        <w:t>a</w:t>
      </w:r>
      <w:r w:rsidR="00A03CF8">
        <w:t>.</w:t>
      </w:r>
      <w:r w:rsidR="00B82F15">
        <w:t xml:space="preserve"> Mūsų</w:t>
      </w:r>
      <w:r w:rsidR="004C6E4C">
        <w:t xml:space="preserve"> suvokimu</w:t>
      </w:r>
      <w:r w:rsidR="00B82F15">
        <w:t xml:space="preserve">, </w:t>
      </w:r>
      <w:r w:rsidR="00B82F15" w:rsidRPr="000932EF">
        <w:rPr>
          <w:b/>
          <w:i/>
        </w:rPr>
        <w:t>toks laikotarpis yra</w:t>
      </w:r>
      <w:r w:rsidR="00B82F15">
        <w:t xml:space="preserve"> ne tik neskatinantis užimtumo, bet ir</w:t>
      </w:r>
      <w:r w:rsidR="000932EF">
        <w:t xml:space="preserve"> </w:t>
      </w:r>
      <w:r w:rsidR="000932EF" w:rsidRPr="000932EF">
        <w:rPr>
          <w:b/>
          <w:i/>
        </w:rPr>
        <w:t>sukeliantis</w:t>
      </w:r>
      <w:r w:rsidR="007935CC" w:rsidRPr="000932EF">
        <w:rPr>
          <w:b/>
          <w:i/>
        </w:rPr>
        <w:t xml:space="preserve"> priklausomybę</w:t>
      </w:r>
      <w:r w:rsidR="007935CC" w:rsidRPr="005175B3">
        <w:rPr>
          <w:b/>
          <w:i/>
        </w:rPr>
        <w:t xml:space="preserve"> nuo</w:t>
      </w:r>
      <w:r w:rsidR="0027752A" w:rsidRPr="005175B3">
        <w:rPr>
          <w:b/>
          <w:i/>
        </w:rPr>
        <w:t xml:space="preserve"> paramos gavimo</w:t>
      </w:r>
      <w:r w:rsidR="0027752A">
        <w:t xml:space="preserve">, kas </w:t>
      </w:r>
      <w:r w:rsidR="005364F2">
        <w:t xml:space="preserve">savanorišką </w:t>
      </w:r>
      <w:r w:rsidR="00D21835">
        <w:t>„išėjimą“</w:t>
      </w:r>
      <w:r w:rsidR="00EE7BC0">
        <w:t xml:space="preserve"> iš </w:t>
      </w:r>
      <w:r w:rsidR="005364F2">
        <w:t xml:space="preserve">socialinės apsaugos </w:t>
      </w:r>
      <w:r w:rsidR="00EE7BC0">
        <w:t>sistemos</w:t>
      </w:r>
      <w:r w:rsidR="005364F2">
        <w:t xml:space="preserve"> </w:t>
      </w:r>
      <w:r w:rsidR="004C6E4C">
        <w:t>paverčia neįmanomu</w:t>
      </w:r>
      <w:r w:rsidR="00D41816">
        <w:t xml:space="preserve"> dalyku</w:t>
      </w:r>
      <w:r w:rsidR="004C6E4C">
        <w:t>.</w:t>
      </w:r>
    </w:p>
    <w:p w:rsidR="007837E3" w:rsidRDefault="00893246" w:rsidP="009F4A38">
      <w:r w:rsidRPr="006836BC">
        <w:t>Kalbant apie</w:t>
      </w:r>
      <w:r w:rsidR="00DA2F96" w:rsidRPr="006836BC">
        <w:t xml:space="preserve"> tuos sistemos dalyvius</w:t>
      </w:r>
      <w:r w:rsidRPr="006836BC">
        <w:t xml:space="preserve">, kurie </w:t>
      </w:r>
      <w:r w:rsidR="00BD51B9" w:rsidRPr="006836BC">
        <w:t xml:space="preserve">turi </w:t>
      </w:r>
      <w:r w:rsidRPr="006836BC">
        <w:rPr>
          <w:i/>
        </w:rPr>
        <w:t>privilegij</w:t>
      </w:r>
      <w:r w:rsidR="00BD51B9" w:rsidRPr="006836BC">
        <w:rPr>
          <w:i/>
        </w:rPr>
        <w:t>ų</w:t>
      </w:r>
      <w:r w:rsidRPr="006836BC">
        <w:t>, reikėtų</w:t>
      </w:r>
      <w:r w:rsidR="00CC07E1" w:rsidRPr="006836BC">
        <w:t xml:space="preserve"> akcentuoti</w:t>
      </w:r>
      <w:r w:rsidRPr="006836BC">
        <w:t xml:space="preserve">, jog šiuo metu </w:t>
      </w:r>
      <w:r w:rsidR="00773AAD" w:rsidRPr="006836BC">
        <w:rPr>
          <w:b/>
          <w:i/>
        </w:rPr>
        <w:t>vaikus</w:t>
      </w:r>
      <w:r w:rsidR="00773AAD" w:rsidRPr="00585AC7">
        <w:rPr>
          <w:b/>
          <w:i/>
        </w:rPr>
        <w:t xml:space="preserve"> </w:t>
      </w:r>
      <w:r w:rsidR="00DF1297" w:rsidRPr="00585AC7">
        <w:rPr>
          <w:b/>
          <w:i/>
        </w:rPr>
        <w:t>a</w:t>
      </w:r>
      <w:r w:rsidR="003A09B9" w:rsidRPr="00585AC7">
        <w:rPr>
          <w:b/>
          <w:i/>
        </w:rPr>
        <w:t xml:space="preserve">uginantys </w:t>
      </w:r>
      <w:r w:rsidR="00080DB6">
        <w:rPr>
          <w:b/>
          <w:i/>
        </w:rPr>
        <w:t xml:space="preserve">asmenys </w:t>
      </w:r>
      <w:r w:rsidR="00720F68" w:rsidRPr="00585AC7">
        <w:rPr>
          <w:b/>
          <w:i/>
        </w:rPr>
        <w:t xml:space="preserve">yra labiausiai </w:t>
      </w:r>
      <w:r w:rsidR="00DE2FB1" w:rsidRPr="00C941B8">
        <w:rPr>
          <w:b/>
          <w:i/>
        </w:rPr>
        <w:t xml:space="preserve">saugomas </w:t>
      </w:r>
      <w:r w:rsidR="006836BC" w:rsidRPr="00C941B8">
        <w:t>(</w:t>
      </w:r>
      <w:r w:rsidR="0006053F" w:rsidRPr="00C941B8">
        <w:t>žr. 8</w:t>
      </w:r>
      <w:r w:rsidR="006836BC" w:rsidRPr="00C941B8">
        <w:t> priedą)</w:t>
      </w:r>
      <w:r w:rsidR="006836BC">
        <w:t xml:space="preserve"> </w:t>
      </w:r>
      <w:r w:rsidR="00F119CB" w:rsidRPr="00585AC7">
        <w:rPr>
          <w:b/>
          <w:i/>
        </w:rPr>
        <w:t>gyventojų sluoksnis</w:t>
      </w:r>
      <w:r w:rsidR="00F119CB">
        <w:t>, todėl</w:t>
      </w:r>
      <w:r w:rsidR="00773AAD">
        <w:t xml:space="preserve"> jie</w:t>
      </w:r>
      <w:r w:rsidR="00DE2FB1">
        <w:t xml:space="preserve">ms sudaromos </w:t>
      </w:r>
      <w:r w:rsidR="00BD55AE">
        <w:t xml:space="preserve">itin </w:t>
      </w:r>
      <w:r w:rsidR="00DE2FB1">
        <w:t>palan</w:t>
      </w:r>
      <w:r w:rsidR="00BD55AE">
        <w:t>kios sąlygos</w:t>
      </w:r>
      <w:r w:rsidR="00E14D12">
        <w:t xml:space="preserve"> </w:t>
      </w:r>
      <w:r w:rsidR="00585AC7" w:rsidRPr="00426DB1">
        <w:rPr>
          <w:i/>
        </w:rPr>
        <w:t xml:space="preserve">manipuliuoti </w:t>
      </w:r>
      <w:r w:rsidR="00585AC7" w:rsidRPr="00426DB1">
        <w:t>sistema</w:t>
      </w:r>
      <w:r w:rsidR="004271F3">
        <w:t>: vaik</w:t>
      </w:r>
      <w:r w:rsidR="008E4A83">
        <w:t xml:space="preserve">us auginantys </w:t>
      </w:r>
      <w:r w:rsidR="00024CF3">
        <w:t xml:space="preserve">žmonės nėra </w:t>
      </w:r>
      <w:r w:rsidR="008E4A83">
        <w:t>šalinami iš socialinės paramos teikimo programos</w:t>
      </w:r>
      <w:r w:rsidR="008E4A83">
        <w:rPr>
          <w:rStyle w:val="FootnoteReference"/>
        </w:rPr>
        <w:footnoteReference w:id="22"/>
      </w:r>
      <w:r w:rsidR="00735CD9">
        <w:t xml:space="preserve">; </w:t>
      </w:r>
      <w:r w:rsidR="009478AB">
        <w:t>vaikams nelankant ikimokyklinio </w:t>
      </w:r>
      <w:r w:rsidR="009478AB">
        <w:rPr>
          <w:lang w:val="en-US"/>
        </w:rPr>
        <w:t>/ </w:t>
      </w:r>
      <w:r w:rsidR="009E17CE">
        <w:t xml:space="preserve">priešmokyklinio </w:t>
      </w:r>
      <w:r w:rsidR="009478AB">
        <w:t xml:space="preserve">ugdymo </w:t>
      </w:r>
      <w:r w:rsidR="000A76A6">
        <w:t>įstaigos</w:t>
      </w:r>
      <w:r w:rsidR="009E17CE">
        <w:t xml:space="preserve">, vienam </w:t>
      </w:r>
      <w:r w:rsidR="00983FF0">
        <w:t xml:space="preserve">iš </w:t>
      </w:r>
      <w:r w:rsidR="009E17CE">
        <w:t>tėvų (bendrai gyvenančių asmenų)</w:t>
      </w:r>
      <w:r w:rsidR="00983FF0">
        <w:t xml:space="preserve"> nereikia </w:t>
      </w:r>
      <w:r w:rsidR="00082CEB">
        <w:t xml:space="preserve">dalyvauti </w:t>
      </w:r>
      <w:r w:rsidR="00983FF0">
        <w:t>visuomenei naudingo</w:t>
      </w:r>
      <w:r w:rsidR="00082CEB">
        <w:t>je</w:t>
      </w:r>
      <w:r w:rsidR="00983FF0">
        <w:t xml:space="preserve"> veiklo</w:t>
      </w:r>
      <w:r w:rsidR="00082CEB">
        <w:t>je</w:t>
      </w:r>
      <w:r w:rsidR="00983FF0">
        <w:t>;</w:t>
      </w:r>
      <w:r w:rsidR="005424FE">
        <w:t xml:space="preserve"> </w:t>
      </w:r>
      <w:r w:rsidR="00082CEB">
        <w:t>gaunant pašalp</w:t>
      </w:r>
      <w:r w:rsidR="00E7250E">
        <w:t>as</w:t>
      </w:r>
      <w:r w:rsidR="00082CEB">
        <w:t xml:space="preserve">, tačiau </w:t>
      </w:r>
      <w:r w:rsidR="00344606">
        <w:t xml:space="preserve">neatliekant </w:t>
      </w:r>
      <w:r w:rsidR="00082CEB">
        <w:t>pareigų</w:t>
      </w:r>
      <w:r w:rsidR="00E7250E">
        <w:t xml:space="preserve">, </w:t>
      </w:r>
      <w:r w:rsidR="001A451D">
        <w:t xml:space="preserve">paramos teikimas </w:t>
      </w:r>
      <w:r w:rsidR="007E7AB7">
        <w:t xml:space="preserve">laikinai </w:t>
      </w:r>
      <w:r w:rsidR="004654F7">
        <w:t xml:space="preserve">nutraukiamas </w:t>
      </w:r>
      <w:r w:rsidR="004654F7" w:rsidRPr="002A2CAC">
        <w:rPr>
          <w:i/>
        </w:rPr>
        <w:t>tik</w:t>
      </w:r>
      <w:r w:rsidR="004654F7">
        <w:t xml:space="preserve"> bendrai </w:t>
      </w:r>
      <w:r w:rsidR="007E7AB7">
        <w:t xml:space="preserve">gyvenantiems </w:t>
      </w:r>
      <w:r w:rsidR="00FF1531">
        <w:t>suaugusiesiems,</w:t>
      </w:r>
      <w:r w:rsidR="00A1472A">
        <w:t xml:space="preserve"> </w:t>
      </w:r>
      <w:r w:rsidR="002A2CAC">
        <w:t xml:space="preserve">– </w:t>
      </w:r>
      <w:r w:rsidR="00A1472A" w:rsidRPr="002A2CAC">
        <w:rPr>
          <w:i/>
        </w:rPr>
        <w:t xml:space="preserve">tokiu būdu </w:t>
      </w:r>
      <w:r w:rsidR="006162C5" w:rsidRPr="002A2CAC">
        <w:rPr>
          <w:i/>
        </w:rPr>
        <w:t>apsaugant</w:t>
      </w:r>
      <w:r w:rsidR="000454B8">
        <w:rPr>
          <w:i/>
        </w:rPr>
        <w:t xml:space="preserve"> savimi negalinčius pasirūpinti individus</w:t>
      </w:r>
      <w:r w:rsidR="006162C5">
        <w:t xml:space="preserve">, </w:t>
      </w:r>
      <w:r w:rsidR="002A2CAC">
        <w:t>– kas</w:t>
      </w:r>
      <w:r w:rsidR="00257C8E">
        <w:t xml:space="preserve"> </w:t>
      </w:r>
      <w:r w:rsidR="008151C9">
        <w:t xml:space="preserve">tėvų pareigą </w:t>
      </w:r>
      <w:r w:rsidR="006D74C1">
        <w:t>rūpin</w:t>
      </w:r>
      <w:r w:rsidR="008151C9">
        <w:t>tis</w:t>
      </w:r>
      <w:r w:rsidR="006D74C1">
        <w:t xml:space="preserve"> </w:t>
      </w:r>
      <w:r w:rsidR="00257C8E">
        <w:t>vaik</w:t>
      </w:r>
      <w:r w:rsidR="006D74C1">
        <w:t xml:space="preserve">ais </w:t>
      </w:r>
      <w:r w:rsidR="00C62936">
        <w:t>perkelia ant</w:t>
      </w:r>
      <w:r w:rsidR="00A67F4D">
        <w:t xml:space="preserve"> valstybės „pečių“; b</w:t>
      </w:r>
      <w:r w:rsidR="00D812A4">
        <w:t xml:space="preserve">e to, vaikai kartais tampa ir tiesiogine naudos gavimo </w:t>
      </w:r>
      <w:r w:rsidR="00314C9E">
        <w:t>„</w:t>
      </w:r>
      <w:r w:rsidR="00D812A4">
        <w:t>priemone</w:t>
      </w:r>
      <w:r w:rsidR="00314C9E">
        <w:t>“</w:t>
      </w:r>
      <w:r w:rsidR="00D812A4">
        <w:t xml:space="preserve">, nes </w:t>
      </w:r>
      <w:r w:rsidR="00314C9E">
        <w:t>mokyklose gaut</w:t>
      </w:r>
      <w:r w:rsidR="00D85F40">
        <w:t>ais</w:t>
      </w:r>
      <w:r w:rsidR="00314C9E">
        <w:t xml:space="preserve"> maisto</w:t>
      </w:r>
      <w:r w:rsidR="0072085B">
        <w:t xml:space="preserve"> </w:t>
      </w:r>
      <w:r w:rsidR="0006053F" w:rsidRPr="0006053F">
        <w:t>produktais</w:t>
      </w:r>
      <w:r w:rsidR="0006053F">
        <w:rPr>
          <w:color w:val="0070C0"/>
        </w:rPr>
        <w:t xml:space="preserve"> </w:t>
      </w:r>
      <w:r w:rsidR="00D85F40">
        <w:t xml:space="preserve">tenkinami </w:t>
      </w:r>
      <w:r w:rsidR="0072085B">
        <w:t>visos šeimos poreikia</w:t>
      </w:r>
      <w:r w:rsidR="00D85F40">
        <w:t>i</w:t>
      </w:r>
      <w:r w:rsidR="0072085B">
        <w:t>.</w:t>
      </w:r>
      <w:r w:rsidR="004043F4">
        <w:t xml:space="preserve"> </w:t>
      </w:r>
      <w:r w:rsidR="00D72BB7">
        <w:t>K</w:t>
      </w:r>
      <w:r w:rsidR="00574F2D">
        <w:t xml:space="preserve">adangi </w:t>
      </w:r>
      <w:r w:rsidR="005175C4">
        <w:t>a</w:t>
      </w:r>
      <w:r w:rsidR="004E09BF">
        <w:t xml:space="preserve">pie tai byloja ir </w:t>
      </w:r>
      <w:r w:rsidR="004043F4" w:rsidRPr="002713FC">
        <w:rPr>
          <w:i/>
        </w:rPr>
        <w:t>lengvat</w:t>
      </w:r>
      <w:r w:rsidR="00E728E8">
        <w:rPr>
          <w:i/>
        </w:rPr>
        <w:t>os</w:t>
      </w:r>
      <w:r w:rsidR="004043F4" w:rsidRPr="002713FC">
        <w:rPr>
          <w:i/>
        </w:rPr>
        <w:t xml:space="preserve"> </w:t>
      </w:r>
      <w:r w:rsidR="002713FC" w:rsidRPr="002713FC">
        <w:rPr>
          <w:i/>
        </w:rPr>
        <w:t>dirbant</w:t>
      </w:r>
      <w:r w:rsidR="00D85F40">
        <w:t>,</w:t>
      </w:r>
      <w:r w:rsidR="002713FC">
        <w:t xml:space="preserve"> </w:t>
      </w:r>
      <w:r w:rsidR="00190912">
        <w:t xml:space="preserve">toliau </w:t>
      </w:r>
      <w:r w:rsidR="002713FC">
        <w:t xml:space="preserve">būtų </w:t>
      </w:r>
      <w:r w:rsidR="00190912">
        <w:t xml:space="preserve">tikslinga </w:t>
      </w:r>
      <w:r w:rsidR="002713FC">
        <w:t xml:space="preserve">aptarti, </w:t>
      </w:r>
      <w:r w:rsidR="003D0B5F">
        <w:t>koki</w:t>
      </w:r>
      <w:r w:rsidR="00E728E8">
        <w:t>ems</w:t>
      </w:r>
      <w:r w:rsidR="003D0B5F">
        <w:t xml:space="preserve"> </w:t>
      </w:r>
      <w:r w:rsidR="00E728E8">
        <w:t xml:space="preserve">pagrindams </w:t>
      </w:r>
      <w:r w:rsidR="00190912">
        <w:t xml:space="preserve">esant </w:t>
      </w:r>
      <w:r w:rsidR="00036CFA">
        <w:t>gali</w:t>
      </w:r>
      <w:r w:rsidR="00190912">
        <w:t>ma</w:t>
      </w:r>
      <w:r w:rsidR="00036CFA">
        <w:t xml:space="preserve"> įgy</w:t>
      </w:r>
      <w:r w:rsidR="00190912">
        <w:t>ti</w:t>
      </w:r>
      <w:r w:rsidR="00036CFA">
        <w:t xml:space="preserve"> teis</w:t>
      </w:r>
      <w:r w:rsidR="00190912">
        <w:t>ę</w:t>
      </w:r>
      <w:r w:rsidR="00036CFA">
        <w:t xml:space="preserve"> į </w:t>
      </w:r>
      <w:r w:rsidR="004E09BF" w:rsidRPr="00D85F40">
        <w:rPr>
          <w:i/>
        </w:rPr>
        <w:t>papildom</w:t>
      </w:r>
      <w:r w:rsidR="00036CFA">
        <w:rPr>
          <w:i/>
        </w:rPr>
        <w:t>os</w:t>
      </w:r>
      <w:r w:rsidR="004E09BF" w:rsidRPr="00D85F40">
        <w:rPr>
          <w:i/>
        </w:rPr>
        <w:t xml:space="preserve"> pašalp</w:t>
      </w:r>
      <w:r w:rsidR="00036CFA">
        <w:rPr>
          <w:i/>
        </w:rPr>
        <w:t>os</w:t>
      </w:r>
      <w:r w:rsidR="00036CFA">
        <w:t xml:space="preserve"> gavimą</w:t>
      </w:r>
      <w:r w:rsidR="003D0B5F">
        <w:t>.</w:t>
      </w:r>
    </w:p>
    <w:p w:rsidR="00C276AC" w:rsidRDefault="0045587D" w:rsidP="009F4A38">
      <w:r w:rsidRPr="0080293D">
        <w:lastRenderedPageBreak/>
        <w:t xml:space="preserve">Pagal Piniginės socialinės paramos nepasiturintiems gyventojams įstatymo (2003) 10 straipsnį </w:t>
      </w:r>
      <w:r w:rsidRPr="0080293D">
        <w:rPr>
          <w:b/>
          <w:i/>
        </w:rPr>
        <w:t>t</w:t>
      </w:r>
      <w:r w:rsidR="00AC7607" w:rsidRPr="0080293D">
        <w:rPr>
          <w:b/>
          <w:i/>
        </w:rPr>
        <w:t>eis</w:t>
      </w:r>
      <w:r w:rsidR="00086F95" w:rsidRPr="0080293D">
        <w:rPr>
          <w:b/>
          <w:i/>
        </w:rPr>
        <w:t>ė</w:t>
      </w:r>
      <w:r w:rsidR="00AC7607" w:rsidRPr="0080293D">
        <w:rPr>
          <w:b/>
          <w:i/>
        </w:rPr>
        <w:t xml:space="preserve"> į</w:t>
      </w:r>
      <w:r w:rsidR="00AC7607" w:rsidRPr="006C6021">
        <w:rPr>
          <w:b/>
          <w:i/>
        </w:rPr>
        <w:t xml:space="preserve"> papildom</w:t>
      </w:r>
      <w:r w:rsidR="002C31AB">
        <w:rPr>
          <w:b/>
          <w:i/>
        </w:rPr>
        <w:t>os</w:t>
      </w:r>
      <w:r w:rsidR="008A19B4" w:rsidRPr="006C6021">
        <w:rPr>
          <w:b/>
          <w:i/>
        </w:rPr>
        <w:t xml:space="preserve"> pašalp</w:t>
      </w:r>
      <w:r w:rsidR="00D42952">
        <w:rPr>
          <w:b/>
          <w:i/>
        </w:rPr>
        <w:t>os gavimą</w:t>
      </w:r>
      <w:r w:rsidR="00086F95">
        <w:t xml:space="preserve"> įg</w:t>
      </w:r>
      <w:r w:rsidR="00CF3A63">
        <w:t>yjama, k</w:t>
      </w:r>
      <w:r w:rsidR="00D42952">
        <w:t>ai</w:t>
      </w:r>
      <w:r w:rsidR="00355D62">
        <w:t xml:space="preserve"> </w:t>
      </w:r>
      <w:r w:rsidR="00CF3A63" w:rsidRPr="00CF3A63">
        <w:rPr>
          <w:i/>
          <w:u w:val="single"/>
        </w:rPr>
        <w:t>bendrai gyvenantys</w:t>
      </w:r>
      <w:r w:rsidR="00CF3A63" w:rsidRPr="00CF3A63">
        <w:rPr>
          <w:i/>
        </w:rPr>
        <w:t xml:space="preserve"> asmenys</w:t>
      </w:r>
      <w:r w:rsidR="00CF3A63">
        <w:t xml:space="preserve"> </w:t>
      </w:r>
      <w:r w:rsidR="00E06F42">
        <w:t xml:space="preserve">tenkina visas </w:t>
      </w:r>
      <w:r w:rsidR="00D42952">
        <w:t>š</w:t>
      </w:r>
      <w:r w:rsidR="00CF3A63">
        <w:t>ias</w:t>
      </w:r>
      <w:r w:rsidR="00E36D78">
        <w:t xml:space="preserve"> sąlygas: 1) </w:t>
      </w:r>
      <w:r w:rsidR="002C31AB">
        <w:t>bent vie</w:t>
      </w:r>
      <w:r w:rsidR="00F06F63">
        <w:t xml:space="preserve">nas iš nurodytų asmenų </w:t>
      </w:r>
      <w:r w:rsidR="002C31AB" w:rsidRPr="00DB6524">
        <w:rPr>
          <w:i/>
        </w:rPr>
        <w:t>įsidarbina</w:t>
      </w:r>
      <w:r w:rsidR="00F01E1B" w:rsidRPr="00DB6524">
        <w:rPr>
          <w:i/>
        </w:rPr>
        <w:t xml:space="preserve"> </w:t>
      </w:r>
      <w:r w:rsidR="00F01E1B" w:rsidRPr="00EF2439">
        <w:rPr>
          <w:i/>
        </w:rPr>
        <w:t>už ne mažesn</w:t>
      </w:r>
      <w:r w:rsidR="004D3DD7" w:rsidRPr="00EF2439">
        <w:rPr>
          <w:i/>
        </w:rPr>
        <w:t>ę</w:t>
      </w:r>
      <w:r w:rsidR="00F01E1B" w:rsidRPr="00EF2439">
        <w:t xml:space="preserve"> kaip minimal</w:t>
      </w:r>
      <w:r w:rsidR="004D3DD7" w:rsidRPr="00EF2439">
        <w:t>ią mėnesinę algą</w:t>
      </w:r>
      <w:r w:rsidR="004D3DD7">
        <w:t xml:space="preserve">, </w:t>
      </w:r>
      <w:r w:rsidR="00F06F63">
        <w:t>bet</w:t>
      </w:r>
      <w:r w:rsidR="00F03D42">
        <w:t xml:space="preserve"> ne didesn</w:t>
      </w:r>
      <w:r w:rsidR="00F06F63">
        <w:t>ę</w:t>
      </w:r>
      <w:r w:rsidR="00806DF8">
        <w:t xml:space="preserve"> kaip d</w:t>
      </w:r>
      <w:r w:rsidR="00F06F63">
        <w:t>vi</w:t>
      </w:r>
      <w:r w:rsidR="00D26CB4">
        <w:t xml:space="preserve"> minimal</w:t>
      </w:r>
      <w:r w:rsidR="00F06F63">
        <w:t>io</w:t>
      </w:r>
      <w:r w:rsidR="00D26CB4">
        <w:t>s</w:t>
      </w:r>
      <w:r w:rsidR="00F06F63">
        <w:t xml:space="preserve"> mėnesinės algos</w:t>
      </w:r>
      <w:r w:rsidR="004D3DD7">
        <w:t>,</w:t>
      </w:r>
      <w:r w:rsidR="00D7131A">
        <w:t xml:space="preserve"> </w:t>
      </w:r>
      <w:r w:rsidR="00D7131A" w:rsidRPr="003E6491">
        <w:rPr>
          <w:i/>
        </w:rPr>
        <w:t>ir</w:t>
      </w:r>
      <w:r w:rsidR="00D7131A">
        <w:t xml:space="preserve"> </w:t>
      </w:r>
      <w:r w:rsidR="00D7131A" w:rsidRPr="00EF2439">
        <w:rPr>
          <w:i/>
        </w:rPr>
        <w:t>dirba</w:t>
      </w:r>
      <w:r w:rsidR="00D7131A" w:rsidRPr="006D133D">
        <w:t xml:space="preserve"> </w:t>
      </w:r>
      <w:r w:rsidR="00890578" w:rsidRPr="006D133D">
        <w:t xml:space="preserve">įstatyme </w:t>
      </w:r>
      <w:r w:rsidR="00890578" w:rsidRPr="00DB6524">
        <w:rPr>
          <w:i/>
        </w:rPr>
        <w:t>nu</w:t>
      </w:r>
      <w:r w:rsidR="005627D2" w:rsidRPr="00DB6524">
        <w:rPr>
          <w:i/>
        </w:rPr>
        <w:t>statyt</w:t>
      </w:r>
      <w:r w:rsidR="00890578" w:rsidRPr="00DB6524">
        <w:rPr>
          <w:i/>
        </w:rPr>
        <w:t>ą darbo laik</w:t>
      </w:r>
      <w:r w:rsidR="005627D2" w:rsidRPr="00DB6524">
        <w:rPr>
          <w:i/>
        </w:rPr>
        <w:t>o trukmę</w:t>
      </w:r>
      <w:r w:rsidR="00FD1851">
        <w:rPr>
          <w:rStyle w:val="FootnoteReference"/>
        </w:rPr>
        <w:footnoteReference w:id="23"/>
      </w:r>
      <w:r w:rsidR="008045E0">
        <w:t xml:space="preserve">; </w:t>
      </w:r>
      <w:r w:rsidR="00706B59">
        <w:t>2) </w:t>
      </w:r>
      <w:r w:rsidR="004D3DD7">
        <w:t>prieš įsidarbinimą</w:t>
      </w:r>
      <w:r w:rsidR="00F81879">
        <w:t xml:space="preserve"> </w:t>
      </w:r>
      <w:r w:rsidR="00F81879" w:rsidRPr="004977A3">
        <w:rPr>
          <w:i/>
          <w:u w:val="single"/>
        </w:rPr>
        <w:t>jie</w:t>
      </w:r>
      <w:r w:rsidR="00F81879">
        <w:t xml:space="preserve"> </w:t>
      </w:r>
      <w:r w:rsidR="006D133D" w:rsidRPr="004977A3">
        <w:rPr>
          <w:i/>
          <w:u w:val="single"/>
        </w:rPr>
        <w:t xml:space="preserve">buvo </w:t>
      </w:r>
      <w:r w:rsidR="00F81879" w:rsidRPr="004977A3">
        <w:rPr>
          <w:i/>
          <w:u w:val="single"/>
        </w:rPr>
        <w:t>įsiregistravę</w:t>
      </w:r>
      <w:r w:rsidR="001E1753">
        <w:t xml:space="preserve"> Lietuvos teritorinėje </w:t>
      </w:r>
      <w:r w:rsidR="001E1753" w:rsidRPr="00EF2439">
        <w:rPr>
          <w:i/>
        </w:rPr>
        <w:t>darbo biržoj</w:t>
      </w:r>
      <w:r w:rsidR="001E1753" w:rsidRPr="006C238D">
        <w:rPr>
          <w:i/>
        </w:rPr>
        <w:t xml:space="preserve">e </w:t>
      </w:r>
      <w:r w:rsidR="001E1753" w:rsidRPr="007413C4">
        <w:rPr>
          <w:i/>
          <w:u w:val="single"/>
        </w:rPr>
        <w:t>ne trumpiau</w:t>
      </w:r>
      <w:r w:rsidR="006D133D" w:rsidRPr="007413C4">
        <w:rPr>
          <w:i/>
          <w:u w:val="single"/>
        </w:rPr>
        <w:t xml:space="preserve"> kaip 12 mėn. iš eilės</w:t>
      </w:r>
      <w:r w:rsidR="006D133D">
        <w:t xml:space="preserve"> ir per šį laikotarpį</w:t>
      </w:r>
      <w:r w:rsidR="00EF2439">
        <w:t xml:space="preserve"> </w:t>
      </w:r>
      <w:r w:rsidR="00EF2439" w:rsidRPr="00EF2439">
        <w:rPr>
          <w:i/>
        </w:rPr>
        <w:t>nedirbo</w:t>
      </w:r>
      <w:r w:rsidR="00882B67">
        <w:t xml:space="preserve"> arba dirbo </w:t>
      </w:r>
      <w:r w:rsidR="006C238D">
        <w:t xml:space="preserve">mažiau </w:t>
      </w:r>
      <w:r w:rsidR="00882B67">
        <w:t>ne</w:t>
      </w:r>
      <w:r w:rsidR="00105557">
        <w:t xml:space="preserve">gu įstatyme nustatytą </w:t>
      </w:r>
      <w:r w:rsidR="00DF6659">
        <w:t xml:space="preserve">darbo </w:t>
      </w:r>
      <w:r w:rsidR="00105557">
        <w:t>laiką</w:t>
      </w:r>
      <w:r w:rsidR="00EF2439">
        <w:t xml:space="preserve">; </w:t>
      </w:r>
      <w:r w:rsidR="00105557">
        <w:t>3) </w:t>
      </w:r>
      <w:r w:rsidR="00D9152F">
        <w:t>prieš įsidarbinimą</w:t>
      </w:r>
      <w:r w:rsidR="00DF64A4">
        <w:t xml:space="preserve"> </w:t>
      </w:r>
      <w:r w:rsidR="00DF6659">
        <w:t xml:space="preserve">bendrai gyvenantys asmenys </w:t>
      </w:r>
      <w:r w:rsidR="0045030C" w:rsidRPr="007413C4">
        <w:rPr>
          <w:i/>
          <w:u w:val="single"/>
        </w:rPr>
        <w:t xml:space="preserve">bent </w:t>
      </w:r>
      <w:r w:rsidR="00920631" w:rsidRPr="007413C4">
        <w:rPr>
          <w:i/>
          <w:u w:val="single"/>
        </w:rPr>
        <w:t xml:space="preserve">vieną </w:t>
      </w:r>
      <w:r w:rsidR="0045030C" w:rsidRPr="008B57DE">
        <w:rPr>
          <w:i/>
          <w:u w:val="single"/>
        </w:rPr>
        <w:t>mėnesį</w:t>
      </w:r>
      <w:r w:rsidR="0045030C" w:rsidRPr="008B57DE">
        <w:rPr>
          <w:i/>
        </w:rPr>
        <w:t xml:space="preserve"> per paskutinius 3 mėn.</w:t>
      </w:r>
      <w:r w:rsidR="0045030C">
        <w:t xml:space="preserve"> </w:t>
      </w:r>
      <w:r w:rsidR="00DF6659" w:rsidRPr="0045030C">
        <w:rPr>
          <w:i/>
        </w:rPr>
        <w:t>buvo</w:t>
      </w:r>
      <w:r w:rsidR="00DF64A4" w:rsidRPr="0045030C">
        <w:rPr>
          <w:i/>
        </w:rPr>
        <w:t xml:space="preserve"> </w:t>
      </w:r>
      <w:r w:rsidR="00DF64A4" w:rsidRPr="004977A3">
        <w:rPr>
          <w:i/>
          <w:u w:val="single"/>
        </w:rPr>
        <w:t>socialinės pašalpos gavėjai</w:t>
      </w:r>
      <w:r w:rsidR="00077A9D">
        <w:t>; 4)</w:t>
      </w:r>
      <w:r w:rsidR="0092452C">
        <w:t xml:space="preserve"> </w:t>
      </w:r>
      <w:r w:rsidR="0092452C" w:rsidRPr="00B46178">
        <w:rPr>
          <w:i/>
        </w:rPr>
        <w:t>kiekvienas</w:t>
      </w:r>
      <w:r w:rsidR="00920631">
        <w:t xml:space="preserve"> </w:t>
      </w:r>
      <w:r w:rsidR="00807BD3">
        <w:t xml:space="preserve">kartu gyvenantis </w:t>
      </w:r>
      <w:r w:rsidR="00464BC3">
        <w:t>vaikas</w:t>
      </w:r>
      <w:r w:rsidR="00B06E10">
        <w:t xml:space="preserve"> nuo 16 iki 18 m.</w:t>
      </w:r>
      <w:r w:rsidR="00464BC3">
        <w:t xml:space="preserve"> arba asmuo, </w:t>
      </w:r>
      <w:r w:rsidR="00807BD3">
        <w:t>vyresnis kaip 18 m.</w:t>
      </w:r>
      <w:r w:rsidR="00464BC3">
        <w:t>,</w:t>
      </w:r>
      <w:r w:rsidR="00807BD3">
        <w:t xml:space="preserve"> </w:t>
      </w:r>
      <w:r w:rsidR="00807BD3" w:rsidRPr="00B46178">
        <w:rPr>
          <w:i/>
        </w:rPr>
        <w:t>ati</w:t>
      </w:r>
      <w:r w:rsidR="00B06E10" w:rsidRPr="00B46178">
        <w:rPr>
          <w:i/>
        </w:rPr>
        <w:t>tinka</w:t>
      </w:r>
      <w:r w:rsidR="00807BD3" w:rsidRPr="00B46178">
        <w:rPr>
          <w:i/>
        </w:rPr>
        <w:t xml:space="preserve"> </w:t>
      </w:r>
      <w:r w:rsidR="00F63B02" w:rsidRPr="00B46178">
        <w:rPr>
          <w:i/>
        </w:rPr>
        <w:t>bent vien</w:t>
      </w:r>
      <w:r w:rsidR="001958FB" w:rsidRPr="00B46178">
        <w:rPr>
          <w:i/>
        </w:rPr>
        <w:t>ą</w:t>
      </w:r>
      <w:r w:rsidR="001958FB">
        <w:t xml:space="preserve"> </w:t>
      </w:r>
      <w:r w:rsidR="00464BC3">
        <w:t>įstatym</w:t>
      </w:r>
      <w:r w:rsidR="00484E39">
        <w:t>e</w:t>
      </w:r>
      <w:r w:rsidR="00464BC3">
        <w:t xml:space="preserve"> nustatyt</w:t>
      </w:r>
      <w:r w:rsidR="001958FB">
        <w:t>ą</w:t>
      </w:r>
      <w:r w:rsidR="00464BC3">
        <w:t xml:space="preserve"> </w:t>
      </w:r>
      <w:r w:rsidR="00464BC3" w:rsidRPr="00B46178">
        <w:rPr>
          <w:i/>
        </w:rPr>
        <w:t>sąlyg</w:t>
      </w:r>
      <w:r w:rsidR="00C138A5" w:rsidRPr="00B46178">
        <w:rPr>
          <w:i/>
        </w:rPr>
        <w:t>ą</w:t>
      </w:r>
      <w:r w:rsidR="00464BC3">
        <w:t>, kuri</w:t>
      </w:r>
      <w:r w:rsidR="00C138A5">
        <w:t>ai</w:t>
      </w:r>
      <w:r w:rsidR="00464BC3">
        <w:t xml:space="preserve"> esant, bendrai gyvenantys</w:t>
      </w:r>
      <w:r w:rsidR="00F63B02">
        <w:t xml:space="preserve"> asmenys įgyja teisę į socialinę paramą</w:t>
      </w:r>
      <w:r w:rsidR="00484E39">
        <w:t xml:space="preserve">; </w:t>
      </w:r>
      <w:r w:rsidR="00C06349">
        <w:t xml:space="preserve">ir </w:t>
      </w:r>
      <w:r w:rsidR="00484E39">
        <w:t>5) bendrai gyvenantys</w:t>
      </w:r>
      <w:r w:rsidR="00C06349">
        <w:t xml:space="preserve"> </w:t>
      </w:r>
      <w:r w:rsidR="00257766">
        <w:t>žmonė</w:t>
      </w:r>
      <w:r w:rsidR="00C06349">
        <w:t xml:space="preserve">s </w:t>
      </w:r>
      <w:r w:rsidR="00C06349" w:rsidRPr="004B3F6C">
        <w:rPr>
          <w:i/>
          <w:u w:val="single"/>
        </w:rPr>
        <w:t>augina vaiką</w:t>
      </w:r>
      <w:r w:rsidR="007054C9">
        <w:t xml:space="preserve"> (-</w:t>
      </w:r>
      <w:proofErr w:type="spellStart"/>
      <w:r w:rsidR="007054C9">
        <w:t>us</w:t>
      </w:r>
      <w:proofErr w:type="spellEnd"/>
      <w:r w:rsidR="007054C9">
        <w:t>)</w:t>
      </w:r>
      <w:r w:rsidR="006C50E5">
        <w:t>.</w:t>
      </w:r>
      <w:r w:rsidR="00C26CC6">
        <w:t xml:space="preserve"> Atitikus šias sąlygas, </w:t>
      </w:r>
      <w:r w:rsidR="007054C9">
        <w:t xml:space="preserve">už kiekvieną su darbo santykiais susijusį mėnesį </w:t>
      </w:r>
      <w:r w:rsidR="00C26CC6">
        <w:t>bendrai gyvenant</w:t>
      </w:r>
      <w:r w:rsidR="00ED11D3">
        <w:t>iems</w:t>
      </w:r>
      <w:r w:rsidR="00C26CC6">
        <w:t xml:space="preserve"> </w:t>
      </w:r>
      <w:r w:rsidR="00257766">
        <w:t xml:space="preserve">asmenims </w:t>
      </w:r>
      <w:r w:rsidR="00BD0EBF" w:rsidRPr="001E431C">
        <w:rPr>
          <w:i/>
        </w:rPr>
        <w:t xml:space="preserve">6 mėn. iš eilės gali būti </w:t>
      </w:r>
      <w:r w:rsidR="00ED11D3" w:rsidRPr="001E431C">
        <w:rPr>
          <w:i/>
        </w:rPr>
        <w:t xml:space="preserve">mokama </w:t>
      </w:r>
      <w:r w:rsidR="009F6CEB" w:rsidRPr="001E431C">
        <w:rPr>
          <w:i/>
        </w:rPr>
        <w:t>papildom</w:t>
      </w:r>
      <w:r w:rsidR="00ED11D3" w:rsidRPr="001E431C">
        <w:rPr>
          <w:i/>
        </w:rPr>
        <w:t>a</w:t>
      </w:r>
      <w:r w:rsidR="009F6CEB" w:rsidRPr="001E431C">
        <w:rPr>
          <w:i/>
        </w:rPr>
        <w:t xml:space="preserve"> socialin</w:t>
      </w:r>
      <w:r w:rsidR="00BD0EBF" w:rsidRPr="001E431C">
        <w:rPr>
          <w:i/>
        </w:rPr>
        <w:t>ė</w:t>
      </w:r>
      <w:r w:rsidR="009F6CEB" w:rsidRPr="001E431C">
        <w:rPr>
          <w:i/>
        </w:rPr>
        <w:t xml:space="preserve"> pašalp</w:t>
      </w:r>
      <w:r w:rsidR="00BD0EBF" w:rsidRPr="001E431C">
        <w:rPr>
          <w:i/>
        </w:rPr>
        <w:t>a</w:t>
      </w:r>
      <w:r w:rsidR="009F6CEB">
        <w:t xml:space="preserve">, </w:t>
      </w:r>
      <w:r w:rsidR="007054C9">
        <w:t>kuri</w:t>
      </w:r>
      <w:r w:rsidR="00BD0EBF">
        <w:t>os dydis</w:t>
      </w:r>
      <w:r w:rsidR="005A0E21">
        <w:t xml:space="preserve"> </w:t>
      </w:r>
      <w:r w:rsidR="009F6CEB">
        <w:t>lyg</w:t>
      </w:r>
      <w:r w:rsidR="00BD0EBF">
        <w:t>us</w:t>
      </w:r>
      <w:r w:rsidR="009F6CEB">
        <w:t xml:space="preserve"> 50 proc.</w:t>
      </w:r>
      <w:r w:rsidR="007054C9">
        <w:t xml:space="preserve"> buvusi</w:t>
      </w:r>
      <w:r w:rsidR="00A2585F">
        <w:t>os</w:t>
      </w:r>
      <w:r w:rsidR="007054C9">
        <w:t xml:space="preserve"> </w:t>
      </w:r>
      <w:r w:rsidR="00A2585F">
        <w:t xml:space="preserve">socialinės pašalpos, </w:t>
      </w:r>
      <w:r w:rsidR="00A2585F" w:rsidRPr="001E431C">
        <w:t>mokėtos per praėjusius 12 mėn. iki įsidarbinimo,</w:t>
      </w:r>
      <w:r w:rsidR="00A2585F">
        <w:t xml:space="preserve"> vidutinio dydžio</w:t>
      </w:r>
      <w:r w:rsidR="000818B4">
        <w:t>.</w:t>
      </w:r>
    </w:p>
    <w:p w:rsidR="002A2BBC" w:rsidRDefault="00CC653F" w:rsidP="009F4A38">
      <w:r>
        <w:t xml:space="preserve">Nors </w:t>
      </w:r>
      <w:r w:rsidR="005A7D71">
        <w:t xml:space="preserve">tokių </w:t>
      </w:r>
      <w:r w:rsidRPr="00170DFF">
        <w:rPr>
          <w:i/>
        </w:rPr>
        <w:t>lengvat</w:t>
      </w:r>
      <w:r w:rsidR="00AA7FD7" w:rsidRPr="00170DFF">
        <w:rPr>
          <w:i/>
        </w:rPr>
        <w:t>ų</w:t>
      </w:r>
      <w:r w:rsidR="000659E5" w:rsidRPr="00170DFF">
        <w:rPr>
          <w:i/>
        </w:rPr>
        <w:t xml:space="preserve"> dirbant</w:t>
      </w:r>
      <w:r w:rsidR="000659E5">
        <w:t xml:space="preserve"> </w:t>
      </w:r>
      <w:r w:rsidR="00AA7FD7">
        <w:t>taikymas yra sveikintinas</w:t>
      </w:r>
      <w:r w:rsidR="006D222A">
        <w:t xml:space="preserve">, </w:t>
      </w:r>
      <w:r w:rsidR="005A7D71">
        <w:t xml:space="preserve">norint </w:t>
      </w:r>
      <w:r w:rsidR="006D222A">
        <w:t xml:space="preserve">padidinti neužimtų gyventojų </w:t>
      </w:r>
      <w:r w:rsidR="005A7D71">
        <w:t>paskatas</w:t>
      </w:r>
      <w:r w:rsidR="00CC39FC">
        <w:t xml:space="preserve"> įsidarbinti</w:t>
      </w:r>
      <w:r w:rsidR="006D222A">
        <w:t xml:space="preserve">, manytume, jog </w:t>
      </w:r>
      <w:r w:rsidR="00972ECB">
        <w:t>teisė į papildomos pašalpos gavimą yra pernelyg apribota, – ir dėl to, galbūt, ne itin efektyvi</w:t>
      </w:r>
      <w:r w:rsidR="00965675">
        <w:t xml:space="preserve"> norimų pasiekti tikslų </w:t>
      </w:r>
      <w:r w:rsidR="00965675" w:rsidRPr="00284CC6">
        <w:t xml:space="preserve">atžvilgiu. </w:t>
      </w:r>
      <w:r w:rsidR="00673458" w:rsidRPr="00284CC6">
        <w:t>Žvelgiant į pateiktus laikotarpius, tampa akivaizdu</w:t>
      </w:r>
      <w:r w:rsidR="00965675" w:rsidRPr="00284CC6">
        <w:t>, jog ši</w:t>
      </w:r>
      <w:r w:rsidR="00B578BA" w:rsidRPr="00284CC6">
        <w:t>o</w:t>
      </w:r>
      <w:r w:rsidR="00965675" w:rsidRPr="00284CC6">
        <w:t>s nuostat</w:t>
      </w:r>
      <w:r w:rsidR="00B578BA" w:rsidRPr="00284CC6">
        <w:t>o</w:t>
      </w:r>
      <w:r w:rsidR="004F2E3E" w:rsidRPr="00284CC6">
        <w:t xml:space="preserve">s </w:t>
      </w:r>
      <w:r w:rsidR="00D2259E" w:rsidRPr="00284CC6">
        <w:t xml:space="preserve">yra </w:t>
      </w:r>
      <w:r w:rsidR="00466B1E" w:rsidRPr="00284CC6">
        <w:t>nukreiptos ne tik į</w:t>
      </w:r>
      <w:r w:rsidR="00D2259E" w:rsidRPr="00284CC6">
        <w:t xml:space="preserve"> </w:t>
      </w:r>
      <w:r w:rsidR="00466B1E" w:rsidRPr="00284CC6">
        <w:t xml:space="preserve">ilgalaikius socialinių pašalpų gavėjus, bet ir </w:t>
      </w:r>
      <w:r w:rsidR="00673458" w:rsidRPr="00284CC6">
        <w:t>bedarbius</w:t>
      </w:r>
      <w:r w:rsidR="005E31A4" w:rsidRPr="00284CC6">
        <w:t>, nes reikalavimai</w:t>
      </w:r>
      <w:r w:rsidR="00D8099A" w:rsidRPr="00284CC6">
        <w:t xml:space="preserve"> </w:t>
      </w:r>
      <w:r w:rsidR="00BC59F2" w:rsidRPr="00284CC6">
        <w:t>darbo biržoje būti įsiregistravus</w:t>
      </w:r>
      <w:r w:rsidR="001E799B" w:rsidRPr="00284CC6">
        <w:t>iems</w:t>
      </w:r>
      <w:r w:rsidR="00BC59F2" w:rsidRPr="00284CC6">
        <w:t xml:space="preserve"> ne trumpiau kaip 12 mėn.</w:t>
      </w:r>
      <w:r w:rsidR="001E799B" w:rsidRPr="00284CC6">
        <w:t xml:space="preserve"> </w:t>
      </w:r>
      <w:r w:rsidR="00934BA3" w:rsidRPr="00284CC6">
        <w:t>(</w:t>
      </w:r>
      <w:r w:rsidR="001E799B" w:rsidRPr="00284CC6">
        <w:t>iki įsidarbinimo</w:t>
      </w:r>
      <w:r w:rsidR="00934BA3" w:rsidRPr="00284CC6">
        <w:t>)</w:t>
      </w:r>
      <w:r w:rsidR="001E799B" w:rsidRPr="00284CC6">
        <w:t xml:space="preserve"> ir </w:t>
      </w:r>
      <w:r w:rsidR="001E799B" w:rsidRPr="00284CC6">
        <w:rPr>
          <w:u w:val="single"/>
        </w:rPr>
        <w:t>bent vieną mėnesį</w:t>
      </w:r>
      <w:r w:rsidR="001E799B" w:rsidRPr="00284CC6">
        <w:t xml:space="preserve"> </w:t>
      </w:r>
      <w:r w:rsidR="00934BA3" w:rsidRPr="00284CC6">
        <w:t xml:space="preserve">būti </w:t>
      </w:r>
      <w:r w:rsidR="00A5558D" w:rsidRPr="00284CC6">
        <w:t xml:space="preserve">buvusiems </w:t>
      </w:r>
      <w:r w:rsidR="00934BA3" w:rsidRPr="00284CC6">
        <w:t>socialin</w:t>
      </w:r>
      <w:r w:rsidR="002A2BBC" w:rsidRPr="00284CC6">
        <w:t>ė</w:t>
      </w:r>
      <w:r w:rsidR="00934BA3" w:rsidRPr="00284CC6">
        <w:t>s pašalp</w:t>
      </w:r>
      <w:r w:rsidR="002A2BBC" w:rsidRPr="00284CC6">
        <w:t>o</w:t>
      </w:r>
      <w:r w:rsidR="00934BA3" w:rsidRPr="00284CC6">
        <w:t>s</w:t>
      </w:r>
      <w:r w:rsidR="002A2BBC" w:rsidRPr="00284CC6">
        <w:t xml:space="preserve"> gavėjais</w:t>
      </w:r>
      <w:r w:rsidR="00934BA3" w:rsidRPr="00284CC6">
        <w:t xml:space="preserve"> </w:t>
      </w:r>
      <w:r w:rsidR="00A5558D" w:rsidRPr="00284CC6">
        <w:t>byloja apie š</w:t>
      </w:r>
      <w:r w:rsidR="00E62EE6" w:rsidRPr="00284CC6">
        <w:t xml:space="preserve">ią </w:t>
      </w:r>
      <w:r w:rsidR="00E62EE6" w:rsidRPr="00284CC6">
        <w:rPr>
          <w:b/>
          <w:i/>
        </w:rPr>
        <w:t>schemą</w:t>
      </w:r>
      <w:r w:rsidR="00E62EE6" w:rsidRPr="00284CC6">
        <w:t>:</w:t>
      </w:r>
      <w:r w:rsidR="00E62EE6" w:rsidRPr="00B2454D">
        <w:rPr>
          <w:color w:val="0070C0"/>
        </w:rPr>
        <w:t xml:space="preserve"> </w:t>
      </w:r>
      <w:r w:rsidR="00B778A3">
        <w:t xml:space="preserve">nedarbo draudimo </w:t>
      </w:r>
      <w:r w:rsidR="00C74B46">
        <w:t xml:space="preserve">išmoka </w:t>
      </w:r>
      <w:r w:rsidR="00B778A3">
        <w:t xml:space="preserve">(6-9 mėn.) </w:t>
      </w:r>
      <w:r w:rsidR="00B778A3" w:rsidRPr="00FC0DA6">
        <w:rPr>
          <w:i/>
        </w:rPr>
        <w:t>plius</w:t>
      </w:r>
      <w:r w:rsidR="00B778A3">
        <w:t xml:space="preserve"> socialinė pašalpa (3-6 mėn.).</w:t>
      </w:r>
      <w:r w:rsidR="00103B07">
        <w:t xml:space="preserve"> R</w:t>
      </w:r>
      <w:r w:rsidR="00232A95">
        <w:t xml:space="preserve">eikėtų pastebėti, jog sąlyga </w:t>
      </w:r>
      <w:r w:rsidR="001F478E">
        <w:t>„</w:t>
      </w:r>
      <w:r w:rsidR="00605227">
        <w:t>būti nedirbusie</w:t>
      </w:r>
      <w:r w:rsidR="00103B07">
        <w:t>m</w:t>
      </w:r>
      <w:r w:rsidR="00605227">
        <w:t>s</w:t>
      </w:r>
      <w:r w:rsidR="00103B07">
        <w:t xml:space="preserve"> 12 mėn.</w:t>
      </w:r>
      <w:r w:rsidR="001F478E">
        <w:t>“</w:t>
      </w:r>
      <w:r w:rsidR="00103B07">
        <w:t xml:space="preserve"> </w:t>
      </w:r>
      <w:r w:rsidR="00C74B46">
        <w:t xml:space="preserve">bedarbio pašalpas </w:t>
      </w:r>
      <w:r w:rsidR="00794680">
        <w:t xml:space="preserve">gavusius </w:t>
      </w:r>
      <w:r w:rsidR="00CE55C9">
        <w:t xml:space="preserve">žmones </w:t>
      </w:r>
      <w:r w:rsidR="000050BC">
        <w:t>(ir ypatingai</w:t>
      </w:r>
      <w:r w:rsidR="00D55A23">
        <w:t xml:space="preserve"> tuos, kurie </w:t>
      </w:r>
      <w:r w:rsidR="00232A95">
        <w:t>jas</w:t>
      </w:r>
      <w:r w:rsidR="00605227">
        <w:t xml:space="preserve"> </w:t>
      </w:r>
      <w:r w:rsidR="00D55A23">
        <w:t>gavo 9 mėn.)</w:t>
      </w:r>
      <w:r w:rsidR="000264C1">
        <w:t xml:space="preserve"> </w:t>
      </w:r>
      <w:r w:rsidR="00D16FA5" w:rsidRPr="00D16FA5">
        <w:rPr>
          <w:b/>
          <w:i/>
        </w:rPr>
        <w:t xml:space="preserve">gali </w:t>
      </w:r>
      <w:r w:rsidR="00103B07" w:rsidRPr="00D16FA5">
        <w:rPr>
          <w:b/>
          <w:i/>
        </w:rPr>
        <w:t>skatinti</w:t>
      </w:r>
      <w:r w:rsidR="008420E9" w:rsidRPr="00D16FA5">
        <w:rPr>
          <w:b/>
          <w:i/>
        </w:rPr>
        <w:t xml:space="preserve"> </w:t>
      </w:r>
      <w:r w:rsidR="00E0256F" w:rsidRPr="00D16FA5">
        <w:rPr>
          <w:b/>
          <w:i/>
        </w:rPr>
        <w:t xml:space="preserve">likusį laikotarpį </w:t>
      </w:r>
      <w:r w:rsidR="008420E9" w:rsidRPr="00D16FA5">
        <w:rPr>
          <w:b/>
          <w:i/>
        </w:rPr>
        <w:t>būti neaktyvia</w:t>
      </w:r>
      <w:r w:rsidR="00794680" w:rsidRPr="00D16FA5">
        <w:rPr>
          <w:b/>
          <w:i/>
        </w:rPr>
        <w:t>is</w:t>
      </w:r>
      <w:r w:rsidR="00D55A23">
        <w:t xml:space="preserve">, </w:t>
      </w:r>
      <w:r w:rsidR="00232A95">
        <w:t>nes</w:t>
      </w:r>
      <w:r w:rsidR="00150959">
        <w:t xml:space="preserve"> </w:t>
      </w:r>
      <w:r w:rsidR="00E0256F">
        <w:t>įs</w:t>
      </w:r>
      <w:r w:rsidR="00757A86">
        <w:t>idarbin</w:t>
      </w:r>
      <w:r w:rsidR="003F03C9">
        <w:t>ti</w:t>
      </w:r>
      <w:r w:rsidR="000264C1">
        <w:t xml:space="preserve"> anksčiau</w:t>
      </w:r>
      <w:r w:rsidR="00AA7BFA">
        <w:t xml:space="preserve">, </w:t>
      </w:r>
      <w:r w:rsidR="0040593F">
        <w:t>ne</w:t>
      </w:r>
      <w:r w:rsidR="00757A86">
        <w:t>gu</w:t>
      </w:r>
      <w:r w:rsidR="00AA7BFA">
        <w:t xml:space="preserve"> sukaks 12 mėn. terminas,</w:t>
      </w:r>
      <w:r w:rsidR="000264C1">
        <w:t xml:space="preserve"> ir dirbti</w:t>
      </w:r>
      <w:r w:rsidR="000B5906">
        <w:t xml:space="preserve"> už </w:t>
      </w:r>
      <w:r w:rsidR="00D652FA">
        <w:t xml:space="preserve">nedidelį </w:t>
      </w:r>
      <w:r w:rsidR="000B5906">
        <w:t>atlyg</w:t>
      </w:r>
      <w:r w:rsidR="00757A86">
        <w:t>į gali tapti</w:t>
      </w:r>
      <w:r w:rsidR="00080EEB">
        <w:t xml:space="preserve"> </w:t>
      </w:r>
      <w:r w:rsidR="003F03C9">
        <w:t>nenaud</w:t>
      </w:r>
      <w:r w:rsidR="000D0D98">
        <w:t>in</w:t>
      </w:r>
      <w:r w:rsidR="003F03C9">
        <w:t>ga</w:t>
      </w:r>
      <w:r w:rsidR="00150959">
        <w:t xml:space="preserve"> </w:t>
      </w:r>
      <w:r w:rsidR="00150959" w:rsidRPr="00C941B8">
        <w:t>(</w:t>
      </w:r>
      <w:r w:rsidR="00A612C5" w:rsidRPr="00C941B8">
        <w:t>žr. 9</w:t>
      </w:r>
      <w:r w:rsidR="00150959" w:rsidRPr="00C941B8">
        <w:t> priedą)</w:t>
      </w:r>
      <w:r w:rsidR="00A15C8C">
        <w:t xml:space="preserve"> </w:t>
      </w:r>
      <w:r w:rsidR="009A0117">
        <w:t xml:space="preserve">– </w:t>
      </w:r>
      <w:r w:rsidR="006907AE">
        <w:t xml:space="preserve">jei </w:t>
      </w:r>
      <w:r w:rsidR="00C74B46">
        <w:t xml:space="preserve">bendrai gyvenantys asmenys </w:t>
      </w:r>
      <w:r w:rsidR="00FA2E98">
        <w:t xml:space="preserve">be bedarbio pašalpos dar </w:t>
      </w:r>
      <w:r w:rsidR="001F03FD">
        <w:t xml:space="preserve">gavo pašalpą ir </w:t>
      </w:r>
      <w:r w:rsidR="00AE2153">
        <w:t>kompensacijas</w:t>
      </w:r>
      <w:r w:rsidR="00AD32F4">
        <w:t>.</w:t>
      </w:r>
    </w:p>
    <w:p w:rsidR="0040699F" w:rsidRDefault="0012727C" w:rsidP="009F4A38">
      <w:r>
        <w:t xml:space="preserve">Be to, nereikėtų pamiršti, jog šios nuostatos </w:t>
      </w:r>
      <w:r w:rsidR="005F0793">
        <w:t>gali būti</w:t>
      </w:r>
      <w:r>
        <w:t xml:space="preserve"> taikomos tik </w:t>
      </w:r>
      <w:r w:rsidRPr="0033480E">
        <w:rPr>
          <w:b/>
          <w:i/>
        </w:rPr>
        <w:t>bendrai</w:t>
      </w:r>
      <w:r w:rsidR="0033480E" w:rsidRPr="0033480E">
        <w:rPr>
          <w:b/>
          <w:i/>
        </w:rPr>
        <w:t xml:space="preserve"> gyvenantiems, vaikus auginantiems individams</w:t>
      </w:r>
      <w:r w:rsidR="0033480E">
        <w:t xml:space="preserve">, </w:t>
      </w:r>
      <w:r w:rsidR="00E34966">
        <w:t xml:space="preserve">kurie </w:t>
      </w:r>
      <w:r w:rsidR="00651EEF">
        <w:t xml:space="preserve">prieš </w:t>
      </w:r>
      <w:r w:rsidR="00E34966">
        <w:t>(</w:t>
      </w:r>
      <w:r w:rsidR="00651EEF">
        <w:t>bent vieno iš jų</w:t>
      </w:r>
      <w:r w:rsidR="00E34966">
        <w:t>)</w:t>
      </w:r>
      <w:r w:rsidR="00651EEF">
        <w:t xml:space="preserve"> įsidarbinimą t</w:t>
      </w:r>
      <w:r w:rsidR="00824FB8">
        <w:t>ur</w:t>
      </w:r>
      <w:r w:rsidR="00CF4DE9">
        <w:t>i</w:t>
      </w:r>
      <w:r w:rsidR="00824FB8">
        <w:t xml:space="preserve"> </w:t>
      </w:r>
      <w:r w:rsidR="00B14860" w:rsidRPr="00B962AD">
        <w:rPr>
          <w:i/>
        </w:rPr>
        <w:t>nepertraukiamą laikotarpį</w:t>
      </w:r>
      <w:r w:rsidR="00B14860">
        <w:t xml:space="preserve"> </w:t>
      </w:r>
      <w:r w:rsidR="00824FB8">
        <w:t xml:space="preserve">būti </w:t>
      </w:r>
      <w:r w:rsidR="00824FB8" w:rsidRPr="004447E0">
        <w:rPr>
          <w:i/>
          <w:u w:val="single"/>
        </w:rPr>
        <w:t>įsiregistravę</w:t>
      </w:r>
      <w:r w:rsidR="00D276C2" w:rsidRPr="004447E0">
        <w:t xml:space="preserve"> </w:t>
      </w:r>
      <w:r w:rsidR="00D276C2">
        <w:t>teritorinėje darbo biržoje</w:t>
      </w:r>
      <w:r w:rsidR="00C326F7">
        <w:t>. T</w:t>
      </w:r>
      <w:r w:rsidR="006B4871">
        <w:t>ai</w:t>
      </w:r>
      <w:r w:rsidR="00A44ADB">
        <w:t xml:space="preserve"> atskleidžia</w:t>
      </w:r>
      <w:r w:rsidR="006B4871">
        <w:t>, jog</w:t>
      </w:r>
      <w:r w:rsidR="00C326F7">
        <w:t xml:space="preserve">, norėdami </w:t>
      </w:r>
      <w:r w:rsidR="00A44ADB">
        <w:t xml:space="preserve">įgyti teisę į </w:t>
      </w:r>
      <w:r w:rsidR="00C326F7" w:rsidRPr="00494701">
        <w:t>lengvat</w:t>
      </w:r>
      <w:r w:rsidR="00A44ADB" w:rsidRPr="00494701">
        <w:t>ą dirbant</w:t>
      </w:r>
      <w:r w:rsidR="00C326F7">
        <w:t>, bendrai gyvenantys</w:t>
      </w:r>
      <w:r w:rsidR="00A44ADB">
        <w:t xml:space="preserve"> asmenys </w:t>
      </w:r>
      <w:r w:rsidR="00A44ADB" w:rsidRPr="00A44ADB">
        <w:rPr>
          <w:i/>
          <w:u w:val="single"/>
        </w:rPr>
        <w:t>privalo</w:t>
      </w:r>
      <w:r w:rsidR="00A44ADB" w:rsidRPr="00A44ADB">
        <w:rPr>
          <w:i/>
        </w:rPr>
        <w:t xml:space="preserve"> demonstruoti</w:t>
      </w:r>
      <w:r w:rsidR="00DE2C5F">
        <w:t xml:space="preserve"> visiškai neracionalią elgseną, </w:t>
      </w:r>
      <w:r w:rsidR="00A14981">
        <w:t xml:space="preserve">nes būti ekonomiškai neaktyviu </w:t>
      </w:r>
      <w:r w:rsidR="00A41E15">
        <w:t>(ar</w:t>
      </w:r>
      <w:r w:rsidR="00D77705">
        <w:t>ba</w:t>
      </w:r>
      <w:r w:rsidR="00A41E15">
        <w:t xml:space="preserve"> ne visiškai aktyviu) </w:t>
      </w:r>
      <w:r w:rsidR="00A14981" w:rsidRPr="000C638B">
        <w:rPr>
          <w:i/>
        </w:rPr>
        <w:t>skatinamas</w:t>
      </w:r>
      <w:r w:rsidR="00051195">
        <w:rPr>
          <w:rStyle w:val="FootnoteReference"/>
        </w:rPr>
        <w:footnoteReference w:id="24"/>
      </w:r>
      <w:r w:rsidR="00A14981">
        <w:t xml:space="preserve"> </w:t>
      </w:r>
      <w:r w:rsidR="00D77705">
        <w:t xml:space="preserve">ne </w:t>
      </w:r>
      <w:r w:rsidR="00A14981">
        <w:t>kuris nors vienas iš bendrai gyvenančių asmenų</w:t>
      </w:r>
      <w:r w:rsidR="00735D34">
        <w:t>, o visi tam tikro amžiaus sulaukę</w:t>
      </w:r>
      <w:r w:rsidR="00D77705">
        <w:t xml:space="preserve"> individai.</w:t>
      </w:r>
      <w:r w:rsidR="00F648EA">
        <w:t xml:space="preserve"> Kritikuotina galėtų būti ir tai, jog </w:t>
      </w:r>
      <w:r w:rsidR="005F7C8C">
        <w:t>teisę į</w:t>
      </w:r>
      <w:r w:rsidR="00582838">
        <w:t xml:space="preserve"> lengvat</w:t>
      </w:r>
      <w:r w:rsidR="00CD140B">
        <w:t xml:space="preserve">ą gali įgyti tik vaikus turintys </w:t>
      </w:r>
      <w:r w:rsidR="00CD140B" w:rsidRPr="0080293D">
        <w:t>žmonės</w:t>
      </w:r>
      <w:r w:rsidR="00312DEE" w:rsidRPr="0080293D">
        <w:t>, kai tuo tarpu socialinės paramos teikim</w:t>
      </w:r>
      <w:r w:rsidR="00C978B8" w:rsidRPr="0080293D">
        <w:t xml:space="preserve">as </w:t>
      </w:r>
      <w:r w:rsidR="00264AF2" w:rsidRPr="0080293D">
        <w:t>yra</w:t>
      </w:r>
      <w:r w:rsidR="00C978B8" w:rsidRPr="0080293D">
        <w:t xml:space="preserve"> grindžiamas </w:t>
      </w:r>
      <w:r w:rsidR="008C3A4F" w:rsidRPr="0080293D">
        <w:rPr>
          <w:i/>
        </w:rPr>
        <w:t>lygių</w:t>
      </w:r>
      <w:r w:rsidR="00C978B8" w:rsidRPr="0080293D">
        <w:rPr>
          <w:i/>
        </w:rPr>
        <w:t xml:space="preserve"> galimybių</w:t>
      </w:r>
      <w:r w:rsidR="00C978B8" w:rsidRPr="0080293D">
        <w:t xml:space="preserve"> principu</w:t>
      </w:r>
      <w:r w:rsidR="00264AF2" w:rsidRPr="0080293D">
        <w:t xml:space="preserve"> </w:t>
      </w:r>
      <w:r w:rsidR="002060FB" w:rsidRPr="0080293D">
        <w:t>(</w:t>
      </w:r>
      <w:r w:rsidR="00264AF2" w:rsidRPr="0080293D">
        <w:t>3 straipsnis</w:t>
      </w:r>
      <w:r w:rsidR="002060FB" w:rsidRPr="0080293D">
        <w:t>)</w:t>
      </w:r>
      <w:r w:rsidR="00DF6F78" w:rsidRPr="0080293D">
        <w:t>.</w:t>
      </w:r>
      <w:r w:rsidR="00DF6F78">
        <w:t xml:space="preserve"> </w:t>
      </w:r>
      <w:r w:rsidR="009A6D55">
        <w:t>Visi</w:t>
      </w:r>
      <w:r w:rsidR="007B005F">
        <w:t xml:space="preserve"> </w:t>
      </w:r>
      <w:r w:rsidR="00EC17AD">
        <w:t xml:space="preserve">iš </w:t>
      </w:r>
      <w:r w:rsidR="007B005F">
        <w:t>paminė</w:t>
      </w:r>
      <w:r w:rsidR="00EC17AD">
        <w:t>tų</w:t>
      </w:r>
      <w:r w:rsidR="007B005F">
        <w:t xml:space="preserve"> </w:t>
      </w:r>
      <w:r w:rsidR="009A6D55">
        <w:t xml:space="preserve">teiginių </w:t>
      </w:r>
      <w:r w:rsidR="007B005F">
        <w:t xml:space="preserve">leidžia tvirtinti, jog šiuo metu </w:t>
      </w:r>
      <w:r w:rsidR="002060FB">
        <w:t xml:space="preserve">papildomos pašalpos </w:t>
      </w:r>
      <w:r w:rsidR="009D7A25">
        <w:t xml:space="preserve">taikymas yra </w:t>
      </w:r>
      <w:r w:rsidR="009D7A25" w:rsidRPr="00494701">
        <w:rPr>
          <w:i/>
        </w:rPr>
        <w:t>neefektyvus</w:t>
      </w:r>
      <w:r w:rsidR="009D7A25">
        <w:t>.</w:t>
      </w:r>
    </w:p>
    <w:p w:rsidR="007F1673" w:rsidRDefault="00C9621F" w:rsidP="009F4A38">
      <w:r>
        <w:lastRenderedPageBreak/>
        <w:t>Kita vertus</w:t>
      </w:r>
      <w:r w:rsidR="006C336A">
        <w:t>,</w:t>
      </w:r>
      <w:r w:rsidR="00681B6A">
        <w:t xml:space="preserve"> </w:t>
      </w:r>
      <w:r w:rsidR="00D432D7">
        <w:t>toks pat</w:t>
      </w:r>
      <w:r w:rsidR="006766A1">
        <w:t xml:space="preserve"> </w:t>
      </w:r>
      <w:r w:rsidR="00CC25D5">
        <w:t xml:space="preserve">reikalavimas </w:t>
      </w:r>
      <w:r w:rsidR="006766A1" w:rsidRPr="002100B0">
        <w:rPr>
          <w:i/>
        </w:rPr>
        <w:t>„būti nedirbusi</w:t>
      </w:r>
      <w:r w:rsidR="00D432D7">
        <w:rPr>
          <w:i/>
        </w:rPr>
        <w:t>am</w:t>
      </w:r>
      <w:r w:rsidR="006766A1" w:rsidRPr="002100B0">
        <w:rPr>
          <w:i/>
        </w:rPr>
        <w:t xml:space="preserve"> 12 mėn.“</w:t>
      </w:r>
      <w:r w:rsidR="006766A1">
        <w:t xml:space="preserve"> </w:t>
      </w:r>
      <w:r w:rsidRPr="00BB72B5">
        <w:rPr>
          <w:i/>
          <w:u w:val="single"/>
        </w:rPr>
        <w:t>visiems</w:t>
      </w:r>
      <w:r w:rsidR="00D432D7">
        <w:t xml:space="preserve"> kartu</w:t>
      </w:r>
      <w:r>
        <w:t xml:space="preserve"> gyvenantiems </w:t>
      </w:r>
      <w:r w:rsidR="00D432D7">
        <w:t xml:space="preserve">žmonėms </w:t>
      </w:r>
      <w:r w:rsidR="001A1047">
        <w:t xml:space="preserve">gali būti keliamas </w:t>
      </w:r>
      <w:r w:rsidR="00BB72B5">
        <w:t>dėl to, jog</w:t>
      </w:r>
      <w:r w:rsidR="008E36A9">
        <w:t xml:space="preserve"> </w:t>
      </w:r>
      <w:r w:rsidR="005A499E">
        <w:t>būtų apsisaugota nuo</w:t>
      </w:r>
      <w:r w:rsidR="00DF386B">
        <w:t xml:space="preserve"> netikrų atvejų,</w:t>
      </w:r>
      <w:r w:rsidR="00D9166A">
        <w:t xml:space="preserve"> kuomet</w:t>
      </w:r>
      <w:r w:rsidR="00DF386B">
        <w:t xml:space="preserve"> vienas iš bendrai gyvenanč</w:t>
      </w:r>
      <w:r w:rsidR="006651EA">
        <w:t xml:space="preserve">ių </w:t>
      </w:r>
      <w:r w:rsidR="007469EC">
        <w:t xml:space="preserve">(nepasiturinčių) </w:t>
      </w:r>
      <w:r w:rsidR="006651EA">
        <w:t>asmenų sąmoningai</w:t>
      </w:r>
      <w:r w:rsidR="007469EC">
        <w:t xml:space="preserve"> registruotųsi darbo biržoje.</w:t>
      </w:r>
      <w:r w:rsidR="006A15DD">
        <w:t xml:space="preserve"> Tačiau</w:t>
      </w:r>
      <w:r w:rsidR="00D6739C">
        <w:t>, mūsų</w:t>
      </w:r>
      <w:r w:rsidR="00E37E9A">
        <w:t xml:space="preserve"> suvokimu</w:t>
      </w:r>
      <w:r w:rsidR="00D6739C">
        <w:t xml:space="preserve">, </w:t>
      </w:r>
      <w:r w:rsidR="00E37E9A">
        <w:t>toki</w:t>
      </w:r>
      <w:r w:rsidR="000629F9">
        <w:t>e</w:t>
      </w:r>
      <w:r w:rsidR="00E37E9A">
        <w:t xml:space="preserve"> atvej</w:t>
      </w:r>
      <w:r w:rsidR="000629F9">
        <w:t>ai</w:t>
      </w:r>
      <w:r w:rsidR="00E37E9A">
        <w:t xml:space="preserve">, kai </w:t>
      </w:r>
      <w:r w:rsidR="000629F9" w:rsidRPr="00CC25D5">
        <w:rPr>
          <w:i/>
          <w:u w:val="single"/>
        </w:rPr>
        <w:t xml:space="preserve">vienas iš </w:t>
      </w:r>
      <w:r w:rsidR="00AF4C6A" w:rsidRPr="00CC25D5">
        <w:rPr>
          <w:i/>
          <w:u w:val="single"/>
        </w:rPr>
        <w:t>dirban</w:t>
      </w:r>
      <w:r w:rsidR="000629F9" w:rsidRPr="00CC25D5">
        <w:rPr>
          <w:i/>
          <w:u w:val="single"/>
        </w:rPr>
        <w:t>čių</w:t>
      </w:r>
      <w:r w:rsidR="00AF4C6A">
        <w:t xml:space="preserve"> </w:t>
      </w:r>
      <w:r w:rsidR="00EC7E11">
        <w:t>šeimos nari</w:t>
      </w:r>
      <w:r w:rsidR="000629F9">
        <w:t>ų</w:t>
      </w:r>
      <w:r w:rsidR="00AF4C6A">
        <w:t xml:space="preserve"> </w:t>
      </w:r>
      <w:r w:rsidR="00E83202">
        <w:t>iš darbo rinkos pasitrauktų tik tam</w:t>
      </w:r>
      <w:r w:rsidR="00A67758">
        <w:t xml:space="preserve">, kad </w:t>
      </w:r>
      <w:r w:rsidR="00925FB1" w:rsidRPr="009267A1">
        <w:rPr>
          <w:i/>
          <w:u w:val="single"/>
        </w:rPr>
        <w:t>vėliau</w:t>
      </w:r>
      <w:r w:rsidR="00A67758">
        <w:t xml:space="preserve"> įgytų teisę į lengvatą</w:t>
      </w:r>
      <w:r w:rsidR="002A28F5">
        <w:t xml:space="preserve">, </w:t>
      </w:r>
      <w:r w:rsidR="00561C30">
        <w:t>būtų nelogiški</w:t>
      </w:r>
      <w:r w:rsidR="00B8058D">
        <w:t xml:space="preserve"> (laukimo </w:t>
      </w:r>
      <w:r w:rsidR="004B7572">
        <w:t>met</w:t>
      </w:r>
      <w:r w:rsidR="00B8058D">
        <w:t xml:space="preserve">u pajamos </w:t>
      </w:r>
      <w:r w:rsidR="00E83202">
        <w:t>taptų mažesnės</w:t>
      </w:r>
      <w:r w:rsidR="00B8058D">
        <w:t>)</w:t>
      </w:r>
      <w:r w:rsidR="00561C30">
        <w:t xml:space="preserve">, </w:t>
      </w:r>
      <w:r w:rsidR="00B8058D">
        <w:t xml:space="preserve">– </w:t>
      </w:r>
      <w:r w:rsidR="00561C30" w:rsidRPr="007A72DB">
        <w:rPr>
          <w:i/>
        </w:rPr>
        <w:t>to</w:t>
      </w:r>
      <w:r w:rsidR="007A72DB" w:rsidRPr="007A72DB">
        <w:rPr>
          <w:i/>
        </w:rPr>
        <w:t>dėl</w:t>
      </w:r>
      <w:r w:rsidR="00B8058D" w:rsidRPr="007A72DB">
        <w:rPr>
          <w:i/>
        </w:rPr>
        <w:t xml:space="preserve"> </w:t>
      </w:r>
      <w:r w:rsidR="007A72DB" w:rsidRPr="007A72DB">
        <w:rPr>
          <w:i/>
        </w:rPr>
        <w:t xml:space="preserve">ir </w:t>
      </w:r>
      <w:r w:rsidR="00561C30" w:rsidRPr="007A72DB">
        <w:rPr>
          <w:i/>
        </w:rPr>
        <w:t>retai</w:t>
      </w:r>
      <w:r w:rsidR="00B8058D" w:rsidRPr="007A72DB">
        <w:rPr>
          <w:i/>
        </w:rPr>
        <w:t xml:space="preserve"> pasitaikantys</w:t>
      </w:r>
      <w:r w:rsidR="00E5053B">
        <w:t xml:space="preserve">, </w:t>
      </w:r>
      <w:r w:rsidR="00B8058D">
        <w:t>– vadinasi,</w:t>
      </w:r>
      <w:r w:rsidR="004163B5">
        <w:t xml:space="preserve"> tokia apsauga nuo piktnaudžiavimo nėra</w:t>
      </w:r>
      <w:r w:rsidR="00937140">
        <w:t xml:space="preserve"> būtina</w:t>
      </w:r>
      <w:r w:rsidR="004163B5">
        <w:t xml:space="preserve">, </w:t>
      </w:r>
      <w:r w:rsidR="00937140">
        <w:t xml:space="preserve">nes </w:t>
      </w:r>
      <w:r w:rsidR="004163B5">
        <w:t xml:space="preserve">ji </w:t>
      </w:r>
      <w:r w:rsidR="009267A1">
        <w:t>tinkamai ne</w:t>
      </w:r>
      <w:r w:rsidR="00531114">
        <w:t>funkcionuo</w:t>
      </w:r>
      <w:r w:rsidR="009267A1">
        <w:t>ja</w:t>
      </w:r>
      <w:r w:rsidR="00531114">
        <w:t>.</w:t>
      </w:r>
      <w:r w:rsidR="00EC7E11">
        <w:t xml:space="preserve"> Dėl to, m</w:t>
      </w:r>
      <w:r w:rsidR="009267A1">
        <w:t xml:space="preserve">anytume, jog </w:t>
      </w:r>
      <w:r w:rsidR="00D9166A">
        <w:t>sąlyg</w:t>
      </w:r>
      <w:r w:rsidR="00445B84">
        <w:t>os, kuri</w:t>
      </w:r>
      <w:r w:rsidR="00244E2A">
        <w:t>oms esant įgyjama</w:t>
      </w:r>
      <w:r w:rsidR="00C032DA">
        <w:t xml:space="preserve"> teisė į </w:t>
      </w:r>
      <w:r w:rsidR="00445B84">
        <w:t>papildom</w:t>
      </w:r>
      <w:r w:rsidR="00244E2A">
        <w:t>ą</w:t>
      </w:r>
      <w:r w:rsidR="00445B84">
        <w:t xml:space="preserve"> pašalp</w:t>
      </w:r>
      <w:r w:rsidR="00244E2A">
        <w:t>ą</w:t>
      </w:r>
      <w:r w:rsidR="00C032DA">
        <w:t>, turėtų būti</w:t>
      </w:r>
      <w:r w:rsidR="00244E2A">
        <w:t xml:space="preserve"> pakoreguotos</w:t>
      </w:r>
      <w:r w:rsidR="00C032DA">
        <w:t>,</w:t>
      </w:r>
      <w:r w:rsidR="00391BEF">
        <w:t xml:space="preserve"> </w:t>
      </w:r>
      <w:r w:rsidR="00AC0D34">
        <w:t>nes</w:t>
      </w:r>
      <w:r w:rsidR="007D6061">
        <w:t xml:space="preserve"> pagal </w:t>
      </w:r>
      <w:r w:rsidR="00701F06">
        <w:t>šiuo metu galiojančią</w:t>
      </w:r>
      <w:r w:rsidR="00C66C47">
        <w:t xml:space="preserve"> tvarką</w:t>
      </w:r>
      <w:r w:rsidR="00D457F6">
        <w:t>:</w:t>
      </w:r>
      <w:r w:rsidR="00701F06">
        <w:t xml:space="preserve"> </w:t>
      </w:r>
      <w:r w:rsidR="00D457F6">
        <w:t>1) </w:t>
      </w:r>
      <w:r w:rsidR="009A6D55" w:rsidRPr="0015532F">
        <w:rPr>
          <w:b/>
          <w:i/>
        </w:rPr>
        <w:t xml:space="preserve">bedarbiais </w:t>
      </w:r>
      <w:r w:rsidR="00C66C47" w:rsidRPr="0015532F">
        <w:rPr>
          <w:b/>
          <w:i/>
        </w:rPr>
        <w:t>skatinama</w:t>
      </w:r>
      <w:r w:rsidR="00D74509" w:rsidRPr="0015532F">
        <w:rPr>
          <w:b/>
          <w:i/>
        </w:rPr>
        <w:t xml:space="preserve"> </w:t>
      </w:r>
      <w:r w:rsidR="00594276" w:rsidRPr="0015532F">
        <w:rPr>
          <w:b/>
          <w:i/>
        </w:rPr>
        <w:t>būti ilgesnį laiką</w:t>
      </w:r>
      <w:r w:rsidR="00244E2A">
        <w:t xml:space="preserve">; </w:t>
      </w:r>
      <w:r w:rsidR="0015532F">
        <w:t>ir</w:t>
      </w:r>
      <w:r w:rsidR="00573243">
        <w:t xml:space="preserve"> </w:t>
      </w:r>
      <w:r w:rsidR="00D457F6">
        <w:t>2) </w:t>
      </w:r>
      <w:r w:rsidR="0040284B">
        <w:rPr>
          <w:b/>
          <w:i/>
        </w:rPr>
        <w:t>finansinė gerovė žadama</w:t>
      </w:r>
      <w:r w:rsidR="00AC0D34" w:rsidRPr="009B6086">
        <w:rPr>
          <w:b/>
          <w:i/>
        </w:rPr>
        <w:t xml:space="preserve"> tiems</w:t>
      </w:r>
      <w:r w:rsidR="00701F06" w:rsidRPr="009B6086">
        <w:rPr>
          <w:b/>
          <w:i/>
        </w:rPr>
        <w:t xml:space="preserve">, kurie </w:t>
      </w:r>
      <w:r w:rsidR="00AC0D34" w:rsidRPr="009B6086">
        <w:rPr>
          <w:b/>
          <w:i/>
        </w:rPr>
        <w:t xml:space="preserve">to </w:t>
      </w:r>
      <w:r w:rsidR="00701F06" w:rsidRPr="009B6086">
        <w:rPr>
          <w:b/>
          <w:i/>
        </w:rPr>
        <w:t>nenusipelnė</w:t>
      </w:r>
      <w:r w:rsidR="00573243">
        <w:t>.</w:t>
      </w:r>
    </w:p>
    <w:p w:rsidR="00EF7A20" w:rsidRDefault="003C6BB4" w:rsidP="009F4A38">
      <w:r>
        <w:t>Kalbant apie laiką, reik</w:t>
      </w:r>
      <w:r w:rsidR="00EF7A20">
        <w:t xml:space="preserve">tų </w:t>
      </w:r>
      <w:r>
        <w:t xml:space="preserve">dar </w:t>
      </w:r>
      <w:r w:rsidR="00EF7A20">
        <w:t xml:space="preserve">pastebėti, jog </w:t>
      </w:r>
      <w:r w:rsidR="001A7815">
        <w:t xml:space="preserve">tuose </w:t>
      </w:r>
      <w:r w:rsidR="00467355">
        <w:t>straipsn</w:t>
      </w:r>
      <w:r w:rsidR="001A7815">
        <w:t>iuose</w:t>
      </w:r>
      <w:r w:rsidR="00467355">
        <w:t>, kuri</w:t>
      </w:r>
      <w:r w:rsidR="001A7815">
        <w:t>ais</w:t>
      </w:r>
      <w:r w:rsidR="007A1D38">
        <w:t xml:space="preserve"> bandoma įtvirtinti koki</w:t>
      </w:r>
      <w:r w:rsidR="00D92935">
        <w:t xml:space="preserve">ą nors teisę, </w:t>
      </w:r>
      <w:r w:rsidR="001A7815">
        <w:t xml:space="preserve">dažnai </w:t>
      </w:r>
      <w:r w:rsidR="00D92935">
        <w:t>yra kalbama apie tai, jog</w:t>
      </w:r>
      <w:r w:rsidR="00E22CDF">
        <w:t xml:space="preserve"> </w:t>
      </w:r>
      <w:r w:rsidR="001D459B">
        <w:t xml:space="preserve">individas </w:t>
      </w:r>
      <w:r w:rsidR="00E22CDF">
        <w:t>tur</w:t>
      </w:r>
      <w:r w:rsidR="001D459B">
        <w:t>i</w:t>
      </w:r>
      <w:r w:rsidR="00E22CDF">
        <w:t xml:space="preserve"> dirb</w:t>
      </w:r>
      <w:r w:rsidR="001D459B">
        <w:t>ti</w:t>
      </w:r>
      <w:r w:rsidR="00E22CDF">
        <w:t xml:space="preserve"> ne mažiau </w:t>
      </w:r>
      <w:r w:rsidR="001D459B">
        <w:t xml:space="preserve">kaip 2 / 3 </w:t>
      </w:r>
      <w:r w:rsidR="00E22CDF">
        <w:t>maksimala</w:t>
      </w:r>
      <w:r w:rsidR="00EF02E1">
        <w:t xml:space="preserve">us </w:t>
      </w:r>
      <w:r w:rsidR="00825658">
        <w:t>darbo laiko</w:t>
      </w:r>
      <w:r w:rsidR="00831179">
        <w:t xml:space="preserve"> ir uždirbti ne mažiau kaip minimal</w:t>
      </w:r>
      <w:r w:rsidR="00C31A99">
        <w:t>ios algos</w:t>
      </w:r>
      <w:r w:rsidR="00831179">
        <w:t xml:space="preserve"> dalį, p</w:t>
      </w:r>
      <w:r w:rsidR="00831179" w:rsidRPr="00E56E3F">
        <w:t>roporcingą dirbtam laikui</w:t>
      </w:r>
      <w:r w:rsidR="00825658" w:rsidRPr="00E56E3F">
        <w:t>.</w:t>
      </w:r>
      <w:r w:rsidR="0009404B" w:rsidRPr="00E56E3F">
        <w:t xml:space="preserve"> </w:t>
      </w:r>
      <w:r w:rsidR="001252FF" w:rsidRPr="00E56E3F">
        <w:t>Mūsų požiūriu, tokia sąlyga</w:t>
      </w:r>
      <w:r w:rsidRPr="00E56E3F">
        <w:t xml:space="preserve"> </w:t>
      </w:r>
      <w:r w:rsidR="00C31A99" w:rsidRPr="00E56E3F">
        <w:t>kai kuriais</w:t>
      </w:r>
      <w:r w:rsidR="007F5049" w:rsidRPr="00E56E3F">
        <w:t xml:space="preserve"> </w:t>
      </w:r>
      <w:r w:rsidRPr="00E56E3F">
        <w:t>atvejais neturėtų būti taikoma</w:t>
      </w:r>
      <w:r w:rsidR="00AF4F38" w:rsidRPr="00E56E3F">
        <w:t>, nes, pavyzdžiui,</w:t>
      </w:r>
      <w:r w:rsidR="00831179" w:rsidRPr="00E56E3F">
        <w:t xml:space="preserve"> </w:t>
      </w:r>
      <w:r w:rsidR="00AF4F38" w:rsidRPr="00E56E3F">
        <w:t xml:space="preserve">įtvirtinus nuostatą, jog </w:t>
      </w:r>
      <w:r w:rsidR="00C31A99" w:rsidRPr="00E56E3F">
        <w:t xml:space="preserve">teisę į </w:t>
      </w:r>
      <w:r w:rsidR="00C71AF9" w:rsidRPr="00E56E3F">
        <w:t>socialin</w:t>
      </w:r>
      <w:r w:rsidR="00C31A99" w:rsidRPr="00E56E3F">
        <w:t>ę</w:t>
      </w:r>
      <w:r w:rsidR="00C71AF9" w:rsidRPr="00E56E3F">
        <w:t xml:space="preserve"> </w:t>
      </w:r>
      <w:r w:rsidR="00C31A99" w:rsidRPr="00E56E3F">
        <w:t>paramą gali</w:t>
      </w:r>
      <w:r w:rsidR="00E64F0D" w:rsidRPr="00E56E3F">
        <w:t xml:space="preserve"> įgyti </w:t>
      </w:r>
      <w:r w:rsidR="00E52938" w:rsidRPr="00E56E3F">
        <w:t>nedirbantys, tačiau į</w:t>
      </w:r>
      <w:r w:rsidR="00375BB4" w:rsidRPr="00E56E3F">
        <w:t>siregistravę darbo biržoje</w:t>
      </w:r>
      <w:r w:rsidR="00D97BDF" w:rsidRPr="00E56E3F">
        <w:t xml:space="preserve">, </w:t>
      </w:r>
      <w:r w:rsidR="00D97BDF" w:rsidRPr="00E56E3F">
        <w:rPr>
          <w:i/>
        </w:rPr>
        <w:t>arba</w:t>
      </w:r>
      <w:r w:rsidR="00D97BDF" w:rsidRPr="00E56E3F">
        <w:t xml:space="preserve"> </w:t>
      </w:r>
      <w:r w:rsidR="00275212" w:rsidRPr="00E56E3F">
        <w:t>dirbantys</w:t>
      </w:r>
      <w:r w:rsidR="00D97BDF" w:rsidRPr="00E56E3F">
        <w:t>, tačiau ne</w:t>
      </w:r>
      <w:r w:rsidR="00275212" w:rsidRPr="00E56E3F">
        <w:t xml:space="preserve"> </w:t>
      </w:r>
      <w:r w:rsidR="00D97BDF" w:rsidRPr="00E56E3F">
        <w:t>mažiau kaip</w:t>
      </w:r>
      <w:r w:rsidR="00E64F0D" w:rsidRPr="00E56E3F">
        <w:t xml:space="preserve"> 2 / 3 nustatyto</w:t>
      </w:r>
      <w:r w:rsidR="0011635F">
        <w:t>s</w:t>
      </w:r>
      <w:r w:rsidR="00E64F0D" w:rsidRPr="00E56E3F">
        <w:t xml:space="preserve"> darbo </w:t>
      </w:r>
      <w:r w:rsidR="00E64F0D" w:rsidRPr="0080293D">
        <w:t>laiko</w:t>
      </w:r>
      <w:r w:rsidR="00275212" w:rsidRPr="0080293D">
        <w:t xml:space="preserve"> </w:t>
      </w:r>
      <w:r w:rsidR="0011635F">
        <w:t xml:space="preserve">trukmės </w:t>
      </w:r>
      <w:r w:rsidR="007B58C8" w:rsidRPr="0080293D">
        <w:t>(</w:t>
      </w:r>
      <w:r w:rsidR="0015073E" w:rsidRPr="0080293D">
        <w:t>8 straipsnis</w:t>
      </w:r>
      <w:r w:rsidR="007B58C8" w:rsidRPr="0080293D">
        <w:t>)</w:t>
      </w:r>
      <w:r w:rsidR="00504C2B" w:rsidRPr="0080293D">
        <w:t xml:space="preserve">, </w:t>
      </w:r>
      <w:r w:rsidR="0011635F">
        <w:rPr>
          <w:b/>
          <w:i/>
        </w:rPr>
        <w:t xml:space="preserve">individai </w:t>
      </w:r>
      <w:r w:rsidR="00504C2B" w:rsidRPr="00C2678E">
        <w:rPr>
          <w:b/>
          <w:i/>
        </w:rPr>
        <w:t xml:space="preserve">yra skatinami </w:t>
      </w:r>
      <w:r w:rsidR="00C2678E" w:rsidRPr="00C2678E">
        <w:rPr>
          <w:b/>
          <w:i/>
        </w:rPr>
        <w:t xml:space="preserve">dirbti </w:t>
      </w:r>
      <w:r w:rsidR="00265F62" w:rsidRPr="00C2678E">
        <w:rPr>
          <w:b/>
          <w:i/>
        </w:rPr>
        <w:t>ne vis</w:t>
      </w:r>
      <w:r w:rsidR="00C2678E" w:rsidRPr="00C2678E">
        <w:rPr>
          <w:b/>
          <w:i/>
        </w:rPr>
        <w:t>ą</w:t>
      </w:r>
      <w:r w:rsidR="00265F62" w:rsidRPr="00C2678E">
        <w:rPr>
          <w:b/>
          <w:i/>
        </w:rPr>
        <w:t xml:space="preserve"> darbo dien</w:t>
      </w:r>
      <w:r w:rsidR="00C2678E" w:rsidRPr="00C2678E">
        <w:rPr>
          <w:b/>
          <w:i/>
        </w:rPr>
        <w:t>ą</w:t>
      </w:r>
      <w:r w:rsidR="00265F62" w:rsidRPr="00C2678E">
        <w:rPr>
          <w:b/>
          <w:i/>
        </w:rPr>
        <w:t xml:space="preserve">, kad išsaugotų teisę į </w:t>
      </w:r>
      <w:r w:rsidR="00190A97">
        <w:rPr>
          <w:b/>
          <w:i/>
        </w:rPr>
        <w:t xml:space="preserve">socialinę </w:t>
      </w:r>
      <w:r w:rsidR="00C2678E" w:rsidRPr="00C2678E">
        <w:rPr>
          <w:b/>
          <w:i/>
        </w:rPr>
        <w:t>pašalpą</w:t>
      </w:r>
      <w:r w:rsidR="00C2678E">
        <w:t>.</w:t>
      </w:r>
      <w:r w:rsidR="00C24D8B">
        <w:t xml:space="preserve"> Vadinasi, </w:t>
      </w:r>
      <w:r w:rsidR="003053C1">
        <w:t xml:space="preserve">siekiant padidinti žmonių paskatas </w:t>
      </w:r>
      <w:r w:rsidR="002F2EEE">
        <w:t xml:space="preserve">įsidarbinti ir kartu apsisaugoti nuo </w:t>
      </w:r>
      <w:r w:rsidR="00D52677">
        <w:t xml:space="preserve">piktnaudžiavimo atvejų, reiktų </w:t>
      </w:r>
      <w:r w:rsidR="00457098">
        <w:t xml:space="preserve">sukurti tokį </w:t>
      </w:r>
      <w:r w:rsidR="00D52677">
        <w:t>„mechanizmą“, kuris</w:t>
      </w:r>
      <w:r w:rsidR="00B61443">
        <w:t xml:space="preserve"> su dirbtu laiku nebūtų susietas tiesiogiai</w:t>
      </w:r>
      <w:r w:rsidR="00457098">
        <w:t>.</w:t>
      </w:r>
    </w:p>
    <w:p w:rsidR="00AF5A65" w:rsidRDefault="004B0C8C" w:rsidP="003847F8">
      <w:r>
        <w:t>Nors</w:t>
      </w:r>
      <w:r w:rsidR="00140E61">
        <w:t xml:space="preserve"> iš viso to, kas </w:t>
      </w:r>
      <w:r w:rsidR="000D3560">
        <w:t xml:space="preserve">buvo </w:t>
      </w:r>
      <w:r w:rsidR="00140E61">
        <w:t>aptarta, galima</w:t>
      </w:r>
      <w:r w:rsidR="00203CEA">
        <w:t xml:space="preserve"> teigti</w:t>
      </w:r>
      <w:r w:rsidR="00140E61">
        <w:t>, jog</w:t>
      </w:r>
      <w:r w:rsidR="00D037E7">
        <w:t xml:space="preserve"> šiuo metu galiojanti nedarbo draudimo išmokų mokėjimo ir socialinės paramos teikimo tvarka yra neefektyvi</w:t>
      </w:r>
      <w:r w:rsidR="000D3560">
        <w:t xml:space="preserve">, – </w:t>
      </w:r>
      <w:r w:rsidR="000D3560" w:rsidRPr="003847F8">
        <w:rPr>
          <w:i/>
        </w:rPr>
        <w:t>ir dėl to neskatinanti nei užimtumo</w:t>
      </w:r>
      <w:r w:rsidR="00AD1690" w:rsidRPr="003847F8">
        <w:rPr>
          <w:i/>
        </w:rPr>
        <w:t>, nei atsak</w:t>
      </w:r>
      <w:r w:rsidR="000D3560" w:rsidRPr="003847F8">
        <w:rPr>
          <w:i/>
        </w:rPr>
        <w:t>omybės</w:t>
      </w:r>
      <w:r w:rsidR="00AD1690" w:rsidRPr="003847F8">
        <w:rPr>
          <w:i/>
        </w:rPr>
        <w:t xml:space="preserve"> už priimtų </w:t>
      </w:r>
      <w:r w:rsidR="002426E9">
        <w:rPr>
          <w:i/>
        </w:rPr>
        <w:t xml:space="preserve">finansinių </w:t>
      </w:r>
      <w:r w:rsidR="00AD1690" w:rsidRPr="003847F8">
        <w:rPr>
          <w:i/>
        </w:rPr>
        <w:t>sprendimų pasekmes</w:t>
      </w:r>
      <w:r w:rsidR="00124C44">
        <w:t xml:space="preserve">, </w:t>
      </w:r>
      <w:r w:rsidR="003847F8">
        <w:t xml:space="preserve">– </w:t>
      </w:r>
      <w:r w:rsidR="00124C44">
        <w:t>reikėtų</w:t>
      </w:r>
      <w:r w:rsidR="00E72478">
        <w:t xml:space="preserve"> pastebėti</w:t>
      </w:r>
      <w:r w:rsidR="00124C44">
        <w:t xml:space="preserve">, jog </w:t>
      </w:r>
      <w:r w:rsidR="00203CEA">
        <w:t xml:space="preserve">be pasyvaus </w:t>
      </w:r>
      <w:r w:rsidR="00D8697C">
        <w:t xml:space="preserve">bedarbių ir </w:t>
      </w:r>
      <w:r w:rsidR="00967605">
        <w:t xml:space="preserve">nepasiturinčiųjų </w:t>
      </w:r>
      <w:r w:rsidR="0023454E">
        <w:t>rėmimo</w:t>
      </w:r>
      <w:r w:rsidR="00A93045">
        <w:t xml:space="preserve">, </w:t>
      </w:r>
      <w:r w:rsidR="002426E9">
        <w:t xml:space="preserve">paraleliai </w:t>
      </w:r>
      <w:r w:rsidR="00A93045">
        <w:t xml:space="preserve">yra </w:t>
      </w:r>
      <w:r w:rsidR="00563B68">
        <w:t xml:space="preserve">įgyvendinamos </w:t>
      </w:r>
      <w:r w:rsidR="003F2E72">
        <w:t xml:space="preserve">kitos </w:t>
      </w:r>
      <w:r w:rsidR="00A93045">
        <w:t>priemonės</w:t>
      </w:r>
      <w:r w:rsidR="009510C7">
        <w:t xml:space="preserve">, kurių </w:t>
      </w:r>
      <w:r w:rsidR="007A4A3E">
        <w:t xml:space="preserve">vienas </w:t>
      </w:r>
      <w:r w:rsidR="00967605">
        <w:t xml:space="preserve">iš </w:t>
      </w:r>
      <w:r w:rsidR="00E0633A">
        <w:t>pagrindini</w:t>
      </w:r>
      <w:r w:rsidR="007A4A3E">
        <w:t>ų</w:t>
      </w:r>
      <w:r w:rsidR="00E0633A">
        <w:t xml:space="preserve"> </w:t>
      </w:r>
      <w:r w:rsidR="009510C7">
        <w:t>tiksl</w:t>
      </w:r>
      <w:r w:rsidR="007A4A3E">
        <w:t>ų</w:t>
      </w:r>
      <w:r w:rsidR="002A717C">
        <w:t xml:space="preserve"> yra </w:t>
      </w:r>
      <w:r w:rsidR="003E542E">
        <w:t>„</w:t>
      </w:r>
      <w:r w:rsidR="002A717C">
        <w:t xml:space="preserve">didinti </w:t>
      </w:r>
      <w:r w:rsidR="002A717C" w:rsidRPr="006B6D56">
        <w:rPr>
          <w:i/>
          <w:u w:val="single"/>
        </w:rPr>
        <w:t>darbo ieškančių asmenų</w:t>
      </w:r>
      <w:r w:rsidR="002A717C">
        <w:t xml:space="preserve"> </w:t>
      </w:r>
      <w:r w:rsidR="002A717C" w:rsidRPr="0080293D">
        <w:t>užimtumą</w:t>
      </w:r>
      <w:r w:rsidR="003E542E" w:rsidRPr="0080293D">
        <w:t>“</w:t>
      </w:r>
      <w:r w:rsidR="006B6D56" w:rsidRPr="0080293D">
        <w:t xml:space="preserve"> </w:t>
      </w:r>
      <w:r w:rsidR="00E0633A" w:rsidRPr="0080293D">
        <w:t>(Užimtumo rėmimo įstatymas</w:t>
      </w:r>
      <w:r w:rsidR="002947EB" w:rsidRPr="0080293D">
        <w:t xml:space="preserve"> 2006, 2 straipsnis</w:t>
      </w:r>
      <w:r w:rsidR="00E0633A" w:rsidRPr="0080293D">
        <w:t>).</w:t>
      </w:r>
      <w:r w:rsidR="00D33F7E" w:rsidRPr="0080293D">
        <w:t xml:space="preserve"> Žinant</w:t>
      </w:r>
      <w:r w:rsidR="00D33F7E">
        <w:t xml:space="preserve"> tai, tampa</w:t>
      </w:r>
      <w:r w:rsidR="00D65151">
        <w:t xml:space="preserve"> visiškai akivaizdu</w:t>
      </w:r>
      <w:r w:rsidR="00D33F7E">
        <w:t xml:space="preserve">, jog </w:t>
      </w:r>
      <w:r w:rsidR="00D33F7E" w:rsidRPr="00635D48">
        <w:t>didžiausia</w:t>
      </w:r>
      <w:r w:rsidR="006562BE" w:rsidRPr="00635D48">
        <w:t xml:space="preserve"> nesugebėjimo įsidarbinti ir padidinti pajamas </w:t>
      </w:r>
      <w:r w:rsidR="00C52130" w:rsidRPr="00635D48">
        <w:t xml:space="preserve">kliūtis </w:t>
      </w:r>
      <w:r w:rsidR="006562BE" w:rsidRPr="00635D48">
        <w:t>yra patys</w:t>
      </w:r>
      <w:r w:rsidR="00685654" w:rsidRPr="00635D48">
        <w:t xml:space="preserve"> individai</w:t>
      </w:r>
      <w:r w:rsidR="003C4098">
        <w:t xml:space="preserve">, kurie </w:t>
      </w:r>
      <w:r w:rsidR="00C52130">
        <w:t>problemas „sprendžia“</w:t>
      </w:r>
      <w:r w:rsidR="008118AB">
        <w:t xml:space="preserve"> kalbėdami ir reikalaudami, tačiau adekvačių veiksmų nesiimdami.</w:t>
      </w:r>
    </w:p>
    <w:p w:rsidR="009F27CD" w:rsidRDefault="00C77371" w:rsidP="003847F8">
      <w:r>
        <w:t xml:space="preserve">Šiuo metu norinčiam </w:t>
      </w:r>
      <w:r w:rsidR="00316BEE">
        <w:t>susikurti gerovę</w:t>
      </w:r>
      <w:r w:rsidR="00BF78DC">
        <w:t xml:space="preserve">, – </w:t>
      </w:r>
      <w:r w:rsidR="00BF78DC" w:rsidRPr="004F51D9">
        <w:rPr>
          <w:i/>
        </w:rPr>
        <w:t>ir tokiu būdu</w:t>
      </w:r>
      <w:r w:rsidR="007D5CD1" w:rsidRPr="004F51D9">
        <w:rPr>
          <w:i/>
        </w:rPr>
        <w:t xml:space="preserve"> tapti nepriklausomam nuo</w:t>
      </w:r>
      <w:r w:rsidR="004C032A" w:rsidRPr="004F51D9">
        <w:rPr>
          <w:i/>
        </w:rPr>
        <w:t xml:space="preserve"> </w:t>
      </w:r>
      <w:r w:rsidR="004F51D9">
        <w:rPr>
          <w:i/>
        </w:rPr>
        <w:t>paramos</w:t>
      </w:r>
      <w:r w:rsidR="004C032A">
        <w:t xml:space="preserve">, – žmogui </w:t>
      </w:r>
      <w:r w:rsidR="008E749F">
        <w:t xml:space="preserve">(bedarbiui) </w:t>
      </w:r>
      <w:r w:rsidR="002F5F4F">
        <w:t>suteikiamas platus spektras</w:t>
      </w:r>
      <w:r w:rsidR="006C2B7A">
        <w:t xml:space="preserve"> </w:t>
      </w:r>
      <w:r w:rsidR="002F5F4F">
        <w:t>galimybių, t. y.</w:t>
      </w:r>
      <w:r w:rsidR="00192FC9">
        <w:t>, prisiregistravus</w:t>
      </w:r>
      <w:r w:rsidR="00E24E25">
        <w:t xml:space="preserve"> teritorinėje darbo biržoje, </w:t>
      </w:r>
      <w:r w:rsidR="00192FC9">
        <w:t>galima</w:t>
      </w:r>
      <w:r w:rsidR="00E24E25">
        <w:t>:</w:t>
      </w:r>
      <w:r w:rsidR="006C2B7A">
        <w:t xml:space="preserve"> konsultuotis</w:t>
      </w:r>
      <w:r w:rsidR="007A5681">
        <w:t xml:space="preserve"> </w:t>
      </w:r>
      <w:r w:rsidR="00F21848">
        <w:t xml:space="preserve">su specialistais; </w:t>
      </w:r>
      <w:r w:rsidR="007C626E">
        <w:t xml:space="preserve">dalyvauti profesiniuose </w:t>
      </w:r>
      <w:r w:rsidR="00CA271D">
        <w:t xml:space="preserve">mokymuose; </w:t>
      </w:r>
      <w:r w:rsidR="001A6C47">
        <w:t>įgyti reikalingų įgūdžių</w:t>
      </w:r>
      <w:r w:rsidR="00E56352">
        <w:t xml:space="preserve"> tiesiogiai darbo vietoje</w:t>
      </w:r>
      <w:r w:rsidR="001A6C47">
        <w:t xml:space="preserve">; </w:t>
      </w:r>
      <w:r w:rsidR="00E46721">
        <w:t>dirb</w:t>
      </w:r>
      <w:r w:rsidR="001A6C47">
        <w:t xml:space="preserve">ti viešuosius darbus; </w:t>
      </w:r>
      <w:r w:rsidR="00E56352">
        <w:t xml:space="preserve">įkurti smulkųjį verslą ir būti </w:t>
      </w:r>
      <w:r w:rsidR="00E71031">
        <w:t>už tai remiama</w:t>
      </w:r>
      <w:r w:rsidR="00204CC6">
        <w:t>m</w:t>
      </w:r>
      <w:r w:rsidR="00AE0D89">
        <w:t>; tapti nepriklausomam</w:t>
      </w:r>
      <w:r w:rsidR="003152CD">
        <w:t xml:space="preserve"> nuo vietos</w:t>
      </w:r>
      <w:r w:rsidR="00D46E95">
        <w:t>, k</w:t>
      </w:r>
      <w:r w:rsidR="00E46721">
        <w:t>uomet</w:t>
      </w:r>
      <w:r w:rsidR="00D46E95">
        <w:t xml:space="preserve"> </w:t>
      </w:r>
      <w:r w:rsidR="00A43995">
        <w:t xml:space="preserve">remiamas </w:t>
      </w:r>
      <w:r w:rsidR="00D46E95">
        <w:t xml:space="preserve">teritorinis </w:t>
      </w:r>
      <w:proofErr w:type="spellStart"/>
      <w:r w:rsidR="00D46E95">
        <w:t>judumas</w:t>
      </w:r>
      <w:proofErr w:type="spellEnd"/>
      <w:r w:rsidR="00D46E95">
        <w:t xml:space="preserve">. Be to, </w:t>
      </w:r>
      <w:r w:rsidR="00BF5367">
        <w:t xml:space="preserve">privilegijų </w:t>
      </w:r>
      <w:r w:rsidR="002333C6">
        <w:t xml:space="preserve">gali įgyti </w:t>
      </w:r>
      <w:r w:rsidR="00BF5367">
        <w:t>pirmą kartą pradedantys</w:t>
      </w:r>
      <w:r w:rsidR="002333C6">
        <w:t xml:space="preserve"> darbo veiklą pagal įgytą kvalifikaciją</w:t>
      </w:r>
      <w:r w:rsidR="00C97BF1">
        <w:t>;</w:t>
      </w:r>
      <w:r w:rsidR="002333C6">
        <w:t xml:space="preserve"> </w:t>
      </w:r>
      <w:r w:rsidR="00AE4D93">
        <w:t xml:space="preserve">iki įsiregistravimo teritorinėje darbo biržoje nedirbę </w:t>
      </w:r>
      <w:r w:rsidR="002E0306">
        <w:t>2</w:t>
      </w:r>
      <w:r w:rsidR="00AE4D93">
        <w:t xml:space="preserve"> ir daugiau metų; </w:t>
      </w:r>
      <w:r w:rsidR="003756A6">
        <w:t>vyresni kaip 50 m. asmenys</w:t>
      </w:r>
      <w:r w:rsidR="00C97BF1">
        <w:t>;</w:t>
      </w:r>
      <w:r w:rsidR="003756A6">
        <w:t xml:space="preserve"> </w:t>
      </w:r>
      <w:r w:rsidR="002333C6">
        <w:t>ilgalaikiai bedarbiai</w:t>
      </w:r>
      <w:r w:rsidR="00F57F4A">
        <w:t xml:space="preserve"> (...)</w:t>
      </w:r>
      <w:r w:rsidR="003756A6">
        <w:t>.</w:t>
      </w:r>
      <w:r w:rsidR="002333C6">
        <w:t xml:space="preserve"> </w:t>
      </w:r>
      <w:r w:rsidR="00DA47C6">
        <w:t xml:space="preserve">Kadangi visais </w:t>
      </w:r>
      <w:r w:rsidR="00CF0CDA">
        <w:t xml:space="preserve">šiais </w:t>
      </w:r>
      <w:r w:rsidR="00E02E7D">
        <w:t>atvejais</w:t>
      </w:r>
      <w:r w:rsidR="00B925D9">
        <w:t xml:space="preserve"> </w:t>
      </w:r>
      <w:r w:rsidR="00102047">
        <w:t xml:space="preserve">tam tikra dalis </w:t>
      </w:r>
      <w:r w:rsidR="00B925D9">
        <w:t>išlaid</w:t>
      </w:r>
      <w:r w:rsidR="00102047">
        <w:t>ų</w:t>
      </w:r>
      <w:r w:rsidR="00B925D9">
        <w:t xml:space="preserve"> kompensuojam</w:t>
      </w:r>
      <w:r w:rsidR="00102047">
        <w:t>a žmogui</w:t>
      </w:r>
      <w:r w:rsidR="00E02E7D">
        <w:t>, galima</w:t>
      </w:r>
      <w:r w:rsidR="00CF0CDA">
        <w:t xml:space="preserve"> manyti</w:t>
      </w:r>
      <w:r w:rsidR="00E02E7D">
        <w:t>, jog</w:t>
      </w:r>
      <w:r w:rsidR="00102047">
        <w:t xml:space="preserve"> tai turėtų </w:t>
      </w:r>
      <w:r w:rsidR="00635D48">
        <w:t xml:space="preserve">tapti </w:t>
      </w:r>
      <w:r w:rsidR="005878B0">
        <w:t>stimul</w:t>
      </w:r>
      <w:r w:rsidR="00635D48">
        <w:t>u</w:t>
      </w:r>
      <w:r w:rsidR="00C6746D">
        <w:t xml:space="preserve"> pradėti</w:t>
      </w:r>
      <w:r w:rsidR="00774CD3">
        <w:t xml:space="preserve"> gyventi </w:t>
      </w:r>
      <w:r w:rsidR="00774CD3" w:rsidRPr="00774CD3">
        <w:rPr>
          <w:i/>
        </w:rPr>
        <w:t>atsaking</w:t>
      </w:r>
      <w:r w:rsidR="002E0306">
        <w:rPr>
          <w:i/>
        </w:rPr>
        <w:t>ą gyvenimą</w:t>
      </w:r>
      <w:r w:rsidR="00F11931">
        <w:t xml:space="preserve">. Deja, </w:t>
      </w:r>
      <w:r w:rsidR="009610AC">
        <w:t>tyrimai</w:t>
      </w:r>
      <w:r w:rsidR="00AE4A51">
        <w:t xml:space="preserve"> atskleidė</w:t>
      </w:r>
      <w:r w:rsidR="007D06F4">
        <w:t>, jog</w:t>
      </w:r>
      <w:r w:rsidR="00774CD3">
        <w:t xml:space="preserve"> </w:t>
      </w:r>
      <w:r w:rsidR="00C76B8F">
        <w:t xml:space="preserve">Lietuvos </w:t>
      </w:r>
      <w:r w:rsidR="00DD685A">
        <w:t xml:space="preserve">gyventojai </w:t>
      </w:r>
      <w:r w:rsidR="00AE4A51">
        <w:t xml:space="preserve">neįžvelgia </w:t>
      </w:r>
      <w:r w:rsidR="00CD6C43">
        <w:t>prasmės</w:t>
      </w:r>
      <w:r w:rsidR="00AE4A51">
        <w:t xml:space="preserve"> dirbti</w:t>
      </w:r>
      <w:r w:rsidR="00134CFC">
        <w:t xml:space="preserve">, </w:t>
      </w:r>
      <w:r w:rsidR="00AE4A51">
        <w:t>kai</w:t>
      </w:r>
      <w:r w:rsidR="00CD6C43">
        <w:t xml:space="preserve"> nėra</w:t>
      </w:r>
      <w:r w:rsidR="006C436C">
        <w:t xml:space="preserve"> apčiuopiamo</w:t>
      </w:r>
      <w:r w:rsidR="00066D05">
        <w:t xml:space="preserve"> rezultato</w:t>
      </w:r>
      <w:r w:rsidR="00CD6C43">
        <w:t xml:space="preserve"> </w:t>
      </w:r>
      <w:r w:rsidR="00CD6C43" w:rsidRPr="00782B54">
        <w:t>(</w:t>
      </w:r>
      <w:r w:rsidR="00DD685A" w:rsidRPr="00782B54">
        <w:t>skaičiavimai</w:t>
      </w:r>
      <w:r w:rsidR="00667B94" w:rsidRPr="00782B54">
        <w:t xml:space="preserve"> </w:t>
      </w:r>
      <w:r w:rsidR="00A154E4" w:rsidRPr="00782B54">
        <w:t xml:space="preserve">pateikti </w:t>
      </w:r>
      <w:r w:rsidR="00667B94" w:rsidRPr="00782B54">
        <w:t>8</w:t>
      </w:r>
      <w:r w:rsidR="00DB0F32" w:rsidRPr="00782B54">
        <w:t> pried</w:t>
      </w:r>
      <w:r w:rsidR="00DD685A" w:rsidRPr="00782B54">
        <w:t>e</w:t>
      </w:r>
      <w:r w:rsidR="00CD6C43" w:rsidRPr="00782B54">
        <w:t>)</w:t>
      </w:r>
      <w:r w:rsidR="00A154E4" w:rsidRPr="00782B54">
        <w:t>,</w:t>
      </w:r>
      <w:r w:rsidR="00A154E4">
        <w:t xml:space="preserve"> </w:t>
      </w:r>
      <w:r w:rsidR="00A154E4" w:rsidRPr="00EE3F82">
        <w:t>todėl</w:t>
      </w:r>
      <w:r w:rsidR="00A06FC4" w:rsidRPr="00EE3F82">
        <w:t xml:space="preserve"> </w:t>
      </w:r>
      <w:r w:rsidR="006D765D" w:rsidRPr="00EE3F82">
        <w:t>tai mus įpareigoja</w:t>
      </w:r>
      <w:r w:rsidR="00A154E4" w:rsidRPr="00EE3F82">
        <w:t xml:space="preserve"> pateikti galimus sprendimus jų</w:t>
      </w:r>
      <w:r w:rsidR="009B6186">
        <w:t xml:space="preserve"> elgsenai gerinti</w:t>
      </w:r>
      <w:r w:rsidR="00A154E4" w:rsidRPr="00EE3F82">
        <w:t>.</w:t>
      </w:r>
    </w:p>
    <w:p w:rsidR="009D00A0" w:rsidRDefault="00E64AF8" w:rsidP="002B1E6F">
      <w:pPr>
        <w:pStyle w:val="Heading2"/>
      </w:pPr>
      <w:bookmarkStart w:id="50" w:name="_Toc343636893"/>
      <w:r>
        <w:lastRenderedPageBreak/>
        <w:t>Gerąja praktika paremt</w:t>
      </w:r>
      <w:r w:rsidR="002B1E6F">
        <w:t>i</w:t>
      </w:r>
      <w:r>
        <w:t xml:space="preserve"> sprendim</w:t>
      </w:r>
      <w:r w:rsidR="002B1E6F">
        <w:t>ai: priemonių elgsenai gerinti pagrindimas</w:t>
      </w:r>
      <w:bookmarkEnd w:id="50"/>
    </w:p>
    <w:p w:rsidR="00845467" w:rsidRDefault="008569EA" w:rsidP="002B1E6F">
      <w:r>
        <w:t xml:space="preserve">Atskleidus ydingas </w:t>
      </w:r>
      <w:r w:rsidR="00513728">
        <w:t xml:space="preserve">Lietuvos </w:t>
      </w:r>
      <w:r>
        <w:t>socialin</w:t>
      </w:r>
      <w:r w:rsidRPr="00F56BDA">
        <w:t xml:space="preserve">ės politikos taikymo bedarbiams ir </w:t>
      </w:r>
      <w:r w:rsidR="00513728" w:rsidRPr="00F56BDA">
        <w:t>skurstantie</w:t>
      </w:r>
      <w:r w:rsidR="00F56BDA" w:rsidRPr="00F56BDA">
        <w:t>sie</w:t>
      </w:r>
      <w:r w:rsidR="00513728" w:rsidRPr="00F56BDA">
        <w:t xml:space="preserve">ms </w:t>
      </w:r>
      <w:r w:rsidRPr="00F56BDA">
        <w:t xml:space="preserve">nuostatas </w:t>
      </w:r>
      <w:r w:rsidR="00F56BDA" w:rsidRPr="00F56BDA">
        <w:t>ir</w:t>
      </w:r>
      <w:r w:rsidR="009351B2" w:rsidRPr="00F56BDA">
        <w:t xml:space="preserve"> susipažinus </w:t>
      </w:r>
      <w:r w:rsidR="009351B2" w:rsidRPr="00451B9C">
        <w:t xml:space="preserve">su gerąja </w:t>
      </w:r>
      <w:r w:rsidR="00AF5E73" w:rsidRPr="00451B9C">
        <w:t>kitų</w:t>
      </w:r>
      <w:r w:rsidR="00F56BDA" w:rsidRPr="00451B9C">
        <w:t xml:space="preserve"> šalių</w:t>
      </w:r>
      <w:r w:rsidR="009351B2" w:rsidRPr="00451B9C">
        <w:t xml:space="preserve"> praktika, </w:t>
      </w:r>
      <w:r w:rsidR="00513728" w:rsidRPr="00451B9C">
        <w:t>teikiant pagalbą minimalias pajamas gaunantiems žmonėms</w:t>
      </w:r>
      <w:r w:rsidR="00F56BDA" w:rsidRPr="00451B9C">
        <w:t xml:space="preserve"> (žr. 10 priedą)</w:t>
      </w:r>
      <w:r w:rsidR="00513728" w:rsidRPr="00451B9C">
        <w:t xml:space="preserve">, </w:t>
      </w:r>
      <w:r w:rsidR="009351B2" w:rsidRPr="00451B9C">
        <w:t>galima</w:t>
      </w:r>
      <w:r w:rsidR="00845467">
        <w:t xml:space="preserve"> daryti išvadą</w:t>
      </w:r>
      <w:r w:rsidR="00AF5E73">
        <w:t xml:space="preserve">, jog </w:t>
      </w:r>
      <w:r w:rsidR="000139FA">
        <w:t xml:space="preserve">daugiausiai </w:t>
      </w:r>
      <w:r w:rsidR="00AF5E73">
        <w:t>dėmes</w:t>
      </w:r>
      <w:r w:rsidR="000139FA">
        <w:t>io</w:t>
      </w:r>
      <w:r w:rsidR="00AF5E73">
        <w:t xml:space="preserve"> turėtų būti </w:t>
      </w:r>
      <w:r w:rsidR="000139FA">
        <w:t xml:space="preserve">skiriama </w:t>
      </w:r>
      <w:r w:rsidR="00967DC2" w:rsidRPr="00814E93">
        <w:rPr>
          <w:b/>
          <w:i/>
        </w:rPr>
        <w:t>ši</w:t>
      </w:r>
      <w:r w:rsidR="000139FA" w:rsidRPr="00814E93">
        <w:rPr>
          <w:b/>
          <w:i/>
        </w:rPr>
        <w:t>oms</w:t>
      </w:r>
      <w:r w:rsidR="00F9441A">
        <w:rPr>
          <w:b/>
          <w:i/>
        </w:rPr>
        <w:t xml:space="preserve"> sritims</w:t>
      </w:r>
      <w:r w:rsidR="00845467">
        <w:t>:</w:t>
      </w:r>
      <w:r w:rsidR="00814E93">
        <w:t xml:space="preserve"> </w:t>
      </w:r>
      <w:r w:rsidR="00AB2930">
        <w:t>1) </w:t>
      </w:r>
      <w:r w:rsidR="00905333">
        <w:t xml:space="preserve">finansinės </w:t>
      </w:r>
      <w:r w:rsidR="00AB2930">
        <w:t xml:space="preserve">ribos tarp </w:t>
      </w:r>
      <w:r w:rsidR="00954132">
        <w:t xml:space="preserve">nedarbo draudimo išmokas </w:t>
      </w:r>
      <w:r w:rsidR="00954132" w:rsidRPr="00BC0F15">
        <w:rPr>
          <w:i/>
        </w:rPr>
        <w:t>užsidirbančių</w:t>
      </w:r>
      <w:r w:rsidR="00954132">
        <w:t xml:space="preserve"> </w:t>
      </w:r>
      <w:r w:rsidR="00DD48D9">
        <w:t xml:space="preserve">žmonių </w:t>
      </w:r>
      <w:r w:rsidR="00954132">
        <w:t xml:space="preserve">ir </w:t>
      </w:r>
      <w:r w:rsidR="00DD48D9" w:rsidRPr="00DD48D9">
        <w:rPr>
          <w:i/>
        </w:rPr>
        <w:t>tik</w:t>
      </w:r>
      <w:r w:rsidR="00DD48D9">
        <w:t xml:space="preserve"> </w:t>
      </w:r>
      <w:r w:rsidR="00905333">
        <w:t xml:space="preserve">socialines </w:t>
      </w:r>
      <w:r w:rsidR="005D7A9F">
        <w:t xml:space="preserve">pašalpas </w:t>
      </w:r>
      <w:r w:rsidR="005D7A9F" w:rsidRPr="00BC0F15">
        <w:rPr>
          <w:i/>
        </w:rPr>
        <w:t>gaunančių</w:t>
      </w:r>
      <w:r w:rsidR="00814E93">
        <w:t xml:space="preserve"> </w:t>
      </w:r>
      <w:r w:rsidR="001E0D3C">
        <w:t>individų</w:t>
      </w:r>
      <w:r w:rsidR="00F9441A">
        <w:t xml:space="preserve"> didinimas</w:t>
      </w:r>
      <w:r w:rsidR="00905333">
        <w:t>; 2) </w:t>
      </w:r>
      <w:r w:rsidR="00DD48D9">
        <w:t>nuostatų</w:t>
      </w:r>
      <w:r w:rsidR="007C319A">
        <w:t xml:space="preserve">, </w:t>
      </w:r>
      <w:r w:rsidR="001E0D3C">
        <w:t>turinčių</w:t>
      </w:r>
      <w:r w:rsidR="004D53D7">
        <w:t xml:space="preserve"> </w:t>
      </w:r>
      <w:r w:rsidR="00EF10C7">
        <w:rPr>
          <w:i/>
        </w:rPr>
        <w:t xml:space="preserve">didinti </w:t>
      </w:r>
      <w:r w:rsidR="004D53D7" w:rsidRPr="00F102F4">
        <w:rPr>
          <w:i/>
        </w:rPr>
        <w:t>asmeninę atsakomybę</w:t>
      </w:r>
      <w:r w:rsidR="00EF10C7">
        <w:t xml:space="preserve"> bei</w:t>
      </w:r>
      <w:r w:rsidR="001E0D3C">
        <w:t xml:space="preserve"> </w:t>
      </w:r>
      <w:r w:rsidR="007C319A" w:rsidRPr="00BC0F15">
        <w:rPr>
          <w:i/>
        </w:rPr>
        <w:t>drausmin</w:t>
      </w:r>
      <w:r w:rsidR="001E0D3C" w:rsidRPr="00BC0F15">
        <w:rPr>
          <w:i/>
        </w:rPr>
        <w:t>ti</w:t>
      </w:r>
      <w:r w:rsidR="007C319A">
        <w:t xml:space="preserve"> social</w:t>
      </w:r>
      <w:r w:rsidR="000967FA">
        <w:t>in</w:t>
      </w:r>
      <w:r w:rsidR="008B51C4">
        <w:t>ių</w:t>
      </w:r>
      <w:r w:rsidR="001D1BEA">
        <w:t xml:space="preserve"> </w:t>
      </w:r>
      <w:r w:rsidR="008B51C4">
        <w:t xml:space="preserve">pašalpų </w:t>
      </w:r>
      <w:r w:rsidR="001D1BEA">
        <w:t xml:space="preserve">gavėjus, </w:t>
      </w:r>
      <w:r w:rsidR="008B51C4">
        <w:t xml:space="preserve">– </w:t>
      </w:r>
      <w:r w:rsidR="000967FA">
        <w:t xml:space="preserve">jiems netinkamai elgiantis, </w:t>
      </w:r>
      <w:r w:rsidR="008B51C4">
        <w:t xml:space="preserve">– </w:t>
      </w:r>
      <w:r w:rsidR="001D1BEA">
        <w:t>įtvirtinimas</w:t>
      </w:r>
      <w:r w:rsidR="001E0D3C">
        <w:t>; 3) </w:t>
      </w:r>
      <w:r w:rsidR="00A6595F" w:rsidRPr="00BC0F15">
        <w:rPr>
          <w:i/>
        </w:rPr>
        <w:t>priklausomybės</w:t>
      </w:r>
      <w:r w:rsidR="00A6595F">
        <w:t xml:space="preserve"> nuo</w:t>
      </w:r>
      <w:r w:rsidR="00283E80">
        <w:t xml:space="preserve"> </w:t>
      </w:r>
      <w:r w:rsidR="00F102F4">
        <w:t>piniginės socialinės paramos</w:t>
      </w:r>
      <w:r w:rsidR="00E3736E">
        <w:t xml:space="preserve"> mažinimas</w:t>
      </w:r>
      <w:r w:rsidR="00F102F4">
        <w:t>.</w:t>
      </w:r>
    </w:p>
    <w:p w:rsidR="00E60C5F" w:rsidRDefault="00BC0F15" w:rsidP="00404939">
      <w:pPr>
        <w:pStyle w:val="Heading3"/>
      </w:pPr>
      <w:bookmarkStart w:id="51" w:name="_Toc343636894"/>
      <w:r>
        <w:t>Finansinės ribos tarp bedarbių</w:t>
      </w:r>
      <w:r w:rsidR="004C4E02">
        <w:t xml:space="preserve"> ir </w:t>
      </w:r>
      <w:r w:rsidR="00682FD8">
        <w:t xml:space="preserve">skurstančiųjų </w:t>
      </w:r>
      <w:r w:rsidR="004C4E02">
        <w:t>didinimas</w:t>
      </w:r>
      <w:r w:rsidR="00350C1D">
        <w:t>: papildoma išmoka</w:t>
      </w:r>
      <w:bookmarkEnd w:id="51"/>
    </w:p>
    <w:p w:rsidR="004C4E02" w:rsidRDefault="002E4869" w:rsidP="004C4E02">
      <w:r>
        <w:t xml:space="preserve">Kadangi, atlikus analizę, paaiškėjo, jog riba, skirianti </w:t>
      </w:r>
      <w:r w:rsidR="001F7785">
        <w:t>nedarbo draudimo išmok</w:t>
      </w:r>
      <w:r w:rsidR="005D3FB4">
        <w:t>as gaunanči</w:t>
      </w:r>
      <w:r w:rsidR="00036BB2">
        <w:t>us</w:t>
      </w:r>
      <w:r w:rsidR="005D3FB4">
        <w:t xml:space="preserve"> </w:t>
      </w:r>
      <w:r w:rsidR="00036BB2">
        <w:t xml:space="preserve">žmones </w:t>
      </w:r>
      <w:r>
        <w:t xml:space="preserve">nuo </w:t>
      </w:r>
      <w:r w:rsidR="001F7785">
        <w:t>socialin</w:t>
      </w:r>
      <w:r w:rsidR="000D2E2C">
        <w:t>ės pašalpos gavėjų</w:t>
      </w:r>
      <w:r w:rsidR="00487C52">
        <w:t>, nėra</w:t>
      </w:r>
      <w:r w:rsidR="00D01FF7">
        <w:t xml:space="preserve"> </w:t>
      </w:r>
      <w:r w:rsidR="00E12AFB">
        <w:t>itin didelė</w:t>
      </w:r>
      <w:r w:rsidR="00487C52">
        <w:t xml:space="preserve">, </w:t>
      </w:r>
      <w:r w:rsidR="00F3412E">
        <w:t xml:space="preserve">būtina </w:t>
      </w:r>
      <w:r w:rsidR="00487C52">
        <w:t>įtvirtinti tokias</w:t>
      </w:r>
      <w:r w:rsidR="00F3412E">
        <w:t xml:space="preserve"> sąlygas</w:t>
      </w:r>
      <w:r w:rsidR="00FC5720">
        <w:t xml:space="preserve">, kurios ne tik padėtų didinti </w:t>
      </w:r>
      <w:r w:rsidR="00504E7B">
        <w:t xml:space="preserve">finansinę </w:t>
      </w:r>
      <w:r w:rsidR="00FC5720">
        <w:t>gerovę</w:t>
      </w:r>
      <w:r w:rsidR="00656B9E">
        <w:t xml:space="preserve"> to nusipelniusi</w:t>
      </w:r>
      <w:r w:rsidR="006229BF">
        <w:t xml:space="preserve">ems, bet kartu </w:t>
      </w:r>
      <w:r w:rsidR="00656B9E">
        <w:t>sugrąžintų motyvaciją grįžti į darbo rinką.</w:t>
      </w:r>
      <w:r w:rsidR="00463C11">
        <w:t xml:space="preserve"> </w:t>
      </w:r>
      <w:r w:rsidR="00934BE9">
        <w:t>Taigi</w:t>
      </w:r>
      <w:r w:rsidR="00E12AFB">
        <w:t>,</w:t>
      </w:r>
      <w:r w:rsidR="00934BE9">
        <w:t xml:space="preserve"> siūlymas </w:t>
      </w:r>
      <w:r w:rsidR="00DD0B6D">
        <w:t xml:space="preserve">šiai </w:t>
      </w:r>
      <w:r w:rsidR="00E00908">
        <w:t xml:space="preserve">problemai spręsti </w:t>
      </w:r>
      <w:r w:rsidR="00934BE9">
        <w:t>būtų</w:t>
      </w:r>
      <w:r w:rsidR="009464A5">
        <w:t xml:space="preserve"> toks</w:t>
      </w:r>
      <w:r w:rsidR="00072A13">
        <w:t>:</w:t>
      </w:r>
      <w:r w:rsidR="00934BE9">
        <w:t xml:space="preserve"> modifik</w:t>
      </w:r>
      <w:r w:rsidR="00072A13">
        <w:t>avus</w:t>
      </w:r>
      <w:r w:rsidR="00934BE9">
        <w:t xml:space="preserve"> </w:t>
      </w:r>
      <w:r w:rsidR="00350C1D">
        <w:t>kitose</w:t>
      </w:r>
      <w:r w:rsidR="00DD0B6D">
        <w:t xml:space="preserve"> šalyse </w:t>
      </w:r>
      <w:r w:rsidR="009464A5">
        <w:t>taikomų</w:t>
      </w:r>
      <w:r w:rsidR="00934BE9">
        <w:t xml:space="preserve"> </w:t>
      </w:r>
      <w:r w:rsidR="00E252FF" w:rsidRPr="00977725">
        <w:rPr>
          <w:i/>
        </w:rPr>
        <w:t xml:space="preserve">nedarbo </w:t>
      </w:r>
      <w:r w:rsidR="00953DB2" w:rsidRPr="00977725">
        <w:rPr>
          <w:i/>
        </w:rPr>
        <w:t>paramos</w:t>
      </w:r>
      <w:r w:rsidR="009464A5">
        <w:rPr>
          <w:i/>
        </w:rPr>
        <w:t xml:space="preserve"> išmokos ir išmokos dirbant</w:t>
      </w:r>
      <w:r w:rsidR="00E6088C">
        <w:t xml:space="preserve"> </w:t>
      </w:r>
      <w:r w:rsidR="00934BE9">
        <w:t>sąlygas</w:t>
      </w:r>
      <w:r w:rsidR="00072A13">
        <w:t xml:space="preserve">, </w:t>
      </w:r>
      <w:r w:rsidR="00EF210D">
        <w:t>t</w:t>
      </w:r>
      <w:r w:rsidR="00620151">
        <w:t>ačiau</w:t>
      </w:r>
      <w:r w:rsidR="006D5EFD">
        <w:t xml:space="preserve"> </w:t>
      </w:r>
      <w:r w:rsidR="00E54BD7">
        <w:t>išlaikius t</w:t>
      </w:r>
      <w:r w:rsidR="005D15A2">
        <w:t>ą</w:t>
      </w:r>
      <w:r w:rsidR="00E54BD7">
        <w:t xml:space="preserve"> pa</w:t>
      </w:r>
      <w:r w:rsidR="005D15A2">
        <w:t>tį</w:t>
      </w:r>
      <w:r w:rsidR="00E54BD7">
        <w:t xml:space="preserve"> tikslą</w:t>
      </w:r>
      <w:r w:rsidR="001E01E7">
        <w:t xml:space="preserve">, t. y. </w:t>
      </w:r>
      <w:r w:rsidR="00620151">
        <w:t>užtikrin</w:t>
      </w:r>
      <w:r w:rsidR="00D02C62">
        <w:t xml:space="preserve">ti minimalias </w:t>
      </w:r>
      <w:r w:rsidR="006D5EFD">
        <w:t>pajamas</w:t>
      </w:r>
      <w:r w:rsidR="00A0318C">
        <w:t xml:space="preserve"> ir </w:t>
      </w:r>
      <w:r w:rsidR="00620151">
        <w:t xml:space="preserve">kartu </w:t>
      </w:r>
      <w:r w:rsidR="00A0318C">
        <w:t>paskatinti greičiau išeiti iš socialinės</w:t>
      </w:r>
      <w:r w:rsidR="00485EAC">
        <w:t xml:space="preserve"> </w:t>
      </w:r>
      <w:r w:rsidR="00620151">
        <w:t>apsaugos sistemos</w:t>
      </w:r>
      <w:r w:rsidR="006D5EFD">
        <w:t xml:space="preserve">, </w:t>
      </w:r>
      <w:r w:rsidR="00C71AFE">
        <w:t xml:space="preserve">sudaryti galimybę gauti </w:t>
      </w:r>
      <w:r w:rsidR="00E00908" w:rsidRPr="009C4BE2">
        <w:t>papildomą</w:t>
      </w:r>
      <w:r w:rsidR="00485EAC">
        <w:t xml:space="preserve"> nedarbo draudimo</w:t>
      </w:r>
      <w:r w:rsidR="00E00908" w:rsidRPr="009C4BE2">
        <w:t xml:space="preserve"> išmoką</w:t>
      </w:r>
      <w:r w:rsidR="00E00908">
        <w:t xml:space="preserve"> tiems</w:t>
      </w:r>
      <w:r w:rsidR="006D5E15">
        <w:t xml:space="preserve"> žmonėms</w:t>
      </w:r>
      <w:r w:rsidR="00E00908">
        <w:t>, kuri</w:t>
      </w:r>
      <w:r w:rsidR="00830CAC">
        <w:t>e įsidarbintų anksčiau laiko</w:t>
      </w:r>
      <w:r w:rsidR="006D3860">
        <w:t>,</w:t>
      </w:r>
      <w:r w:rsidR="00830CAC">
        <w:t xml:space="preserve"> ne</w:t>
      </w:r>
      <w:r w:rsidR="00EF210D">
        <w:t>gu</w:t>
      </w:r>
      <w:r w:rsidR="00A81F21">
        <w:t xml:space="preserve"> baigtųsi</w:t>
      </w:r>
      <w:r w:rsidR="00830CAC">
        <w:t xml:space="preserve"> nedarbo draudimo išmokos mokėjimo</w:t>
      </w:r>
      <w:r w:rsidR="00E026A8">
        <w:t xml:space="preserve"> terminas</w:t>
      </w:r>
      <w:r w:rsidR="00830CAC">
        <w:t>.</w:t>
      </w:r>
    </w:p>
    <w:p w:rsidR="005F343C" w:rsidRDefault="00743FC8" w:rsidP="004C4E02">
      <w:r>
        <w:rPr>
          <w:b/>
          <w:i/>
        </w:rPr>
        <w:t>Pagrindinės s</w:t>
      </w:r>
      <w:r w:rsidR="001C185F" w:rsidRPr="00C677AA">
        <w:rPr>
          <w:b/>
          <w:i/>
        </w:rPr>
        <w:t>ąlygos</w:t>
      </w:r>
      <w:r w:rsidR="00C677AA" w:rsidRPr="00C677AA">
        <w:rPr>
          <w:b/>
          <w:i/>
        </w:rPr>
        <w:t xml:space="preserve"> papildomai </w:t>
      </w:r>
      <w:r>
        <w:rPr>
          <w:b/>
          <w:i/>
        </w:rPr>
        <w:t xml:space="preserve">nedarbo draudimo </w:t>
      </w:r>
      <w:r w:rsidR="00C677AA" w:rsidRPr="00C677AA">
        <w:rPr>
          <w:b/>
          <w:i/>
        </w:rPr>
        <w:t>išmokai gauti</w:t>
      </w:r>
      <w:r w:rsidR="00C677AA">
        <w:t xml:space="preserve"> galėtų būti tokios:</w:t>
      </w:r>
      <w:r w:rsidR="003B713E">
        <w:t xml:space="preserve"> 1) </w:t>
      </w:r>
      <w:r>
        <w:t>individas</w:t>
      </w:r>
      <w:r w:rsidR="00EA70C3">
        <w:t>, gaunantis nedarbo draudimo išmoką, turėtų</w:t>
      </w:r>
      <w:r w:rsidR="00CE757C">
        <w:t xml:space="preserve"> užtikrinti</w:t>
      </w:r>
      <w:r w:rsidR="00AC4194">
        <w:t>, jog jis</w:t>
      </w:r>
      <w:r w:rsidR="00CE757C">
        <w:t xml:space="preserve"> </w:t>
      </w:r>
      <w:r w:rsidR="00AC4194">
        <w:t>papildom</w:t>
      </w:r>
      <w:r w:rsidR="00B30F3F">
        <w:t>os</w:t>
      </w:r>
      <w:r w:rsidR="00AC4194">
        <w:t xml:space="preserve"> išmok</w:t>
      </w:r>
      <w:r w:rsidR="00B30F3F">
        <w:t>os</w:t>
      </w:r>
      <w:r w:rsidR="00AC4194">
        <w:t xml:space="preserve"> siekia </w:t>
      </w:r>
      <w:r w:rsidR="00B30F3F" w:rsidRPr="00BE7348">
        <w:rPr>
          <w:i/>
        </w:rPr>
        <w:t>dėl efektyvesnės integracijos</w:t>
      </w:r>
      <w:r w:rsidR="00B30F3F">
        <w:t xml:space="preserve"> į darbo rinką, o </w:t>
      </w:r>
      <w:r w:rsidR="00AC4194">
        <w:t>ne dėl</w:t>
      </w:r>
      <w:r w:rsidR="0029334C">
        <w:t xml:space="preserve"> </w:t>
      </w:r>
      <w:r w:rsidR="00314D79">
        <w:t xml:space="preserve">grynųjų pinigų kiekio </w:t>
      </w:r>
      <w:r w:rsidR="0029334C">
        <w:t xml:space="preserve">einamuoju </w:t>
      </w:r>
      <w:r w:rsidR="00B927AA">
        <w:t>moment</w:t>
      </w:r>
      <w:r w:rsidR="0029334C">
        <w:t>u</w:t>
      </w:r>
      <w:r w:rsidR="00CE757C">
        <w:t xml:space="preserve"> padidėjimo</w:t>
      </w:r>
      <w:r w:rsidR="0026767D">
        <w:t xml:space="preserve">, </w:t>
      </w:r>
      <w:r w:rsidR="00B927AA">
        <w:t>kitaip tariant, –</w:t>
      </w:r>
      <w:r w:rsidR="00F10BA9">
        <w:t xml:space="preserve"> tokiais atvejai</w:t>
      </w:r>
      <w:r w:rsidR="00314D79">
        <w:t>s, kai</w:t>
      </w:r>
      <w:r w:rsidR="002D45F8">
        <w:t>, pasibaigus papildomos išmokos mokėjimo</w:t>
      </w:r>
      <w:r w:rsidR="00AF33C2">
        <w:t xml:space="preserve"> </w:t>
      </w:r>
      <w:r w:rsidR="00AF33C2" w:rsidRPr="00FC6D65">
        <w:t>terminui</w:t>
      </w:r>
      <w:r w:rsidR="002D45F8" w:rsidRPr="00FC6D65">
        <w:t xml:space="preserve">, </w:t>
      </w:r>
      <w:r w:rsidR="00470D47" w:rsidRPr="00FC6D65">
        <w:t>žmogus</w:t>
      </w:r>
      <w:r w:rsidR="00F5208B">
        <w:rPr>
          <w:i/>
        </w:rPr>
        <w:t xml:space="preserve"> specialiai</w:t>
      </w:r>
      <w:r w:rsidR="00F5208B" w:rsidRPr="00F5208B">
        <w:rPr>
          <w:rStyle w:val="FootnoteReference"/>
        </w:rPr>
        <w:footnoteReference w:id="25"/>
      </w:r>
      <w:r w:rsidR="00AF33C2" w:rsidRPr="00FC6D65">
        <w:t xml:space="preserve"> </w:t>
      </w:r>
      <w:r w:rsidR="002D45F8" w:rsidRPr="00FC6D65">
        <w:t>pasitrauktų iš darbo rinkos</w:t>
      </w:r>
      <w:r w:rsidR="00470D47" w:rsidRPr="00FC6D65">
        <w:t>,</w:t>
      </w:r>
      <w:r w:rsidR="0075162C" w:rsidRPr="00FC6D65">
        <w:t xml:space="preserve"> </w:t>
      </w:r>
      <w:r w:rsidR="00AF33C2" w:rsidRPr="00FC6D65">
        <w:t>visa jam išmokėta</w:t>
      </w:r>
      <w:r w:rsidR="000D29A8">
        <w:t xml:space="preserve"> </w:t>
      </w:r>
      <w:r w:rsidR="00F10BA9">
        <w:t xml:space="preserve">pinigų </w:t>
      </w:r>
      <w:r w:rsidR="000D29A8">
        <w:t>suma turėtų būti grąžinta papildomą išmoką</w:t>
      </w:r>
      <w:r w:rsidR="00F10BA9">
        <w:t xml:space="preserve"> mokėjusiai įstaigai</w:t>
      </w:r>
      <w:r w:rsidR="00987598" w:rsidRPr="00FC6D65">
        <w:t>; 2) </w:t>
      </w:r>
      <w:r w:rsidR="00CE190D">
        <w:t xml:space="preserve">teisę į papildomą išmoką būtų galima įgyti, </w:t>
      </w:r>
      <w:r w:rsidR="004207AA">
        <w:t>darbo užmokesčiui</w:t>
      </w:r>
      <w:r w:rsidR="00570AD3">
        <w:t xml:space="preserve"> </w:t>
      </w:r>
      <w:r w:rsidR="004207AA">
        <w:t>esant ne didesniam</w:t>
      </w:r>
      <w:r w:rsidR="00570AD3">
        <w:t xml:space="preserve"> kaip</w:t>
      </w:r>
      <w:r w:rsidR="00CF5A46" w:rsidRPr="00FC6D65">
        <w:t xml:space="preserve"> </w:t>
      </w:r>
      <w:r w:rsidR="00570AD3">
        <w:t>1,</w:t>
      </w:r>
      <w:r w:rsidR="00D6475E">
        <w:t>8</w:t>
      </w:r>
      <w:r w:rsidR="005375A8">
        <w:t xml:space="preserve"> min</w:t>
      </w:r>
      <w:r w:rsidR="00E53B22">
        <w:t>imalios mėnesinės algos dydžio</w:t>
      </w:r>
      <w:r w:rsidR="00DE4F2A">
        <w:t xml:space="preserve">, – </w:t>
      </w:r>
      <w:r w:rsidR="005375A8">
        <w:t>kai įsidarbintų vienas gyvenantis asmuo</w:t>
      </w:r>
      <w:r w:rsidR="00DE4F2A">
        <w:t>;</w:t>
      </w:r>
      <w:r w:rsidR="00E53B22">
        <w:t xml:space="preserve"> arba ne didesniam</w:t>
      </w:r>
      <w:r w:rsidR="00C01665">
        <w:t xml:space="preserve"> kaip</w:t>
      </w:r>
      <w:r w:rsidR="00570AD3">
        <w:t xml:space="preserve"> </w:t>
      </w:r>
      <w:r w:rsidR="00FC6D65" w:rsidRPr="00FC6D65">
        <w:t>2</w:t>
      </w:r>
      <w:r w:rsidR="00CF5A46" w:rsidRPr="00FC6D65">
        <w:t xml:space="preserve"> minimali</w:t>
      </w:r>
      <w:r w:rsidR="00E53B22">
        <w:t>os mėnesinės algos</w:t>
      </w:r>
      <w:r w:rsidR="00DE4F2A">
        <w:t xml:space="preserve">, – </w:t>
      </w:r>
      <w:r w:rsidR="00C6380A">
        <w:t>kai įsidarbintų</w:t>
      </w:r>
      <w:r w:rsidR="00DE7757">
        <w:t xml:space="preserve"> žmogus</w:t>
      </w:r>
      <w:r w:rsidR="00721AE1">
        <w:t>,</w:t>
      </w:r>
      <w:r w:rsidR="001432AD">
        <w:t xml:space="preserve"> iš savo </w:t>
      </w:r>
      <w:r w:rsidR="00D72C31">
        <w:t xml:space="preserve">pajamų </w:t>
      </w:r>
      <w:r w:rsidR="00B8056F">
        <w:t>išlaikantis kitus asmenis</w:t>
      </w:r>
      <w:r w:rsidR="001D51B8">
        <w:t>; 3) </w:t>
      </w:r>
      <w:r w:rsidR="001F0D03">
        <w:t xml:space="preserve">individas </w:t>
      </w:r>
      <w:r w:rsidR="00173D2D">
        <w:t xml:space="preserve">privalėtų </w:t>
      </w:r>
      <w:r w:rsidR="001F0D03">
        <w:t xml:space="preserve">įsidarbinti </w:t>
      </w:r>
      <w:r w:rsidR="001D51B8">
        <w:t xml:space="preserve">anksčiau </w:t>
      </w:r>
      <w:r w:rsidR="001F0D03">
        <w:t>laiko</w:t>
      </w:r>
      <w:r w:rsidR="00721AE1">
        <w:t>,</w:t>
      </w:r>
      <w:r w:rsidR="00173D2D">
        <w:t xml:space="preserve"> nei</w:t>
      </w:r>
      <w:r w:rsidR="001F0D03">
        <w:t xml:space="preserve"> baigtųsi</w:t>
      </w:r>
      <w:r w:rsidR="001D51B8">
        <w:t xml:space="preserve"> nedarbo drau</w:t>
      </w:r>
      <w:r w:rsidR="00500E9F">
        <w:t>dimo išmokos mokėjimo</w:t>
      </w:r>
      <w:r w:rsidR="001432AD">
        <w:t xml:space="preserve"> terminas</w:t>
      </w:r>
      <w:r w:rsidR="000A3399">
        <w:t>, t. y.: jei</w:t>
      </w:r>
      <w:r w:rsidR="00A85B88">
        <w:t>gu</w:t>
      </w:r>
      <w:r w:rsidR="000A3399">
        <w:t xml:space="preserve"> ž</w:t>
      </w:r>
      <w:r w:rsidR="00173D2D">
        <w:t>mogus buvo įgijęs teisę į 6 mėnesių</w:t>
      </w:r>
      <w:r w:rsidR="000A3399">
        <w:t xml:space="preserve"> trukmės nedarbo </w:t>
      </w:r>
      <w:r w:rsidR="00500E9F">
        <w:t>draudimo išmoką, jis turėtų įsidarbinti</w:t>
      </w:r>
      <w:r w:rsidR="00B448B7">
        <w:t xml:space="preserve"> </w:t>
      </w:r>
      <w:r w:rsidR="00173D2D">
        <w:t>iki penkto išmokos mokėjimo mėnesio</w:t>
      </w:r>
      <w:r w:rsidR="00B448B7">
        <w:t xml:space="preserve"> pabaigos; </w:t>
      </w:r>
      <w:r w:rsidR="00334CBE">
        <w:t>jei</w:t>
      </w:r>
      <w:r w:rsidR="00A85B88">
        <w:t>gu</w:t>
      </w:r>
      <w:r w:rsidR="00173D2D">
        <w:t xml:space="preserve"> teisė buvo įgyta 7 mėnesiams</w:t>
      </w:r>
      <w:r w:rsidR="00334CBE">
        <w:t xml:space="preserve">, tada įsidarbinti </w:t>
      </w:r>
      <w:r w:rsidR="00A76F08">
        <w:t>reik</w:t>
      </w:r>
      <w:r w:rsidR="00A85B88">
        <w:t>ė</w:t>
      </w:r>
      <w:r w:rsidR="00A76F08">
        <w:t xml:space="preserve">tų </w:t>
      </w:r>
      <w:r w:rsidR="00334CBE">
        <w:t xml:space="preserve">iki šešto </w:t>
      </w:r>
      <w:r w:rsidR="002F4575">
        <w:t xml:space="preserve">išmokos mokėjimo </w:t>
      </w:r>
      <w:r w:rsidR="00334CBE">
        <w:t>mėn</w:t>
      </w:r>
      <w:r w:rsidR="00A25D4C">
        <w:t>esio</w:t>
      </w:r>
      <w:r w:rsidR="002F4575">
        <w:t xml:space="preserve"> pabaigos; jei </w:t>
      </w:r>
      <w:r w:rsidR="009A2007">
        <w:t xml:space="preserve">teisė buvo įgyta </w:t>
      </w:r>
      <w:r w:rsidR="00A25D4C">
        <w:t>8 mėnesiams</w:t>
      </w:r>
      <w:r w:rsidR="007730F2">
        <w:t xml:space="preserve"> –</w:t>
      </w:r>
      <w:r w:rsidR="00342DEE">
        <w:t xml:space="preserve"> </w:t>
      </w:r>
      <w:r w:rsidR="007730F2">
        <w:t>iki septinto</w:t>
      </w:r>
      <w:r w:rsidR="009A2007">
        <w:t xml:space="preserve"> i</w:t>
      </w:r>
      <w:r w:rsidR="00A25D4C">
        <w:t>šmokos mokėjimo mėnesio</w:t>
      </w:r>
      <w:r w:rsidR="00A85B88">
        <w:t xml:space="preserve"> pabaigos;</w:t>
      </w:r>
      <w:r w:rsidR="009A2007">
        <w:t xml:space="preserve"> jei</w:t>
      </w:r>
      <w:r w:rsidR="00A76F08">
        <w:t xml:space="preserve"> </w:t>
      </w:r>
      <w:r w:rsidR="00A25D4C">
        <w:t xml:space="preserve">teisė buvo įgyta </w:t>
      </w:r>
      <w:r w:rsidR="00342DEE">
        <w:t>9 mėnesiams</w:t>
      </w:r>
      <w:r w:rsidR="00A76F08">
        <w:t xml:space="preserve"> – i</w:t>
      </w:r>
      <w:r w:rsidR="00342DEE">
        <w:t>ki aštunto išmokos mokėjimo mėnesio</w:t>
      </w:r>
      <w:r w:rsidR="00A76F08">
        <w:t xml:space="preserve"> pabaigos.</w:t>
      </w:r>
      <w:r w:rsidR="005F343C">
        <w:t xml:space="preserve"> </w:t>
      </w:r>
      <w:r w:rsidR="00BE7348">
        <w:t>Tenkinant šias sąlygas</w:t>
      </w:r>
      <w:r w:rsidR="00295868">
        <w:t xml:space="preserve">, </w:t>
      </w:r>
      <w:r w:rsidR="00542B07">
        <w:t>nedarbo draudimo išmok</w:t>
      </w:r>
      <w:r w:rsidR="007A2652">
        <w:t>ą</w:t>
      </w:r>
      <w:r w:rsidR="00542B07">
        <w:t xml:space="preserve"> gavęs</w:t>
      </w:r>
      <w:r w:rsidR="00C60A25">
        <w:t xml:space="preserve"> </w:t>
      </w:r>
      <w:r w:rsidR="00377906">
        <w:t xml:space="preserve">žmogus </w:t>
      </w:r>
      <w:r w:rsidR="00C60A25">
        <w:t>galėtų</w:t>
      </w:r>
      <w:r w:rsidR="000A05AC">
        <w:t xml:space="preserve"> įgyti teisę į</w:t>
      </w:r>
      <w:r w:rsidR="00984265">
        <w:t xml:space="preserve"> </w:t>
      </w:r>
      <w:r w:rsidR="00EA2599">
        <w:t xml:space="preserve">papildomą </w:t>
      </w:r>
      <w:r w:rsidR="00DD78ED">
        <w:t>išmoką, kuri būtų lyg</w:t>
      </w:r>
      <w:r w:rsidR="009176CD">
        <w:t>i</w:t>
      </w:r>
      <w:r w:rsidR="00DD78ED">
        <w:t xml:space="preserve"> </w:t>
      </w:r>
      <w:r w:rsidR="00984265">
        <w:t>40-70 proc.</w:t>
      </w:r>
      <w:r w:rsidR="00DD78ED">
        <w:t xml:space="preserve"> </w:t>
      </w:r>
      <w:r w:rsidR="00984265">
        <w:t xml:space="preserve">dydžio </w:t>
      </w:r>
      <w:r w:rsidR="00984265" w:rsidRPr="009176CD">
        <w:rPr>
          <w:i/>
        </w:rPr>
        <w:t>paskutinį</w:t>
      </w:r>
      <w:r w:rsidR="00056811" w:rsidRPr="009176CD">
        <w:rPr>
          <w:i/>
        </w:rPr>
        <w:t>jį</w:t>
      </w:r>
      <w:r w:rsidR="00984265" w:rsidRPr="009176CD">
        <w:rPr>
          <w:i/>
        </w:rPr>
        <w:t xml:space="preserve"> </w:t>
      </w:r>
      <w:r w:rsidR="00984265" w:rsidRPr="00377906">
        <w:rPr>
          <w:i/>
        </w:rPr>
        <w:t xml:space="preserve">mėnesį </w:t>
      </w:r>
      <w:r w:rsidR="00A57805" w:rsidRPr="00377906">
        <w:rPr>
          <w:i/>
        </w:rPr>
        <w:t>iki įsidarbinimo</w:t>
      </w:r>
      <w:r w:rsidR="00A57805">
        <w:t xml:space="preserve"> </w:t>
      </w:r>
      <w:r w:rsidR="00984265">
        <w:t>mokėt</w:t>
      </w:r>
      <w:r w:rsidR="00A57805">
        <w:t>ai</w:t>
      </w:r>
      <w:r w:rsidR="00EA2599">
        <w:t xml:space="preserve"> nedarbo</w:t>
      </w:r>
      <w:r w:rsidR="00A57805">
        <w:t xml:space="preserve"> draudimo </w:t>
      </w:r>
      <w:r w:rsidR="00A57805" w:rsidRPr="00451B9C">
        <w:t>išmokai</w:t>
      </w:r>
      <w:r w:rsidR="00377906" w:rsidRPr="00451B9C">
        <w:t xml:space="preserve"> (žr. 11 priedą)</w:t>
      </w:r>
      <w:r w:rsidR="00A57805" w:rsidRPr="00451B9C">
        <w:t>.</w:t>
      </w:r>
    </w:p>
    <w:p w:rsidR="00D80DC2" w:rsidRPr="00B65A94" w:rsidRDefault="00DE79DA" w:rsidP="00D80DC2">
      <w:r>
        <w:lastRenderedPageBreak/>
        <w:t>Reikėtų atkreipti dėmesį, jog t</w:t>
      </w:r>
      <w:r w:rsidR="008C2D15">
        <w:t>oki</w:t>
      </w:r>
      <w:r w:rsidR="00264ABC">
        <w:t>a</w:t>
      </w:r>
      <w:r w:rsidR="008C2D15">
        <w:t xml:space="preserve"> schem</w:t>
      </w:r>
      <w:r w:rsidR="00264ABC">
        <w:t>a</w:t>
      </w:r>
      <w:r w:rsidR="008C2D15">
        <w:t xml:space="preserve"> </w:t>
      </w:r>
      <w:r w:rsidR="00264ABC">
        <w:t xml:space="preserve">pasirinkta </w:t>
      </w:r>
      <w:r w:rsidR="008C2D15">
        <w:t>dėl to, jog</w:t>
      </w:r>
      <w:r w:rsidR="00264ABC">
        <w:t xml:space="preserve"> </w:t>
      </w:r>
      <w:r w:rsidR="00AF4E3E" w:rsidRPr="002675FE">
        <w:rPr>
          <w:b/>
          <w:i/>
        </w:rPr>
        <w:t xml:space="preserve">bedarbis </w:t>
      </w:r>
      <w:r w:rsidR="00264ABC" w:rsidRPr="002675FE">
        <w:rPr>
          <w:b/>
          <w:i/>
        </w:rPr>
        <w:t>būtų skatinamas greičiau</w:t>
      </w:r>
      <w:r w:rsidR="00AF4E3E" w:rsidRPr="002675FE">
        <w:rPr>
          <w:b/>
          <w:i/>
        </w:rPr>
        <w:t xml:space="preserve"> grįžti į darbo rinką</w:t>
      </w:r>
      <w:r w:rsidR="00264ABC">
        <w:t xml:space="preserve">: </w:t>
      </w:r>
      <w:r w:rsidR="003368B7">
        <w:t>pagal šiuo metu galiojantį</w:t>
      </w:r>
      <w:r w:rsidR="0076505A">
        <w:t xml:space="preserve"> įstatym</w:t>
      </w:r>
      <w:r w:rsidR="003368B7">
        <w:t>ą</w:t>
      </w:r>
      <w:r w:rsidR="0089174F">
        <w:rPr>
          <w:rStyle w:val="FootnoteReference"/>
        </w:rPr>
        <w:footnoteReference w:id="26"/>
      </w:r>
      <w:r w:rsidR="008F12A6" w:rsidRPr="008F12A6">
        <w:t xml:space="preserve"> </w:t>
      </w:r>
      <w:r w:rsidR="008F12A6">
        <w:t xml:space="preserve">nedarbo išmoka </w:t>
      </w:r>
      <w:r w:rsidR="00264ABC">
        <w:t>mažinama</w:t>
      </w:r>
      <w:r w:rsidR="00D26638">
        <w:t>,</w:t>
      </w:r>
      <w:r w:rsidR="0082502A" w:rsidRPr="0082502A">
        <w:t xml:space="preserve"> </w:t>
      </w:r>
      <w:r w:rsidR="003368B7">
        <w:t>praėjus 3</w:t>
      </w:r>
      <w:r w:rsidR="00AE11B6">
        <w:t xml:space="preserve"> išmokos mokėjimo mėnesiams</w:t>
      </w:r>
      <w:r w:rsidR="008F12A6">
        <w:t xml:space="preserve">, </w:t>
      </w:r>
      <w:r w:rsidR="0089174F">
        <w:t>o tai reiškia</w:t>
      </w:r>
      <w:r w:rsidR="00056811">
        <w:t xml:space="preserve">, </w:t>
      </w:r>
      <w:r w:rsidR="0089174F">
        <w:t xml:space="preserve">jog, </w:t>
      </w:r>
      <w:r w:rsidR="00056811">
        <w:t>norint patirti didesn</w:t>
      </w:r>
      <w:r w:rsidR="00B65A94">
        <w:t xml:space="preserve">ę </w:t>
      </w:r>
      <w:r w:rsidR="003368B7">
        <w:t xml:space="preserve">finansinę </w:t>
      </w:r>
      <w:r w:rsidR="00B65A94">
        <w:t>gerovę</w:t>
      </w:r>
      <w:r w:rsidR="00056811">
        <w:t>,</w:t>
      </w:r>
      <w:r w:rsidR="00D3521A">
        <w:t xml:space="preserve"> </w:t>
      </w:r>
      <w:r w:rsidR="00EC395E">
        <w:t xml:space="preserve">pradėti dirbti reikėtų </w:t>
      </w:r>
      <w:r w:rsidR="00D3521A">
        <w:t>p</w:t>
      </w:r>
      <w:r w:rsidR="007035D0">
        <w:t xml:space="preserve">er pirmus </w:t>
      </w:r>
      <w:r w:rsidR="007C75F6">
        <w:t>3</w:t>
      </w:r>
      <w:r w:rsidR="007035D0">
        <w:t xml:space="preserve"> išmokos mokėjimo</w:t>
      </w:r>
      <w:r w:rsidR="002675FE">
        <w:t xml:space="preserve"> mėnesius</w:t>
      </w:r>
      <w:r w:rsidR="00042B39">
        <w:t xml:space="preserve"> </w:t>
      </w:r>
      <w:r w:rsidR="002675FE">
        <w:t xml:space="preserve">– </w:t>
      </w:r>
      <w:r w:rsidR="00292399">
        <w:t>nes</w:t>
      </w:r>
      <w:r w:rsidR="002675FE">
        <w:t>,</w:t>
      </w:r>
      <w:r w:rsidR="007C75F6">
        <w:t xml:space="preserve"> tokiu atveju</w:t>
      </w:r>
      <w:r w:rsidR="002675FE">
        <w:t>,</w:t>
      </w:r>
      <w:r w:rsidR="007C75F6">
        <w:t xml:space="preserve"> </w:t>
      </w:r>
      <w:r w:rsidR="009D6C1E">
        <w:t>būtų įgyta teisė į didesnio dydžio papildom</w:t>
      </w:r>
      <w:r w:rsidR="003872EA">
        <w:t>ą</w:t>
      </w:r>
      <w:r w:rsidR="009D6C1E">
        <w:t xml:space="preserve"> išmok</w:t>
      </w:r>
      <w:r w:rsidR="003872EA">
        <w:t>ą</w:t>
      </w:r>
      <w:r w:rsidR="009D6C1E">
        <w:t>.</w:t>
      </w:r>
      <w:r w:rsidR="00D14FB8">
        <w:t xml:space="preserve"> </w:t>
      </w:r>
      <w:r w:rsidR="00066F62">
        <w:t xml:space="preserve">Kad pastangos </w:t>
      </w:r>
      <w:r w:rsidR="008A0FDF">
        <w:t xml:space="preserve">įsidarbinti </w:t>
      </w:r>
      <w:r w:rsidR="00066F62">
        <w:t xml:space="preserve">būtų </w:t>
      </w:r>
      <w:r w:rsidR="007C75F6">
        <w:t xml:space="preserve">dar </w:t>
      </w:r>
      <w:r w:rsidR="00066F62">
        <w:t xml:space="preserve">aktyvesnės, </w:t>
      </w:r>
      <w:r w:rsidR="00066F62" w:rsidRPr="00994B92">
        <w:rPr>
          <w:i/>
        </w:rPr>
        <w:t>siūloma nustatyti ir skirtingus</w:t>
      </w:r>
      <w:r w:rsidR="00F72BE8" w:rsidRPr="00994B92">
        <w:rPr>
          <w:i/>
        </w:rPr>
        <w:t xml:space="preserve"> papildomos</w:t>
      </w:r>
      <w:r w:rsidR="00066F62" w:rsidRPr="00994B92">
        <w:rPr>
          <w:i/>
        </w:rPr>
        <w:t xml:space="preserve"> išmokos mokėjimo </w:t>
      </w:r>
      <w:r w:rsidR="008A0FDF" w:rsidRPr="00451B9C">
        <w:rPr>
          <w:i/>
        </w:rPr>
        <w:t>terminus</w:t>
      </w:r>
      <w:r w:rsidR="008A0FDF" w:rsidRPr="00451B9C">
        <w:t xml:space="preserve"> </w:t>
      </w:r>
      <w:r w:rsidR="007C75F6" w:rsidRPr="00451B9C">
        <w:t>(žr. 11 priedą)</w:t>
      </w:r>
      <w:r w:rsidR="00066F62" w:rsidRPr="00451B9C">
        <w:t>:</w:t>
      </w:r>
      <w:r w:rsidR="00F72BE8">
        <w:t xml:space="preserve"> </w:t>
      </w:r>
      <w:r w:rsidR="00D80DC2">
        <w:t>jeigu</w:t>
      </w:r>
      <w:r w:rsidR="00F72BE8">
        <w:t xml:space="preserve"> bedarbis</w:t>
      </w:r>
      <w:r w:rsidR="00D80DC2">
        <w:t>, turintis teisę į 6-7 mėn</w:t>
      </w:r>
      <w:r w:rsidR="00F72BE8">
        <w:t>esių</w:t>
      </w:r>
      <w:r w:rsidR="00D80DC2">
        <w:t xml:space="preserve"> trukmės nedarbo draudimo išmoką, įsidarbintų per pirmus 3 mėn</w:t>
      </w:r>
      <w:r w:rsidR="0014471F">
        <w:t>esius</w:t>
      </w:r>
      <w:r w:rsidR="00D80DC2">
        <w:t>, t</w:t>
      </w:r>
      <w:r w:rsidR="0014471F">
        <w:t>ada</w:t>
      </w:r>
      <w:r w:rsidR="00D80DC2">
        <w:t xml:space="preserve"> papildoma išmoka jam būtų mokama 5</w:t>
      </w:r>
      <w:r w:rsidR="0014471F">
        <w:t> mėnesius</w:t>
      </w:r>
      <w:r w:rsidR="002165AC">
        <w:t xml:space="preserve"> iš eilės;</w:t>
      </w:r>
      <w:r w:rsidR="00D80DC2">
        <w:t xml:space="preserve"> jei</w:t>
      </w:r>
      <w:r w:rsidR="002165AC">
        <w:t>gu</w:t>
      </w:r>
      <w:r w:rsidR="00D80DC2">
        <w:t xml:space="preserve"> įsidarbinti pavyktų tik per 4-6-tą </w:t>
      </w:r>
      <w:r w:rsidR="00ED690D">
        <w:t xml:space="preserve">šios </w:t>
      </w:r>
      <w:r w:rsidR="00D70D52">
        <w:t>išmokos mokėjimo mėnesį, tuomet</w:t>
      </w:r>
      <w:r w:rsidR="00D80DC2">
        <w:t xml:space="preserve"> pap</w:t>
      </w:r>
      <w:r w:rsidR="002165AC">
        <w:t>ildoma išmoka būtų mokama 2 mėnesius</w:t>
      </w:r>
      <w:r w:rsidR="00994B92">
        <w:t xml:space="preserve">; bedarbiui, </w:t>
      </w:r>
      <w:r w:rsidR="00B50452">
        <w:t xml:space="preserve">kuris turėjo </w:t>
      </w:r>
      <w:r w:rsidR="00994B92">
        <w:t>teisę į 8–9 mėnesių</w:t>
      </w:r>
      <w:r w:rsidR="00D80DC2">
        <w:t xml:space="preserve"> trukmės nedarbo išmoką, </w:t>
      </w:r>
      <w:r w:rsidR="00BD254D">
        <w:t xml:space="preserve">įsidarbinus per pirmus 4 mėnesius, </w:t>
      </w:r>
      <w:r w:rsidR="00D80DC2">
        <w:t>papildoma išmoka būtų mokama 7</w:t>
      </w:r>
      <w:r w:rsidR="00D608EF">
        <w:t xml:space="preserve"> mėnesius, o</w:t>
      </w:r>
      <w:r w:rsidR="008A0FDF">
        <w:t>,</w:t>
      </w:r>
      <w:r w:rsidR="00D608EF">
        <w:t xml:space="preserve"> įsidarbinus</w:t>
      </w:r>
      <w:r w:rsidR="00B50452">
        <w:t xml:space="preserve"> kiek vėliau</w:t>
      </w:r>
      <w:r w:rsidR="008A0FDF">
        <w:t>,</w:t>
      </w:r>
      <w:r w:rsidR="00D608EF">
        <w:t xml:space="preserve"> – 3 mėnesius</w:t>
      </w:r>
      <w:r w:rsidR="00D80DC2">
        <w:t>.</w:t>
      </w:r>
    </w:p>
    <w:p w:rsidR="00CD2442" w:rsidRDefault="00A14DE8" w:rsidP="004C4E02">
      <w:r>
        <w:t>Kalbant apie p</w:t>
      </w:r>
      <w:r w:rsidR="00F62242">
        <w:t>apildomos išmokos dyd</w:t>
      </w:r>
      <w:r>
        <w:t>žius, reikėtų pasakyti,</w:t>
      </w:r>
      <w:r w:rsidR="00F62242">
        <w:t xml:space="preserve"> </w:t>
      </w:r>
      <w:r>
        <w:t xml:space="preserve">jog </w:t>
      </w:r>
      <w:r w:rsidRPr="001B4496">
        <w:rPr>
          <w:i/>
        </w:rPr>
        <w:t>diferencijuoti</w:t>
      </w:r>
      <w:r>
        <w:t xml:space="preserve"> </w:t>
      </w:r>
      <w:r w:rsidR="00322C8A">
        <w:t xml:space="preserve">juos </w:t>
      </w:r>
      <w:r>
        <w:t>reik</w:t>
      </w:r>
      <w:r w:rsidR="00322C8A">
        <w:t>tų</w:t>
      </w:r>
      <w:r>
        <w:t xml:space="preserve"> dėl to, </w:t>
      </w:r>
      <w:r w:rsidRPr="007478AF">
        <w:t xml:space="preserve">kad </w:t>
      </w:r>
      <w:r w:rsidR="004F1263" w:rsidRPr="007478AF">
        <w:t>būtų išlaikyta pusiausvyra tarp</w:t>
      </w:r>
      <w:r w:rsidR="00C7272C" w:rsidRPr="007478AF">
        <w:t xml:space="preserve"> </w:t>
      </w:r>
      <w:r w:rsidR="007478AF" w:rsidRPr="007478AF">
        <w:t xml:space="preserve">nevienodas </w:t>
      </w:r>
      <w:r w:rsidR="00C7272C" w:rsidRPr="007478AF">
        <w:t>galimybes dirbti ir užtikrinti šeimai</w:t>
      </w:r>
      <w:r w:rsidR="00C706CE" w:rsidRPr="007478AF">
        <w:t xml:space="preserve"> tokio paties dydžio</w:t>
      </w:r>
      <w:r w:rsidR="00C7272C" w:rsidRPr="007478AF">
        <w:t xml:space="preserve"> gerovę turinčių</w:t>
      </w:r>
      <w:r w:rsidR="00CC76A4" w:rsidRPr="007478AF">
        <w:t xml:space="preserve"> individų: </w:t>
      </w:r>
      <w:r w:rsidR="00475000">
        <w:t>darant prielaidą, jog vieni gyvenantys asmenys turi didesnę darbo pasirinkimo laisvę</w:t>
      </w:r>
      <w:r w:rsidR="001B489B">
        <w:t xml:space="preserve"> nei </w:t>
      </w:r>
      <w:r w:rsidR="00CC76A4">
        <w:t>žmonės</w:t>
      </w:r>
      <w:r w:rsidR="001B489B">
        <w:t>, kuri</w:t>
      </w:r>
      <w:r w:rsidR="00EF6793">
        <w:t xml:space="preserve">ų </w:t>
      </w:r>
      <w:r w:rsidR="00F360B8">
        <w:t>šeim</w:t>
      </w:r>
      <w:r w:rsidR="00A1782C">
        <w:t>os</w:t>
      </w:r>
      <w:r w:rsidR="00F360B8">
        <w:t xml:space="preserve"> </w:t>
      </w:r>
      <w:r w:rsidR="00DF5FC0">
        <w:t>susideda iš keleto individų,</w:t>
      </w:r>
      <w:r w:rsidR="00475000">
        <w:t xml:space="preserve"> </w:t>
      </w:r>
      <w:r w:rsidR="006302E3">
        <w:t>teis</w:t>
      </w:r>
      <w:r w:rsidR="00A1782C">
        <w:t>ė</w:t>
      </w:r>
      <w:r w:rsidR="00F360B8">
        <w:t xml:space="preserve"> į</w:t>
      </w:r>
      <w:r w:rsidR="005547A5">
        <w:t xml:space="preserve"> 40 proc. dydžio išmoką </w:t>
      </w:r>
      <w:r w:rsidR="00A1782C">
        <w:t xml:space="preserve">būtų numatyta </w:t>
      </w:r>
      <w:r w:rsidR="00482312">
        <w:t>vieni</w:t>
      </w:r>
      <w:r w:rsidR="006302E3">
        <w:t>ems gyvenantiems</w:t>
      </w:r>
      <w:r w:rsidR="00E50340">
        <w:t xml:space="preserve"> asmenims</w:t>
      </w:r>
      <w:r w:rsidR="006E7A01">
        <w:t>; teis</w:t>
      </w:r>
      <w:r w:rsidR="001B4496">
        <w:t>ę</w:t>
      </w:r>
      <w:r w:rsidR="00482312">
        <w:t xml:space="preserve"> į 50 proc.</w:t>
      </w:r>
      <w:r w:rsidR="00767792">
        <w:t xml:space="preserve"> dydžio išmoką </w:t>
      </w:r>
      <w:r w:rsidR="001B4496">
        <w:t xml:space="preserve">galėtų įgyti </w:t>
      </w:r>
      <w:r w:rsidR="0020171E">
        <w:t>vieniši</w:t>
      </w:r>
      <w:r w:rsidR="00C706CE">
        <w:t xml:space="preserve"> tėva</w:t>
      </w:r>
      <w:r w:rsidR="001B4496">
        <w:t>i</w:t>
      </w:r>
      <w:r w:rsidR="00E50340">
        <w:t xml:space="preserve">, auginantys </w:t>
      </w:r>
      <w:r w:rsidR="00903716">
        <w:t xml:space="preserve">vieną </w:t>
      </w:r>
      <w:r w:rsidR="00E50340">
        <w:t xml:space="preserve">vaiką; </w:t>
      </w:r>
      <w:r w:rsidR="00903716">
        <w:t xml:space="preserve">šiek tiek </w:t>
      </w:r>
      <w:r w:rsidR="00E50340">
        <w:t>didesnė</w:t>
      </w:r>
      <w:r w:rsidR="00590519">
        <w:t>, t.</w:t>
      </w:r>
      <w:r w:rsidR="00965D52">
        <w:t xml:space="preserve"> y. 60 proc. dydžio</w:t>
      </w:r>
      <w:r w:rsidR="00BA1044">
        <w:t>,</w:t>
      </w:r>
      <w:r w:rsidR="00E50340">
        <w:t xml:space="preserve"> išmoka</w:t>
      </w:r>
      <w:r w:rsidR="00965D52">
        <w:t xml:space="preserve"> </w:t>
      </w:r>
      <w:r w:rsidR="00E50340">
        <w:t xml:space="preserve">būtų numatyta </w:t>
      </w:r>
      <w:r w:rsidR="00BA1044">
        <w:t>vieniši</w:t>
      </w:r>
      <w:r w:rsidR="00E50340">
        <w:t>ems</w:t>
      </w:r>
      <w:r w:rsidR="00BA1044">
        <w:t xml:space="preserve"> t</w:t>
      </w:r>
      <w:r w:rsidR="00E50340">
        <w:t xml:space="preserve">ėvams, </w:t>
      </w:r>
      <w:r w:rsidR="00C22F3E">
        <w:t xml:space="preserve">turintiems </w:t>
      </w:r>
      <w:r w:rsidR="00BA1044">
        <w:t xml:space="preserve">du </w:t>
      </w:r>
      <w:r w:rsidR="00BA1044" w:rsidRPr="006922E2">
        <w:t>vaikus</w:t>
      </w:r>
      <w:r w:rsidR="00B9575E" w:rsidRPr="006922E2">
        <w:t xml:space="preserve">, </w:t>
      </w:r>
      <w:r w:rsidR="00C22F3E">
        <w:t xml:space="preserve">– </w:t>
      </w:r>
      <w:r w:rsidR="006922E2">
        <w:t>nes</w:t>
      </w:r>
      <w:r w:rsidR="00B9575E" w:rsidRPr="006922E2">
        <w:t xml:space="preserve"> jų </w:t>
      </w:r>
      <w:r w:rsidR="006922E2" w:rsidRPr="006922E2">
        <w:t>paskata</w:t>
      </w:r>
      <w:r w:rsidR="00C41335" w:rsidRPr="006922E2">
        <w:t xml:space="preserve">s </w:t>
      </w:r>
      <w:r w:rsidR="00B9575E" w:rsidRPr="006922E2">
        <w:t>įsidarbinti riboja</w:t>
      </w:r>
      <w:r w:rsidR="001715CD" w:rsidRPr="006922E2">
        <w:t xml:space="preserve"> tos aplinkybės, kurios yra susijusios su </w:t>
      </w:r>
      <w:r w:rsidR="00AE78F0">
        <w:t>vaik</w:t>
      </w:r>
      <w:r w:rsidR="00903716">
        <w:t>ų</w:t>
      </w:r>
      <w:r w:rsidR="006922E2">
        <w:t xml:space="preserve"> </w:t>
      </w:r>
      <w:r w:rsidR="00C41335" w:rsidRPr="006922E2">
        <w:t>poreikiai</w:t>
      </w:r>
      <w:r w:rsidR="001715CD" w:rsidRPr="006922E2">
        <w:t>s</w:t>
      </w:r>
      <w:r w:rsidR="001F1C45" w:rsidRPr="006922E2">
        <w:t>;</w:t>
      </w:r>
      <w:r w:rsidR="001F1C45">
        <w:t xml:space="preserve"> </w:t>
      </w:r>
      <w:r w:rsidR="006B5775">
        <w:t>darant prielaidą, jog</w:t>
      </w:r>
      <w:r w:rsidR="00063FF4">
        <w:t xml:space="preserve"> </w:t>
      </w:r>
      <w:r w:rsidR="00335A98">
        <w:t xml:space="preserve">ekonominiu </w:t>
      </w:r>
      <w:r w:rsidR="006C0EC0">
        <w:t xml:space="preserve">sunkmečiu </w:t>
      </w:r>
      <w:r w:rsidR="00AB4D4C">
        <w:t xml:space="preserve">susigrąžinti gerovę </w:t>
      </w:r>
      <w:r w:rsidR="006C0EC0">
        <w:t>sudėtingiau</w:t>
      </w:r>
      <w:r w:rsidR="009D0E2A">
        <w:t xml:space="preserve"> </w:t>
      </w:r>
      <w:r w:rsidR="00674DC1">
        <w:t xml:space="preserve">tampa </w:t>
      </w:r>
      <w:r w:rsidR="00520354">
        <w:t xml:space="preserve">didesnės </w:t>
      </w:r>
      <w:r w:rsidR="009D0E2A">
        <w:t>sudėties</w:t>
      </w:r>
      <w:r w:rsidR="00520354">
        <w:t xml:space="preserve"> namų ūkiams</w:t>
      </w:r>
      <w:r w:rsidR="009D0E2A">
        <w:t>, teis</w:t>
      </w:r>
      <w:r w:rsidR="00335A98">
        <w:t>ę</w:t>
      </w:r>
      <w:r w:rsidR="009D0E2A">
        <w:t xml:space="preserve"> į 70 proc. </w:t>
      </w:r>
      <w:r w:rsidR="00E97E92">
        <w:t xml:space="preserve">dydžio </w:t>
      </w:r>
      <w:r w:rsidR="009D0E2A">
        <w:t>išmoką</w:t>
      </w:r>
      <w:r w:rsidR="00055030">
        <w:t xml:space="preserve"> </w:t>
      </w:r>
      <w:r w:rsidR="00674DC1">
        <w:t>galėtų įgyti tie</w:t>
      </w:r>
      <w:r w:rsidR="00612349">
        <w:t xml:space="preserve"> individai</w:t>
      </w:r>
      <w:r w:rsidR="00055030">
        <w:t>, kuri</w:t>
      </w:r>
      <w:r w:rsidR="00733AD1">
        <w:t>e</w:t>
      </w:r>
      <w:r w:rsidR="00335A98">
        <w:t xml:space="preserve"> be savęs dar turėtų</w:t>
      </w:r>
      <w:r w:rsidR="00803239">
        <w:t xml:space="preserve"> išlaikyti</w:t>
      </w:r>
      <w:r w:rsidR="0055120D">
        <w:t xml:space="preserve"> kitus</w:t>
      </w:r>
      <w:r w:rsidR="00803239">
        <w:t xml:space="preserve"> </w:t>
      </w:r>
      <w:r w:rsidR="00335A98">
        <w:t>[</w:t>
      </w:r>
      <w:r w:rsidR="00803239">
        <w:t>tris</w:t>
      </w:r>
      <w:r w:rsidR="00335A98">
        <w:t>]</w:t>
      </w:r>
      <w:r w:rsidR="00612349">
        <w:t xml:space="preserve"> asmenis</w:t>
      </w:r>
      <w:r w:rsidR="00803239">
        <w:t>.</w:t>
      </w:r>
    </w:p>
    <w:p w:rsidR="00D80DC2" w:rsidRDefault="006C389D" w:rsidP="004C4E02">
      <w:r w:rsidRPr="00EB3821">
        <w:rPr>
          <w:b/>
          <w:i/>
        </w:rPr>
        <w:t>Atlikti skaičiavimai parodė</w:t>
      </w:r>
      <w:r w:rsidR="00667572">
        <w:t xml:space="preserve"> </w:t>
      </w:r>
      <w:r w:rsidR="00667572" w:rsidRPr="00451B9C">
        <w:t>(</w:t>
      </w:r>
      <w:r w:rsidR="00566A64" w:rsidRPr="00451B9C">
        <w:t>žr. 11</w:t>
      </w:r>
      <w:r w:rsidR="00667572" w:rsidRPr="00451B9C">
        <w:t> priedą)</w:t>
      </w:r>
      <w:r w:rsidRPr="00451B9C">
        <w:t>,</w:t>
      </w:r>
      <w:r>
        <w:t xml:space="preserve"> jog</w:t>
      </w:r>
      <w:r w:rsidR="00667572">
        <w:t xml:space="preserve">, įtvirtinus </w:t>
      </w:r>
      <w:r w:rsidR="00FE76EC">
        <w:t xml:space="preserve">papildomą </w:t>
      </w:r>
      <w:r w:rsidR="00667572">
        <w:t xml:space="preserve">išmoką, finansinė individų </w:t>
      </w:r>
      <w:r w:rsidR="00FE76EC">
        <w:t>(</w:t>
      </w:r>
      <w:r w:rsidR="00667572">
        <w:t>ir jų šeimų</w:t>
      </w:r>
      <w:r w:rsidR="00FE76EC">
        <w:t>)</w:t>
      </w:r>
      <w:r w:rsidR="00667572">
        <w:t xml:space="preserve"> gerovė</w:t>
      </w:r>
      <w:r w:rsidR="00FE76EC">
        <w:t xml:space="preserve"> </w:t>
      </w:r>
      <w:r w:rsidR="000317F4">
        <w:t xml:space="preserve">– </w:t>
      </w:r>
      <w:r w:rsidR="000317F4" w:rsidRPr="00217ACC">
        <w:rPr>
          <w:i/>
        </w:rPr>
        <w:t>papildomos išmokos mokėjimo laikotarpiu</w:t>
      </w:r>
      <w:r w:rsidR="00217ACC">
        <w:t xml:space="preserve"> –</w:t>
      </w:r>
      <w:r w:rsidR="000317F4" w:rsidRPr="00217ACC">
        <w:rPr>
          <w:i/>
        </w:rPr>
        <w:t xml:space="preserve"> </w:t>
      </w:r>
      <w:r w:rsidR="00FE76EC" w:rsidRPr="00217ACC">
        <w:t>padidėtų</w:t>
      </w:r>
      <w:r w:rsidR="00217ACC">
        <w:t xml:space="preserve"> apytiksliai </w:t>
      </w:r>
      <w:r w:rsidR="00EA686C">
        <w:t>16 proc., jei</w:t>
      </w:r>
      <w:r w:rsidR="00217ACC">
        <w:t>gu</w:t>
      </w:r>
      <w:r w:rsidR="00EA686C">
        <w:t xml:space="preserve"> vienas iš šeimos suaugusiųjų </w:t>
      </w:r>
      <w:r w:rsidR="00AD3CC4">
        <w:t>įsi</w:t>
      </w:r>
      <w:r w:rsidR="00EA686C">
        <w:t>d</w:t>
      </w:r>
      <w:r w:rsidR="00AD3CC4">
        <w:t>a</w:t>
      </w:r>
      <w:r w:rsidR="00EA686C">
        <w:t>rb</w:t>
      </w:r>
      <w:r w:rsidR="00AD3CC4">
        <w:t>in</w:t>
      </w:r>
      <w:r w:rsidR="00EA686C">
        <w:t xml:space="preserve">tų už minimalų, t. y. 850 Lt, atlyginimą, arba 22 proc., jei </w:t>
      </w:r>
      <w:r w:rsidR="00AD3CC4">
        <w:t xml:space="preserve">atlyginimas siektų </w:t>
      </w:r>
      <w:r w:rsidR="00EA686C">
        <w:t>1 100 Lt.</w:t>
      </w:r>
      <w:r w:rsidR="009D2EE9">
        <w:t xml:space="preserve"> Atkreiptinas dėmesys, jog didžiausią gėr</w:t>
      </w:r>
      <w:r w:rsidR="00C25DA9">
        <w:t>į (30 proc.)</w:t>
      </w:r>
      <w:r w:rsidR="009D2EE9">
        <w:t>, įgydami teisę į papildomą išmoką,</w:t>
      </w:r>
      <w:r w:rsidR="00C25DA9">
        <w:t xml:space="preserve"> pa</w:t>
      </w:r>
      <w:r w:rsidR="009009F3">
        <w:t>justų</w:t>
      </w:r>
      <w:r w:rsidR="00C25DA9">
        <w:t xml:space="preserve"> vieni gyvenantys</w:t>
      </w:r>
      <w:r w:rsidR="005F15FE">
        <w:t xml:space="preserve"> asmenys</w:t>
      </w:r>
      <w:r w:rsidR="00C25DA9">
        <w:t>, kurie įsidarbintų už 1 100 Lt</w:t>
      </w:r>
      <w:r w:rsidR="009009F3">
        <w:t xml:space="preserve"> atlyginimą</w:t>
      </w:r>
      <w:r w:rsidR="00601C96">
        <w:t>,</w:t>
      </w:r>
      <w:r w:rsidR="00C82E64">
        <w:t xml:space="preserve"> nes jų gerovė taptų</w:t>
      </w:r>
      <w:r w:rsidR="00601C96">
        <w:t xml:space="preserve"> </w:t>
      </w:r>
      <w:r w:rsidR="00152509">
        <w:t>441</w:t>
      </w:r>
      <w:r w:rsidR="00C82E64">
        <w:t xml:space="preserve"> Lt didesnė</w:t>
      </w:r>
      <w:r w:rsidR="00136A83">
        <w:t xml:space="preserve"> už gerovę, kurią gali</w:t>
      </w:r>
      <w:r w:rsidR="00CC0E74">
        <w:t>ma susikurti,</w:t>
      </w:r>
      <w:r w:rsidR="00152509">
        <w:t xml:space="preserve"> gaunant nedarbo draudimo išmokas ir</w:t>
      </w:r>
      <w:r w:rsidR="00CC0E74">
        <w:t xml:space="preserve"> kompensacij</w:t>
      </w:r>
      <w:r w:rsidR="00052CC7">
        <w:t>as</w:t>
      </w:r>
      <w:r w:rsidR="003E0069">
        <w:t>, ir net</w:t>
      </w:r>
      <w:r w:rsidR="00C90A8B">
        <w:t xml:space="preserve"> 601 Lt didesnė už</w:t>
      </w:r>
      <w:r w:rsidR="00C862A4">
        <w:t xml:space="preserve"> tą</w:t>
      </w:r>
      <w:r w:rsidR="00C90A8B">
        <w:t xml:space="preserve"> gerovę, kurią geba „susikurti“ žmogus, neįdedantis jokių pastangų. M</w:t>
      </w:r>
      <w:r w:rsidR="00601C96">
        <w:t>ažiausią</w:t>
      </w:r>
      <w:r w:rsidR="00C862A4">
        <w:t>, bet vis tiek</w:t>
      </w:r>
      <w:r w:rsidR="004E6CFE">
        <w:t xml:space="preserve"> teigiamą, pokytį (13 proc.) patirtų</w:t>
      </w:r>
      <w:r w:rsidR="00601C96">
        <w:t xml:space="preserve"> tos 4-ių asmenų šeimos, kur</w:t>
      </w:r>
      <w:r w:rsidR="00F50EC6">
        <w:t>ių</w:t>
      </w:r>
      <w:r w:rsidR="00206284">
        <w:t xml:space="preserve"> darbinės</w:t>
      </w:r>
      <w:r w:rsidR="003B1A6C">
        <w:t xml:space="preserve"> pajamos siektų 850 Lt</w:t>
      </w:r>
      <w:r w:rsidR="00F50EC6">
        <w:t xml:space="preserve"> ir kurių </w:t>
      </w:r>
      <w:r w:rsidR="00842C58">
        <w:t xml:space="preserve">finansinė </w:t>
      </w:r>
      <w:r w:rsidR="00F50EC6">
        <w:t>gerovė taptų</w:t>
      </w:r>
      <w:r w:rsidR="00842C58">
        <w:t xml:space="preserve"> 306 Lt didesnė už gerovę nedirbant</w:t>
      </w:r>
      <w:r w:rsidR="00155314">
        <w:t xml:space="preserve">. Lyginant su </w:t>
      </w:r>
      <w:r w:rsidR="002F2894">
        <w:t xml:space="preserve">tokio pat tipo </w:t>
      </w:r>
      <w:r w:rsidR="00155314">
        <w:t>šeim</w:t>
      </w:r>
      <w:r w:rsidR="002F2894">
        <w:t>a</w:t>
      </w:r>
      <w:r w:rsidR="00155314">
        <w:t xml:space="preserve">, </w:t>
      </w:r>
      <w:r w:rsidR="002F2894">
        <w:t>tačiau</w:t>
      </w:r>
      <w:r w:rsidR="00155314">
        <w:t xml:space="preserve"> gyven</w:t>
      </w:r>
      <w:r w:rsidR="002F2894">
        <w:t>ančia</w:t>
      </w:r>
      <w:r w:rsidR="008C14C0">
        <w:t xml:space="preserve"> tik iš socialinių pašalpų</w:t>
      </w:r>
      <w:r w:rsidR="002F2894">
        <w:t xml:space="preserve">, </w:t>
      </w:r>
      <w:r w:rsidR="008C14C0">
        <w:t>reikė</w:t>
      </w:r>
      <w:r w:rsidR="00B07993">
        <w:t>tų</w:t>
      </w:r>
      <w:r w:rsidR="004C1F84">
        <w:t xml:space="preserve"> pastebėti</w:t>
      </w:r>
      <w:r w:rsidR="00B07993">
        <w:t xml:space="preserve">, jog </w:t>
      </w:r>
      <w:r w:rsidR="008C14C0">
        <w:t>dirbančios</w:t>
      </w:r>
      <w:r w:rsidR="002F2894">
        <w:t xml:space="preserve"> šeimos gerovė </w:t>
      </w:r>
      <w:r w:rsidR="00206284">
        <w:t xml:space="preserve">taptų </w:t>
      </w:r>
      <w:r w:rsidR="00B07993">
        <w:t>516 Lt</w:t>
      </w:r>
      <w:r w:rsidR="00206284">
        <w:t xml:space="preserve"> </w:t>
      </w:r>
      <w:r w:rsidR="008C14C0">
        <w:t>didesnė</w:t>
      </w:r>
      <w:r w:rsidR="00B07993">
        <w:t>.</w:t>
      </w:r>
      <w:r w:rsidR="00012204">
        <w:t xml:space="preserve"> Taigi, </w:t>
      </w:r>
      <w:r w:rsidR="00012204" w:rsidRPr="00012204">
        <w:t>t</w:t>
      </w:r>
      <w:r w:rsidR="00495A02" w:rsidRPr="00012204">
        <w:t>endencijos aiškios:</w:t>
      </w:r>
      <w:r w:rsidR="00495A02">
        <w:t xml:space="preserve"> papildom</w:t>
      </w:r>
      <w:r w:rsidR="0065682D">
        <w:t>os</w:t>
      </w:r>
      <w:r w:rsidR="00495A02">
        <w:t xml:space="preserve"> išmok</w:t>
      </w:r>
      <w:r w:rsidR="0065682D">
        <w:t>os</w:t>
      </w:r>
      <w:r w:rsidR="00AF0DC0">
        <w:t xml:space="preserve"> gavimas</w:t>
      </w:r>
      <w:r w:rsidR="00904E73">
        <w:t xml:space="preserve"> </w:t>
      </w:r>
      <w:r w:rsidR="000E3420">
        <w:t xml:space="preserve">šeimų piniginius išteklius </w:t>
      </w:r>
      <w:r w:rsidR="00904E73">
        <w:t xml:space="preserve">padidintų </w:t>
      </w:r>
      <w:r w:rsidR="0065682D">
        <w:t xml:space="preserve">tokiu mastu, kokio dydžio būtų </w:t>
      </w:r>
      <w:r w:rsidR="00AF0DC0">
        <w:t xml:space="preserve">jų </w:t>
      </w:r>
      <w:r w:rsidR="0065682D">
        <w:t>pastangos</w:t>
      </w:r>
      <w:r w:rsidR="007D4BEC">
        <w:t>,</w:t>
      </w:r>
      <w:r w:rsidR="003666B0">
        <w:t xml:space="preserve"> </w:t>
      </w:r>
      <w:r w:rsidR="00AF0DC0">
        <w:t xml:space="preserve">– </w:t>
      </w:r>
      <w:r w:rsidR="00E53948">
        <w:t>kadangi</w:t>
      </w:r>
      <w:r w:rsidR="002B0877">
        <w:t>, įsidarbinus už didesnį</w:t>
      </w:r>
      <w:r w:rsidR="00AF0DC0">
        <w:t xml:space="preserve"> atlyginimą</w:t>
      </w:r>
      <w:r w:rsidR="003666B0">
        <w:t>, papildomos išmokos dydis nebūtų mažinamas.</w:t>
      </w:r>
    </w:p>
    <w:p w:rsidR="000D6A97" w:rsidRDefault="0007393C" w:rsidP="004C4E02">
      <w:r>
        <w:lastRenderedPageBreak/>
        <w:t xml:space="preserve">Žvelgiant į </w:t>
      </w:r>
      <w:r w:rsidR="000E2BEE">
        <w:t xml:space="preserve">papildomos nedarbo draudimo išmokos </w:t>
      </w:r>
      <w:r>
        <w:t>taikymą</w:t>
      </w:r>
      <w:r w:rsidR="000E2BEE">
        <w:t xml:space="preserve"> iš valstybės pozicijų, reiktų pasakyti, jog</w:t>
      </w:r>
      <w:r>
        <w:t xml:space="preserve"> </w:t>
      </w:r>
      <w:r w:rsidR="001448D0" w:rsidRPr="001448D0">
        <w:rPr>
          <w:b/>
          <w:i/>
        </w:rPr>
        <w:t>piniginiai</w:t>
      </w:r>
      <w:r w:rsidR="001448D0">
        <w:t xml:space="preserve"> </w:t>
      </w:r>
      <w:r w:rsidR="002F1861" w:rsidRPr="00440A4B">
        <w:rPr>
          <w:b/>
          <w:i/>
        </w:rPr>
        <w:t xml:space="preserve">valstybės </w:t>
      </w:r>
      <w:r w:rsidR="00073F6F">
        <w:rPr>
          <w:b/>
          <w:i/>
        </w:rPr>
        <w:t xml:space="preserve">ištekliai </w:t>
      </w:r>
      <w:r w:rsidR="002F1861" w:rsidRPr="00440A4B">
        <w:rPr>
          <w:b/>
          <w:i/>
        </w:rPr>
        <w:t>nebūtų</w:t>
      </w:r>
      <w:r w:rsidR="00D80508">
        <w:rPr>
          <w:b/>
          <w:i/>
        </w:rPr>
        <w:t xml:space="preserve"> labai</w:t>
      </w:r>
      <w:r w:rsidR="00126D5B" w:rsidRPr="00440A4B">
        <w:rPr>
          <w:b/>
          <w:i/>
        </w:rPr>
        <w:t xml:space="preserve"> </w:t>
      </w:r>
      <w:r w:rsidR="002F1861" w:rsidRPr="00440A4B">
        <w:rPr>
          <w:b/>
          <w:i/>
        </w:rPr>
        <w:t>išeikvoti</w:t>
      </w:r>
      <w:r w:rsidR="002F1861">
        <w:t xml:space="preserve">, </w:t>
      </w:r>
      <w:r w:rsidR="00D80508">
        <w:t>nes</w:t>
      </w:r>
      <w:r w:rsidR="00126D5B">
        <w:t>,</w:t>
      </w:r>
      <w:r w:rsidR="0026413A">
        <w:t xml:space="preserve"> suteikiant iki 70 </w:t>
      </w:r>
      <w:r w:rsidR="00126D5B">
        <w:t>proc.</w:t>
      </w:r>
      <w:r w:rsidR="00D80508">
        <w:t xml:space="preserve"> </w:t>
      </w:r>
      <w:r w:rsidR="00126D5B">
        <w:t xml:space="preserve">dydžio </w:t>
      </w:r>
      <w:r w:rsidR="001E6447">
        <w:t>papildomą išmoką bei</w:t>
      </w:r>
      <w:r w:rsidR="00DC6A5D">
        <w:t xml:space="preserve"> mokant ją </w:t>
      </w:r>
      <w:r w:rsidR="001448D0">
        <w:t xml:space="preserve">nuo </w:t>
      </w:r>
      <w:r w:rsidR="00BF1EFD">
        <w:t>2</w:t>
      </w:r>
      <w:r w:rsidR="00DC6A5D">
        <w:t>-</w:t>
      </w:r>
      <w:r w:rsidR="001448D0">
        <w:t xml:space="preserve">jų iki </w:t>
      </w:r>
      <w:r w:rsidR="003F32A9">
        <w:t>7</w:t>
      </w:r>
      <w:r w:rsidR="001448D0">
        <w:t>-ių mėnesių</w:t>
      </w:r>
      <w:r w:rsidR="001E6447">
        <w:t>, valstybė daugiausiai (</w:t>
      </w:r>
      <w:r w:rsidR="00687EF2">
        <w:t>įsidarbinus</w:t>
      </w:r>
      <w:r w:rsidR="001E6447">
        <w:t xml:space="preserve"> žmogui</w:t>
      </w:r>
      <w:r w:rsidR="00687EF2">
        <w:t xml:space="preserve">, turinčiam teisę į </w:t>
      </w:r>
      <w:r w:rsidR="00E931C5">
        <w:t>8</w:t>
      </w:r>
      <w:r w:rsidR="00687EF2">
        <w:t> mėn. trukmės nedarbo draudimo išmoką, 3-i</w:t>
      </w:r>
      <w:r w:rsidR="00486C58">
        <w:t>ojo</w:t>
      </w:r>
      <w:r w:rsidR="00687EF2">
        <w:t xml:space="preserve"> jos mokėjimo mėnes</w:t>
      </w:r>
      <w:r w:rsidR="00583C17">
        <w:t>io pabaigoje</w:t>
      </w:r>
      <w:r w:rsidR="00687EF2">
        <w:t xml:space="preserve">) </w:t>
      </w:r>
      <w:r w:rsidR="00440A4B">
        <w:t xml:space="preserve">galėtų prarasti </w:t>
      </w:r>
      <w:r w:rsidR="001F6869">
        <w:t xml:space="preserve">apie </w:t>
      </w:r>
      <w:r w:rsidR="00CA3788">
        <w:t>685</w:t>
      </w:r>
      <w:r w:rsidR="00583C17">
        <w:t> Lt (</w:t>
      </w:r>
      <w:r w:rsidR="00372772">
        <w:rPr>
          <w:lang w:val="en-US"/>
        </w:rPr>
        <w:t xml:space="preserve">(650 × 3 + 455 × 7) </w:t>
      </w:r>
      <w:r w:rsidR="0066071D">
        <w:rPr>
          <w:lang w:val="en-US"/>
        </w:rPr>
        <w:t xml:space="preserve">– </w:t>
      </w:r>
      <w:r w:rsidR="00AB468F">
        <w:rPr>
          <w:lang w:val="en-US"/>
        </w:rPr>
        <w:t>(</w:t>
      </w:r>
      <w:r w:rsidR="00A10EF9">
        <w:rPr>
          <w:lang w:val="en-US"/>
        </w:rPr>
        <w:t>650</w:t>
      </w:r>
      <w:r w:rsidR="00D80508">
        <w:rPr>
          <w:lang w:val="en-US"/>
        </w:rPr>
        <w:t xml:space="preserve"> × </w:t>
      </w:r>
      <w:r w:rsidR="00A10EF9">
        <w:rPr>
          <w:lang w:val="en-US"/>
        </w:rPr>
        <w:t>3 + 500</w:t>
      </w:r>
      <w:r w:rsidR="000468BE">
        <w:rPr>
          <w:lang w:val="en-US"/>
        </w:rPr>
        <w:t xml:space="preserve"> × </w:t>
      </w:r>
      <w:r w:rsidR="002565CB">
        <w:rPr>
          <w:lang w:val="en-US"/>
        </w:rPr>
        <w:t>5</w:t>
      </w:r>
      <w:r w:rsidR="0066071D">
        <w:rPr>
          <w:lang w:val="en-US"/>
        </w:rPr>
        <w:t xml:space="preserve">) </w:t>
      </w:r>
      <w:r w:rsidR="004057DF">
        <w:rPr>
          <w:lang w:val="en-US"/>
        </w:rPr>
        <w:t>=</w:t>
      </w:r>
      <w:r w:rsidR="004057DF">
        <w:t xml:space="preserve"> </w:t>
      </w:r>
      <w:r w:rsidR="003F32A9">
        <w:t>685</w:t>
      </w:r>
      <w:r w:rsidR="00583C17">
        <w:t>)</w:t>
      </w:r>
      <w:r w:rsidR="00DB7BE5">
        <w:t>, t. y. maksimalaus</w:t>
      </w:r>
      <w:r w:rsidR="00CA3788">
        <w:t xml:space="preserve"> dydžio išmoką</w:t>
      </w:r>
      <w:r w:rsidR="00887DCA">
        <w:t xml:space="preserve">. </w:t>
      </w:r>
      <w:r w:rsidR="00F41867">
        <w:t>T</w:t>
      </w:r>
      <w:r w:rsidR="00761645">
        <w:t xml:space="preserve">am pačiam žmogui įsidarbinus </w:t>
      </w:r>
      <w:r w:rsidR="00CA3788">
        <w:t>antroj</w:t>
      </w:r>
      <w:r w:rsidR="00DF0751">
        <w:t>oj</w:t>
      </w:r>
      <w:r w:rsidR="000012E1">
        <w:t>e</w:t>
      </w:r>
      <w:r w:rsidR="00CA3788">
        <w:t xml:space="preserve"> </w:t>
      </w:r>
      <w:r w:rsidR="00761645">
        <w:t xml:space="preserve">nedarbo draudimo </w:t>
      </w:r>
      <w:r w:rsidR="00CA3788">
        <w:t>išmokos mokėjimo</w:t>
      </w:r>
      <w:r w:rsidR="000012E1">
        <w:t xml:space="preserve"> pusėje</w:t>
      </w:r>
      <w:r w:rsidR="005628E3">
        <w:t xml:space="preserve"> (7-t</w:t>
      </w:r>
      <w:r w:rsidR="00F41867">
        <w:t>o</w:t>
      </w:r>
      <w:r w:rsidR="005628E3">
        <w:t xml:space="preserve"> mėn.</w:t>
      </w:r>
      <w:r w:rsidR="00F41867">
        <w:t xml:space="preserve"> pabaigoje</w:t>
      </w:r>
      <w:r w:rsidR="005628E3">
        <w:t>)</w:t>
      </w:r>
      <w:r w:rsidR="000D6A97">
        <w:t xml:space="preserve">, </w:t>
      </w:r>
      <w:r w:rsidR="003873C9">
        <w:t xml:space="preserve">daugiausiai </w:t>
      </w:r>
      <w:r w:rsidR="00F360BD">
        <w:t xml:space="preserve">būtų </w:t>
      </w:r>
      <w:r w:rsidR="000D6A97">
        <w:t>prarast</w:t>
      </w:r>
      <w:r w:rsidR="00924E3E">
        <w:t>a</w:t>
      </w:r>
      <w:r w:rsidR="00F360BD">
        <w:t xml:space="preserve"> </w:t>
      </w:r>
      <w:r w:rsidR="0081146D">
        <w:t xml:space="preserve">apie </w:t>
      </w:r>
      <w:r w:rsidR="00F360BD">
        <w:t>550 Lt</w:t>
      </w:r>
      <w:r w:rsidR="00A55076">
        <w:t xml:space="preserve"> </w:t>
      </w:r>
      <w:r w:rsidR="00815983">
        <w:t>(</w:t>
      </w:r>
      <w:r w:rsidR="00372772">
        <w:rPr>
          <w:lang w:val="en-US"/>
        </w:rPr>
        <w:t xml:space="preserve">(650 × 3 + 500 × 4 + 350 × 3) – </w:t>
      </w:r>
      <w:r w:rsidR="00815983">
        <w:rPr>
          <w:lang w:val="en-US"/>
        </w:rPr>
        <w:t>(650 × 3 + 500 × 5) =</w:t>
      </w:r>
      <w:r w:rsidR="00815983">
        <w:t xml:space="preserve"> </w:t>
      </w:r>
      <w:r w:rsidR="00BF1EFD">
        <w:t>550</w:t>
      </w:r>
      <w:r w:rsidR="00815983">
        <w:t>)</w:t>
      </w:r>
      <w:r w:rsidR="00A55076">
        <w:t>.</w:t>
      </w:r>
      <w:r w:rsidR="00570341">
        <w:t xml:space="preserve"> Jeigu </w:t>
      </w:r>
      <w:r w:rsidR="007D1B39">
        <w:t>į tai pa</w:t>
      </w:r>
      <w:r w:rsidR="00570341">
        <w:t xml:space="preserve">žiūrėtume </w:t>
      </w:r>
      <w:r w:rsidR="007D1B39">
        <w:t>bedarbio akimis, galėtume daryti tokią išvadą</w:t>
      </w:r>
      <w:r w:rsidR="00EB5A32">
        <w:t xml:space="preserve">: pirmasis variantas </w:t>
      </w:r>
      <w:r w:rsidR="007A7C4B">
        <w:t xml:space="preserve">leistų </w:t>
      </w:r>
      <w:r w:rsidR="007D56EB">
        <w:t xml:space="preserve">nedirbti </w:t>
      </w:r>
      <w:r w:rsidR="001B5DC8">
        <w:t xml:space="preserve">tik </w:t>
      </w:r>
      <w:r w:rsidR="007D56EB">
        <w:t>3 mėn.,</w:t>
      </w:r>
      <w:r w:rsidR="0081146D">
        <w:t xml:space="preserve"> tačiau</w:t>
      </w:r>
      <w:r w:rsidR="007D56EB">
        <w:t xml:space="preserve"> </w:t>
      </w:r>
      <w:r w:rsidR="00E17C13">
        <w:t xml:space="preserve">sudarytų </w:t>
      </w:r>
      <w:r w:rsidR="001B5DC8">
        <w:t xml:space="preserve">sąlygas </w:t>
      </w:r>
      <w:r w:rsidR="00EB5A32">
        <w:t>gauti</w:t>
      </w:r>
      <w:r w:rsidR="007D1B39">
        <w:t xml:space="preserve"> 3 185 Lt</w:t>
      </w:r>
      <w:r w:rsidR="007D56EB">
        <w:t xml:space="preserve"> ir </w:t>
      </w:r>
      <w:r w:rsidR="00E3713D">
        <w:t>7 mėn.</w:t>
      </w:r>
      <w:r w:rsidR="00E3517B">
        <w:t xml:space="preserve"> laiko integracijai</w:t>
      </w:r>
      <w:r w:rsidR="007D1B39">
        <w:t>, o antrasis – nedirb</w:t>
      </w:r>
      <w:r w:rsidR="00011851">
        <w:t>us</w:t>
      </w:r>
      <w:r w:rsidR="007D1B39">
        <w:t xml:space="preserve"> 7 mėn.</w:t>
      </w:r>
      <w:r w:rsidR="00011851">
        <w:t>,</w:t>
      </w:r>
      <w:r w:rsidR="001B5DC8">
        <w:t xml:space="preserve"> </w:t>
      </w:r>
      <w:r w:rsidR="007D1B39">
        <w:t xml:space="preserve">papildomai gauti </w:t>
      </w:r>
      <w:r w:rsidR="007A7C4B">
        <w:t>1 050 Lt</w:t>
      </w:r>
      <w:r w:rsidR="00E3713D">
        <w:t>.</w:t>
      </w:r>
    </w:p>
    <w:p w:rsidR="00E50664" w:rsidRDefault="00193A6A" w:rsidP="004C4E02">
      <w:r>
        <w:t>Esant situacijai, kai</w:t>
      </w:r>
      <w:r w:rsidR="00DE0A67">
        <w:t xml:space="preserve"> bedarbis</w:t>
      </w:r>
      <w:r>
        <w:t xml:space="preserve">, turintis teisę į </w:t>
      </w:r>
      <w:r w:rsidR="00E50664">
        <w:t>8</w:t>
      </w:r>
      <w:r>
        <w:t xml:space="preserve"> mėn. </w:t>
      </w:r>
      <w:r w:rsidR="00DE0A67">
        <w:t>laikotarpio</w:t>
      </w:r>
      <w:r>
        <w:t xml:space="preserve"> nedarbo draudimo išmoką, įsidarbintų</w:t>
      </w:r>
      <w:r w:rsidR="00DE0A67">
        <w:t xml:space="preserve"> </w:t>
      </w:r>
      <w:r w:rsidR="00D260B1">
        <w:t>5</w:t>
      </w:r>
      <w:r w:rsidR="00DE0A67">
        <w:t>-t</w:t>
      </w:r>
      <w:r w:rsidR="004C7EE5">
        <w:t>ą</w:t>
      </w:r>
      <w:r w:rsidR="00DE0A67">
        <w:t xml:space="preserve"> išmokos mokėjimo mėn</w:t>
      </w:r>
      <w:r w:rsidR="00E5288B">
        <w:t>esį</w:t>
      </w:r>
      <w:r w:rsidR="00E50664">
        <w:t>,</w:t>
      </w:r>
      <w:r w:rsidR="007358D6">
        <w:t xml:space="preserve"> </w:t>
      </w:r>
      <w:r w:rsidR="00E50664">
        <w:t>valstybė</w:t>
      </w:r>
      <w:r w:rsidR="007358D6">
        <w:t xml:space="preserve"> </w:t>
      </w:r>
      <w:r w:rsidR="00155575">
        <w:t>(darant prielaidą, jog</w:t>
      </w:r>
      <w:r w:rsidR="00E5288B">
        <w:t>,</w:t>
      </w:r>
      <w:r w:rsidR="00D91FAD">
        <w:t xml:space="preserve"> </w:t>
      </w:r>
      <w:r w:rsidR="00C76633">
        <w:t>ne</w:t>
      </w:r>
      <w:r w:rsidR="007358D6">
        <w:t>taikant</w:t>
      </w:r>
      <w:r w:rsidR="00C76633">
        <w:t xml:space="preserve"> papildom</w:t>
      </w:r>
      <w:r w:rsidR="00A43A72">
        <w:t>os</w:t>
      </w:r>
      <w:r w:rsidR="00C76633">
        <w:t xml:space="preserve"> išmok</w:t>
      </w:r>
      <w:r w:rsidR="00A43A72">
        <w:t>os,</w:t>
      </w:r>
      <w:r w:rsidR="00C76633">
        <w:t xml:space="preserve"> </w:t>
      </w:r>
      <w:r w:rsidR="002E2127">
        <w:t>bedarbis nesiektų įsidarbinti</w:t>
      </w:r>
      <w:r w:rsidR="00463F19">
        <w:t xml:space="preserve">) </w:t>
      </w:r>
      <w:r w:rsidR="00155575">
        <w:t>lėšų</w:t>
      </w:r>
      <w:r w:rsidR="00A43A72" w:rsidRPr="00A43A72">
        <w:t xml:space="preserve"> </w:t>
      </w:r>
      <w:r w:rsidR="002E2127">
        <w:t xml:space="preserve">netgi </w:t>
      </w:r>
      <w:r w:rsidR="00A43A72" w:rsidRPr="00B401B0">
        <w:rPr>
          <w:i/>
        </w:rPr>
        <w:t xml:space="preserve">sutaupytų </w:t>
      </w:r>
      <w:r w:rsidR="00E50664">
        <w:t>(</w:t>
      </w:r>
      <w:r w:rsidR="0066071D">
        <w:rPr>
          <w:lang w:val="en-US"/>
        </w:rPr>
        <w:t xml:space="preserve">(650 × 3 + 500 × </w:t>
      </w:r>
      <w:r w:rsidR="00D260B1">
        <w:rPr>
          <w:lang w:val="en-US"/>
        </w:rPr>
        <w:t>2</w:t>
      </w:r>
      <w:r w:rsidR="0066071D">
        <w:rPr>
          <w:lang w:val="en-US"/>
        </w:rPr>
        <w:t xml:space="preserve"> + 350 × 3) – (650 × 3 + 500 × 5) </w:t>
      </w:r>
      <w:r w:rsidR="00E50664">
        <w:rPr>
          <w:lang w:val="en-US"/>
        </w:rPr>
        <w:t>=</w:t>
      </w:r>
      <w:r w:rsidR="00E50664">
        <w:t xml:space="preserve"> </w:t>
      </w:r>
      <w:r w:rsidR="006D07CF">
        <w:t>– 450 Lt</w:t>
      </w:r>
      <w:r w:rsidR="00E50664">
        <w:t>)</w:t>
      </w:r>
      <w:r w:rsidR="002E2127">
        <w:t>.</w:t>
      </w:r>
      <w:r w:rsidR="007358D6">
        <w:t xml:space="preserve"> T</w:t>
      </w:r>
      <w:r w:rsidR="00184CA1">
        <w:t xml:space="preserve">aip pat būtų, ir </w:t>
      </w:r>
      <w:r w:rsidR="00991E4D">
        <w:t xml:space="preserve">šiam žmogui </w:t>
      </w:r>
      <w:r w:rsidR="00184CA1">
        <w:t xml:space="preserve">įsidarbinus 6-tą </w:t>
      </w:r>
      <w:r w:rsidR="00991E4D">
        <w:t xml:space="preserve">nedarbo draudimo </w:t>
      </w:r>
      <w:r w:rsidR="00184CA1">
        <w:t>išmokos mokėjimo</w:t>
      </w:r>
      <w:r w:rsidR="00991E4D">
        <w:t xml:space="preserve"> mėnesį, t. y. valstybė sutaupytų</w:t>
      </w:r>
      <w:r w:rsidR="00825EC3">
        <w:t xml:space="preserve"> 50 Lt (</w:t>
      </w:r>
      <w:r w:rsidR="00825EC3">
        <w:rPr>
          <w:lang w:val="en-US"/>
        </w:rPr>
        <w:t>(650 × 3 + 500 × 3 + 350 × 3) – (650 × 3 + 500 × 5) =</w:t>
      </w:r>
      <w:r w:rsidR="00825EC3">
        <w:t xml:space="preserve"> – 50 Lt), </w:t>
      </w:r>
      <w:r w:rsidR="00405785">
        <w:t>–</w:t>
      </w:r>
      <w:r w:rsidR="00405946">
        <w:t xml:space="preserve"> tai leidžia tvirtinti, jog </w:t>
      </w:r>
      <w:r w:rsidR="00825EC3">
        <w:t>papildomos</w:t>
      </w:r>
      <w:r w:rsidR="006638C1">
        <w:t xml:space="preserve"> išmokos taikymas būtų naudingas ne tik netekusiam darbo individui, bet ir valstybei, kadangi,</w:t>
      </w:r>
      <w:r w:rsidR="00B401B0">
        <w:t xml:space="preserve"> </w:t>
      </w:r>
      <w:r w:rsidR="009825BF">
        <w:t>bedarbiams</w:t>
      </w:r>
      <w:r w:rsidR="00CD0F70" w:rsidRPr="00CD0F70">
        <w:t xml:space="preserve"> </w:t>
      </w:r>
      <w:r w:rsidR="00CD0F70">
        <w:t>įsidarbinus</w:t>
      </w:r>
      <w:r w:rsidR="009825BF">
        <w:t xml:space="preserve">, </w:t>
      </w:r>
      <w:r w:rsidR="00AB56B6">
        <w:t xml:space="preserve">valstybės piniginiai </w:t>
      </w:r>
      <w:r w:rsidR="00B96794" w:rsidRPr="00B96794">
        <w:t>ištekliai</w:t>
      </w:r>
      <w:r w:rsidR="00B96794">
        <w:rPr>
          <w:color w:val="0070C0"/>
        </w:rPr>
        <w:t xml:space="preserve"> </w:t>
      </w:r>
      <w:r w:rsidR="00AB56B6">
        <w:t xml:space="preserve">pradėtų didėti ir dėl </w:t>
      </w:r>
      <w:r w:rsidR="008821C4">
        <w:t xml:space="preserve">sumokamų </w:t>
      </w:r>
      <w:r w:rsidR="009825BF">
        <w:t>tiesiogini</w:t>
      </w:r>
      <w:r w:rsidR="008821C4">
        <w:t>ų</w:t>
      </w:r>
      <w:r w:rsidR="009825BF">
        <w:t xml:space="preserve"> mokesči</w:t>
      </w:r>
      <w:r w:rsidR="008821C4">
        <w:t>ų</w:t>
      </w:r>
      <w:r w:rsidR="009825BF">
        <w:t>.</w:t>
      </w:r>
    </w:p>
    <w:p w:rsidR="008A5B61" w:rsidRDefault="008821C4" w:rsidP="0010327E">
      <w:r>
        <w:t>Apibendrinant</w:t>
      </w:r>
      <w:r w:rsidR="001364CC">
        <w:t>, reikėtų</w:t>
      </w:r>
      <w:r>
        <w:t xml:space="preserve"> </w:t>
      </w:r>
      <w:r w:rsidR="001364CC">
        <w:t>akcentuoti</w:t>
      </w:r>
      <w:r>
        <w:t>, jog</w:t>
      </w:r>
      <w:r w:rsidR="00603344">
        <w:t xml:space="preserve">, nepaisant ribojančių veiksnių, tokių kaip mažas darbo vietų </w:t>
      </w:r>
      <w:r w:rsidR="00426D5B">
        <w:t xml:space="preserve">regione </w:t>
      </w:r>
      <w:r w:rsidR="00603344">
        <w:t>skaičius</w:t>
      </w:r>
      <w:r w:rsidR="00926187">
        <w:t xml:space="preserve"> ar nedideli</w:t>
      </w:r>
      <w:r w:rsidR="009E4A35">
        <w:t>s</w:t>
      </w:r>
      <w:r w:rsidR="00926187">
        <w:t xml:space="preserve"> darbo užmokes</w:t>
      </w:r>
      <w:r w:rsidR="009E4A35">
        <w:t>tis</w:t>
      </w:r>
      <w:r w:rsidR="00426D5B">
        <w:t xml:space="preserve">, </w:t>
      </w:r>
      <w:r w:rsidR="00EB2C62" w:rsidRPr="006C1A73">
        <w:rPr>
          <w:b/>
          <w:i/>
        </w:rPr>
        <w:t>papildomos</w:t>
      </w:r>
      <w:r w:rsidR="006C1A73" w:rsidRPr="006C1A73">
        <w:rPr>
          <w:b/>
          <w:i/>
        </w:rPr>
        <w:t xml:space="preserve"> nedarbo draudimo</w:t>
      </w:r>
      <w:r w:rsidR="00EB2C62" w:rsidRPr="006C1A73">
        <w:rPr>
          <w:b/>
          <w:i/>
        </w:rPr>
        <w:t xml:space="preserve"> išmokos taikymas</w:t>
      </w:r>
      <w:r w:rsidR="00EB2C62">
        <w:t xml:space="preserve"> </w:t>
      </w:r>
      <w:r w:rsidR="00426D5B">
        <w:rPr>
          <w:b/>
          <w:i/>
        </w:rPr>
        <w:t xml:space="preserve">turėtų </w:t>
      </w:r>
      <w:r w:rsidR="006C1A73">
        <w:rPr>
          <w:b/>
          <w:i/>
        </w:rPr>
        <w:t xml:space="preserve">padėti </w:t>
      </w:r>
      <w:r w:rsidR="00B30F3F" w:rsidRPr="00BB5BB3">
        <w:rPr>
          <w:b/>
          <w:i/>
        </w:rPr>
        <w:t xml:space="preserve">pasiekti </w:t>
      </w:r>
      <w:r w:rsidR="006C1A73">
        <w:rPr>
          <w:b/>
          <w:i/>
        </w:rPr>
        <w:t>toki</w:t>
      </w:r>
      <w:r w:rsidR="00B71212">
        <w:rPr>
          <w:b/>
          <w:i/>
        </w:rPr>
        <w:t>ų</w:t>
      </w:r>
      <w:r w:rsidR="006C1A73">
        <w:rPr>
          <w:b/>
          <w:i/>
        </w:rPr>
        <w:t xml:space="preserve"> </w:t>
      </w:r>
      <w:r w:rsidR="00B30F3F" w:rsidRPr="00BB5BB3">
        <w:rPr>
          <w:b/>
          <w:i/>
        </w:rPr>
        <w:t>tiksl</w:t>
      </w:r>
      <w:r w:rsidR="00926187">
        <w:rPr>
          <w:b/>
          <w:i/>
        </w:rPr>
        <w:t>ų</w:t>
      </w:r>
      <w:r w:rsidR="00B30F3F">
        <w:t>: 1) </w:t>
      </w:r>
      <w:r w:rsidR="00B30F3F" w:rsidRPr="00B30E5A">
        <w:rPr>
          <w:i/>
        </w:rPr>
        <w:t>sumažint</w:t>
      </w:r>
      <w:r w:rsidR="00926187">
        <w:rPr>
          <w:i/>
        </w:rPr>
        <w:t>i</w:t>
      </w:r>
      <w:r w:rsidR="00B30F3F">
        <w:t xml:space="preserve"> </w:t>
      </w:r>
      <w:r w:rsidR="00B30F3F" w:rsidRPr="003C2378">
        <w:rPr>
          <w:i/>
        </w:rPr>
        <w:t>psichologin</w:t>
      </w:r>
      <w:r w:rsidR="009E4A35">
        <w:rPr>
          <w:i/>
        </w:rPr>
        <w:t>į diskomfortą</w:t>
      </w:r>
      <w:r w:rsidR="00B30F3F">
        <w:t>, kuri</w:t>
      </w:r>
      <w:r w:rsidR="009E4A35">
        <w:t>s</w:t>
      </w:r>
      <w:r w:rsidR="00CE03EC">
        <w:t xml:space="preserve"> atsiranda, suprat</w:t>
      </w:r>
      <w:r w:rsidR="00B30F3F">
        <w:t>us, jog socialinė politika</w:t>
      </w:r>
      <w:r w:rsidR="00CE03EC">
        <w:t xml:space="preserve"> yra palankesnė</w:t>
      </w:r>
      <w:r w:rsidR="00457C99">
        <w:t xml:space="preserve"> </w:t>
      </w:r>
      <w:r w:rsidR="00CE03EC">
        <w:t>nepasiturintiems</w:t>
      </w:r>
      <w:r w:rsidR="00457C99">
        <w:t xml:space="preserve"> </w:t>
      </w:r>
      <w:r w:rsidR="004C784A">
        <w:t xml:space="preserve">– </w:t>
      </w:r>
      <w:r w:rsidR="00457C99">
        <w:t>ir savo statuso nesiekiantiems pakeisti</w:t>
      </w:r>
      <w:r w:rsidR="004C784A">
        <w:t xml:space="preserve"> – žmonėms</w:t>
      </w:r>
      <w:r w:rsidR="00B30F3F">
        <w:t>; 2) </w:t>
      </w:r>
      <w:r w:rsidR="00B30F3F" w:rsidRPr="00B30E5A">
        <w:rPr>
          <w:i/>
        </w:rPr>
        <w:t>padidint</w:t>
      </w:r>
      <w:r w:rsidR="00CE03EC">
        <w:rPr>
          <w:i/>
        </w:rPr>
        <w:t>i</w:t>
      </w:r>
      <w:r w:rsidR="00B30F3F" w:rsidRPr="00B30E5A">
        <w:rPr>
          <w:i/>
        </w:rPr>
        <w:t xml:space="preserve"> motyvaciją</w:t>
      </w:r>
      <w:r w:rsidR="00B30F3F">
        <w:t xml:space="preserve"> ieškotis darbo</w:t>
      </w:r>
      <w:r w:rsidR="005E30EB">
        <w:t xml:space="preserve"> ar paspartinti tokių paieškų tempus</w:t>
      </w:r>
      <w:r w:rsidR="00B30F3F">
        <w:t>; 3) </w:t>
      </w:r>
      <w:r w:rsidR="00B30F3F" w:rsidRPr="00B1567A">
        <w:rPr>
          <w:i/>
        </w:rPr>
        <w:t>užtikrint</w:t>
      </w:r>
      <w:r w:rsidR="00F24CB3">
        <w:rPr>
          <w:i/>
        </w:rPr>
        <w:t>i</w:t>
      </w:r>
      <w:r w:rsidR="00B30F3F" w:rsidRPr="00B1567A">
        <w:rPr>
          <w:i/>
        </w:rPr>
        <w:t xml:space="preserve"> didesnes pajamas</w:t>
      </w:r>
      <w:r w:rsidR="00457C99">
        <w:t xml:space="preserve"> tuo met</w:t>
      </w:r>
      <w:r w:rsidR="004C784A">
        <w:t>u, kai</w:t>
      </w:r>
      <w:r w:rsidR="00B30F3F">
        <w:t xml:space="preserve"> vyksta </w:t>
      </w:r>
      <w:r w:rsidR="00556772">
        <w:t xml:space="preserve">integracija </w:t>
      </w:r>
      <w:r w:rsidR="00B30F3F">
        <w:t>į darbo</w:t>
      </w:r>
      <w:r w:rsidR="002E63A2">
        <w:t xml:space="preserve"> rinką, kas paprastai </w:t>
      </w:r>
      <w:r w:rsidR="00812795">
        <w:t xml:space="preserve">yra </w:t>
      </w:r>
      <w:r w:rsidR="002E63A2">
        <w:t>siejama</w:t>
      </w:r>
      <w:r w:rsidR="00B30F3F">
        <w:t xml:space="preserve"> su </w:t>
      </w:r>
      <w:r w:rsidR="001B544F">
        <w:t>būtinybe apmokėti neįprastas</w:t>
      </w:r>
      <w:r w:rsidR="000E3C93">
        <w:t xml:space="preserve"> </w:t>
      </w:r>
      <w:r w:rsidR="001B544F">
        <w:t>išlaidas</w:t>
      </w:r>
      <w:r w:rsidR="000E3C93">
        <w:t xml:space="preserve">. Be to, </w:t>
      </w:r>
      <w:r w:rsidR="00AE5407">
        <w:t>papildoma</w:t>
      </w:r>
      <w:r w:rsidR="00F32664">
        <w:t xml:space="preserve"> </w:t>
      </w:r>
      <w:r w:rsidR="009A57B6">
        <w:t xml:space="preserve">nedarbo draudimo </w:t>
      </w:r>
      <w:r w:rsidR="000E3C93">
        <w:t>išmoka</w:t>
      </w:r>
      <w:r w:rsidR="009A57B6">
        <w:t xml:space="preserve"> turėtų</w:t>
      </w:r>
      <w:r w:rsidR="000E3C93">
        <w:t xml:space="preserve"> </w:t>
      </w:r>
      <w:r w:rsidR="009A57B6">
        <w:rPr>
          <w:i/>
        </w:rPr>
        <w:t>padėti</w:t>
      </w:r>
      <w:r w:rsidR="00AE5407">
        <w:rPr>
          <w:i/>
        </w:rPr>
        <w:t xml:space="preserve"> atsisakyti </w:t>
      </w:r>
      <w:r w:rsidR="009A57B6">
        <w:rPr>
          <w:i/>
        </w:rPr>
        <w:t xml:space="preserve">minties </w:t>
      </w:r>
      <w:r w:rsidR="000E3C93" w:rsidRPr="00E4030D">
        <w:rPr>
          <w:i/>
        </w:rPr>
        <w:t>nedirbti ilgesnį laik</w:t>
      </w:r>
      <w:r w:rsidR="009A57B6">
        <w:rPr>
          <w:i/>
        </w:rPr>
        <w:t>ą</w:t>
      </w:r>
      <w:r w:rsidR="009A57B6" w:rsidRPr="009A57B6">
        <w:t>,</w:t>
      </w:r>
      <w:r w:rsidR="000E3C93" w:rsidRPr="009A57B6">
        <w:t xml:space="preserve"> </w:t>
      </w:r>
      <w:r w:rsidR="00AE5407">
        <w:t>kas</w:t>
      </w:r>
      <w:r w:rsidR="00B30F3F">
        <w:t xml:space="preserve"> yra </w:t>
      </w:r>
      <w:r w:rsidR="00D5354A">
        <w:t>būtina, norint realizuoti teisę</w:t>
      </w:r>
      <w:r w:rsidR="00B30F3F">
        <w:t xml:space="preserve"> į </w:t>
      </w:r>
      <w:r w:rsidR="00B30F3F" w:rsidRPr="00AE5407">
        <w:rPr>
          <w:i/>
        </w:rPr>
        <w:t xml:space="preserve">papildomą </w:t>
      </w:r>
      <w:r w:rsidR="00B30F3F" w:rsidRPr="009A57B6">
        <w:rPr>
          <w:i/>
        </w:rPr>
        <w:t>socialinę pašalpą</w:t>
      </w:r>
      <w:r w:rsidR="00F32664" w:rsidRPr="009A57B6">
        <w:t>,</w:t>
      </w:r>
      <w:r w:rsidR="008A5B61" w:rsidRPr="009A57B6">
        <w:t xml:space="preserve"> </w:t>
      </w:r>
      <w:r w:rsidR="00F32664" w:rsidRPr="009A57B6">
        <w:t xml:space="preserve">kuri, kaip minėta, nėra adekvati </w:t>
      </w:r>
      <w:r w:rsidR="005609E6" w:rsidRPr="009A57B6">
        <w:t>iš</w:t>
      </w:r>
      <w:r w:rsidR="00E4030D" w:rsidRPr="009A57B6">
        <w:t xml:space="preserve">keltiems </w:t>
      </w:r>
      <w:r w:rsidR="00F32664" w:rsidRPr="009A57B6">
        <w:t>tikslams</w:t>
      </w:r>
      <w:r w:rsidR="00E4030D" w:rsidRPr="009A57B6">
        <w:t>.</w:t>
      </w:r>
    </w:p>
    <w:p w:rsidR="008A5B61" w:rsidRDefault="000D4DEC" w:rsidP="00404939">
      <w:pPr>
        <w:pStyle w:val="Heading3"/>
      </w:pPr>
      <w:bookmarkStart w:id="52" w:name="_Toc343636895"/>
      <w:r>
        <w:t>Didesnės a</w:t>
      </w:r>
      <w:r w:rsidR="00931479">
        <w:t xml:space="preserve">tsakomybės </w:t>
      </w:r>
      <w:r w:rsidR="00196B3C">
        <w:t>už</w:t>
      </w:r>
      <w:r w:rsidR="00DA6015">
        <w:t xml:space="preserve"> </w:t>
      </w:r>
      <w:r w:rsidR="00682FD8">
        <w:t xml:space="preserve">priimtų sprendimų </w:t>
      </w:r>
      <w:r w:rsidR="0075072A">
        <w:t>i</w:t>
      </w:r>
      <w:r w:rsidR="00682FD8">
        <w:t>r</w:t>
      </w:r>
      <w:r w:rsidR="0075072A">
        <w:t xml:space="preserve"> </w:t>
      </w:r>
      <w:r w:rsidR="00DA6015">
        <w:t>atliktų</w:t>
      </w:r>
      <w:r w:rsidR="00196B3C">
        <w:t xml:space="preserve"> neteisėtų veiksmų įtv</w:t>
      </w:r>
      <w:r w:rsidR="00DA6015">
        <w:t>i</w:t>
      </w:r>
      <w:r w:rsidR="00196B3C">
        <w:t>rtinimas</w:t>
      </w:r>
      <w:bookmarkEnd w:id="52"/>
    </w:p>
    <w:p w:rsidR="006A3E00" w:rsidRDefault="00151943" w:rsidP="006A3E00">
      <w:r>
        <w:t xml:space="preserve">Suvokiant, jog </w:t>
      </w:r>
      <w:r w:rsidR="00CF7A94">
        <w:t xml:space="preserve">valstybė </w:t>
      </w:r>
      <w:r w:rsidR="004433C1">
        <w:t>neturėtų būti tik t</w:t>
      </w:r>
      <w:r>
        <w:t>a</w:t>
      </w:r>
      <w:r w:rsidR="004433C1">
        <w:t xml:space="preserve"> </w:t>
      </w:r>
      <w:r w:rsidR="00793C69">
        <w:t xml:space="preserve">„geravalė“, kuri </w:t>
      </w:r>
      <w:r w:rsidR="004433C1">
        <w:t>rūpinasi</w:t>
      </w:r>
      <w:r w:rsidR="00793C69">
        <w:t xml:space="preserve"> absoliučiai visais, – </w:t>
      </w:r>
      <w:r w:rsidR="00793C69" w:rsidRPr="00F86DA0">
        <w:rPr>
          <w:i/>
        </w:rPr>
        <w:t xml:space="preserve">o tai reiškia ir </w:t>
      </w:r>
      <w:r w:rsidR="00CF7A94" w:rsidRPr="00F86DA0">
        <w:rPr>
          <w:i/>
        </w:rPr>
        <w:t>priimančiais nepagrįstus sprendimus</w:t>
      </w:r>
      <w:r w:rsidR="00CF7A94">
        <w:t>, –</w:t>
      </w:r>
      <w:r w:rsidR="003D228A">
        <w:t xml:space="preserve"> </w:t>
      </w:r>
      <w:r w:rsidR="008C4D81">
        <w:t>piliečiais, tampa a</w:t>
      </w:r>
      <w:r w:rsidR="00184F40">
        <w:t>išk</w:t>
      </w:r>
      <w:r w:rsidR="00FA75A3">
        <w:t>u</w:t>
      </w:r>
      <w:r w:rsidR="00F86DA0">
        <w:t>, jog</w:t>
      </w:r>
      <w:r w:rsidR="003819B7">
        <w:t>, norint pa</w:t>
      </w:r>
      <w:r w:rsidR="0075242E">
        <w:t>gerinti</w:t>
      </w:r>
      <w:r w:rsidR="003819B7">
        <w:t xml:space="preserve"> </w:t>
      </w:r>
      <w:r w:rsidR="00184F40">
        <w:t>socialinių</w:t>
      </w:r>
      <w:r w:rsidR="008C4D81">
        <w:t xml:space="preserve"> </w:t>
      </w:r>
      <w:r w:rsidR="00184F40">
        <w:t>išmokų</w:t>
      </w:r>
      <w:r w:rsidR="008C4D81">
        <w:t xml:space="preserve"> gavėjų </w:t>
      </w:r>
      <w:r w:rsidR="003819B7">
        <w:t xml:space="preserve">elgseną, </w:t>
      </w:r>
      <w:r w:rsidR="00331241">
        <w:t xml:space="preserve">ne ką mažiau </w:t>
      </w:r>
      <w:r w:rsidR="00125037">
        <w:t xml:space="preserve">svarbu yra </w:t>
      </w:r>
      <w:r w:rsidR="003D228A">
        <w:t>keisti požiūr</w:t>
      </w:r>
      <w:r w:rsidR="007D4719">
        <w:t>į</w:t>
      </w:r>
      <w:r w:rsidR="003D228A">
        <w:t xml:space="preserve"> į valstybę</w:t>
      </w:r>
      <w:r w:rsidR="00960717">
        <w:t xml:space="preserve">, kuri </w:t>
      </w:r>
      <w:r w:rsidR="00272D22">
        <w:t xml:space="preserve">šiuo metu </w:t>
      </w:r>
      <w:r w:rsidR="00960717">
        <w:t xml:space="preserve">daugumos yra </w:t>
      </w:r>
      <w:r w:rsidR="00331241">
        <w:t>suvoki</w:t>
      </w:r>
      <w:r w:rsidR="00960717">
        <w:t xml:space="preserve">ama kaip </w:t>
      </w:r>
      <w:r w:rsidR="00464F73">
        <w:t>„</w:t>
      </w:r>
      <w:r w:rsidR="008C2E18">
        <w:t>neišsenkančių</w:t>
      </w:r>
      <w:r w:rsidR="00464F73">
        <w:t>“</w:t>
      </w:r>
      <w:r w:rsidR="008C2E18">
        <w:t xml:space="preserve"> </w:t>
      </w:r>
      <w:r w:rsidR="00674598">
        <w:t>pinigų davėj</w:t>
      </w:r>
      <w:r w:rsidR="008C2E18">
        <w:t>a</w:t>
      </w:r>
      <w:r w:rsidR="00674598">
        <w:t>.</w:t>
      </w:r>
      <w:r w:rsidR="00F07918">
        <w:t xml:space="preserve"> </w:t>
      </w:r>
      <w:r>
        <w:t>Kadangi t</w:t>
      </w:r>
      <w:r w:rsidR="00F07918">
        <w:t>yrima</w:t>
      </w:r>
      <w:r w:rsidR="00E30006">
        <w:t>i</w:t>
      </w:r>
      <w:r w:rsidR="00F07918">
        <w:t xml:space="preserve"> atskleidė, jog toks mąstymas formuojasi dėl to</w:t>
      </w:r>
      <w:r w:rsidR="00E30006">
        <w:t xml:space="preserve">, kad </w:t>
      </w:r>
      <w:r w:rsidR="00A35CF3">
        <w:t>žmonės</w:t>
      </w:r>
      <w:r w:rsidR="00327083">
        <w:t xml:space="preserve"> </w:t>
      </w:r>
      <w:r w:rsidR="00DC60C7">
        <w:t xml:space="preserve">turi </w:t>
      </w:r>
      <w:r w:rsidR="00E30006">
        <w:t>per mažai pareigų, palyginti su teisėmis, į kurias pretenduo</w:t>
      </w:r>
      <w:r>
        <w:t>ja</w:t>
      </w:r>
      <w:r w:rsidR="00F17538">
        <w:t>;</w:t>
      </w:r>
      <w:r>
        <w:t xml:space="preserve"> </w:t>
      </w:r>
      <w:r w:rsidR="00CC3E67">
        <w:t>o atlikta</w:t>
      </w:r>
      <w:r w:rsidR="00327083">
        <w:t xml:space="preserve"> analizė pa</w:t>
      </w:r>
      <w:r w:rsidR="006538AD">
        <w:t>tvirtino</w:t>
      </w:r>
      <w:r w:rsidR="00327083">
        <w:t xml:space="preserve">, jog </w:t>
      </w:r>
      <w:r w:rsidR="0091706D">
        <w:t xml:space="preserve">nedarbo draudimo išmokų ir socialinės paramos gavėjų </w:t>
      </w:r>
      <w:r w:rsidR="00327083">
        <w:t>atsakomybės ribos</w:t>
      </w:r>
      <w:r w:rsidR="0091706D">
        <w:t xml:space="preserve"> yra</w:t>
      </w:r>
      <w:r w:rsidR="006538AD">
        <w:t xml:space="preserve"> per mažos, mūsų siūlymas būtų </w:t>
      </w:r>
      <w:r w:rsidR="00BC636E" w:rsidRPr="00F225FC">
        <w:rPr>
          <w:b/>
          <w:i/>
        </w:rPr>
        <w:t>įtvirtinti</w:t>
      </w:r>
      <w:r w:rsidR="00E729D4">
        <w:rPr>
          <w:b/>
          <w:i/>
        </w:rPr>
        <w:t xml:space="preserve"> tokias</w:t>
      </w:r>
      <w:r w:rsidR="00970197" w:rsidRPr="00F225FC">
        <w:rPr>
          <w:b/>
          <w:i/>
        </w:rPr>
        <w:t xml:space="preserve"> </w:t>
      </w:r>
      <w:r w:rsidR="003669D2" w:rsidRPr="00F225FC">
        <w:rPr>
          <w:b/>
          <w:i/>
        </w:rPr>
        <w:t>nuostatas</w:t>
      </w:r>
      <w:r w:rsidR="00413F73" w:rsidRPr="00F225FC">
        <w:rPr>
          <w:b/>
          <w:i/>
        </w:rPr>
        <w:t xml:space="preserve">, </w:t>
      </w:r>
      <w:r w:rsidR="00970197" w:rsidRPr="00F225FC">
        <w:rPr>
          <w:b/>
          <w:i/>
        </w:rPr>
        <w:t xml:space="preserve">kurios </w:t>
      </w:r>
      <w:r w:rsidR="00C0173D">
        <w:rPr>
          <w:b/>
          <w:i/>
        </w:rPr>
        <w:t xml:space="preserve">didesniu mastu </w:t>
      </w:r>
      <w:r w:rsidR="00970197" w:rsidRPr="00F225FC">
        <w:rPr>
          <w:b/>
          <w:i/>
        </w:rPr>
        <w:t xml:space="preserve">įpareigotų </w:t>
      </w:r>
      <w:r w:rsidR="00250B96" w:rsidRPr="00F225FC">
        <w:rPr>
          <w:b/>
          <w:i/>
        </w:rPr>
        <w:t xml:space="preserve">žmones </w:t>
      </w:r>
      <w:r w:rsidR="008F3DF1" w:rsidRPr="00F225FC">
        <w:rPr>
          <w:b/>
          <w:i/>
        </w:rPr>
        <w:t>i</w:t>
      </w:r>
      <w:r w:rsidR="00F225FC">
        <w:rPr>
          <w:b/>
          <w:i/>
        </w:rPr>
        <w:t>r</w:t>
      </w:r>
      <w:r w:rsidR="00250B96" w:rsidRPr="00F225FC">
        <w:rPr>
          <w:b/>
          <w:i/>
        </w:rPr>
        <w:t xml:space="preserve"> </w:t>
      </w:r>
      <w:r w:rsidR="00BC636E" w:rsidRPr="00F225FC">
        <w:rPr>
          <w:b/>
          <w:i/>
        </w:rPr>
        <w:t>drausmintų</w:t>
      </w:r>
      <w:r w:rsidR="00250B96" w:rsidRPr="00F225FC">
        <w:rPr>
          <w:b/>
          <w:i/>
        </w:rPr>
        <w:t xml:space="preserve"> prasikaltusi</w:t>
      </w:r>
      <w:r w:rsidR="00C0173D">
        <w:rPr>
          <w:b/>
          <w:i/>
        </w:rPr>
        <w:t>us</w:t>
      </w:r>
      <w:r w:rsidR="00BC636E">
        <w:t>.</w:t>
      </w:r>
    </w:p>
    <w:p w:rsidR="00BC636E" w:rsidRDefault="003047B5" w:rsidP="006A3E00">
      <w:r>
        <w:lastRenderedPageBreak/>
        <w:t>Siekiant pa</w:t>
      </w:r>
      <w:r w:rsidR="008F3DF1">
        <w:t xml:space="preserve">keisti </w:t>
      </w:r>
      <w:r>
        <w:t>socialinių išmokų gavėj</w:t>
      </w:r>
      <w:r w:rsidR="008F3DF1">
        <w:t>ų</w:t>
      </w:r>
      <w:r w:rsidR="00E01D93">
        <w:t xml:space="preserve"> </w:t>
      </w:r>
      <w:r w:rsidR="00D05F35">
        <w:t>požiūrį</w:t>
      </w:r>
      <w:r w:rsidR="00973476">
        <w:t>,</w:t>
      </w:r>
      <w:r w:rsidR="007D3597">
        <w:t xml:space="preserve"> </w:t>
      </w:r>
      <w:r w:rsidR="008F3DF1">
        <w:t xml:space="preserve">pirmiausia reikėtų </w:t>
      </w:r>
      <w:r w:rsidR="007D3597">
        <w:t>pradėti nuo</w:t>
      </w:r>
      <w:r w:rsidR="008F3DF1">
        <w:t xml:space="preserve"> t</w:t>
      </w:r>
      <w:r w:rsidR="007D3597">
        <w:t>os</w:t>
      </w:r>
      <w:r w:rsidR="008F3DF1">
        <w:t xml:space="preserve"> nuostat</w:t>
      </w:r>
      <w:r w:rsidR="007D3597">
        <w:t>os</w:t>
      </w:r>
      <w:r w:rsidR="008F3DF1">
        <w:t>, kuri byloja, jog</w:t>
      </w:r>
      <w:r w:rsidR="00DF257F">
        <w:t xml:space="preserve"> visuomenei naudingai veiklai atlikti </w:t>
      </w:r>
      <w:r w:rsidR="007D3597">
        <w:t xml:space="preserve">yra </w:t>
      </w:r>
      <w:r w:rsidR="007B64AA">
        <w:t>pasitelkiami nedirbantys,</w:t>
      </w:r>
      <w:r w:rsidR="00DF257F">
        <w:t xml:space="preserve"> socialinę pašalpą </w:t>
      </w:r>
      <w:r w:rsidR="00834B92" w:rsidRPr="00D55D0D">
        <w:t>ilgiau kaip 6 mėn.</w:t>
      </w:r>
      <w:r w:rsidR="00834B92" w:rsidRPr="000A3006">
        <w:rPr>
          <w:i/>
        </w:rPr>
        <w:t xml:space="preserve"> </w:t>
      </w:r>
      <w:r w:rsidR="00DF257F">
        <w:t>gaunant</w:t>
      </w:r>
      <w:r w:rsidR="00F225FC">
        <w:t>ys</w:t>
      </w:r>
      <w:r w:rsidR="00D60714">
        <w:t xml:space="preserve"> </w:t>
      </w:r>
      <w:r w:rsidR="000A3006">
        <w:t>individai. Manytume, jog</w:t>
      </w:r>
      <w:r w:rsidR="001A72B3">
        <w:t xml:space="preserve"> tokio laikotarpio įtvirtinimas yra visiškai</w:t>
      </w:r>
      <w:r w:rsidR="00E05073">
        <w:t xml:space="preserve"> nepagrįstas, kadangi </w:t>
      </w:r>
      <w:r w:rsidR="006B7E84">
        <w:t>jis</w:t>
      </w:r>
      <w:r w:rsidR="00E05073">
        <w:t xml:space="preserve"> </w:t>
      </w:r>
      <w:r w:rsidR="006C6CD3">
        <w:t>leidžia suprasti</w:t>
      </w:r>
      <w:r w:rsidR="008033DE">
        <w:t xml:space="preserve">, jog </w:t>
      </w:r>
      <w:r w:rsidR="004E279D">
        <w:t xml:space="preserve">egzistuoja kažkoks </w:t>
      </w:r>
      <w:r w:rsidR="006C6CD3">
        <w:t>„</w:t>
      </w:r>
      <w:r w:rsidR="00A06F21" w:rsidRPr="001B11AB">
        <w:rPr>
          <w:i/>
        </w:rPr>
        <w:t>bandomasis</w:t>
      </w:r>
      <w:r w:rsidR="006B7E84" w:rsidRPr="001B11AB">
        <w:rPr>
          <w:i/>
        </w:rPr>
        <w:t xml:space="preserve"> periodas</w:t>
      </w:r>
      <w:r w:rsidR="006C6CD3">
        <w:t>“</w:t>
      </w:r>
      <w:r w:rsidR="00A06F21">
        <w:t>, per kurį žmogus turi apsisp</w:t>
      </w:r>
      <w:r w:rsidR="004E279D">
        <w:t>ręsti, ar jis</w:t>
      </w:r>
      <w:r w:rsidR="00E82007">
        <w:t xml:space="preserve"> </w:t>
      </w:r>
      <w:r w:rsidR="00C87311">
        <w:t xml:space="preserve">tikrai </w:t>
      </w:r>
      <w:r w:rsidR="00E82007">
        <w:t>nori</w:t>
      </w:r>
      <w:r w:rsidR="004E714A">
        <w:t xml:space="preserve"> tapti socialinės apsaugos dalyviu.</w:t>
      </w:r>
      <w:r w:rsidR="00C87311">
        <w:t xml:space="preserve"> Nekorektišk</w:t>
      </w:r>
      <w:r w:rsidR="001B11AB">
        <w:t xml:space="preserve">a </w:t>
      </w:r>
      <w:r w:rsidR="00973476">
        <w:t xml:space="preserve">yra </w:t>
      </w:r>
      <w:r w:rsidR="001B11AB">
        <w:t xml:space="preserve">ir tai, jog </w:t>
      </w:r>
      <w:r w:rsidR="00566D49">
        <w:t xml:space="preserve">darbais atsilyginti už pašalpą </w:t>
      </w:r>
      <w:r w:rsidR="00973476">
        <w:t>turi</w:t>
      </w:r>
      <w:r w:rsidR="001B11AB">
        <w:t xml:space="preserve"> tik </w:t>
      </w:r>
      <w:r w:rsidR="001B11AB" w:rsidRPr="00D55D0D">
        <w:t>nedirbantys</w:t>
      </w:r>
      <w:r w:rsidR="00566D49" w:rsidRPr="00D55D0D">
        <w:t xml:space="preserve"> </w:t>
      </w:r>
      <w:r w:rsidR="001A3148" w:rsidRPr="00D55D0D">
        <w:t>ar</w:t>
      </w:r>
      <w:r w:rsidR="00753044" w:rsidRPr="00D55D0D">
        <w:t xml:space="preserve"> papildomų kriterijų</w:t>
      </w:r>
      <w:r w:rsidR="00707844" w:rsidRPr="00D55D0D">
        <w:t>,</w:t>
      </w:r>
      <w:r w:rsidR="00707844">
        <w:t xml:space="preserve"> tokių kaip mažamečių vaikų</w:t>
      </w:r>
      <w:r w:rsidR="00707844" w:rsidRPr="00707844">
        <w:t xml:space="preserve"> </w:t>
      </w:r>
      <w:r w:rsidR="00707844">
        <w:t>auginimas, ne</w:t>
      </w:r>
      <w:r w:rsidR="00DC6C3C">
        <w:t>atitinkantys žmon</w:t>
      </w:r>
      <w:r w:rsidR="002558AE">
        <w:t>ės</w:t>
      </w:r>
      <w:r w:rsidR="0011559A">
        <w:t>:</w:t>
      </w:r>
      <w:r w:rsidR="003C4A53">
        <w:t xml:space="preserve"> tai </w:t>
      </w:r>
      <w:r w:rsidR="00A50D50" w:rsidRPr="00D55D0D">
        <w:rPr>
          <w:i/>
        </w:rPr>
        <w:t xml:space="preserve">skatina </w:t>
      </w:r>
      <w:r w:rsidR="00F34A21" w:rsidRPr="00D55D0D">
        <w:rPr>
          <w:i/>
        </w:rPr>
        <w:t xml:space="preserve">ieškoti </w:t>
      </w:r>
      <w:r w:rsidR="009D6528" w:rsidRPr="00D55D0D">
        <w:rPr>
          <w:i/>
        </w:rPr>
        <w:t>išeič</w:t>
      </w:r>
      <w:r w:rsidR="00F34A21" w:rsidRPr="00D55D0D">
        <w:rPr>
          <w:i/>
        </w:rPr>
        <w:t>ių</w:t>
      </w:r>
      <w:r w:rsidR="001C4196">
        <w:t xml:space="preserve"> (</w:t>
      </w:r>
      <w:r w:rsidR="009D6528">
        <w:t xml:space="preserve">pavyzdžiui, įsidarbinti ne visai darbo dienai ar </w:t>
      </w:r>
      <w:r w:rsidR="006C3B1E">
        <w:t xml:space="preserve">įsidarbinti </w:t>
      </w:r>
      <w:r w:rsidR="009D6528">
        <w:t>fiktyviai</w:t>
      </w:r>
      <w:r w:rsidR="001C4196">
        <w:t>)</w:t>
      </w:r>
      <w:r w:rsidR="00954C7A">
        <w:t xml:space="preserve"> </w:t>
      </w:r>
      <w:r w:rsidR="00F34A21" w:rsidRPr="00D55D0D">
        <w:rPr>
          <w:i/>
        </w:rPr>
        <w:t>ir pasiteisinimų</w:t>
      </w:r>
      <w:r w:rsidR="00BE29D0">
        <w:t xml:space="preserve"> (pavyzdžiui, manipuliuoti</w:t>
      </w:r>
      <w:r w:rsidR="00E362B8">
        <w:t xml:space="preserve"> sveikatos būkle</w:t>
      </w:r>
      <w:r w:rsidR="00BE29D0">
        <w:t>)</w:t>
      </w:r>
      <w:r w:rsidR="00F34A21">
        <w:t xml:space="preserve">, </w:t>
      </w:r>
      <w:r w:rsidR="00F34A21" w:rsidRPr="00B60A0B">
        <w:rPr>
          <w:i/>
        </w:rPr>
        <w:t xml:space="preserve">kodėl </w:t>
      </w:r>
      <w:r w:rsidR="0004223F" w:rsidRPr="00B60A0B">
        <w:rPr>
          <w:i/>
        </w:rPr>
        <w:t xml:space="preserve">parama </w:t>
      </w:r>
      <w:r w:rsidR="00B60A0B" w:rsidRPr="00B60A0B">
        <w:rPr>
          <w:i/>
        </w:rPr>
        <w:t xml:space="preserve">jiems </w:t>
      </w:r>
      <w:r w:rsidR="0004223F" w:rsidRPr="00B60A0B">
        <w:rPr>
          <w:i/>
        </w:rPr>
        <w:t xml:space="preserve">turėtų būti </w:t>
      </w:r>
      <w:r w:rsidR="00B60A0B" w:rsidRPr="00B60A0B">
        <w:rPr>
          <w:i/>
        </w:rPr>
        <w:t xml:space="preserve">teikiama </w:t>
      </w:r>
      <w:r w:rsidR="0004223F" w:rsidRPr="00B60A0B">
        <w:rPr>
          <w:i/>
        </w:rPr>
        <w:t>nemokama</w:t>
      </w:r>
      <w:r w:rsidR="00B60A0B" w:rsidRPr="00B60A0B">
        <w:rPr>
          <w:i/>
        </w:rPr>
        <w:t>i</w:t>
      </w:r>
      <w:r w:rsidR="006D5728">
        <w:t>, – ir todėl</w:t>
      </w:r>
      <w:r w:rsidR="00D55D0D">
        <w:t xml:space="preserve"> paramos </w:t>
      </w:r>
      <w:r w:rsidR="00A71694">
        <w:t xml:space="preserve">teikimas </w:t>
      </w:r>
      <w:r w:rsidR="00313D05">
        <w:t>netenka pradinio tikslo</w:t>
      </w:r>
      <w:r w:rsidR="00A71694">
        <w:t xml:space="preserve">, t. y. padėti </w:t>
      </w:r>
      <w:r w:rsidR="00015D04">
        <w:t xml:space="preserve">atsitiesti </w:t>
      </w:r>
      <w:r w:rsidR="00B31506">
        <w:t>finansin</w:t>
      </w:r>
      <w:r w:rsidR="00BF71B1">
        <w:t>ių rūpesčių užkluptiems individams</w:t>
      </w:r>
      <w:r w:rsidR="00914373">
        <w:t>.</w:t>
      </w:r>
    </w:p>
    <w:p w:rsidR="00D54A84" w:rsidRDefault="00CC3346" w:rsidP="006A3E00">
      <w:pPr>
        <w:rPr>
          <w:color w:val="0070C0"/>
        </w:rPr>
      </w:pPr>
      <w:r>
        <w:t>Taigi siūlytume</w:t>
      </w:r>
      <w:r w:rsidR="00EB5549">
        <w:t xml:space="preserve"> minėtą</w:t>
      </w:r>
      <w:r w:rsidR="00BD7485">
        <w:t xml:space="preserve"> </w:t>
      </w:r>
      <w:r w:rsidR="00B71209">
        <w:t>nuostatą keisti taip</w:t>
      </w:r>
      <w:r w:rsidR="00EB5549">
        <w:t>, kad</w:t>
      </w:r>
      <w:r w:rsidR="00B71209">
        <w:t xml:space="preserve"> </w:t>
      </w:r>
      <w:r w:rsidR="00B71209" w:rsidRPr="003C33F2">
        <w:rPr>
          <w:b/>
          <w:i/>
        </w:rPr>
        <w:t>visi darbingi darbingo amžiaus</w:t>
      </w:r>
      <w:r w:rsidR="003D2EEC" w:rsidRPr="003C33F2">
        <w:rPr>
          <w:b/>
          <w:i/>
        </w:rPr>
        <w:t xml:space="preserve"> asmenys</w:t>
      </w:r>
      <w:r w:rsidR="003D2EEC">
        <w:t xml:space="preserve">, gaunantys piniginę </w:t>
      </w:r>
      <w:r w:rsidR="00F828B5">
        <w:t xml:space="preserve">socialinę </w:t>
      </w:r>
      <w:r w:rsidR="003D2EEC">
        <w:t>paramą</w:t>
      </w:r>
      <w:r w:rsidR="00EB5549">
        <w:t xml:space="preserve">, </w:t>
      </w:r>
      <w:r w:rsidR="000A4DB7" w:rsidRPr="00C0283B">
        <w:rPr>
          <w:b/>
          <w:i/>
        </w:rPr>
        <w:t>privalėtų dalyvauti visuomenei naudingoje veikloje nuo</w:t>
      </w:r>
      <w:r w:rsidR="00C0283B" w:rsidRPr="00C0283B">
        <w:rPr>
          <w:b/>
          <w:i/>
        </w:rPr>
        <w:t xml:space="preserve"> </w:t>
      </w:r>
      <w:r w:rsidR="00010B9F" w:rsidRPr="00C0283B">
        <w:rPr>
          <w:b/>
          <w:i/>
        </w:rPr>
        <w:t xml:space="preserve">momento, kada gavo </w:t>
      </w:r>
      <w:r w:rsidR="00B02C21" w:rsidRPr="00C0283B">
        <w:rPr>
          <w:b/>
          <w:i/>
        </w:rPr>
        <w:t>pirmąją pašalpą</w:t>
      </w:r>
      <w:r w:rsidR="00B02C21">
        <w:t xml:space="preserve">. </w:t>
      </w:r>
      <w:r w:rsidR="00B02C21" w:rsidRPr="00E41B2D">
        <w:t>Išimtys</w:t>
      </w:r>
      <w:r w:rsidR="00B02C21" w:rsidRPr="00461D1B">
        <w:t xml:space="preserve"> turėtų būti taikomos</w:t>
      </w:r>
      <w:r w:rsidR="00B02C21">
        <w:t xml:space="preserve"> tik vienišiems tėvams, auginantiems</w:t>
      </w:r>
      <w:r w:rsidR="000F24E7">
        <w:t xml:space="preserve"> ikimokyklinio amžiaus vaikus</w:t>
      </w:r>
      <w:r w:rsidR="00A72905">
        <w:rPr>
          <w:rStyle w:val="FootnoteReference"/>
        </w:rPr>
        <w:footnoteReference w:id="27"/>
      </w:r>
      <w:r w:rsidR="00A72905">
        <w:t>, be</w:t>
      </w:r>
      <w:r w:rsidR="0096321F">
        <w:t xml:space="preserve">i </w:t>
      </w:r>
      <w:r w:rsidR="00941187">
        <w:t xml:space="preserve">itin </w:t>
      </w:r>
      <w:r w:rsidR="00C0283B">
        <w:t xml:space="preserve">rimtų </w:t>
      </w:r>
      <w:r w:rsidR="00A26E2B">
        <w:t xml:space="preserve">sveikatos </w:t>
      </w:r>
      <w:r w:rsidR="0031025A">
        <w:t xml:space="preserve">sutrikimų </w:t>
      </w:r>
      <w:r w:rsidR="00A26E2B">
        <w:t>turintiems</w:t>
      </w:r>
      <w:r w:rsidR="00D82F4B">
        <w:t xml:space="preserve"> žmonėms</w:t>
      </w:r>
      <w:r w:rsidR="0096321F">
        <w:t>, kuri</w:t>
      </w:r>
      <w:r w:rsidR="00CE1910">
        <w:t>ų</w:t>
      </w:r>
      <w:r w:rsidR="00D82F4B">
        <w:t>,</w:t>
      </w:r>
      <w:r w:rsidR="0096321F" w:rsidRPr="00D82F4B">
        <w:t xml:space="preserve"> kaip ir</w:t>
      </w:r>
      <w:r w:rsidR="00941187">
        <w:t xml:space="preserve"> nedarbo </w:t>
      </w:r>
      <w:r w:rsidR="00461D1B" w:rsidRPr="00D82F4B">
        <w:t>išmokas gaunan</w:t>
      </w:r>
      <w:r w:rsidR="00CE1910" w:rsidRPr="00D82F4B">
        <w:t>čių</w:t>
      </w:r>
      <w:r w:rsidR="00461D1B" w:rsidRPr="00D82F4B">
        <w:t xml:space="preserve"> asmen</w:t>
      </w:r>
      <w:r w:rsidR="00CE1910" w:rsidRPr="00D82F4B">
        <w:t>ų</w:t>
      </w:r>
      <w:r w:rsidR="00D82F4B" w:rsidRPr="00D82F4B">
        <w:t>,</w:t>
      </w:r>
      <w:r w:rsidR="00461D1B" w:rsidRPr="00D82F4B">
        <w:t xml:space="preserve"> </w:t>
      </w:r>
      <w:r w:rsidR="00A26E2B">
        <w:t>tinkamumas darbui būtų tikrinamas</w:t>
      </w:r>
      <w:r w:rsidR="00EE11AA">
        <w:t>, nukreipiant</w:t>
      </w:r>
      <w:r w:rsidR="009E3FA5">
        <w:t xml:space="preserve"> </w:t>
      </w:r>
      <w:r w:rsidR="004000D7">
        <w:t xml:space="preserve">juos </w:t>
      </w:r>
      <w:r w:rsidR="009E3FA5">
        <w:t>į gydymo įstaigą</w:t>
      </w:r>
      <w:r w:rsidR="00EE11AA">
        <w:t xml:space="preserve">, </w:t>
      </w:r>
      <w:r w:rsidR="00FF427A">
        <w:t xml:space="preserve">– </w:t>
      </w:r>
      <w:r w:rsidR="00EE11AA">
        <w:t>tačiau ne bet k</w:t>
      </w:r>
      <w:r w:rsidR="004000D7">
        <w:t>ur</w:t>
      </w:r>
      <w:r w:rsidR="00EE11AA">
        <w:t xml:space="preserve">, o </w:t>
      </w:r>
      <w:r w:rsidR="00BE7D7D">
        <w:t>pas</w:t>
      </w:r>
      <w:r w:rsidR="000C52F5">
        <w:t xml:space="preserve"> </w:t>
      </w:r>
      <w:r w:rsidR="00BE7D7D">
        <w:t xml:space="preserve">konkrečius </w:t>
      </w:r>
      <w:r w:rsidR="004000D7">
        <w:t>specialist</w:t>
      </w:r>
      <w:r w:rsidR="00BE7D7D">
        <w:t>us,</w:t>
      </w:r>
      <w:r w:rsidR="00310DF9">
        <w:t xml:space="preserve"> kitaip tariant – </w:t>
      </w:r>
      <w:r w:rsidR="000C52F5">
        <w:t>siūloma didinti bendradarbiavimą,</w:t>
      </w:r>
      <w:r w:rsidR="00A62086">
        <w:t xml:space="preserve"> kad sumažėtų neteisėtų lūkesčių realizavimas.</w:t>
      </w:r>
      <w:r w:rsidR="00FA141F">
        <w:t xml:space="preserve"> </w:t>
      </w:r>
      <w:r w:rsidR="00310DF9">
        <w:t xml:space="preserve">Be to, </w:t>
      </w:r>
      <w:r w:rsidR="00310DF9" w:rsidRPr="00310DF9">
        <w:rPr>
          <w:b/>
          <w:i/>
        </w:rPr>
        <w:t>a</w:t>
      </w:r>
      <w:r w:rsidR="0016654A" w:rsidRPr="00310DF9">
        <w:rPr>
          <w:b/>
          <w:i/>
        </w:rPr>
        <w:t>tlikti</w:t>
      </w:r>
      <w:r w:rsidR="0016654A" w:rsidRPr="00CE14D0">
        <w:rPr>
          <w:b/>
          <w:i/>
        </w:rPr>
        <w:t xml:space="preserve"> </w:t>
      </w:r>
      <w:r w:rsidR="00FA141F" w:rsidRPr="00CE14D0">
        <w:rPr>
          <w:b/>
          <w:i/>
        </w:rPr>
        <w:t>visuomenei nauding</w:t>
      </w:r>
      <w:r w:rsidR="0016654A" w:rsidRPr="00CE14D0">
        <w:rPr>
          <w:b/>
          <w:i/>
        </w:rPr>
        <w:t>us</w:t>
      </w:r>
      <w:r w:rsidR="00DE4E93" w:rsidRPr="00CE14D0">
        <w:rPr>
          <w:b/>
          <w:i/>
        </w:rPr>
        <w:t xml:space="preserve"> </w:t>
      </w:r>
      <w:r w:rsidR="0016654A" w:rsidRPr="00CE14D0">
        <w:rPr>
          <w:b/>
          <w:i/>
        </w:rPr>
        <w:t xml:space="preserve">darbus </w:t>
      </w:r>
      <w:r w:rsidR="00FA141F" w:rsidRPr="00CE14D0">
        <w:rPr>
          <w:b/>
          <w:i/>
        </w:rPr>
        <w:t>turėtų ir tie</w:t>
      </w:r>
      <w:r w:rsidR="005E3AC9">
        <w:rPr>
          <w:b/>
          <w:i/>
        </w:rPr>
        <w:t xml:space="preserve"> asmenys</w:t>
      </w:r>
      <w:r w:rsidR="00FA141F" w:rsidRPr="00CE14D0">
        <w:rPr>
          <w:b/>
          <w:i/>
        </w:rPr>
        <w:t xml:space="preserve">, kurie </w:t>
      </w:r>
      <w:r w:rsidR="0016654A" w:rsidRPr="00CE14D0">
        <w:rPr>
          <w:b/>
          <w:i/>
        </w:rPr>
        <w:t>pašalpos gavimo met</w:t>
      </w:r>
      <w:r w:rsidR="00BC776D" w:rsidRPr="00CE14D0">
        <w:rPr>
          <w:b/>
          <w:i/>
        </w:rPr>
        <w:t xml:space="preserve">u būtų </w:t>
      </w:r>
      <w:r w:rsidR="00FA141F" w:rsidRPr="00CE14D0">
        <w:rPr>
          <w:b/>
          <w:i/>
        </w:rPr>
        <w:t>dirbantys</w:t>
      </w:r>
      <w:r w:rsidR="00DE4E93">
        <w:t xml:space="preserve">, – tik jiems būtų suteikta galimybė atlikti </w:t>
      </w:r>
      <w:r w:rsidR="005E3AC9">
        <w:t xml:space="preserve">šią </w:t>
      </w:r>
      <w:r w:rsidR="00DE4E93">
        <w:t xml:space="preserve">pareigą </w:t>
      </w:r>
      <w:r w:rsidR="00B64013">
        <w:t xml:space="preserve">kitu nei jų darbo valandos </w:t>
      </w:r>
      <w:r w:rsidR="00BD3994">
        <w:t>laiku</w:t>
      </w:r>
      <w:r w:rsidR="00D14E2E">
        <w:t>.</w:t>
      </w:r>
    </w:p>
    <w:p w:rsidR="00F80CC8" w:rsidRDefault="00700A6F" w:rsidP="006A3E00">
      <w:r w:rsidRPr="00427198">
        <w:rPr>
          <w:b/>
          <w:i/>
        </w:rPr>
        <w:t>Be pateisinamos priežasties n</w:t>
      </w:r>
      <w:r w:rsidR="00FA141F" w:rsidRPr="00427198">
        <w:rPr>
          <w:b/>
          <w:i/>
        </w:rPr>
        <w:t>eatvykus</w:t>
      </w:r>
      <w:r w:rsidR="00FA141F">
        <w:t xml:space="preserve"> į</w:t>
      </w:r>
      <w:r w:rsidR="00BD3994">
        <w:t xml:space="preserve"> visuomenei naudingos veiklos atlikimo vietą </w:t>
      </w:r>
      <w:r w:rsidR="00BD3994" w:rsidRPr="006951B9">
        <w:rPr>
          <w:i/>
        </w:rPr>
        <w:t>daugiau kaip du kartus iš eilės</w:t>
      </w:r>
      <w:r w:rsidR="00DC2C7A">
        <w:t xml:space="preserve">, </w:t>
      </w:r>
      <w:r w:rsidR="00DC2C7A" w:rsidRPr="00700F95">
        <w:rPr>
          <w:b/>
          <w:i/>
        </w:rPr>
        <w:t>pašalpos mokėjimas turėtų būti</w:t>
      </w:r>
      <w:r w:rsidR="00DC2C7A">
        <w:t xml:space="preserve"> ne sustabdytas „iki pareiga bus įvykdyta“, </w:t>
      </w:r>
      <w:r w:rsidR="006951B9">
        <w:t xml:space="preserve">o </w:t>
      </w:r>
      <w:r w:rsidR="006951B9" w:rsidRPr="00700F95">
        <w:rPr>
          <w:b/>
          <w:i/>
        </w:rPr>
        <w:t>nutrauktas</w:t>
      </w:r>
      <w:r w:rsidR="00AE0DE7">
        <w:t xml:space="preserve"> </w:t>
      </w:r>
      <w:r w:rsidR="00361EE1" w:rsidRPr="00A936A2">
        <w:rPr>
          <w:b/>
          <w:i/>
        </w:rPr>
        <w:t xml:space="preserve">3 mėn. </w:t>
      </w:r>
      <w:r w:rsidR="00AE0DE7" w:rsidRPr="00A936A2">
        <w:rPr>
          <w:b/>
          <w:i/>
        </w:rPr>
        <w:t>laikotarpiui</w:t>
      </w:r>
      <w:r w:rsidR="00A936A2">
        <w:t>, kad žmogus</w:t>
      </w:r>
      <w:r w:rsidR="007A6E9E">
        <w:t xml:space="preserve"> </w:t>
      </w:r>
      <w:r>
        <w:t>suvokt</w:t>
      </w:r>
      <w:r w:rsidR="007A6E9E">
        <w:t>ų, jog</w:t>
      </w:r>
      <w:r w:rsidR="00361EE1">
        <w:t xml:space="preserve"> kiekviena teisė yra grindžiama pareiga, kurios nevykdymas</w:t>
      </w:r>
      <w:r>
        <w:t xml:space="preserve"> </w:t>
      </w:r>
      <w:r w:rsidR="00C12A5E">
        <w:t xml:space="preserve">turi </w:t>
      </w:r>
      <w:r>
        <w:t>tam tikrų pasekmių.</w:t>
      </w:r>
      <w:r w:rsidR="002A320D">
        <w:t xml:space="preserve"> </w:t>
      </w:r>
      <w:r w:rsidR="005576D8">
        <w:t>Nepakeista</w:t>
      </w:r>
      <w:r w:rsidR="002A320D">
        <w:t xml:space="preserve"> turėtų </w:t>
      </w:r>
      <w:r w:rsidR="005576D8">
        <w:t xml:space="preserve">būti </w:t>
      </w:r>
      <w:r w:rsidR="00F80CC8">
        <w:t>tik ta nuostata</w:t>
      </w:r>
      <w:r w:rsidR="00427198">
        <w:t xml:space="preserve">, </w:t>
      </w:r>
      <w:r w:rsidR="002A320D">
        <w:t xml:space="preserve">jog </w:t>
      </w:r>
      <w:r w:rsidR="00AD369B">
        <w:t>vaik</w:t>
      </w:r>
      <w:r w:rsidR="00A94A6C">
        <w:t>ams</w:t>
      </w:r>
      <w:r w:rsidR="00AD369B">
        <w:t xml:space="preserve"> socialinė</w:t>
      </w:r>
      <w:r w:rsidR="00946AAD">
        <w:t xml:space="preserve"> pašalpa</w:t>
      </w:r>
      <w:r w:rsidR="002E0123">
        <w:t>, derinant jos teikimo formą,</w:t>
      </w:r>
      <w:r w:rsidR="00946AAD">
        <w:t xml:space="preserve"> turėtų būti skiriama bet kokiu atveju</w:t>
      </w:r>
      <w:r w:rsidR="002E0123">
        <w:t xml:space="preserve">, </w:t>
      </w:r>
      <w:r w:rsidR="00946AAD">
        <w:t xml:space="preserve">t. y. nepriklausomai nuo </w:t>
      </w:r>
      <w:r w:rsidR="00A94A6C">
        <w:t xml:space="preserve">jų </w:t>
      </w:r>
      <w:r w:rsidR="005576D8">
        <w:t>tėvų</w:t>
      </w:r>
      <w:r w:rsidR="00D47ABE">
        <w:t xml:space="preserve"> priimtų sprendimų, </w:t>
      </w:r>
      <w:r w:rsidR="00FF3A15">
        <w:t xml:space="preserve">– </w:t>
      </w:r>
      <w:r w:rsidR="00D47ABE">
        <w:t xml:space="preserve">tačiau, mūsų požiūriu, </w:t>
      </w:r>
      <w:r w:rsidR="00FF3A15">
        <w:t>tikslingiau</w:t>
      </w:r>
      <w:r w:rsidR="00C755CD">
        <w:t xml:space="preserve"> </w:t>
      </w:r>
      <w:r w:rsidR="00D848B7">
        <w:t xml:space="preserve">ją </w:t>
      </w:r>
      <w:r w:rsidR="00FF3A15">
        <w:t>būtų</w:t>
      </w:r>
      <w:r w:rsidR="00C755CD">
        <w:t xml:space="preserve"> teikti natūra</w:t>
      </w:r>
      <w:r w:rsidR="00D848B7">
        <w:t xml:space="preserve">, kad tėvai neišvaistytų </w:t>
      </w:r>
      <w:r w:rsidR="00F80CC8">
        <w:t xml:space="preserve">gautų </w:t>
      </w:r>
      <w:r w:rsidR="00D848B7">
        <w:t>lėšų saviems tikslams.</w:t>
      </w:r>
      <w:r w:rsidR="00F80CC8">
        <w:t xml:space="preserve"> </w:t>
      </w:r>
      <w:r w:rsidR="00F80CC8" w:rsidRPr="004E374C">
        <w:t>Manytume, jog „priversti“ dir</w:t>
      </w:r>
      <w:r w:rsidR="001943A4">
        <w:t>bti visus piniginės socialinės paramos</w:t>
      </w:r>
      <w:r w:rsidR="00F80CC8" w:rsidRPr="004E374C">
        <w:t xml:space="preserve"> gavėjus yra būtina jų pačių labui, nes: nedirbant, atrofuojasi smegenys, prarandami gebėjimai, silpsta kūnas, </w:t>
      </w:r>
      <w:r w:rsidR="00F80CC8">
        <w:t>– ir</w:t>
      </w:r>
      <w:r w:rsidR="00F80CC8" w:rsidRPr="004E374C">
        <w:t xml:space="preserve"> žmogus tampa</w:t>
      </w:r>
      <w:r w:rsidR="00F80CC8">
        <w:t xml:space="preserve"> visiškai bevertis.</w:t>
      </w:r>
    </w:p>
    <w:p w:rsidR="00E86584" w:rsidRDefault="00C64C61" w:rsidP="006A3E00">
      <w:r>
        <w:t>Kalbant apie tuos</w:t>
      </w:r>
      <w:r w:rsidR="00916CFC">
        <w:t xml:space="preserve"> asmenis</w:t>
      </w:r>
      <w:r>
        <w:t xml:space="preserve">, kurie </w:t>
      </w:r>
      <w:r w:rsidR="009A3C71">
        <w:t>teisę į socialinę paramą įgyja</w:t>
      </w:r>
      <w:r>
        <w:t xml:space="preserve"> neteisėtai</w:t>
      </w:r>
      <w:r w:rsidR="009A3C71">
        <w:t xml:space="preserve">s veiksmais, </w:t>
      </w:r>
      <w:r w:rsidR="00916CFC">
        <w:t>reik</w:t>
      </w:r>
      <w:r>
        <w:t>tų pasakyti, jog</w:t>
      </w:r>
      <w:r w:rsidR="007C5DA0">
        <w:t xml:space="preserve">, </w:t>
      </w:r>
      <w:r w:rsidR="00EF5434" w:rsidRPr="00CB52B9">
        <w:rPr>
          <w:i/>
        </w:rPr>
        <w:t>gavus informacijos</w:t>
      </w:r>
      <w:r w:rsidR="00784D56">
        <w:rPr>
          <w:rStyle w:val="FootnoteReference"/>
          <w:i/>
        </w:rPr>
        <w:footnoteReference w:id="28"/>
      </w:r>
      <w:r w:rsidR="007C5DA0">
        <w:t xml:space="preserve">, </w:t>
      </w:r>
      <w:r w:rsidR="00EF5434">
        <w:t xml:space="preserve">kad </w:t>
      </w:r>
      <w:r w:rsidR="004E5352">
        <w:t xml:space="preserve">piniginės socialinės paramos teikimo </w:t>
      </w:r>
      <w:r w:rsidR="004C3EAC">
        <w:t>met</w:t>
      </w:r>
      <w:r w:rsidR="004E5352">
        <w:t xml:space="preserve">u </w:t>
      </w:r>
      <w:r w:rsidR="00362BD3">
        <w:t>žmogus gavo</w:t>
      </w:r>
      <w:r w:rsidR="004E5352">
        <w:t xml:space="preserve"> </w:t>
      </w:r>
      <w:r w:rsidR="006C347E">
        <w:t>nelegal</w:t>
      </w:r>
      <w:r w:rsidR="00362BD3">
        <w:t>i</w:t>
      </w:r>
      <w:r w:rsidR="006C347E">
        <w:t>ų</w:t>
      </w:r>
      <w:r w:rsidR="007319BF">
        <w:t xml:space="preserve"> pajamų</w:t>
      </w:r>
      <w:r w:rsidR="00D00735">
        <w:t> /</w:t>
      </w:r>
      <w:r w:rsidR="004C3EAC">
        <w:t xml:space="preserve"> dirbo nelegalų</w:t>
      </w:r>
      <w:r w:rsidR="00F41054">
        <w:t xml:space="preserve"> darbą</w:t>
      </w:r>
      <w:r w:rsidR="00EF5434">
        <w:t xml:space="preserve">, </w:t>
      </w:r>
      <w:r w:rsidR="004E5352">
        <w:t>socialinės</w:t>
      </w:r>
      <w:r w:rsidR="00175CEB">
        <w:t xml:space="preserve"> pašalpos ir kompensacijų teikimas</w:t>
      </w:r>
      <w:r w:rsidR="00CB6EFB">
        <w:t xml:space="preserve"> turėtų būti ne apribojamas</w:t>
      </w:r>
      <w:r w:rsidR="004670C2">
        <w:t xml:space="preserve"> tam tikram laik</w:t>
      </w:r>
      <w:r w:rsidR="00A936A2">
        <w:t>ui</w:t>
      </w:r>
      <w:r w:rsidR="004670C2">
        <w:t xml:space="preserve">, o </w:t>
      </w:r>
      <w:r w:rsidR="004670C2" w:rsidRPr="00A936A2">
        <w:rPr>
          <w:b/>
          <w:i/>
        </w:rPr>
        <w:t>nutrauktas</w:t>
      </w:r>
      <w:r w:rsidR="00A463FB">
        <w:rPr>
          <w:b/>
          <w:i/>
        </w:rPr>
        <w:t xml:space="preserve"> (</w:t>
      </w:r>
      <w:r w:rsidR="00A463FB">
        <w:rPr>
          <w:b/>
          <w:i/>
          <w:lang w:val="en-US"/>
        </w:rPr>
        <w:t>!</w:t>
      </w:r>
      <w:r w:rsidR="00A463FB">
        <w:rPr>
          <w:b/>
          <w:i/>
        </w:rPr>
        <w:t>)</w:t>
      </w:r>
      <w:r w:rsidR="005C0A46" w:rsidRPr="00A936A2">
        <w:rPr>
          <w:b/>
          <w:i/>
        </w:rPr>
        <w:t xml:space="preserve"> </w:t>
      </w:r>
      <w:r w:rsidR="001144CD" w:rsidRPr="00A936A2">
        <w:rPr>
          <w:b/>
          <w:i/>
        </w:rPr>
        <w:t xml:space="preserve">– </w:t>
      </w:r>
      <w:r w:rsidR="005C0A46" w:rsidRPr="001F3A94">
        <w:rPr>
          <w:b/>
          <w:i/>
        </w:rPr>
        <w:t xml:space="preserve">be teisės </w:t>
      </w:r>
      <w:r w:rsidR="004C540F">
        <w:rPr>
          <w:b/>
          <w:i/>
        </w:rPr>
        <w:t xml:space="preserve">sugrįžti į </w:t>
      </w:r>
      <w:r w:rsidR="001144CD" w:rsidRPr="00A936A2">
        <w:rPr>
          <w:b/>
          <w:i/>
        </w:rPr>
        <w:t xml:space="preserve">socialinės paramos </w:t>
      </w:r>
      <w:r w:rsidR="00C315F9" w:rsidRPr="00A936A2">
        <w:rPr>
          <w:b/>
          <w:i/>
        </w:rPr>
        <w:t>program</w:t>
      </w:r>
      <w:r w:rsidR="00A463FB">
        <w:rPr>
          <w:b/>
          <w:i/>
        </w:rPr>
        <w:t>ą</w:t>
      </w:r>
      <w:r w:rsidR="00662E69" w:rsidRPr="001F3A94">
        <w:rPr>
          <w:b/>
          <w:i/>
        </w:rPr>
        <w:t xml:space="preserve"> </w:t>
      </w:r>
      <w:r w:rsidR="005C0A46" w:rsidRPr="001F3A94">
        <w:rPr>
          <w:b/>
          <w:i/>
        </w:rPr>
        <w:t xml:space="preserve">artimiausius </w:t>
      </w:r>
      <w:r w:rsidR="00662E69" w:rsidRPr="001F3A94">
        <w:rPr>
          <w:b/>
          <w:i/>
        </w:rPr>
        <w:t>vien</w:t>
      </w:r>
      <w:r w:rsidR="00D00735">
        <w:rPr>
          <w:b/>
          <w:i/>
        </w:rPr>
        <w:t>eri</w:t>
      </w:r>
      <w:r w:rsidR="00662E69" w:rsidRPr="001F3A94">
        <w:rPr>
          <w:b/>
          <w:i/>
        </w:rPr>
        <w:t xml:space="preserve">us </w:t>
      </w:r>
      <w:r w:rsidR="005C0A46" w:rsidRPr="001F3A94">
        <w:rPr>
          <w:b/>
          <w:i/>
        </w:rPr>
        <w:t>metus</w:t>
      </w:r>
      <w:r w:rsidR="004670C2">
        <w:t>.</w:t>
      </w:r>
    </w:p>
    <w:p w:rsidR="00CA04B6" w:rsidRPr="00CA04B6" w:rsidRDefault="00DF6B30" w:rsidP="0011261C">
      <w:pPr>
        <w:rPr>
          <w:color w:val="0070C0"/>
        </w:rPr>
      </w:pPr>
      <w:r>
        <w:lastRenderedPageBreak/>
        <w:t xml:space="preserve">Prasikaltę asmenys </w:t>
      </w:r>
      <w:r w:rsidR="0052775C">
        <w:t>turėtų būti traukiami į „juodąjį sąrašą“</w:t>
      </w:r>
      <w:r w:rsidR="003B64B3">
        <w:t>, kad kitą kartą jiems kreipiantis</w:t>
      </w:r>
      <w:r w:rsidR="009F051A">
        <w:t xml:space="preserve"> pagalbos</w:t>
      </w:r>
      <w:r w:rsidR="006B64B5">
        <w:t>, teisė į piniginę socialinę paramą</w:t>
      </w:r>
      <w:r w:rsidR="00BB3466">
        <w:t xml:space="preserve"> būtų </w:t>
      </w:r>
      <w:r w:rsidR="00DE6718">
        <w:t xml:space="preserve">ne tik </w:t>
      </w:r>
      <w:r w:rsidR="00BB3466">
        <w:t>tikrinama turto ir pajamų testais, kurie paprastai</w:t>
      </w:r>
      <w:r w:rsidR="008A4DF3">
        <w:t xml:space="preserve"> yra atliekami, remiantis dokumentais</w:t>
      </w:r>
      <w:r w:rsidR="007F7CDF">
        <w:t xml:space="preserve"> </w:t>
      </w:r>
      <w:r w:rsidR="00213FCF">
        <w:t>ar</w:t>
      </w:r>
      <w:r w:rsidR="00FF0209">
        <w:t xml:space="preserve"> gyvenamojo ploto apžiūrėjimu</w:t>
      </w:r>
      <w:r w:rsidR="008A4DF3">
        <w:t>, bet ir</w:t>
      </w:r>
      <w:r w:rsidR="007F7CDF">
        <w:t xml:space="preserve"> </w:t>
      </w:r>
      <w:r w:rsidR="00DE6718">
        <w:t xml:space="preserve">grindžiama </w:t>
      </w:r>
      <w:r w:rsidR="007F7CDF">
        <w:t>jų aplinkos įvertinimu</w:t>
      </w:r>
      <w:r w:rsidR="00CF0B89">
        <w:t xml:space="preserve">, </w:t>
      </w:r>
      <w:r w:rsidR="00DE6718">
        <w:t>kuriam didel</w:t>
      </w:r>
      <w:r w:rsidR="00900C58">
        <w:t>ę</w:t>
      </w:r>
      <w:r w:rsidR="00DE6718">
        <w:t xml:space="preserve"> įtak</w:t>
      </w:r>
      <w:r w:rsidR="00900C58">
        <w:t>ą</w:t>
      </w:r>
      <w:r w:rsidR="00DE6718">
        <w:t xml:space="preserve"> </w:t>
      </w:r>
      <w:r w:rsidR="00900C58">
        <w:t xml:space="preserve">darytų </w:t>
      </w:r>
      <w:r w:rsidR="009F36E8">
        <w:t>kitų žmonių</w:t>
      </w:r>
      <w:r w:rsidR="00083A2A">
        <w:t>, turinčių tam tikrą kontaktą su socialinės pašalpos gavėjais, pastebėjimai</w:t>
      </w:r>
      <w:r w:rsidR="00532566">
        <w:rPr>
          <w:rStyle w:val="FootnoteReference"/>
        </w:rPr>
        <w:footnoteReference w:id="29"/>
      </w:r>
      <w:r w:rsidR="00083A2A">
        <w:t xml:space="preserve">. </w:t>
      </w:r>
      <w:r w:rsidR="0070239A">
        <w:t>Tai reiškia, jog</w:t>
      </w:r>
      <w:r w:rsidR="00D0285A">
        <w:t xml:space="preserve"> </w:t>
      </w:r>
      <w:r w:rsidR="00D0285A" w:rsidRPr="00684549">
        <w:rPr>
          <w:b/>
          <w:i/>
        </w:rPr>
        <w:t>socialinės paramos centruose daugiau dėmesio turėtų būti skir</w:t>
      </w:r>
      <w:r w:rsidR="0070239A">
        <w:rPr>
          <w:b/>
          <w:i/>
        </w:rPr>
        <w:t>ta</w:t>
      </w:r>
      <w:r w:rsidR="00D0285A" w:rsidRPr="00684549">
        <w:rPr>
          <w:b/>
          <w:i/>
        </w:rPr>
        <w:t xml:space="preserve"> įvertinimui</w:t>
      </w:r>
      <w:r w:rsidR="00D0285A">
        <w:t xml:space="preserve">, </w:t>
      </w:r>
      <w:r w:rsidR="00D0285A" w:rsidRPr="00D47ABE">
        <w:rPr>
          <w:b/>
          <w:i/>
        </w:rPr>
        <w:t>ar parama žmogui tikrai reikalinga</w:t>
      </w:r>
      <w:r w:rsidR="00416B4D">
        <w:t xml:space="preserve">. </w:t>
      </w:r>
      <w:r w:rsidR="00262B6C">
        <w:t>Be to, r</w:t>
      </w:r>
      <w:r w:rsidR="00416B4D">
        <w:t>eikalingumas turėtų būti vertinamas</w:t>
      </w:r>
      <w:r w:rsidR="00132E4D">
        <w:t xml:space="preserve"> ir vėlesniais laikotarpiais, </w:t>
      </w:r>
      <w:r w:rsidR="00262B6C">
        <w:t xml:space="preserve">kuomet pašalpos </w:t>
      </w:r>
      <w:r w:rsidR="00C22C68">
        <w:t xml:space="preserve">jau </w:t>
      </w:r>
      <w:r w:rsidR="00BC6A2D">
        <w:t xml:space="preserve">yra </w:t>
      </w:r>
      <w:r w:rsidR="00C22C68">
        <w:t>mokamos: jei</w:t>
      </w:r>
      <w:r w:rsidR="00BC6A2D">
        <w:t xml:space="preserve"> žmogus</w:t>
      </w:r>
      <w:r w:rsidR="00AC5614">
        <w:t xml:space="preserve"> </w:t>
      </w:r>
      <w:r w:rsidR="00213FCF">
        <w:t>nedėtų pastangų</w:t>
      </w:r>
      <w:r w:rsidR="00FC573D">
        <w:t xml:space="preserve"> pakeisti </w:t>
      </w:r>
      <w:r w:rsidR="00806EF3">
        <w:t xml:space="preserve">savo socialinį </w:t>
      </w:r>
      <w:r w:rsidR="00FC573D">
        <w:t>status</w:t>
      </w:r>
      <w:r w:rsidR="00806EF3">
        <w:t xml:space="preserve">ą, </w:t>
      </w:r>
      <w:r w:rsidR="00900883">
        <w:t xml:space="preserve">tuomet būtų galima </w:t>
      </w:r>
      <w:r w:rsidR="005271E6">
        <w:t xml:space="preserve">pradėti </w:t>
      </w:r>
      <w:r w:rsidR="00422F90">
        <w:t xml:space="preserve">mažinti </w:t>
      </w:r>
      <w:r w:rsidR="00900883">
        <w:t>pašalpos dyd</w:t>
      </w:r>
      <w:r w:rsidR="00422F90">
        <w:t>į</w:t>
      </w:r>
      <w:r w:rsidR="00485696">
        <w:t xml:space="preserve">, kas šiuo metu </w:t>
      </w:r>
      <w:r w:rsidR="0011261C">
        <w:t xml:space="preserve">yra </w:t>
      </w:r>
      <w:r w:rsidR="00485696">
        <w:t>daroma, tik</w:t>
      </w:r>
      <w:r w:rsidR="00FC573D">
        <w:t xml:space="preserve"> </w:t>
      </w:r>
      <w:r w:rsidR="005F45DA">
        <w:t>suėjus 36</w:t>
      </w:r>
      <w:r w:rsidR="00BC6A2D">
        <w:t>-tam</w:t>
      </w:r>
      <w:r w:rsidR="0026343F">
        <w:t xml:space="preserve"> </w:t>
      </w:r>
      <w:r w:rsidR="005271E6">
        <w:t>pašalpo</w:t>
      </w:r>
      <w:r w:rsidR="0026343F">
        <w:t>s mokėjimo mėn</w:t>
      </w:r>
      <w:r w:rsidR="0011261C">
        <w:t>esiui</w:t>
      </w:r>
      <w:r w:rsidR="005F45DA">
        <w:t>.</w:t>
      </w:r>
    </w:p>
    <w:p w:rsidR="000F24E7" w:rsidRDefault="005271E6" w:rsidP="006A3E00">
      <w:r>
        <w:t xml:space="preserve">Apibendrinant, reikėtų pasakyti, jog </w:t>
      </w:r>
      <w:r w:rsidRPr="00D8637E">
        <w:rPr>
          <w:b/>
          <w:i/>
        </w:rPr>
        <w:t>didesnės atsakomybės</w:t>
      </w:r>
      <w:r w:rsidR="00D8637E" w:rsidRPr="00D8637E">
        <w:rPr>
          <w:b/>
          <w:i/>
        </w:rPr>
        <w:t xml:space="preserve"> įtvirtinimas, leistų pasiekti tokių tikslų</w:t>
      </w:r>
      <w:r w:rsidR="006A7EA7">
        <w:t>: 1) </w:t>
      </w:r>
      <w:r w:rsidR="006A7EA7" w:rsidRPr="00CA58BA">
        <w:t>įtvirtinus</w:t>
      </w:r>
      <w:r w:rsidR="00D8637E">
        <w:t xml:space="preserve"> nuostatą, jog darbais atsilyginti </w:t>
      </w:r>
      <w:r w:rsidR="003B4C20">
        <w:t xml:space="preserve">už gaunamą piniginę socialinę paramą </w:t>
      </w:r>
      <w:r w:rsidR="008C3FF7">
        <w:t>privalo visi darbingi</w:t>
      </w:r>
      <w:r w:rsidR="00963A2F">
        <w:t>, –</w:t>
      </w:r>
      <w:r w:rsidR="00197575">
        <w:rPr>
          <w:i/>
        </w:rPr>
        <w:t xml:space="preserve">o tai reiškia ir </w:t>
      </w:r>
      <w:r w:rsidR="00963A2F" w:rsidRPr="00963A2F">
        <w:rPr>
          <w:i/>
        </w:rPr>
        <w:t>dirbantys</w:t>
      </w:r>
      <w:r w:rsidR="00963A2F">
        <w:t>,</w:t>
      </w:r>
      <w:r w:rsidR="008C3FF7">
        <w:t xml:space="preserve"> </w:t>
      </w:r>
      <w:r w:rsidR="00963A2F">
        <w:t>– asmenys</w:t>
      </w:r>
      <w:r w:rsidR="003B4C20">
        <w:t xml:space="preserve">, </w:t>
      </w:r>
      <w:r w:rsidR="00061757" w:rsidRPr="0059599F">
        <w:rPr>
          <w:i/>
        </w:rPr>
        <w:t>sumažėtų neteisėt</w:t>
      </w:r>
      <w:r w:rsidR="0050276A" w:rsidRPr="0059599F">
        <w:rPr>
          <w:i/>
        </w:rPr>
        <w:t>ų</w:t>
      </w:r>
      <w:r w:rsidR="00061757" w:rsidRPr="0059599F">
        <w:rPr>
          <w:i/>
        </w:rPr>
        <w:t xml:space="preserve"> lūkesč</w:t>
      </w:r>
      <w:r w:rsidR="0050276A" w:rsidRPr="0059599F">
        <w:rPr>
          <w:i/>
        </w:rPr>
        <w:t xml:space="preserve">ių turinčių </w:t>
      </w:r>
      <w:r w:rsidR="007363B4" w:rsidRPr="0059599F">
        <w:rPr>
          <w:i/>
        </w:rPr>
        <w:t xml:space="preserve">pretendentų į </w:t>
      </w:r>
      <w:r w:rsidR="00415704" w:rsidRPr="0059599F">
        <w:rPr>
          <w:i/>
        </w:rPr>
        <w:t xml:space="preserve">pašalpą </w:t>
      </w:r>
      <w:r w:rsidR="007363B4" w:rsidRPr="0059599F">
        <w:rPr>
          <w:i/>
        </w:rPr>
        <w:t>skaičius</w:t>
      </w:r>
      <w:r w:rsidR="007162C9" w:rsidRPr="0059599F">
        <w:t>,</w:t>
      </w:r>
      <w:r w:rsidR="007162C9">
        <w:t xml:space="preserve"> kurie</w:t>
      </w:r>
      <w:r w:rsidR="00EE56FE">
        <w:t>ms dabar</w:t>
      </w:r>
      <w:r w:rsidR="00197575">
        <w:t xml:space="preserve"> sudarytos </w:t>
      </w:r>
      <w:r w:rsidR="0046201E">
        <w:t xml:space="preserve">itin </w:t>
      </w:r>
      <w:r w:rsidR="002838E7">
        <w:t xml:space="preserve">palankios </w:t>
      </w:r>
      <w:r w:rsidR="00197575">
        <w:t xml:space="preserve">sąlygos derinti pašalpos gavimą su nelegaliu darbu; </w:t>
      </w:r>
      <w:r w:rsidR="00EE7425">
        <w:t>2) </w:t>
      </w:r>
      <w:r w:rsidR="002838E7">
        <w:t>numačius</w:t>
      </w:r>
      <w:r w:rsidR="0046201E">
        <w:t xml:space="preserve"> didesnius </w:t>
      </w:r>
      <w:r w:rsidR="00040522">
        <w:t>pašalpos neskyrimo už pareigų nevykdymą</w:t>
      </w:r>
      <w:r w:rsidR="001F06C4">
        <w:t xml:space="preserve"> laikotarpius</w:t>
      </w:r>
      <w:r w:rsidR="00040522">
        <w:t>, pretendenta</w:t>
      </w:r>
      <w:r w:rsidR="006A7EA7">
        <w:t>i</w:t>
      </w:r>
      <w:r w:rsidR="00040522">
        <w:t xml:space="preserve"> </w:t>
      </w:r>
      <w:r w:rsidR="001F06C4">
        <w:t xml:space="preserve">į socialinę paramą pajustų </w:t>
      </w:r>
      <w:r w:rsidR="00781E11">
        <w:t>didesnę atsakomybę, todėl</w:t>
      </w:r>
      <w:r w:rsidR="00837214">
        <w:t xml:space="preserve"> </w:t>
      </w:r>
      <w:r w:rsidR="00266C77">
        <w:rPr>
          <w:i/>
        </w:rPr>
        <w:t xml:space="preserve">sumažėtų </w:t>
      </w:r>
      <w:r w:rsidR="00837214" w:rsidRPr="00322E95">
        <w:rPr>
          <w:i/>
        </w:rPr>
        <w:t>manipuliavimo nustatytomis taisyklėmis</w:t>
      </w:r>
      <w:r w:rsidR="00322E95" w:rsidRPr="00322E95">
        <w:rPr>
          <w:i/>
        </w:rPr>
        <w:t xml:space="preserve"> atvej</w:t>
      </w:r>
      <w:r w:rsidR="00266C77">
        <w:rPr>
          <w:i/>
        </w:rPr>
        <w:t>ų</w:t>
      </w:r>
      <w:r w:rsidR="00837214">
        <w:t>;</w:t>
      </w:r>
      <w:r w:rsidR="00322E95">
        <w:t xml:space="preserve"> 3)</w:t>
      </w:r>
      <w:r w:rsidR="0059452B">
        <w:t xml:space="preserve"> </w:t>
      </w:r>
      <w:r w:rsidR="00407DA9">
        <w:t>didesnę</w:t>
      </w:r>
      <w:r w:rsidR="00CA58BA">
        <w:t xml:space="preserve"> </w:t>
      </w:r>
      <w:r w:rsidR="00407DA9">
        <w:t xml:space="preserve">reikšmę </w:t>
      </w:r>
      <w:r w:rsidR="00B14CDE">
        <w:t>su</w:t>
      </w:r>
      <w:r w:rsidR="00A733CA">
        <w:t xml:space="preserve">teikiant </w:t>
      </w:r>
      <w:r w:rsidR="004F3A51">
        <w:t>poreikio</w:t>
      </w:r>
      <w:r w:rsidR="00CA58BA">
        <w:t xml:space="preserve"> (paramai)</w:t>
      </w:r>
      <w:r w:rsidR="006F3769">
        <w:t xml:space="preserve"> įvertinimui, </w:t>
      </w:r>
      <w:r w:rsidR="00B979BC" w:rsidRPr="00132D60">
        <w:rPr>
          <w:i/>
        </w:rPr>
        <w:t>būtų pasiektas didesnis taiklumas</w:t>
      </w:r>
      <w:r w:rsidR="00B979BC">
        <w:t xml:space="preserve">, </w:t>
      </w:r>
      <w:r w:rsidR="00A733CA">
        <w:t>nes</w:t>
      </w:r>
      <w:r w:rsidR="00B11AB1">
        <w:t>,</w:t>
      </w:r>
      <w:r w:rsidR="00B979BC">
        <w:t xml:space="preserve"> </w:t>
      </w:r>
      <w:r w:rsidR="00B14CDE">
        <w:t xml:space="preserve">išaugus </w:t>
      </w:r>
      <w:r w:rsidR="008465F9">
        <w:t>paramos siekimo</w:t>
      </w:r>
      <w:r w:rsidR="0096144F">
        <w:t xml:space="preserve"> alternatyvie</w:t>
      </w:r>
      <w:r w:rsidR="00B11AB1">
        <w:t>siems</w:t>
      </w:r>
      <w:r w:rsidR="0096144F">
        <w:t xml:space="preserve"> kašta</w:t>
      </w:r>
      <w:r w:rsidR="00B11AB1">
        <w:t xml:space="preserve">ms, </w:t>
      </w:r>
      <w:r w:rsidR="006F007E">
        <w:t>neskurstančių pretendentų į socialinę paramą skaičius automatiškai</w:t>
      </w:r>
      <w:r w:rsidR="00A733CA">
        <w:t xml:space="preserve"> sumažėtų.</w:t>
      </w:r>
    </w:p>
    <w:p w:rsidR="000F24E7" w:rsidRPr="00404939" w:rsidRDefault="00DF2FBB" w:rsidP="00404939">
      <w:pPr>
        <w:pStyle w:val="Heading3"/>
      </w:pPr>
      <w:bookmarkStart w:id="53" w:name="_Toc343636896"/>
      <w:r w:rsidRPr="00404939">
        <w:t>Priklausomybės nuo</w:t>
      </w:r>
      <w:r w:rsidR="00C2644F" w:rsidRPr="00404939">
        <w:t xml:space="preserve"> piniginės</w:t>
      </w:r>
      <w:r w:rsidRPr="00404939">
        <w:t xml:space="preserve"> socialinės </w:t>
      </w:r>
      <w:r w:rsidR="00C2644F" w:rsidRPr="00404939">
        <w:t xml:space="preserve">paramos </w:t>
      </w:r>
      <w:r w:rsidRPr="00404939">
        <w:t>mažinimas</w:t>
      </w:r>
      <w:bookmarkEnd w:id="53"/>
    </w:p>
    <w:p w:rsidR="000F24E7" w:rsidRDefault="00F9549F" w:rsidP="006A3E00">
      <w:r>
        <w:t>I</w:t>
      </w:r>
      <w:r w:rsidR="005C60EE">
        <w:t>šnagrinėj</w:t>
      </w:r>
      <w:r w:rsidR="00681CC4">
        <w:t xml:space="preserve">us socialinės paramos </w:t>
      </w:r>
      <w:r w:rsidR="00E04DF5">
        <w:t xml:space="preserve">nepasiturintiems </w:t>
      </w:r>
      <w:r>
        <w:t>asmeni</w:t>
      </w:r>
      <w:r w:rsidR="0016360F">
        <w:t>ms teik</w:t>
      </w:r>
      <w:r w:rsidR="00681CC4">
        <w:t>imo tvarką</w:t>
      </w:r>
      <w:r w:rsidR="00614A56">
        <w:t xml:space="preserve">, paaiškėjo, jog </w:t>
      </w:r>
      <w:r w:rsidR="005C60EE">
        <w:t xml:space="preserve">labiausiai </w:t>
      </w:r>
      <w:r w:rsidR="00614A56">
        <w:t>priklausomybę nuo piniginės socialinės paramos</w:t>
      </w:r>
      <w:r w:rsidR="00A803DB">
        <w:t xml:space="preserve"> </w:t>
      </w:r>
      <w:r w:rsidR="00346618">
        <w:t>„</w:t>
      </w:r>
      <w:r w:rsidR="00A803DB">
        <w:t>k</w:t>
      </w:r>
      <w:r w:rsidR="00736FA6">
        <w:t>uria</w:t>
      </w:r>
      <w:r w:rsidR="00346618">
        <w:t>“</w:t>
      </w:r>
      <w:r w:rsidR="000E22F3">
        <w:t xml:space="preserve"> tos nuostatos, kurios</w:t>
      </w:r>
      <w:r w:rsidR="00736FA6">
        <w:t xml:space="preserve"> byloja apie </w:t>
      </w:r>
      <w:r w:rsidR="00736FA6" w:rsidRPr="00346618">
        <w:rPr>
          <w:i/>
        </w:rPr>
        <w:t>nepertraukiamą</w:t>
      </w:r>
      <w:r w:rsidR="004F219B">
        <w:t xml:space="preserve"> naudojimąsi socialine</w:t>
      </w:r>
      <w:r w:rsidR="00823918">
        <w:t xml:space="preserve"> gerove</w:t>
      </w:r>
      <w:r w:rsidR="00C81C97">
        <w:t>, t. y. nuostata, kad nekintamo dydžio socialinė pašalpa gali būti gaunama tris metus</w:t>
      </w:r>
      <w:r w:rsidR="007162BA">
        <w:t xml:space="preserve"> iš eilės</w:t>
      </w:r>
      <w:r w:rsidR="0004677C">
        <w:t xml:space="preserve">, </w:t>
      </w:r>
      <w:r w:rsidR="00242628" w:rsidRPr="0059501A">
        <w:rPr>
          <w:i/>
        </w:rPr>
        <w:t>nesant jokioms pastangoms</w:t>
      </w:r>
      <w:r w:rsidR="00242628">
        <w:t>, ir nuostata</w:t>
      </w:r>
      <w:r w:rsidR="007162BA">
        <w:t xml:space="preserve">, kad teisė į socialinę paramą atsiranda, nedirbant ar dirbant ne </w:t>
      </w:r>
      <w:r w:rsidR="001218C5">
        <w:t>maž</w:t>
      </w:r>
      <w:r w:rsidR="007162BA">
        <w:t>iau kaip nustatytą darbo laiką</w:t>
      </w:r>
      <w:r w:rsidR="00393E4B">
        <w:t xml:space="preserve">, kas </w:t>
      </w:r>
      <w:r w:rsidR="001218C5">
        <w:t xml:space="preserve">dirbančius trumpiau </w:t>
      </w:r>
      <w:r w:rsidR="004A496C">
        <w:t xml:space="preserve">įpareigoja </w:t>
      </w:r>
      <w:r w:rsidR="001218C5">
        <w:t>atsisakyti turimo darbo.</w:t>
      </w:r>
    </w:p>
    <w:p w:rsidR="000858B8" w:rsidRDefault="00C82E61" w:rsidP="006A3E00">
      <w:r>
        <w:t>Š</w:t>
      </w:r>
      <w:r w:rsidR="004A496C" w:rsidRPr="00524A07">
        <w:t>ioms spragoms</w:t>
      </w:r>
      <w:r w:rsidR="00C21956">
        <w:t xml:space="preserve"> </w:t>
      </w:r>
      <w:r>
        <w:t>šal</w:t>
      </w:r>
      <w:r w:rsidR="00C21956">
        <w:t>inti</w:t>
      </w:r>
      <w:r w:rsidR="00CD10F4">
        <w:t>,</w:t>
      </w:r>
      <w:r w:rsidR="00797C6D" w:rsidRPr="00524A07">
        <w:t xml:space="preserve"> </w:t>
      </w:r>
      <w:r w:rsidR="004A496C" w:rsidRPr="00524A07">
        <w:t>pirmiausia</w:t>
      </w:r>
      <w:r w:rsidR="00CD10F4">
        <w:t>,</w:t>
      </w:r>
      <w:r w:rsidR="004A496C" w:rsidRPr="00524A07">
        <w:t xml:space="preserve"> siūlytume </w:t>
      </w:r>
      <w:r w:rsidR="004A496C" w:rsidRPr="0059501A">
        <w:rPr>
          <w:b/>
          <w:i/>
        </w:rPr>
        <w:t xml:space="preserve">mažinti pašalpos mokėjimo </w:t>
      </w:r>
      <w:r>
        <w:rPr>
          <w:b/>
          <w:i/>
        </w:rPr>
        <w:t xml:space="preserve">trukmę </w:t>
      </w:r>
      <w:r w:rsidR="004A496C" w:rsidRPr="00524A07">
        <w:t xml:space="preserve">tiems </w:t>
      </w:r>
      <w:r w:rsidR="00CD10F4">
        <w:t>asmenims</w:t>
      </w:r>
      <w:r w:rsidR="004716EF" w:rsidRPr="00524A07">
        <w:t xml:space="preserve">, kurių paskatos </w:t>
      </w:r>
      <w:r w:rsidR="00797C6D" w:rsidRPr="00524A07">
        <w:t>grįžti į darbo rinką yra „nulinės“</w:t>
      </w:r>
      <w:r w:rsidR="009F618D" w:rsidRPr="00524A07">
        <w:t xml:space="preserve">, </w:t>
      </w:r>
      <w:r w:rsidR="00CD10F4">
        <w:t>i</w:t>
      </w:r>
      <w:r w:rsidR="00F516E1">
        <w:t>r</w:t>
      </w:r>
      <w:r w:rsidR="009F618D" w:rsidRPr="00524A07">
        <w:t xml:space="preserve"> </w:t>
      </w:r>
      <w:r w:rsidR="00010543" w:rsidRPr="00CE7204">
        <w:rPr>
          <w:b/>
          <w:i/>
        </w:rPr>
        <w:t xml:space="preserve">atsisakyti </w:t>
      </w:r>
      <w:r w:rsidR="009F618D" w:rsidRPr="00CE7204">
        <w:rPr>
          <w:b/>
          <w:i/>
        </w:rPr>
        <w:t>reikalavimo</w:t>
      </w:r>
      <w:r w:rsidR="00AA7C8A" w:rsidRPr="00CE7204">
        <w:rPr>
          <w:b/>
          <w:i/>
        </w:rPr>
        <w:t xml:space="preserve"> pretendentams į pašalpą </w:t>
      </w:r>
      <w:r w:rsidR="008C42CF" w:rsidRPr="00CE7204">
        <w:rPr>
          <w:b/>
          <w:i/>
        </w:rPr>
        <w:t xml:space="preserve">dirbti </w:t>
      </w:r>
      <w:r w:rsidR="00AA7C8A" w:rsidRPr="00CE7204">
        <w:rPr>
          <w:b/>
          <w:i/>
        </w:rPr>
        <w:t xml:space="preserve">ne </w:t>
      </w:r>
      <w:r w:rsidR="001F4E3B">
        <w:rPr>
          <w:b/>
          <w:i/>
        </w:rPr>
        <w:t xml:space="preserve">mažiau </w:t>
      </w:r>
      <w:r w:rsidR="00AA7C8A" w:rsidRPr="00CE7204">
        <w:rPr>
          <w:b/>
          <w:i/>
        </w:rPr>
        <w:t xml:space="preserve">kaip </w:t>
      </w:r>
      <w:r w:rsidR="004716EF" w:rsidRPr="00CE7204">
        <w:rPr>
          <w:b/>
          <w:i/>
        </w:rPr>
        <w:t>2 / 3</w:t>
      </w:r>
      <w:r w:rsidR="00F25AF0" w:rsidRPr="00CE7204">
        <w:rPr>
          <w:b/>
          <w:i/>
        </w:rPr>
        <w:t xml:space="preserve"> </w:t>
      </w:r>
      <w:r w:rsidR="00FB7152">
        <w:rPr>
          <w:b/>
          <w:i/>
        </w:rPr>
        <w:t xml:space="preserve">nustatyto </w:t>
      </w:r>
      <w:r w:rsidR="00F25AF0" w:rsidRPr="00CE7204">
        <w:rPr>
          <w:b/>
          <w:i/>
        </w:rPr>
        <w:t>laiko</w:t>
      </w:r>
      <w:r w:rsidR="00CE7204">
        <w:t xml:space="preserve">, </w:t>
      </w:r>
      <w:r w:rsidR="00C21956">
        <w:t xml:space="preserve">– </w:t>
      </w:r>
      <w:r w:rsidR="00CE7204">
        <w:t>įtvirtinant</w:t>
      </w:r>
      <w:r w:rsidR="001F123E">
        <w:t xml:space="preserve"> </w:t>
      </w:r>
      <w:r w:rsidR="00DF6A81">
        <w:t>nuostatas</w:t>
      </w:r>
      <w:r w:rsidR="001F123E">
        <w:t>, kurios</w:t>
      </w:r>
      <w:r w:rsidR="005F61FA">
        <w:t xml:space="preserve"> padėtų </w:t>
      </w:r>
      <w:r w:rsidR="00FB0E7F" w:rsidRPr="00365464">
        <w:rPr>
          <w:i/>
        </w:rPr>
        <w:t>neatsirasti</w:t>
      </w:r>
      <w:r w:rsidR="00FB0E7F">
        <w:t xml:space="preserve"> </w:t>
      </w:r>
      <w:r w:rsidR="005F61FA">
        <w:t>pr</w:t>
      </w:r>
      <w:r w:rsidR="005F61FA" w:rsidRPr="00132431">
        <w:t>iklausomyb</w:t>
      </w:r>
      <w:r w:rsidR="00FB0E7F" w:rsidRPr="00132431">
        <w:t>ei</w:t>
      </w:r>
      <w:r w:rsidR="00E251C0" w:rsidRPr="00132431">
        <w:t xml:space="preserve"> nuo</w:t>
      </w:r>
      <w:r w:rsidR="00F516E1" w:rsidRPr="00132431">
        <w:t xml:space="preserve"> </w:t>
      </w:r>
      <w:r w:rsidR="00675FED" w:rsidRPr="00132431">
        <w:t>šalp</w:t>
      </w:r>
      <w:r w:rsidR="00512770" w:rsidRPr="00132431">
        <w:t>os</w:t>
      </w:r>
      <w:r w:rsidR="001F4E3B" w:rsidRPr="00132431">
        <w:t>,</w:t>
      </w:r>
      <w:r w:rsidR="00EC7AD3" w:rsidRPr="00132431">
        <w:t xml:space="preserve"> </w:t>
      </w:r>
      <w:r w:rsidR="001B6265" w:rsidRPr="00132431">
        <w:t>t. y.</w:t>
      </w:r>
      <w:r w:rsidR="00FB0E7F" w:rsidRPr="00132431">
        <w:t xml:space="preserve"> </w:t>
      </w:r>
      <w:r w:rsidR="001B6265" w:rsidRPr="00132431">
        <w:t>teisę į pašalpą</w:t>
      </w:r>
      <w:r w:rsidR="00365464" w:rsidRPr="00132431">
        <w:t xml:space="preserve"> </w:t>
      </w:r>
      <w:r w:rsidR="001B6265" w:rsidRPr="00132431">
        <w:t>gr</w:t>
      </w:r>
      <w:r w:rsidR="001E1B3E" w:rsidRPr="00132431">
        <w:t>indžiant</w:t>
      </w:r>
      <w:r w:rsidR="000F3120" w:rsidRPr="00132431">
        <w:t xml:space="preserve"> </w:t>
      </w:r>
      <w:r w:rsidR="008530C2" w:rsidRPr="00132431">
        <w:t>papildomomis sąlygomis.</w:t>
      </w:r>
      <w:r w:rsidR="00EC7AD3" w:rsidRPr="00132431">
        <w:t xml:space="preserve"> </w:t>
      </w:r>
      <w:r w:rsidR="0044001B" w:rsidRPr="00132431">
        <w:t xml:space="preserve">Remiantis </w:t>
      </w:r>
      <w:r w:rsidR="00445574" w:rsidRPr="00132431">
        <w:t xml:space="preserve">gerąją </w:t>
      </w:r>
      <w:r w:rsidR="0044001B" w:rsidRPr="00132431">
        <w:t>praktika</w:t>
      </w:r>
      <w:r w:rsidR="00E006BF" w:rsidRPr="00132431">
        <w:t xml:space="preserve"> (žr. 10 priedą)</w:t>
      </w:r>
      <w:r w:rsidR="00512770" w:rsidRPr="00132431">
        <w:t>,</w:t>
      </w:r>
      <w:r w:rsidR="00512770">
        <w:t xml:space="preserve"> </w:t>
      </w:r>
      <w:r w:rsidR="002646C2">
        <w:t xml:space="preserve">efektyviausias </w:t>
      </w:r>
      <w:r w:rsidR="0044001B">
        <w:t>būdas mažinti</w:t>
      </w:r>
      <w:r w:rsidR="00EC7AD3">
        <w:t xml:space="preserve"> priklausomybę </w:t>
      </w:r>
      <w:r w:rsidR="00445574">
        <w:t xml:space="preserve">yra </w:t>
      </w:r>
      <w:r w:rsidR="00A27F8F">
        <w:t>didesnių pastangų jai gauti</w:t>
      </w:r>
      <w:r w:rsidR="00404939">
        <w:t xml:space="preserve"> reikalavimas</w:t>
      </w:r>
      <w:r w:rsidR="00A27F8F">
        <w:t xml:space="preserve">, kitaip tariant, – pretendentas į </w:t>
      </w:r>
      <w:r w:rsidR="00404939">
        <w:t xml:space="preserve">pašalpą </w:t>
      </w:r>
      <w:r w:rsidR="00A27F8F">
        <w:t xml:space="preserve">turėtų ne tik registruotis darbo biržoje, bet </w:t>
      </w:r>
      <w:r w:rsidR="00223EC7">
        <w:t xml:space="preserve">ir </w:t>
      </w:r>
      <w:r w:rsidR="002646C2">
        <w:t>ieškoti</w:t>
      </w:r>
      <w:r w:rsidR="00223EC7">
        <w:t xml:space="preserve"> darbo</w:t>
      </w:r>
      <w:r w:rsidR="00A76009">
        <w:t>;</w:t>
      </w:r>
      <w:r w:rsidR="00A27F8F">
        <w:t xml:space="preserve"> dalyvauti</w:t>
      </w:r>
      <w:r w:rsidR="00CC5E6D">
        <w:t xml:space="preserve"> aktyvios darbo rinkos politikos priemonėse</w:t>
      </w:r>
      <w:r w:rsidR="00A76009">
        <w:t>;</w:t>
      </w:r>
      <w:r w:rsidR="00223EC7">
        <w:t xml:space="preserve"> </w:t>
      </w:r>
      <w:r w:rsidR="00B13DF9">
        <w:t xml:space="preserve">kaip </w:t>
      </w:r>
      <w:r w:rsidR="00E006BF">
        <w:t xml:space="preserve">ir </w:t>
      </w:r>
      <w:r w:rsidR="00B13DF9">
        <w:t>bedarbiai, turėti galimybę</w:t>
      </w:r>
      <w:r w:rsidR="00CC5E6D">
        <w:t xml:space="preserve"> priimti siūlomą </w:t>
      </w:r>
      <w:r w:rsidR="00CC5E6D" w:rsidRPr="00B713DE">
        <w:rPr>
          <w:i/>
        </w:rPr>
        <w:t>tinkamą</w:t>
      </w:r>
      <w:r w:rsidR="00CC5E6D">
        <w:t xml:space="preserve"> darb</w:t>
      </w:r>
      <w:r w:rsidR="00B713DE">
        <w:t>ą</w:t>
      </w:r>
      <w:r w:rsidR="005E00E8">
        <w:t>; bei</w:t>
      </w:r>
      <w:r w:rsidR="00B713DE">
        <w:t xml:space="preserve"> </w:t>
      </w:r>
      <w:r w:rsidR="00B13DF9">
        <w:t>atitikti darbo stažo reikalavimą</w:t>
      </w:r>
      <w:r w:rsidR="00B713DE">
        <w:t>.</w:t>
      </w:r>
      <w:r w:rsidR="002E46A1">
        <w:t xml:space="preserve"> Pastaroji sąlyga </w:t>
      </w:r>
      <w:r w:rsidR="001D103E">
        <w:t xml:space="preserve">būtina </w:t>
      </w:r>
      <w:r w:rsidR="002E46A1">
        <w:t xml:space="preserve">dėl to, kad būtų įsitikinta, jog žmogui </w:t>
      </w:r>
      <w:r w:rsidR="005E00E8">
        <w:t xml:space="preserve">tikrai </w:t>
      </w:r>
      <w:r w:rsidR="001D103E">
        <w:t xml:space="preserve">yra </w:t>
      </w:r>
      <w:r w:rsidR="002E46A1">
        <w:t>reikalinga pagalba:</w:t>
      </w:r>
      <w:r w:rsidR="00806F19">
        <w:t xml:space="preserve"> juk niekada nedirbęs </w:t>
      </w:r>
      <w:r w:rsidR="009D1159">
        <w:t>asmuo</w:t>
      </w:r>
      <w:r w:rsidR="00806F19">
        <w:t xml:space="preserve"> negali įrodyti, kad jam sunku išgyventi, jei</w:t>
      </w:r>
      <w:r w:rsidR="001D103E">
        <w:t>gu</w:t>
      </w:r>
      <w:r w:rsidR="00806F19">
        <w:t xml:space="preserve"> jis nebandė</w:t>
      </w:r>
      <w:r w:rsidR="00B9785B">
        <w:t xml:space="preserve"> to padaryti</w:t>
      </w:r>
      <w:r w:rsidR="001D103E">
        <w:rPr>
          <w:lang w:val="en-US"/>
        </w:rPr>
        <w:t>.</w:t>
      </w:r>
    </w:p>
    <w:p w:rsidR="00612F7F" w:rsidRDefault="00251902" w:rsidP="006A3E00">
      <w:r>
        <w:lastRenderedPageBreak/>
        <w:t>Mūsų</w:t>
      </w:r>
      <w:r w:rsidR="00715551">
        <w:t xml:space="preserve"> manymu</w:t>
      </w:r>
      <w:r>
        <w:t xml:space="preserve">, </w:t>
      </w:r>
      <w:r w:rsidR="00787708" w:rsidRPr="00E158B9">
        <w:rPr>
          <w:b/>
          <w:i/>
        </w:rPr>
        <w:t>suteikiant galimybę priimti darbo pasiūlym</w:t>
      </w:r>
      <w:r w:rsidR="00996D44">
        <w:rPr>
          <w:b/>
          <w:i/>
        </w:rPr>
        <w:t>ą</w:t>
      </w:r>
      <w:r w:rsidR="00655304">
        <w:t xml:space="preserve"> tokiomis pačiomis sąlygomis</w:t>
      </w:r>
      <w:r w:rsidR="00996D44">
        <w:t>,</w:t>
      </w:r>
      <w:r w:rsidR="00715551">
        <w:t xml:space="preserve"> kaip tai yra numatyta bedarbiams</w:t>
      </w:r>
      <w:r w:rsidR="00787708">
        <w:t xml:space="preserve">, </w:t>
      </w:r>
      <w:r w:rsidR="00715551">
        <w:t>turėtų trumpėti pašalp</w:t>
      </w:r>
      <w:r w:rsidR="0052601F">
        <w:t>ų</w:t>
      </w:r>
      <w:r w:rsidR="00715551">
        <w:t xml:space="preserve"> mokėjimo laikotarpiai, </w:t>
      </w:r>
      <w:r w:rsidR="00996D44">
        <w:t>nes:</w:t>
      </w:r>
      <w:r w:rsidR="00715551">
        <w:t xml:space="preserve"> </w:t>
      </w:r>
      <w:r w:rsidR="006C4653">
        <w:t xml:space="preserve">du kartus iš eilės </w:t>
      </w:r>
      <w:r w:rsidR="00715551">
        <w:t>atsisakius</w:t>
      </w:r>
      <w:r w:rsidR="006C4653">
        <w:t xml:space="preserve"> </w:t>
      </w:r>
      <w:r w:rsidR="001B2C2A">
        <w:t xml:space="preserve">siūlomo </w:t>
      </w:r>
      <w:r w:rsidR="006C4653" w:rsidRPr="00996D44">
        <w:rPr>
          <w:i/>
        </w:rPr>
        <w:t>tinkamo</w:t>
      </w:r>
      <w:r w:rsidR="006C4653">
        <w:t xml:space="preserve"> darbo</w:t>
      </w:r>
      <w:r w:rsidR="005A6AAE">
        <w:t>,</w:t>
      </w:r>
      <w:r w:rsidR="0052601F">
        <w:t xml:space="preserve"> teisė į socialinę pašalpą</w:t>
      </w:r>
      <w:r w:rsidR="00996D44">
        <w:t xml:space="preserve"> turėtų būti laikinai</w:t>
      </w:r>
      <w:r w:rsidR="0067315A">
        <w:rPr>
          <w:rStyle w:val="FootnoteReference"/>
        </w:rPr>
        <w:footnoteReference w:id="30"/>
      </w:r>
      <w:r w:rsidR="002F701C">
        <w:t xml:space="preserve"> panaikinta</w:t>
      </w:r>
      <w:r w:rsidR="0067315A">
        <w:t>. Jei</w:t>
      </w:r>
      <w:r w:rsidR="002F701C">
        <w:t>gu</w:t>
      </w:r>
      <w:r w:rsidR="005A6AAE">
        <w:t xml:space="preserve"> </w:t>
      </w:r>
      <w:r w:rsidR="005A6AAE" w:rsidRPr="00384D64">
        <w:rPr>
          <w:b/>
          <w:i/>
        </w:rPr>
        <w:t>registruotis darbo biržoje</w:t>
      </w:r>
      <w:r w:rsidR="005A6AAE">
        <w:t xml:space="preserve"> būtų </w:t>
      </w:r>
      <w:r w:rsidR="003555A0">
        <w:t xml:space="preserve">reikalaujama </w:t>
      </w:r>
      <w:r w:rsidR="00CA3A57">
        <w:t>ir</w:t>
      </w:r>
      <w:r w:rsidR="00746E84">
        <w:t xml:space="preserve"> iš</w:t>
      </w:r>
      <w:r w:rsidR="00CA3A57">
        <w:t xml:space="preserve"> </w:t>
      </w:r>
      <w:r w:rsidR="00EE65F9">
        <w:rPr>
          <w:b/>
          <w:i/>
        </w:rPr>
        <w:t>dirban</w:t>
      </w:r>
      <w:r w:rsidR="00746E84">
        <w:rPr>
          <w:b/>
          <w:i/>
        </w:rPr>
        <w:t>čių</w:t>
      </w:r>
      <w:r w:rsidR="00370DE1">
        <w:rPr>
          <w:b/>
          <w:i/>
        </w:rPr>
        <w:t xml:space="preserve"> ne visą</w:t>
      </w:r>
      <w:r w:rsidR="001B2C2A" w:rsidRPr="00370DE1">
        <w:rPr>
          <w:b/>
          <w:i/>
        </w:rPr>
        <w:t xml:space="preserve"> darbo </w:t>
      </w:r>
      <w:r w:rsidR="002B310E">
        <w:rPr>
          <w:b/>
          <w:i/>
        </w:rPr>
        <w:t>dien</w:t>
      </w:r>
      <w:r w:rsidR="002F701C">
        <w:rPr>
          <w:b/>
          <w:i/>
        </w:rPr>
        <w:t xml:space="preserve">ą </w:t>
      </w:r>
      <w:r w:rsidR="005A6AAE" w:rsidRPr="00B87BE0">
        <w:rPr>
          <w:b/>
          <w:i/>
        </w:rPr>
        <w:t>pašalpų gavėj</w:t>
      </w:r>
      <w:r w:rsidR="00746E84" w:rsidRPr="00B87BE0">
        <w:rPr>
          <w:b/>
          <w:i/>
        </w:rPr>
        <w:t>ų</w:t>
      </w:r>
      <w:r w:rsidR="00746E84">
        <w:t>, tuomet</w:t>
      </w:r>
      <w:r w:rsidR="00FA3EDD">
        <w:t xml:space="preserve"> būtų galima </w:t>
      </w:r>
      <w:r w:rsidR="00EE65F9">
        <w:t>vis</w:t>
      </w:r>
      <w:r w:rsidR="00746E84">
        <w:t>išk</w:t>
      </w:r>
      <w:r w:rsidR="00D07E27">
        <w:t xml:space="preserve">ai </w:t>
      </w:r>
      <w:r w:rsidR="00FA3EDD">
        <w:t>atsisakyti reikalavimo</w:t>
      </w:r>
      <w:r w:rsidR="003D1ED2">
        <w:t xml:space="preserve"> dirbti ne mažiau kaip 2 / 3 </w:t>
      </w:r>
      <w:r w:rsidR="00163862">
        <w:t xml:space="preserve">nustatytos </w:t>
      </w:r>
      <w:r w:rsidR="003D1ED2">
        <w:t>darbo</w:t>
      </w:r>
      <w:r w:rsidR="00370DE1">
        <w:t xml:space="preserve"> trukmės</w:t>
      </w:r>
      <w:r w:rsidR="00BD7B03">
        <w:t xml:space="preserve">, nes, </w:t>
      </w:r>
      <w:r w:rsidR="00F9335A">
        <w:t>sudarius</w:t>
      </w:r>
      <w:r w:rsidR="00370DE1">
        <w:t xml:space="preserve"> galimyb</w:t>
      </w:r>
      <w:r w:rsidR="00163862">
        <w:t>ę</w:t>
      </w:r>
      <w:r w:rsidR="00BD7B03">
        <w:t xml:space="preserve"> didinti pajamas</w:t>
      </w:r>
      <w:r w:rsidR="002B310E">
        <w:t xml:space="preserve"> (priėmus </w:t>
      </w:r>
      <w:r w:rsidR="00EE65F9">
        <w:t xml:space="preserve">pelningesnį </w:t>
      </w:r>
      <w:r w:rsidR="002B310E">
        <w:t>darbo pasiūlymą)</w:t>
      </w:r>
      <w:r w:rsidR="00BD7B03">
        <w:t xml:space="preserve">, būtų </w:t>
      </w:r>
      <w:r w:rsidR="00CA3A57">
        <w:t>apribot</w:t>
      </w:r>
      <w:r w:rsidR="00580909">
        <w:t>i neteisėtų tiksl</w:t>
      </w:r>
      <w:r w:rsidR="00F9335A">
        <w:t xml:space="preserve">ų turinčių </w:t>
      </w:r>
      <w:r w:rsidR="00580909">
        <w:t>individų</w:t>
      </w:r>
      <w:r w:rsidR="00163862">
        <w:t xml:space="preserve"> </w:t>
      </w:r>
      <w:r w:rsidR="00F9335A">
        <w:t>veiksmai</w:t>
      </w:r>
      <w:r w:rsidR="00BD7B03">
        <w:t>.</w:t>
      </w:r>
    </w:p>
    <w:p w:rsidR="00B34DBF" w:rsidRPr="00912380" w:rsidRDefault="00F9335A" w:rsidP="006A3E00">
      <w:pPr>
        <w:rPr>
          <w:color w:val="0070C0"/>
        </w:rPr>
      </w:pPr>
      <w:r w:rsidRPr="00836AA8">
        <w:t xml:space="preserve">Kad dirbantis trumpiau </w:t>
      </w:r>
      <w:r w:rsidR="00163862" w:rsidRPr="00836AA8">
        <w:t>nebūtų remiamas</w:t>
      </w:r>
      <w:r w:rsidRPr="00836AA8">
        <w:t xml:space="preserve"> </w:t>
      </w:r>
      <w:r w:rsidR="00E27584" w:rsidRPr="00836AA8">
        <w:t>dosniau už tą</w:t>
      </w:r>
      <w:r w:rsidR="00DB2271" w:rsidRPr="00836AA8">
        <w:t xml:space="preserve"> asmenį</w:t>
      </w:r>
      <w:r w:rsidR="00E27584" w:rsidRPr="00836AA8">
        <w:t>, kuris dirb</w:t>
      </w:r>
      <w:r w:rsidR="0066321D" w:rsidRPr="00836AA8">
        <w:t>tų</w:t>
      </w:r>
      <w:r w:rsidR="00E27584" w:rsidRPr="00836AA8">
        <w:t xml:space="preserve"> visu krūviu, skaičiuojant pašalpos dydį</w:t>
      </w:r>
      <w:r w:rsidR="00A60CDD" w:rsidRPr="00836AA8">
        <w:t xml:space="preserve"> ne visą darbo dieną dirbančiam</w:t>
      </w:r>
      <w:r w:rsidR="00522DA1" w:rsidRPr="00836AA8">
        <w:t xml:space="preserve"> individui</w:t>
      </w:r>
      <w:r w:rsidR="00A60CDD" w:rsidRPr="00836AA8">
        <w:t xml:space="preserve">, būtų galima </w:t>
      </w:r>
      <w:r w:rsidR="00A60CDD" w:rsidRPr="00836AA8">
        <w:rPr>
          <w:b/>
          <w:i/>
        </w:rPr>
        <w:t>taikyti koeficientą</w:t>
      </w:r>
      <w:r w:rsidR="0066321D" w:rsidRPr="00836AA8">
        <w:t xml:space="preserve">, kuris, didindamas </w:t>
      </w:r>
      <w:r w:rsidR="0054100E" w:rsidRPr="00836AA8">
        <w:t>b</w:t>
      </w:r>
      <w:r w:rsidR="00CD7D35" w:rsidRPr="00836AA8">
        <w:t xml:space="preserve">endrai gyvenančių </w:t>
      </w:r>
      <w:r w:rsidR="00CD7D35" w:rsidRPr="00F306BD">
        <w:t>žmoni</w:t>
      </w:r>
      <w:r w:rsidR="0054100E" w:rsidRPr="00F306BD">
        <w:t>ų pajamas</w:t>
      </w:r>
      <w:r w:rsidR="004C1A72" w:rsidRPr="00F306BD">
        <w:t xml:space="preserve">, leistų </w:t>
      </w:r>
      <w:r w:rsidR="00CD7D35" w:rsidRPr="00F306BD">
        <w:t xml:space="preserve">tam tikra dalimi </w:t>
      </w:r>
      <w:r w:rsidR="004C1A72" w:rsidRPr="00F306BD">
        <w:t xml:space="preserve">sumažinti skiriamos pašalpos </w:t>
      </w:r>
      <w:r w:rsidR="00CD7D35" w:rsidRPr="00F306BD">
        <w:t>dydį</w:t>
      </w:r>
      <w:r w:rsidR="00561D91" w:rsidRPr="00F306BD">
        <w:t>, –</w:t>
      </w:r>
      <w:r w:rsidR="009762F3" w:rsidRPr="00F306BD">
        <w:t xml:space="preserve"> </w:t>
      </w:r>
      <w:r w:rsidR="004C1A72" w:rsidRPr="00F306BD">
        <w:t xml:space="preserve">ir </w:t>
      </w:r>
      <w:r w:rsidR="00561D91" w:rsidRPr="00F306BD">
        <w:t xml:space="preserve">šitaip </w:t>
      </w:r>
      <w:r w:rsidR="004C1A72" w:rsidRPr="00F306BD">
        <w:t>įtvirtinti didesnį teisingumą</w:t>
      </w:r>
      <w:r w:rsidR="00561D91" w:rsidRPr="00F306BD">
        <w:t>.</w:t>
      </w:r>
      <w:r w:rsidR="00840CF3" w:rsidRPr="00F306BD">
        <w:t xml:space="preserve"> Koeficient</w:t>
      </w:r>
      <w:r w:rsidR="00513455" w:rsidRPr="00F306BD">
        <w:t>ą</w:t>
      </w:r>
      <w:r w:rsidR="00840CF3" w:rsidRPr="00F306BD">
        <w:t xml:space="preserve"> būtų galima taikyti, </w:t>
      </w:r>
      <w:r w:rsidR="00C729F2" w:rsidRPr="00F306BD">
        <w:t xml:space="preserve">atsižvelgiant į </w:t>
      </w:r>
      <w:r w:rsidR="00840CF3" w:rsidRPr="00F306BD">
        <w:t>d</w:t>
      </w:r>
      <w:r w:rsidR="00513455" w:rsidRPr="00F306BD">
        <w:t>irbtą</w:t>
      </w:r>
      <w:r w:rsidR="00840CF3" w:rsidRPr="00F306BD">
        <w:t xml:space="preserve"> laik</w:t>
      </w:r>
      <w:r w:rsidR="00513455" w:rsidRPr="00F306BD">
        <w:t>ą</w:t>
      </w:r>
      <w:r w:rsidR="00840CF3" w:rsidRPr="00F306BD">
        <w:t>, pavyzdžiui</w:t>
      </w:r>
      <w:r w:rsidR="00C729F2" w:rsidRPr="00F306BD">
        <w:t>: jeigu</w:t>
      </w:r>
      <w:r w:rsidR="004C1A72" w:rsidRPr="00F306BD">
        <w:t xml:space="preserve"> </w:t>
      </w:r>
      <w:r w:rsidR="007B1EDE" w:rsidRPr="00F306BD">
        <w:t>būtų dirbama mažiau ne</w:t>
      </w:r>
      <w:r w:rsidR="00B875EE">
        <w:t>i</w:t>
      </w:r>
      <w:r w:rsidR="007B1EDE" w:rsidRPr="00F306BD">
        <w:t xml:space="preserve"> 1 / </w:t>
      </w:r>
      <w:r w:rsidR="004F0458">
        <w:t>4</w:t>
      </w:r>
      <w:r w:rsidR="007B1EDE" w:rsidRPr="00F306BD">
        <w:t xml:space="preserve"> nustatyto darbo laiko, t</w:t>
      </w:r>
      <w:r w:rsidR="005329ED">
        <w:t>ada,</w:t>
      </w:r>
      <w:r w:rsidR="005329ED" w:rsidRPr="005329ED">
        <w:t xml:space="preserve"> </w:t>
      </w:r>
      <w:r w:rsidR="005329ED" w:rsidRPr="00F306BD">
        <w:t>skaičiuojant pašalpos dydį, pajamas būtų galima padidinti</w:t>
      </w:r>
      <w:r w:rsidR="007B1EDE" w:rsidRPr="00F306BD">
        <w:t xml:space="preserve"> 1,5 k</w:t>
      </w:r>
      <w:r w:rsidR="005329ED">
        <w:t>arto</w:t>
      </w:r>
      <w:r w:rsidR="007B1EDE" w:rsidRPr="00F306BD">
        <w:t xml:space="preserve">; </w:t>
      </w:r>
      <w:r w:rsidR="007B1EDE">
        <w:t xml:space="preserve">jeigu </w:t>
      </w:r>
      <w:r w:rsidR="00641A19">
        <w:t xml:space="preserve">būtų dirbama daugiau kaip </w:t>
      </w:r>
      <w:r w:rsidR="003A0CB7" w:rsidRPr="00F306BD">
        <w:t>1 / </w:t>
      </w:r>
      <w:r w:rsidR="004F0458">
        <w:t>4, bet mažiau kaip 1 / 2</w:t>
      </w:r>
      <w:r w:rsidR="004F0458" w:rsidRPr="00F306BD">
        <w:t xml:space="preserve"> </w:t>
      </w:r>
      <w:r w:rsidR="00205A6A">
        <w:t xml:space="preserve">nustatytos </w:t>
      </w:r>
      <w:r w:rsidR="003A0CB7" w:rsidRPr="00F306BD">
        <w:t>darbo</w:t>
      </w:r>
      <w:r w:rsidR="00205A6A">
        <w:t xml:space="preserve"> trukmės</w:t>
      </w:r>
      <w:r w:rsidR="002A00E0" w:rsidRPr="00F306BD">
        <w:t>,</w:t>
      </w:r>
      <w:r w:rsidR="00641A19">
        <w:t xml:space="preserve"> </w:t>
      </w:r>
      <w:r w:rsidR="005329ED">
        <w:t xml:space="preserve">tada būtų galima taikyti </w:t>
      </w:r>
      <w:r w:rsidR="00925808" w:rsidRPr="00F306BD">
        <w:t>1,</w:t>
      </w:r>
      <w:r w:rsidR="00F306BD" w:rsidRPr="00F306BD">
        <w:t>2</w:t>
      </w:r>
      <w:r w:rsidR="00925808" w:rsidRPr="00F306BD">
        <w:t xml:space="preserve"> k</w:t>
      </w:r>
      <w:r w:rsidR="005329ED">
        <w:t>oeficientą</w:t>
      </w:r>
      <w:r w:rsidR="00162535" w:rsidRPr="00F306BD">
        <w:t xml:space="preserve">; </w:t>
      </w:r>
      <w:r w:rsidR="006138B6" w:rsidRPr="00F306BD">
        <w:t xml:space="preserve">o, </w:t>
      </w:r>
      <w:r w:rsidR="00127674" w:rsidRPr="00F306BD">
        <w:t>jei</w:t>
      </w:r>
      <w:r w:rsidR="00AB503C">
        <w:t>gu</w:t>
      </w:r>
      <w:r w:rsidR="00127674" w:rsidRPr="00F306BD">
        <w:t xml:space="preserve"> individas dirbtų</w:t>
      </w:r>
      <w:r w:rsidR="0066016A" w:rsidRPr="00F306BD">
        <w:t xml:space="preserve"> </w:t>
      </w:r>
      <w:r w:rsidR="00E75F02">
        <w:t xml:space="preserve">daugiau kaip 1 / 2, bet </w:t>
      </w:r>
      <w:r w:rsidR="006138B6" w:rsidRPr="00F306BD">
        <w:t xml:space="preserve">mažiau kaip </w:t>
      </w:r>
      <w:r w:rsidR="0066016A" w:rsidRPr="00F306BD">
        <w:t>2 / 3</w:t>
      </w:r>
      <w:r w:rsidR="006138B6" w:rsidRPr="00F306BD">
        <w:t xml:space="preserve"> maksimalaus</w:t>
      </w:r>
      <w:r w:rsidR="00E75F02">
        <w:t xml:space="preserve"> </w:t>
      </w:r>
      <w:r w:rsidR="006138B6" w:rsidRPr="00F306BD">
        <w:t>darbo laiko</w:t>
      </w:r>
      <w:r w:rsidR="00F306BD" w:rsidRPr="00F306BD">
        <w:t>,</w:t>
      </w:r>
      <w:r w:rsidR="00E75F02">
        <w:t xml:space="preserve"> tuomet, skaičiuojant pašalpos dydį, jo pajamas būtų galima padidinti</w:t>
      </w:r>
      <w:r w:rsidR="006138B6" w:rsidRPr="00F306BD">
        <w:t xml:space="preserve"> 1,</w:t>
      </w:r>
      <w:r w:rsidR="00F306BD" w:rsidRPr="00F306BD">
        <w:t>1</w:t>
      </w:r>
      <w:r w:rsidR="00E75F02">
        <w:t xml:space="preserve"> karto</w:t>
      </w:r>
      <w:r w:rsidR="00F306BD" w:rsidRPr="00F306BD">
        <w:t>.</w:t>
      </w:r>
      <w:r w:rsidR="004B3A1F">
        <w:t xml:space="preserve"> </w:t>
      </w:r>
    </w:p>
    <w:p w:rsidR="009D1159" w:rsidRDefault="00EF0CAE" w:rsidP="006A3E00">
      <w:r>
        <w:t>Tiems asmenims, kurie teisei į piniginę socialinę paramą įgyti rinktųsi</w:t>
      </w:r>
      <w:r w:rsidR="002144A5">
        <w:t xml:space="preserve"> lengvesnį variantą, t. y. visa</w:t>
      </w:r>
      <w:r w:rsidR="00B34DBF">
        <w:t>i ned</w:t>
      </w:r>
      <w:r w:rsidR="00E158B9">
        <w:t>irbti, prisijungiant prie pinig</w:t>
      </w:r>
      <w:r w:rsidR="00B34DBF">
        <w:t xml:space="preserve">inės paramos programos, reiktų turėti </w:t>
      </w:r>
      <w:r w:rsidR="00B34DBF" w:rsidRPr="00E158B9">
        <w:rPr>
          <w:b/>
          <w:i/>
        </w:rPr>
        <w:t>ne mažesnį kaip 3 mėn. darbo stažą</w:t>
      </w:r>
      <w:r w:rsidR="008033C2">
        <w:t xml:space="preserve"> per paskutinius 12 mėn. Be to, nekeičiant elgsenos, t. y. nededat pastangų įsidarbinti</w:t>
      </w:r>
      <w:r w:rsidR="00B90CBD">
        <w:t xml:space="preserve">, </w:t>
      </w:r>
      <w:r w:rsidR="00B90CBD" w:rsidRPr="00B6636A">
        <w:rPr>
          <w:b/>
          <w:i/>
        </w:rPr>
        <w:t>pašalpos dydį r</w:t>
      </w:r>
      <w:r w:rsidR="000866BE" w:rsidRPr="00B6636A">
        <w:rPr>
          <w:b/>
          <w:i/>
        </w:rPr>
        <w:t>eiktų pradėti mažinti nuo 13</w:t>
      </w:r>
      <w:r w:rsidR="00B90CBD" w:rsidRPr="00B6636A">
        <w:rPr>
          <w:b/>
          <w:i/>
        </w:rPr>
        <w:t> pašalpos gavimo mėnesio</w:t>
      </w:r>
      <w:r w:rsidR="005470F4">
        <w:t>, kitaip tariant, – praėjus metams nuo pirmosios</w:t>
      </w:r>
      <w:r w:rsidR="00323912">
        <w:t xml:space="preserve"> pašalpos gavimo dienos. Pašalpos mokėjimas turėtų būti nutrau</w:t>
      </w:r>
      <w:r w:rsidR="00763DDC">
        <w:t>ktas</w:t>
      </w:r>
      <w:r w:rsidR="00323912">
        <w:t xml:space="preserve">, </w:t>
      </w:r>
      <w:r w:rsidR="00396113">
        <w:t>jei</w:t>
      </w:r>
      <w:r w:rsidR="000B64E9">
        <w:t xml:space="preserve"> elgsena nesik</w:t>
      </w:r>
      <w:r w:rsidR="00543264">
        <w:t>ei</w:t>
      </w:r>
      <w:r w:rsidR="000B64E9">
        <w:t>stų</w:t>
      </w:r>
      <w:r w:rsidR="00327F9E">
        <w:t xml:space="preserve"> </w:t>
      </w:r>
      <w:r w:rsidR="00881FB8">
        <w:t>24</w:t>
      </w:r>
      <w:r w:rsidR="00327F9E">
        <w:t> mėn. iš eilės</w:t>
      </w:r>
      <w:r w:rsidR="00543264">
        <w:t>, išskyrus atvejus</w:t>
      </w:r>
      <w:r w:rsidR="00763DDC">
        <w:t xml:space="preserve">, kai bendrai gyvenantys </w:t>
      </w:r>
      <w:r w:rsidR="009079F8">
        <w:t>žmonė</w:t>
      </w:r>
      <w:r w:rsidR="00763DDC">
        <w:t>s augintų vaikus –</w:t>
      </w:r>
      <w:r w:rsidR="002F11E8">
        <w:t xml:space="preserve"> jiems </w:t>
      </w:r>
      <w:r w:rsidR="00E05FED">
        <w:t>socialin</w:t>
      </w:r>
      <w:r w:rsidR="002F11E8">
        <w:t>ė</w:t>
      </w:r>
      <w:r w:rsidR="00E05FED">
        <w:t xml:space="preserve"> pašalp</w:t>
      </w:r>
      <w:r w:rsidR="002F11E8">
        <w:t>a</w:t>
      </w:r>
      <w:r w:rsidR="00E05FED">
        <w:t xml:space="preserve"> būtų</w:t>
      </w:r>
      <w:r w:rsidR="009079F8">
        <w:t xml:space="preserve"> dar kartą</w:t>
      </w:r>
      <w:r w:rsidR="00881FB8">
        <w:t xml:space="preserve"> sumažinta</w:t>
      </w:r>
      <w:r w:rsidR="00396113">
        <w:t>.</w:t>
      </w:r>
    </w:p>
    <w:p w:rsidR="002D60B5" w:rsidRDefault="002D60B5" w:rsidP="006A3E00">
      <w:r>
        <w:t xml:space="preserve">Apibendrinant, </w:t>
      </w:r>
      <w:r w:rsidR="00E326D2">
        <w:t xml:space="preserve">reikėtų </w:t>
      </w:r>
      <w:r w:rsidR="00862FDA">
        <w:t>akcentuoti</w:t>
      </w:r>
      <w:r>
        <w:t xml:space="preserve">, jog, </w:t>
      </w:r>
      <w:r w:rsidRPr="002D60B5">
        <w:rPr>
          <w:b/>
          <w:i/>
        </w:rPr>
        <w:t xml:space="preserve">taikant </w:t>
      </w:r>
      <w:r w:rsidR="00862FDA">
        <w:rPr>
          <w:b/>
          <w:i/>
        </w:rPr>
        <w:t>tok</w:t>
      </w:r>
      <w:r w:rsidRPr="002D60B5">
        <w:rPr>
          <w:b/>
          <w:i/>
        </w:rPr>
        <w:t>ias nuostatas, būtų galima pasiekti tokių tikslų</w:t>
      </w:r>
      <w:r>
        <w:t>:</w:t>
      </w:r>
      <w:r w:rsidR="008C00AF">
        <w:t xml:space="preserve"> 1) </w:t>
      </w:r>
      <w:r w:rsidR="00B87BE0" w:rsidRPr="00545555">
        <w:rPr>
          <w:i/>
        </w:rPr>
        <w:t>didinti asmeninę atsakomybę</w:t>
      </w:r>
      <w:r w:rsidR="00B87BE0">
        <w:t>, „skiepijant“ suvokimą, jog</w:t>
      </w:r>
      <w:r w:rsidR="000969D5">
        <w:t xml:space="preserve"> </w:t>
      </w:r>
      <w:r w:rsidR="00687FA7">
        <w:t>gyventi iš socialinės apsaugos lėšų galima tik trumpą laiką</w:t>
      </w:r>
      <w:r w:rsidR="00545555">
        <w:t>; 2) </w:t>
      </w:r>
      <w:r w:rsidR="00830B76" w:rsidRPr="0048114E">
        <w:rPr>
          <w:i/>
        </w:rPr>
        <w:t>paskatinti žmones ieškotis darbo visai dienai</w:t>
      </w:r>
      <w:r w:rsidR="00830B76">
        <w:t>, kadangi, dirbant mažiau nei 2 / 3 nustatyto darbo laiko, pašalpos dydis būtų sumažintas, o</w:t>
      </w:r>
      <w:r w:rsidR="00B1441B">
        <w:t>,</w:t>
      </w:r>
      <w:r w:rsidR="00830B76">
        <w:t xml:space="preserve"> visai nedirbant</w:t>
      </w:r>
      <w:r w:rsidR="00B1441B">
        <w:t>,</w:t>
      </w:r>
      <w:r w:rsidR="00830B76">
        <w:t xml:space="preserve"> – pritaikytos kitos nuostatos; 3) </w:t>
      </w:r>
      <w:r w:rsidR="00B1441B" w:rsidRPr="00ED2028">
        <w:rPr>
          <w:i/>
        </w:rPr>
        <w:t xml:space="preserve">sumažinti </w:t>
      </w:r>
      <w:r w:rsidR="008325FC" w:rsidRPr="00ED2028">
        <w:rPr>
          <w:i/>
        </w:rPr>
        <w:t>neteisėtų lūkesčių realizavimą</w:t>
      </w:r>
      <w:r w:rsidR="008325FC">
        <w:t xml:space="preserve">, </w:t>
      </w:r>
      <w:r w:rsidR="00EC4D63">
        <w:t>nes</w:t>
      </w:r>
      <w:r w:rsidR="004D505C">
        <w:t xml:space="preserve"> teisei į piniginę socialinę paramą </w:t>
      </w:r>
      <w:r w:rsidR="00EC4D63">
        <w:t xml:space="preserve">atsirasti </w:t>
      </w:r>
      <w:r w:rsidR="004D505C">
        <w:t xml:space="preserve">būtų </w:t>
      </w:r>
      <w:r w:rsidR="00EC4D63">
        <w:t>keliama daugiau sąlygų.</w:t>
      </w:r>
    </w:p>
    <w:p w:rsidR="00ED2028" w:rsidRDefault="00ED2028" w:rsidP="006A3E00">
      <w:r>
        <w:t>Būtina</w:t>
      </w:r>
      <w:r w:rsidR="00FB0EC6">
        <w:t xml:space="preserve"> pastebėti</w:t>
      </w:r>
      <w:r w:rsidR="0061622D">
        <w:t>, jog vis</w:t>
      </w:r>
      <w:r w:rsidR="00FB0EC6">
        <w:t>ų</w:t>
      </w:r>
      <w:r w:rsidR="007B2056">
        <w:t xml:space="preserve"> siūlom</w:t>
      </w:r>
      <w:r w:rsidR="00FB0EC6">
        <w:t>ų</w:t>
      </w:r>
      <w:r w:rsidR="007B2056">
        <w:t xml:space="preserve"> priemon</w:t>
      </w:r>
      <w:r w:rsidR="00FB0EC6">
        <w:t>ių taikymas</w:t>
      </w:r>
      <w:r w:rsidR="007B2056">
        <w:t xml:space="preserve"> veiksming</w:t>
      </w:r>
      <w:r w:rsidR="00FB0EC6">
        <w:t>a</w:t>
      </w:r>
      <w:r w:rsidR="007B2056">
        <w:t xml:space="preserve">s </w:t>
      </w:r>
      <w:r w:rsidR="00E3232B">
        <w:t xml:space="preserve">taptų </w:t>
      </w:r>
      <w:r w:rsidR="007B2056">
        <w:t>tik tada, kai paraleliai būtų</w:t>
      </w:r>
      <w:r w:rsidR="00FB0EC6">
        <w:t xml:space="preserve"> įgyvendinamos darbo vietų kūrimo programos</w:t>
      </w:r>
      <w:r w:rsidR="007308CF">
        <w:t xml:space="preserve">, kitaip tariant, </w:t>
      </w:r>
      <w:r w:rsidR="00E3232B">
        <w:t xml:space="preserve">paskatos ir </w:t>
      </w:r>
      <w:r w:rsidR="00C24D0B">
        <w:t xml:space="preserve">asmeninė </w:t>
      </w:r>
      <w:r w:rsidR="00E3232B">
        <w:t>atsakomybė turėtų būti didinam</w:t>
      </w:r>
      <w:r w:rsidR="00C24D0B">
        <w:t>os</w:t>
      </w:r>
      <w:r w:rsidR="007308CF">
        <w:t xml:space="preserve"> pamatuotai</w:t>
      </w:r>
      <w:r w:rsidR="00504DF4">
        <w:t>, todėl</w:t>
      </w:r>
      <w:r w:rsidR="004E6512">
        <w:t xml:space="preserve"> </w:t>
      </w:r>
      <w:r w:rsidR="007308CF">
        <w:t>įtrauk</w:t>
      </w:r>
      <w:r w:rsidR="00504DF4">
        <w:t>ti į šį procesą reikėtų</w:t>
      </w:r>
      <w:r w:rsidR="007308CF">
        <w:t xml:space="preserve"> tiek paramos prašytojus</w:t>
      </w:r>
      <w:r w:rsidR="004E6512">
        <w:t>, tiek už socialinę apsaugą atsaking</w:t>
      </w:r>
      <w:r w:rsidR="00983900">
        <w:t>as institucijas</w:t>
      </w:r>
      <w:r w:rsidR="00EA0A9E">
        <w:t>.</w:t>
      </w:r>
      <w:r w:rsidR="00C22ADB">
        <w:t xml:space="preserve"> </w:t>
      </w:r>
      <w:r w:rsidR="005C3257">
        <w:t xml:space="preserve">Be to, </w:t>
      </w:r>
      <w:r w:rsidR="00177E27">
        <w:t xml:space="preserve">siūlomos priemonės </w:t>
      </w:r>
      <w:r w:rsidR="005C3257">
        <w:t xml:space="preserve">yra daugiau diskusinio, o ne </w:t>
      </w:r>
      <w:r w:rsidR="005C3257" w:rsidRPr="00223667">
        <w:t>privalomojo</w:t>
      </w:r>
      <w:r w:rsidR="005C3257">
        <w:t xml:space="preserve"> pobūdžio, nes</w:t>
      </w:r>
      <w:r w:rsidR="00142606">
        <w:t xml:space="preserve"> </w:t>
      </w:r>
      <w:r w:rsidR="008367B1">
        <w:t>atlikti tyrimai</w:t>
      </w:r>
      <w:r w:rsidR="00D620F1">
        <w:t xml:space="preserve"> parodė</w:t>
      </w:r>
      <w:r w:rsidR="00AC0BAC">
        <w:t xml:space="preserve">, </w:t>
      </w:r>
      <w:r w:rsidR="00D620F1">
        <w:t xml:space="preserve">– </w:t>
      </w:r>
      <w:r w:rsidR="00AC0BAC">
        <w:t>o</w:t>
      </w:r>
      <w:r w:rsidR="008367B1">
        <w:t xml:space="preserve"> socialinių išmokų </w:t>
      </w:r>
      <w:r w:rsidR="00D620F1">
        <w:t xml:space="preserve">teikimo </w:t>
      </w:r>
      <w:r w:rsidR="008367B1">
        <w:t>tvarkos analizė</w:t>
      </w:r>
      <w:r w:rsidR="00AC0BAC">
        <w:t xml:space="preserve"> pagrindė, </w:t>
      </w:r>
      <w:r w:rsidR="00D620F1">
        <w:t xml:space="preserve">– </w:t>
      </w:r>
      <w:r w:rsidR="00AC0BAC">
        <w:t>jog yra pakankamai daug</w:t>
      </w:r>
      <w:r w:rsidR="007773A0">
        <w:t xml:space="preserve"> vietų, kurias būtų galima tobulinti</w:t>
      </w:r>
      <w:r w:rsidR="0014389C">
        <w:t>. Tai leidžia</w:t>
      </w:r>
      <w:r w:rsidR="007773A0">
        <w:t xml:space="preserve"> teigti</w:t>
      </w:r>
      <w:r w:rsidR="0014389C">
        <w:t>, jog</w:t>
      </w:r>
      <w:r w:rsidR="00FB7ED0">
        <w:t xml:space="preserve"> šia tema būtų galima atlikti tolimesnius tyrimus.</w:t>
      </w:r>
    </w:p>
    <w:p w:rsidR="00711924" w:rsidRDefault="00711924" w:rsidP="00874CC3">
      <w:pPr>
        <w:pStyle w:val="Heading1"/>
        <w:numPr>
          <w:ilvl w:val="0"/>
          <w:numId w:val="0"/>
        </w:numPr>
        <w:spacing w:after="40" w:line="240" w:lineRule="auto"/>
      </w:pPr>
      <w:bookmarkStart w:id="54" w:name="_Toc343636897"/>
      <w:r>
        <w:lastRenderedPageBreak/>
        <w:t>IŠVADOS</w:t>
      </w:r>
      <w:bookmarkEnd w:id="54"/>
    </w:p>
    <w:p w:rsidR="00475263" w:rsidRDefault="00826A30" w:rsidP="00473C6F">
      <w:r>
        <w:t xml:space="preserve">Atlikus </w:t>
      </w:r>
      <w:r w:rsidRPr="00F21E54">
        <w:rPr>
          <w:b/>
          <w:i/>
        </w:rPr>
        <w:t xml:space="preserve">mokslinių šaltinių </w:t>
      </w:r>
      <w:r w:rsidR="00475263" w:rsidRPr="00F21E54">
        <w:rPr>
          <w:b/>
          <w:i/>
        </w:rPr>
        <w:t>analizę</w:t>
      </w:r>
      <w:r w:rsidR="00F35B7E" w:rsidRPr="004D6D5E">
        <w:t xml:space="preserve"> gyventojų finansinės elgsenos</w:t>
      </w:r>
      <w:r w:rsidR="00F35B7E">
        <w:t xml:space="preserve"> tema</w:t>
      </w:r>
      <w:r w:rsidR="00475263">
        <w:t>,</w:t>
      </w:r>
      <w:r w:rsidR="00951D9E">
        <w:t xml:space="preserve"> darytinos šio</w:t>
      </w:r>
      <w:r w:rsidR="00F35B7E">
        <w:t>s</w:t>
      </w:r>
      <w:r w:rsidR="00951D9E">
        <w:t xml:space="preserve"> išvados</w:t>
      </w:r>
      <w:r w:rsidR="00475263">
        <w:t>:</w:t>
      </w:r>
    </w:p>
    <w:p w:rsidR="002A00F7" w:rsidRDefault="006C1325" w:rsidP="00473C6F">
      <w:r>
        <w:t>1</w:t>
      </w:r>
      <w:r w:rsidR="005E5CE0">
        <w:t>. </w:t>
      </w:r>
      <w:r w:rsidR="000D76E0">
        <w:t>Nagrinėjant</w:t>
      </w:r>
      <w:r w:rsidR="005E5CE0">
        <w:t xml:space="preserve"> skirtingų </w:t>
      </w:r>
      <w:r w:rsidR="00F72480">
        <w:t>autorių</w:t>
      </w:r>
      <w:r w:rsidR="00B32A26">
        <w:t xml:space="preserve"> </w:t>
      </w:r>
      <w:r w:rsidR="00F72480">
        <w:t>pateikt</w:t>
      </w:r>
      <w:r w:rsidR="004D6064">
        <w:t>a</w:t>
      </w:r>
      <w:r w:rsidR="00F72480">
        <w:t>s</w:t>
      </w:r>
      <w:r w:rsidR="004D6064">
        <w:t xml:space="preserve"> </w:t>
      </w:r>
      <w:r w:rsidR="005E5CE0" w:rsidRPr="005E5CE0">
        <w:rPr>
          <w:i/>
        </w:rPr>
        <w:t>gyventojų finansinės elgsenos</w:t>
      </w:r>
      <w:r w:rsidR="005E5CE0">
        <w:t xml:space="preserve"> </w:t>
      </w:r>
      <w:r w:rsidR="004D6064">
        <w:t>sampratas</w:t>
      </w:r>
      <w:r w:rsidR="00B200E7">
        <w:t xml:space="preserve">, </w:t>
      </w:r>
      <w:r w:rsidR="005E5CE0">
        <w:t>pastebima</w:t>
      </w:r>
      <w:r w:rsidR="007D185B">
        <w:t xml:space="preserve">, jog </w:t>
      </w:r>
      <w:r w:rsidR="00371B03">
        <w:t xml:space="preserve">labiausiai šio </w:t>
      </w:r>
      <w:r w:rsidR="00416E47">
        <w:t xml:space="preserve">termino </w:t>
      </w:r>
      <w:r w:rsidR="00B200E7">
        <w:t xml:space="preserve">aiškinimą komplikuoja tai, jog </w:t>
      </w:r>
      <w:r w:rsidR="005C33EF">
        <w:t xml:space="preserve">nėra susiformavęs </w:t>
      </w:r>
      <w:r w:rsidR="00416E47">
        <w:t>finansinės elgsenos turinys</w:t>
      </w:r>
      <w:r w:rsidR="0057054E">
        <w:t>, kitaip tariant,</w:t>
      </w:r>
      <w:r w:rsidR="007C5122">
        <w:t xml:space="preserve"> nėra</w:t>
      </w:r>
      <w:r w:rsidR="0057054E">
        <w:t xml:space="preserve"> iki galo aišku, kokia elgsena turėtų būti laikytina</w:t>
      </w:r>
      <w:r w:rsidR="007C5122">
        <w:t xml:space="preserve"> </w:t>
      </w:r>
      <w:r w:rsidR="007C5122" w:rsidRPr="007C5122">
        <w:rPr>
          <w:i/>
        </w:rPr>
        <w:t>finansine</w:t>
      </w:r>
      <w:r w:rsidR="00CE633C">
        <w:t>. Nors žodis „finansai</w:t>
      </w:r>
      <w:r w:rsidR="009B2A78">
        <w:t xml:space="preserve">“ iš elgsenos reikalauja </w:t>
      </w:r>
      <w:r w:rsidR="00337340">
        <w:t xml:space="preserve">pamatuotų </w:t>
      </w:r>
      <w:r w:rsidR="0025786A">
        <w:t>sprendimų</w:t>
      </w:r>
      <w:r w:rsidR="00DD3181">
        <w:t>, žmogus</w:t>
      </w:r>
      <w:r w:rsidR="00F75A2D">
        <w:t>, deja,</w:t>
      </w:r>
      <w:r w:rsidR="00DD3181">
        <w:t xml:space="preserve"> ne visada g</w:t>
      </w:r>
      <w:r w:rsidR="002B58AF">
        <w:t>eba</w:t>
      </w:r>
      <w:r w:rsidR="00DD3181">
        <w:t xml:space="preserve"> būti ekonomiškas ir savo sprendimus grįsti </w:t>
      </w:r>
      <w:r w:rsidR="00233D16">
        <w:t xml:space="preserve">vien tik </w:t>
      </w:r>
      <w:r w:rsidR="00DD3181">
        <w:t>logika</w:t>
      </w:r>
      <w:r w:rsidR="00337340">
        <w:t xml:space="preserve"> – dėl </w:t>
      </w:r>
      <w:r w:rsidR="00F75A2D">
        <w:t>šios priežasties</w:t>
      </w:r>
      <w:r w:rsidR="00233D16">
        <w:t xml:space="preserve"> </w:t>
      </w:r>
      <w:r w:rsidR="00337340">
        <w:t>finansi</w:t>
      </w:r>
      <w:r w:rsidR="00233D16">
        <w:t xml:space="preserve">nė </w:t>
      </w:r>
      <w:r w:rsidR="00CD72FB">
        <w:t xml:space="preserve">gyventojų </w:t>
      </w:r>
      <w:r w:rsidR="00233D16">
        <w:t xml:space="preserve">elgsena gali būti </w:t>
      </w:r>
      <w:r w:rsidR="00F75A2D">
        <w:t>tiek</w:t>
      </w:r>
      <w:r w:rsidR="00233D16">
        <w:t xml:space="preserve"> racionali, </w:t>
      </w:r>
      <w:r w:rsidR="00F75A2D">
        <w:t xml:space="preserve">tiek </w:t>
      </w:r>
      <w:r w:rsidR="00881DAA">
        <w:t>ir</w:t>
      </w:r>
      <w:r w:rsidR="00337340">
        <w:t xml:space="preserve"> neracionali.</w:t>
      </w:r>
    </w:p>
    <w:p w:rsidR="00802332" w:rsidRPr="00462E2C" w:rsidRDefault="002A00F7" w:rsidP="00473C6F">
      <w:r>
        <w:t>2. </w:t>
      </w:r>
      <w:r w:rsidR="00754A86">
        <w:t>S</w:t>
      </w:r>
      <w:r w:rsidR="008A2C9B">
        <w:t xml:space="preserve">uvokiant, </w:t>
      </w:r>
      <w:r w:rsidR="00472A77">
        <w:t>jog</w:t>
      </w:r>
      <w:r w:rsidR="00CD72FB">
        <w:t xml:space="preserve"> žmogus</w:t>
      </w:r>
      <w:r w:rsidR="00CB30F8">
        <w:t xml:space="preserve">, visuomenė ir valstybė </w:t>
      </w:r>
      <w:r w:rsidR="003A7EB9">
        <w:t>yra tampriai</w:t>
      </w:r>
      <w:r w:rsidR="00B954DE">
        <w:t xml:space="preserve"> susiję ir vieni kitus</w:t>
      </w:r>
      <w:r w:rsidR="00CB30F8">
        <w:t xml:space="preserve"> lemiantys, </w:t>
      </w:r>
      <w:r w:rsidR="00321892">
        <w:t>tampa aišk</w:t>
      </w:r>
      <w:r w:rsidR="00150FD5">
        <w:t>u</w:t>
      </w:r>
      <w:r w:rsidR="00CB30F8">
        <w:t xml:space="preserve">, jog </w:t>
      </w:r>
      <w:r w:rsidR="00CB30F8" w:rsidRPr="00CC0E6D">
        <w:rPr>
          <w:i/>
        </w:rPr>
        <w:t>racionali</w:t>
      </w:r>
      <w:r w:rsidR="003E7FDE">
        <w:rPr>
          <w:i/>
        </w:rPr>
        <w:t xml:space="preserve"> individo</w:t>
      </w:r>
      <w:r w:rsidR="00CB30F8" w:rsidRPr="00CC0E6D">
        <w:rPr>
          <w:i/>
        </w:rPr>
        <w:t xml:space="preserve"> finansinė elgsena</w:t>
      </w:r>
      <w:r w:rsidR="00FE6051">
        <w:t xml:space="preserve"> turi</w:t>
      </w:r>
      <w:r w:rsidR="00CB30F8">
        <w:t xml:space="preserve"> būti</w:t>
      </w:r>
      <w:r w:rsidR="007110E0">
        <w:t xml:space="preserve"> nukreipta į finansus plačiąją prasme</w:t>
      </w:r>
      <w:r w:rsidR="00321892">
        <w:t>, t. y. į tautos gerovę.</w:t>
      </w:r>
      <w:r w:rsidR="00FA5791">
        <w:t xml:space="preserve"> Dėl to, š</w:t>
      </w:r>
      <w:r w:rsidR="005C7111">
        <w:t>io darbo tikslais</w:t>
      </w:r>
      <w:r w:rsidR="00FA5791">
        <w:t>,</w:t>
      </w:r>
      <w:r w:rsidR="005C7111">
        <w:t xml:space="preserve"> racionalia finansine elgsena </w:t>
      </w:r>
      <w:r w:rsidR="00DC2FFE">
        <w:t xml:space="preserve">pasiūlyta </w:t>
      </w:r>
      <w:r w:rsidR="005C7111" w:rsidRPr="00FA5791">
        <w:t>laikyti</w:t>
      </w:r>
      <w:r w:rsidR="00FA5791" w:rsidRPr="00FA5791">
        <w:t>:</w:t>
      </w:r>
      <w:r w:rsidR="005C7111" w:rsidRPr="00FA5791">
        <w:t xml:space="preserve"> </w:t>
      </w:r>
      <w:r w:rsidR="00802332" w:rsidRPr="00637D3B">
        <w:t xml:space="preserve">pamatuotus ir efektyvius </w:t>
      </w:r>
      <w:r w:rsidR="00802332" w:rsidRPr="00EA59BA">
        <w:rPr>
          <w:i/>
        </w:rPr>
        <w:t>atsakus</w:t>
      </w:r>
      <w:r w:rsidR="00802332" w:rsidRPr="00637D3B">
        <w:t xml:space="preserve"> </w:t>
      </w:r>
      <w:r w:rsidR="00ED6054" w:rsidRPr="00637D3B">
        <w:t>į išor</w:t>
      </w:r>
      <w:r w:rsidR="00F96D6B">
        <w:t>inius</w:t>
      </w:r>
      <w:r w:rsidR="00802332" w:rsidRPr="00637D3B">
        <w:t xml:space="preserve"> dirgiklius</w:t>
      </w:r>
      <w:r w:rsidR="00091566">
        <w:t xml:space="preserve"> ir </w:t>
      </w:r>
      <w:r w:rsidR="00EA59BA">
        <w:t xml:space="preserve">įvairius </w:t>
      </w:r>
      <w:r w:rsidR="00091566">
        <w:t>pakitimus</w:t>
      </w:r>
      <w:r w:rsidR="00802332" w:rsidRPr="00637D3B">
        <w:t>, kurie</w:t>
      </w:r>
      <w:r w:rsidR="00754908">
        <w:t>:</w:t>
      </w:r>
      <w:r w:rsidR="00753BB9" w:rsidRPr="00637D3B">
        <w:t xml:space="preserve"> </w:t>
      </w:r>
      <w:r w:rsidR="00ED6054" w:rsidRPr="00637D3B">
        <w:t xml:space="preserve">1) </w:t>
      </w:r>
      <w:r w:rsidR="007C7703">
        <w:t xml:space="preserve">yra </w:t>
      </w:r>
      <w:r w:rsidR="00ED6054" w:rsidRPr="00637D3B">
        <w:t xml:space="preserve">susiję su pinigais </w:t>
      </w:r>
      <w:r w:rsidR="00E12473" w:rsidRPr="00637D3B">
        <w:t>i</w:t>
      </w:r>
      <w:r w:rsidR="00ED6054" w:rsidRPr="00637D3B">
        <w:t>r</w:t>
      </w:r>
      <w:r w:rsidR="00802332" w:rsidRPr="00637D3B">
        <w:t xml:space="preserve"> piniginiais procesais; </w:t>
      </w:r>
      <w:r w:rsidR="00637D3B" w:rsidRPr="00637D3B">
        <w:rPr>
          <w:i/>
        </w:rPr>
        <w:t>ir</w:t>
      </w:r>
      <w:r w:rsidR="00637D3B">
        <w:t xml:space="preserve"> </w:t>
      </w:r>
      <w:r w:rsidR="00053C32" w:rsidRPr="00637D3B">
        <w:t>2) </w:t>
      </w:r>
      <w:r w:rsidR="007C7703">
        <w:t xml:space="preserve">yra </w:t>
      </w:r>
      <w:r w:rsidR="00802332" w:rsidRPr="00637D3B">
        <w:t xml:space="preserve">paremti </w:t>
      </w:r>
      <w:r w:rsidR="000D4026">
        <w:t xml:space="preserve">asmens </w:t>
      </w:r>
      <w:r w:rsidR="00802332" w:rsidRPr="00637D3B">
        <w:t>apsisprendimu</w:t>
      </w:r>
      <w:r w:rsidR="00006F0D" w:rsidRPr="00637D3B">
        <w:t>;</w:t>
      </w:r>
      <w:r w:rsidR="00802332" w:rsidRPr="00637D3B">
        <w:t xml:space="preserve"> </w:t>
      </w:r>
      <w:r w:rsidR="00637D3B" w:rsidRPr="000D4026">
        <w:rPr>
          <w:i/>
        </w:rPr>
        <w:t>ir</w:t>
      </w:r>
      <w:r w:rsidR="00637D3B">
        <w:t xml:space="preserve"> </w:t>
      </w:r>
      <w:r w:rsidR="00D25FCB" w:rsidRPr="00637D3B">
        <w:t>3) </w:t>
      </w:r>
      <w:r w:rsidR="007C7703">
        <w:t xml:space="preserve">yra </w:t>
      </w:r>
      <w:r w:rsidR="00802332" w:rsidRPr="00637D3B">
        <w:t xml:space="preserve">naudingi žmogui, </w:t>
      </w:r>
      <w:r w:rsidR="007C7703">
        <w:t>tačiau</w:t>
      </w:r>
      <w:r w:rsidR="00754A86" w:rsidRPr="00637D3B">
        <w:t xml:space="preserve"> </w:t>
      </w:r>
      <w:r w:rsidR="00802332" w:rsidRPr="00637D3B">
        <w:t>nekenkiantys valstybei</w:t>
      </w:r>
      <w:r w:rsidR="00053C32" w:rsidRPr="00637D3B">
        <w:t xml:space="preserve"> (racionali)</w:t>
      </w:r>
      <w:r w:rsidR="00802332" w:rsidRPr="00637D3B">
        <w:t>.</w:t>
      </w:r>
    </w:p>
    <w:p w:rsidR="00653775" w:rsidRDefault="00A37954" w:rsidP="00473C6F">
      <w:r>
        <w:t>3. </w:t>
      </w:r>
      <w:r w:rsidR="00653775">
        <w:t>Remiantis finansų elgsenos</w:t>
      </w:r>
      <w:r w:rsidR="00F90B45" w:rsidRPr="00F90B45">
        <w:t xml:space="preserve"> </w:t>
      </w:r>
      <w:r w:rsidR="00F90B45">
        <w:t>teorijomis</w:t>
      </w:r>
      <w:r w:rsidR="00653775">
        <w:t>, galima išskirti nuokrypius nuo racionalios elgsenos, kurie parodo</w:t>
      </w:r>
      <w:r w:rsidR="008A7BBD">
        <w:rPr>
          <w:szCs w:val="24"/>
        </w:rPr>
        <w:t>, kokie asmen</w:t>
      </w:r>
      <w:r w:rsidR="00B06C26">
        <w:rPr>
          <w:szCs w:val="24"/>
        </w:rPr>
        <w:t>ybė</w:t>
      </w:r>
      <w:r w:rsidR="00653775" w:rsidRPr="00475263">
        <w:rPr>
          <w:szCs w:val="24"/>
        </w:rPr>
        <w:t>s bruožai lemia neteisingų sprendimų priėmimą</w:t>
      </w:r>
      <w:r w:rsidR="00B06C26">
        <w:rPr>
          <w:szCs w:val="24"/>
        </w:rPr>
        <w:t xml:space="preserve"> –</w:t>
      </w:r>
      <w:r w:rsidR="008A7BBD">
        <w:t xml:space="preserve"> tai verč</w:t>
      </w:r>
      <w:r w:rsidR="00653775">
        <w:t>ia</w:t>
      </w:r>
      <w:r w:rsidR="008A7BBD">
        <w:t xml:space="preserve"> manyti</w:t>
      </w:r>
      <w:r w:rsidR="00653775">
        <w:t>, jog finansinės elgsenos problemos</w:t>
      </w:r>
      <w:r w:rsidR="00A32A43">
        <w:t xml:space="preserve"> </w:t>
      </w:r>
      <w:r w:rsidR="00CF2A13">
        <w:t>pirmiausia</w:t>
      </w:r>
      <w:r w:rsidR="00A870C1">
        <w:t xml:space="preserve"> </w:t>
      </w:r>
      <w:r w:rsidR="00653775">
        <w:t>at</w:t>
      </w:r>
      <w:r w:rsidR="005C57B8">
        <w:t>siranda iš</w:t>
      </w:r>
      <w:r w:rsidR="005D742D">
        <w:t xml:space="preserve"> </w:t>
      </w:r>
      <w:r w:rsidR="00D565F4">
        <w:t>žmogaus</w:t>
      </w:r>
      <w:r w:rsidR="00CF2A13">
        <w:t xml:space="preserve"> –</w:t>
      </w:r>
      <w:r w:rsidR="00002C6F">
        <w:t xml:space="preserve"> kaip</w:t>
      </w:r>
      <w:r w:rsidR="00F865BC">
        <w:t xml:space="preserve"> </w:t>
      </w:r>
      <w:r w:rsidR="009B74DB">
        <w:t>„klaidų šaltinio“</w:t>
      </w:r>
      <w:r w:rsidR="00653775">
        <w:t>.</w:t>
      </w:r>
      <w:r w:rsidR="00D565F4">
        <w:t xml:space="preserve"> </w:t>
      </w:r>
      <w:r w:rsidR="007F1946">
        <w:t xml:space="preserve">Vis dėlto, </w:t>
      </w:r>
      <w:r w:rsidR="009C0F78">
        <w:t>elgsenos mokslas</w:t>
      </w:r>
      <w:r w:rsidR="000E6492">
        <w:t xml:space="preserve"> nepaneigia</w:t>
      </w:r>
      <w:r w:rsidR="00966BFC">
        <w:t xml:space="preserve"> to</w:t>
      </w:r>
      <w:r w:rsidR="009C0F78">
        <w:t xml:space="preserve">, jog </w:t>
      </w:r>
      <w:r w:rsidR="00B74A99">
        <w:t xml:space="preserve">žmonių </w:t>
      </w:r>
      <w:r w:rsidR="003957AA">
        <w:t xml:space="preserve">finansinius </w:t>
      </w:r>
      <w:r w:rsidR="00101F9F">
        <w:t xml:space="preserve">sprendimus </w:t>
      </w:r>
      <w:r w:rsidR="00B40768" w:rsidRPr="002344EA">
        <w:rPr>
          <w:i/>
        </w:rPr>
        <w:t>paraleliai veikia</w:t>
      </w:r>
      <w:r w:rsidR="00B74A99">
        <w:t xml:space="preserve"> </w:t>
      </w:r>
      <w:r w:rsidR="00A32A43">
        <w:t xml:space="preserve">ekonominiai, </w:t>
      </w:r>
      <w:r w:rsidR="002344EA">
        <w:t>socialiniai-demografiniai</w:t>
      </w:r>
      <w:r w:rsidR="00E618E4">
        <w:t xml:space="preserve"> </w:t>
      </w:r>
      <w:r w:rsidR="00B06C26">
        <w:t>ar</w:t>
      </w:r>
      <w:r w:rsidR="002344EA">
        <w:t xml:space="preserve"> </w:t>
      </w:r>
      <w:r w:rsidR="005F5FDD">
        <w:t xml:space="preserve">teisiniai-politiniai </w:t>
      </w:r>
      <w:r w:rsidR="002209DC">
        <w:t xml:space="preserve">veiksniai – </w:t>
      </w:r>
      <w:r w:rsidR="00B06C26">
        <w:t xml:space="preserve">o </w:t>
      </w:r>
      <w:r w:rsidR="002209DC">
        <w:t>tai</w:t>
      </w:r>
      <w:r w:rsidR="00B06C26">
        <w:t xml:space="preserve"> atskleidžia</w:t>
      </w:r>
      <w:r w:rsidR="006973B7">
        <w:t>, kad</w:t>
      </w:r>
      <w:r w:rsidR="00F57D0F">
        <w:t xml:space="preserve"> </w:t>
      </w:r>
      <w:r w:rsidR="00BA7C0E">
        <w:t xml:space="preserve">kiekvienu atveju veiksnių rinkinys </w:t>
      </w:r>
      <w:r w:rsidR="00940BDF">
        <w:t xml:space="preserve">gali būti </w:t>
      </w:r>
      <w:r w:rsidR="006973B7">
        <w:t>unikalus</w:t>
      </w:r>
      <w:r w:rsidR="00BA7C0E">
        <w:t>.</w:t>
      </w:r>
    </w:p>
    <w:p w:rsidR="00826A30" w:rsidRDefault="00F57D0F" w:rsidP="00473C6F">
      <w:r>
        <w:t>4. </w:t>
      </w:r>
      <w:r w:rsidR="00E42094">
        <w:t>Apibendrinus</w:t>
      </w:r>
      <w:r w:rsidR="00826A30">
        <w:t xml:space="preserve"> </w:t>
      </w:r>
      <w:r w:rsidR="00841A9E">
        <w:t>Lietuvoje atliktų</w:t>
      </w:r>
      <w:r w:rsidR="00826A30">
        <w:t xml:space="preserve"> </w:t>
      </w:r>
      <w:r w:rsidR="00FE362D">
        <w:t xml:space="preserve">tyrimų </w:t>
      </w:r>
      <w:r w:rsidR="00E42094">
        <w:t xml:space="preserve">individų </w:t>
      </w:r>
      <w:r w:rsidR="00826A30">
        <w:t>finansinės elgsenos</w:t>
      </w:r>
      <w:r w:rsidR="00FE362D">
        <w:t xml:space="preserve"> tema rezultatus</w:t>
      </w:r>
      <w:r w:rsidR="00B879AE">
        <w:t>,</w:t>
      </w:r>
      <w:r w:rsidR="00FE362D">
        <w:t xml:space="preserve"> paaiškėjo, jog </w:t>
      </w:r>
      <w:r w:rsidR="00B51E2B">
        <w:t xml:space="preserve">žmonių elgsena yra </w:t>
      </w:r>
      <w:r w:rsidR="00ED730D">
        <w:t>ne</w:t>
      </w:r>
      <w:r w:rsidR="00B51E2B">
        <w:t xml:space="preserve">kintanti, t. y. </w:t>
      </w:r>
      <w:r w:rsidR="00ED730D">
        <w:t>iki šiol</w:t>
      </w:r>
      <w:r w:rsidR="00B51E2B">
        <w:t xml:space="preserve"> </w:t>
      </w:r>
      <w:r w:rsidR="00FE362D">
        <w:t>sus</w:t>
      </w:r>
      <w:r w:rsidR="0046726C">
        <w:t>iduria</w:t>
      </w:r>
      <w:r w:rsidR="00FC1947">
        <w:t>ma</w:t>
      </w:r>
      <w:r w:rsidR="009B6324">
        <w:t xml:space="preserve"> su laisvų lėšų formavimo problema</w:t>
      </w:r>
      <w:r w:rsidR="00FE3DB2">
        <w:t>. P</w:t>
      </w:r>
      <w:r w:rsidR="00FC1947">
        <w:t>a</w:t>
      </w:r>
      <w:r w:rsidR="00482EED">
        <w:t>si</w:t>
      </w:r>
      <w:r w:rsidR="00D13610">
        <w:t xml:space="preserve">žiūrėjus į </w:t>
      </w:r>
      <w:r w:rsidR="00D13610" w:rsidRPr="00FA2394">
        <w:rPr>
          <w:i/>
        </w:rPr>
        <w:t>statistinio</w:t>
      </w:r>
      <w:r w:rsidR="00D13610">
        <w:t xml:space="preserve"> </w:t>
      </w:r>
      <w:r w:rsidR="00854C5D">
        <w:t xml:space="preserve">lietuvio pajamų </w:t>
      </w:r>
      <w:r w:rsidR="00E711F1" w:rsidRPr="0062793D">
        <w:t>struktūrą, išaiškėjo</w:t>
      </w:r>
      <w:r w:rsidR="004351C5" w:rsidRPr="0062793D">
        <w:t xml:space="preserve"> ir viso to</w:t>
      </w:r>
      <w:r w:rsidR="001F2B99" w:rsidRPr="0062793D">
        <w:t xml:space="preserve"> priežastis</w:t>
      </w:r>
      <w:r w:rsidR="004463EC" w:rsidRPr="0062793D">
        <w:t xml:space="preserve"> – </w:t>
      </w:r>
      <w:r w:rsidR="006E5CBC" w:rsidRPr="0062793D">
        <w:t xml:space="preserve">dažno </w:t>
      </w:r>
      <w:r w:rsidR="00686592" w:rsidRPr="0062793D">
        <w:t xml:space="preserve">individo </w:t>
      </w:r>
      <w:r w:rsidR="00E711F1" w:rsidRPr="0062793D">
        <w:t xml:space="preserve">pajamose </w:t>
      </w:r>
      <w:r w:rsidR="00686592" w:rsidRPr="0062793D">
        <w:t xml:space="preserve">itin </w:t>
      </w:r>
      <w:r w:rsidR="007978B5" w:rsidRPr="0062793D">
        <w:t xml:space="preserve">didelę </w:t>
      </w:r>
      <w:r w:rsidR="00ED6226" w:rsidRPr="0062793D">
        <w:t>dalį sudaro</w:t>
      </w:r>
      <w:r w:rsidR="00680A8F" w:rsidRPr="0062793D">
        <w:t xml:space="preserve"> </w:t>
      </w:r>
      <w:r w:rsidR="00E711F1" w:rsidRPr="0062793D">
        <w:t>soc</w:t>
      </w:r>
      <w:r w:rsidR="006E5CBC" w:rsidRPr="0062793D">
        <w:t>ialinės išmokos.</w:t>
      </w:r>
      <w:r w:rsidR="006E5CBC">
        <w:t xml:space="preserve"> Tai leido padaryti išvadą, jog lėšų </w:t>
      </w:r>
      <w:r w:rsidR="0046726C">
        <w:t xml:space="preserve">stoka </w:t>
      </w:r>
      <w:r w:rsidR="006E5CBC">
        <w:t xml:space="preserve">yra ne problema, o </w:t>
      </w:r>
      <w:r w:rsidR="006E5CBC" w:rsidRPr="00FA2394">
        <w:rPr>
          <w:i/>
        </w:rPr>
        <w:t>pasekmė</w:t>
      </w:r>
      <w:r w:rsidR="006E5CBC">
        <w:t xml:space="preserve">, </w:t>
      </w:r>
      <w:r w:rsidR="007978B5">
        <w:t>ir</w:t>
      </w:r>
      <w:r w:rsidR="00686592">
        <w:t xml:space="preserve"> dėl to </w:t>
      </w:r>
      <w:r w:rsidR="00F77D51">
        <w:t xml:space="preserve">tyrimo laukas </w:t>
      </w:r>
      <w:r w:rsidR="0062793D">
        <w:t xml:space="preserve">buvo </w:t>
      </w:r>
      <w:r w:rsidR="00F77D51">
        <w:t>susiaurintas iki specifinės</w:t>
      </w:r>
      <w:r w:rsidR="00194493">
        <w:t xml:space="preserve"> srities</w:t>
      </w:r>
      <w:r w:rsidR="00686592">
        <w:t>, t. y.</w:t>
      </w:r>
      <w:r w:rsidR="00C31E20">
        <w:t xml:space="preserve"> socialinių išmokų gavėjų finansinės elgsenos.</w:t>
      </w:r>
    </w:p>
    <w:p w:rsidR="009F0C3F" w:rsidRDefault="006A2102" w:rsidP="00473C6F">
      <w:r>
        <w:t>5. </w:t>
      </w:r>
      <w:r w:rsidR="0003320C">
        <w:t>Vykstant globalizacijai ir kartu keičiantis žmonių vertybėms, požiūris į solidarumą bei socialinį teisingumą taip pat</w:t>
      </w:r>
      <w:r w:rsidR="0016372F">
        <w:t xml:space="preserve"> pakito: jei seniau gerovės valstybė buvo siejama </w:t>
      </w:r>
      <w:r w:rsidR="00C21053">
        <w:t xml:space="preserve">su visapusiška valstybės apsauga nuo socialinių </w:t>
      </w:r>
      <w:r w:rsidR="002A3128">
        <w:t xml:space="preserve">pavojų, šiandien pripažįstama, jog pirmiausia individas, </w:t>
      </w:r>
      <w:r w:rsidR="007F1946">
        <w:t xml:space="preserve">– </w:t>
      </w:r>
      <w:r w:rsidR="002A3128">
        <w:t xml:space="preserve">ne valstybė, </w:t>
      </w:r>
      <w:r w:rsidR="007F1946">
        <w:t xml:space="preserve">– </w:t>
      </w:r>
      <w:r w:rsidR="002A3128">
        <w:t>privalo pademonstruoti savo sugebėjimus</w:t>
      </w:r>
      <w:r w:rsidR="0023244D">
        <w:t>,</w:t>
      </w:r>
      <w:r w:rsidR="003A353B">
        <w:t xml:space="preserve"> apsisaug</w:t>
      </w:r>
      <w:r w:rsidR="0023244D">
        <w:t>ant</w:t>
      </w:r>
      <w:r w:rsidR="003A353B">
        <w:t xml:space="preserve"> nuo </w:t>
      </w:r>
      <w:r w:rsidR="003A353B" w:rsidRPr="00A62267">
        <w:t>rizikos</w:t>
      </w:r>
      <w:r w:rsidR="0023244D" w:rsidRPr="00A62267">
        <w:t>.</w:t>
      </w:r>
      <w:r w:rsidR="00850117" w:rsidRPr="00A62267">
        <w:t xml:space="preserve"> Tai</w:t>
      </w:r>
      <w:r w:rsidR="00CC296E" w:rsidRPr="00A62267">
        <w:t xml:space="preserve"> įpareigoja tvirtinti</w:t>
      </w:r>
      <w:r w:rsidR="0023244D" w:rsidRPr="00A62267">
        <w:t xml:space="preserve">, </w:t>
      </w:r>
      <w:r w:rsidR="00372311" w:rsidRPr="00A62267">
        <w:t xml:space="preserve">jog </w:t>
      </w:r>
      <w:r w:rsidR="0023244D" w:rsidRPr="00A62267">
        <w:t>žmogaus</w:t>
      </w:r>
      <w:r w:rsidR="001165AF" w:rsidRPr="00A62267">
        <w:t xml:space="preserve">, </w:t>
      </w:r>
      <w:r w:rsidR="00CC296E" w:rsidRPr="00A62267">
        <w:t xml:space="preserve">– </w:t>
      </w:r>
      <w:r w:rsidR="001165AF" w:rsidRPr="00A62267">
        <w:t>kaip išmok</w:t>
      </w:r>
      <w:r w:rsidR="00372311" w:rsidRPr="00A62267">
        <w:t>ų gavėjo,</w:t>
      </w:r>
      <w:r w:rsidR="0023244D" w:rsidRPr="00A62267">
        <w:t xml:space="preserve"> </w:t>
      </w:r>
      <w:r w:rsidR="00CC296E" w:rsidRPr="00A62267">
        <w:t>–</w:t>
      </w:r>
      <w:r w:rsidR="0023244D" w:rsidRPr="00A62267">
        <w:t xml:space="preserve">vaidmuo </w:t>
      </w:r>
      <w:r w:rsidR="00D012D5" w:rsidRPr="00A62267">
        <w:t>negal</w:t>
      </w:r>
      <w:r w:rsidR="00372311" w:rsidRPr="00A62267">
        <w:t xml:space="preserve">i būti </w:t>
      </w:r>
      <w:r w:rsidR="00D012D5" w:rsidRPr="00A62267">
        <w:t xml:space="preserve">tik </w:t>
      </w:r>
      <w:r w:rsidR="00372311" w:rsidRPr="00A62267">
        <w:t>pasyvus</w:t>
      </w:r>
      <w:r w:rsidR="00B7043A" w:rsidRPr="00A62267">
        <w:t xml:space="preserve">, t. y. jis turi įdėti visas pastangas, kad </w:t>
      </w:r>
      <w:r w:rsidR="00545F05" w:rsidRPr="00A62267">
        <w:t xml:space="preserve">užsitarnautų </w:t>
      </w:r>
      <w:r w:rsidR="007C16FA" w:rsidRPr="00A62267">
        <w:t>a</w:t>
      </w:r>
      <w:r w:rsidR="00545F05" w:rsidRPr="00A62267">
        <w:t xml:space="preserve">r susigrąžintų </w:t>
      </w:r>
      <w:r w:rsidR="00783D73" w:rsidRPr="00A62267">
        <w:t>gerovę</w:t>
      </w:r>
      <w:r w:rsidR="00C81FFD" w:rsidRPr="00A62267">
        <w:t>, ir</w:t>
      </w:r>
      <w:r w:rsidR="005D45C9" w:rsidRPr="00A62267">
        <w:t xml:space="preserve"> </w:t>
      </w:r>
      <w:r w:rsidR="00200951" w:rsidRPr="00A62267">
        <w:t xml:space="preserve">stengtis </w:t>
      </w:r>
      <w:r w:rsidR="00A62267" w:rsidRPr="00A62267">
        <w:t xml:space="preserve">kuo greičiau pradėti </w:t>
      </w:r>
      <w:r w:rsidR="00200951" w:rsidRPr="00A62267">
        <w:t xml:space="preserve">gyventi </w:t>
      </w:r>
      <w:r w:rsidR="00123703" w:rsidRPr="00A62267">
        <w:t>pagal galimybes</w:t>
      </w:r>
      <w:r w:rsidR="005D45C9" w:rsidRPr="00A62267">
        <w:t xml:space="preserve"> – be papildomų išmokų</w:t>
      </w:r>
      <w:r w:rsidR="00A62267" w:rsidRPr="00A62267">
        <w:t xml:space="preserve"> </w:t>
      </w:r>
      <w:r w:rsidR="008614DC">
        <w:t>bei</w:t>
      </w:r>
      <w:r w:rsidR="00A62267" w:rsidRPr="00A62267">
        <w:t xml:space="preserve"> įvairių kompensacijų.</w:t>
      </w:r>
    </w:p>
    <w:p w:rsidR="00EA6E11" w:rsidRDefault="00EA6E11" w:rsidP="00473C6F">
      <w:r>
        <w:t>6. </w:t>
      </w:r>
      <w:r w:rsidR="00CD72FB">
        <w:t>Siekiant</w:t>
      </w:r>
      <w:r w:rsidR="00D012D5">
        <w:t xml:space="preserve"> suvokti, kokie veiksniai</w:t>
      </w:r>
      <w:r w:rsidR="00D4523F">
        <w:t xml:space="preserve"> </w:t>
      </w:r>
      <w:r w:rsidR="00672D90">
        <w:t>nu</w:t>
      </w:r>
      <w:r w:rsidR="00D4523F">
        <w:t xml:space="preserve">lemia sprendimo pajamas formuoti iš </w:t>
      </w:r>
      <w:r w:rsidR="00EA011C">
        <w:t xml:space="preserve">valstybės </w:t>
      </w:r>
      <w:r w:rsidR="00D4523F">
        <w:t>lėšų priėmimą</w:t>
      </w:r>
      <w:r w:rsidR="00237DE6">
        <w:t xml:space="preserve">, </w:t>
      </w:r>
      <w:r w:rsidR="00BF6C9C">
        <w:t xml:space="preserve">išskirtos </w:t>
      </w:r>
      <w:r w:rsidR="00225278">
        <w:t>sąlygin</w:t>
      </w:r>
      <w:r w:rsidR="00BF6C9C">
        <w:t>ė</w:t>
      </w:r>
      <w:r w:rsidR="00225278">
        <w:t>s</w:t>
      </w:r>
      <w:r w:rsidR="00BF6C9C">
        <w:t xml:space="preserve"> išmokų gavėjų</w:t>
      </w:r>
      <w:r w:rsidR="00225278">
        <w:t xml:space="preserve"> </w:t>
      </w:r>
      <w:r w:rsidR="00492BF8">
        <w:t>grupė</w:t>
      </w:r>
      <w:r w:rsidR="009F03DC">
        <w:t>s</w:t>
      </w:r>
      <w:r w:rsidR="009456F3">
        <w:t xml:space="preserve">: </w:t>
      </w:r>
      <w:r w:rsidR="009456F3" w:rsidRPr="00C20D6B">
        <w:rPr>
          <w:i/>
        </w:rPr>
        <w:t>nesąmoningi-racionalieji</w:t>
      </w:r>
      <w:r w:rsidR="00CC2D7C">
        <w:t>, kurie tokį sprendimą</w:t>
      </w:r>
      <w:r w:rsidR="00A17D83">
        <w:t xml:space="preserve"> priima tik dėl to, jog neturi pasirinkimo</w:t>
      </w:r>
      <w:r w:rsidR="00CC2D7C">
        <w:t xml:space="preserve"> </w:t>
      </w:r>
      <w:r w:rsidR="00225278">
        <w:t>(ekonomin</w:t>
      </w:r>
      <w:r w:rsidR="00A17D83">
        <w:t>iai,</w:t>
      </w:r>
      <w:r w:rsidR="00225278">
        <w:t xml:space="preserve"> socialini</w:t>
      </w:r>
      <w:r w:rsidR="00A17D83">
        <w:t>ai</w:t>
      </w:r>
      <w:r w:rsidR="00225278">
        <w:t>-demografini</w:t>
      </w:r>
      <w:r w:rsidR="00A17D83">
        <w:t>ai</w:t>
      </w:r>
      <w:r w:rsidR="00225278">
        <w:t xml:space="preserve"> veiksni</w:t>
      </w:r>
      <w:r w:rsidR="00A17D83">
        <w:t>ai</w:t>
      </w:r>
      <w:r w:rsidR="00225278">
        <w:t>)</w:t>
      </w:r>
      <w:r w:rsidR="003570EB">
        <w:t xml:space="preserve">; </w:t>
      </w:r>
      <w:r w:rsidR="00475BF0" w:rsidRPr="00C20D6B">
        <w:rPr>
          <w:i/>
        </w:rPr>
        <w:t>sąmonin</w:t>
      </w:r>
      <w:r w:rsidR="00CC2D7C" w:rsidRPr="00C20D6B">
        <w:rPr>
          <w:i/>
        </w:rPr>
        <w:t>gi</w:t>
      </w:r>
      <w:r w:rsidR="00475BF0" w:rsidRPr="00C20D6B">
        <w:rPr>
          <w:i/>
        </w:rPr>
        <w:t>-neracionali</w:t>
      </w:r>
      <w:r w:rsidR="00CC2D7C" w:rsidRPr="00C20D6B">
        <w:rPr>
          <w:i/>
        </w:rPr>
        <w:t>eji</w:t>
      </w:r>
      <w:r w:rsidR="00475BF0">
        <w:t xml:space="preserve">, kurie, galėdami rinktis </w:t>
      </w:r>
      <w:r w:rsidR="00B26248">
        <w:t>kitus</w:t>
      </w:r>
      <w:r w:rsidR="004F67EF">
        <w:t xml:space="preserve"> </w:t>
      </w:r>
      <w:r w:rsidR="00CC400F">
        <w:t xml:space="preserve">pajamų </w:t>
      </w:r>
      <w:r w:rsidR="004F67EF">
        <w:t>šaltinius, socialine pagalba naudojasi iš godumo (emocini</w:t>
      </w:r>
      <w:r w:rsidR="00CC400F">
        <w:t>ai</w:t>
      </w:r>
      <w:r w:rsidR="004F67EF">
        <w:t>-psichologini</w:t>
      </w:r>
      <w:r w:rsidR="00CC400F">
        <w:t>ai</w:t>
      </w:r>
      <w:r w:rsidR="004F67EF">
        <w:t xml:space="preserve"> veiksni</w:t>
      </w:r>
      <w:r w:rsidR="00CC400F">
        <w:t>ai</w:t>
      </w:r>
      <w:r w:rsidR="004F67EF">
        <w:t>)</w:t>
      </w:r>
      <w:r w:rsidR="005E05F7">
        <w:t xml:space="preserve">; ir </w:t>
      </w:r>
      <w:r w:rsidR="005D5A61">
        <w:t>„</w:t>
      </w:r>
      <w:proofErr w:type="spellStart"/>
      <w:r w:rsidR="005E05F7" w:rsidRPr="005D5A61">
        <w:rPr>
          <w:i/>
        </w:rPr>
        <w:t>neapsisprendėlius</w:t>
      </w:r>
      <w:proofErr w:type="spellEnd"/>
      <w:r w:rsidR="005D5A61">
        <w:t>“</w:t>
      </w:r>
      <w:r w:rsidR="005E05F7">
        <w:t xml:space="preserve">, kurių </w:t>
      </w:r>
      <w:r w:rsidR="005D5A61">
        <w:t xml:space="preserve">sprendimai yra nepastovūs, </w:t>
      </w:r>
      <w:r w:rsidR="00FD5177">
        <w:t xml:space="preserve">– </w:t>
      </w:r>
      <w:r w:rsidR="005D5A61">
        <w:t>ir dėl to lemiami</w:t>
      </w:r>
      <w:r w:rsidR="00B26248">
        <w:t xml:space="preserve"> įvairių aplinkybių.</w:t>
      </w:r>
    </w:p>
    <w:p w:rsidR="004C42FE" w:rsidRDefault="004C42FE" w:rsidP="00473C6F">
      <w:r>
        <w:lastRenderedPageBreak/>
        <w:t xml:space="preserve">Atlikus mokslinių šaltinių analizę, buvo prieita prie išvados, jog finansinėje literatūroje pasigendama </w:t>
      </w:r>
      <w:proofErr w:type="spellStart"/>
      <w:r>
        <w:t>metodologiškai</w:t>
      </w:r>
      <w:proofErr w:type="spellEnd"/>
      <w:r>
        <w:t xml:space="preserve"> pagrįstų modelių, kuriais</w:t>
      </w:r>
      <w:r w:rsidR="00C5435E">
        <w:t xml:space="preserve"> būtų galima remtis, siekiant įvertinti gyventojų finansinę elgseną socialinės apsaugos srityje. Dėl to buvo </w:t>
      </w:r>
      <w:r w:rsidR="00F55656">
        <w:t>su</w:t>
      </w:r>
      <w:r w:rsidR="00C75D82">
        <w:t>kurtas</w:t>
      </w:r>
      <w:r w:rsidR="00F55656">
        <w:t xml:space="preserve"> </w:t>
      </w:r>
      <w:r w:rsidR="00F55656" w:rsidRPr="000D54FD">
        <w:rPr>
          <w:i/>
        </w:rPr>
        <w:t xml:space="preserve">teorinis </w:t>
      </w:r>
      <w:r w:rsidR="00413795" w:rsidRPr="000D54FD">
        <w:rPr>
          <w:i/>
        </w:rPr>
        <w:t xml:space="preserve">socialinių išmokų gavėjų finansinės elgsenos </w:t>
      </w:r>
      <w:r w:rsidR="00F55656" w:rsidRPr="000D54FD">
        <w:rPr>
          <w:i/>
        </w:rPr>
        <w:t>vertinimo modelis</w:t>
      </w:r>
      <w:r w:rsidR="009F7491">
        <w:t xml:space="preserve">, </w:t>
      </w:r>
      <w:r w:rsidR="00413D20">
        <w:t>paremtas dviem pirminio tyrimo metodais</w:t>
      </w:r>
      <w:r w:rsidR="00D81521">
        <w:t xml:space="preserve">, t. y. apklausa ir ekspertiniu </w:t>
      </w:r>
      <w:r w:rsidR="00F23106">
        <w:t>vertinimu:</w:t>
      </w:r>
    </w:p>
    <w:p w:rsidR="00F23106" w:rsidRDefault="00C75D82" w:rsidP="00473C6F">
      <w:r>
        <w:t>1. </w:t>
      </w:r>
      <w:r w:rsidR="00F82615">
        <w:t>A</w:t>
      </w:r>
      <w:r w:rsidR="000A0199">
        <w:t xml:space="preserve">pibendrinus </w:t>
      </w:r>
      <w:r w:rsidR="000A0199" w:rsidRPr="000D54FD">
        <w:rPr>
          <w:b/>
          <w:i/>
        </w:rPr>
        <w:t>apklausos dalyvių</w:t>
      </w:r>
      <w:r w:rsidR="000A0199">
        <w:t xml:space="preserve"> pateiktus atsakymus, paaiškėjo</w:t>
      </w:r>
      <w:r w:rsidR="00AA5FA9">
        <w:t xml:space="preserve">, jog didžioji dauguma bedarbių ir socialinės paramos gavėjų savo elgseną vertino </w:t>
      </w:r>
      <w:r w:rsidR="00494A05">
        <w:t>kaip tinkamą</w:t>
      </w:r>
      <w:r w:rsidR="00A106FF">
        <w:t>, nes finansinės elgsenos rodiklis</w:t>
      </w:r>
      <w:r w:rsidR="00034289">
        <w:t xml:space="preserve"> (94,5 balo)</w:t>
      </w:r>
      <w:r w:rsidR="00A106FF">
        <w:t xml:space="preserve"> tapo</w:t>
      </w:r>
      <w:r w:rsidR="00034289">
        <w:t xml:space="preserve"> geresnis nei „pusiausvyros taškas“ (74 balai), kuris parodo, jog finansinė elgsena yra nei racionali, nei </w:t>
      </w:r>
      <w:r w:rsidR="009019F9">
        <w:t>ne</w:t>
      </w:r>
      <w:r w:rsidR="00034289">
        <w:t>racionali.</w:t>
      </w:r>
      <w:r w:rsidR="006D0930">
        <w:t xml:space="preserve"> Tai</w:t>
      </w:r>
      <w:r w:rsidR="009019F9">
        <w:t xml:space="preserve"> privertė</w:t>
      </w:r>
      <w:r w:rsidR="00E26634">
        <w:t xml:space="preserve"> </w:t>
      </w:r>
      <w:r w:rsidR="00E26634" w:rsidRPr="00E47B09">
        <w:rPr>
          <w:i/>
        </w:rPr>
        <w:t>atmesti pirmąją hipotezę (H</w:t>
      </w:r>
      <w:r w:rsidR="00E26634" w:rsidRPr="00E47B09">
        <w:rPr>
          <w:i/>
          <w:vertAlign w:val="subscript"/>
        </w:rPr>
        <w:t>1</w:t>
      </w:r>
      <w:r w:rsidR="00E26634" w:rsidRPr="00E47B09">
        <w:rPr>
          <w:i/>
        </w:rPr>
        <w:t>)</w:t>
      </w:r>
      <w:r w:rsidR="00646D60">
        <w:t xml:space="preserve"> ir daryti išvadą, jog gyventojų finansinė elgsena socialinės apsaugos srityje yra </w:t>
      </w:r>
      <w:r w:rsidR="00654BBD" w:rsidRPr="00B362D8">
        <w:t xml:space="preserve">ganėtinai </w:t>
      </w:r>
      <w:r w:rsidR="00646D60" w:rsidRPr="00B362D8">
        <w:t>racionali</w:t>
      </w:r>
      <w:r w:rsidR="00646D60">
        <w:t xml:space="preserve">. Nagrinėjant atskirų veiksnių </w:t>
      </w:r>
      <w:r w:rsidR="009E65DB">
        <w:t xml:space="preserve">įtaką, tapo aišku, jog tokį </w:t>
      </w:r>
      <w:r w:rsidR="00654BBD">
        <w:t xml:space="preserve">rezultatą labiausiai </w:t>
      </w:r>
      <w:r w:rsidR="009E65DB">
        <w:t>lėmė</w:t>
      </w:r>
      <w:r w:rsidR="0057773B">
        <w:t xml:space="preserve"> so</w:t>
      </w:r>
      <w:r w:rsidR="00654BBD">
        <w:t>cialinių-demografinių veiksnių įvertinima</w:t>
      </w:r>
      <w:r w:rsidR="00E73010">
        <w:t>i</w:t>
      </w:r>
      <w:r w:rsidR="0057773B">
        <w:t xml:space="preserve"> (29 </w:t>
      </w:r>
      <w:r w:rsidR="00CF2EAB">
        <w:t>/</w:t>
      </w:r>
      <w:r w:rsidR="0057773B">
        <w:t> </w:t>
      </w:r>
      <w:r w:rsidR="00CF303D">
        <w:t>36 balų)</w:t>
      </w:r>
      <w:r w:rsidR="006478DE">
        <w:t xml:space="preserve">, iš kurių paminėtini: </w:t>
      </w:r>
      <w:r w:rsidR="00E73010">
        <w:rPr>
          <w:i/>
        </w:rPr>
        <w:t xml:space="preserve">prastas </w:t>
      </w:r>
      <w:r w:rsidR="00F207A1" w:rsidRPr="009019F9">
        <w:rPr>
          <w:i/>
        </w:rPr>
        <w:t>išsilavinimas</w:t>
      </w:r>
      <w:r w:rsidR="00F207A1">
        <w:t>,</w:t>
      </w:r>
      <w:r w:rsidR="00CF2EAB">
        <w:t xml:space="preserve"> </w:t>
      </w:r>
      <w:r w:rsidR="00CF2EAB" w:rsidRPr="009019F9">
        <w:rPr>
          <w:i/>
        </w:rPr>
        <w:t xml:space="preserve">įgūdžių </w:t>
      </w:r>
      <w:r w:rsidR="00F207A1" w:rsidRPr="009019F9">
        <w:rPr>
          <w:i/>
        </w:rPr>
        <w:t>stok</w:t>
      </w:r>
      <w:r w:rsidR="00CF2EAB" w:rsidRPr="009019F9">
        <w:rPr>
          <w:i/>
        </w:rPr>
        <w:t>a</w:t>
      </w:r>
      <w:r w:rsidR="00F627B2">
        <w:t xml:space="preserve"> bei</w:t>
      </w:r>
      <w:r w:rsidR="00F207A1">
        <w:t xml:space="preserve"> </w:t>
      </w:r>
      <w:r w:rsidR="00F207A1" w:rsidRPr="009019F9">
        <w:rPr>
          <w:i/>
        </w:rPr>
        <w:t xml:space="preserve">šeimos </w:t>
      </w:r>
      <w:r w:rsidR="00CF2EAB" w:rsidRPr="00EC5300">
        <w:rPr>
          <w:i/>
        </w:rPr>
        <w:t>struktūra</w:t>
      </w:r>
      <w:r w:rsidR="00474ADE">
        <w:t xml:space="preserve">, t. y. </w:t>
      </w:r>
      <w:r w:rsidR="00E73010">
        <w:t xml:space="preserve">tie </w:t>
      </w:r>
      <w:r w:rsidR="00474ADE">
        <w:t>veiksniai, kurie daugiau</w:t>
      </w:r>
      <w:r w:rsidR="00E73010">
        <w:t xml:space="preserve"> ar</w:t>
      </w:r>
      <w:r w:rsidR="00474ADE">
        <w:t xml:space="preserve"> mažiau yra suvokiami kaip objektyvios priežastys, </w:t>
      </w:r>
      <w:r w:rsidR="00D81521">
        <w:t xml:space="preserve">formuojant pajamas iš </w:t>
      </w:r>
      <w:r w:rsidR="0045491C">
        <w:t xml:space="preserve">valstybės </w:t>
      </w:r>
      <w:r w:rsidR="00D81521">
        <w:t>lėšų.</w:t>
      </w:r>
      <w:r w:rsidR="00B02130">
        <w:t xml:space="preserve"> Kalbant apie veiksnius, kurie </w:t>
      </w:r>
      <w:r w:rsidR="00DC4912">
        <w:t xml:space="preserve">finansinei </w:t>
      </w:r>
      <w:r w:rsidR="00B02130">
        <w:t xml:space="preserve">elgsenai </w:t>
      </w:r>
      <w:r w:rsidR="00DC4912">
        <w:t>darė</w:t>
      </w:r>
      <w:r w:rsidR="00B02130">
        <w:t xml:space="preserve"> neigiam</w:t>
      </w:r>
      <w:r w:rsidR="00DC4912">
        <w:t>ą įtaką</w:t>
      </w:r>
      <w:r w:rsidR="00B02130">
        <w:t>, reik</w:t>
      </w:r>
      <w:r w:rsidR="00DC4912">
        <w:t>ėtų</w:t>
      </w:r>
      <w:r w:rsidR="00BD34AD">
        <w:t xml:space="preserve"> pastebėti</w:t>
      </w:r>
      <w:r w:rsidR="00DC4912">
        <w:t xml:space="preserve">, jog </w:t>
      </w:r>
      <w:r w:rsidR="002F6BC7" w:rsidRPr="002F6BC7">
        <w:rPr>
          <w:i/>
        </w:rPr>
        <w:t>antroji hipotezė (H</w:t>
      </w:r>
      <w:r w:rsidR="002F6BC7" w:rsidRPr="002F6BC7">
        <w:rPr>
          <w:i/>
          <w:vertAlign w:val="subscript"/>
        </w:rPr>
        <w:t>2</w:t>
      </w:r>
      <w:r w:rsidR="002F6BC7" w:rsidRPr="002F6BC7">
        <w:rPr>
          <w:i/>
        </w:rPr>
        <w:t>) pasitvirtino</w:t>
      </w:r>
      <w:r w:rsidR="000A0199">
        <w:t>, nes</w:t>
      </w:r>
      <w:r w:rsidR="0045491C">
        <w:t xml:space="preserve"> būtent </w:t>
      </w:r>
      <w:r w:rsidR="002F6BC7">
        <w:t>emocini</w:t>
      </w:r>
      <w:r w:rsidR="00B30124">
        <w:t>ų</w:t>
      </w:r>
      <w:r w:rsidR="002F6BC7">
        <w:t>-psichologini</w:t>
      </w:r>
      <w:r w:rsidR="00B30124">
        <w:t xml:space="preserve">ų </w:t>
      </w:r>
      <w:r w:rsidR="002F6BC7">
        <w:t>veiksni</w:t>
      </w:r>
      <w:r w:rsidR="00B30124">
        <w:t xml:space="preserve">ų </w:t>
      </w:r>
      <w:r w:rsidR="002625A8">
        <w:t xml:space="preserve">įvertinimas </w:t>
      </w:r>
      <w:r w:rsidR="00B30124">
        <w:t xml:space="preserve">labiausiai </w:t>
      </w:r>
      <w:r w:rsidR="0087588D">
        <w:t>nu</w:t>
      </w:r>
      <w:r w:rsidR="00B30124">
        <w:t>tol</w:t>
      </w:r>
      <w:r w:rsidR="002625A8">
        <w:t>o</w:t>
      </w:r>
      <w:r w:rsidR="00B30124">
        <w:t xml:space="preserve"> nuo pageidautinos</w:t>
      </w:r>
      <w:r w:rsidR="002625A8">
        <w:t xml:space="preserve"> </w:t>
      </w:r>
      <w:r w:rsidR="00047576">
        <w:t xml:space="preserve">elgsenos </w:t>
      </w:r>
      <w:r w:rsidR="006D69E3">
        <w:t>(31,5 / 58 balų). Galima</w:t>
      </w:r>
      <w:r w:rsidR="00C91418">
        <w:t xml:space="preserve"> tvirtinti</w:t>
      </w:r>
      <w:r w:rsidR="006D69E3">
        <w:t>, jog neracionalią</w:t>
      </w:r>
      <w:r w:rsidR="00792EE4">
        <w:t xml:space="preserve"> elgseną labiausiai skatina</w:t>
      </w:r>
      <w:r w:rsidR="00FC46F5">
        <w:t xml:space="preserve"> </w:t>
      </w:r>
      <w:r w:rsidR="00FC46F5" w:rsidRPr="00792EE4">
        <w:rPr>
          <w:i/>
        </w:rPr>
        <w:t>mentalinės sąskaitos</w:t>
      </w:r>
      <w:r w:rsidR="00FC46F5">
        <w:t xml:space="preserve">, </w:t>
      </w:r>
      <w:r w:rsidR="00FC46F5" w:rsidRPr="00792EE4">
        <w:rPr>
          <w:i/>
        </w:rPr>
        <w:t>„sovietinis“ mentalitetas</w:t>
      </w:r>
      <w:r w:rsidR="00FC46F5">
        <w:t xml:space="preserve"> ir </w:t>
      </w:r>
      <w:r w:rsidR="00FC46F5" w:rsidRPr="00792EE4">
        <w:rPr>
          <w:i/>
        </w:rPr>
        <w:t>amoralus šeimyniškumas</w:t>
      </w:r>
      <w:r w:rsidR="00792EE4">
        <w:t xml:space="preserve">, t. y. </w:t>
      </w:r>
      <w:r w:rsidR="009E7130">
        <w:t xml:space="preserve">tie </w:t>
      </w:r>
      <w:r w:rsidR="00792EE4">
        <w:t xml:space="preserve">veiksniai, kurie parodo, jog </w:t>
      </w:r>
      <w:r w:rsidR="009E7130">
        <w:t xml:space="preserve">žmonės </w:t>
      </w:r>
      <w:r w:rsidR="00E1314D">
        <w:t xml:space="preserve">nejaučia asmeninės atsakomybės, </w:t>
      </w:r>
      <w:r w:rsidR="00BD34AD">
        <w:t>nes</w:t>
      </w:r>
      <w:r w:rsidR="00E1314D">
        <w:t xml:space="preserve"> yra linkę manyti, jog socialine gerove, pirmiausia, turi rūpinti valstybė</w:t>
      </w:r>
      <w:r w:rsidR="00B065BF">
        <w:t>, o ne jie patys</w:t>
      </w:r>
      <w:r w:rsidR="00836AE1">
        <w:t>. Tyrimas taip pat</w:t>
      </w:r>
      <w:r w:rsidR="00BD34AD">
        <w:t xml:space="preserve"> atskleidė</w:t>
      </w:r>
      <w:r w:rsidR="00836AE1">
        <w:t xml:space="preserve">, jog į </w:t>
      </w:r>
      <w:r w:rsidR="002C4171">
        <w:t xml:space="preserve">netinkamą </w:t>
      </w:r>
      <w:r w:rsidR="00785F58">
        <w:t xml:space="preserve">elgseną labiau yra linkę ilgalaikiai socialinės apsaugos dalyviai, </w:t>
      </w:r>
      <w:r w:rsidR="00E40850">
        <w:t>kadangi</w:t>
      </w:r>
      <w:r w:rsidR="00785F58">
        <w:t xml:space="preserve"> jiems mentalinės sąskaitos reiškėsi kur kas aktyviau</w:t>
      </w:r>
      <w:r w:rsidR="00346606">
        <w:t xml:space="preserve"> ne</w:t>
      </w:r>
      <w:r w:rsidR="002C4171">
        <w:t>gu</w:t>
      </w:r>
      <w:r w:rsidR="00346606">
        <w:t xml:space="preserve"> tiems žmonėms, kurie darbo ieškojosi trumpesnį laiką.</w:t>
      </w:r>
    </w:p>
    <w:p w:rsidR="00E40850" w:rsidRDefault="00AD2B5E" w:rsidP="00473C6F">
      <w:r>
        <w:t>2. Darant prielaidą, jog</w:t>
      </w:r>
      <w:r w:rsidR="00120E4A">
        <w:t xml:space="preserve"> apklausos dalyvių atsakymai galėjo būti nepakankamai atviri, – </w:t>
      </w:r>
      <w:r w:rsidR="00120E4A" w:rsidRPr="007050F2">
        <w:rPr>
          <w:i/>
        </w:rPr>
        <w:t>ir dėl to</w:t>
      </w:r>
      <w:r w:rsidR="007050F2" w:rsidRPr="007050F2">
        <w:rPr>
          <w:i/>
        </w:rPr>
        <w:t xml:space="preserve"> ne visai tiksliai</w:t>
      </w:r>
      <w:r w:rsidR="007050F2">
        <w:rPr>
          <w:i/>
        </w:rPr>
        <w:t xml:space="preserve"> </w:t>
      </w:r>
      <w:r w:rsidR="007050F2" w:rsidRPr="007050F2">
        <w:rPr>
          <w:i/>
        </w:rPr>
        <w:t>atspindintys realią situaciją</w:t>
      </w:r>
      <w:r w:rsidR="00120E4A">
        <w:t xml:space="preserve">, </w:t>
      </w:r>
      <w:r w:rsidR="007050F2">
        <w:t xml:space="preserve">– </w:t>
      </w:r>
      <w:r w:rsidR="00120E4A">
        <w:t>tu</w:t>
      </w:r>
      <w:r w:rsidR="007050F2">
        <w:t xml:space="preserve">os pačius veiksnius buvo paprašyta įvertinti ir </w:t>
      </w:r>
      <w:r w:rsidR="007050F2" w:rsidRPr="000D54FD">
        <w:rPr>
          <w:b/>
          <w:i/>
        </w:rPr>
        <w:t>ekspertų</w:t>
      </w:r>
      <w:r w:rsidR="00815541">
        <w:t>, kas</w:t>
      </w:r>
      <w:r w:rsidR="003F74A2">
        <w:t xml:space="preserve"> </w:t>
      </w:r>
      <w:r w:rsidR="00D64D65">
        <w:t>leido gauti</w:t>
      </w:r>
      <w:r w:rsidR="00244D4B">
        <w:t xml:space="preserve"> kiek</w:t>
      </w:r>
      <w:r w:rsidR="00D64D65">
        <w:t xml:space="preserve"> kit</w:t>
      </w:r>
      <w:r w:rsidR="00421BB1">
        <w:t>okiu</w:t>
      </w:r>
      <w:r w:rsidR="00D64D65">
        <w:t>s rezultatus</w:t>
      </w:r>
      <w:r w:rsidR="00421BB1">
        <w:t xml:space="preserve">. </w:t>
      </w:r>
      <w:r w:rsidR="00244D4B">
        <w:t xml:space="preserve">Remiantis ekspertų vertinimais, </w:t>
      </w:r>
      <w:r w:rsidR="00421BB1">
        <w:t>bedarbių ir socialinės paramos gavėjų</w:t>
      </w:r>
      <w:r w:rsidR="00244D4B">
        <w:t xml:space="preserve"> elgsena</w:t>
      </w:r>
      <w:r w:rsidR="003E09A1">
        <w:t xml:space="preserve"> yra linkstanti į neracionalumą, nes rezultatas (68,5 balo</w:t>
      </w:r>
      <w:r w:rsidR="006B266F">
        <w:t>) tapo</w:t>
      </w:r>
      <w:r w:rsidR="003E09A1">
        <w:t xml:space="preserve"> mažesnis nei</w:t>
      </w:r>
      <w:r w:rsidR="00096CBA">
        <w:t xml:space="preserve"> „pusiausvyros taškas“ </w:t>
      </w:r>
      <w:r w:rsidR="007339D9">
        <w:t xml:space="preserve">(74 balai). Tai leido patvirtinti </w:t>
      </w:r>
      <w:r w:rsidR="007339D9" w:rsidRPr="00EB7BBC">
        <w:rPr>
          <w:i/>
        </w:rPr>
        <w:t>pirmąją hipotezę</w:t>
      </w:r>
      <w:r w:rsidR="00EB7BBC">
        <w:t xml:space="preserve"> (</w:t>
      </w:r>
      <w:r w:rsidR="00EB7BBC" w:rsidRPr="00EB7BBC">
        <w:rPr>
          <w:i/>
        </w:rPr>
        <w:t>H</w:t>
      </w:r>
      <w:r w:rsidR="00EB7BBC" w:rsidRPr="00EB7BBC">
        <w:rPr>
          <w:i/>
          <w:vertAlign w:val="subscript"/>
        </w:rPr>
        <w:t>1</w:t>
      </w:r>
      <w:r w:rsidR="00EB7BBC">
        <w:t>)</w:t>
      </w:r>
      <w:r w:rsidR="0051741F">
        <w:t xml:space="preserve"> ir padaryti išvadą, </w:t>
      </w:r>
      <w:r w:rsidR="00EB7BBC">
        <w:t>jog dauguma socialinės apsaugos dalyvių</w:t>
      </w:r>
      <w:r w:rsidR="0051741F">
        <w:t xml:space="preserve"> socialine gerove naudojasi </w:t>
      </w:r>
      <w:r w:rsidR="0051741F" w:rsidRPr="00DC7FD7">
        <w:rPr>
          <w:i/>
        </w:rPr>
        <w:t>nepagrįstai</w:t>
      </w:r>
      <w:r w:rsidR="0051741F">
        <w:t xml:space="preserve">, t. y. </w:t>
      </w:r>
      <w:r w:rsidR="00F74CFB">
        <w:t xml:space="preserve">nesant objektyvių priežasčių, ar </w:t>
      </w:r>
      <w:r w:rsidR="00F74CFB" w:rsidRPr="00DC7FD7">
        <w:rPr>
          <w:i/>
        </w:rPr>
        <w:t>netesėtai</w:t>
      </w:r>
      <w:r w:rsidR="00F74CFB">
        <w:t>, t. y. nesant teisinio pagrindo</w:t>
      </w:r>
      <w:r w:rsidR="00AB7DC4">
        <w:t>, todėl bereikalingai naudoja valstybės, – o tai reiškia ir visuomenės, – išteklius.</w:t>
      </w:r>
      <w:r w:rsidR="00E568EB">
        <w:t xml:space="preserve"> Žiūrint į atskir</w:t>
      </w:r>
      <w:r w:rsidR="001624D6">
        <w:t>us</w:t>
      </w:r>
      <w:r w:rsidR="00E568EB">
        <w:t xml:space="preserve"> veiksnių įvertinimus, tapo aišku, jog </w:t>
      </w:r>
      <w:r w:rsidR="00321C73">
        <w:t xml:space="preserve">didžiausią įtaką </w:t>
      </w:r>
      <w:r w:rsidR="006B49A9">
        <w:t xml:space="preserve">tokiai </w:t>
      </w:r>
      <w:r w:rsidR="00321C73">
        <w:t>elgsenai darė</w:t>
      </w:r>
      <w:r w:rsidR="006B49A9">
        <w:t xml:space="preserve"> ekonominiai veiksniai</w:t>
      </w:r>
      <w:r w:rsidR="001624D6">
        <w:t xml:space="preserve">, </w:t>
      </w:r>
      <w:r w:rsidR="00630A57">
        <w:t>nes</w:t>
      </w:r>
      <w:r w:rsidR="001624D6">
        <w:t xml:space="preserve"> jie </w:t>
      </w:r>
      <w:r w:rsidR="00A0787C">
        <w:t xml:space="preserve">optimaliai </w:t>
      </w:r>
      <w:r w:rsidR="001624D6">
        <w:t>elgsenai prilygo tik 40 proc. Taip</w:t>
      </w:r>
      <w:r w:rsidR="00630A57">
        <w:t xml:space="preserve"> pat</w:t>
      </w:r>
      <w:r w:rsidR="001624D6">
        <w:t xml:space="preserve"> </w:t>
      </w:r>
      <w:r w:rsidR="00485BA5">
        <w:t xml:space="preserve">stipriai veikė </w:t>
      </w:r>
      <w:r w:rsidR="00A0787C">
        <w:t xml:space="preserve">ir </w:t>
      </w:r>
      <w:r w:rsidR="00485BA5">
        <w:t>emociniai-psichologiniai</w:t>
      </w:r>
      <w:r w:rsidR="00630A57">
        <w:t xml:space="preserve"> veiksniai</w:t>
      </w:r>
      <w:r w:rsidR="00A0787C">
        <w:t xml:space="preserve">, kurie </w:t>
      </w:r>
      <w:r w:rsidR="001762C1">
        <w:t xml:space="preserve">pageidautinai elgsenai prilygo tik </w:t>
      </w:r>
      <w:r w:rsidR="005B415D">
        <w:t>45</w:t>
      </w:r>
      <w:r w:rsidR="0001390C">
        <w:t> proc.</w:t>
      </w:r>
      <w:r w:rsidR="00B36917">
        <w:t xml:space="preserve"> Kadangi šios dvi veiksnių grupės tiek apklausos dalyvių, tiek </w:t>
      </w:r>
      <w:r w:rsidR="001762C1">
        <w:t>ekspertų buvo vertinamos</w:t>
      </w:r>
      <w:r w:rsidR="00B3530A">
        <w:t xml:space="preserve"> kaip darančios</w:t>
      </w:r>
      <w:r w:rsidR="005E0304">
        <w:t xml:space="preserve"> didžiausią įtaką neracionaliai elgsenai, darytina išvada, jog </w:t>
      </w:r>
      <w:r w:rsidR="005E0304" w:rsidRPr="006A66A3">
        <w:rPr>
          <w:i/>
        </w:rPr>
        <w:t>antroji hipotezė (H</w:t>
      </w:r>
      <w:r w:rsidR="005E0304" w:rsidRPr="006A66A3">
        <w:rPr>
          <w:i/>
          <w:vertAlign w:val="subscript"/>
        </w:rPr>
        <w:t>2</w:t>
      </w:r>
      <w:r w:rsidR="005E0304" w:rsidRPr="006A66A3">
        <w:rPr>
          <w:i/>
        </w:rPr>
        <w:t>)</w:t>
      </w:r>
      <w:r w:rsidR="006A66A3">
        <w:t xml:space="preserve"> iš dalies pasitvirtino. Ekspertų vertinimai padėjo atskleisti, jog šiuo metu daugiausiai problemų kyla dėl to, jog</w:t>
      </w:r>
      <w:r w:rsidR="00B50582">
        <w:t xml:space="preserve"> </w:t>
      </w:r>
      <w:r w:rsidR="00F25DC8">
        <w:rPr>
          <w:i/>
        </w:rPr>
        <w:t xml:space="preserve">žmonės </w:t>
      </w:r>
      <w:r w:rsidR="00C60664" w:rsidRPr="00F25DC8">
        <w:rPr>
          <w:i/>
        </w:rPr>
        <w:t xml:space="preserve">nesuvokia, koks yra valstybės vaidmuo, kalbant apie socialinę apsaugą, </w:t>
      </w:r>
      <w:r w:rsidR="00CE14C1" w:rsidRPr="00F25DC8">
        <w:rPr>
          <w:i/>
        </w:rPr>
        <w:t>todėl neįdeda</w:t>
      </w:r>
      <w:r w:rsidR="00C60664" w:rsidRPr="00F25DC8">
        <w:rPr>
          <w:i/>
        </w:rPr>
        <w:t xml:space="preserve"> pakankamai pastangų, kad jų statusas pasikeistų</w:t>
      </w:r>
      <w:r w:rsidR="00D830CD">
        <w:t xml:space="preserve"> </w:t>
      </w:r>
      <w:r w:rsidR="00D830CD" w:rsidRPr="00E90C45">
        <w:rPr>
          <w:i/>
        </w:rPr>
        <w:t xml:space="preserve">– </w:t>
      </w:r>
      <w:r w:rsidR="00D830CD" w:rsidRPr="00E90C45">
        <w:t>t</w:t>
      </w:r>
      <w:r w:rsidR="00F25DC8" w:rsidRPr="00E90C45">
        <w:t>am dide</w:t>
      </w:r>
      <w:r w:rsidR="00D830CD" w:rsidRPr="00E90C45">
        <w:t>lę</w:t>
      </w:r>
      <w:r w:rsidR="00F25DC8" w:rsidRPr="00E90C45">
        <w:t xml:space="preserve"> įtak</w:t>
      </w:r>
      <w:r w:rsidR="00D830CD" w:rsidRPr="00E90C45">
        <w:t>ą</w:t>
      </w:r>
      <w:r w:rsidR="00F25DC8" w:rsidRPr="00E90C45">
        <w:t xml:space="preserve"> </w:t>
      </w:r>
      <w:r w:rsidR="00D830CD" w:rsidRPr="00E90C45">
        <w:t xml:space="preserve">daro </w:t>
      </w:r>
      <w:r w:rsidR="00F25DC8" w:rsidRPr="00E90C45">
        <w:t>teisės aktų spragos</w:t>
      </w:r>
      <w:r w:rsidR="00F25DC8">
        <w:t>.</w:t>
      </w:r>
    </w:p>
    <w:p w:rsidR="00E01587" w:rsidRDefault="006A4B8B" w:rsidP="007C16FA">
      <w:r>
        <w:lastRenderedPageBreak/>
        <w:t>Kadangi tyrimai parodė, jog</w:t>
      </w:r>
      <w:r w:rsidR="00B63E50">
        <w:t xml:space="preserve"> Lietuvos bedarbiai ir socialinės paramos gavėjai yra mažai motyvuoti, nejaučiantys poreikio darbui ir nesuvokiantys kitų žmonių teisėtų finansinių lūkesčių</w:t>
      </w:r>
      <w:r w:rsidR="00496F9F">
        <w:t>, prieita prie išvados, jog tokių žmonių elgsena gali būti gerinama, keičiant ne požiūrį, o jų atsaką, t. y. veiksmus</w:t>
      </w:r>
      <w:r w:rsidR="00E01587">
        <w:t>,</w:t>
      </w:r>
      <w:r w:rsidR="00496F9F">
        <w:t xml:space="preserve"> į susidariusias </w:t>
      </w:r>
      <w:r w:rsidR="00496F9F" w:rsidRPr="00B429AB">
        <w:t>aplinkybes</w:t>
      </w:r>
      <w:r w:rsidR="00E01587" w:rsidRPr="00B429AB">
        <w:t xml:space="preserve">, </w:t>
      </w:r>
      <w:r w:rsidR="00C972FB" w:rsidRPr="00B429AB">
        <w:t xml:space="preserve">– </w:t>
      </w:r>
      <w:r w:rsidR="00E01587" w:rsidRPr="00B429AB">
        <w:t xml:space="preserve">todėl </w:t>
      </w:r>
      <w:r w:rsidR="00E01587" w:rsidRPr="00B429AB">
        <w:rPr>
          <w:b/>
          <w:i/>
        </w:rPr>
        <w:t>gerinti</w:t>
      </w:r>
      <w:r w:rsidR="00E01587" w:rsidRPr="00B429AB">
        <w:t xml:space="preserve"> bedarbių ir socialinės paramos gavėjų </w:t>
      </w:r>
      <w:r w:rsidR="00E01587" w:rsidRPr="00B429AB">
        <w:rPr>
          <w:b/>
          <w:i/>
        </w:rPr>
        <w:t>elgseną</w:t>
      </w:r>
      <w:r w:rsidR="00E01587" w:rsidRPr="00B429AB">
        <w:t xml:space="preserve"> </w:t>
      </w:r>
      <w:r w:rsidR="00E01587" w:rsidRPr="00B429AB">
        <w:rPr>
          <w:b/>
          <w:i/>
        </w:rPr>
        <w:t>siūloma tokiomis priemonėmis</w:t>
      </w:r>
      <w:r w:rsidR="00E01587" w:rsidRPr="00B429AB">
        <w:t>:</w:t>
      </w:r>
    </w:p>
    <w:p w:rsidR="00C972FB" w:rsidRDefault="00033CEE" w:rsidP="007C16FA">
      <w:r>
        <w:t>1. </w:t>
      </w:r>
      <w:r w:rsidR="00B429AB">
        <w:t xml:space="preserve">Kadangi </w:t>
      </w:r>
      <w:r w:rsidR="00B669B4">
        <w:t>L</w:t>
      </w:r>
      <w:r w:rsidR="00B429AB">
        <w:t>ietuvos įstatymai yra labiau palankūs</w:t>
      </w:r>
      <w:r w:rsidR="00226E02">
        <w:t xml:space="preserve"> skurstantie</w:t>
      </w:r>
      <w:r w:rsidR="00B669B4">
        <w:t xml:space="preserve">ms nei darbo netekusiems individams, </w:t>
      </w:r>
      <w:r w:rsidR="00226E02">
        <w:t>tai mažina motyvaciją ieškotis</w:t>
      </w:r>
      <w:r w:rsidR="00B669B4">
        <w:t xml:space="preserve"> </w:t>
      </w:r>
      <w:r w:rsidR="00226E02">
        <w:t>darbo ir grįžti į darbo rinką – s</w:t>
      </w:r>
      <w:r w:rsidR="00751B0D">
        <w:t xml:space="preserve">iekiant pašalinti šią kliūtį, siūloma įtvirtinti teisę į </w:t>
      </w:r>
      <w:r w:rsidR="00751B0D" w:rsidRPr="00416752">
        <w:rPr>
          <w:i/>
        </w:rPr>
        <w:t>papildomą nedarbo draudimo išmoką</w:t>
      </w:r>
      <w:r w:rsidR="00751B0D">
        <w:t>, kuri</w:t>
      </w:r>
      <w:r w:rsidR="00F329EF">
        <w:t xml:space="preserve"> būtų mokama</w:t>
      </w:r>
      <w:r w:rsidR="00D64D0F">
        <w:t>,</w:t>
      </w:r>
      <w:r w:rsidR="00F329EF">
        <w:t xml:space="preserve"> įsidarbinus anksčiau</w:t>
      </w:r>
      <w:r w:rsidR="00226E02">
        <w:t xml:space="preserve"> laiko, negu baigtųs</w:t>
      </w:r>
      <w:r w:rsidR="00F329EF">
        <w:t>i nedarbo draudimo išmokos mokėjimo terminas.</w:t>
      </w:r>
      <w:r w:rsidR="00D64D0F">
        <w:t xml:space="preserve"> Atlikti skaičiavimai parodė, jog tokia priemonė finansinę individų gerovę padidintų apytiksliai</w:t>
      </w:r>
      <w:r w:rsidR="00B94EFB">
        <w:t xml:space="preserve"> 16 proc., jeigu vienas iš šeimos suaugusiųjų įsidarbintų už minimalų, t. y. 850 Lt</w:t>
      </w:r>
      <w:r w:rsidR="008D6A58">
        <w:t>,</w:t>
      </w:r>
      <w:r w:rsidR="00B94EFB">
        <w:t xml:space="preserve"> atlyginimą</w:t>
      </w:r>
      <w:r w:rsidR="004F4533">
        <w:t>,</w:t>
      </w:r>
      <w:r w:rsidR="008D6A58">
        <w:t xml:space="preserve"> </w:t>
      </w:r>
      <w:r w:rsidR="004F4533">
        <w:t>arba</w:t>
      </w:r>
      <w:r w:rsidR="008D6A58">
        <w:t xml:space="preserve"> 22 proc., jei</w:t>
      </w:r>
      <w:r w:rsidR="003433A2">
        <w:t>gu</w:t>
      </w:r>
      <w:r w:rsidR="008D6A58">
        <w:t xml:space="preserve"> atlyginimas siektų 1 100 Lt.</w:t>
      </w:r>
      <w:r w:rsidR="004F4533">
        <w:t xml:space="preserve"> Be to, </w:t>
      </w:r>
      <w:r w:rsidR="003433A2">
        <w:t xml:space="preserve">taikant tam tikrą schemą, </w:t>
      </w:r>
      <w:r w:rsidR="00A1038A">
        <w:t>ši priemonė net</w:t>
      </w:r>
      <w:r w:rsidR="00000688">
        <w:t xml:space="preserve"> nepareikalautų papildomų valstybės išteklių</w:t>
      </w:r>
      <w:r w:rsidR="00497D6E">
        <w:t>, ne</w:t>
      </w:r>
      <w:r w:rsidR="00A1038A">
        <w:t>s pinigai sugrįžtų netiesiogiai –</w:t>
      </w:r>
      <w:r w:rsidR="00497D6E">
        <w:t xml:space="preserve"> mokesčių pavidalu.</w:t>
      </w:r>
      <w:r w:rsidR="00734F5B">
        <w:t xml:space="preserve"> Galima teigti, jog didžiausi tokios priemonės </w:t>
      </w:r>
      <w:r w:rsidR="00A1038A">
        <w:t xml:space="preserve">privalumai </w:t>
      </w:r>
      <w:r w:rsidR="00734F5B">
        <w:t xml:space="preserve">būtų: </w:t>
      </w:r>
      <w:r w:rsidR="00366CBF">
        <w:t xml:space="preserve">padidėtų </w:t>
      </w:r>
      <w:r w:rsidR="00416752">
        <w:t xml:space="preserve">motyvacija grįžti į darbo rinką; </w:t>
      </w:r>
      <w:r w:rsidR="00CC47ED">
        <w:t>išau</w:t>
      </w:r>
      <w:r w:rsidR="00A1038A">
        <w:t>gtų pajamos tuo laikotarpiu, kada</w:t>
      </w:r>
      <w:r w:rsidR="0038108B">
        <w:t xml:space="preserve"> adaptuojamasi darbo rinkoje, kas paprastai </w:t>
      </w:r>
      <w:r w:rsidR="00CC47ED">
        <w:t xml:space="preserve">yra </w:t>
      </w:r>
      <w:r w:rsidR="0038108B">
        <w:t>siejama su papildomų išla</w:t>
      </w:r>
      <w:r w:rsidR="00CC47ED">
        <w:t xml:space="preserve">idų atsiradimu; be to, </w:t>
      </w:r>
      <w:r w:rsidR="00F01294">
        <w:t>tai leistų atsisakyti</w:t>
      </w:r>
      <w:r w:rsidR="00CC47ED">
        <w:t xml:space="preserve"> minties laukti ir įgyti teisę į papildomą pašalpą</w:t>
      </w:r>
      <w:r w:rsidR="007001DE">
        <w:t>.</w:t>
      </w:r>
    </w:p>
    <w:p w:rsidR="007001DE" w:rsidRDefault="007001DE" w:rsidP="007C16FA">
      <w:r>
        <w:t>2. </w:t>
      </w:r>
      <w:r w:rsidR="00554FA6" w:rsidRPr="00F01294">
        <w:rPr>
          <w:i/>
        </w:rPr>
        <w:t xml:space="preserve">Įtvirtinti nuostatas, kurios labiau įpareigotų </w:t>
      </w:r>
      <w:r w:rsidR="00B3407B">
        <w:rPr>
          <w:i/>
        </w:rPr>
        <w:t xml:space="preserve">individus </w:t>
      </w:r>
      <w:r w:rsidR="00554FA6" w:rsidRPr="00F01294">
        <w:rPr>
          <w:i/>
        </w:rPr>
        <w:t>bei drausmintų prasikaltusiuosius</w:t>
      </w:r>
      <w:r w:rsidR="00554FA6">
        <w:t xml:space="preserve">. </w:t>
      </w:r>
      <w:r w:rsidR="000654CB">
        <w:t>Siūl</w:t>
      </w:r>
      <w:r w:rsidR="00F634ED">
        <w:t xml:space="preserve">oma keisti nuostatą, jog visuomenei naudingai veiklai gali būti pasitelkiami </w:t>
      </w:r>
      <w:r w:rsidR="00F634ED" w:rsidRPr="00CD219B">
        <w:rPr>
          <w:i/>
        </w:rPr>
        <w:t>tik</w:t>
      </w:r>
      <w:r w:rsidR="00F634ED">
        <w:t xml:space="preserve"> nedirbantys ir socialinę pašalpą gaunantys</w:t>
      </w:r>
      <w:r w:rsidR="00CD219B">
        <w:t xml:space="preserve"> ne </w:t>
      </w:r>
      <w:r w:rsidR="001B3C00">
        <w:t>maž</w:t>
      </w:r>
      <w:r w:rsidR="00CD219B">
        <w:t>iau kaip 6 mėn.</w:t>
      </w:r>
      <w:r w:rsidR="00B3407B">
        <w:t xml:space="preserve"> asmeny</w:t>
      </w:r>
      <w:r w:rsidR="00183B2C">
        <w:t>s</w:t>
      </w:r>
      <w:r w:rsidR="00CD219B">
        <w:t xml:space="preserve">. </w:t>
      </w:r>
      <w:r w:rsidR="001B3C00">
        <w:t>D</w:t>
      </w:r>
      <w:r w:rsidR="00CD219B">
        <w:t>alyvauti visuomenei naudingoje veikloje turė</w:t>
      </w:r>
      <w:r w:rsidR="001B3C00">
        <w:t xml:space="preserve">tų </w:t>
      </w:r>
      <w:r w:rsidR="001B3C00" w:rsidRPr="008D4CC3">
        <w:rPr>
          <w:i/>
        </w:rPr>
        <w:t>visi</w:t>
      </w:r>
      <w:r w:rsidR="001B3C00">
        <w:t xml:space="preserve"> (išskyrus </w:t>
      </w:r>
      <w:r w:rsidR="00183B2C">
        <w:t>išimtis) nuo pirmosios pašalpos gavimo momento</w:t>
      </w:r>
      <w:r w:rsidR="00DC2ED5">
        <w:t xml:space="preserve">, įtraukiant ir </w:t>
      </w:r>
      <w:r w:rsidR="003E7A52">
        <w:t>dirbančiuosius pašalpų gavėjus,</w:t>
      </w:r>
      <w:r w:rsidR="008D4CC3">
        <w:t xml:space="preserve"> –</w:t>
      </w:r>
      <w:r w:rsidR="003E7A52">
        <w:t xml:space="preserve"> taip būtų galima sumažinti</w:t>
      </w:r>
      <w:r w:rsidR="00BB55A8">
        <w:t xml:space="preserve"> neteisėtų lūkesčių turinčių žmonių, kurie </w:t>
      </w:r>
      <w:r w:rsidR="00DC2ED5">
        <w:t xml:space="preserve">iki šiol </w:t>
      </w:r>
      <w:r w:rsidR="00BB55A8">
        <w:t>galėjo puikiai derinti nelegalų darbą</w:t>
      </w:r>
      <w:r w:rsidR="00DC2ED5">
        <w:t xml:space="preserve"> su pašalpos gavimu</w:t>
      </w:r>
      <w:r w:rsidR="008D4CC3">
        <w:t>, skaičių.</w:t>
      </w:r>
      <w:r w:rsidR="001904BC">
        <w:t xml:space="preserve"> Ne</w:t>
      </w:r>
      <w:r w:rsidR="00072216">
        <w:t xml:space="preserve">atlikusiems visuomenei naudingų darbų </w:t>
      </w:r>
      <w:r w:rsidR="000A18B9">
        <w:t>daugiau kaip 2</w:t>
      </w:r>
      <w:r w:rsidR="001904BC">
        <w:t xml:space="preserve"> kartus iš eilės</w:t>
      </w:r>
      <w:r w:rsidR="000A18B9">
        <w:t>, reikėtų įtvirtinti didesnę atsakomybę, t. y. ne sustabdyti pašalpos mokėjimą „iki pareiga bus įvykdyta“</w:t>
      </w:r>
      <w:r w:rsidR="008F661D">
        <w:t xml:space="preserve">, o nutraukti jos mokėjimą bent 3 mėn. laikotarpiui. Turint informacijos, jog žmogus gauna (ar gavo) nelegalių pajamų, </w:t>
      </w:r>
      <w:r w:rsidR="00D925E8">
        <w:t>tokią šeimą būtų galima į</w:t>
      </w:r>
      <w:r w:rsidR="007609EF">
        <w:t>traukti į „juodąjį sąrašą“</w:t>
      </w:r>
      <w:r w:rsidR="009C5041">
        <w:t xml:space="preserve"> ir išmesti </w:t>
      </w:r>
      <w:r w:rsidR="00D925E8">
        <w:t xml:space="preserve">iš socialinės paramos programos </w:t>
      </w:r>
      <w:r w:rsidR="009C5041">
        <w:t>be teisės prie jos prisijungti vienerius metus.</w:t>
      </w:r>
      <w:r w:rsidR="00514EB5">
        <w:t xml:space="preserve"> Kita kartą tokia šeima turėtų būti tikrinama papildomomis priemonėmis.</w:t>
      </w:r>
    </w:p>
    <w:p w:rsidR="00742B47" w:rsidRDefault="00514EB5" w:rsidP="007C16FA">
      <w:r>
        <w:t>3. </w:t>
      </w:r>
      <w:r w:rsidR="00F32733" w:rsidRPr="003A1CA6">
        <w:rPr>
          <w:i/>
        </w:rPr>
        <w:t>Mažinti priklausomybę nuo socialinės</w:t>
      </w:r>
      <w:r w:rsidR="001877E0" w:rsidRPr="003A1CA6">
        <w:rPr>
          <w:i/>
        </w:rPr>
        <w:t xml:space="preserve"> pašalpos</w:t>
      </w:r>
      <w:r w:rsidR="00F32733">
        <w:t>.</w:t>
      </w:r>
      <w:r w:rsidR="001877E0">
        <w:t xml:space="preserve"> Pirmiausia s</w:t>
      </w:r>
      <w:r w:rsidR="0028561E">
        <w:t>iūloma su</w:t>
      </w:r>
      <w:r w:rsidR="00134311">
        <w:t>mažinti pašalpos</w:t>
      </w:r>
      <w:r w:rsidR="0028561E">
        <w:t xml:space="preserve"> mokėjimo terminą</w:t>
      </w:r>
      <w:r w:rsidR="00134311">
        <w:t xml:space="preserve"> </w:t>
      </w:r>
      <w:r w:rsidR="003444BA">
        <w:t xml:space="preserve">(iki </w:t>
      </w:r>
      <w:r w:rsidR="003A1CA6">
        <w:t>24</w:t>
      </w:r>
      <w:r w:rsidR="003444BA">
        <w:t xml:space="preserve"> mėn.) </w:t>
      </w:r>
      <w:r w:rsidR="00134311">
        <w:t>tiems žmonėms, kurių pastangos grįžti į darbo rinką yra „nulinės“</w:t>
      </w:r>
      <w:r w:rsidR="003444BA">
        <w:t>. Taip pat siūloma</w:t>
      </w:r>
      <w:r w:rsidR="0018425E">
        <w:t xml:space="preserve"> įtvirtinti </w:t>
      </w:r>
      <w:r w:rsidR="0018425E" w:rsidRPr="00E7322E">
        <w:rPr>
          <w:i/>
        </w:rPr>
        <w:t>papildomas sąlygas</w:t>
      </w:r>
      <w:r w:rsidR="001877E0">
        <w:t xml:space="preserve"> teisei į socialinę </w:t>
      </w:r>
      <w:r w:rsidR="00E7322E">
        <w:t>pašalpą įgyti</w:t>
      </w:r>
      <w:r w:rsidR="0018425E">
        <w:t xml:space="preserve">: registruotis darbo biržoje </w:t>
      </w:r>
      <w:r w:rsidR="00B205E5">
        <w:t xml:space="preserve">ir </w:t>
      </w:r>
      <w:r w:rsidR="0018425E">
        <w:t>tiems asmenims, kurie dirba ne visą darbo laiką</w:t>
      </w:r>
      <w:r w:rsidR="004A7C05">
        <w:t xml:space="preserve"> (tokiu </w:t>
      </w:r>
      <w:r w:rsidR="005B1666">
        <w:t>atvej</w:t>
      </w:r>
      <w:r w:rsidR="004A7C05">
        <w:t>u</w:t>
      </w:r>
      <w:r w:rsidR="005B1666">
        <w:t>,</w:t>
      </w:r>
      <w:r w:rsidR="004A7C05">
        <w:t xml:space="preserve"> būtų galima atsisakyti reikalavimo dirbti ne mažiau kaip 2 / 3 </w:t>
      </w:r>
      <w:r w:rsidR="00D42AED">
        <w:t xml:space="preserve">apibrėžtos </w:t>
      </w:r>
      <w:r w:rsidR="004A7C05">
        <w:t xml:space="preserve">darbo trukmės, </w:t>
      </w:r>
      <w:r w:rsidR="00D02709">
        <w:t>nes</w:t>
      </w:r>
      <w:r w:rsidR="005B1666">
        <w:t xml:space="preserve"> dirbantiems ne visu krūviu žmonėms</w:t>
      </w:r>
      <w:r w:rsidR="00D02709">
        <w:t xml:space="preserve"> būtų galima teikti darbo pasiūlymus</w:t>
      </w:r>
      <w:r w:rsidR="005B1666">
        <w:t xml:space="preserve">, </w:t>
      </w:r>
      <w:r w:rsidR="00D02709">
        <w:t>o</w:t>
      </w:r>
      <w:r w:rsidR="00D42AED">
        <w:t>,</w:t>
      </w:r>
      <w:r w:rsidR="00D02709">
        <w:t xml:space="preserve"> </w:t>
      </w:r>
      <w:r w:rsidR="005B1666">
        <w:t xml:space="preserve">skaičiuojant pašalpos dydį, </w:t>
      </w:r>
      <w:r w:rsidR="00B205E5">
        <w:t>– ir</w:t>
      </w:r>
      <w:r w:rsidR="005B1666">
        <w:t xml:space="preserve"> pritaikyt</w:t>
      </w:r>
      <w:r w:rsidR="00B205E5">
        <w:t>i</w:t>
      </w:r>
      <w:r w:rsidR="005B1666">
        <w:t xml:space="preserve"> koeficient</w:t>
      </w:r>
      <w:r w:rsidR="00B205E5">
        <w:t>ą</w:t>
      </w:r>
      <w:r w:rsidR="005B1666">
        <w:t>)</w:t>
      </w:r>
      <w:r w:rsidR="00892469">
        <w:t xml:space="preserve">; </w:t>
      </w:r>
      <w:r w:rsidR="00D42AED">
        <w:t>turėti ne mažesnį kaip 3 mėn. darbo stažą</w:t>
      </w:r>
      <w:r w:rsidR="00133C32">
        <w:t>, įgytą per paskutinius 12 mėn. –</w:t>
      </w:r>
      <w:r w:rsidR="0094494D">
        <w:t xml:space="preserve"> taip </w:t>
      </w:r>
      <w:r w:rsidR="002A14B7">
        <w:t xml:space="preserve">socialinė pagalba būtų teikiama tiems, kurie </w:t>
      </w:r>
      <w:r w:rsidR="0094494D">
        <w:t xml:space="preserve">turi realių </w:t>
      </w:r>
      <w:r w:rsidR="00597E89">
        <w:t xml:space="preserve">finansinių </w:t>
      </w:r>
      <w:r w:rsidR="0094494D">
        <w:t>sunkumų.</w:t>
      </w:r>
    </w:p>
    <w:p w:rsidR="00711924" w:rsidRDefault="00AD64BB" w:rsidP="007C16FA">
      <w:r>
        <w:t>S</w:t>
      </w:r>
      <w:r w:rsidR="00B459B9">
        <w:t>iūlom</w:t>
      </w:r>
      <w:r w:rsidR="00DE4C0B">
        <w:t>ų</w:t>
      </w:r>
      <w:r w:rsidR="00B459B9">
        <w:t xml:space="preserve"> priemon</w:t>
      </w:r>
      <w:r w:rsidR="00DE4C0B">
        <w:t>ių sąrašas nėra baigtinis</w:t>
      </w:r>
      <w:r w:rsidR="00A80EC1">
        <w:t>:</w:t>
      </w:r>
      <w:r w:rsidR="00A14FAE">
        <w:t xml:space="preserve"> kadangi egzistuoja daug problemų</w:t>
      </w:r>
      <w:r w:rsidR="00B7613F">
        <w:t xml:space="preserve">, joms spręsti </w:t>
      </w:r>
      <w:r w:rsidR="008E1CC1">
        <w:t xml:space="preserve">tikslinga būtų </w:t>
      </w:r>
      <w:r>
        <w:t xml:space="preserve">atlikti tolimesnius </w:t>
      </w:r>
      <w:r w:rsidR="00B7613F">
        <w:t>tyrimus</w:t>
      </w:r>
      <w:r w:rsidR="008E1CC1">
        <w:t xml:space="preserve"> </w:t>
      </w:r>
      <w:r w:rsidR="00EF45DA">
        <w:t>– ir</w:t>
      </w:r>
      <w:r w:rsidR="00A80EC1">
        <w:t>,</w:t>
      </w:r>
      <w:r w:rsidR="00EF45DA">
        <w:t xml:space="preserve"> ypatingai</w:t>
      </w:r>
      <w:r w:rsidR="00A80EC1">
        <w:t>,</w:t>
      </w:r>
      <w:r w:rsidR="00EF45DA">
        <w:t xml:space="preserve"> </w:t>
      </w:r>
      <w:r w:rsidR="00BD3C20">
        <w:t>lengvatų dirbant</w:t>
      </w:r>
      <w:r w:rsidR="00D75C9F">
        <w:t xml:space="preserve"> taikymo srityje</w:t>
      </w:r>
      <w:r w:rsidR="00A80EC1">
        <w:t>, kurios skatina užimtumą.</w:t>
      </w:r>
      <w:r w:rsidR="00711924">
        <w:br w:type="page"/>
      </w:r>
    </w:p>
    <w:p w:rsidR="00F57200" w:rsidRDefault="008D188D" w:rsidP="00AD2B5E">
      <w:pPr>
        <w:pStyle w:val="Heading1"/>
        <w:numPr>
          <w:ilvl w:val="0"/>
          <w:numId w:val="0"/>
        </w:numPr>
      </w:pPr>
      <w:bookmarkStart w:id="55" w:name="_Toc343636898"/>
      <w:r>
        <w:lastRenderedPageBreak/>
        <w:t>LITERATŪRA</w:t>
      </w:r>
      <w:bookmarkEnd w:id="55"/>
    </w:p>
    <w:p w:rsidR="000D7472" w:rsidRPr="00F05377" w:rsidRDefault="000D7472" w:rsidP="00060B84">
      <w:pPr>
        <w:spacing w:after="0"/>
        <w:ind w:firstLine="0"/>
        <w:jc w:val="center"/>
        <w:rPr>
          <w:b/>
          <w:szCs w:val="24"/>
        </w:rPr>
      </w:pPr>
      <w:r w:rsidRPr="00F05377">
        <w:rPr>
          <w:b/>
          <w:szCs w:val="24"/>
          <w:u w:val="single"/>
        </w:rPr>
        <w:t>Knygos</w:t>
      </w:r>
      <w:r w:rsidRPr="00F05377">
        <w:rPr>
          <w:b/>
          <w:szCs w:val="24"/>
        </w:rPr>
        <w:t>:</w:t>
      </w:r>
    </w:p>
    <w:p w:rsidR="000D7472" w:rsidRPr="00F05377" w:rsidRDefault="000D7472" w:rsidP="0065367E">
      <w:pPr>
        <w:pStyle w:val="ListParagraph"/>
        <w:numPr>
          <w:ilvl w:val="0"/>
          <w:numId w:val="42"/>
        </w:numPr>
        <w:ind w:left="360"/>
        <w:rPr>
          <w:szCs w:val="24"/>
        </w:rPr>
      </w:pPr>
      <w:proofErr w:type="spellStart"/>
      <w:r w:rsidRPr="00F05377">
        <w:rPr>
          <w:b/>
          <w:szCs w:val="24"/>
          <w:lang w:val="en-US"/>
        </w:rPr>
        <w:t>Bastiat</w:t>
      </w:r>
      <w:proofErr w:type="spellEnd"/>
      <w:r w:rsidRPr="00F05377">
        <w:rPr>
          <w:b/>
          <w:szCs w:val="24"/>
          <w:lang w:val="en-US"/>
        </w:rPr>
        <w:t>, F.</w:t>
      </w:r>
      <w:r w:rsidRPr="00F05377">
        <w:rPr>
          <w:b/>
          <w:szCs w:val="24"/>
        </w:rPr>
        <w:t xml:space="preserve"> </w:t>
      </w:r>
      <w:r w:rsidRPr="00F05377">
        <w:rPr>
          <w:i/>
          <w:szCs w:val="24"/>
        </w:rPr>
        <w:t>Ekonominiai ir politiniai esė</w:t>
      </w:r>
      <w:r w:rsidRPr="00F05377">
        <w:rPr>
          <w:szCs w:val="24"/>
        </w:rPr>
        <w:t>. – Kaunas: Libertas, 1992. – 124 p.</w:t>
      </w:r>
    </w:p>
    <w:p w:rsidR="000D7472" w:rsidRPr="00F05377" w:rsidRDefault="000D7472" w:rsidP="0065367E">
      <w:pPr>
        <w:pStyle w:val="ListParagraph"/>
        <w:numPr>
          <w:ilvl w:val="0"/>
          <w:numId w:val="42"/>
        </w:numPr>
        <w:ind w:left="360"/>
        <w:rPr>
          <w:szCs w:val="24"/>
        </w:rPr>
      </w:pPr>
      <w:r w:rsidRPr="00F05377">
        <w:rPr>
          <w:b/>
          <w:szCs w:val="24"/>
        </w:rPr>
        <w:t>Gylys, P.</w:t>
      </w:r>
      <w:r w:rsidRPr="00F05377">
        <w:rPr>
          <w:szCs w:val="24"/>
        </w:rPr>
        <w:t xml:space="preserve"> </w:t>
      </w:r>
      <w:r w:rsidRPr="00F05377">
        <w:rPr>
          <w:i/>
          <w:szCs w:val="24"/>
        </w:rPr>
        <w:t xml:space="preserve">Ekonomika, </w:t>
      </w:r>
      <w:proofErr w:type="spellStart"/>
      <w:r w:rsidRPr="00F05377">
        <w:rPr>
          <w:i/>
          <w:szCs w:val="24"/>
        </w:rPr>
        <w:t>antiekonomika</w:t>
      </w:r>
      <w:proofErr w:type="spellEnd"/>
      <w:r w:rsidRPr="00F05377">
        <w:rPr>
          <w:i/>
          <w:szCs w:val="24"/>
        </w:rPr>
        <w:t xml:space="preserve"> ir globalizacija: monografija</w:t>
      </w:r>
      <w:r w:rsidRPr="00F05377">
        <w:rPr>
          <w:szCs w:val="24"/>
        </w:rPr>
        <w:t>. – Vilnius: Vilniaus universiteto leidykla, 2008. – 443 p. – ISBN 978-9955-33-170-4.</w:t>
      </w:r>
    </w:p>
    <w:p w:rsidR="000D7472" w:rsidRPr="00F05377" w:rsidRDefault="000D7472" w:rsidP="0065367E">
      <w:pPr>
        <w:pStyle w:val="ListParagraph"/>
        <w:numPr>
          <w:ilvl w:val="0"/>
          <w:numId w:val="42"/>
        </w:numPr>
        <w:ind w:left="360"/>
        <w:rPr>
          <w:i/>
          <w:szCs w:val="24"/>
          <w:lang w:val="en-US"/>
        </w:rPr>
      </w:pPr>
      <w:proofErr w:type="spellStart"/>
      <w:r w:rsidRPr="00F05377">
        <w:rPr>
          <w:b/>
          <w:szCs w:val="24"/>
        </w:rPr>
        <w:t>Hillman</w:t>
      </w:r>
      <w:proofErr w:type="spellEnd"/>
      <w:r w:rsidRPr="00F05377">
        <w:rPr>
          <w:b/>
          <w:szCs w:val="24"/>
        </w:rPr>
        <w:t xml:space="preserve">, </w:t>
      </w:r>
      <w:proofErr w:type="spellStart"/>
      <w:r w:rsidRPr="00F05377">
        <w:rPr>
          <w:b/>
          <w:szCs w:val="24"/>
        </w:rPr>
        <w:t>Arye</w:t>
      </w:r>
      <w:proofErr w:type="spellEnd"/>
      <w:r w:rsidRPr="00F05377">
        <w:rPr>
          <w:b/>
          <w:szCs w:val="24"/>
        </w:rPr>
        <w:t xml:space="preserve"> L.</w:t>
      </w:r>
      <w:r w:rsidRPr="00F05377">
        <w:rPr>
          <w:szCs w:val="24"/>
        </w:rPr>
        <w:t xml:space="preserve"> </w:t>
      </w:r>
      <w:r w:rsidRPr="00F05377">
        <w:rPr>
          <w:i/>
          <w:szCs w:val="24"/>
          <w:lang w:val="en-US"/>
        </w:rPr>
        <w:t>Public Finance and Public Policy: Responsibilities and Limitations of Government</w:t>
      </w:r>
      <w:r w:rsidRPr="00F05377">
        <w:rPr>
          <w:szCs w:val="24"/>
          <w:lang w:val="en-US"/>
        </w:rPr>
        <w:t>. – Cambridge: Cambridge University Press, 2009. – 766 p. – ISBN 0 521 00114 5.</w:t>
      </w:r>
    </w:p>
    <w:p w:rsidR="000D7472" w:rsidRPr="00F05377" w:rsidRDefault="000D7472" w:rsidP="0065367E">
      <w:pPr>
        <w:pStyle w:val="ListParagraph"/>
        <w:numPr>
          <w:ilvl w:val="0"/>
          <w:numId w:val="42"/>
        </w:numPr>
        <w:ind w:left="360"/>
        <w:rPr>
          <w:szCs w:val="24"/>
        </w:rPr>
      </w:pPr>
      <w:proofErr w:type="spellStart"/>
      <w:r w:rsidRPr="00F05377">
        <w:rPr>
          <w:b/>
          <w:szCs w:val="24"/>
          <w:lang w:val="en-US"/>
        </w:rPr>
        <w:t>Pompian</w:t>
      </w:r>
      <w:proofErr w:type="spellEnd"/>
      <w:r w:rsidRPr="00F05377">
        <w:rPr>
          <w:b/>
          <w:szCs w:val="24"/>
          <w:lang w:val="en-US"/>
        </w:rPr>
        <w:t>, M. M.</w:t>
      </w:r>
      <w:r w:rsidRPr="00F05377">
        <w:rPr>
          <w:szCs w:val="24"/>
          <w:lang w:val="en-US"/>
        </w:rPr>
        <w:t xml:space="preserve"> </w:t>
      </w:r>
      <w:r w:rsidRPr="00F05377">
        <w:rPr>
          <w:i/>
          <w:szCs w:val="24"/>
          <w:lang w:val="en-US"/>
        </w:rPr>
        <w:t>Behavioral Finance and Wealth Management: How to Build Optimal Portfolios That Account for Investor Biases</w:t>
      </w:r>
      <w:r w:rsidRPr="00F05377">
        <w:rPr>
          <w:szCs w:val="24"/>
        </w:rPr>
        <w:t xml:space="preserve">. – </w:t>
      </w:r>
      <w:r w:rsidRPr="00F05377">
        <w:rPr>
          <w:szCs w:val="24"/>
          <w:lang w:val="en-US"/>
        </w:rPr>
        <w:t>New York (N. Y.): John Wiley &amp; Sons,</w:t>
      </w:r>
      <w:r w:rsidRPr="00F05377">
        <w:rPr>
          <w:szCs w:val="24"/>
        </w:rPr>
        <w:t xml:space="preserve"> 2006. – p. 336. – ISSN 0471745170.</w:t>
      </w:r>
    </w:p>
    <w:p w:rsidR="000D7472" w:rsidRPr="00F05377" w:rsidRDefault="000D7472" w:rsidP="00972CA6">
      <w:pPr>
        <w:pStyle w:val="ListParagraph"/>
        <w:numPr>
          <w:ilvl w:val="0"/>
          <w:numId w:val="42"/>
        </w:numPr>
        <w:spacing w:after="0"/>
        <w:ind w:left="360"/>
        <w:rPr>
          <w:szCs w:val="24"/>
        </w:rPr>
      </w:pPr>
      <w:proofErr w:type="spellStart"/>
      <w:r w:rsidRPr="00F05377">
        <w:rPr>
          <w:b/>
          <w:szCs w:val="24"/>
        </w:rPr>
        <w:t>Rudzkienė</w:t>
      </w:r>
      <w:proofErr w:type="spellEnd"/>
      <w:r w:rsidRPr="00F05377">
        <w:rPr>
          <w:b/>
          <w:szCs w:val="24"/>
        </w:rPr>
        <w:t>, V.</w:t>
      </w:r>
      <w:r w:rsidRPr="00F05377">
        <w:rPr>
          <w:szCs w:val="24"/>
        </w:rPr>
        <w:t xml:space="preserve"> </w:t>
      </w:r>
      <w:r w:rsidRPr="00F05377">
        <w:rPr>
          <w:i/>
          <w:szCs w:val="24"/>
        </w:rPr>
        <w:t>Socialinė statistika: vadovėlis</w:t>
      </w:r>
      <w:r w:rsidRPr="00F05377">
        <w:rPr>
          <w:szCs w:val="24"/>
        </w:rPr>
        <w:t xml:space="preserve">. – Vilnius: Mykolo </w:t>
      </w:r>
      <w:proofErr w:type="spellStart"/>
      <w:r w:rsidRPr="00F05377">
        <w:rPr>
          <w:szCs w:val="24"/>
        </w:rPr>
        <w:t>Romerio</w:t>
      </w:r>
      <w:proofErr w:type="spellEnd"/>
      <w:r w:rsidRPr="00F05377">
        <w:rPr>
          <w:szCs w:val="24"/>
        </w:rPr>
        <w:t xml:space="preserve"> universiteto leidybos centras, 2005. – 257 p. – ISBN 9955190027.</w:t>
      </w:r>
    </w:p>
    <w:p w:rsidR="000D7472" w:rsidRPr="00F05377" w:rsidRDefault="000D7472" w:rsidP="00060B84">
      <w:pPr>
        <w:spacing w:after="0"/>
        <w:ind w:firstLine="0"/>
        <w:jc w:val="center"/>
        <w:rPr>
          <w:szCs w:val="24"/>
        </w:rPr>
      </w:pPr>
      <w:r w:rsidRPr="00F05377">
        <w:rPr>
          <w:b/>
          <w:szCs w:val="24"/>
          <w:u w:val="single"/>
        </w:rPr>
        <w:t>Žodynai</w:t>
      </w:r>
      <w:r w:rsidRPr="00F05377">
        <w:rPr>
          <w:szCs w:val="24"/>
        </w:rPr>
        <w:t>:</w:t>
      </w:r>
    </w:p>
    <w:p w:rsidR="000D7472" w:rsidRPr="00F05377" w:rsidRDefault="000D7472" w:rsidP="005D38A0">
      <w:pPr>
        <w:pStyle w:val="ListParagraph"/>
        <w:numPr>
          <w:ilvl w:val="0"/>
          <w:numId w:val="42"/>
        </w:numPr>
        <w:ind w:left="360"/>
        <w:rPr>
          <w:szCs w:val="24"/>
        </w:rPr>
      </w:pPr>
      <w:r w:rsidRPr="00F05377">
        <w:rPr>
          <w:i/>
          <w:szCs w:val="24"/>
        </w:rPr>
        <w:t>Dabartinės lietuvių kalbos žodynas</w:t>
      </w:r>
      <w:r w:rsidRPr="00F05377">
        <w:rPr>
          <w:szCs w:val="24"/>
        </w:rPr>
        <w:t xml:space="preserve"> / </w:t>
      </w:r>
      <w:r w:rsidRPr="00F05377">
        <w:rPr>
          <w:b/>
          <w:szCs w:val="24"/>
        </w:rPr>
        <w:t>redaktorių kolegija: Stasys Keinys (vyr. redaktorius) ir kiti; Lietuvių kalbos institutas</w:t>
      </w:r>
      <w:r w:rsidRPr="00F05377">
        <w:rPr>
          <w:szCs w:val="24"/>
        </w:rPr>
        <w:t>. – Vilnius: Mokslo ir enciklopedijų leidybos institutas, 2000. – 967 p. – ISBN 5420012421.</w:t>
      </w:r>
    </w:p>
    <w:p w:rsidR="000D7472" w:rsidRPr="00F05377" w:rsidRDefault="000D7472" w:rsidP="005D38A0">
      <w:pPr>
        <w:pStyle w:val="ListParagraph"/>
        <w:numPr>
          <w:ilvl w:val="0"/>
          <w:numId w:val="42"/>
        </w:numPr>
        <w:ind w:left="360"/>
        <w:rPr>
          <w:szCs w:val="24"/>
        </w:rPr>
      </w:pPr>
      <w:r w:rsidRPr="00F05377">
        <w:rPr>
          <w:i/>
          <w:szCs w:val="24"/>
        </w:rPr>
        <w:t>Lotynų-lietuvių kalbų žodynas</w:t>
      </w:r>
      <w:r w:rsidRPr="00F05377">
        <w:rPr>
          <w:szCs w:val="24"/>
        </w:rPr>
        <w:t xml:space="preserve"> </w:t>
      </w:r>
      <w:r w:rsidRPr="00F05377">
        <w:rPr>
          <w:i/>
          <w:szCs w:val="24"/>
          <w:lang w:val="la-Latn"/>
        </w:rPr>
        <w:t xml:space="preserve">= Dictionarium </w:t>
      </w:r>
      <w:r w:rsidRPr="00F05377">
        <w:rPr>
          <w:i/>
          <w:szCs w:val="24"/>
        </w:rPr>
        <w:t>L</w:t>
      </w:r>
      <w:r w:rsidRPr="00F05377">
        <w:rPr>
          <w:i/>
          <w:szCs w:val="24"/>
          <w:lang w:val="la-Latn"/>
        </w:rPr>
        <w:t>atino-</w:t>
      </w:r>
      <w:r w:rsidRPr="00F05377">
        <w:rPr>
          <w:i/>
          <w:szCs w:val="24"/>
        </w:rPr>
        <w:t>L</w:t>
      </w:r>
      <w:r w:rsidRPr="00F05377">
        <w:rPr>
          <w:i/>
          <w:szCs w:val="24"/>
          <w:lang w:val="la-Latn"/>
        </w:rPr>
        <w:t>ituanicum</w:t>
      </w:r>
      <w:r w:rsidRPr="00F05377">
        <w:rPr>
          <w:szCs w:val="24"/>
        </w:rPr>
        <w:t xml:space="preserve"> / </w:t>
      </w:r>
      <w:r w:rsidRPr="00F05377">
        <w:rPr>
          <w:b/>
          <w:szCs w:val="24"/>
        </w:rPr>
        <w:t xml:space="preserve">Kazimieras </w:t>
      </w:r>
      <w:proofErr w:type="spellStart"/>
      <w:r w:rsidRPr="00F05377">
        <w:rPr>
          <w:b/>
          <w:szCs w:val="24"/>
        </w:rPr>
        <w:t>Kuzavinis</w:t>
      </w:r>
      <w:proofErr w:type="spellEnd"/>
      <w:r w:rsidRPr="00F05377">
        <w:rPr>
          <w:szCs w:val="24"/>
        </w:rPr>
        <w:t>. – Vilnius: Mokslo ir enciklopedijų leidykla, 1996. – 800 p. – ISBN 5420012898.</w:t>
      </w:r>
    </w:p>
    <w:p w:rsidR="00A3746C" w:rsidRPr="00F05377" w:rsidRDefault="00A3746C" w:rsidP="005D38A0">
      <w:pPr>
        <w:pStyle w:val="ListParagraph"/>
        <w:numPr>
          <w:ilvl w:val="0"/>
          <w:numId w:val="42"/>
        </w:numPr>
        <w:ind w:left="360"/>
        <w:rPr>
          <w:szCs w:val="24"/>
        </w:rPr>
      </w:pPr>
      <w:r w:rsidRPr="00F05377">
        <w:rPr>
          <w:i/>
          <w:szCs w:val="24"/>
        </w:rPr>
        <w:t>Terminų žodynas</w:t>
      </w:r>
      <w:r w:rsidR="004B7171" w:rsidRPr="00F05377">
        <w:rPr>
          <w:szCs w:val="24"/>
        </w:rPr>
        <w:t>, 2012</w:t>
      </w:r>
      <w:r w:rsidRPr="00F05377">
        <w:rPr>
          <w:szCs w:val="24"/>
        </w:rPr>
        <w:t xml:space="preserve"> </w:t>
      </w:r>
      <w:r w:rsidR="009F6E6D" w:rsidRPr="00F05377">
        <w:rPr>
          <w:szCs w:val="24"/>
        </w:rPr>
        <w:t xml:space="preserve">[interaktyvus] [žiūrėta </w:t>
      </w:r>
      <w:r w:rsidR="00B90885" w:rsidRPr="00F05377">
        <w:rPr>
          <w:szCs w:val="24"/>
        </w:rPr>
        <w:t>2012 06 02</w:t>
      </w:r>
      <w:r w:rsidR="009F6E6D" w:rsidRPr="00F05377">
        <w:rPr>
          <w:szCs w:val="24"/>
        </w:rPr>
        <w:t>]</w:t>
      </w:r>
      <w:r w:rsidR="00226A34" w:rsidRPr="00F05377">
        <w:rPr>
          <w:szCs w:val="24"/>
        </w:rPr>
        <w:t>. Prieiga</w:t>
      </w:r>
      <w:r w:rsidR="00B115BA" w:rsidRPr="00F05377">
        <w:rPr>
          <w:szCs w:val="24"/>
        </w:rPr>
        <w:t>: &lt; http://www.zodynas.lt/terminu-zodynas &gt;.</w:t>
      </w:r>
    </w:p>
    <w:p w:rsidR="000D7472" w:rsidRPr="00F05377" w:rsidRDefault="000D7472" w:rsidP="005D38A0">
      <w:pPr>
        <w:pStyle w:val="ListParagraph"/>
        <w:numPr>
          <w:ilvl w:val="0"/>
          <w:numId w:val="42"/>
        </w:numPr>
        <w:ind w:left="360"/>
        <w:rPr>
          <w:szCs w:val="24"/>
        </w:rPr>
      </w:pPr>
      <w:r w:rsidRPr="00F05377">
        <w:rPr>
          <w:i/>
          <w:szCs w:val="24"/>
          <w:lang w:val="en-US"/>
        </w:rPr>
        <w:t>The New Oxford Dictionary of English</w:t>
      </w:r>
      <w:r w:rsidRPr="00F05377">
        <w:rPr>
          <w:szCs w:val="24"/>
          <w:lang w:val="en-US"/>
        </w:rPr>
        <w:t xml:space="preserve"> / </w:t>
      </w:r>
      <w:r w:rsidRPr="00F05377">
        <w:rPr>
          <w:b/>
          <w:szCs w:val="24"/>
          <w:lang w:val="en-US"/>
        </w:rPr>
        <w:t>Edited by Judy Pearsall</w:t>
      </w:r>
      <w:r w:rsidRPr="00F05377">
        <w:rPr>
          <w:szCs w:val="24"/>
          <w:lang w:val="en-US"/>
        </w:rPr>
        <w:t>. – Oxford; New York (N. Y.): Oxford University Press,</w:t>
      </w:r>
      <w:r w:rsidRPr="00F05377">
        <w:rPr>
          <w:szCs w:val="24"/>
        </w:rPr>
        <w:t xml:space="preserve"> 2001. – 2152 p. – ISBN 0198604416.</w:t>
      </w:r>
    </w:p>
    <w:p w:rsidR="000D7472" w:rsidRPr="00F05377" w:rsidRDefault="000D7472" w:rsidP="005D38A0">
      <w:pPr>
        <w:pStyle w:val="ListParagraph"/>
        <w:numPr>
          <w:ilvl w:val="0"/>
          <w:numId w:val="42"/>
        </w:numPr>
        <w:ind w:left="360"/>
        <w:rPr>
          <w:szCs w:val="24"/>
        </w:rPr>
      </w:pPr>
      <w:r w:rsidRPr="00F05377">
        <w:rPr>
          <w:i/>
          <w:szCs w:val="24"/>
          <w:lang w:val="en-US"/>
        </w:rPr>
        <w:t>The Oxford English Reference Dictionary</w:t>
      </w:r>
      <w:r w:rsidRPr="00F05377">
        <w:rPr>
          <w:szCs w:val="24"/>
          <w:lang w:val="en-US"/>
        </w:rPr>
        <w:t xml:space="preserve"> / </w:t>
      </w:r>
      <w:r w:rsidRPr="00F05377">
        <w:rPr>
          <w:b/>
          <w:szCs w:val="24"/>
          <w:lang w:val="en-US"/>
        </w:rPr>
        <w:t xml:space="preserve">Edited by Judy Pearsall; Bill </w:t>
      </w:r>
      <w:proofErr w:type="spellStart"/>
      <w:r w:rsidRPr="00F05377">
        <w:rPr>
          <w:b/>
          <w:szCs w:val="24"/>
          <w:lang w:val="en-US"/>
        </w:rPr>
        <w:t>Trumble</w:t>
      </w:r>
      <w:proofErr w:type="spellEnd"/>
      <w:r w:rsidRPr="00F05377">
        <w:rPr>
          <w:szCs w:val="24"/>
          <w:lang w:val="en-US"/>
        </w:rPr>
        <w:t>. – Oxford; New York (N. Y.): Oxford University Press,</w:t>
      </w:r>
      <w:r w:rsidRPr="00F05377">
        <w:rPr>
          <w:szCs w:val="24"/>
        </w:rPr>
        <w:t xml:space="preserve"> 2002. – 1765 p. – ISBN 0198606524.</w:t>
      </w:r>
    </w:p>
    <w:p w:rsidR="000D7472" w:rsidRPr="00F05377" w:rsidRDefault="000D7472" w:rsidP="00972CA6">
      <w:pPr>
        <w:pStyle w:val="ListParagraph"/>
        <w:numPr>
          <w:ilvl w:val="0"/>
          <w:numId w:val="42"/>
        </w:numPr>
        <w:spacing w:after="0"/>
        <w:ind w:left="360"/>
        <w:rPr>
          <w:szCs w:val="24"/>
        </w:rPr>
      </w:pPr>
      <w:r w:rsidRPr="00F05377">
        <w:rPr>
          <w:i/>
          <w:szCs w:val="24"/>
          <w:lang w:val="en-US"/>
        </w:rPr>
        <w:t>Webster's Third New International Dictionary of the English language, unabridged</w:t>
      </w:r>
      <w:r w:rsidRPr="00F05377">
        <w:rPr>
          <w:szCs w:val="24"/>
          <w:lang w:val="en-US"/>
        </w:rPr>
        <w:t xml:space="preserve"> /</w:t>
      </w:r>
      <w:r w:rsidRPr="00F05377">
        <w:rPr>
          <w:b/>
          <w:szCs w:val="24"/>
          <w:lang w:val="en-US"/>
        </w:rPr>
        <w:t xml:space="preserve"> Edited by Philip Babcock Gove</w:t>
      </w:r>
      <w:r w:rsidRPr="00F05377">
        <w:rPr>
          <w:szCs w:val="24"/>
        </w:rPr>
        <w:t>.</w:t>
      </w:r>
      <w:r w:rsidRPr="00F05377">
        <w:rPr>
          <w:b/>
          <w:szCs w:val="24"/>
          <w:lang w:val="en-US"/>
        </w:rPr>
        <w:t xml:space="preserve"> </w:t>
      </w:r>
      <w:r w:rsidRPr="00F05377">
        <w:rPr>
          <w:szCs w:val="24"/>
          <w:lang w:val="en-US"/>
        </w:rPr>
        <w:t xml:space="preserve">– Cologne: </w:t>
      </w:r>
      <w:proofErr w:type="spellStart"/>
      <w:r w:rsidRPr="00F05377">
        <w:rPr>
          <w:szCs w:val="24"/>
          <w:lang w:val="en-US"/>
        </w:rPr>
        <w:t>Könemann</w:t>
      </w:r>
      <w:proofErr w:type="spellEnd"/>
      <w:r w:rsidRPr="00F05377">
        <w:rPr>
          <w:szCs w:val="24"/>
          <w:lang w:val="en-US"/>
        </w:rPr>
        <w:t>, 1993. –</w:t>
      </w:r>
      <w:r w:rsidRPr="00F05377">
        <w:rPr>
          <w:szCs w:val="24"/>
        </w:rPr>
        <w:t xml:space="preserve"> 2662 p. – ISBN 3829052928.</w:t>
      </w:r>
    </w:p>
    <w:p w:rsidR="000D7472" w:rsidRPr="00F05377" w:rsidRDefault="000D7472" w:rsidP="00060B84">
      <w:pPr>
        <w:spacing w:after="0"/>
        <w:ind w:firstLine="0"/>
        <w:jc w:val="center"/>
        <w:rPr>
          <w:b/>
          <w:szCs w:val="24"/>
        </w:rPr>
      </w:pPr>
      <w:r w:rsidRPr="00F05377">
        <w:rPr>
          <w:b/>
          <w:szCs w:val="24"/>
          <w:u w:val="single"/>
        </w:rPr>
        <w:t>Straipsniai iš mokslinių žurnalų</w:t>
      </w:r>
      <w:r w:rsidRPr="00F05377">
        <w:rPr>
          <w:b/>
          <w:szCs w:val="24"/>
        </w:rPr>
        <w:t>:</w:t>
      </w:r>
    </w:p>
    <w:p w:rsidR="000D7472" w:rsidRPr="00F05377" w:rsidRDefault="000D7472" w:rsidP="005D38A0">
      <w:pPr>
        <w:pStyle w:val="ListParagraph"/>
        <w:numPr>
          <w:ilvl w:val="0"/>
          <w:numId w:val="42"/>
        </w:numPr>
        <w:ind w:left="360"/>
        <w:rPr>
          <w:szCs w:val="24"/>
        </w:rPr>
      </w:pPr>
      <w:proofErr w:type="spellStart"/>
      <w:r w:rsidRPr="00F05377">
        <w:rPr>
          <w:b/>
          <w:szCs w:val="24"/>
          <w:lang w:val="en-US"/>
        </w:rPr>
        <w:t>Akram</w:t>
      </w:r>
      <w:proofErr w:type="spellEnd"/>
      <w:r w:rsidRPr="00F05377">
        <w:rPr>
          <w:b/>
          <w:szCs w:val="24"/>
          <w:lang w:val="en-US"/>
        </w:rPr>
        <w:t xml:space="preserve">, M.; </w:t>
      </w:r>
      <w:proofErr w:type="spellStart"/>
      <w:r w:rsidRPr="00F05377">
        <w:rPr>
          <w:b/>
          <w:szCs w:val="24"/>
          <w:lang w:val="en-US"/>
        </w:rPr>
        <w:t>Hussain</w:t>
      </w:r>
      <w:proofErr w:type="spellEnd"/>
      <w:r w:rsidRPr="00F05377">
        <w:rPr>
          <w:b/>
          <w:szCs w:val="24"/>
          <w:lang w:val="en-US"/>
        </w:rPr>
        <w:t xml:space="preserve">, M; </w:t>
      </w:r>
      <w:proofErr w:type="spellStart"/>
      <w:r w:rsidRPr="00F05377">
        <w:rPr>
          <w:b/>
          <w:szCs w:val="24"/>
          <w:lang w:val="en-US"/>
        </w:rPr>
        <w:t>Rehman</w:t>
      </w:r>
      <w:proofErr w:type="spellEnd"/>
      <w:r w:rsidRPr="00F05377">
        <w:rPr>
          <w:b/>
          <w:szCs w:val="24"/>
          <w:lang w:val="en-US"/>
        </w:rPr>
        <w:t xml:space="preserve">, K. U.; </w:t>
      </w:r>
      <w:proofErr w:type="spellStart"/>
      <w:r w:rsidRPr="00F05377">
        <w:rPr>
          <w:b/>
          <w:szCs w:val="24"/>
          <w:lang w:val="en-US"/>
        </w:rPr>
        <w:t>Sajjad</w:t>
      </w:r>
      <w:proofErr w:type="spellEnd"/>
      <w:r w:rsidRPr="00F05377">
        <w:rPr>
          <w:b/>
          <w:szCs w:val="24"/>
          <w:lang w:val="en-US"/>
        </w:rPr>
        <w:t xml:space="preserve">, S. I.; </w:t>
      </w:r>
      <w:proofErr w:type="spellStart"/>
      <w:r w:rsidRPr="00F05377">
        <w:rPr>
          <w:b/>
          <w:szCs w:val="24"/>
          <w:lang w:val="en-US"/>
        </w:rPr>
        <w:t>Shafi</w:t>
      </w:r>
      <w:proofErr w:type="spellEnd"/>
      <w:r w:rsidRPr="00F05377">
        <w:rPr>
          <w:b/>
          <w:szCs w:val="24"/>
          <w:lang w:val="en-US"/>
        </w:rPr>
        <w:t>, H.</w:t>
      </w:r>
      <w:r w:rsidRPr="00F05377">
        <w:rPr>
          <w:szCs w:val="24"/>
        </w:rPr>
        <w:t xml:space="preserve"> </w:t>
      </w:r>
      <w:r w:rsidRPr="00F05377">
        <w:rPr>
          <w:szCs w:val="24"/>
          <w:lang w:val="en-US"/>
        </w:rPr>
        <w:t xml:space="preserve">Relationship between Risk Perception and Employee Investment Behavior // </w:t>
      </w:r>
      <w:r w:rsidRPr="00F05377">
        <w:rPr>
          <w:i/>
          <w:szCs w:val="24"/>
          <w:lang w:val="en-US"/>
        </w:rPr>
        <w:t>Journal of Economics and Behavioral Studies</w:t>
      </w:r>
      <w:r w:rsidRPr="00F05377">
        <w:rPr>
          <w:szCs w:val="24"/>
          <w:lang w:val="en-US"/>
        </w:rPr>
        <w:t xml:space="preserve">. – 2011, Vol. 3, No. 6, p. 345–351. </w:t>
      </w:r>
      <w:r w:rsidRPr="00F05377">
        <w:rPr>
          <w:szCs w:val="24"/>
        </w:rPr>
        <w:t>– ISSN 22206140.</w:t>
      </w:r>
    </w:p>
    <w:p w:rsidR="000D7472" w:rsidRPr="00F05377" w:rsidRDefault="000D7472" w:rsidP="005D38A0">
      <w:pPr>
        <w:pStyle w:val="ListParagraph"/>
        <w:numPr>
          <w:ilvl w:val="0"/>
          <w:numId w:val="42"/>
        </w:numPr>
        <w:ind w:left="360"/>
        <w:rPr>
          <w:b/>
          <w:szCs w:val="24"/>
        </w:rPr>
      </w:pPr>
      <w:proofErr w:type="spellStart"/>
      <w:r w:rsidRPr="00F05377">
        <w:rPr>
          <w:b/>
          <w:szCs w:val="24"/>
          <w:lang w:val="en-US"/>
        </w:rPr>
        <w:t>Appleyard</w:t>
      </w:r>
      <w:proofErr w:type="spellEnd"/>
      <w:r w:rsidRPr="00F05377">
        <w:rPr>
          <w:b/>
          <w:szCs w:val="24"/>
          <w:lang w:val="en-US"/>
        </w:rPr>
        <w:t>, L.</w:t>
      </w:r>
      <w:r w:rsidRPr="00F05377">
        <w:rPr>
          <w:b/>
          <w:szCs w:val="24"/>
        </w:rPr>
        <w:t xml:space="preserve"> </w:t>
      </w:r>
      <w:r w:rsidRPr="00F05377">
        <w:rPr>
          <w:szCs w:val="24"/>
          <w:lang w:val="en-US"/>
        </w:rPr>
        <w:t>Household Finances Under Pressure: What is the Role of Social Policy? //</w:t>
      </w:r>
      <w:r w:rsidRPr="00F05377">
        <w:rPr>
          <w:i/>
          <w:szCs w:val="24"/>
          <w:lang w:val="en-US"/>
        </w:rPr>
        <w:t xml:space="preserve"> Social Policy &amp; Society</w:t>
      </w:r>
      <w:r w:rsidRPr="00F05377">
        <w:rPr>
          <w:szCs w:val="24"/>
          <w:lang w:val="en-US"/>
        </w:rPr>
        <w:t>. – 2011, Vol. 11, Issue 1, p.</w:t>
      </w:r>
      <w:r w:rsidRPr="00F05377">
        <w:rPr>
          <w:szCs w:val="24"/>
        </w:rPr>
        <w:t xml:space="preserve"> 131–140. – ISSN 1474-7464.</w:t>
      </w:r>
    </w:p>
    <w:p w:rsidR="000D7472" w:rsidRPr="00F05377" w:rsidRDefault="000D7472" w:rsidP="005D38A0">
      <w:pPr>
        <w:pStyle w:val="ListParagraph"/>
        <w:numPr>
          <w:ilvl w:val="0"/>
          <w:numId w:val="42"/>
        </w:numPr>
        <w:ind w:left="360"/>
        <w:rPr>
          <w:szCs w:val="24"/>
        </w:rPr>
      </w:pPr>
      <w:proofErr w:type="spellStart"/>
      <w:r w:rsidRPr="00F05377">
        <w:rPr>
          <w:b/>
          <w:szCs w:val="24"/>
          <w:lang w:val="en-US"/>
        </w:rPr>
        <w:lastRenderedPageBreak/>
        <w:t>Biais</w:t>
      </w:r>
      <w:proofErr w:type="spellEnd"/>
      <w:r w:rsidRPr="00F05377">
        <w:rPr>
          <w:b/>
          <w:szCs w:val="24"/>
          <w:lang w:val="en-US"/>
        </w:rPr>
        <w:t>, B.; Weber, M.</w:t>
      </w:r>
      <w:r w:rsidRPr="00F05377">
        <w:rPr>
          <w:b/>
          <w:szCs w:val="24"/>
        </w:rPr>
        <w:t xml:space="preserve"> </w:t>
      </w:r>
      <w:r w:rsidRPr="00F05377">
        <w:rPr>
          <w:szCs w:val="24"/>
          <w:lang w:val="en-US"/>
        </w:rPr>
        <w:t xml:space="preserve">Hindsight Bias, Risk Perception and Investment Performance // </w:t>
      </w:r>
      <w:r w:rsidRPr="00F05377">
        <w:rPr>
          <w:i/>
          <w:szCs w:val="24"/>
          <w:lang w:val="en-US"/>
        </w:rPr>
        <w:t>Management Science</w:t>
      </w:r>
      <w:r w:rsidRPr="00F05377">
        <w:rPr>
          <w:szCs w:val="24"/>
          <w:lang w:val="en-US"/>
        </w:rPr>
        <w:t>. – 2009, Vol. 55, Issue 6,</w:t>
      </w:r>
      <w:r w:rsidRPr="00F05377">
        <w:rPr>
          <w:szCs w:val="24"/>
        </w:rPr>
        <w:t xml:space="preserve"> p. 1 018–1 029. – ISSN 00251909.</w:t>
      </w:r>
    </w:p>
    <w:p w:rsidR="000D7472" w:rsidRPr="00F05377" w:rsidRDefault="000D7472" w:rsidP="005D38A0">
      <w:pPr>
        <w:pStyle w:val="ListParagraph"/>
        <w:numPr>
          <w:ilvl w:val="0"/>
          <w:numId w:val="42"/>
        </w:numPr>
        <w:ind w:left="360"/>
        <w:rPr>
          <w:b/>
          <w:szCs w:val="24"/>
        </w:rPr>
      </w:pPr>
      <w:r w:rsidRPr="00F05377">
        <w:rPr>
          <w:b/>
          <w:szCs w:val="24"/>
        </w:rPr>
        <w:t xml:space="preserve">Bieliauskaitė, J. </w:t>
      </w:r>
      <w:r w:rsidRPr="00F05377">
        <w:rPr>
          <w:szCs w:val="24"/>
        </w:rPr>
        <w:t xml:space="preserve">Solidarumo vaidmuo socialinėje teisinėje valstybėje // </w:t>
      </w:r>
      <w:r w:rsidRPr="00F05377">
        <w:rPr>
          <w:i/>
          <w:szCs w:val="24"/>
        </w:rPr>
        <w:t>Socialinių mokslų studijos</w:t>
      </w:r>
      <w:r w:rsidRPr="00F05377">
        <w:rPr>
          <w:szCs w:val="24"/>
        </w:rPr>
        <w:t xml:space="preserve"> </w:t>
      </w:r>
      <w:r w:rsidRPr="00F05377">
        <w:rPr>
          <w:i/>
          <w:szCs w:val="24"/>
          <w:lang w:val="en-US"/>
        </w:rPr>
        <w:t>= Social Sciences Studies</w:t>
      </w:r>
      <w:r w:rsidRPr="00F05377">
        <w:rPr>
          <w:i/>
          <w:szCs w:val="24"/>
        </w:rPr>
        <w:t>: mokslo darbai</w:t>
      </w:r>
      <w:r w:rsidRPr="00F05377">
        <w:rPr>
          <w:szCs w:val="24"/>
        </w:rPr>
        <w:t>. 2009, Nr. 1(1), p. 79–94. – ISSN 2029-2236.</w:t>
      </w:r>
    </w:p>
    <w:p w:rsidR="000D7472" w:rsidRPr="00F05377" w:rsidRDefault="000D7472" w:rsidP="005D38A0">
      <w:pPr>
        <w:pStyle w:val="ListParagraph"/>
        <w:numPr>
          <w:ilvl w:val="0"/>
          <w:numId w:val="42"/>
        </w:numPr>
        <w:ind w:left="360"/>
        <w:rPr>
          <w:szCs w:val="24"/>
        </w:rPr>
      </w:pPr>
      <w:proofErr w:type="spellStart"/>
      <w:r w:rsidRPr="00F05377">
        <w:rPr>
          <w:b/>
          <w:szCs w:val="24"/>
        </w:rPr>
        <w:t>Bikas</w:t>
      </w:r>
      <w:proofErr w:type="spellEnd"/>
      <w:r w:rsidRPr="00F05377">
        <w:rPr>
          <w:b/>
          <w:szCs w:val="24"/>
        </w:rPr>
        <w:t>, E.</w:t>
      </w:r>
      <w:r w:rsidRPr="00F05377">
        <w:rPr>
          <w:szCs w:val="24"/>
        </w:rPr>
        <w:t xml:space="preserve"> Asmeninio turto valdymas ir jo aktualijos, Lietuvai integruojantis į Europos Sąjungą // </w:t>
      </w:r>
      <w:r w:rsidRPr="00F05377">
        <w:rPr>
          <w:i/>
          <w:szCs w:val="24"/>
        </w:rPr>
        <w:t>Ekonomika: mokslo darbai</w:t>
      </w:r>
      <w:r w:rsidRPr="00F05377">
        <w:rPr>
          <w:szCs w:val="24"/>
        </w:rPr>
        <w:t>. – 2003, Nr. 63, p. 7–15. – ISSN 1648-9098.</w:t>
      </w:r>
    </w:p>
    <w:p w:rsidR="000D7472" w:rsidRPr="00F05377" w:rsidRDefault="000D7472" w:rsidP="005D38A0">
      <w:pPr>
        <w:pStyle w:val="ListParagraph"/>
        <w:numPr>
          <w:ilvl w:val="0"/>
          <w:numId w:val="42"/>
        </w:numPr>
        <w:ind w:left="360"/>
        <w:rPr>
          <w:szCs w:val="24"/>
        </w:rPr>
      </w:pPr>
      <w:proofErr w:type="spellStart"/>
      <w:r w:rsidRPr="00F05377">
        <w:rPr>
          <w:b/>
          <w:szCs w:val="24"/>
        </w:rPr>
        <w:t>Bikas</w:t>
      </w:r>
      <w:proofErr w:type="spellEnd"/>
      <w:r w:rsidRPr="00F05377">
        <w:rPr>
          <w:b/>
          <w:szCs w:val="24"/>
        </w:rPr>
        <w:t>, E.; Kavaliauskas, A.</w:t>
      </w:r>
      <w:r w:rsidRPr="00F05377">
        <w:rPr>
          <w:szCs w:val="24"/>
        </w:rPr>
        <w:t xml:space="preserve"> Lietuvos investuotojų elgsena finansų krizės metu // </w:t>
      </w:r>
      <w:r w:rsidRPr="00F05377">
        <w:rPr>
          <w:i/>
          <w:szCs w:val="24"/>
        </w:rPr>
        <w:t>Verslas: teorija ir praktika</w:t>
      </w:r>
      <w:r w:rsidRPr="00F05377">
        <w:rPr>
          <w:szCs w:val="24"/>
        </w:rPr>
        <w:t xml:space="preserve"> </w:t>
      </w:r>
      <w:r w:rsidRPr="00F05377">
        <w:rPr>
          <w:i/>
          <w:szCs w:val="24"/>
        </w:rPr>
        <w:t xml:space="preserve">= </w:t>
      </w:r>
      <w:r w:rsidRPr="00F05377">
        <w:rPr>
          <w:i/>
          <w:szCs w:val="24"/>
          <w:lang w:val="en-US"/>
        </w:rPr>
        <w:t>Business: Theory and Practice</w:t>
      </w:r>
      <w:r w:rsidRPr="00F05377">
        <w:rPr>
          <w:szCs w:val="24"/>
          <w:lang w:val="en-US"/>
        </w:rPr>
        <w:t>. – 2010, Nr.</w:t>
      </w:r>
      <w:r w:rsidRPr="00F05377">
        <w:rPr>
          <w:szCs w:val="24"/>
        </w:rPr>
        <w:t xml:space="preserve"> 11(4), p. 370–380. – ISSN 1648-0627.</w:t>
      </w:r>
    </w:p>
    <w:p w:rsidR="000D7472" w:rsidRPr="00F05377" w:rsidRDefault="000D7472" w:rsidP="005D38A0">
      <w:pPr>
        <w:pStyle w:val="ListParagraph"/>
        <w:numPr>
          <w:ilvl w:val="0"/>
          <w:numId w:val="42"/>
        </w:numPr>
        <w:ind w:left="360"/>
        <w:rPr>
          <w:szCs w:val="24"/>
        </w:rPr>
      </w:pPr>
      <w:r w:rsidRPr="00F05377">
        <w:rPr>
          <w:b/>
          <w:szCs w:val="24"/>
        </w:rPr>
        <w:t xml:space="preserve">Bitinas, A.; </w:t>
      </w:r>
      <w:proofErr w:type="spellStart"/>
      <w:r w:rsidRPr="00F05377">
        <w:rPr>
          <w:b/>
          <w:szCs w:val="24"/>
        </w:rPr>
        <w:t>Papirtis</w:t>
      </w:r>
      <w:proofErr w:type="spellEnd"/>
      <w:r w:rsidRPr="00F05377">
        <w:rPr>
          <w:b/>
          <w:szCs w:val="24"/>
        </w:rPr>
        <w:t>, L. V.</w:t>
      </w:r>
      <w:r w:rsidRPr="00F05377">
        <w:rPr>
          <w:szCs w:val="24"/>
        </w:rPr>
        <w:t xml:space="preserve"> Socialinio teisingumo įgyvendinimo problematika finansuojant socialinės saugos sistemą // </w:t>
      </w:r>
      <w:r w:rsidRPr="00F05377">
        <w:rPr>
          <w:i/>
          <w:szCs w:val="24"/>
        </w:rPr>
        <w:t xml:space="preserve">Socialinių mokslų studijos = </w:t>
      </w:r>
      <w:r w:rsidRPr="00F05377">
        <w:rPr>
          <w:i/>
          <w:szCs w:val="24"/>
          <w:lang w:val="en-US"/>
        </w:rPr>
        <w:t xml:space="preserve">Social sciences studies: </w:t>
      </w:r>
      <w:r w:rsidRPr="00F05377">
        <w:rPr>
          <w:i/>
          <w:szCs w:val="24"/>
        </w:rPr>
        <w:t>mokslo darbai.</w:t>
      </w:r>
      <w:r w:rsidRPr="00F05377">
        <w:rPr>
          <w:szCs w:val="24"/>
          <w:lang w:val="en-US"/>
        </w:rPr>
        <w:t xml:space="preserve"> </w:t>
      </w:r>
      <w:r w:rsidRPr="00F05377">
        <w:rPr>
          <w:szCs w:val="24"/>
        </w:rPr>
        <w:t>– 2010, Nr. 3(7), p. 37–58. – ISSN 2029-2236.</w:t>
      </w:r>
    </w:p>
    <w:p w:rsidR="000D7472" w:rsidRPr="00F05377" w:rsidRDefault="000D7472" w:rsidP="005D38A0">
      <w:pPr>
        <w:pStyle w:val="ListParagraph"/>
        <w:numPr>
          <w:ilvl w:val="0"/>
          <w:numId w:val="42"/>
        </w:numPr>
        <w:ind w:left="360"/>
        <w:rPr>
          <w:szCs w:val="24"/>
        </w:rPr>
      </w:pPr>
      <w:proofErr w:type="spellStart"/>
      <w:r w:rsidRPr="00F05377">
        <w:rPr>
          <w:b/>
          <w:szCs w:val="24"/>
        </w:rPr>
        <w:t>Butt</w:t>
      </w:r>
      <w:proofErr w:type="spellEnd"/>
      <w:r w:rsidRPr="00F05377">
        <w:rPr>
          <w:b/>
          <w:szCs w:val="24"/>
        </w:rPr>
        <w:t xml:space="preserve">, M. A.; </w:t>
      </w:r>
      <w:proofErr w:type="spellStart"/>
      <w:r w:rsidRPr="00F05377">
        <w:rPr>
          <w:b/>
          <w:szCs w:val="24"/>
        </w:rPr>
        <w:t>Rehman</w:t>
      </w:r>
      <w:proofErr w:type="spellEnd"/>
      <w:r w:rsidRPr="00F05377">
        <w:rPr>
          <w:b/>
          <w:szCs w:val="24"/>
        </w:rPr>
        <w:t xml:space="preserve">, K. U; </w:t>
      </w:r>
      <w:proofErr w:type="spellStart"/>
      <w:r w:rsidRPr="00F05377">
        <w:rPr>
          <w:b/>
          <w:szCs w:val="24"/>
        </w:rPr>
        <w:t>Rehman</w:t>
      </w:r>
      <w:proofErr w:type="spellEnd"/>
      <w:r w:rsidRPr="00F05377">
        <w:rPr>
          <w:b/>
          <w:szCs w:val="24"/>
        </w:rPr>
        <w:t xml:space="preserve">, R. R.; </w:t>
      </w:r>
      <w:proofErr w:type="spellStart"/>
      <w:r w:rsidRPr="00F05377">
        <w:rPr>
          <w:b/>
          <w:szCs w:val="24"/>
        </w:rPr>
        <w:t>Saddar</w:t>
      </w:r>
      <w:proofErr w:type="spellEnd"/>
      <w:r w:rsidRPr="00F05377">
        <w:rPr>
          <w:b/>
          <w:szCs w:val="24"/>
        </w:rPr>
        <w:t xml:space="preserve">, R.; </w:t>
      </w:r>
      <w:proofErr w:type="spellStart"/>
      <w:r w:rsidRPr="00F05377">
        <w:rPr>
          <w:b/>
          <w:szCs w:val="24"/>
        </w:rPr>
        <w:t>Shafi</w:t>
      </w:r>
      <w:proofErr w:type="spellEnd"/>
      <w:r w:rsidRPr="00F05377">
        <w:rPr>
          <w:b/>
          <w:szCs w:val="24"/>
        </w:rPr>
        <w:t>, H.</w:t>
      </w:r>
      <w:r w:rsidRPr="00F05377">
        <w:rPr>
          <w:szCs w:val="24"/>
        </w:rPr>
        <w:t xml:space="preserve"> </w:t>
      </w:r>
      <w:r w:rsidRPr="00F05377">
        <w:rPr>
          <w:szCs w:val="24"/>
          <w:lang w:val="en-US"/>
        </w:rPr>
        <w:t xml:space="preserve">Investor’s Dilemma: Fundamentals or Biases in Investment Decision // </w:t>
      </w:r>
      <w:r w:rsidRPr="00F05377">
        <w:rPr>
          <w:i/>
          <w:szCs w:val="24"/>
          <w:lang w:val="en-US"/>
        </w:rPr>
        <w:t>Journal of Economics and Behavioral Studies</w:t>
      </w:r>
      <w:r w:rsidRPr="00F05377">
        <w:rPr>
          <w:szCs w:val="24"/>
          <w:lang w:val="en-US"/>
        </w:rPr>
        <w:t>. – 2011, Vol.</w:t>
      </w:r>
      <w:r w:rsidRPr="00F05377">
        <w:rPr>
          <w:szCs w:val="24"/>
        </w:rPr>
        <w:t xml:space="preserve"> 3, </w:t>
      </w:r>
      <w:r w:rsidRPr="00F05377">
        <w:rPr>
          <w:szCs w:val="24"/>
          <w:lang w:val="en-US"/>
        </w:rPr>
        <w:t>Issue 2,</w:t>
      </w:r>
      <w:r w:rsidRPr="00F05377">
        <w:rPr>
          <w:szCs w:val="24"/>
        </w:rPr>
        <w:t xml:space="preserve"> p. 122–127. – ISSN 22206140.</w:t>
      </w:r>
    </w:p>
    <w:p w:rsidR="000D7472" w:rsidRPr="00F05377" w:rsidRDefault="00A668C2" w:rsidP="005D38A0">
      <w:pPr>
        <w:pStyle w:val="ListParagraph"/>
        <w:numPr>
          <w:ilvl w:val="0"/>
          <w:numId w:val="42"/>
        </w:numPr>
        <w:ind w:left="360"/>
        <w:rPr>
          <w:szCs w:val="24"/>
        </w:rPr>
      </w:pPr>
      <w:proofErr w:type="spellStart"/>
      <w:r w:rsidRPr="00F05377">
        <w:rPr>
          <w:b/>
          <w:szCs w:val="24"/>
          <w:lang w:val="en-US"/>
        </w:rPr>
        <w:t>Chitra</w:t>
      </w:r>
      <w:proofErr w:type="spellEnd"/>
      <w:r w:rsidRPr="00F05377">
        <w:rPr>
          <w:b/>
          <w:szCs w:val="24"/>
          <w:lang w:val="en-US"/>
        </w:rPr>
        <w:t xml:space="preserve">, K.; </w:t>
      </w:r>
      <w:proofErr w:type="spellStart"/>
      <w:r w:rsidRPr="00F05377">
        <w:rPr>
          <w:b/>
          <w:szCs w:val="24"/>
          <w:lang w:val="en-US"/>
        </w:rPr>
        <w:t>Sreedevi</w:t>
      </w:r>
      <w:proofErr w:type="spellEnd"/>
      <w:r w:rsidRPr="00F05377">
        <w:rPr>
          <w:b/>
          <w:szCs w:val="24"/>
          <w:lang w:val="en-US"/>
        </w:rPr>
        <w:t>, R.</w:t>
      </w:r>
      <w:r w:rsidR="000D7472" w:rsidRPr="00F05377">
        <w:rPr>
          <w:b/>
          <w:szCs w:val="24"/>
          <w:lang w:val="en-US"/>
        </w:rPr>
        <w:t xml:space="preserve"> V.</w:t>
      </w:r>
      <w:r w:rsidR="000D7472" w:rsidRPr="00F05377">
        <w:rPr>
          <w:szCs w:val="24"/>
          <w:lang w:val="en-US"/>
        </w:rPr>
        <w:t xml:space="preserve"> Does Personality Traits Influence the Choice of Investment? // </w:t>
      </w:r>
      <w:r w:rsidR="000D7472" w:rsidRPr="00F05377">
        <w:rPr>
          <w:i/>
          <w:szCs w:val="24"/>
          <w:lang w:val="en-US"/>
        </w:rPr>
        <w:t>IUP Journal of Behavioral Finance</w:t>
      </w:r>
      <w:r w:rsidR="000D7472" w:rsidRPr="00F05377">
        <w:rPr>
          <w:szCs w:val="24"/>
          <w:lang w:val="en-US"/>
        </w:rPr>
        <w:t>. – 2011, Vol.</w:t>
      </w:r>
      <w:r w:rsidR="000D7472" w:rsidRPr="00F05377">
        <w:rPr>
          <w:szCs w:val="24"/>
        </w:rPr>
        <w:t xml:space="preserve"> 8, </w:t>
      </w:r>
      <w:r w:rsidR="000D7472" w:rsidRPr="00F05377">
        <w:rPr>
          <w:szCs w:val="24"/>
          <w:lang w:val="en-US"/>
        </w:rPr>
        <w:t>Issue</w:t>
      </w:r>
      <w:r w:rsidR="000D7472" w:rsidRPr="00F05377">
        <w:rPr>
          <w:szCs w:val="24"/>
        </w:rPr>
        <w:t xml:space="preserve"> 2, p. 47–57. – ISSN 09729089.</w:t>
      </w:r>
    </w:p>
    <w:p w:rsidR="000D7472" w:rsidRPr="00F05377" w:rsidRDefault="000D7472" w:rsidP="005D38A0">
      <w:pPr>
        <w:pStyle w:val="ListParagraph"/>
        <w:numPr>
          <w:ilvl w:val="0"/>
          <w:numId w:val="42"/>
        </w:numPr>
        <w:ind w:left="360"/>
        <w:rPr>
          <w:szCs w:val="24"/>
        </w:rPr>
      </w:pPr>
      <w:proofErr w:type="spellStart"/>
      <w:r w:rsidRPr="00F05377">
        <w:rPr>
          <w:b/>
          <w:szCs w:val="24"/>
        </w:rPr>
        <w:t>Cui</w:t>
      </w:r>
      <w:proofErr w:type="spellEnd"/>
      <w:r w:rsidRPr="00F05377">
        <w:rPr>
          <w:b/>
          <w:szCs w:val="24"/>
        </w:rPr>
        <w:t xml:space="preserve">, P.; </w:t>
      </w:r>
      <w:proofErr w:type="spellStart"/>
      <w:r w:rsidRPr="00F05377">
        <w:rPr>
          <w:b/>
          <w:szCs w:val="24"/>
        </w:rPr>
        <w:t>Dong</w:t>
      </w:r>
      <w:proofErr w:type="spellEnd"/>
      <w:r w:rsidRPr="00F05377">
        <w:rPr>
          <w:b/>
          <w:szCs w:val="24"/>
        </w:rPr>
        <w:t>, K.</w:t>
      </w:r>
      <w:r w:rsidRPr="00F05377">
        <w:rPr>
          <w:szCs w:val="24"/>
        </w:rPr>
        <w:t xml:space="preserve"> </w:t>
      </w:r>
      <w:r w:rsidRPr="00F05377">
        <w:rPr>
          <w:szCs w:val="24"/>
          <w:lang w:val="en-US"/>
        </w:rPr>
        <w:t xml:space="preserve">The Role of Government in Social Security // </w:t>
      </w:r>
      <w:r w:rsidRPr="00F05377">
        <w:rPr>
          <w:i/>
          <w:szCs w:val="24"/>
          <w:lang w:val="en-US"/>
        </w:rPr>
        <w:t>Public Performance &amp; Management Review</w:t>
      </w:r>
      <w:r w:rsidRPr="00F05377">
        <w:rPr>
          <w:szCs w:val="24"/>
          <w:lang w:val="en-US"/>
        </w:rPr>
        <w:t>. – 2010, Vol. 34, Issue 2, p. 236–250. – ISSN 15309576.</w:t>
      </w:r>
    </w:p>
    <w:p w:rsidR="00B05FC7" w:rsidRPr="00F05377" w:rsidRDefault="00B05FC7" w:rsidP="00B05FC7">
      <w:pPr>
        <w:pStyle w:val="ListParagraph"/>
        <w:numPr>
          <w:ilvl w:val="0"/>
          <w:numId w:val="42"/>
        </w:numPr>
        <w:ind w:left="360"/>
        <w:rPr>
          <w:szCs w:val="24"/>
        </w:rPr>
      </w:pPr>
      <w:r w:rsidRPr="00F05377">
        <w:rPr>
          <w:b/>
          <w:szCs w:val="24"/>
        </w:rPr>
        <w:t>Černius, G.</w:t>
      </w:r>
      <w:r w:rsidRPr="00F05377">
        <w:rPr>
          <w:szCs w:val="24"/>
        </w:rPr>
        <w:t xml:space="preserve"> Asmeninių finansų tikslas, </w:t>
      </w:r>
      <w:r w:rsidRPr="00F05377">
        <w:rPr>
          <w:i/>
          <w:szCs w:val="24"/>
        </w:rPr>
        <w:t>Apskaitos ir mokesčių apžvalga</w:t>
      </w:r>
      <w:r w:rsidRPr="00F05377">
        <w:rPr>
          <w:szCs w:val="24"/>
        </w:rPr>
        <w:t xml:space="preserve"> </w:t>
      </w:r>
      <w:r w:rsidRPr="00F05377">
        <w:rPr>
          <w:i/>
          <w:szCs w:val="24"/>
        </w:rPr>
        <w:t xml:space="preserve">= </w:t>
      </w:r>
      <w:r w:rsidRPr="00F05377">
        <w:rPr>
          <w:i/>
          <w:szCs w:val="24"/>
          <w:lang w:val="en-US"/>
        </w:rPr>
        <w:t>The Accounting and Taxes Review</w:t>
      </w:r>
      <w:r w:rsidRPr="00F05377">
        <w:rPr>
          <w:szCs w:val="24"/>
          <w:lang w:val="en-US"/>
        </w:rPr>
        <w:t xml:space="preserve">. – 2011, </w:t>
      </w:r>
      <w:r w:rsidRPr="00F05377">
        <w:rPr>
          <w:szCs w:val="24"/>
        </w:rPr>
        <w:t>Nr. 2, p. 67–70. – ISSN 1392-3722.</w:t>
      </w:r>
    </w:p>
    <w:p w:rsidR="000D7472" w:rsidRPr="00F05377" w:rsidRDefault="000D7472" w:rsidP="005D38A0">
      <w:pPr>
        <w:pStyle w:val="ListParagraph"/>
        <w:numPr>
          <w:ilvl w:val="0"/>
          <w:numId w:val="42"/>
        </w:numPr>
        <w:ind w:left="360"/>
        <w:rPr>
          <w:szCs w:val="24"/>
        </w:rPr>
      </w:pPr>
      <w:r w:rsidRPr="00F05377">
        <w:rPr>
          <w:b/>
          <w:szCs w:val="24"/>
        </w:rPr>
        <w:t>Černius, G.</w:t>
      </w:r>
      <w:r w:rsidRPr="00F05377">
        <w:rPr>
          <w:szCs w:val="24"/>
        </w:rPr>
        <w:t xml:space="preserve"> Asmeninių finansų valdymo esmė // </w:t>
      </w:r>
      <w:r w:rsidRPr="00F05377">
        <w:rPr>
          <w:i/>
          <w:szCs w:val="24"/>
        </w:rPr>
        <w:t xml:space="preserve">Apskaitos ir mokesčių apžvalga </w:t>
      </w:r>
      <w:r w:rsidRPr="00F05377">
        <w:rPr>
          <w:i/>
          <w:szCs w:val="24"/>
          <w:lang w:val="en-US"/>
        </w:rPr>
        <w:t>= The Accounting and Taxes Review</w:t>
      </w:r>
      <w:r w:rsidRPr="00F05377">
        <w:rPr>
          <w:szCs w:val="24"/>
          <w:lang w:val="en-US"/>
        </w:rPr>
        <w:t xml:space="preserve">. – 2011, </w:t>
      </w:r>
      <w:r w:rsidRPr="00F05377">
        <w:rPr>
          <w:szCs w:val="24"/>
        </w:rPr>
        <w:t>Nr. 1, p. 67–70. – ISSN 1392-3722.</w:t>
      </w:r>
    </w:p>
    <w:p w:rsidR="000D7472" w:rsidRPr="00F05377" w:rsidRDefault="000D7472" w:rsidP="005D38A0">
      <w:pPr>
        <w:pStyle w:val="ListParagraph"/>
        <w:numPr>
          <w:ilvl w:val="0"/>
          <w:numId w:val="42"/>
        </w:numPr>
        <w:ind w:left="360"/>
        <w:rPr>
          <w:szCs w:val="24"/>
        </w:rPr>
      </w:pPr>
      <w:r w:rsidRPr="00F05377">
        <w:rPr>
          <w:b/>
          <w:szCs w:val="24"/>
        </w:rPr>
        <w:t xml:space="preserve">Dedu, V.; </w:t>
      </w:r>
      <w:proofErr w:type="spellStart"/>
      <w:r w:rsidRPr="00F05377">
        <w:rPr>
          <w:b/>
          <w:szCs w:val="24"/>
        </w:rPr>
        <w:t>Turcan</w:t>
      </w:r>
      <w:proofErr w:type="spellEnd"/>
      <w:r w:rsidRPr="00F05377">
        <w:rPr>
          <w:b/>
          <w:szCs w:val="24"/>
        </w:rPr>
        <w:t xml:space="preserve">, C. S.; </w:t>
      </w:r>
      <w:proofErr w:type="spellStart"/>
      <w:r w:rsidRPr="00F05377">
        <w:rPr>
          <w:b/>
          <w:szCs w:val="24"/>
        </w:rPr>
        <w:t>Turcan</w:t>
      </w:r>
      <w:proofErr w:type="spellEnd"/>
      <w:r w:rsidRPr="00F05377">
        <w:rPr>
          <w:b/>
          <w:szCs w:val="24"/>
        </w:rPr>
        <w:t>, R.</w:t>
      </w:r>
      <w:r w:rsidRPr="00F05377">
        <w:rPr>
          <w:szCs w:val="24"/>
        </w:rPr>
        <w:t xml:space="preserve"> </w:t>
      </w:r>
      <w:r w:rsidRPr="00F05377">
        <w:rPr>
          <w:szCs w:val="24"/>
          <w:lang w:val="en-US"/>
        </w:rPr>
        <w:t xml:space="preserve">A Behavioral Approach to the Global Financial Crisis // </w:t>
      </w:r>
      <w:r w:rsidRPr="00F05377">
        <w:rPr>
          <w:i/>
          <w:szCs w:val="24"/>
          <w:lang w:val="en-US"/>
        </w:rPr>
        <w:t>Annals of the University of Oradea: Economic Science Series</w:t>
      </w:r>
      <w:r w:rsidRPr="00F05377">
        <w:rPr>
          <w:szCs w:val="24"/>
          <w:lang w:val="en-US"/>
        </w:rPr>
        <w:t xml:space="preserve">.  – 2011, Vol. </w:t>
      </w:r>
      <w:r w:rsidRPr="00F05377">
        <w:rPr>
          <w:szCs w:val="24"/>
        </w:rPr>
        <w:t xml:space="preserve">20, </w:t>
      </w:r>
      <w:r w:rsidRPr="00F05377">
        <w:rPr>
          <w:szCs w:val="24"/>
          <w:lang w:val="en-US"/>
        </w:rPr>
        <w:t>Issue</w:t>
      </w:r>
      <w:r w:rsidRPr="00F05377">
        <w:rPr>
          <w:szCs w:val="24"/>
        </w:rPr>
        <w:t xml:space="preserve"> 2, p. 340–346. – ISSN 15825450.</w:t>
      </w:r>
    </w:p>
    <w:p w:rsidR="000D7472" w:rsidRPr="00F05377" w:rsidRDefault="000D7472" w:rsidP="005D38A0">
      <w:pPr>
        <w:pStyle w:val="ListParagraph"/>
        <w:numPr>
          <w:ilvl w:val="0"/>
          <w:numId w:val="42"/>
        </w:numPr>
        <w:ind w:left="360"/>
        <w:rPr>
          <w:szCs w:val="24"/>
        </w:rPr>
      </w:pPr>
      <w:proofErr w:type="spellStart"/>
      <w:r w:rsidRPr="00F05377">
        <w:rPr>
          <w:b/>
          <w:szCs w:val="24"/>
        </w:rPr>
        <w:t>Dobele</w:t>
      </w:r>
      <w:proofErr w:type="spellEnd"/>
      <w:r w:rsidRPr="00F05377">
        <w:rPr>
          <w:b/>
          <w:szCs w:val="24"/>
        </w:rPr>
        <w:t xml:space="preserve">, A.; </w:t>
      </w:r>
      <w:proofErr w:type="spellStart"/>
      <w:r w:rsidRPr="00F05377">
        <w:rPr>
          <w:b/>
          <w:szCs w:val="24"/>
        </w:rPr>
        <w:t>Mistre</w:t>
      </w:r>
      <w:proofErr w:type="spellEnd"/>
      <w:r w:rsidRPr="00F05377">
        <w:rPr>
          <w:b/>
          <w:szCs w:val="24"/>
        </w:rPr>
        <w:t>, B.</w:t>
      </w:r>
      <w:r w:rsidRPr="00F05377">
        <w:rPr>
          <w:szCs w:val="24"/>
        </w:rPr>
        <w:t xml:space="preserve"> </w:t>
      </w:r>
      <w:r w:rsidRPr="00F05377">
        <w:rPr>
          <w:szCs w:val="24"/>
          <w:lang w:val="en-US"/>
        </w:rPr>
        <w:t xml:space="preserve">Evaluation of State Social Security Benefits in Latvian Regions // </w:t>
      </w:r>
      <w:r w:rsidRPr="00F05377">
        <w:rPr>
          <w:i/>
          <w:szCs w:val="24"/>
          <w:lang w:val="en-US"/>
        </w:rPr>
        <w:t>Human Resources: The Main Factor of Regional Development</w:t>
      </w:r>
      <w:r w:rsidRPr="00F05377">
        <w:rPr>
          <w:szCs w:val="24"/>
          <w:lang w:val="en-US"/>
        </w:rPr>
        <w:t xml:space="preserve">. – 2010, Vol. 3, p. </w:t>
      </w:r>
      <w:r w:rsidRPr="00F05377">
        <w:rPr>
          <w:szCs w:val="24"/>
        </w:rPr>
        <w:t>268–275. – ISSN 20295103.</w:t>
      </w:r>
    </w:p>
    <w:p w:rsidR="000D7472" w:rsidRPr="00F05377" w:rsidRDefault="000D7472" w:rsidP="005D38A0">
      <w:pPr>
        <w:pStyle w:val="ListParagraph"/>
        <w:numPr>
          <w:ilvl w:val="0"/>
          <w:numId w:val="42"/>
        </w:numPr>
        <w:ind w:left="360"/>
        <w:rPr>
          <w:szCs w:val="24"/>
        </w:rPr>
      </w:pPr>
      <w:proofErr w:type="spellStart"/>
      <w:r w:rsidRPr="00F05377">
        <w:rPr>
          <w:b/>
          <w:szCs w:val="24"/>
        </w:rPr>
        <w:t>Doukas</w:t>
      </w:r>
      <w:proofErr w:type="spellEnd"/>
      <w:r w:rsidRPr="00F05377">
        <w:rPr>
          <w:b/>
          <w:szCs w:val="24"/>
        </w:rPr>
        <w:t xml:space="preserve">, J. A.; </w:t>
      </w:r>
      <w:proofErr w:type="spellStart"/>
      <w:r w:rsidRPr="00F05377">
        <w:rPr>
          <w:b/>
          <w:szCs w:val="24"/>
        </w:rPr>
        <w:t>Petmezas</w:t>
      </w:r>
      <w:proofErr w:type="spellEnd"/>
      <w:r w:rsidRPr="00F05377">
        <w:rPr>
          <w:b/>
          <w:szCs w:val="24"/>
        </w:rPr>
        <w:t>, D.</w:t>
      </w:r>
      <w:r w:rsidRPr="00F05377">
        <w:rPr>
          <w:szCs w:val="24"/>
        </w:rPr>
        <w:t xml:space="preserve"> </w:t>
      </w:r>
      <w:r w:rsidRPr="00F05377">
        <w:rPr>
          <w:szCs w:val="24"/>
          <w:lang w:val="en-US"/>
        </w:rPr>
        <w:t xml:space="preserve">Acquisitions, Overconfident Managers and Self-attribution Bias // </w:t>
      </w:r>
      <w:r w:rsidRPr="00F05377">
        <w:rPr>
          <w:i/>
          <w:szCs w:val="24"/>
          <w:lang w:val="en-US"/>
        </w:rPr>
        <w:t>European Financial Management</w:t>
      </w:r>
      <w:r w:rsidRPr="00F05377">
        <w:rPr>
          <w:szCs w:val="24"/>
          <w:lang w:val="en-US"/>
        </w:rPr>
        <w:t xml:space="preserve">. – 2007, Vol. </w:t>
      </w:r>
      <w:r w:rsidRPr="00F05377">
        <w:rPr>
          <w:szCs w:val="24"/>
        </w:rPr>
        <w:t xml:space="preserve">13, </w:t>
      </w:r>
      <w:r w:rsidRPr="00F05377">
        <w:rPr>
          <w:szCs w:val="24"/>
          <w:lang w:val="en-US"/>
        </w:rPr>
        <w:t>Issue</w:t>
      </w:r>
      <w:r w:rsidRPr="00F05377">
        <w:rPr>
          <w:szCs w:val="24"/>
        </w:rPr>
        <w:t xml:space="preserve"> 3, p. 531–577. – ISSN 13547798.</w:t>
      </w:r>
    </w:p>
    <w:p w:rsidR="000D7472" w:rsidRPr="00F05377" w:rsidRDefault="000D7472" w:rsidP="005D38A0">
      <w:pPr>
        <w:pStyle w:val="ListParagraph"/>
        <w:numPr>
          <w:ilvl w:val="0"/>
          <w:numId w:val="42"/>
        </w:numPr>
        <w:ind w:left="360"/>
        <w:rPr>
          <w:szCs w:val="24"/>
        </w:rPr>
      </w:pPr>
      <w:proofErr w:type="spellStart"/>
      <w:r w:rsidRPr="00F05377">
        <w:rPr>
          <w:b/>
          <w:szCs w:val="24"/>
        </w:rPr>
        <w:t>Fisher</w:t>
      </w:r>
      <w:proofErr w:type="spellEnd"/>
      <w:r w:rsidRPr="00F05377">
        <w:rPr>
          <w:b/>
          <w:szCs w:val="24"/>
        </w:rPr>
        <w:t xml:space="preserve">, P. J.; </w:t>
      </w:r>
      <w:proofErr w:type="spellStart"/>
      <w:r w:rsidRPr="00F05377">
        <w:rPr>
          <w:b/>
          <w:szCs w:val="24"/>
        </w:rPr>
        <w:t>Montalto</w:t>
      </w:r>
      <w:proofErr w:type="spellEnd"/>
      <w:r w:rsidRPr="00F05377">
        <w:rPr>
          <w:b/>
          <w:szCs w:val="24"/>
        </w:rPr>
        <w:t>, C. P.</w:t>
      </w:r>
      <w:r w:rsidRPr="00F05377">
        <w:rPr>
          <w:szCs w:val="24"/>
        </w:rPr>
        <w:t xml:space="preserve"> </w:t>
      </w:r>
      <w:r w:rsidRPr="00F05377">
        <w:rPr>
          <w:szCs w:val="24"/>
          <w:lang w:val="en-US"/>
        </w:rPr>
        <w:t xml:space="preserve">Effect of Saving Motives and Horizon on Saving Behaviors // </w:t>
      </w:r>
      <w:r w:rsidRPr="00F05377">
        <w:rPr>
          <w:i/>
          <w:szCs w:val="24"/>
          <w:lang w:val="en-US"/>
        </w:rPr>
        <w:t>Journal of Economic Psychology</w:t>
      </w:r>
      <w:r w:rsidRPr="00F05377">
        <w:rPr>
          <w:szCs w:val="24"/>
          <w:lang w:val="en-US"/>
        </w:rPr>
        <w:t xml:space="preserve">. – 2010, Vol. </w:t>
      </w:r>
      <w:r w:rsidRPr="00F05377">
        <w:rPr>
          <w:szCs w:val="24"/>
        </w:rPr>
        <w:t xml:space="preserve">31, </w:t>
      </w:r>
      <w:r w:rsidRPr="00F05377">
        <w:rPr>
          <w:szCs w:val="24"/>
          <w:lang w:val="en-US"/>
        </w:rPr>
        <w:t>Issue</w:t>
      </w:r>
      <w:r w:rsidRPr="00F05377">
        <w:rPr>
          <w:szCs w:val="24"/>
        </w:rPr>
        <w:t xml:space="preserve"> 1, p. 92–105. – ISSN 01674870.</w:t>
      </w:r>
    </w:p>
    <w:p w:rsidR="000D7472" w:rsidRPr="00F05377" w:rsidRDefault="000D7472" w:rsidP="005D38A0">
      <w:pPr>
        <w:pStyle w:val="ListParagraph"/>
        <w:numPr>
          <w:ilvl w:val="0"/>
          <w:numId w:val="42"/>
        </w:numPr>
        <w:ind w:left="360"/>
        <w:rPr>
          <w:szCs w:val="24"/>
        </w:rPr>
      </w:pPr>
      <w:proofErr w:type="spellStart"/>
      <w:r w:rsidRPr="00F05377">
        <w:rPr>
          <w:b/>
          <w:szCs w:val="24"/>
        </w:rPr>
        <w:t>Fuller</w:t>
      </w:r>
      <w:proofErr w:type="spellEnd"/>
      <w:r w:rsidRPr="00F05377">
        <w:rPr>
          <w:b/>
          <w:szCs w:val="24"/>
        </w:rPr>
        <w:t>, R. J.</w:t>
      </w:r>
      <w:r w:rsidRPr="00F05377">
        <w:rPr>
          <w:szCs w:val="24"/>
        </w:rPr>
        <w:t xml:space="preserve"> </w:t>
      </w:r>
      <w:r w:rsidRPr="00F05377">
        <w:rPr>
          <w:szCs w:val="24"/>
          <w:lang w:val="en-US"/>
        </w:rPr>
        <w:t xml:space="preserve">Behavioral Finance and the Sources of Alpha // </w:t>
      </w:r>
      <w:r w:rsidRPr="00F05377">
        <w:rPr>
          <w:i/>
          <w:szCs w:val="24"/>
          <w:lang w:val="en-US"/>
        </w:rPr>
        <w:t>Journal of Pension Plan Investing</w:t>
      </w:r>
      <w:r w:rsidRPr="00F05377">
        <w:rPr>
          <w:szCs w:val="24"/>
          <w:lang w:val="en-US"/>
        </w:rPr>
        <w:t xml:space="preserve">. – 2000, Vol. </w:t>
      </w:r>
      <w:r w:rsidRPr="00F05377">
        <w:rPr>
          <w:szCs w:val="24"/>
        </w:rPr>
        <w:t xml:space="preserve">2, </w:t>
      </w:r>
      <w:r w:rsidRPr="00F05377">
        <w:rPr>
          <w:szCs w:val="24"/>
          <w:lang w:val="en-US"/>
        </w:rPr>
        <w:t>Issue</w:t>
      </w:r>
      <w:r w:rsidRPr="00F05377">
        <w:rPr>
          <w:szCs w:val="24"/>
        </w:rPr>
        <w:t xml:space="preserve"> 3, p. 1–22 [interaktyvus] [žiūrėta</w:t>
      </w:r>
      <w:r w:rsidR="00B90885" w:rsidRPr="00F05377">
        <w:rPr>
          <w:szCs w:val="24"/>
        </w:rPr>
        <w:t xml:space="preserve"> 2012 03 06</w:t>
      </w:r>
      <w:r w:rsidR="00226A34" w:rsidRPr="00F05377">
        <w:rPr>
          <w:szCs w:val="24"/>
        </w:rPr>
        <w:t>]. Prieiga</w:t>
      </w:r>
      <w:r w:rsidRPr="00F05377">
        <w:rPr>
          <w:szCs w:val="24"/>
        </w:rPr>
        <w:t xml:space="preserve">: &lt; </w:t>
      </w:r>
      <w:r w:rsidRPr="00F05377">
        <w:rPr>
          <w:szCs w:val="24"/>
        </w:rPr>
        <w:lastRenderedPageBreak/>
        <w:t>http://www.fullerthaler.com/downloads/bfsoa.pdf &gt;.</w:t>
      </w:r>
    </w:p>
    <w:p w:rsidR="000D7472" w:rsidRPr="00F05377" w:rsidRDefault="000D7472" w:rsidP="005D38A0">
      <w:pPr>
        <w:pStyle w:val="ListParagraph"/>
        <w:numPr>
          <w:ilvl w:val="0"/>
          <w:numId w:val="42"/>
        </w:numPr>
        <w:ind w:left="360"/>
        <w:rPr>
          <w:szCs w:val="24"/>
        </w:rPr>
      </w:pPr>
      <w:proofErr w:type="spellStart"/>
      <w:r w:rsidRPr="00F05377">
        <w:rPr>
          <w:b/>
          <w:szCs w:val="24"/>
        </w:rPr>
        <w:t>Graham</w:t>
      </w:r>
      <w:proofErr w:type="spellEnd"/>
      <w:r w:rsidRPr="00F05377">
        <w:rPr>
          <w:b/>
          <w:szCs w:val="24"/>
        </w:rPr>
        <w:t xml:space="preserve">, J. T.; </w:t>
      </w:r>
      <w:proofErr w:type="spellStart"/>
      <w:r w:rsidRPr="00F05377">
        <w:rPr>
          <w:b/>
          <w:szCs w:val="24"/>
        </w:rPr>
        <w:t>Harvey</w:t>
      </w:r>
      <w:proofErr w:type="spellEnd"/>
      <w:r w:rsidRPr="00F05377">
        <w:rPr>
          <w:b/>
          <w:szCs w:val="24"/>
        </w:rPr>
        <w:t xml:space="preserve">, C. R.; </w:t>
      </w:r>
      <w:proofErr w:type="spellStart"/>
      <w:r w:rsidRPr="00F05377">
        <w:rPr>
          <w:b/>
          <w:szCs w:val="24"/>
        </w:rPr>
        <w:t>Huang</w:t>
      </w:r>
      <w:proofErr w:type="spellEnd"/>
      <w:r w:rsidRPr="00F05377">
        <w:rPr>
          <w:b/>
          <w:szCs w:val="24"/>
        </w:rPr>
        <w:t>, H.</w:t>
      </w:r>
      <w:r w:rsidRPr="00F05377">
        <w:rPr>
          <w:szCs w:val="24"/>
        </w:rPr>
        <w:t xml:space="preserve"> </w:t>
      </w:r>
      <w:r w:rsidRPr="00F05377">
        <w:rPr>
          <w:szCs w:val="24"/>
          <w:lang w:val="en-US"/>
        </w:rPr>
        <w:t xml:space="preserve">Investor Competence, Trading Frequency, and Home Bias // </w:t>
      </w:r>
      <w:r w:rsidRPr="00F05377">
        <w:rPr>
          <w:i/>
          <w:szCs w:val="24"/>
          <w:lang w:val="en-US"/>
        </w:rPr>
        <w:t>Management Science</w:t>
      </w:r>
      <w:r w:rsidRPr="00F05377">
        <w:rPr>
          <w:szCs w:val="24"/>
          <w:lang w:val="en-US"/>
        </w:rPr>
        <w:t>. – 2009, Vol.</w:t>
      </w:r>
      <w:r w:rsidRPr="00F05377">
        <w:rPr>
          <w:szCs w:val="24"/>
        </w:rPr>
        <w:t xml:space="preserve"> 55, </w:t>
      </w:r>
      <w:r w:rsidRPr="00F05377">
        <w:rPr>
          <w:szCs w:val="24"/>
          <w:lang w:val="en-US"/>
        </w:rPr>
        <w:t>Issue</w:t>
      </w:r>
      <w:r w:rsidRPr="00F05377">
        <w:rPr>
          <w:szCs w:val="24"/>
        </w:rPr>
        <w:t xml:space="preserve"> 7, p. 1 094–1106. – ISSN 00251909.</w:t>
      </w:r>
    </w:p>
    <w:p w:rsidR="003B0316" w:rsidRPr="00F05377" w:rsidRDefault="003B0316" w:rsidP="003B0316">
      <w:pPr>
        <w:pStyle w:val="ListParagraph"/>
        <w:numPr>
          <w:ilvl w:val="0"/>
          <w:numId w:val="42"/>
        </w:numPr>
        <w:ind w:left="360"/>
        <w:rPr>
          <w:szCs w:val="24"/>
        </w:rPr>
      </w:pPr>
      <w:r w:rsidRPr="00F05377">
        <w:rPr>
          <w:b/>
          <w:szCs w:val="24"/>
        </w:rPr>
        <w:t>Guogis, A.</w:t>
      </w:r>
      <w:r w:rsidRPr="00F05377">
        <w:rPr>
          <w:szCs w:val="24"/>
        </w:rPr>
        <w:t xml:space="preserve"> Dėl Lietuvos socialinės apsaugos sampratos // </w:t>
      </w:r>
      <w:r w:rsidRPr="00F05377">
        <w:rPr>
          <w:i/>
          <w:szCs w:val="24"/>
        </w:rPr>
        <w:t xml:space="preserve">Socialinis darbas = </w:t>
      </w:r>
      <w:r w:rsidRPr="00F05377">
        <w:rPr>
          <w:i/>
          <w:szCs w:val="24"/>
          <w:lang w:val="en-US"/>
        </w:rPr>
        <w:t>Social Work</w:t>
      </w:r>
      <w:r w:rsidRPr="00F05377">
        <w:rPr>
          <w:szCs w:val="24"/>
        </w:rPr>
        <w:t xml:space="preserve">: </w:t>
      </w:r>
      <w:r w:rsidRPr="00F05377">
        <w:rPr>
          <w:i/>
          <w:szCs w:val="24"/>
        </w:rPr>
        <w:t>mokslo darbų žurnalas</w:t>
      </w:r>
      <w:r w:rsidRPr="00F05377">
        <w:rPr>
          <w:szCs w:val="24"/>
        </w:rPr>
        <w:t>. – 2008, Nr. 7(2), p. 26–34. – ISSN 1648-4789.</w:t>
      </w:r>
    </w:p>
    <w:p w:rsidR="000D7472" w:rsidRPr="00F05377" w:rsidRDefault="000D7472" w:rsidP="005D38A0">
      <w:pPr>
        <w:pStyle w:val="ListParagraph"/>
        <w:numPr>
          <w:ilvl w:val="0"/>
          <w:numId w:val="42"/>
        </w:numPr>
        <w:ind w:left="360"/>
        <w:rPr>
          <w:szCs w:val="24"/>
        </w:rPr>
      </w:pPr>
      <w:r w:rsidRPr="00F05377">
        <w:rPr>
          <w:b/>
          <w:szCs w:val="24"/>
        </w:rPr>
        <w:t>Guogis, A.</w:t>
      </w:r>
      <w:r w:rsidRPr="00F05377">
        <w:rPr>
          <w:szCs w:val="24"/>
        </w:rPr>
        <w:t xml:space="preserve"> Kai kurie socialinio solidarumo praradimo aspektai Vakaruose ir Lietuvoje // </w:t>
      </w:r>
      <w:r w:rsidRPr="00F05377">
        <w:rPr>
          <w:i/>
          <w:szCs w:val="24"/>
        </w:rPr>
        <w:t xml:space="preserve">Socialinis darbas = </w:t>
      </w:r>
      <w:r w:rsidRPr="00F05377">
        <w:rPr>
          <w:i/>
          <w:szCs w:val="24"/>
          <w:lang w:val="en-US"/>
        </w:rPr>
        <w:t>Social Work:</w:t>
      </w:r>
      <w:r w:rsidRPr="00F05377">
        <w:rPr>
          <w:i/>
          <w:szCs w:val="24"/>
        </w:rPr>
        <w:t xml:space="preserve"> mokslo darbų žurnalas</w:t>
      </w:r>
      <w:r w:rsidRPr="00F05377">
        <w:rPr>
          <w:szCs w:val="24"/>
        </w:rPr>
        <w:t>. – 2006, Nr. 5(1), p. 9–13. – ISSN 1648-4789.</w:t>
      </w:r>
    </w:p>
    <w:p w:rsidR="000D7472" w:rsidRPr="00F05377" w:rsidRDefault="000D7472" w:rsidP="005D38A0">
      <w:pPr>
        <w:pStyle w:val="ListParagraph"/>
        <w:numPr>
          <w:ilvl w:val="0"/>
          <w:numId w:val="42"/>
        </w:numPr>
        <w:ind w:left="360"/>
        <w:rPr>
          <w:szCs w:val="24"/>
        </w:rPr>
      </w:pPr>
      <w:r w:rsidRPr="00F05377">
        <w:rPr>
          <w:b/>
          <w:szCs w:val="24"/>
        </w:rPr>
        <w:t>Guogis, A.;</w:t>
      </w:r>
      <w:r w:rsidRPr="00F05377">
        <w:rPr>
          <w:szCs w:val="24"/>
        </w:rPr>
        <w:t xml:space="preserve"> </w:t>
      </w:r>
      <w:r w:rsidRPr="00F05377">
        <w:rPr>
          <w:b/>
          <w:szCs w:val="24"/>
        </w:rPr>
        <w:t xml:space="preserve">Bitinas, A. </w:t>
      </w:r>
      <w:r w:rsidRPr="00F05377">
        <w:rPr>
          <w:szCs w:val="24"/>
        </w:rPr>
        <w:t xml:space="preserve">Valstybinio socialinio draudimo fondo finansavimas: įmokų surinkimo problematika // </w:t>
      </w:r>
      <w:r w:rsidRPr="00F05377">
        <w:rPr>
          <w:i/>
          <w:szCs w:val="24"/>
        </w:rPr>
        <w:t xml:space="preserve">Socialinių mokslų studijos = </w:t>
      </w:r>
      <w:r w:rsidRPr="00F05377">
        <w:rPr>
          <w:i/>
          <w:szCs w:val="24"/>
          <w:lang w:val="en-US"/>
        </w:rPr>
        <w:t xml:space="preserve">Social sciences studies: </w:t>
      </w:r>
      <w:r w:rsidRPr="00F05377">
        <w:rPr>
          <w:i/>
          <w:szCs w:val="24"/>
        </w:rPr>
        <w:t>mokslo darbai</w:t>
      </w:r>
      <w:r w:rsidRPr="00F05377">
        <w:rPr>
          <w:szCs w:val="24"/>
        </w:rPr>
        <w:t>.</w:t>
      </w:r>
      <w:r w:rsidRPr="00F05377">
        <w:rPr>
          <w:szCs w:val="24"/>
          <w:lang w:val="en-US"/>
        </w:rPr>
        <w:t xml:space="preserve"> </w:t>
      </w:r>
      <w:r w:rsidRPr="00F05377">
        <w:rPr>
          <w:szCs w:val="24"/>
        </w:rPr>
        <w:t>– 2011, Nr. 3(2), p. 551–574. – ISSN 2029-2236.</w:t>
      </w:r>
    </w:p>
    <w:p w:rsidR="000D7472" w:rsidRPr="00F05377" w:rsidRDefault="000D7472" w:rsidP="005D38A0">
      <w:pPr>
        <w:pStyle w:val="ListParagraph"/>
        <w:numPr>
          <w:ilvl w:val="0"/>
          <w:numId w:val="42"/>
        </w:numPr>
        <w:ind w:left="360"/>
        <w:rPr>
          <w:szCs w:val="24"/>
        </w:rPr>
      </w:pPr>
      <w:r w:rsidRPr="00F05377">
        <w:rPr>
          <w:b/>
          <w:szCs w:val="24"/>
        </w:rPr>
        <w:t>Guogis, A.;</w:t>
      </w:r>
      <w:r w:rsidRPr="00F05377">
        <w:rPr>
          <w:szCs w:val="24"/>
        </w:rPr>
        <w:t xml:space="preserve"> </w:t>
      </w:r>
      <w:proofErr w:type="spellStart"/>
      <w:r w:rsidRPr="00F05377">
        <w:rPr>
          <w:b/>
          <w:szCs w:val="24"/>
        </w:rPr>
        <w:t>Gruževskis</w:t>
      </w:r>
      <w:proofErr w:type="spellEnd"/>
      <w:r w:rsidRPr="00F05377">
        <w:rPr>
          <w:b/>
          <w:szCs w:val="24"/>
        </w:rPr>
        <w:t xml:space="preserve">, B. </w:t>
      </w:r>
      <w:r w:rsidRPr="00F05377">
        <w:rPr>
          <w:szCs w:val="24"/>
        </w:rPr>
        <w:t xml:space="preserve">Ar reikia kitokio Lietuvos visuomenės socialinės raidos modelio? // </w:t>
      </w:r>
      <w:r w:rsidRPr="00F05377">
        <w:rPr>
          <w:i/>
          <w:szCs w:val="24"/>
        </w:rPr>
        <w:t>Socialinių mokslų studijos</w:t>
      </w:r>
      <w:r w:rsidRPr="00F05377">
        <w:rPr>
          <w:szCs w:val="24"/>
        </w:rPr>
        <w:t xml:space="preserve"> </w:t>
      </w:r>
      <w:r w:rsidRPr="00F05377">
        <w:rPr>
          <w:i/>
          <w:szCs w:val="24"/>
        </w:rPr>
        <w:t xml:space="preserve">= </w:t>
      </w:r>
      <w:r w:rsidRPr="00F05377">
        <w:rPr>
          <w:i/>
          <w:szCs w:val="24"/>
          <w:lang w:val="en-US"/>
        </w:rPr>
        <w:t>Social Sciences Studies</w:t>
      </w:r>
      <w:r w:rsidRPr="00F05377">
        <w:rPr>
          <w:i/>
          <w:szCs w:val="24"/>
        </w:rPr>
        <w:t>: mokslo darbai</w:t>
      </w:r>
      <w:r w:rsidRPr="00F05377">
        <w:rPr>
          <w:szCs w:val="24"/>
        </w:rPr>
        <w:t>. – 2010, Nr. 3(7), p. 19–35. – ISSN 2029-2236.</w:t>
      </w:r>
    </w:p>
    <w:p w:rsidR="000D7472" w:rsidRPr="00F05377" w:rsidRDefault="000D7472" w:rsidP="005D38A0">
      <w:pPr>
        <w:pStyle w:val="ListParagraph"/>
        <w:numPr>
          <w:ilvl w:val="0"/>
          <w:numId w:val="42"/>
        </w:numPr>
        <w:ind w:left="360"/>
        <w:rPr>
          <w:szCs w:val="24"/>
        </w:rPr>
      </w:pPr>
      <w:proofErr w:type="spellStart"/>
      <w:r w:rsidRPr="00F05377">
        <w:rPr>
          <w:b/>
          <w:szCs w:val="24"/>
        </w:rPr>
        <w:t>Hon-Snir,</w:t>
      </w:r>
      <w:proofErr w:type="spellEnd"/>
      <w:r w:rsidRPr="00F05377">
        <w:rPr>
          <w:b/>
          <w:szCs w:val="24"/>
        </w:rPr>
        <w:t xml:space="preserve"> S.; </w:t>
      </w:r>
      <w:proofErr w:type="spellStart"/>
      <w:r w:rsidRPr="00F05377">
        <w:rPr>
          <w:b/>
          <w:szCs w:val="24"/>
        </w:rPr>
        <w:t>Kudryavtsev</w:t>
      </w:r>
      <w:proofErr w:type="spellEnd"/>
      <w:r w:rsidRPr="00F05377">
        <w:rPr>
          <w:b/>
          <w:szCs w:val="24"/>
        </w:rPr>
        <w:t>, A.</w:t>
      </w:r>
      <w:r w:rsidRPr="00F05377">
        <w:rPr>
          <w:szCs w:val="24"/>
        </w:rPr>
        <w:t xml:space="preserve"> </w:t>
      </w:r>
      <w:r w:rsidRPr="00F05377">
        <w:rPr>
          <w:szCs w:val="24"/>
          <w:lang w:val="en-US"/>
        </w:rPr>
        <w:t xml:space="preserve">Stock Market Investors: Who Is More Rational, and Who Relies on Intuition? // </w:t>
      </w:r>
      <w:r w:rsidRPr="00F05377">
        <w:rPr>
          <w:i/>
          <w:szCs w:val="24"/>
          <w:lang w:val="en-US"/>
        </w:rPr>
        <w:t>International Journal of Economics and Finance</w:t>
      </w:r>
      <w:r w:rsidRPr="00F05377">
        <w:rPr>
          <w:szCs w:val="24"/>
          <w:lang w:val="en-US"/>
        </w:rPr>
        <w:t>. – 2012, Vol.</w:t>
      </w:r>
      <w:r w:rsidRPr="00F05377">
        <w:rPr>
          <w:szCs w:val="24"/>
        </w:rPr>
        <w:t xml:space="preserve"> 4, </w:t>
      </w:r>
      <w:r w:rsidRPr="00F05377">
        <w:rPr>
          <w:szCs w:val="24"/>
          <w:lang w:val="en-US"/>
        </w:rPr>
        <w:t>Issue</w:t>
      </w:r>
      <w:r w:rsidRPr="00F05377">
        <w:rPr>
          <w:szCs w:val="24"/>
        </w:rPr>
        <w:t xml:space="preserve"> 5, p. 56–72. – ISSN 1916971X.</w:t>
      </w:r>
    </w:p>
    <w:p w:rsidR="000D7472" w:rsidRPr="00F05377" w:rsidRDefault="000D7472" w:rsidP="005D38A0">
      <w:pPr>
        <w:pStyle w:val="ListParagraph"/>
        <w:numPr>
          <w:ilvl w:val="0"/>
          <w:numId w:val="42"/>
        </w:numPr>
        <w:ind w:left="360"/>
        <w:rPr>
          <w:szCs w:val="24"/>
        </w:rPr>
      </w:pPr>
      <w:proofErr w:type="spellStart"/>
      <w:r w:rsidRPr="00F05377">
        <w:rPr>
          <w:b/>
          <w:szCs w:val="24"/>
        </w:rPr>
        <w:t>Jordan</w:t>
      </w:r>
      <w:proofErr w:type="spellEnd"/>
      <w:r w:rsidRPr="00F05377">
        <w:rPr>
          <w:b/>
          <w:szCs w:val="24"/>
        </w:rPr>
        <w:t xml:space="preserve">, </w:t>
      </w:r>
      <w:proofErr w:type="spellStart"/>
      <w:r w:rsidRPr="00F05377">
        <w:rPr>
          <w:b/>
          <w:szCs w:val="24"/>
        </w:rPr>
        <w:t>Kathy</w:t>
      </w:r>
      <w:proofErr w:type="spellEnd"/>
      <w:r w:rsidRPr="00F05377">
        <w:rPr>
          <w:b/>
          <w:szCs w:val="24"/>
        </w:rPr>
        <w:t xml:space="preserve"> </w:t>
      </w:r>
      <w:proofErr w:type="spellStart"/>
      <w:r w:rsidRPr="00F05377">
        <w:rPr>
          <w:b/>
          <w:szCs w:val="24"/>
        </w:rPr>
        <w:t>Ph</w:t>
      </w:r>
      <w:proofErr w:type="spellEnd"/>
      <w:r w:rsidRPr="00F05377">
        <w:rPr>
          <w:b/>
          <w:szCs w:val="24"/>
        </w:rPr>
        <w:t xml:space="preserve">. D.; </w:t>
      </w:r>
      <w:proofErr w:type="spellStart"/>
      <w:r w:rsidRPr="00F05377">
        <w:rPr>
          <w:b/>
          <w:szCs w:val="24"/>
        </w:rPr>
        <w:t>Lennick</w:t>
      </w:r>
      <w:proofErr w:type="spellEnd"/>
      <w:r w:rsidRPr="00F05377">
        <w:rPr>
          <w:b/>
          <w:szCs w:val="24"/>
        </w:rPr>
        <w:t>, D.</w:t>
      </w:r>
      <w:r w:rsidRPr="00F05377">
        <w:rPr>
          <w:szCs w:val="24"/>
        </w:rPr>
        <w:t xml:space="preserve"> </w:t>
      </w:r>
      <w:r w:rsidRPr="00F05377">
        <w:rPr>
          <w:szCs w:val="24"/>
          <w:lang w:val="en-US"/>
        </w:rPr>
        <w:t xml:space="preserve">Money on Your Mind: The Brain's Role in Financial Decision-Making // </w:t>
      </w:r>
      <w:r w:rsidRPr="00F05377">
        <w:rPr>
          <w:i/>
          <w:szCs w:val="24"/>
          <w:lang w:val="en-US"/>
        </w:rPr>
        <w:t>Journal of Financial Planning</w:t>
      </w:r>
      <w:r w:rsidRPr="00F05377">
        <w:rPr>
          <w:szCs w:val="24"/>
          <w:lang w:val="en-US"/>
        </w:rPr>
        <w:t xml:space="preserve">. – 2010, Vol. 23, Issue 4, p. </w:t>
      </w:r>
      <w:r w:rsidRPr="00F05377">
        <w:rPr>
          <w:szCs w:val="24"/>
        </w:rPr>
        <w:t>40–44. – ISSN 10403981.</w:t>
      </w:r>
    </w:p>
    <w:p w:rsidR="000D7472" w:rsidRPr="00F05377" w:rsidRDefault="000D7472" w:rsidP="005D38A0">
      <w:pPr>
        <w:pStyle w:val="ListParagraph"/>
        <w:numPr>
          <w:ilvl w:val="0"/>
          <w:numId w:val="42"/>
        </w:numPr>
        <w:ind w:left="360"/>
        <w:rPr>
          <w:szCs w:val="24"/>
        </w:rPr>
      </w:pPr>
      <w:proofErr w:type="spellStart"/>
      <w:r w:rsidRPr="00F05377">
        <w:rPr>
          <w:b/>
          <w:szCs w:val="24"/>
        </w:rPr>
        <w:t>Jurevičienė</w:t>
      </w:r>
      <w:proofErr w:type="spellEnd"/>
      <w:r w:rsidRPr="00F05377">
        <w:rPr>
          <w:b/>
          <w:szCs w:val="24"/>
        </w:rPr>
        <w:t>, D.;</w:t>
      </w:r>
      <w:r w:rsidRPr="00F05377">
        <w:rPr>
          <w:szCs w:val="24"/>
        </w:rPr>
        <w:t xml:space="preserve"> </w:t>
      </w:r>
      <w:proofErr w:type="spellStart"/>
      <w:r w:rsidRPr="00F05377">
        <w:rPr>
          <w:b/>
          <w:szCs w:val="24"/>
        </w:rPr>
        <w:t>Gausienė</w:t>
      </w:r>
      <w:proofErr w:type="spellEnd"/>
      <w:r w:rsidRPr="00F05377">
        <w:rPr>
          <w:b/>
          <w:szCs w:val="24"/>
        </w:rPr>
        <w:t xml:space="preserve">, E. </w:t>
      </w:r>
      <w:r w:rsidRPr="00F05377">
        <w:rPr>
          <w:szCs w:val="24"/>
        </w:rPr>
        <w:t xml:space="preserve">Finansinės gyventojų elgsenos ypatumai // </w:t>
      </w:r>
      <w:r w:rsidRPr="00F05377">
        <w:rPr>
          <w:i/>
          <w:szCs w:val="24"/>
        </w:rPr>
        <w:t>Verslas: teorija ir praktika = </w:t>
      </w:r>
      <w:r w:rsidRPr="00F05377">
        <w:rPr>
          <w:i/>
          <w:szCs w:val="24"/>
          <w:lang w:val="en-US"/>
        </w:rPr>
        <w:t>Business: Theory and Practice</w:t>
      </w:r>
      <w:r w:rsidRPr="00F05377">
        <w:rPr>
          <w:szCs w:val="24"/>
          <w:lang w:val="en-US"/>
        </w:rPr>
        <w:t>.</w:t>
      </w:r>
      <w:r w:rsidRPr="00F05377">
        <w:rPr>
          <w:szCs w:val="24"/>
        </w:rPr>
        <w:t xml:space="preserve"> – 2010, Nr. 11(3), p. 222–237. – ISSN 1648-0627.</w:t>
      </w:r>
    </w:p>
    <w:p w:rsidR="000D7472" w:rsidRPr="00F05377" w:rsidRDefault="000D7472" w:rsidP="005D38A0">
      <w:pPr>
        <w:pStyle w:val="ListParagraph"/>
        <w:numPr>
          <w:ilvl w:val="0"/>
          <w:numId w:val="42"/>
        </w:numPr>
        <w:ind w:left="360"/>
        <w:rPr>
          <w:szCs w:val="24"/>
        </w:rPr>
      </w:pPr>
      <w:proofErr w:type="spellStart"/>
      <w:r w:rsidRPr="00F05377">
        <w:rPr>
          <w:b/>
          <w:szCs w:val="24"/>
        </w:rPr>
        <w:t>Jurevičienė</w:t>
      </w:r>
      <w:proofErr w:type="spellEnd"/>
      <w:r w:rsidRPr="00F05377">
        <w:rPr>
          <w:b/>
          <w:szCs w:val="24"/>
        </w:rPr>
        <w:t xml:space="preserve">, D.; </w:t>
      </w:r>
      <w:proofErr w:type="spellStart"/>
      <w:r w:rsidRPr="00F05377">
        <w:rPr>
          <w:b/>
          <w:szCs w:val="24"/>
        </w:rPr>
        <w:t>Klimavičienė</w:t>
      </w:r>
      <w:proofErr w:type="spellEnd"/>
      <w:r w:rsidRPr="00F05377">
        <w:rPr>
          <w:b/>
          <w:szCs w:val="24"/>
        </w:rPr>
        <w:t>, A.</w:t>
      </w:r>
      <w:r w:rsidRPr="00F05377">
        <w:rPr>
          <w:szCs w:val="24"/>
        </w:rPr>
        <w:t xml:space="preserve"> Asmeninių finansų valdymo teoriniai aspektai gyvenimo ciklo požiūriu // </w:t>
      </w:r>
      <w:r w:rsidRPr="00F05377">
        <w:rPr>
          <w:i/>
          <w:szCs w:val="24"/>
        </w:rPr>
        <w:t xml:space="preserve">Verslas: teorija ir praktika = </w:t>
      </w:r>
      <w:r w:rsidRPr="00F05377">
        <w:rPr>
          <w:i/>
          <w:szCs w:val="24"/>
          <w:lang w:val="en-US"/>
        </w:rPr>
        <w:t>Business: Theory and Practice</w:t>
      </w:r>
      <w:r w:rsidRPr="00F05377">
        <w:rPr>
          <w:szCs w:val="24"/>
        </w:rPr>
        <w:t>. – 2008, Nr. 9(1), p. 22–32. – ISSN 1648-0627.</w:t>
      </w:r>
    </w:p>
    <w:p w:rsidR="000D7472" w:rsidRPr="00F05377" w:rsidRDefault="000D7472" w:rsidP="005D38A0">
      <w:pPr>
        <w:pStyle w:val="ListParagraph"/>
        <w:numPr>
          <w:ilvl w:val="0"/>
          <w:numId w:val="42"/>
        </w:numPr>
        <w:ind w:left="360"/>
        <w:rPr>
          <w:szCs w:val="24"/>
        </w:rPr>
      </w:pPr>
      <w:proofErr w:type="spellStart"/>
      <w:r w:rsidRPr="00F05377">
        <w:rPr>
          <w:b/>
          <w:szCs w:val="24"/>
        </w:rPr>
        <w:t>Kangas</w:t>
      </w:r>
      <w:proofErr w:type="spellEnd"/>
      <w:r w:rsidRPr="00F05377">
        <w:rPr>
          <w:b/>
          <w:szCs w:val="24"/>
        </w:rPr>
        <w:t>, O; Palme, J.</w:t>
      </w:r>
      <w:r w:rsidRPr="00F05377">
        <w:rPr>
          <w:szCs w:val="24"/>
        </w:rPr>
        <w:t xml:space="preserve"> </w:t>
      </w:r>
      <w:r w:rsidRPr="00F05377">
        <w:rPr>
          <w:szCs w:val="24"/>
          <w:lang w:val="en-US"/>
        </w:rPr>
        <w:t xml:space="preserve">Making Social Policy Work for Economic Development: Nordic Experience // </w:t>
      </w:r>
      <w:r w:rsidRPr="00F05377">
        <w:rPr>
          <w:i/>
          <w:szCs w:val="24"/>
          <w:lang w:val="en-US"/>
        </w:rPr>
        <w:t>International Journal of Social Welfare</w:t>
      </w:r>
      <w:r w:rsidRPr="00F05377">
        <w:rPr>
          <w:szCs w:val="24"/>
          <w:lang w:val="en-US"/>
        </w:rPr>
        <w:t>. – 2009, Vol.</w:t>
      </w:r>
      <w:r w:rsidRPr="00F05377">
        <w:rPr>
          <w:szCs w:val="24"/>
        </w:rPr>
        <w:t xml:space="preserve"> 18, </w:t>
      </w:r>
      <w:r w:rsidRPr="00F05377">
        <w:rPr>
          <w:szCs w:val="24"/>
          <w:lang w:val="en-US"/>
        </w:rPr>
        <w:t>Issue s1</w:t>
      </w:r>
      <w:r w:rsidRPr="00F05377">
        <w:rPr>
          <w:szCs w:val="24"/>
        </w:rPr>
        <w:t>, p. S62–S72. – ISSN 1369-6866.</w:t>
      </w:r>
    </w:p>
    <w:p w:rsidR="000D7472" w:rsidRPr="00F05377" w:rsidRDefault="000D7472" w:rsidP="005D38A0">
      <w:pPr>
        <w:pStyle w:val="ListParagraph"/>
        <w:numPr>
          <w:ilvl w:val="0"/>
          <w:numId w:val="42"/>
        </w:numPr>
        <w:ind w:left="360"/>
        <w:rPr>
          <w:szCs w:val="24"/>
        </w:rPr>
      </w:pPr>
      <w:proofErr w:type="spellStart"/>
      <w:r w:rsidRPr="00F05377">
        <w:rPr>
          <w:b/>
          <w:szCs w:val="24"/>
        </w:rPr>
        <w:t>Kartašova</w:t>
      </w:r>
      <w:proofErr w:type="spellEnd"/>
      <w:r w:rsidRPr="00F05377">
        <w:rPr>
          <w:b/>
          <w:szCs w:val="24"/>
        </w:rPr>
        <w:t xml:space="preserve">, J.; </w:t>
      </w:r>
      <w:proofErr w:type="spellStart"/>
      <w:r w:rsidRPr="00F05377">
        <w:rPr>
          <w:b/>
          <w:szCs w:val="24"/>
        </w:rPr>
        <w:t>Levišauskaitė</w:t>
      </w:r>
      <w:proofErr w:type="spellEnd"/>
      <w:r w:rsidRPr="00F05377">
        <w:rPr>
          <w:b/>
          <w:szCs w:val="24"/>
        </w:rPr>
        <w:t>, K.</w:t>
      </w:r>
      <w:r w:rsidRPr="00F05377">
        <w:rPr>
          <w:szCs w:val="24"/>
        </w:rPr>
        <w:t xml:space="preserve"> Investavimo patirties įtaka individualių investuotojų elgsenai ir jų priimamiems sprendimams finansų rinkoje // </w:t>
      </w:r>
      <w:r w:rsidRPr="00F05377">
        <w:rPr>
          <w:i/>
          <w:szCs w:val="24"/>
        </w:rPr>
        <w:t>Organizacijų vadyba: sisteminiai tyrimai</w:t>
      </w:r>
      <w:r w:rsidRPr="00F05377">
        <w:rPr>
          <w:szCs w:val="24"/>
        </w:rPr>
        <w:t>. – 2012, Nr. 61, p. 25–42. – ISSN 13921142.</w:t>
      </w:r>
    </w:p>
    <w:p w:rsidR="000D7472" w:rsidRPr="00F05377" w:rsidRDefault="000D7472" w:rsidP="005D38A0">
      <w:pPr>
        <w:pStyle w:val="ListParagraph"/>
        <w:numPr>
          <w:ilvl w:val="0"/>
          <w:numId w:val="42"/>
        </w:numPr>
        <w:ind w:left="360"/>
        <w:rPr>
          <w:szCs w:val="24"/>
        </w:rPr>
      </w:pPr>
      <w:r w:rsidRPr="00F05377">
        <w:rPr>
          <w:b/>
          <w:szCs w:val="24"/>
        </w:rPr>
        <w:t>Keršienė, R.</w:t>
      </w:r>
      <w:r w:rsidRPr="00F05377">
        <w:rPr>
          <w:szCs w:val="24"/>
        </w:rPr>
        <w:t xml:space="preserve"> Skurdas ir jo priežastys Lietuvoje // </w:t>
      </w:r>
      <w:r w:rsidRPr="00F05377">
        <w:rPr>
          <w:i/>
          <w:szCs w:val="24"/>
        </w:rPr>
        <w:t>Ekonomika ir vadyba</w:t>
      </w:r>
      <w:r w:rsidRPr="00F05377">
        <w:rPr>
          <w:szCs w:val="24"/>
        </w:rPr>
        <w:t xml:space="preserve"> = </w:t>
      </w:r>
      <w:r w:rsidRPr="00F05377">
        <w:rPr>
          <w:szCs w:val="24"/>
          <w:lang w:val="en-US"/>
        </w:rPr>
        <w:t>Economics and Management</w:t>
      </w:r>
      <w:r w:rsidRPr="00F05377">
        <w:rPr>
          <w:szCs w:val="24"/>
        </w:rPr>
        <w:t>. – 2011, Nr. 16, p. 535–542. – ISSN 1822-6515.</w:t>
      </w:r>
    </w:p>
    <w:p w:rsidR="000D7472" w:rsidRPr="00F05377" w:rsidRDefault="000D7472" w:rsidP="005D38A0">
      <w:pPr>
        <w:pStyle w:val="ListParagraph"/>
        <w:numPr>
          <w:ilvl w:val="0"/>
          <w:numId w:val="42"/>
        </w:numPr>
        <w:ind w:left="360"/>
        <w:rPr>
          <w:szCs w:val="24"/>
        </w:rPr>
      </w:pPr>
      <w:proofErr w:type="spellStart"/>
      <w:r w:rsidRPr="00F05377">
        <w:rPr>
          <w:b/>
          <w:szCs w:val="24"/>
        </w:rPr>
        <w:t>Klimavičienė</w:t>
      </w:r>
      <w:proofErr w:type="spellEnd"/>
      <w:r w:rsidRPr="00F05377">
        <w:rPr>
          <w:b/>
          <w:szCs w:val="24"/>
        </w:rPr>
        <w:t>, A.;</w:t>
      </w:r>
      <w:r w:rsidRPr="00F05377">
        <w:rPr>
          <w:szCs w:val="24"/>
        </w:rPr>
        <w:t xml:space="preserve"> </w:t>
      </w:r>
      <w:proofErr w:type="spellStart"/>
      <w:r w:rsidRPr="00F05377">
        <w:rPr>
          <w:b/>
          <w:szCs w:val="24"/>
        </w:rPr>
        <w:t>Jurevičienė</w:t>
      </w:r>
      <w:proofErr w:type="spellEnd"/>
      <w:r w:rsidRPr="00F05377">
        <w:rPr>
          <w:b/>
          <w:szCs w:val="24"/>
        </w:rPr>
        <w:t xml:space="preserve">, D. </w:t>
      </w:r>
      <w:r w:rsidRPr="00F05377">
        <w:rPr>
          <w:szCs w:val="24"/>
        </w:rPr>
        <w:t xml:space="preserve">Asmens investicijų į finansines priemones plėtros galimybės Lietuvoje // </w:t>
      </w:r>
      <w:r w:rsidRPr="00F05377">
        <w:rPr>
          <w:i/>
          <w:szCs w:val="24"/>
        </w:rPr>
        <w:t>Verslas: teorija ir praktika</w:t>
      </w:r>
      <w:r w:rsidRPr="00F05377">
        <w:rPr>
          <w:szCs w:val="24"/>
        </w:rPr>
        <w:t xml:space="preserve"> </w:t>
      </w:r>
      <w:r w:rsidRPr="00F05377">
        <w:rPr>
          <w:i/>
          <w:szCs w:val="24"/>
        </w:rPr>
        <w:t xml:space="preserve">= </w:t>
      </w:r>
      <w:r w:rsidRPr="00F05377">
        <w:rPr>
          <w:i/>
          <w:szCs w:val="24"/>
          <w:lang w:val="en-US"/>
        </w:rPr>
        <w:t>Business: Theory and Practice</w:t>
      </w:r>
      <w:r w:rsidRPr="00F05377">
        <w:rPr>
          <w:szCs w:val="24"/>
        </w:rPr>
        <w:t>. – 2007, Nr. 8(1), p. 33–43. – ISSN 1648-0627.</w:t>
      </w:r>
    </w:p>
    <w:p w:rsidR="000D7472" w:rsidRPr="00F05377" w:rsidRDefault="000D7472" w:rsidP="005D38A0">
      <w:pPr>
        <w:pStyle w:val="ListParagraph"/>
        <w:numPr>
          <w:ilvl w:val="0"/>
          <w:numId w:val="42"/>
        </w:numPr>
        <w:ind w:left="360"/>
        <w:rPr>
          <w:szCs w:val="24"/>
        </w:rPr>
      </w:pPr>
      <w:r w:rsidRPr="00F05377">
        <w:rPr>
          <w:b/>
          <w:szCs w:val="24"/>
        </w:rPr>
        <w:lastRenderedPageBreak/>
        <w:t>Kondrotaitė, G.</w:t>
      </w:r>
      <w:r w:rsidRPr="00F05377">
        <w:rPr>
          <w:szCs w:val="24"/>
        </w:rPr>
        <w:t xml:space="preserve"> Socialinės rizikos šeimos Lietuvoje: atvejo studija // </w:t>
      </w:r>
      <w:r w:rsidRPr="00F05377">
        <w:rPr>
          <w:i/>
          <w:szCs w:val="24"/>
        </w:rPr>
        <w:t>Filosofija. Sociologija: mokslo darbai</w:t>
      </w:r>
      <w:r w:rsidRPr="00F05377">
        <w:rPr>
          <w:szCs w:val="24"/>
        </w:rPr>
        <w:t>. – 2006, Nr. 4, p. 55–60. – ISSN 02357186.</w:t>
      </w:r>
    </w:p>
    <w:p w:rsidR="000D7472" w:rsidRPr="00F05377" w:rsidRDefault="000D7472" w:rsidP="005D38A0">
      <w:pPr>
        <w:pStyle w:val="ListParagraph"/>
        <w:numPr>
          <w:ilvl w:val="0"/>
          <w:numId w:val="42"/>
        </w:numPr>
        <w:ind w:left="360"/>
        <w:rPr>
          <w:szCs w:val="24"/>
        </w:rPr>
      </w:pPr>
      <w:r w:rsidRPr="00F05377">
        <w:rPr>
          <w:b/>
          <w:szCs w:val="24"/>
        </w:rPr>
        <w:t xml:space="preserve">Lee, K.; </w:t>
      </w:r>
      <w:proofErr w:type="spellStart"/>
      <w:r w:rsidRPr="00F05377">
        <w:rPr>
          <w:b/>
          <w:szCs w:val="24"/>
        </w:rPr>
        <w:t>Miller</w:t>
      </w:r>
      <w:proofErr w:type="spellEnd"/>
      <w:r w:rsidRPr="00F05377">
        <w:rPr>
          <w:b/>
          <w:szCs w:val="24"/>
        </w:rPr>
        <w:t xml:space="preserve">, S.; </w:t>
      </w:r>
      <w:proofErr w:type="spellStart"/>
      <w:r w:rsidRPr="00F05377">
        <w:rPr>
          <w:b/>
          <w:szCs w:val="24"/>
        </w:rPr>
        <w:t>Velasquez</w:t>
      </w:r>
      <w:proofErr w:type="spellEnd"/>
      <w:r w:rsidRPr="00F05377">
        <w:rPr>
          <w:b/>
          <w:szCs w:val="24"/>
        </w:rPr>
        <w:t xml:space="preserve">, N.; </w:t>
      </w:r>
      <w:proofErr w:type="spellStart"/>
      <w:r w:rsidRPr="00F05377">
        <w:rPr>
          <w:b/>
          <w:szCs w:val="24"/>
        </w:rPr>
        <w:t>Wann</w:t>
      </w:r>
      <w:proofErr w:type="spellEnd"/>
      <w:r w:rsidRPr="00F05377">
        <w:rPr>
          <w:b/>
          <w:szCs w:val="24"/>
        </w:rPr>
        <w:t>, C.</w:t>
      </w:r>
      <w:r w:rsidRPr="00F05377">
        <w:rPr>
          <w:szCs w:val="24"/>
        </w:rPr>
        <w:t xml:space="preserve"> </w:t>
      </w:r>
      <w:r w:rsidRPr="00F05377">
        <w:rPr>
          <w:szCs w:val="24"/>
          <w:lang w:val="en-US"/>
        </w:rPr>
        <w:t xml:space="preserve">The Effect of Investor Bias and Gender on Portfolio Performance and Risk // </w:t>
      </w:r>
      <w:r w:rsidRPr="00F05377">
        <w:rPr>
          <w:i/>
          <w:szCs w:val="24"/>
          <w:lang w:val="en-US"/>
        </w:rPr>
        <w:t>International Journal of Business &amp; Finance Research</w:t>
      </w:r>
      <w:r w:rsidRPr="00F05377">
        <w:rPr>
          <w:szCs w:val="24"/>
        </w:rPr>
        <w:t xml:space="preserve"> (IJBFR). – 2013, </w:t>
      </w:r>
      <w:r w:rsidRPr="00F05377">
        <w:rPr>
          <w:szCs w:val="24"/>
          <w:lang w:val="en-US"/>
        </w:rPr>
        <w:t>Vol. 7, Issue 1,</w:t>
      </w:r>
      <w:r w:rsidRPr="00F05377">
        <w:rPr>
          <w:szCs w:val="24"/>
        </w:rPr>
        <w:t xml:space="preserve"> p. 1–16. – ISSN 19310269.</w:t>
      </w:r>
    </w:p>
    <w:p w:rsidR="000D7472" w:rsidRPr="00F05377" w:rsidRDefault="000D7472" w:rsidP="005D38A0">
      <w:pPr>
        <w:pStyle w:val="ListParagraph"/>
        <w:numPr>
          <w:ilvl w:val="0"/>
          <w:numId w:val="42"/>
        </w:numPr>
        <w:ind w:left="360"/>
        <w:rPr>
          <w:szCs w:val="24"/>
        </w:rPr>
      </w:pPr>
      <w:proofErr w:type="spellStart"/>
      <w:r w:rsidRPr="00F05377">
        <w:rPr>
          <w:b/>
          <w:szCs w:val="24"/>
        </w:rPr>
        <w:t>Levišauskaitė</w:t>
      </w:r>
      <w:proofErr w:type="spellEnd"/>
      <w:r w:rsidRPr="00F05377">
        <w:rPr>
          <w:b/>
          <w:szCs w:val="24"/>
        </w:rPr>
        <w:t xml:space="preserve">, K.; </w:t>
      </w:r>
      <w:proofErr w:type="spellStart"/>
      <w:r w:rsidRPr="00F05377">
        <w:rPr>
          <w:b/>
          <w:szCs w:val="24"/>
        </w:rPr>
        <w:t>Kartašova</w:t>
      </w:r>
      <w:proofErr w:type="spellEnd"/>
      <w:r w:rsidRPr="00F05377">
        <w:rPr>
          <w:b/>
          <w:szCs w:val="24"/>
        </w:rPr>
        <w:t xml:space="preserve">, J. </w:t>
      </w:r>
      <w:r w:rsidRPr="00F05377">
        <w:rPr>
          <w:szCs w:val="24"/>
          <w:lang w:val="en-US"/>
        </w:rPr>
        <w:t xml:space="preserve">Evaluation of Irrational Individual Investors’ Behavior Driving Factors in Lithuania // </w:t>
      </w:r>
      <w:r w:rsidRPr="00F05377">
        <w:rPr>
          <w:i/>
          <w:szCs w:val="24"/>
        </w:rPr>
        <w:t>Taikomoji ekonomika: sisteminiai tyrimai</w:t>
      </w:r>
      <w:r w:rsidRPr="00F05377">
        <w:rPr>
          <w:szCs w:val="24"/>
        </w:rPr>
        <w:t>. – 2011, Nr. 5(2), p. 119–130. – ISSN 18227996.</w:t>
      </w:r>
    </w:p>
    <w:p w:rsidR="003F7EDC" w:rsidRPr="00F05377" w:rsidRDefault="003F7EDC" w:rsidP="005D38A0">
      <w:pPr>
        <w:pStyle w:val="ListParagraph"/>
        <w:numPr>
          <w:ilvl w:val="0"/>
          <w:numId w:val="42"/>
        </w:numPr>
        <w:ind w:left="360"/>
        <w:rPr>
          <w:szCs w:val="24"/>
        </w:rPr>
      </w:pPr>
      <w:proofErr w:type="spellStart"/>
      <w:r w:rsidRPr="00F05377">
        <w:rPr>
          <w:b/>
          <w:szCs w:val="24"/>
        </w:rPr>
        <w:t>Mittal</w:t>
      </w:r>
      <w:proofErr w:type="spellEnd"/>
      <w:r w:rsidRPr="00F05377">
        <w:rPr>
          <w:b/>
          <w:szCs w:val="24"/>
        </w:rPr>
        <w:t xml:space="preserve">, M.; </w:t>
      </w:r>
      <w:proofErr w:type="spellStart"/>
      <w:r w:rsidRPr="00F05377">
        <w:rPr>
          <w:b/>
          <w:szCs w:val="24"/>
        </w:rPr>
        <w:t>Vyas</w:t>
      </w:r>
      <w:proofErr w:type="spellEnd"/>
      <w:r w:rsidRPr="00F05377">
        <w:rPr>
          <w:b/>
          <w:szCs w:val="24"/>
        </w:rPr>
        <w:t>, R. K.</w:t>
      </w:r>
      <w:r w:rsidRPr="00F05377">
        <w:rPr>
          <w:szCs w:val="24"/>
        </w:rPr>
        <w:t xml:space="preserve"> </w:t>
      </w:r>
      <w:r w:rsidRPr="00F05377">
        <w:rPr>
          <w:szCs w:val="24"/>
          <w:lang w:val="en-US"/>
        </w:rPr>
        <w:t xml:space="preserve">A Study of Psychological Reasons for Gender Differences in Preferences for Risk and Investment Decision Making // </w:t>
      </w:r>
      <w:r w:rsidRPr="00F05377">
        <w:rPr>
          <w:i/>
          <w:szCs w:val="24"/>
          <w:lang w:val="en-US"/>
        </w:rPr>
        <w:t>IUP Journal of Behavioral Finance</w:t>
      </w:r>
      <w:r w:rsidRPr="00F05377">
        <w:rPr>
          <w:szCs w:val="24"/>
          <w:lang w:val="en-US"/>
        </w:rPr>
        <w:t xml:space="preserve">. – 2011, Vol. 8, Issue 3, p. </w:t>
      </w:r>
      <w:r w:rsidRPr="00F05377">
        <w:rPr>
          <w:szCs w:val="24"/>
        </w:rPr>
        <w:t>45–60. – ISSN 09729089.</w:t>
      </w:r>
    </w:p>
    <w:p w:rsidR="000D7472" w:rsidRPr="00F05377" w:rsidRDefault="000D7472" w:rsidP="005D38A0">
      <w:pPr>
        <w:pStyle w:val="ListParagraph"/>
        <w:numPr>
          <w:ilvl w:val="0"/>
          <w:numId w:val="42"/>
        </w:numPr>
        <w:ind w:left="360"/>
        <w:rPr>
          <w:szCs w:val="24"/>
        </w:rPr>
      </w:pPr>
      <w:r w:rsidRPr="00F05377">
        <w:rPr>
          <w:b/>
          <w:szCs w:val="24"/>
        </w:rPr>
        <w:t>Navickas, V.;</w:t>
      </w:r>
      <w:r w:rsidRPr="00F05377">
        <w:rPr>
          <w:szCs w:val="24"/>
        </w:rPr>
        <w:t xml:space="preserve"> </w:t>
      </w:r>
      <w:proofErr w:type="spellStart"/>
      <w:r w:rsidRPr="00F05377">
        <w:rPr>
          <w:b/>
          <w:szCs w:val="24"/>
        </w:rPr>
        <w:t>Malakauskaitė</w:t>
      </w:r>
      <w:proofErr w:type="spellEnd"/>
      <w:r w:rsidRPr="00F05377">
        <w:rPr>
          <w:b/>
          <w:szCs w:val="24"/>
        </w:rPr>
        <w:t xml:space="preserve">, A. </w:t>
      </w:r>
      <w:r w:rsidRPr="00F05377">
        <w:rPr>
          <w:szCs w:val="24"/>
        </w:rPr>
        <w:t xml:space="preserve">Konkurencingumo vertinimo metodologinės problemos ir ribotumas // </w:t>
      </w:r>
      <w:r w:rsidRPr="00F05377">
        <w:rPr>
          <w:i/>
          <w:szCs w:val="24"/>
        </w:rPr>
        <w:t>Verslas: teorija ir praktika</w:t>
      </w:r>
      <w:r w:rsidRPr="00F05377">
        <w:rPr>
          <w:szCs w:val="24"/>
        </w:rPr>
        <w:t xml:space="preserve"> </w:t>
      </w:r>
      <w:r w:rsidRPr="00F05377">
        <w:rPr>
          <w:i/>
          <w:szCs w:val="24"/>
        </w:rPr>
        <w:t xml:space="preserve">= </w:t>
      </w:r>
      <w:r w:rsidRPr="00F05377">
        <w:rPr>
          <w:i/>
          <w:szCs w:val="24"/>
          <w:lang w:val="en-US"/>
        </w:rPr>
        <w:t>Business: Theory and Practice</w:t>
      </w:r>
      <w:r w:rsidRPr="00F05377">
        <w:rPr>
          <w:szCs w:val="24"/>
        </w:rPr>
        <w:t>. – 2010, Nr. 11(1), p. 5–11. – ISSN 1648-0627.</w:t>
      </w:r>
    </w:p>
    <w:p w:rsidR="000D7472" w:rsidRPr="00F05377" w:rsidRDefault="000D7472" w:rsidP="005D38A0">
      <w:pPr>
        <w:pStyle w:val="ListParagraph"/>
        <w:numPr>
          <w:ilvl w:val="0"/>
          <w:numId w:val="42"/>
        </w:numPr>
        <w:ind w:left="360"/>
        <w:rPr>
          <w:szCs w:val="24"/>
        </w:rPr>
      </w:pPr>
      <w:proofErr w:type="spellStart"/>
      <w:r w:rsidRPr="00F05377">
        <w:rPr>
          <w:b/>
          <w:szCs w:val="24"/>
        </w:rPr>
        <w:t>Okunevičiūtė-Neverauskienė,</w:t>
      </w:r>
      <w:proofErr w:type="spellEnd"/>
      <w:r w:rsidRPr="00F05377">
        <w:rPr>
          <w:b/>
          <w:szCs w:val="24"/>
        </w:rPr>
        <w:t xml:space="preserve"> L.;</w:t>
      </w:r>
      <w:r w:rsidR="00713D79">
        <w:rPr>
          <w:szCs w:val="24"/>
        </w:rPr>
        <w:t xml:space="preserve"> </w:t>
      </w:r>
      <w:proofErr w:type="spellStart"/>
      <w:r w:rsidRPr="00F05377">
        <w:rPr>
          <w:b/>
          <w:szCs w:val="24"/>
        </w:rPr>
        <w:t>Moskvina</w:t>
      </w:r>
      <w:proofErr w:type="spellEnd"/>
      <w:r w:rsidRPr="00F05377">
        <w:rPr>
          <w:b/>
          <w:szCs w:val="24"/>
        </w:rPr>
        <w:t xml:space="preserve">, J. </w:t>
      </w:r>
      <w:r w:rsidRPr="00F05377">
        <w:rPr>
          <w:szCs w:val="24"/>
        </w:rPr>
        <w:t xml:space="preserve">Socialiai pažeidžiamo jaunimo problemos integracijos į darbo rinką kontekste // </w:t>
      </w:r>
      <w:r w:rsidRPr="00F05377">
        <w:rPr>
          <w:i/>
          <w:szCs w:val="24"/>
        </w:rPr>
        <w:t>Filosofija. Sociologija: mokslo darbai</w:t>
      </w:r>
      <w:r w:rsidRPr="00F05377">
        <w:rPr>
          <w:szCs w:val="24"/>
        </w:rPr>
        <w:t>. – 2008, Nr.</w:t>
      </w:r>
      <w:r w:rsidRPr="00F05377">
        <w:rPr>
          <w:i/>
          <w:szCs w:val="24"/>
        </w:rPr>
        <w:t xml:space="preserve"> </w:t>
      </w:r>
      <w:r w:rsidRPr="00F05377">
        <w:rPr>
          <w:szCs w:val="24"/>
        </w:rPr>
        <w:t>2, p. 41–54. – ISSN 0235-7186.</w:t>
      </w:r>
    </w:p>
    <w:p w:rsidR="000D7472" w:rsidRPr="00F05377" w:rsidRDefault="000D7472" w:rsidP="005D38A0">
      <w:pPr>
        <w:pStyle w:val="ListParagraph"/>
        <w:numPr>
          <w:ilvl w:val="0"/>
          <w:numId w:val="42"/>
        </w:numPr>
        <w:ind w:left="360"/>
        <w:rPr>
          <w:szCs w:val="24"/>
        </w:rPr>
      </w:pPr>
      <w:proofErr w:type="spellStart"/>
      <w:r w:rsidRPr="00F05377">
        <w:rPr>
          <w:b/>
          <w:szCs w:val="24"/>
        </w:rPr>
        <w:t>Okunevičiūtė-Neverauskienė,</w:t>
      </w:r>
      <w:proofErr w:type="spellEnd"/>
      <w:r w:rsidRPr="00F05377">
        <w:rPr>
          <w:b/>
          <w:szCs w:val="24"/>
        </w:rPr>
        <w:t xml:space="preserve"> L.; Pocius, A.</w:t>
      </w:r>
      <w:r w:rsidRPr="00F05377">
        <w:rPr>
          <w:szCs w:val="24"/>
        </w:rPr>
        <w:t xml:space="preserve"> Ilgalaikio nedarbo problema Lietuvoje // </w:t>
      </w:r>
      <w:r w:rsidRPr="00F05377">
        <w:rPr>
          <w:i/>
          <w:szCs w:val="24"/>
        </w:rPr>
        <w:t>Filosofija. Sociologija: mokslo darbai</w:t>
      </w:r>
      <w:r w:rsidRPr="00F05377">
        <w:rPr>
          <w:szCs w:val="24"/>
        </w:rPr>
        <w:t>. – 2003, Nr. 1, p. 43–48. – ISSN 0235-7186.</w:t>
      </w:r>
    </w:p>
    <w:p w:rsidR="000D7472" w:rsidRPr="00F05377" w:rsidRDefault="000D7472" w:rsidP="005D38A0">
      <w:pPr>
        <w:pStyle w:val="ListParagraph"/>
        <w:numPr>
          <w:ilvl w:val="0"/>
          <w:numId w:val="42"/>
        </w:numPr>
        <w:ind w:left="360"/>
        <w:rPr>
          <w:szCs w:val="24"/>
        </w:rPr>
      </w:pPr>
      <w:proofErr w:type="spellStart"/>
      <w:r w:rsidRPr="00F05377">
        <w:rPr>
          <w:b/>
          <w:szCs w:val="24"/>
        </w:rPr>
        <w:t>Ouchi</w:t>
      </w:r>
      <w:proofErr w:type="spellEnd"/>
      <w:r w:rsidRPr="00F05377">
        <w:rPr>
          <w:b/>
          <w:szCs w:val="24"/>
        </w:rPr>
        <w:t>, M.;</w:t>
      </w:r>
      <w:r w:rsidRPr="00F05377">
        <w:rPr>
          <w:szCs w:val="24"/>
        </w:rPr>
        <w:t xml:space="preserve"> </w:t>
      </w:r>
      <w:proofErr w:type="spellStart"/>
      <w:r w:rsidRPr="00F05377">
        <w:rPr>
          <w:b/>
          <w:szCs w:val="24"/>
        </w:rPr>
        <w:t>Upadhyaya</w:t>
      </w:r>
      <w:proofErr w:type="spellEnd"/>
      <w:r w:rsidRPr="00F05377">
        <w:rPr>
          <w:b/>
          <w:szCs w:val="24"/>
        </w:rPr>
        <w:t xml:space="preserve">, S. </w:t>
      </w:r>
      <w:r w:rsidRPr="00F05377">
        <w:rPr>
          <w:szCs w:val="24"/>
          <w:lang w:val="en-US"/>
        </w:rPr>
        <w:t xml:space="preserve">Employment and Social Security. Assessment of Social Assistance Scheme in the Kyrgyz Republic: Its Importance in Relation to Employment &amp; Poverty Alleviation // </w:t>
      </w:r>
      <w:r w:rsidRPr="00F05377">
        <w:rPr>
          <w:i/>
          <w:szCs w:val="24"/>
          <w:lang w:val="en-US"/>
        </w:rPr>
        <w:t>Working paper</w:t>
      </w:r>
      <w:r w:rsidRPr="00F05377">
        <w:rPr>
          <w:szCs w:val="24"/>
          <w:lang w:val="en-US"/>
        </w:rPr>
        <w:t>. – 2006,</w:t>
      </w:r>
      <w:r w:rsidRPr="00F05377">
        <w:rPr>
          <w:szCs w:val="24"/>
        </w:rPr>
        <w:t xml:space="preserve"> Nr. 1, p. 33–37. – ISBN 9789221189688.</w:t>
      </w:r>
    </w:p>
    <w:p w:rsidR="000D7472" w:rsidRPr="00F05377" w:rsidRDefault="000D7472" w:rsidP="005D38A0">
      <w:pPr>
        <w:pStyle w:val="ListParagraph"/>
        <w:numPr>
          <w:ilvl w:val="0"/>
          <w:numId w:val="42"/>
        </w:numPr>
        <w:ind w:left="360"/>
        <w:rPr>
          <w:szCs w:val="24"/>
        </w:rPr>
      </w:pPr>
      <w:proofErr w:type="spellStart"/>
      <w:r w:rsidRPr="00F05377">
        <w:rPr>
          <w:b/>
          <w:szCs w:val="24"/>
        </w:rPr>
        <w:t>Pirouz</w:t>
      </w:r>
      <w:proofErr w:type="spellEnd"/>
      <w:r w:rsidRPr="00F05377">
        <w:rPr>
          <w:b/>
          <w:szCs w:val="24"/>
        </w:rPr>
        <w:t>, D.</w:t>
      </w:r>
      <w:r w:rsidRPr="00F05377">
        <w:rPr>
          <w:szCs w:val="24"/>
        </w:rPr>
        <w:t xml:space="preserve"> </w:t>
      </w:r>
      <w:r w:rsidRPr="00F05377">
        <w:rPr>
          <w:szCs w:val="24"/>
          <w:lang w:val="en-US"/>
        </w:rPr>
        <w:t xml:space="preserve">Culture, Self-control, and Consumer Financial Behavior // </w:t>
      </w:r>
      <w:r w:rsidRPr="00F05377">
        <w:rPr>
          <w:i/>
          <w:szCs w:val="24"/>
          <w:lang w:val="en-US"/>
        </w:rPr>
        <w:t>Advances in Consumer Research</w:t>
      </w:r>
      <w:r w:rsidRPr="00F05377">
        <w:rPr>
          <w:szCs w:val="24"/>
          <w:lang w:val="en-US"/>
        </w:rPr>
        <w:t>. – 2009, Vol. 36, p.</w:t>
      </w:r>
      <w:r w:rsidRPr="00F05377">
        <w:rPr>
          <w:szCs w:val="24"/>
        </w:rPr>
        <w:t xml:space="preserve"> 908–909. – ISSN 00989258.</w:t>
      </w:r>
    </w:p>
    <w:p w:rsidR="000D7472" w:rsidRPr="00F05377" w:rsidRDefault="000D7472" w:rsidP="005D38A0">
      <w:pPr>
        <w:pStyle w:val="ListParagraph"/>
        <w:numPr>
          <w:ilvl w:val="0"/>
          <w:numId w:val="42"/>
        </w:numPr>
        <w:ind w:left="360"/>
        <w:rPr>
          <w:szCs w:val="24"/>
        </w:rPr>
      </w:pPr>
      <w:proofErr w:type="spellStart"/>
      <w:r w:rsidRPr="00F05377">
        <w:rPr>
          <w:b/>
          <w:szCs w:val="24"/>
        </w:rPr>
        <w:t>Potrafke</w:t>
      </w:r>
      <w:proofErr w:type="spellEnd"/>
      <w:r w:rsidRPr="00F05377">
        <w:rPr>
          <w:b/>
          <w:szCs w:val="24"/>
        </w:rPr>
        <w:t>, N.</w:t>
      </w:r>
      <w:r w:rsidRPr="00F05377">
        <w:rPr>
          <w:szCs w:val="24"/>
        </w:rPr>
        <w:t xml:space="preserve"> </w:t>
      </w:r>
      <w:r w:rsidRPr="00F05377">
        <w:rPr>
          <w:szCs w:val="24"/>
          <w:lang w:val="en-US"/>
        </w:rPr>
        <w:t>Unemployment, Human Capital Depreciation and Pension Benefits: an Empirical Evaluation of German data //</w:t>
      </w:r>
      <w:r w:rsidRPr="00F05377">
        <w:rPr>
          <w:i/>
          <w:szCs w:val="24"/>
          <w:lang w:val="en-US"/>
        </w:rPr>
        <w:t xml:space="preserve"> Journal of Pension Economics and Finance</w:t>
      </w:r>
      <w:r w:rsidRPr="00F05377">
        <w:rPr>
          <w:szCs w:val="24"/>
          <w:lang w:val="en-US"/>
        </w:rPr>
        <w:t>. – 2012,</w:t>
      </w:r>
      <w:r w:rsidRPr="00F05377">
        <w:rPr>
          <w:szCs w:val="24"/>
        </w:rPr>
        <w:t xml:space="preserve"> </w:t>
      </w:r>
      <w:r w:rsidRPr="00F05377">
        <w:rPr>
          <w:szCs w:val="24"/>
          <w:lang w:val="en-US"/>
        </w:rPr>
        <w:t>Vol. 11, Issue 2, p.</w:t>
      </w:r>
      <w:r w:rsidRPr="00F05377">
        <w:rPr>
          <w:szCs w:val="24"/>
        </w:rPr>
        <w:t xml:space="preserve"> 223–241. – ISSN 1474-7472.</w:t>
      </w:r>
    </w:p>
    <w:p w:rsidR="000D7472" w:rsidRPr="00F05377" w:rsidRDefault="000D7472" w:rsidP="005D38A0">
      <w:pPr>
        <w:pStyle w:val="ListParagraph"/>
        <w:numPr>
          <w:ilvl w:val="0"/>
          <w:numId w:val="42"/>
        </w:numPr>
        <w:ind w:left="360"/>
        <w:rPr>
          <w:szCs w:val="24"/>
        </w:rPr>
      </w:pPr>
      <w:proofErr w:type="spellStart"/>
      <w:r w:rsidRPr="00F05377">
        <w:rPr>
          <w:b/>
          <w:szCs w:val="24"/>
        </w:rPr>
        <w:t>Qawi</w:t>
      </w:r>
      <w:proofErr w:type="spellEnd"/>
      <w:r w:rsidRPr="00F05377">
        <w:rPr>
          <w:b/>
          <w:szCs w:val="24"/>
        </w:rPr>
        <w:t>, R. B.</w:t>
      </w:r>
      <w:r w:rsidRPr="00F05377">
        <w:rPr>
          <w:szCs w:val="24"/>
        </w:rPr>
        <w:t xml:space="preserve"> </w:t>
      </w:r>
      <w:r w:rsidRPr="00F05377">
        <w:rPr>
          <w:szCs w:val="24"/>
          <w:lang w:val="en-US"/>
        </w:rPr>
        <w:t>Behavioral Finance: Is Investor Psyche Driving Market Performance? //</w:t>
      </w:r>
      <w:r w:rsidRPr="00F05377">
        <w:rPr>
          <w:i/>
          <w:szCs w:val="24"/>
          <w:lang w:val="en-US"/>
        </w:rPr>
        <w:t xml:space="preserve"> IUP Journal of Behavioral Finance</w:t>
      </w:r>
      <w:r w:rsidRPr="00F05377">
        <w:rPr>
          <w:szCs w:val="24"/>
          <w:lang w:val="en-US"/>
        </w:rPr>
        <w:t>. – 2010, Vol. 7, Issue 4, p.</w:t>
      </w:r>
      <w:r w:rsidRPr="00F05377">
        <w:rPr>
          <w:szCs w:val="24"/>
        </w:rPr>
        <w:t xml:space="preserve"> 7–19. – ISSN 09729089.</w:t>
      </w:r>
    </w:p>
    <w:p w:rsidR="000D7472" w:rsidRPr="00F05377" w:rsidRDefault="000D7472" w:rsidP="005D38A0">
      <w:pPr>
        <w:pStyle w:val="ListParagraph"/>
        <w:numPr>
          <w:ilvl w:val="0"/>
          <w:numId w:val="42"/>
        </w:numPr>
        <w:ind w:left="360"/>
        <w:rPr>
          <w:szCs w:val="24"/>
        </w:rPr>
      </w:pPr>
      <w:r w:rsidRPr="00F05377">
        <w:rPr>
          <w:b/>
          <w:szCs w:val="24"/>
        </w:rPr>
        <w:t>Rakauskienė, O. G.;</w:t>
      </w:r>
      <w:r w:rsidRPr="00F05377">
        <w:rPr>
          <w:szCs w:val="24"/>
        </w:rPr>
        <w:t xml:space="preserve"> </w:t>
      </w:r>
      <w:proofErr w:type="spellStart"/>
      <w:r w:rsidRPr="00F05377">
        <w:rPr>
          <w:b/>
          <w:szCs w:val="24"/>
        </w:rPr>
        <w:t>Bikas</w:t>
      </w:r>
      <w:proofErr w:type="spellEnd"/>
      <w:r w:rsidRPr="00F05377">
        <w:rPr>
          <w:b/>
          <w:szCs w:val="24"/>
        </w:rPr>
        <w:t xml:space="preserve">, E. </w:t>
      </w:r>
      <w:r w:rsidRPr="00F05377">
        <w:rPr>
          <w:szCs w:val="24"/>
        </w:rPr>
        <w:t xml:space="preserve">Lietuvos gyventojų santaupos: moterų ir vyrų taupymo elgsenos modeliai // </w:t>
      </w:r>
      <w:r w:rsidRPr="00F05377">
        <w:rPr>
          <w:i/>
          <w:szCs w:val="24"/>
        </w:rPr>
        <w:t>Ekonomika: mokslo darbai</w:t>
      </w:r>
      <w:r w:rsidRPr="00F05377">
        <w:rPr>
          <w:szCs w:val="24"/>
        </w:rPr>
        <w:t>. – 2007, Nr. 79, p. 124–142. – ISSN 1392-1258.</w:t>
      </w:r>
    </w:p>
    <w:p w:rsidR="000D7472" w:rsidRPr="00F05377" w:rsidRDefault="000D7472" w:rsidP="005D38A0">
      <w:pPr>
        <w:pStyle w:val="ListParagraph"/>
        <w:numPr>
          <w:ilvl w:val="0"/>
          <w:numId w:val="42"/>
        </w:numPr>
        <w:ind w:left="360"/>
        <w:rPr>
          <w:szCs w:val="24"/>
        </w:rPr>
      </w:pPr>
      <w:r w:rsidRPr="00F05377">
        <w:rPr>
          <w:b/>
          <w:szCs w:val="24"/>
        </w:rPr>
        <w:t>Ramanauskas, T.;</w:t>
      </w:r>
      <w:r w:rsidRPr="00F05377">
        <w:rPr>
          <w:szCs w:val="24"/>
        </w:rPr>
        <w:t xml:space="preserve"> </w:t>
      </w:r>
      <w:proofErr w:type="spellStart"/>
      <w:r w:rsidRPr="00F05377">
        <w:rPr>
          <w:b/>
          <w:szCs w:val="24"/>
        </w:rPr>
        <w:t>Jakaitienė</w:t>
      </w:r>
      <w:proofErr w:type="spellEnd"/>
      <w:r w:rsidRPr="00F05377">
        <w:rPr>
          <w:b/>
          <w:szCs w:val="24"/>
        </w:rPr>
        <w:t xml:space="preserve">, A. </w:t>
      </w:r>
      <w:r w:rsidRPr="00F05377">
        <w:rPr>
          <w:szCs w:val="24"/>
        </w:rPr>
        <w:t xml:space="preserve">Namų ūkių vartojimo modeliavimas // </w:t>
      </w:r>
      <w:r w:rsidRPr="00F05377">
        <w:rPr>
          <w:i/>
          <w:szCs w:val="24"/>
        </w:rPr>
        <w:t>Pinigų studijos</w:t>
      </w:r>
      <w:r w:rsidRPr="00F05377">
        <w:rPr>
          <w:szCs w:val="24"/>
        </w:rPr>
        <w:t>. – 2007, Nr. 1, p. 25–41.</w:t>
      </w:r>
    </w:p>
    <w:p w:rsidR="000D7472" w:rsidRPr="00F05377" w:rsidRDefault="000D7472" w:rsidP="005D38A0">
      <w:pPr>
        <w:pStyle w:val="ListParagraph"/>
        <w:numPr>
          <w:ilvl w:val="0"/>
          <w:numId w:val="42"/>
        </w:numPr>
        <w:ind w:left="360"/>
        <w:rPr>
          <w:szCs w:val="24"/>
        </w:rPr>
      </w:pPr>
      <w:proofErr w:type="spellStart"/>
      <w:r w:rsidRPr="00F05377">
        <w:rPr>
          <w:b/>
          <w:szCs w:val="24"/>
        </w:rPr>
        <w:lastRenderedPageBreak/>
        <w:t>Ritter</w:t>
      </w:r>
      <w:proofErr w:type="spellEnd"/>
      <w:r w:rsidRPr="00F05377">
        <w:rPr>
          <w:b/>
          <w:szCs w:val="24"/>
        </w:rPr>
        <w:t>, J. R.</w:t>
      </w:r>
      <w:r w:rsidRPr="00F05377">
        <w:rPr>
          <w:szCs w:val="24"/>
        </w:rPr>
        <w:t xml:space="preserve"> </w:t>
      </w:r>
      <w:r w:rsidRPr="00F05377">
        <w:rPr>
          <w:szCs w:val="24"/>
          <w:lang w:val="en-US"/>
        </w:rPr>
        <w:t xml:space="preserve">Behavioral finance // </w:t>
      </w:r>
      <w:r w:rsidRPr="00F05377">
        <w:rPr>
          <w:i/>
          <w:szCs w:val="24"/>
          <w:lang w:val="en-US"/>
        </w:rPr>
        <w:t>Pacific-Basin Finance Journal</w:t>
      </w:r>
      <w:r w:rsidRPr="00F05377">
        <w:rPr>
          <w:szCs w:val="24"/>
          <w:lang w:val="en-US"/>
        </w:rPr>
        <w:t>. – 2003, Vol. 11, Issue 4,</w:t>
      </w:r>
      <w:r w:rsidRPr="00F05377">
        <w:rPr>
          <w:szCs w:val="24"/>
        </w:rPr>
        <w:t xml:space="preserve"> p. 429–437.</w:t>
      </w:r>
    </w:p>
    <w:p w:rsidR="000D7472" w:rsidRPr="00F05377" w:rsidRDefault="000D7472" w:rsidP="005D38A0">
      <w:pPr>
        <w:pStyle w:val="ListParagraph"/>
        <w:numPr>
          <w:ilvl w:val="0"/>
          <w:numId w:val="42"/>
        </w:numPr>
        <w:ind w:left="360"/>
        <w:rPr>
          <w:szCs w:val="24"/>
        </w:rPr>
      </w:pPr>
      <w:proofErr w:type="spellStart"/>
      <w:r w:rsidRPr="00F05377">
        <w:rPr>
          <w:b/>
          <w:szCs w:val="24"/>
        </w:rPr>
        <w:t>Schinckus</w:t>
      </w:r>
      <w:proofErr w:type="spellEnd"/>
      <w:r w:rsidRPr="00F05377">
        <w:rPr>
          <w:b/>
          <w:szCs w:val="24"/>
        </w:rPr>
        <w:t xml:space="preserve">, </w:t>
      </w:r>
      <w:proofErr w:type="spellStart"/>
      <w:r w:rsidRPr="00F05377">
        <w:rPr>
          <w:b/>
          <w:szCs w:val="24"/>
        </w:rPr>
        <w:t>Ch</w:t>
      </w:r>
      <w:proofErr w:type="spellEnd"/>
      <w:r w:rsidRPr="00F05377">
        <w:rPr>
          <w:b/>
          <w:szCs w:val="24"/>
        </w:rPr>
        <w:t>.</w:t>
      </w:r>
      <w:r w:rsidRPr="00F05377">
        <w:rPr>
          <w:szCs w:val="24"/>
        </w:rPr>
        <w:t xml:space="preserve"> </w:t>
      </w:r>
      <w:r w:rsidRPr="00F05377">
        <w:rPr>
          <w:szCs w:val="24"/>
          <w:lang w:val="en-US"/>
        </w:rPr>
        <w:t xml:space="preserve">Archeology of Behavioral Finance // </w:t>
      </w:r>
      <w:r w:rsidRPr="00F05377">
        <w:rPr>
          <w:i/>
          <w:szCs w:val="24"/>
          <w:lang w:val="en-US"/>
        </w:rPr>
        <w:t>IUP Journal of Behavioral Finance</w:t>
      </w:r>
      <w:r w:rsidRPr="00F05377">
        <w:rPr>
          <w:szCs w:val="24"/>
          <w:lang w:val="en-US"/>
        </w:rPr>
        <w:t xml:space="preserve">. – 2011, Vol. 8, Issue 2, </w:t>
      </w:r>
      <w:r w:rsidRPr="00F05377">
        <w:rPr>
          <w:szCs w:val="24"/>
        </w:rPr>
        <w:t>p. 7–22. – ISSN 09729089.</w:t>
      </w:r>
    </w:p>
    <w:p w:rsidR="000D7472" w:rsidRPr="00F05377" w:rsidRDefault="000D7472" w:rsidP="005D38A0">
      <w:pPr>
        <w:pStyle w:val="ListParagraph"/>
        <w:numPr>
          <w:ilvl w:val="0"/>
          <w:numId w:val="42"/>
        </w:numPr>
        <w:ind w:left="360"/>
        <w:rPr>
          <w:szCs w:val="24"/>
        </w:rPr>
      </w:pPr>
      <w:proofErr w:type="spellStart"/>
      <w:r w:rsidRPr="00F05377">
        <w:rPr>
          <w:b/>
          <w:szCs w:val="24"/>
        </w:rPr>
        <w:t>Singh</w:t>
      </w:r>
      <w:proofErr w:type="spellEnd"/>
      <w:r w:rsidRPr="00F05377">
        <w:rPr>
          <w:b/>
          <w:szCs w:val="24"/>
        </w:rPr>
        <w:t>, R.</w:t>
      </w:r>
      <w:r w:rsidRPr="00F05377">
        <w:rPr>
          <w:szCs w:val="24"/>
        </w:rPr>
        <w:t xml:space="preserve"> </w:t>
      </w:r>
      <w:proofErr w:type="spellStart"/>
      <w:r w:rsidRPr="00F05377">
        <w:rPr>
          <w:szCs w:val="24"/>
          <w:lang w:val="en-US"/>
        </w:rPr>
        <w:t>Behavioural</w:t>
      </w:r>
      <w:proofErr w:type="spellEnd"/>
      <w:r w:rsidRPr="00F05377">
        <w:rPr>
          <w:szCs w:val="24"/>
          <w:lang w:val="en-US"/>
        </w:rPr>
        <w:t xml:space="preserve"> Finance Studies: Emergence and Developments, </w:t>
      </w:r>
      <w:r w:rsidRPr="00F05377">
        <w:rPr>
          <w:i/>
          <w:szCs w:val="24"/>
          <w:lang w:val="en-US"/>
        </w:rPr>
        <w:t>Journal of Contemporary Management Research</w:t>
      </w:r>
      <w:r w:rsidRPr="00F05377">
        <w:rPr>
          <w:szCs w:val="24"/>
          <w:lang w:val="en-US"/>
        </w:rPr>
        <w:t>. – 2010, Vol. 4, Issue 2, p.</w:t>
      </w:r>
      <w:r w:rsidRPr="00F05377">
        <w:rPr>
          <w:szCs w:val="24"/>
        </w:rPr>
        <w:t xml:space="preserve"> 1–9. – ISSN 09738266.</w:t>
      </w:r>
    </w:p>
    <w:p w:rsidR="008675E0" w:rsidRDefault="008675E0" w:rsidP="008675E0">
      <w:pPr>
        <w:pStyle w:val="ListParagraph"/>
        <w:numPr>
          <w:ilvl w:val="0"/>
          <w:numId w:val="42"/>
        </w:numPr>
        <w:ind w:left="360"/>
        <w:rPr>
          <w:szCs w:val="24"/>
        </w:rPr>
      </w:pPr>
      <w:r w:rsidRPr="00F05377">
        <w:rPr>
          <w:b/>
          <w:szCs w:val="24"/>
        </w:rPr>
        <w:t>Skučienė, D.</w:t>
      </w:r>
      <w:r w:rsidRPr="00F05377">
        <w:rPr>
          <w:szCs w:val="24"/>
        </w:rPr>
        <w:t xml:space="preserve"> Pajamų nelygybė Lietuvoje // </w:t>
      </w:r>
      <w:r w:rsidRPr="00F05377">
        <w:rPr>
          <w:i/>
          <w:szCs w:val="24"/>
        </w:rPr>
        <w:t>Filosofija. Sociologija: mokslo darbai</w:t>
      </w:r>
      <w:r w:rsidRPr="00F05377">
        <w:rPr>
          <w:szCs w:val="24"/>
        </w:rPr>
        <w:t>. – 2008, T. 19, Nr. 4, p. 22–33.</w:t>
      </w:r>
    </w:p>
    <w:p w:rsidR="000D7472" w:rsidRPr="00F05377" w:rsidRDefault="000D7472" w:rsidP="005D38A0">
      <w:pPr>
        <w:pStyle w:val="ListParagraph"/>
        <w:numPr>
          <w:ilvl w:val="0"/>
          <w:numId w:val="42"/>
        </w:numPr>
        <w:ind w:left="360"/>
        <w:rPr>
          <w:szCs w:val="24"/>
        </w:rPr>
      </w:pPr>
      <w:r w:rsidRPr="00F05377">
        <w:rPr>
          <w:b/>
          <w:szCs w:val="24"/>
        </w:rPr>
        <w:t>Skučienė, D.</w:t>
      </w:r>
      <w:r w:rsidRPr="00F05377">
        <w:rPr>
          <w:szCs w:val="24"/>
        </w:rPr>
        <w:t xml:space="preserve"> </w:t>
      </w:r>
      <w:proofErr w:type="spellStart"/>
      <w:r w:rsidRPr="00F05377">
        <w:rPr>
          <w:szCs w:val="24"/>
        </w:rPr>
        <w:t>Individualizacijos</w:t>
      </w:r>
      <w:proofErr w:type="spellEnd"/>
      <w:r w:rsidRPr="00F05377">
        <w:rPr>
          <w:szCs w:val="24"/>
        </w:rPr>
        <w:t xml:space="preserve"> plėtra socialinių </w:t>
      </w:r>
      <w:proofErr w:type="spellStart"/>
      <w:r w:rsidRPr="00F05377">
        <w:rPr>
          <w:szCs w:val="24"/>
        </w:rPr>
        <w:t>rizikų</w:t>
      </w:r>
      <w:proofErr w:type="spellEnd"/>
      <w:r w:rsidRPr="00F05377">
        <w:rPr>
          <w:szCs w:val="24"/>
        </w:rPr>
        <w:t xml:space="preserve"> draudimo srityje // </w:t>
      </w:r>
      <w:r w:rsidRPr="00F05377">
        <w:rPr>
          <w:i/>
          <w:szCs w:val="24"/>
        </w:rPr>
        <w:t>Filosofija. Sociologija: mokslo darbai</w:t>
      </w:r>
      <w:r w:rsidRPr="00F05377">
        <w:rPr>
          <w:szCs w:val="24"/>
        </w:rPr>
        <w:t>. – 2006, Nr. 2, p. 44–52. – ISSN 0235-7186.</w:t>
      </w:r>
    </w:p>
    <w:p w:rsidR="00605B35" w:rsidRPr="00605B35" w:rsidRDefault="00605B35" w:rsidP="00605B35">
      <w:pPr>
        <w:pStyle w:val="ListParagraph"/>
        <w:numPr>
          <w:ilvl w:val="0"/>
          <w:numId w:val="42"/>
        </w:numPr>
        <w:ind w:left="360"/>
        <w:rPr>
          <w:szCs w:val="24"/>
        </w:rPr>
      </w:pPr>
      <w:r w:rsidRPr="00F05377">
        <w:rPr>
          <w:b/>
          <w:szCs w:val="24"/>
        </w:rPr>
        <w:t>Skučienė, D.;</w:t>
      </w:r>
      <w:r w:rsidRPr="00F05377">
        <w:rPr>
          <w:szCs w:val="24"/>
        </w:rPr>
        <w:t xml:space="preserve"> </w:t>
      </w:r>
      <w:proofErr w:type="spellStart"/>
      <w:r w:rsidRPr="00F05377">
        <w:rPr>
          <w:b/>
          <w:szCs w:val="24"/>
        </w:rPr>
        <w:t>Moskvina</w:t>
      </w:r>
      <w:proofErr w:type="spellEnd"/>
      <w:r w:rsidRPr="00F05377">
        <w:rPr>
          <w:b/>
          <w:szCs w:val="24"/>
        </w:rPr>
        <w:t xml:space="preserve">, J. </w:t>
      </w:r>
      <w:r w:rsidRPr="00F05377">
        <w:rPr>
          <w:szCs w:val="24"/>
        </w:rPr>
        <w:t xml:space="preserve">Saugumas lanksčioje darbo rinkoje, </w:t>
      </w:r>
      <w:r w:rsidRPr="00F05377">
        <w:rPr>
          <w:i/>
          <w:szCs w:val="24"/>
        </w:rPr>
        <w:t xml:space="preserve">Socialinis darbas = </w:t>
      </w:r>
      <w:r w:rsidRPr="00F05377">
        <w:rPr>
          <w:i/>
          <w:szCs w:val="24"/>
          <w:lang w:val="en-US"/>
        </w:rPr>
        <w:t>Social Work:</w:t>
      </w:r>
      <w:r w:rsidRPr="00F05377">
        <w:rPr>
          <w:i/>
          <w:szCs w:val="24"/>
        </w:rPr>
        <w:t xml:space="preserve"> mokslo darbų žurnalas</w:t>
      </w:r>
      <w:r w:rsidRPr="00F05377">
        <w:rPr>
          <w:szCs w:val="24"/>
        </w:rPr>
        <w:t>. – 2009, Nr. 8(2), p. 25–34. – ISSN 1648-4789.</w:t>
      </w:r>
    </w:p>
    <w:p w:rsidR="000D7472" w:rsidRPr="00F05377" w:rsidRDefault="000D7472" w:rsidP="005D38A0">
      <w:pPr>
        <w:pStyle w:val="ListParagraph"/>
        <w:numPr>
          <w:ilvl w:val="0"/>
          <w:numId w:val="42"/>
        </w:numPr>
        <w:ind w:left="360"/>
        <w:rPr>
          <w:szCs w:val="24"/>
        </w:rPr>
      </w:pPr>
      <w:proofErr w:type="spellStart"/>
      <w:r w:rsidRPr="00F05377">
        <w:rPr>
          <w:b/>
          <w:szCs w:val="24"/>
        </w:rPr>
        <w:t>Šakienė</w:t>
      </w:r>
      <w:proofErr w:type="spellEnd"/>
      <w:r w:rsidRPr="00F05377">
        <w:rPr>
          <w:b/>
          <w:szCs w:val="24"/>
        </w:rPr>
        <w:t>, H.</w:t>
      </w:r>
      <w:r w:rsidRPr="00F05377">
        <w:rPr>
          <w:szCs w:val="24"/>
        </w:rPr>
        <w:t xml:space="preserve"> </w:t>
      </w:r>
      <w:r w:rsidRPr="00F05377">
        <w:rPr>
          <w:szCs w:val="24"/>
          <w:lang w:val="en-US"/>
        </w:rPr>
        <w:t>Regional Unemployment Regulation During Economic Slowdown in Lithuania</w:t>
      </w:r>
      <w:r w:rsidRPr="00F05377">
        <w:rPr>
          <w:szCs w:val="24"/>
        </w:rPr>
        <w:t xml:space="preserve"> // </w:t>
      </w:r>
      <w:r w:rsidRPr="00F05377">
        <w:rPr>
          <w:i/>
          <w:szCs w:val="24"/>
        </w:rPr>
        <w:t>Ekonomika ir vadyba</w:t>
      </w:r>
      <w:r w:rsidRPr="00F05377">
        <w:rPr>
          <w:szCs w:val="24"/>
        </w:rPr>
        <w:t xml:space="preserve"> </w:t>
      </w:r>
      <w:r w:rsidRPr="00F05377">
        <w:rPr>
          <w:i/>
          <w:szCs w:val="24"/>
          <w:lang w:val="en-US"/>
        </w:rPr>
        <w:t>= Economics and Management</w:t>
      </w:r>
      <w:r w:rsidRPr="00F05377">
        <w:rPr>
          <w:szCs w:val="24"/>
        </w:rPr>
        <w:t>. – 2011, Nr. 16, p. 309–315. – ISSN 18226515.</w:t>
      </w:r>
    </w:p>
    <w:p w:rsidR="000D7472" w:rsidRPr="00F05377" w:rsidRDefault="000D7472" w:rsidP="005D38A0">
      <w:pPr>
        <w:pStyle w:val="ListParagraph"/>
        <w:numPr>
          <w:ilvl w:val="0"/>
          <w:numId w:val="42"/>
        </w:numPr>
        <w:ind w:left="360"/>
        <w:rPr>
          <w:szCs w:val="24"/>
        </w:rPr>
      </w:pPr>
      <w:r w:rsidRPr="00F05377">
        <w:rPr>
          <w:b/>
          <w:szCs w:val="24"/>
        </w:rPr>
        <w:t>Tartilas, J.</w:t>
      </w:r>
      <w:r w:rsidRPr="00F05377">
        <w:rPr>
          <w:szCs w:val="24"/>
        </w:rPr>
        <w:t xml:space="preserve"> Nedarbo problema // </w:t>
      </w:r>
      <w:r w:rsidRPr="00F05377">
        <w:rPr>
          <w:i/>
          <w:szCs w:val="24"/>
        </w:rPr>
        <w:t>Jurisprudencija: mokslo darbai</w:t>
      </w:r>
      <w:r w:rsidRPr="00F05377">
        <w:rPr>
          <w:szCs w:val="24"/>
        </w:rPr>
        <w:t>. – 2005, Nr. T. 74, Nr. 66, p. 30–38. – ISSN 1392-6195.</w:t>
      </w:r>
    </w:p>
    <w:p w:rsidR="0066060B" w:rsidRPr="00F05377" w:rsidRDefault="0066060B" w:rsidP="005D38A0">
      <w:pPr>
        <w:pStyle w:val="ListParagraph"/>
        <w:numPr>
          <w:ilvl w:val="0"/>
          <w:numId w:val="42"/>
        </w:numPr>
        <w:ind w:left="360"/>
        <w:rPr>
          <w:szCs w:val="24"/>
        </w:rPr>
      </w:pPr>
      <w:proofErr w:type="spellStart"/>
      <w:r w:rsidRPr="00F05377">
        <w:rPr>
          <w:b/>
          <w:szCs w:val="24"/>
        </w:rPr>
        <w:t>Taujanskaitė</w:t>
      </w:r>
      <w:proofErr w:type="spellEnd"/>
      <w:r w:rsidRPr="00F05377">
        <w:rPr>
          <w:b/>
          <w:szCs w:val="24"/>
        </w:rPr>
        <w:t>, K.;</w:t>
      </w:r>
      <w:r w:rsidRPr="00F05377">
        <w:rPr>
          <w:szCs w:val="24"/>
        </w:rPr>
        <w:t xml:space="preserve"> </w:t>
      </w:r>
      <w:proofErr w:type="spellStart"/>
      <w:r w:rsidRPr="00F05377">
        <w:rPr>
          <w:b/>
          <w:szCs w:val="24"/>
        </w:rPr>
        <w:t>Jurevičienė</w:t>
      </w:r>
      <w:proofErr w:type="spellEnd"/>
      <w:r w:rsidRPr="00F05377">
        <w:rPr>
          <w:b/>
          <w:szCs w:val="24"/>
        </w:rPr>
        <w:t xml:space="preserve">, D. </w:t>
      </w:r>
      <w:r w:rsidRPr="00F05377">
        <w:rPr>
          <w:szCs w:val="24"/>
        </w:rPr>
        <w:t xml:space="preserve">Asmeninių finansų valdymo ypatumai ekonominio nestabilumo sąlygomis // </w:t>
      </w:r>
      <w:r w:rsidRPr="00F05377">
        <w:rPr>
          <w:i/>
          <w:szCs w:val="24"/>
        </w:rPr>
        <w:t xml:space="preserve">Mokslas – Lietuvos ateitis = </w:t>
      </w:r>
      <w:r w:rsidRPr="00F05377">
        <w:rPr>
          <w:i/>
          <w:szCs w:val="24"/>
          <w:lang w:val="en-US"/>
        </w:rPr>
        <w:t>Science – Future of Lithuania</w:t>
      </w:r>
      <w:r w:rsidRPr="00F05377">
        <w:rPr>
          <w:szCs w:val="24"/>
        </w:rPr>
        <w:t>. – 2010, Nr. 2(2), p. 104–111. – ISSN 2029-2341.</w:t>
      </w:r>
    </w:p>
    <w:p w:rsidR="000D7472" w:rsidRPr="00F05377" w:rsidRDefault="000D7472" w:rsidP="00972CA6">
      <w:pPr>
        <w:pStyle w:val="ListParagraph"/>
        <w:numPr>
          <w:ilvl w:val="0"/>
          <w:numId w:val="42"/>
        </w:numPr>
        <w:spacing w:after="0"/>
        <w:ind w:left="360"/>
        <w:rPr>
          <w:szCs w:val="24"/>
        </w:rPr>
      </w:pPr>
      <w:proofErr w:type="spellStart"/>
      <w:r w:rsidRPr="00F05377">
        <w:rPr>
          <w:b/>
          <w:szCs w:val="24"/>
        </w:rPr>
        <w:t>Trumpulis</w:t>
      </w:r>
      <w:proofErr w:type="spellEnd"/>
      <w:r w:rsidRPr="00F05377">
        <w:rPr>
          <w:b/>
          <w:szCs w:val="24"/>
        </w:rPr>
        <w:t>, U.</w:t>
      </w:r>
      <w:r w:rsidRPr="00F05377">
        <w:rPr>
          <w:szCs w:val="24"/>
        </w:rPr>
        <w:t xml:space="preserve"> Žmogaus individualūs interesai kaip viešojo intereso pagrindas // </w:t>
      </w:r>
      <w:r w:rsidRPr="00F05377">
        <w:rPr>
          <w:i/>
          <w:szCs w:val="24"/>
        </w:rPr>
        <w:t>Socialinių mokslų studijos</w:t>
      </w:r>
      <w:r w:rsidRPr="00F05377">
        <w:rPr>
          <w:szCs w:val="24"/>
        </w:rPr>
        <w:t xml:space="preserve"> </w:t>
      </w:r>
      <w:r w:rsidRPr="00F05377">
        <w:rPr>
          <w:i/>
          <w:szCs w:val="24"/>
          <w:lang w:val="en-US"/>
        </w:rPr>
        <w:t>= Social Sciences Studies:</w:t>
      </w:r>
      <w:r w:rsidRPr="00F05377">
        <w:rPr>
          <w:i/>
          <w:szCs w:val="24"/>
        </w:rPr>
        <w:t xml:space="preserve"> mokslo darbai</w:t>
      </w:r>
      <w:r w:rsidRPr="00F05377">
        <w:rPr>
          <w:szCs w:val="24"/>
        </w:rPr>
        <w:t>. – 2010, Nr. 2(6), p. 123–137. – ISSN 2029-2236.</w:t>
      </w:r>
    </w:p>
    <w:p w:rsidR="000D7472" w:rsidRPr="00F05377" w:rsidRDefault="000D7472" w:rsidP="00060B84">
      <w:pPr>
        <w:spacing w:after="0"/>
        <w:ind w:firstLine="0"/>
        <w:jc w:val="center"/>
        <w:rPr>
          <w:szCs w:val="24"/>
        </w:rPr>
      </w:pPr>
      <w:r w:rsidRPr="00F05377">
        <w:rPr>
          <w:b/>
          <w:szCs w:val="24"/>
          <w:u w:val="single"/>
        </w:rPr>
        <w:t>Kiti informaciniai šaltiniai</w:t>
      </w:r>
      <w:r w:rsidRPr="00F05377">
        <w:rPr>
          <w:szCs w:val="24"/>
        </w:rPr>
        <w:t>:</w:t>
      </w:r>
    </w:p>
    <w:p w:rsidR="000D7472" w:rsidRPr="00F05377" w:rsidRDefault="000D7472" w:rsidP="005D38A0">
      <w:pPr>
        <w:pStyle w:val="ListParagraph"/>
        <w:numPr>
          <w:ilvl w:val="0"/>
          <w:numId w:val="42"/>
        </w:numPr>
        <w:ind w:left="360"/>
        <w:rPr>
          <w:szCs w:val="24"/>
        </w:rPr>
      </w:pPr>
      <w:r w:rsidRPr="00F05377">
        <w:rPr>
          <w:b/>
          <w:szCs w:val="24"/>
        </w:rPr>
        <w:t>Černius, G.</w:t>
      </w:r>
      <w:r w:rsidRPr="00F05377">
        <w:rPr>
          <w:szCs w:val="24"/>
        </w:rPr>
        <w:t xml:space="preserve"> Valstybės finansų valdymas // </w:t>
      </w:r>
      <w:r w:rsidRPr="00F05377">
        <w:rPr>
          <w:i/>
          <w:szCs w:val="24"/>
        </w:rPr>
        <w:t>Paskaitų ciklo „Privačiųjų ir viešųjų finansų valdymas“ metodinė medžiaga</w:t>
      </w:r>
      <w:r w:rsidRPr="00F05377">
        <w:rPr>
          <w:szCs w:val="24"/>
        </w:rPr>
        <w:t>. – 2012, p. 36.</w:t>
      </w:r>
    </w:p>
    <w:p w:rsidR="000D7472" w:rsidRPr="00F05377" w:rsidRDefault="000D7472" w:rsidP="005D38A0">
      <w:pPr>
        <w:pStyle w:val="ListParagraph"/>
        <w:numPr>
          <w:ilvl w:val="0"/>
          <w:numId w:val="42"/>
        </w:numPr>
        <w:ind w:left="360"/>
        <w:rPr>
          <w:szCs w:val="24"/>
          <w:lang w:val="en-US"/>
        </w:rPr>
      </w:pPr>
      <w:proofErr w:type="spellStart"/>
      <w:r w:rsidRPr="00F05377">
        <w:rPr>
          <w:b/>
          <w:szCs w:val="24"/>
          <w:lang w:val="en-US"/>
        </w:rPr>
        <w:t>Imervoll</w:t>
      </w:r>
      <w:proofErr w:type="spellEnd"/>
      <w:r w:rsidRPr="00F05377">
        <w:rPr>
          <w:b/>
          <w:szCs w:val="24"/>
          <w:lang w:val="en-US"/>
        </w:rPr>
        <w:t>, H.</w:t>
      </w:r>
      <w:r w:rsidRPr="00F05377">
        <w:rPr>
          <w:szCs w:val="24"/>
          <w:lang w:val="en-US"/>
        </w:rPr>
        <w:t xml:space="preserve"> Minimum-Income Benefits in OECD Countries: Policy Design, Effectiveness and Challenges // </w:t>
      </w:r>
      <w:r w:rsidRPr="00F05377">
        <w:rPr>
          <w:i/>
          <w:szCs w:val="24"/>
          <w:lang w:val="en-US"/>
        </w:rPr>
        <w:t>Discussion Paper</w:t>
      </w:r>
      <w:r w:rsidRPr="00F05377">
        <w:rPr>
          <w:szCs w:val="24"/>
          <w:lang w:val="en-US"/>
        </w:rPr>
        <w:t>. – 2009, No. 4627</w:t>
      </w:r>
      <w:r w:rsidRPr="00F05377">
        <w:rPr>
          <w:szCs w:val="24"/>
        </w:rPr>
        <w:t xml:space="preserve"> </w:t>
      </w:r>
      <w:r w:rsidR="00B90885" w:rsidRPr="00F05377">
        <w:rPr>
          <w:szCs w:val="24"/>
        </w:rPr>
        <w:t>[interaktyvus] [žiūrėta 2012 11 06</w:t>
      </w:r>
      <w:r w:rsidR="00226A34" w:rsidRPr="00F05377">
        <w:rPr>
          <w:szCs w:val="24"/>
        </w:rPr>
        <w:t>]. Prieiga</w:t>
      </w:r>
      <w:r w:rsidRPr="00F05377">
        <w:rPr>
          <w:szCs w:val="24"/>
        </w:rPr>
        <w:t>: &lt; http://ftp.iza.org/dp4627.pdf &gt;.</w:t>
      </w:r>
    </w:p>
    <w:p w:rsidR="000D7472" w:rsidRPr="00F07271" w:rsidRDefault="000D7472" w:rsidP="005D38A0">
      <w:pPr>
        <w:pStyle w:val="ListParagraph"/>
        <w:numPr>
          <w:ilvl w:val="0"/>
          <w:numId w:val="42"/>
        </w:numPr>
        <w:ind w:left="360"/>
        <w:rPr>
          <w:szCs w:val="24"/>
        </w:rPr>
      </w:pPr>
      <w:r w:rsidRPr="00F07271">
        <w:rPr>
          <w:b/>
          <w:szCs w:val="24"/>
        </w:rPr>
        <w:t>Lapinskas, K.</w:t>
      </w:r>
      <w:r w:rsidRPr="00F07271">
        <w:rPr>
          <w:szCs w:val="24"/>
        </w:rPr>
        <w:t xml:space="preserve"> </w:t>
      </w:r>
      <w:r w:rsidRPr="00F07271">
        <w:rPr>
          <w:i/>
          <w:szCs w:val="24"/>
        </w:rPr>
        <w:t>Asmens socialinių teisių apsaugos klausimai Lietuvos Respublikos Konstitucinio Teismo jurisprudencijoje</w:t>
      </w:r>
      <w:r w:rsidRPr="00F07271">
        <w:rPr>
          <w:szCs w:val="24"/>
        </w:rPr>
        <w:t xml:space="preserve">. – 2008 [interaktyvus] [žiūrėta </w:t>
      </w:r>
      <w:r w:rsidR="00B90885" w:rsidRPr="00F07271">
        <w:rPr>
          <w:szCs w:val="24"/>
        </w:rPr>
        <w:t>2012 06 02</w:t>
      </w:r>
      <w:r w:rsidR="00226A34" w:rsidRPr="00F07271">
        <w:rPr>
          <w:szCs w:val="24"/>
        </w:rPr>
        <w:t>]. Prieiga</w:t>
      </w:r>
      <w:r w:rsidRPr="00F07271">
        <w:rPr>
          <w:szCs w:val="24"/>
        </w:rPr>
        <w:t>: &lt; http://www.lrkt.lt/PKonferencijose/08.pdf &gt;.</w:t>
      </w:r>
    </w:p>
    <w:p w:rsidR="000D7472" w:rsidRPr="00F05377" w:rsidRDefault="000D7472" w:rsidP="00626203">
      <w:pPr>
        <w:pStyle w:val="ListParagraph"/>
        <w:numPr>
          <w:ilvl w:val="0"/>
          <w:numId w:val="42"/>
        </w:numPr>
        <w:spacing w:after="0"/>
        <w:ind w:left="360"/>
        <w:rPr>
          <w:szCs w:val="24"/>
        </w:rPr>
      </w:pPr>
      <w:proofErr w:type="spellStart"/>
      <w:r w:rsidRPr="00F05377">
        <w:rPr>
          <w:b/>
          <w:szCs w:val="24"/>
        </w:rPr>
        <w:t>Stiglitz</w:t>
      </w:r>
      <w:proofErr w:type="spellEnd"/>
      <w:r w:rsidRPr="00F05377">
        <w:rPr>
          <w:b/>
          <w:szCs w:val="24"/>
        </w:rPr>
        <w:t>, J. E.</w:t>
      </w:r>
      <w:r w:rsidRPr="00F05377">
        <w:rPr>
          <w:szCs w:val="24"/>
        </w:rPr>
        <w:t xml:space="preserve"> </w:t>
      </w:r>
      <w:r w:rsidRPr="00F05377">
        <w:rPr>
          <w:i/>
          <w:szCs w:val="24"/>
          <w:lang w:val="en-US"/>
        </w:rPr>
        <w:t>Taming Finance in an Age of Austerity</w:t>
      </w:r>
      <w:r w:rsidR="006E436A" w:rsidRPr="00F05377">
        <w:rPr>
          <w:szCs w:val="24"/>
          <w:lang w:val="en-US"/>
        </w:rPr>
        <w:t xml:space="preserve">. </w:t>
      </w:r>
      <w:r w:rsidRPr="00F05377">
        <w:rPr>
          <w:szCs w:val="24"/>
          <w:lang w:val="en-US"/>
        </w:rPr>
        <w:t>– 2010</w:t>
      </w:r>
      <w:r w:rsidRPr="00F05377">
        <w:rPr>
          <w:szCs w:val="24"/>
        </w:rPr>
        <w:t xml:space="preserve"> </w:t>
      </w:r>
      <w:r w:rsidR="00696F94" w:rsidRPr="00F05377">
        <w:rPr>
          <w:szCs w:val="24"/>
        </w:rPr>
        <w:t>[interaktyvus] [žiūrėta 2012 04 12</w:t>
      </w:r>
      <w:r w:rsidRPr="00F05377">
        <w:rPr>
          <w:szCs w:val="24"/>
        </w:rPr>
        <w:t xml:space="preserve">]. </w:t>
      </w:r>
      <w:r w:rsidR="00696F94" w:rsidRPr="00F05377">
        <w:rPr>
          <w:szCs w:val="24"/>
        </w:rPr>
        <w:t>Prieiga</w:t>
      </w:r>
      <w:r w:rsidRPr="00F05377">
        <w:rPr>
          <w:szCs w:val="24"/>
        </w:rPr>
        <w:t>: &lt; http://www.project-syndicate.org/commentary/stiglitz127/English &gt;.</w:t>
      </w:r>
    </w:p>
    <w:p w:rsidR="00626203" w:rsidRDefault="00626203">
      <w:pPr>
        <w:widowControl/>
        <w:spacing w:after="200" w:line="276" w:lineRule="auto"/>
        <w:ind w:firstLine="0"/>
        <w:contextualSpacing w:val="0"/>
        <w:jc w:val="left"/>
        <w:rPr>
          <w:b/>
          <w:szCs w:val="24"/>
          <w:u w:val="single"/>
        </w:rPr>
      </w:pPr>
      <w:r>
        <w:rPr>
          <w:b/>
          <w:szCs w:val="24"/>
          <w:u w:val="single"/>
        </w:rPr>
        <w:br w:type="page"/>
      </w:r>
    </w:p>
    <w:p w:rsidR="000D7472" w:rsidRPr="00F05377" w:rsidRDefault="000D7472" w:rsidP="00060B84">
      <w:pPr>
        <w:spacing w:after="0"/>
        <w:ind w:firstLine="0"/>
        <w:jc w:val="center"/>
        <w:rPr>
          <w:szCs w:val="24"/>
        </w:rPr>
      </w:pPr>
      <w:r w:rsidRPr="00F05377">
        <w:rPr>
          <w:b/>
          <w:szCs w:val="24"/>
          <w:u w:val="single"/>
        </w:rPr>
        <w:lastRenderedPageBreak/>
        <w:t>Teisės aktai</w:t>
      </w:r>
      <w:r w:rsidRPr="00F05377">
        <w:rPr>
          <w:szCs w:val="24"/>
        </w:rPr>
        <w:t>:</w:t>
      </w:r>
    </w:p>
    <w:p w:rsidR="000D7472" w:rsidRPr="00F05377" w:rsidRDefault="000D7472" w:rsidP="005D38A0">
      <w:pPr>
        <w:pStyle w:val="ListParagraph"/>
        <w:numPr>
          <w:ilvl w:val="0"/>
          <w:numId w:val="42"/>
        </w:numPr>
        <w:ind w:left="360"/>
        <w:rPr>
          <w:szCs w:val="24"/>
        </w:rPr>
      </w:pPr>
      <w:r w:rsidRPr="00F05377">
        <w:rPr>
          <w:i/>
          <w:szCs w:val="24"/>
        </w:rPr>
        <w:t>Lietuvos Respublikos administracinių teisės pažeidimų kodeksas</w:t>
      </w:r>
      <w:r w:rsidR="009B3930" w:rsidRPr="00F05377">
        <w:rPr>
          <w:szCs w:val="24"/>
        </w:rPr>
        <w:t>.</w:t>
      </w:r>
      <w:r w:rsidR="0044481F" w:rsidRPr="00F05377">
        <w:rPr>
          <w:szCs w:val="24"/>
        </w:rPr>
        <w:t xml:space="preserve"> – 1985</w:t>
      </w:r>
      <w:r w:rsidR="00342CA6" w:rsidRPr="00F05377">
        <w:rPr>
          <w:szCs w:val="24"/>
        </w:rPr>
        <w:t xml:space="preserve"> (aktualu nuo 2012-11-15). </w:t>
      </w:r>
      <w:r w:rsidRPr="00F05377">
        <w:rPr>
          <w:szCs w:val="24"/>
        </w:rPr>
        <w:t>Prieiga: &lt; http://www3.lrs.lt/pls/inter3/dokpaieska.showdoc_l?p_id=437321 &gt;.</w:t>
      </w:r>
    </w:p>
    <w:p w:rsidR="000D7472" w:rsidRPr="00F05377" w:rsidRDefault="000D7472" w:rsidP="005D38A0">
      <w:pPr>
        <w:pStyle w:val="ListParagraph"/>
        <w:numPr>
          <w:ilvl w:val="0"/>
          <w:numId w:val="42"/>
        </w:numPr>
        <w:ind w:left="360"/>
        <w:rPr>
          <w:szCs w:val="24"/>
        </w:rPr>
      </w:pPr>
      <w:r w:rsidRPr="00F05377">
        <w:rPr>
          <w:i/>
          <w:szCs w:val="24"/>
        </w:rPr>
        <w:t>Lietuvos Respublikos biudžeto sandaros įstatymas</w:t>
      </w:r>
      <w:r w:rsidR="009B3930" w:rsidRPr="00F05377">
        <w:rPr>
          <w:szCs w:val="24"/>
        </w:rPr>
        <w:t>.</w:t>
      </w:r>
      <w:r w:rsidR="0044481F" w:rsidRPr="00F05377">
        <w:rPr>
          <w:szCs w:val="24"/>
        </w:rPr>
        <w:t xml:space="preserve"> – 1990</w:t>
      </w:r>
      <w:r w:rsidR="00342CA6" w:rsidRPr="00F05377">
        <w:rPr>
          <w:szCs w:val="24"/>
        </w:rPr>
        <w:t xml:space="preserve"> (aktualu nuo 2012–11–15)</w:t>
      </w:r>
      <w:r w:rsidR="0044481F" w:rsidRPr="00F05377">
        <w:rPr>
          <w:szCs w:val="24"/>
        </w:rPr>
        <w:t>.</w:t>
      </w:r>
      <w:r w:rsidRPr="00F05377">
        <w:rPr>
          <w:szCs w:val="24"/>
        </w:rPr>
        <w:t xml:space="preserve"> Prieiga: &lt; http://www3.lrs.lt/pls/inter3/dokpaieska.showdoc_l?p_id=438048&amp;p_query=&amp;p_tr2=2 &gt;.</w:t>
      </w:r>
    </w:p>
    <w:p w:rsidR="000D7472" w:rsidRPr="00F05377" w:rsidRDefault="000D7472" w:rsidP="005D38A0">
      <w:pPr>
        <w:pStyle w:val="ListParagraph"/>
        <w:numPr>
          <w:ilvl w:val="0"/>
          <w:numId w:val="42"/>
        </w:numPr>
        <w:ind w:left="360"/>
        <w:rPr>
          <w:szCs w:val="24"/>
        </w:rPr>
      </w:pPr>
      <w:r w:rsidRPr="00F05377">
        <w:rPr>
          <w:i/>
          <w:szCs w:val="24"/>
        </w:rPr>
        <w:t>Lietuvos Respublikos Konstitucija</w:t>
      </w:r>
      <w:r w:rsidR="009B3930" w:rsidRPr="00F05377">
        <w:rPr>
          <w:szCs w:val="24"/>
        </w:rPr>
        <w:t>.</w:t>
      </w:r>
      <w:r w:rsidR="0044481F" w:rsidRPr="00F05377">
        <w:rPr>
          <w:szCs w:val="24"/>
        </w:rPr>
        <w:t xml:space="preserve"> – 1992</w:t>
      </w:r>
      <w:r w:rsidR="00E43960" w:rsidRPr="00F05377">
        <w:rPr>
          <w:szCs w:val="24"/>
        </w:rPr>
        <w:t xml:space="preserve"> (aktualu nuo 2006–04–25)</w:t>
      </w:r>
      <w:r w:rsidR="0044481F" w:rsidRPr="00F05377">
        <w:rPr>
          <w:szCs w:val="24"/>
        </w:rPr>
        <w:t xml:space="preserve">. </w:t>
      </w:r>
      <w:r w:rsidRPr="00F05377">
        <w:rPr>
          <w:szCs w:val="24"/>
        </w:rPr>
        <w:t>Prieiga: &lt; http://www3.lrs.lt/pls/inter3/dokpaieska.showdoc_l?p_id=274999 &gt;.</w:t>
      </w:r>
    </w:p>
    <w:p w:rsidR="000D7472" w:rsidRPr="00F05377" w:rsidRDefault="000D7472" w:rsidP="005D38A0">
      <w:pPr>
        <w:pStyle w:val="ListParagraph"/>
        <w:numPr>
          <w:ilvl w:val="0"/>
          <w:numId w:val="42"/>
        </w:numPr>
        <w:ind w:left="360"/>
        <w:rPr>
          <w:szCs w:val="24"/>
        </w:rPr>
      </w:pPr>
      <w:r w:rsidRPr="00F05377">
        <w:rPr>
          <w:i/>
          <w:szCs w:val="24"/>
        </w:rPr>
        <w:t>Lietuvos Respublikos nedarbo socialinio draudimo įstatymas</w:t>
      </w:r>
      <w:r w:rsidR="009B3930" w:rsidRPr="00F05377">
        <w:rPr>
          <w:szCs w:val="24"/>
        </w:rPr>
        <w:t>. – 2004</w:t>
      </w:r>
      <w:r w:rsidR="00E43960" w:rsidRPr="00F05377">
        <w:rPr>
          <w:szCs w:val="24"/>
        </w:rPr>
        <w:t xml:space="preserve"> (aktualu nuo 2012-11-08)</w:t>
      </w:r>
      <w:r w:rsidRPr="00F05377">
        <w:rPr>
          <w:szCs w:val="24"/>
        </w:rPr>
        <w:t>. Prieiga: &lt; http://www3.lrs.lt/pls/inter3/dokpaieska.showdoc_l?p_id=436890 &gt;.</w:t>
      </w:r>
    </w:p>
    <w:p w:rsidR="000D7472" w:rsidRPr="00F05377" w:rsidRDefault="000D7472" w:rsidP="005D38A0">
      <w:pPr>
        <w:pStyle w:val="ListParagraph"/>
        <w:numPr>
          <w:ilvl w:val="0"/>
          <w:numId w:val="42"/>
        </w:numPr>
        <w:ind w:left="360"/>
        <w:rPr>
          <w:szCs w:val="24"/>
        </w:rPr>
      </w:pPr>
      <w:r w:rsidRPr="00F05377">
        <w:rPr>
          <w:i/>
          <w:szCs w:val="24"/>
        </w:rPr>
        <w:t>Lietuvos Respublikos piniginės socialinės paramos nepasiturintiems gyventojams įstatymas</w:t>
      </w:r>
      <w:r w:rsidR="009B3930" w:rsidRPr="00F05377">
        <w:rPr>
          <w:szCs w:val="24"/>
        </w:rPr>
        <w:t>. – 2003</w:t>
      </w:r>
      <w:r w:rsidR="00060B84">
        <w:rPr>
          <w:szCs w:val="24"/>
        </w:rPr>
        <w:t xml:space="preserve"> (aktualu nuo </w:t>
      </w:r>
      <w:r w:rsidR="006E2092" w:rsidRPr="00F05377">
        <w:rPr>
          <w:szCs w:val="24"/>
        </w:rPr>
        <w:t>2012-11-24)</w:t>
      </w:r>
      <w:r w:rsidRPr="00F05377">
        <w:rPr>
          <w:szCs w:val="24"/>
        </w:rPr>
        <w:t>. Prieiga: &lt; http://www3.lrs.lt/pls/inter3/dokpaieska.showdoc_l?p_id=438174&amp;p_query=&amp;p_tr2=2 &gt;.</w:t>
      </w:r>
    </w:p>
    <w:p w:rsidR="000D7472" w:rsidRPr="00F05377" w:rsidRDefault="000D7472" w:rsidP="005D38A0">
      <w:pPr>
        <w:pStyle w:val="ListParagraph"/>
        <w:numPr>
          <w:ilvl w:val="0"/>
          <w:numId w:val="42"/>
        </w:numPr>
        <w:ind w:left="360"/>
        <w:rPr>
          <w:szCs w:val="24"/>
        </w:rPr>
      </w:pPr>
      <w:r w:rsidRPr="00F05377">
        <w:rPr>
          <w:i/>
          <w:szCs w:val="24"/>
        </w:rPr>
        <w:t>Lietuvos Respublikos socialinės apsaugos ir darbo ministro įsakymas „Dėl telkimo visuomenei naudingai veiklai atlikti tvarkos aprašo patvirtinimo“</w:t>
      </w:r>
      <w:r w:rsidR="00735AF1" w:rsidRPr="00F05377">
        <w:rPr>
          <w:szCs w:val="24"/>
        </w:rPr>
        <w:t xml:space="preserve">. – 2012 </w:t>
      </w:r>
      <w:r w:rsidRPr="00F05377">
        <w:rPr>
          <w:szCs w:val="24"/>
        </w:rPr>
        <w:t>(įsigaliojo 2012-05-27). Prieiga: &lt; http://www3.lrs.lt/pls/inter3/dokpaieska.showdoc_l?p_id=425518&amp;p_query=&amp;p_tr2=2 &gt;.</w:t>
      </w:r>
    </w:p>
    <w:p w:rsidR="000D7472" w:rsidRPr="00F05377" w:rsidRDefault="000D7472" w:rsidP="005D38A0">
      <w:pPr>
        <w:pStyle w:val="ListParagraph"/>
        <w:numPr>
          <w:ilvl w:val="0"/>
          <w:numId w:val="42"/>
        </w:numPr>
        <w:ind w:left="360"/>
        <w:rPr>
          <w:szCs w:val="24"/>
        </w:rPr>
      </w:pPr>
      <w:r w:rsidRPr="00F05377">
        <w:rPr>
          <w:i/>
          <w:szCs w:val="24"/>
        </w:rPr>
        <w:t>Lietuvos Respublikos socialinės paramos mokiniams įstatymas</w:t>
      </w:r>
      <w:r w:rsidR="00735AF1" w:rsidRPr="00F05377">
        <w:rPr>
          <w:szCs w:val="24"/>
        </w:rPr>
        <w:t>. – 2006</w:t>
      </w:r>
      <w:r w:rsidR="006E2092" w:rsidRPr="00F05377">
        <w:rPr>
          <w:szCs w:val="24"/>
        </w:rPr>
        <w:t xml:space="preserve"> (aktualu nuo 2012-01-01)</w:t>
      </w:r>
      <w:r w:rsidR="00D72A09" w:rsidRPr="00F05377">
        <w:rPr>
          <w:szCs w:val="24"/>
        </w:rPr>
        <w:t>. Prieiga</w:t>
      </w:r>
      <w:r w:rsidRPr="00F05377">
        <w:rPr>
          <w:szCs w:val="24"/>
        </w:rPr>
        <w:t>: &lt; http://www3.lrs.lt/pls/inter3/dokpaieska.showdoc_l?p_id=415195&amp;p_query=&amp;p_tr2=2 &gt;.</w:t>
      </w:r>
    </w:p>
    <w:p w:rsidR="000D7472" w:rsidRPr="00F05377" w:rsidRDefault="000D7472" w:rsidP="005D38A0">
      <w:pPr>
        <w:pStyle w:val="ListParagraph"/>
        <w:numPr>
          <w:ilvl w:val="0"/>
          <w:numId w:val="42"/>
        </w:numPr>
        <w:ind w:left="360"/>
        <w:rPr>
          <w:szCs w:val="24"/>
        </w:rPr>
      </w:pPr>
      <w:r w:rsidRPr="00F05377">
        <w:rPr>
          <w:i/>
          <w:szCs w:val="24"/>
        </w:rPr>
        <w:t>Lietuvos Respublikos užimtumo rėmimo įstatymas</w:t>
      </w:r>
      <w:r w:rsidR="00735AF1" w:rsidRPr="00F05377">
        <w:rPr>
          <w:szCs w:val="24"/>
        </w:rPr>
        <w:t>. – 2006</w:t>
      </w:r>
      <w:r w:rsidR="006E2092" w:rsidRPr="00F05377">
        <w:rPr>
          <w:szCs w:val="24"/>
        </w:rPr>
        <w:t xml:space="preserve"> (aktualu nuo </w:t>
      </w:r>
      <w:r w:rsidR="00D72A09" w:rsidRPr="00F05377">
        <w:rPr>
          <w:szCs w:val="24"/>
        </w:rPr>
        <w:t>2012-11-03</w:t>
      </w:r>
      <w:r w:rsidR="006E2092" w:rsidRPr="00F05377">
        <w:rPr>
          <w:szCs w:val="24"/>
        </w:rPr>
        <w:t>)</w:t>
      </w:r>
      <w:r w:rsidR="00735AF1" w:rsidRPr="00F05377">
        <w:rPr>
          <w:szCs w:val="24"/>
        </w:rPr>
        <w:t xml:space="preserve">. </w:t>
      </w:r>
      <w:r w:rsidRPr="00F05377">
        <w:rPr>
          <w:szCs w:val="24"/>
        </w:rPr>
        <w:t>Prieiga: &lt; http://www3.lrs.lt/pls/inter3/dokpaieska.showdoc_l?p_id=436420&amp;p_query=&amp;p_tr2=2 &gt;.</w:t>
      </w:r>
    </w:p>
    <w:p w:rsidR="000D7472" w:rsidRPr="00F05377" w:rsidRDefault="000D7472" w:rsidP="00626203">
      <w:pPr>
        <w:pStyle w:val="ListParagraph"/>
        <w:numPr>
          <w:ilvl w:val="0"/>
          <w:numId w:val="42"/>
        </w:numPr>
        <w:spacing w:after="0"/>
        <w:ind w:left="360"/>
        <w:rPr>
          <w:szCs w:val="24"/>
        </w:rPr>
      </w:pPr>
      <w:r w:rsidRPr="00F05377">
        <w:rPr>
          <w:i/>
          <w:szCs w:val="24"/>
        </w:rPr>
        <w:t>Lietuvos Respublikos valstybinio socialinio draudimo įstatymas</w:t>
      </w:r>
      <w:r w:rsidR="00735AF1" w:rsidRPr="00F05377">
        <w:rPr>
          <w:szCs w:val="24"/>
        </w:rPr>
        <w:t>. – 1991</w:t>
      </w:r>
      <w:r w:rsidR="00D72A09" w:rsidRPr="00F05377">
        <w:rPr>
          <w:szCs w:val="24"/>
        </w:rPr>
        <w:t xml:space="preserve"> (aktualu nuo 2012–11–08)</w:t>
      </w:r>
      <w:r w:rsidR="00735AF1" w:rsidRPr="00F05377">
        <w:rPr>
          <w:szCs w:val="24"/>
        </w:rPr>
        <w:t xml:space="preserve">. </w:t>
      </w:r>
      <w:r w:rsidRPr="00F05377">
        <w:rPr>
          <w:szCs w:val="24"/>
        </w:rPr>
        <w:t>Prieiga: &lt; http://www3.lrs.lt/pls/inter3/dokpaieska.showdoc_l?p_id=436884&amp;p_query=&amp;p_tr2=2 &gt;.</w:t>
      </w:r>
    </w:p>
    <w:p w:rsidR="000D7472" w:rsidRPr="00F05377" w:rsidRDefault="005D38A0" w:rsidP="00060B84">
      <w:pPr>
        <w:widowControl/>
        <w:spacing w:after="0"/>
        <w:ind w:firstLine="0"/>
        <w:jc w:val="center"/>
        <w:rPr>
          <w:szCs w:val="24"/>
        </w:rPr>
      </w:pPr>
      <w:r w:rsidRPr="00F05377">
        <w:rPr>
          <w:b/>
          <w:szCs w:val="24"/>
          <w:u w:val="single"/>
        </w:rPr>
        <w:t>S</w:t>
      </w:r>
      <w:r w:rsidR="000D7472" w:rsidRPr="00F05377">
        <w:rPr>
          <w:b/>
          <w:szCs w:val="24"/>
          <w:u w:val="single"/>
        </w:rPr>
        <w:t>tatistika</w:t>
      </w:r>
      <w:r w:rsidR="000D7472" w:rsidRPr="00F05377">
        <w:rPr>
          <w:szCs w:val="24"/>
        </w:rPr>
        <w:t>:</w:t>
      </w:r>
    </w:p>
    <w:p w:rsidR="000D7472" w:rsidRPr="00F05377" w:rsidRDefault="000D7472" w:rsidP="005D38A0">
      <w:pPr>
        <w:pStyle w:val="ListParagraph"/>
        <w:numPr>
          <w:ilvl w:val="0"/>
          <w:numId w:val="42"/>
        </w:numPr>
        <w:ind w:left="360"/>
        <w:rPr>
          <w:szCs w:val="24"/>
        </w:rPr>
      </w:pPr>
      <w:r w:rsidRPr="00F05377">
        <w:rPr>
          <w:b/>
          <w:szCs w:val="24"/>
        </w:rPr>
        <w:t>Lietuvos Respublikos statistikos departamentas</w:t>
      </w:r>
      <w:r w:rsidRPr="00F05377">
        <w:rPr>
          <w:szCs w:val="24"/>
        </w:rPr>
        <w:t xml:space="preserve">. </w:t>
      </w:r>
      <w:r w:rsidRPr="00F05377">
        <w:rPr>
          <w:i/>
          <w:szCs w:val="24"/>
        </w:rPr>
        <w:t xml:space="preserve">Darbo užmokestis trečiąjį 2008 m. ketvirtį </w:t>
      </w:r>
      <w:r w:rsidRPr="00F05377">
        <w:rPr>
          <w:szCs w:val="24"/>
        </w:rPr>
        <w:t>[interaktyvus]</w:t>
      </w:r>
      <w:r w:rsidR="00696F94" w:rsidRPr="00F05377">
        <w:rPr>
          <w:szCs w:val="24"/>
        </w:rPr>
        <w:t xml:space="preserve"> [žiūrėta 2012 10 08</w:t>
      </w:r>
      <w:r w:rsidR="001A1475" w:rsidRPr="00F05377">
        <w:rPr>
          <w:szCs w:val="24"/>
        </w:rPr>
        <w:t xml:space="preserve">]. Prieiga: </w:t>
      </w:r>
      <w:r w:rsidRPr="00F05377">
        <w:rPr>
          <w:szCs w:val="24"/>
        </w:rPr>
        <w:t>&lt; http://www.stat.gov.lt/lt/news/view/?id=6819 &gt;.</w:t>
      </w:r>
    </w:p>
    <w:p w:rsidR="000D7472" w:rsidRPr="00F05377" w:rsidRDefault="000D7472" w:rsidP="005D38A0">
      <w:pPr>
        <w:pStyle w:val="ListParagraph"/>
        <w:numPr>
          <w:ilvl w:val="0"/>
          <w:numId w:val="42"/>
        </w:numPr>
        <w:ind w:left="360"/>
        <w:rPr>
          <w:szCs w:val="24"/>
        </w:rPr>
      </w:pPr>
      <w:r w:rsidRPr="00F05377">
        <w:rPr>
          <w:b/>
          <w:szCs w:val="24"/>
        </w:rPr>
        <w:t>Lietuvos Respublikos statistikos departamentas</w:t>
      </w:r>
      <w:r w:rsidRPr="00F05377">
        <w:rPr>
          <w:szCs w:val="24"/>
        </w:rPr>
        <w:t xml:space="preserve">. </w:t>
      </w:r>
      <w:r w:rsidRPr="00F05377">
        <w:rPr>
          <w:i/>
          <w:szCs w:val="24"/>
        </w:rPr>
        <w:t xml:space="preserve">Darbo užmokestis trečiąjį 2012 m. ketvirtį: </w:t>
      </w:r>
      <w:r w:rsidRPr="00F05377">
        <w:rPr>
          <w:szCs w:val="24"/>
        </w:rPr>
        <w:t>[interaktyvus] [ž</w:t>
      </w:r>
      <w:r w:rsidR="00696F94" w:rsidRPr="00F05377">
        <w:rPr>
          <w:szCs w:val="24"/>
        </w:rPr>
        <w:t>iūrėta 2012 11 26</w:t>
      </w:r>
      <w:r w:rsidR="001A1475" w:rsidRPr="00F05377">
        <w:rPr>
          <w:szCs w:val="24"/>
        </w:rPr>
        <w:t>]. Prieiga:</w:t>
      </w:r>
      <w:r w:rsidRPr="00F05377">
        <w:rPr>
          <w:szCs w:val="24"/>
        </w:rPr>
        <w:t xml:space="preserve"> &lt; http://www.stat.gov.lt/lt/news/view?id=10561&amp;PHPSESSID=17dfe1c9fa89c89ac7478d3762cd6bc0 &gt;.</w:t>
      </w:r>
    </w:p>
    <w:p w:rsidR="000D7472" w:rsidRPr="00F05377" w:rsidRDefault="000D7472" w:rsidP="005D38A0">
      <w:pPr>
        <w:pStyle w:val="ListParagraph"/>
        <w:numPr>
          <w:ilvl w:val="0"/>
          <w:numId w:val="42"/>
        </w:numPr>
        <w:ind w:left="360"/>
        <w:rPr>
          <w:szCs w:val="24"/>
        </w:rPr>
      </w:pPr>
      <w:r w:rsidRPr="00F05377">
        <w:rPr>
          <w:b/>
          <w:szCs w:val="24"/>
        </w:rPr>
        <w:t>Lietuvos Respublikos statistikos departamentas.</w:t>
      </w:r>
      <w:r w:rsidRPr="00F05377">
        <w:rPr>
          <w:szCs w:val="24"/>
        </w:rPr>
        <w:t xml:space="preserve"> </w:t>
      </w:r>
      <w:r w:rsidRPr="00F05377">
        <w:rPr>
          <w:i/>
          <w:szCs w:val="24"/>
        </w:rPr>
        <w:t>Vidutinės disponuojamosios pajamos vienam namų ūkio nariui per mėnesį</w:t>
      </w:r>
      <w:r w:rsidRPr="00F05377">
        <w:rPr>
          <w:szCs w:val="24"/>
        </w:rPr>
        <w:t xml:space="preserve">. </w:t>
      </w:r>
      <w:r w:rsidRPr="00F05377">
        <w:rPr>
          <w:i/>
          <w:szCs w:val="24"/>
        </w:rPr>
        <w:t xml:space="preserve">Požymiai: </w:t>
      </w:r>
      <w:r w:rsidR="00302358" w:rsidRPr="00F05377">
        <w:rPr>
          <w:i/>
          <w:szCs w:val="24"/>
        </w:rPr>
        <w:t>administracinė teritorija</w:t>
      </w:r>
      <w:r w:rsidR="00302358">
        <w:rPr>
          <w:i/>
          <w:szCs w:val="24"/>
        </w:rPr>
        <w:t>,</w:t>
      </w:r>
      <w:r w:rsidR="00302358" w:rsidRPr="00F05377">
        <w:rPr>
          <w:i/>
          <w:szCs w:val="24"/>
        </w:rPr>
        <w:t xml:space="preserve"> </w:t>
      </w:r>
      <w:r w:rsidRPr="00F05377">
        <w:rPr>
          <w:i/>
          <w:szCs w:val="24"/>
        </w:rPr>
        <w:t>pajamų komponentė</w:t>
      </w:r>
      <w:r w:rsidR="00302358" w:rsidRPr="00302358">
        <w:rPr>
          <w:szCs w:val="24"/>
        </w:rPr>
        <w:t xml:space="preserve"> </w:t>
      </w:r>
      <w:r w:rsidRPr="00F05377">
        <w:rPr>
          <w:szCs w:val="24"/>
        </w:rPr>
        <w:t xml:space="preserve">[interaktyvus] </w:t>
      </w:r>
      <w:r w:rsidR="00696F94" w:rsidRPr="00F05377">
        <w:rPr>
          <w:szCs w:val="24"/>
        </w:rPr>
        <w:t>[žiūrėta 2012 06 09</w:t>
      </w:r>
      <w:r w:rsidR="001A1475" w:rsidRPr="00F05377">
        <w:rPr>
          <w:szCs w:val="24"/>
        </w:rPr>
        <w:t>]. Prieiga:</w:t>
      </w:r>
      <w:r w:rsidRPr="00F05377">
        <w:rPr>
          <w:szCs w:val="24"/>
        </w:rPr>
        <w:t xml:space="preserve"> &lt; </w:t>
      </w:r>
      <w:r w:rsidR="007F7F7A" w:rsidRPr="007F7F7A">
        <w:rPr>
          <w:szCs w:val="24"/>
        </w:rPr>
        <w:t xml:space="preserve">http://db1.stat.gov.lt/statbank/SelectVarVal/Define.asp?Maintable=M3090104&amp;PLanguage=0 </w:t>
      </w:r>
      <w:r w:rsidRPr="00F05377">
        <w:rPr>
          <w:szCs w:val="24"/>
        </w:rPr>
        <w:t>&gt;.</w:t>
      </w:r>
    </w:p>
    <w:p w:rsidR="000D7472" w:rsidRPr="00F05377" w:rsidRDefault="000D7472" w:rsidP="005D38A0">
      <w:pPr>
        <w:pStyle w:val="ListParagraph"/>
        <w:numPr>
          <w:ilvl w:val="0"/>
          <w:numId w:val="42"/>
        </w:numPr>
        <w:ind w:left="360"/>
        <w:rPr>
          <w:szCs w:val="24"/>
        </w:rPr>
      </w:pPr>
      <w:r w:rsidRPr="00F05377">
        <w:rPr>
          <w:b/>
          <w:szCs w:val="24"/>
        </w:rPr>
        <w:t>Lietuvos Respublikos statistikos departamentas.</w:t>
      </w:r>
      <w:r w:rsidRPr="00F05377">
        <w:rPr>
          <w:szCs w:val="24"/>
        </w:rPr>
        <w:t xml:space="preserve"> </w:t>
      </w:r>
      <w:r w:rsidRPr="00F05377">
        <w:rPr>
          <w:i/>
          <w:szCs w:val="24"/>
        </w:rPr>
        <w:t>Vidutinės disponuojamosios pajamos vienam namų ūkio nariui per m</w:t>
      </w:r>
      <w:r w:rsidR="00B7536F">
        <w:rPr>
          <w:i/>
          <w:szCs w:val="24"/>
        </w:rPr>
        <w:t xml:space="preserve">ėnesį. Požymiai: </w:t>
      </w:r>
      <w:r w:rsidRPr="00F05377">
        <w:rPr>
          <w:i/>
          <w:szCs w:val="24"/>
        </w:rPr>
        <w:t>pajamų komponentė</w:t>
      </w:r>
      <w:r w:rsidR="00B7536F">
        <w:rPr>
          <w:i/>
          <w:szCs w:val="24"/>
        </w:rPr>
        <w:t>,</w:t>
      </w:r>
      <w:r w:rsidRPr="00F05377">
        <w:rPr>
          <w:i/>
          <w:szCs w:val="24"/>
        </w:rPr>
        <w:t xml:space="preserve"> </w:t>
      </w:r>
      <w:r w:rsidR="00B7536F">
        <w:rPr>
          <w:i/>
          <w:szCs w:val="24"/>
        </w:rPr>
        <w:t>vaikų skaičius</w:t>
      </w:r>
      <w:r w:rsidR="00B7536F" w:rsidRPr="00F05377">
        <w:rPr>
          <w:i/>
          <w:szCs w:val="24"/>
        </w:rPr>
        <w:t xml:space="preserve"> </w:t>
      </w:r>
      <w:r w:rsidR="00696F94" w:rsidRPr="00F05377">
        <w:rPr>
          <w:szCs w:val="24"/>
        </w:rPr>
        <w:t xml:space="preserve">[interaktyvus] [žiūrėta </w:t>
      </w:r>
      <w:r w:rsidR="00696F94" w:rsidRPr="00F05377">
        <w:rPr>
          <w:szCs w:val="24"/>
        </w:rPr>
        <w:lastRenderedPageBreak/>
        <w:t>2012 06 09</w:t>
      </w:r>
      <w:r w:rsidRPr="00F05377">
        <w:rPr>
          <w:szCs w:val="24"/>
        </w:rPr>
        <w:t>]</w:t>
      </w:r>
      <w:r w:rsidR="001A1475" w:rsidRPr="00F05377">
        <w:rPr>
          <w:szCs w:val="24"/>
        </w:rPr>
        <w:t>. Prieiga</w:t>
      </w:r>
      <w:r w:rsidRPr="00F05377">
        <w:rPr>
          <w:szCs w:val="24"/>
        </w:rPr>
        <w:t xml:space="preserve">: &lt; </w:t>
      </w:r>
      <w:r w:rsidR="007F7F7A" w:rsidRPr="007F7F7A">
        <w:rPr>
          <w:szCs w:val="24"/>
        </w:rPr>
        <w:t xml:space="preserve">http://db1.stat.gov.lt/statbank/SelectVarVal/Define.asp?Maintable=M3090105&amp;PLanguage=0 </w:t>
      </w:r>
      <w:r w:rsidRPr="00F05377">
        <w:rPr>
          <w:szCs w:val="24"/>
        </w:rPr>
        <w:t>&gt;.</w:t>
      </w:r>
    </w:p>
    <w:p w:rsidR="00281120" w:rsidRPr="00F05377" w:rsidRDefault="00281120" w:rsidP="005D38A0">
      <w:pPr>
        <w:pStyle w:val="ListParagraph"/>
        <w:numPr>
          <w:ilvl w:val="0"/>
          <w:numId w:val="42"/>
        </w:numPr>
        <w:ind w:left="360"/>
        <w:rPr>
          <w:szCs w:val="24"/>
        </w:rPr>
      </w:pPr>
      <w:r w:rsidRPr="00F05377">
        <w:rPr>
          <w:b/>
          <w:szCs w:val="24"/>
        </w:rPr>
        <w:t>Lietuvos Respublikos vertybinių popierių komisija.</w:t>
      </w:r>
      <w:r w:rsidRPr="00F05377">
        <w:rPr>
          <w:szCs w:val="24"/>
        </w:rPr>
        <w:t xml:space="preserve"> </w:t>
      </w:r>
      <w:r w:rsidRPr="00F05377">
        <w:rPr>
          <w:i/>
          <w:szCs w:val="24"/>
        </w:rPr>
        <w:t>Lietuvos gyventojų asmeninių finansų tvarkymo elgsenos tyrimas</w:t>
      </w:r>
      <w:r w:rsidRPr="00F05377">
        <w:rPr>
          <w:szCs w:val="24"/>
        </w:rPr>
        <w:t>. – 2009 [interaktyvus] [žiūrėta</w:t>
      </w:r>
      <w:r w:rsidR="00696F94" w:rsidRPr="00F05377">
        <w:rPr>
          <w:szCs w:val="24"/>
        </w:rPr>
        <w:t xml:space="preserve"> 2012 03 06</w:t>
      </w:r>
      <w:r w:rsidR="001A1475" w:rsidRPr="00F05377">
        <w:rPr>
          <w:szCs w:val="24"/>
        </w:rPr>
        <w:t>]. Prieiga</w:t>
      </w:r>
      <w:r w:rsidRPr="00F05377">
        <w:rPr>
          <w:szCs w:val="24"/>
        </w:rPr>
        <w:t>: &lt; http://www.marketnews.lt/naujiena/nors_galinciuju_taupyti_mazeja</w:t>
      </w:r>
      <w:r w:rsidR="00A879FC">
        <w:rPr>
          <w:szCs w:val="24"/>
        </w:rPr>
        <w:t xml:space="preserve">_taupymo_svarba_auga </w:t>
      </w:r>
      <w:r w:rsidRPr="00F05377">
        <w:rPr>
          <w:szCs w:val="24"/>
        </w:rPr>
        <w:t>&gt;.</w:t>
      </w:r>
    </w:p>
    <w:p w:rsidR="000D7472" w:rsidRPr="00F05377" w:rsidRDefault="000D7472" w:rsidP="005D38A0">
      <w:pPr>
        <w:pStyle w:val="ListParagraph"/>
        <w:numPr>
          <w:ilvl w:val="0"/>
          <w:numId w:val="42"/>
        </w:numPr>
        <w:ind w:left="360"/>
        <w:rPr>
          <w:szCs w:val="24"/>
        </w:rPr>
      </w:pPr>
      <w:r w:rsidRPr="00F05377">
        <w:rPr>
          <w:b/>
          <w:szCs w:val="24"/>
        </w:rPr>
        <w:t>Lietuvos socialinis žemėlapis.</w:t>
      </w:r>
      <w:r w:rsidRPr="00F05377">
        <w:rPr>
          <w:szCs w:val="24"/>
        </w:rPr>
        <w:t xml:space="preserve"> Socialinės statistikos rodikliai: </w:t>
      </w:r>
      <w:r w:rsidRPr="00F05377">
        <w:rPr>
          <w:i/>
          <w:szCs w:val="24"/>
        </w:rPr>
        <w:t>baziniai socialiniai rodikliai</w:t>
      </w:r>
      <w:r w:rsidR="00696F94" w:rsidRPr="00F05377">
        <w:rPr>
          <w:szCs w:val="24"/>
        </w:rPr>
        <w:t xml:space="preserve"> [žiūrėta 2012 10 08</w:t>
      </w:r>
      <w:r w:rsidRPr="00F05377">
        <w:rPr>
          <w:szCs w:val="24"/>
        </w:rPr>
        <w:t>]. Prieiga: &lt; http://www.socialiniszemelapis.lt/index.php?1262538155 &gt;.</w:t>
      </w:r>
    </w:p>
    <w:p w:rsidR="000D7472" w:rsidRPr="00F05377" w:rsidRDefault="000D7472" w:rsidP="005D38A0">
      <w:pPr>
        <w:pStyle w:val="ListParagraph"/>
        <w:numPr>
          <w:ilvl w:val="0"/>
          <w:numId w:val="42"/>
        </w:numPr>
        <w:ind w:left="360"/>
        <w:rPr>
          <w:szCs w:val="24"/>
        </w:rPr>
      </w:pPr>
      <w:r w:rsidRPr="00F05377">
        <w:rPr>
          <w:b/>
          <w:szCs w:val="24"/>
        </w:rPr>
        <w:t>Lietuvos socialinis žemėlapis.</w:t>
      </w:r>
      <w:r w:rsidRPr="00F05377">
        <w:rPr>
          <w:szCs w:val="24"/>
        </w:rPr>
        <w:t xml:space="preserve"> Socialinės statistikos rodikliai:</w:t>
      </w:r>
      <w:r w:rsidRPr="00F05377">
        <w:rPr>
          <w:i/>
          <w:szCs w:val="24"/>
        </w:rPr>
        <w:t xml:space="preserve"> socialinės paramos naudojimo</w:t>
      </w:r>
      <w:r w:rsidRPr="00F05377">
        <w:rPr>
          <w:szCs w:val="24"/>
        </w:rPr>
        <w:t xml:space="preserve"> </w:t>
      </w:r>
      <w:r w:rsidRPr="00F05377">
        <w:rPr>
          <w:i/>
          <w:szCs w:val="24"/>
        </w:rPr>
        <w:t xml:space="preserve">rodikliai </w:t>
      </w:r>
      <w:r w:rsidR="00696F94" w:rsidRPr="00F05377">
        <w:rPr>
          <w:szCs w:val="24"/>
        </w:rPr>
        <w:t>[žiūrėta 2012 09 03</w:t>
      </w:r>
      <w:r w:rsidRPr="00F05377">
        <w:rPr>
          <w:szCs w:val="24"/>
        </w:rPr>
        <w:t>]. Prieiga: &lt; http://www.socialiniszemelapis.lt/index.php?1262538155 &gt;.</w:t>
      </w:r>
    </w:p>
    <w:p w:rsidR="000D7472" w:rsidRPr="00F05377" w:rsidRDefault="000D7472" w:rsidP="00696F94">
      <w:pPr>
        <w:pStyle w:val="ListParagraph"/>
        <w:numPr>
          <w:ilvl w:val="0"/>
          <w:numId w:val="42"/>
        </w:numPr>
        <w:ind w:left="360"/>
        <w:rPr>
          <w:szCs w:val="24"/>
        </w:rPr>
      </w:pPr>
      <w:r w:rsidRPr="00F05377">
        <w:rPr>
          <w:b/>
          <w:szCs w:val="24"/>
        </w:rPr>
        <w:t>Lietuvos socialinis žemėlapis.</w:t>
      </w:r>
      <w:r w:rsidRPr="00F05377">
        <w:rPr>
          <w:szCs w:val="24"/>
        </w:rPr>
        <w:t xml:space="preserve"> Socialinės statistikos rodikliai:</w:t>
      </w:r>
      <w:r w:rsidRPr="00F05377">
        <w:rPr>
          <w:i/>
          <w:szCs w:val="24"/>
        </w:rPr>
        <w:t xml:space="preserve"> socialiniai-ekonominiai rodikliai</w:t>
      </w:r>
      <w:r w:rsidR="00696F94" w:rsidRPr="00F05377">
        <w:rPr>
          <w:szCs w:val="24"/>
        </w:rPr>
        <w:t xml:space="preserve"> [žiūrėta 2012 09 03</w:t>
      </w:r>
      <w:r w:rsidRPr="00F05377">
        <w:rPr>
          <w:szCs w:val="24"/>
        </w:rPr>
        <w:t>]. Prieiga: &lt; http://www.socialiniszemelapis.lt/index.php?1262538155 &gt;.</w:t>
      </w:r>
    </w:p>
    <w:p w:rsidR="000D7472" w:rsidRPr="00F05377" w:rsidRDefault="000D7472" w:rsidP="005D38A0">
      <w:pPr>
        <w:pStyle w:val="ListParagraph"/>
        <w:numPr>
          <w:ilvl w:val="0"/>
          <w:numId w:val="42"/>
        </w:numPr>
        <w:ind w:left="360"/>
        <w:rPr>
          <w:szCs w:val="24"/>
        </w:rPr>
      </w:pPr>
      <w:r w:rsidRPr="00F05377">
        <w:rPr>
          <w:b/>
          <w:szCs w:val="24"/>
          <w:lang w:val="en-US"/>
        </w:rPr>
        <w:t>OECD.</w:t>
      </w:r>
      <w:r w:rsidRPr="00F05377">
        <w:rPr>
          <w:szCs w:val="24"/>
          <w:lang w:val="en-US"/>
        </w:rPr>
        <w:t xml:space="preserve"> Benefits and Wages: Policies / </w:t>
      </w:r>
      <w:r w:rsidRPr="00F05377">
        <w:rPr>
          <w:i/>
          <w:szCs w:val="24"/>
          <w:lang w:val="en-US"/>
        </w:rPr>
        <w:t>Employment-Conditional Benefits</w:t>
      </w:r>
      <w:r w:rsidRPr="00F05377">
        <w:rPr>
          <w:szCs w:val="24"/>
          <w:lang w:val="en-US"/>
        </w:rPr>
        <w:t xml:space="preserve">. – 2010 </w:t>
      </w:r>
      <w:r w:rsidR="00696F94" w:rsidRPr="00F05377">
        <w:rPr>
          <w:szCs w:val="24"/>
        </w:rPr>
        <w:t>[interaktyvus] [žiūrėta 2012 11 08</w:t>
      </w:r>
      <w:r w:rsidRPr="00F05377">
        <w:rPr>
          <w:szCs w:val="24"/>
        </w:rPr>
        <w:t xml:space="preserve">] Prieiga: </w:t>
      </w:r>
      <w:r w:rsidRPr="00F05377">
        <w:rPr>
          <w:szCs w:val="24"/>
          <w:lang w:val="en-US"/>
        </w:rPr>
        <w:t>&lt;</w:t>
      </w:r>
      <w:r w:rsidRPr="00F05377">
        <w:rPr>
          <w:szCs w:val="24"/>
        </w:rPr>
        <w:t xml:space="preserve"> http://www.oecd.org/els/benefitsandwagespolicies.htm &gt;.</w:t>
      </w:r>
    </w:p>
    <w:p w:rsidR="000D7472" w:rsidRPr="00F05377" w:rsidRDefault="000D7472" w:rsidP="005D38A0">
      <w:pPr>
        <w:pStyle w:val="ListParagraph"/>
        <w:numPr>
          <w:ilvl w:val="0"/>
          <w:numId w:val="42"/>
        </w:numPr>
        <w:ind w:left="360"/>
        <w:rPr>
          <w:szCs w:val="24"/>
        </w:rPr>
      </w:pPr>
      <w:r w:rsidRPr="00F05377">
        <w:rPr>
          <w:b/>
          <w:szCs w:val="24"/>
          <w:lang w:val="en-US"/>
        </w:rPr>
        <w:t>OECD.</w:t>
      </w:r>
      <w:r w:rsidRPr="00F05377">
        <w:rPr>
          <w:szCs w:val="24"/>
          <w:lang w:val="en-US"/>
        </w:rPr>
        <w:t xml:space="preserve"> Benefits and Wages: Policies / </w:t>
      </w:r>
      <w:r w:rsidRPr="00F05377">
        <w:rPr>
          <w:i/>
          <w:szCs w:val="24"/>
          <w:lang w:val="en-US"/>
        </w:rPr>
        <w:t>Family benefits</w:t>
      </w:r>
      <w:r w:rsidRPr="00F05377">
        <w:rPr>
          <w:szCs w:val="24"/>
          <w:lang w:val="en-US"/>
        </w:rPr>
        <w:t xml:space="preserve">. – 2010 </w:t>
      </w:r>
      <w:r w:rsidR="00696F94" w:rsidRPr="00F05377">
        <w:rPr>
          <w:szCs w:val="24"/>
        </w:rPr>
        <w:t>[interaktyvus] [žiūrėta 2012 11 08</w:t>
      </w:r>
      <w:r w:rsidRPr="00F05377">
        <w:rPr>
          <w:szCs w:val="24"/>
        </w:rPr>
        <w:t>] Prieiga:</w:t>
      </w:r>
      <w:r w:rsidRPr="00F05377">
        <w:rPr>
          <w:szCs w:val="24"/>
          <w:lang w:val="en-US"/>
        </w:rPr>
        <w:t xml:space="preserve"> &lt;</w:t>
      </w:r>
      <w:r w:rsidRPr="00F05377">
        <w:rPr>
          <w:szCs w:val="24"/>
        </w:rPr>
        <w:t xml:space="preserve"> http://www.oecd.org/els/benefitsandwagespolicies.htm &gt;.</w:t>
      </w:r>
    </w:p>
    <w:p w:rsidR="000D7472" w:rsidRPr="00F05377" w:rsidRDefault="000D7472" w:rsidP="005D38A0">
      <w:pPr>
        <w:pStyle w:val="ListParagraph"/>
        <w:numPr>
          <w:ilvl w:val="0"/>
          <w:numId w:val="42"/>
        </w:numPr>
        <w:ind w:left="360"/>
        <w:rPr>
          <w:szCs w:val="24"/>
        </w:rPr>
      </w:pPr>
      <w:r w:rsidRPr="00F05377">
        <w:rPr>
          <w:b/>
          <w:szCs w:val="24"/>
          <w:lang w:val="en-US"/>
        </w:rPr>
        <w:t>OECD.</w:t>
      </w:r>
      <w:r w:rsidRPr="00F05377">
        <w:rPr>
          <w:szCs w:val="24"/>
          <w:lang w:val="en-US"/>
        </w:rPr>
        <w:t xml:space="preserve"> Benefits and Wages: Policies / </w:t>
      </w:r>
      <w:r w:rsidRPr="00F05377">
        <w:rPr>
          <w:i/>
          <w:szCs w:val="24"/>
          <w:lang w:val="en-US"/>
        </w:rPr>
        <w:t>Housing Benefits</w:t>
      </w:r>
      <w:r w:rsidRPr="00F05377">
        <w:rPr>
          <w:szCs w:val="24"/>
          <w:lang w:val="en-US"/>
        </w:rPr>
        <w:t xml:space="preserve">. – 2010 </w:t>
      </w:r>
      <w:r w:rsidR="00696F94" w:rsidRPr="00F05377">
        <w:rPr>
          <w:szCs w:val="24"/>
        </w:rPr>
        <w:t>[interaktyvus] [žiūrėta 2012 11 08</w:t>
      </w:r>
      <w:r w:rsidRPr="00F05377">
        <w:rPr>
          <w:szCs w:val="24"/>
        </w:rPr>
        <w:t>] Prieiga:</w:t>
      </w:r>
      <w:r w:rsidRPr="00F05377">
        <w:rPr>
          <w:szCs w:val="24"/>
          <w:lang w:val="en-US"/>
        </w:rPr>
        <w:t xml:space="preserve"> &lt;</w:t>
      </w:r>
      <w:r w:rsidRPr="00F05377">
        <w:rPr>
          <w:szCs w:val="24"/>
        </w:rPr>
        <w:t xml:space="preserve"> http://www.oecd.org/els/benefitsandwagespolicies.htm &gt;.</w:t>
      </w:r>
    </w:p>
    <w:p w:rsidR="000D7472" w:rsidRPr="00F05377" w:rsidRDefault="000D7472" w:rsidP="005D38A0">
      <w:pPr>
        <w:pStyle w:val="ListParagraph"/>
        <w:numPr>
          <w:ilvl w:val="0"/>
          <w:numId w:val="42"/>
        </w:numPr>
        <w:ind w:left="360"/>
        <w:rPr>
          <w:szCs w:val="24"/>
        </w:rPr>
      </w:pPr>
      <w:r w:rsidRPr="00F05377">
        <w:rPr>
          <w:b/>
          <w:szCs w:val="24"/>
          <w:lang w:val="en-US"/>
        </w:rPr>
        <w:t>OECD.</w:t>
      </w:r>
      <w:r w:rsidRPr="00F05377">
        <w:rPr>
          <w:szCs w:val="24"/>
          <w:lang w:val="en-US"/>
        </w:rPr>
        <w:t xml:space="preserve"> Benefits and Wages: Policies / </w:t>
      </w:r>
      <w:r w:rsidRPr="00F05377">
        <w:rPr>
          <w:i/>
          <w:szCs w:val="24"/>
          <w:lang w:val="en-US"/>
        </w:rPr>
        <w:t>Social Assistance</w:t>
      </w:r>
      <w:r w:rsidRPr="00F05377">
        <w:rPr>
          <w:szCs w:val="24"/>
          <w:lang w:val="en-US"/>
        </w:rPr>
        <w:t xml:space="preserve">. – 2010 </w:t>
      </w:r>
      <w:r w:rsidR="00696F94" w:rsidRPr="00F05377">
        <w:rPr>
          <w:szCs w:val="24"/>
        </w:rPr>
        <w:t>[interaktyvus] [žiūrėta 2012 11 08</w:t>
      </w:r>
      <w:r w:rsidRPr="00F05377">
        <w:rPr>
          <w:szCs w:val="24"/>
        </w:rPr>
        <w:t>] Prieiga:</w:t>
      </w:r>
      <w:r w:rsidRPr="00F05377">
        <w:rPr>
          <w:szCs w:val="24"/>
          <w:lang w:val="en-US"/>
        </w:rPr>
        <w:t xml:space="preserve"> &lt;</w:t>
      </w:r>
      <w:r w:rsidRPr="00F05377">
        <w:rPr>
          <w:szCs w:val="24"/>
        </w:rPr>
        <w:t xml:space="preserve"> http://www.oecd.org/els/benefitsandwagespolicies.htm &gt;.</w:t>
      </w:r>
    </w:p>
    <w:p w:rsidR="000D7472" w:rsidRPr="00F05377" w:rsidRDefault="000D7472" w:rsidP="005D38A0">
      <w:pPr>
        <w:pStyle w:val="ListParagraph"/>
        <w:numPr>
          <w:ilvl w:val="0"/>
          <w:numId w:val="42"/>
        </w:numPr>
        <w:ind w:left="360"/>
        <w:rPr>
          <w:szCs w:val="24"/>
        </w:rPr>
      </w:pPr>
      <w:r w:rsidRPr="00F05377">
        <w:rPr>
          <w:b/>
          <w:szCs w:val="24"/>
          <w:lang w:val="en-US"/>
        </w:rPr>
        <w:t>OECD.</w:t>
      </w:r>
      <w:r w:rsidRPr="00F05377">
        <w:rPr>
          <w:szCs w:val="24"/>
          <w:lang w:val="en-US"/>
        </w:rPr>
        <w:t xml:space="preserve"> Benefits and Wages: Policies / </w:t>
      </w:r>
      <w:r w:rsidRPr="00F05377">
        <w:rPr>
          <w:i/>
          <w:szCs w:val="24"/>
          <w:lang w:val="en-US"/>
        </w:rPr>
        <w:t>Unemployment Insurance Benefits</w:t>
      </w:r>
      <w:r w:rsidRPr="00F05377">
        <w:rPr>
          <w:szCs w:val="24"/>
          <w:lang w:val="en-US"/>
        </w:rPr>
        <w:t xml:space="preserve">. – 2010 </w:t>
      </w:r>
      <w:r w:rsidR="00696F94" w:rsidRPr="00F05377">
        <w:rPr>
          <w:szCs w:val="24"/>
        </w:rPr>
        <w:t>[Interaktyvus] [žiūrėta 2012 11 06</w:t>
      </w:r>
      <w:r w:rsidRPr="00F05377">
        <w:rPr>
          <w:szCs w:val="24"/>
        </w:rPr>
        <w:t>]</w:t>
      </w:r>
      <w:r w:rsidR="005C4DF8" w:rsidRPr="00F05377">
        <w:rPr>
          <w:szCs w:val="24"/>
        </w:rPr>
        <w:t>.</w:t>
      </w:r>
      <w:r w:rsidRPr="00F05377">
        <w:rPr>
          <w:szCs w:val="24"/>
        </w:rPr>
        <w:t xml:space="preserve"> Prieiga:</w:t>
      </w:r>
      <w:r w:rsidRPr="00F05377">
        <w:rPr>
          <w:szCs w:val="24"/>
          <w:lang w:val="en-US"/>
        </w:rPr>
        <w:t xml:space="preserve"> &lt;</w:t>
      </w:r>
      <w:r w:rsidRPr="00F05377">
        <w:rPr>
          <w:szCs w:val="24"/>
        </w:rPr>
        <w:t xml:space="preserve"> http://www.oecd.org/els/benefitsandwagespolicies.htm &gt;.</w:t>
      </w:r>
    </w:p>
    <w:p w:rsidR="006F6A5E" w:rsidRPr="00F05377" w:rsidRDefault="006F6A5E" w:rsidP="005D38A0">
      <w:pPr>
        <w:pStyle w:val="ListParagraph"/>
        <w:numPr>
          <w:ilvl w:val="0"/>
          <w:numId w:val="42"/>
        </w:numPr>
        <w:ind w:left="360"/>
        <w:rPr>
          <w:szCs w:val="24"/>
        </w:rPr>
      </w:pPr>
      <w:r w:rsidRPr="00F05377">
        <w:rPr>
          <w:b/>
          <w:szCs w:val="24"/>
        </w:rPr>
        <w:t xml:space="preserve">SEB bankas. </w:t>
      </w:r>
      <w:r w:rsidR="0042012C" w:rsidRPr="00F05377">
        <w:rPr>
          <w:i/>
          <w:szCs w:val="24"/>
        </w:rPr>
        <w:t>„</w:t>
      </w:r>
      <w:r w:rsidRPr="00F05377">
        <w:rPr>
          <w:i/>
          <w:szCs w:val="24"/>
        </w:rPr>
        <w:t xml:space="preserve">Namų ūkių finansinio turto </w:t>
      </w:r>
      <w:r w:rsidR="006F11D1" w:rsidRPr="00F05377">
        <w:rPr>
          <w:i/>
          <w:szCs w:val="24"/>
        </w:rPr>
        <w:t>barometras</w:t>
      </w:r>
      <w:r w:rsidR="0042012C" w:rsidRPr="00F05377">
        <w:rPr>
          <w:i/>
          <w:szCs w:val="24"/>
        </w:rPr>
        <w:t>“</w:t>
      </w:r>
      <w:r w:rsidR="006F11D1" w:rsidRPr="00F05377">
        <w:rPr>
          <w:szCs w:val="24"/>
        </w:rPr>
        <w:t xml:space="preserve">. – 2011 </w:t>
      </w:r>
      <w:r w:rsidR="00696F94" w:rsidRPr="00F05377">
        <w:rPr>
          <w:szCs w:val="24"/>
        </w:rPr>
        <w:t>[interaktyvus] [žiūrėta 2012 03</w:t>
      </w:r>
      <w:r w:rsidR="000D0476" w:rsidRPr="00F05377">
        <w:rPr>
          <w:szCs w:val="24"/>
        </w:rPr>
        <w:t xml:space="preserve"> 06]. </w:t>
      </w:r>
      <w:r w:rsidR="006F11D1" w:rsidRPr="00F05377">
        <w:rPr>
          <w:szCs w:val="24"/>
        </w:rPr>
        <w:t>Prieiga:</w:t>
      </w:r>
      <w:r w:rsidR="00045694" w:rsidRPr="00F05377">
        <w:rPr>
          <w:szCs w:val="24"/>
        </w:rPr>
        <w:t xml:space="preserve"> &lt;</w:t>
      </w:r>
      <w:r w:rsidR="0010276D" w:rsidRPr="00F05377">
        <w:rPr>
          <w:szCs w:val="24"/>
        </w:rPr>
        <w:t xml:space="preserve"> http://fin.seb.lt/vbfin/subscription/list.fw?type_id=104&amp;year=2011&amp;lang=lt&amp;s_menu=4 </w:t>
      </w:r>
      <w:r w:rsidR="00045694" w:rsidRPr="00F05377">
        <w:rPr>
          <w:szCs w:val="24"/>
        </w:rPr>
        <w:t>&gt;.</w:t>
      </w:r>
    </w:p>
    <w:p w:rsidR="00804172" w:rsidRPr="00F05377" w:rsidRDefault="00291940" w:rsidP="00626203">
      <w:pPr>
        <w:pStyle w:val="ListParagraph"/>
        <w:numPr>
          <w:ilvl w:val="0"/>
          <w:numId w:val="42"/>
        </w:numPr>
        <w:spacing w:after="0"/>
        <w:ind w:left="360"/>
        <w:rPr>
          <w:szCs w:val="24"/>
        </w:rPr>
      </w:pPr>
      <w:r w:rsidRPr="00F05377">
        <w:rPr>
          <w:b/>
          <w:szCs w:val="24"/>
        </w:rPr>
        <w:t>„</w:t>
      </w:r>
      <w:proofErr w:type="spellStart"/>
      <w:r w:rsidR="00E15D3B" w:rsidRPr="00F05377">
        <w:rPr>
          <w:b/>
          <w:szCs w:val="24"/>
        </w:rPr>
        <w:t>Swedbank</w:t>
      </w:r>
      <w:proofErr w:type="spellEnd"/>
      <w:r w:rsidRPr="00F05377">
        <w:rPr>
          <w:b/>
          <w:szCs w:val="24"/>
        </w:rPr>
        <w:t>“</w:t>
      </w:r>
      <w:r w:rsidR="00E15D3B" w:rsidRPr="00F05377">
        <w:rPr>
          <w:b/>
          <w:szCs w:val="24"/>
        </w:rPr>
        <w:t xml:space="preserve"> asmeninių finansų institutas</w:t>
      </w:r>
      <w:r w:rsidR="00804172" w:rsidRPr="00F05377">
        <w:rPr>
          <w:b/>
          <w:szCs w:val="24"/>
        </w:rPr>
        <w:t>.</w:t>
      </w:r>
      <w:r w:rsidR="00E15D3B" w:rsidRPr="00F05377">
        <w:rPr>
          <w:szCs w:val="24"/>
        </w:rPr>
        <w:t xml:space="preserve"> </w:t>
      </w:r>
      <w:r w:rsidRPr="00F05377">
        <w:rPr>
          <w:i/>
          <w:szCs w:val="24"/>
        </w:rPr>
        <w:t>Baltijos šalių gyventojų tau</w:t>
      </w:r>
      <w:r w:rsidR="0015647E" w:rsidRPr="00F05377">
        <w:rPr>
          <w:i/>
          <w:szCs w:val="24"/>
        </w:rPr>
        <w:t>pymo elgsenos tyrimas</w:t>
      </w:r>
      <w:r w:rsidR="0015647E" w:rsidRPr="00F05377">
        <w:rPr>
          <w:szCs w:val="24"/>
        </w:rPr>
        <w:t xml:space="preserve">. – 2011 </w:t>
      </w:r>
      <w:r w:rsidR="00696F94" w:rsidRPr="00F05377">
        <w:rPr>
          <w:szCs w:val="24"/>
        </w:rPr>
        <w:t>[interaktyvus] [žiūrėta 2012 03 06</w:t>
      </w:r>
      <w:r w:rsidR="0015647E" w:rsidRPr="00F05377">
        <w:rPr>
          <w:szCs w:val="24"/>
        </w:rPr>
        <w:t>]</w:t>
      </w:r>
      <w:r w:rsidR="005C4DF8" w:rsidRPr="00F05377">
        <w:rPr>
          <w:szCs w:val="24"/>
        </w:rPr>
        <w:t xml:space="preserve">. Prieiga: &lt; </w:t>
      </w:r>
      <w:r w:rsidR="000162C9" w:rsidRPr="00F05377">
        <w:rPr>
          <w:szCs w:val="24"/>
        </w:rPr>
        <w:t xml:space="preserve">http://issuu.com/manofinansai/docs/baltijos-saliu-gyventoju-taupymo-elgsenos-tyrimas </w:t>
      </w:r>
      <w:r w:rsidR="005C4DF8" w:rsidRPr="00F05377">
        <w:rPr>
          <w:szCs w:val="24"/>
        </w:rPr>
        <w:t>&gt;.</w:t>
      </w:r>
    </w:p>
    <w:p w:rsidR="002F6ABC" w:rsidRPr="00F05377" w:rsidRDefault="002F6ABC" w:rsidP="00626203">
      <w:pPr>
        <w:spacing w:after="0"/>
        <w:ind w:firstLine="0"/>
        <w:jc w:val="center"/>
        <w:rPr>
          <w:color w:val="0070C0"/>
          <w:szCs w:val="24"/>
        </w:rPr>
      </w:pPr>
      <w:r w:rsidRPr="00F05377">
        <w:rPr>
          <w:b/>
          <w:szCs w:val="24"/>
          <w:u w:val="single"/>
        </w:rPr>
        <w:t>Elektroniniai ištekliai</w:t>
      </w:r>
      <w:r w:rsidRPr="00F05377">
        <w:rPr>
          <w:color w:val="0070C0"/>
          <w:szCs w:val="24"/>
        </w:rPr>
        <w:t>:</w:t>
      </w:r>
    </w:p>
    <w:p w:rsidR="002F6ABC" w:rsidRPr="00F05377" w:rsidRDefault="002F6ABC" w:rsidP="005D38A0">
      <w:pPr>
        <w:pStyle w:val="ListParagraph"/>
        <w:numPr>
          <w:ilvl w:val="0"/>
          <w:numId w:val="42"/>
        </w:numPr>
        <w:ind w:left="360"/>
        <w:rPr>
          <w:color w:val="0070C0"/>
          <w:szCs w:val="24"/>
        </w:rPr>
      </w:pPr>
      <w:proofErr w:type="spellStart"/>
      <w:r w:rsidRPr="00F05377">
        <w:rPr>
          <w:i/>
          <w:szCs w:val="24"/>
        </w:rPr>
        <w:t>Chi</w:t>
      </w:r>
      <w:proofErr w:type="spellEnd"/>
      <w:r w:rsidRPr="00F05377">
        <w:rPr>
          <w:i/>
          <w:szCs w:val="24"/>
        </w:rPr>
        <w:t xml:space="preserve"> kvadrato lentelė</w:t>
      </w:r>
      <w:r w:rsidR="00696F94" w:rsidRPr="00F05377">
        <w:rPr>
          <w:szCs w:val="24"/>
        </w:rPr>
        <w:t xml:space="preserve"> [interaktyvus] [</w:t>
      </w:r>
      <w:r w:rsidR="00696F94" w:rsidRPr="00580775">
        <w:rPr>
          <w:szCs w:val="24"/>
        </w:rPr>
        <w:t>žiūrėta 2012 11 05</w:t>
      </w:r>
      <w:r w:rsidRPr="00580775">
        <w:rPr>
          <w:szCs w:val="24"/>
        </w:rPr>
        <w:t>].</w:t>
      </w:r>
      <w:r w:rsidRPr="00F05377">
        <w:rPr>
          <w:szCs w:val="24"/>
        </w:rPr>
        <w:t xml:space="preserve"> Prieiga: &lt; http://home.comcast.net/~sharov/PopEcol/tables/chisq.html &gt;.</w:t>
      </w:r>
    </w:p>
    <w:p w:rsidR="005C4DF8" w:rsidRPr="00F05377" w:rsidRDefault="002F6ABC" w:rsidP="005D38A0">
      <w:pPr>
        <w:pStyle w:val="ListParagraph"/>
        <w:numPr>
          <w:ilvl w:val="0"/>
          <w:numId w:val="42"/>
        </w:numPr>
        <w:ind w:left="360"/>
        <w:rPr>
          <w:szCs w:val="24"/>
        </w:rPr>
      </w:pPr>
      <w:r w:rsidRPr="00F05377">
        <w:rPr>
          <w:b/>
          <w:szCs w:val="24"/>
        </w:rPr>
        <w:t>Vilniaus energija.</w:t>
      </w:r>
      <w:r w:rsidRPr="00F05377">
        <w:rPr>
          <w:szCs w:val="24"/>
        </w:rPr>
        <w:t xml:space="preserve"> </w:t>
      </w:r>
      <w:r w:rsidRPr="00F05377">
        <w:rPr>
          <w:i/>
          <w:szCs w:val="24"/>
        </w:rPr>
        <w:t>Šilumos suvartojimas 2010-2011 m.</w:t>
      </w:r>
      <w:r w:rsidRPr="00F05377">
        <w:rPr>
          <w:szCs w:val="24"/>
        </w:rPr>
        <w:t xml:space="preserve"> [interaktyvus]</w:t>
      </w:r>
      <w:r w:rsidR="008B36B3" w:rsidRPr="00F05377">
        <w:rPr>
          <w:szCs w:val="24"/>
        </w:rPr>
        <w:t xml:space="preserve"> [žiūrėta 2012 11 18</w:t>
      </w:r>
      <w:r w:rsidRPr="00F05377">
        <w:rPr>
          <w:szCs w:val="24"/>
        </w:rPr>
        <w:t>]. Prieiga: &lt; http://www.vilniaus-energija.lt/content/%C5%A1ilumos-suvartojimas-2010-2011-m &gt;.</w:t>
      </w:r>
    </w:p>
    <w:p w:rsidR="00506ABE" w:rsidRDefault="002F6ABC" w:rsidP="005D38A0">
      <w:pPr>
        <w:pStyle w:val="ListParagraph"/>
        <w:numPr>
          <w:ilvl w:val="0"/>
          <w:numId w:val="42"/>
        </w:numPr>
        <w:ind w:left="360"/>
      </w:pPr>
      <w:r w:rsidRPr="00F05377">
        <w:rPr>
          <w:b/>
          <w:szCs w:val="24"/>
        </w:rPr>
        <w:t>Vilniaus vandenys.</w:t>
      </w:r>
      <w:r w:rsidRPr="00F05377">
        <w:rPr>
          <w:szCs w:val="24"/>
        </w:rPr>
        <w:t xml:space="preserve"> </w:t>
      </w:r>
      <w:r w:rsidRPr="00F05377">
        <w:rPr>
          <w:i/>
          <w:szCs w:val="24"/>
        </w:rPr>
        <w:t>Paslaugų kainos 2012 m.</w:t>
      </w:r>
      <w:r w:rsidRPr="00F05377">
        <w:rPr>
          <w:szCs w:val="24"/>
        </w:rPr>
        <w:t xml:space="preserve"> </w:t>
      </w:r>
      <w:r w:rsidR="008B36B3" w:rsidRPr="00F05377">
        <w:rPr>
          <w:szCs w:val="24"/>
        </w:rPr>
        <w:t>[interaktyvus] [žiūrėta 2012 11 18</w:t>
      </w:r>
      <w:r w:rsidRPr="00F05377">
        <w:rPr>
          <w:szCs w:val="24"/>
        </w:rPr>
        <w:t>]. Prieiga: &lt; http://www.vv.lt/lt/paslaugu_kainos/ &gt;.</w:t>
      </w:r>
      <w:r w:rsidR="00506ABE">
        <w:br w:type="page"/>
      </w:r>
    </w:p>
    <w:p w:rsidR="00F22A54" w:rsidRPr="006C4A7E" w:rsidRDefault="00F22A54" w:rsidP="00FD0F58">
      <w:pPr>
        <w:spacing w:after="0"/>
      </w:pPr>
      <w:proofErr w:type="spellStart"/>
      <w:r w:rsidRPr="006C4A7E">
        <w:rPr>
          <w:b/>
        </w:rPr>
        <w:lastRenderedPageBreak/>
        <w:t>Šarkauskaitė</w:t>
      </w:r>
      <w:proofErr w:type="spellEnd"/>
      <w:r w:rsidRPr="006C4A7E">
        <w:rPr>
          <w:b/>
        </w:rPr>
        <w:t xml:space="preserve"> R.</w:t>
      </w:r>
      <w:r w:rsidRPr="006C4A7E">
        <w:t xml:space="preserve"> Nedarbo socialinio draudimo išmokų bei socialinės paramos gavėjų finansinės elgsenos vertinimas: Lietuvos atvejis / Finansų valdymo magistro baigiamasis darbas. Vadovė prof. dr. D. </w:t>
      </w:r>
      <w:proofErr w:type="spellStart"/>
      <w:r w:rsidRPr="006C4A7E">
        <w:t>Jurevičienė</w:t>
      </w:r>
      <w:proofErr w:type="spellEnd"/>
      <w:r w:rsidRPr="006C4A7E">
        <w:t xml:space="preserve">. – Vilnius: Mykolo </w:t>
      </w:r>
      <w:proofErr w:type="spellStart"/>
      <w:r w:rsidRPr="006C4A7E">
        <w:t>Romerio</w:t>
      </w:r>
      <w:proofErr w:type="spellEnd"/>
      <w:r w:rsidRPr="006C4A7E">
        <w:t xml:space="preserve"> universitetas, Ekonomikos ir finansų valdymo fakultetas, 2012. – </w:t>
      </w:r>
      <w:r w:rsidR="00C36C0D">
        <w:t>82</w:t>
      </w:r>
      <w:r w:rsidRPr="00CB5EB0">
        <w:t> p. teksto be priedų</w:t>
      </w:r>
      <w:r w:rsidR="00580775" w:rsidRPr="00CB5EB0">
        <w:t>, 19 pav., 9</w:t>
      </w:r>
      <w:r w:rsidR="00796889" w:rsidRPr="00CB5EB0">
        <w:t> lent., 95</w:t>
      </w:r>
      <w:r w:rsidRPr="00CB5EB0">
        <w:t> </w:t>
      </w:r>
      <w:r w:rsidR="00796889" w:rsidRPr="00CB5EB0">
        <w:t>literatūros šaltiniai. Atskirai pridedama 13</w:t>
      </w:r>
      <w:r w:rsidRPr="00CB5EB0">
        <w:t> darbo priedų.</w:t>
      </w:r>
    </w:p>
    <w:p w:rsidR="004B49FA" w:rsidRPr="00FD7D41" w:rsidRDefault="004B49FA" w:rsidP="00380DDA">
      <w:pPr>
        <w:spacing w:after="0"/>
        <w:ind w:firstLine="0"/>
        <w:contextualSpacing w:val="0"/>
        <w:jc w:val="center"/>
        <w:rPr>
          <w:b/>
          <w:szCs w:val="24"/>
        </w:rPr>
      </w:pPr>
      <w:r w:rsidRPr="00FD7D41">
        <w:rPr>
          <w:b/>
          <w:szCs w:val="24"/>
        </w:rPr>
        <w:t>ANOTACIJA</w:t>
      </w:r>
    </w:p>
    <w:p w:rsidR="00BC0233" w:rsidRPr="00CC4C85" w:rsidRDefault="0053304E" w:rsidP="004B49FA">
      <w:r w:rsidRPr="00CC4C85">
        <w:t>Magist</w:t>
      </w:r>
      <w:r w:rsidR="009D617F">
        <w:t>ro baigiamajame darbe išnagrinėti ir įvertinti</w:t>
      </w:r>
      <w:r w:rsidRPr="00CC4C85">
        <w:t xml:space="preserve"> </w:t>
      </w:r>
      <w:r w:rsidR="009D617F">
        <w:t xml:space="preserve">socialinių išmokų </w:t>
      </w:r>
      <w:r w:rsidRPr="00CC4C85">
        <w:t>gavėjų</w:t>
      </w:r>
      <w:r w:rsidR="00253AE6" w:rsidRPr="00CC4C85">
        <w:t xml:space="preserve"> elgsenai įtaką darantys veiksniai, lemia</w:t>
      </w:r>
      <w:r w:rsidR="005C5DD2">
        <w:t>ntys</w:t>
      </w:r>
      <w:r w:rsidR="00253AE6" w:rsidRPr="00CC4C85">
        <w:t xml:space="preserve"> sprendimo gyventi</w:t>
      </w:r>
      <w:r w:rsidR="00AC0E87" w:rsidRPr="00CC4C85">
        <w:t xml:space="preserve"> iš </w:t>
      </w:r>
      <w:r w:rsidR="00016002">
        <w:t xml:space="preserve">valstybės </w:t>
      </w:r>
      <w:r w:rsidR="00AC0E87" w:rsidRPr="00CC4C85">
        <w:t>lėšų priėmimą</w:t>
      </w:r>
      <w:r w:rsidR="0031384E" w:rsidRPr="00CC4C85">
        <w:t>,</w:t>
      </w:r>
      <w:r w:rsidR="00A1731C" w:rsidRPr="00CC4C85">
        <w:t xml:space="preserve"> </w:t>
      </w:r>
      <w:r w:rsidR="00016002">
        <w:t xml:space="preserve">aptartos </w:t>
      </w:r>
      <w:r w:rsidR="009D617F">
        <w:t>esm</w:t>
      </w:r>
      <w:r w:rsidR="0031384E" w:rsidRPr="00CC4C85">
        <w:t xml:space="preserve">inės </w:t>
      </w:r>
      <w:r w:rsidR="00E012E7">
        <w:t xml:space="preserve">problemos </w:t>
      </w:r>
      <w:r w:rsidR="005C5DD2">
        <w:t>ir</w:t>
      </w:r>
      <w:r w:rsidR="00BE3D78" w:rsidRPr="00CC4C85">
        <w:t xml:space="preserve"> pateik</w:t>
      </w:r>
      <w:r w:rsidR="0031384E" w:rsidRPr="00CC4C85">
        <w:t>ti</w:t>
      </w:r>
      <w:r w:rsidR="00BE3D78" w:rsidRPr="00CC4C85">
        <w:t xml:space="preserve"> </w:t>
      </w:r>
      <w:r w:rsidR="005C5DD2">
        <w:t xml:space="preserve">galimi </w:t>
      </w:r>
      <w:r w:rsidR="00BE3D78" w:rsidRPr="00CC4C85">
        <w:t xml:space="preserve">sprendimai </w:t>
      </w:r>
      <w:r w:rsidR="007874E4">
        <w:t>ši</w:t>
      </w:r>
      <w:r w:rsidR="00D34FFD">
        <w:t>ų</w:t>
      </w:r>
      <w:r w:rsidR="007874E4">
        <w:t xml:space="preserve"> žmonių </w:t>
      </w:r>
      <w:r w:rsidR="00BE3D78" w:rsidRPr="00CC4C85">
        <w:t>elgsenai gerinti.</w:t>
      </w:r>
      <w:r w:rsidR="00BC0233" w:rsidRPr="00CC4C85">
        <w:t xml:space="preserve"> </w:t>
      </w:r>
      <w:r w:rsidR="00BC0233" w:rsidRPr="00175080">
        <w:rPr>
          <w:i/>
        </w:rPr>
        <w:t>Pirmojoje darbo dalyje</w:t>
      </w:r>
      <w:r w:rsidR="007135F6" w:rsidRPr="00CC4C85">
        <w:t xml:space="preserve"> </w:t>
      </w:r>
      <w:r w:rsidR="00BC0233" w:rsidRPr="00CC4C85">
        <w:t>atskleidžiamas individų finansinės elgsenos, kaip reiškinio,</w:t>
      </w:r>
      <w:r w:rsidR="004E0905">
        <w:t xml:space="preserve"> komplikuotumas</w:t>
      </w:r>
      <w:r w:rsidR="00BC0233" w:rsidRPr="00CC4C85">
        <w:t>; pateikiamas</w:t>
      </w:r>
      <w:r w:rsidR="00BC0233" w:rsidRPr="00CC4C85">
        <w:rPr>
          <w:color w:val="0070C0"/>
        </w:rPr>
        <w:t xml:space="preserve"> </w:t>
      </w:r>
      <w:r w:rsidR="00DA63CC">
        <w:t xml:space="preserve">šiam darbui tinkantis </w:t>
      </w:r>
      <w:r w:rsidR="004E0905">
        <w:t xml:space="preserve">individų </w:t>
      </w:r>
      <w:r w:rsidR="00BC0233" w:rsidRPr="00CC4C85">
        <w:t xml:space="preserve">finansinės elgsenos apibrėžimas, kuriuo </w:t>
      </w:r>
      <w:r w:rsidR="004E0905">
        <w:t xml:space="preserve">yra </w:t>
      </w:r>
      <w:r w:rsidR="00BC0233" w:rsidRPr="00CC4C85">
        <w:t>vadovaujamasi, nagrinėjant</w:t>
      </w:r>
      <w:r w:rsidR="00B83BC7" w:rsidRPr="00CC4C85">
        <w:t xml:space="preserve"> socialinių išmokų gavėjų elgseną</w:t>
      </w:r>
      <w:r w:rsidR="00BC0233" w:rsidRPr="00CC4C85">
        <w:t xml:space="preserve">; suskirsčius išmokų gavėjus į grupes pagal </w:t>
      </w:r>
      <w:r w:rsidR="00750780">
        <w:t xml:space="preserve">pasirinktus </w:t>
      </w:r>
      <w:r w:rsidR="00BC0233" w:rsidRPr="00CC4C85">
        <w:t xml:space="preserve">požymius, </w:t>
      </w:r>
      <w:r w:rsidR="00B8339E" w:rsidRPr="00CC4C85">
        <w:t>aptari</w:t>
      </w:r>
      <w:r w:rsidR="000128EF" w:rsidRPr="00CC4C85">
        <w:t xml:space="preserve">ami </w:t>
      </w:r>
      <w:r w:rsidR="00BC0233" w:rsidRPr="00CC4C85">
        <w:t xml:space="preserve">jų elgsenai įtaką darantys veiksniai. Darant išvadą, jog </w:t>
      </w:r>
      <w:r w:rsidR="004B38F8">
        <w:t xml:space="preserve">pasigendama </w:t>
      </w:r>
      <w:proofErr w:type="spellStart"/>
      <w:r w:rsidR="00BC0233" w:rsidRPr="00CC4C85">
        <w:t>metodolo</w:t>
      </w:r>
      <w:r w:rsidR="008D3F21" w:rsidRPr="00CC4C85">
        <w:t>giškai</w:t>
      </w:r>
      <w:proofErr w:type="spellEnd"/>
      <w:r w:rsidR="008D3F21" w:rsidRPr="00CC4C85">
        <w:t xml:space="preserve"> pagrįstų modelių, kuriais</w:t>
      </w:r>
      <w:r w:rsidR="00BC0233" w:rsidRPr="00CC4C85">
        <w:t xml:space="preserve"> būtų galima</w:t>
      </w:r>
      <w:r w:rsidR="008D3F21" w:rsidRPr="00CC4C85">
        <w:t xml:space="preserve"> remtis</w:t>
      </w:r>
      <w:r w:rsidR="00BC0233" w:rsidRPr="00CC4C85">
        <w:t xml:space="preserve">, vertinant </w:t>
      </w:r>
      <w:r w:rsidR="008D3F21" w:rsidRPr="00CC4C85">
        <w:t xml:space="preserve">socialinių išmokų gavėjų </w:t>
      </w:r>
      <w:r w:rsidR="00BC0233" w:rsidRPr="00CC4C85">
        <w:t xml:space="preserve">elgseną, </w:t>
      </w:r>
      <w:r w:rsidR="00BC0233" w:rsidRPr="00764214">
        <w:rPr>
          <w:i/>
        </w:rPr>
        <w:t>antrojoje dalyje</w:t>
      </w:r>
      <w:r w:rsidR="00BC0233" w:rsidRPr="00CC4C85">
        <w:t xml:space="preserve"> </w:t>
      </w:r>
      <w:r w:rsidR="003506CF">
        <w:t xml:space="preserve">suformuojamas </w:t>
      </w:r>
      <w:r w:rsidR="00BC0233" w:rsidRPr="00CC4C85">
        <w:t xml:space="preserve">elgsenos vertinimo modelis. </w:t>
      </w:r>
      <w:r w:rsidR="00C30DB5" w:rsidRPr="00764214">
        <w:rPr>
          <w:i/>
        </w:rPr>
        <w:t>Trečiojoje</w:t>
      </w:r>
      <w:r w:rsidR="00BC0233" w:rsidRPr="00764214">
        <w:rPr>
          <w:i/>
        </w:rPr>
        <w:t xml:space="preserve"> dal</w:t>
      </w:r>
      <w:r w:rsidR="00C30DB5" w:rsidRPr="00764214">
        <w:rPr>
          <w:i/>
        </w:rPr>
        <w:t>yje</w:t>
      </w:r>
      <w:r w:rsidR="00C30DB5" w:rsidRPr="00CC4C85">
        <w:t xml:space="preserve"> </w:t>
      </w:r>
      <w:r w:rsidR="000C0564" w:rsidRPr="00CC4C85">
        <w:t xml:space="preserve">aptariami </w:t>
      </w:r>
      <w:r w:rsidR="00CB259A" w:rsidRPr="00CC4C85">
        <w:t xml:space="preserve">tyrimų rezultatai </w:t>
      </w:r>
      <w:r w:rsidR="00053095" w:rsidRPr="00CC4C85">
        <w:t xml:space="preserve">ir </w:t>
      </w:r>
      <w:r w:rsidR="00380DDA">
        <w:t>esm</w:t>
      </w:r>
      <w:r w:rsidR="000C0564" w:rsidRPr="00CC4C85">
        <w:t>inės problemos</w:t>
      </w:r>
      <w:r w:rsidR="00BC0233" w:rsidRPr="00CC4C85">
        <w:t xml:space="preserve">, kurioms spręsti </w:t>
      </w:r>
      <w:r w:rsidR="00BC0233" w:rsidRPr="00764214">
        <w:rPr>
          <w:i/>
        </w:rPr>
        <w:t>ketvirtojoje dalyje</w:t>
      </w:r>
      <w:r w:rsidR="00BC0233" w:rsidRPr="00CC4C85">
        <w:t xml:space="preserve"> pateikiami </w:t>
      </w:r>
      <w:r w:rsidR="00E45E82" w:rsidRPr="00CC4C85">
        <w:t>galimi sprendimai</w:t>
      </w:r>
      <w:r w:rsidR="00BC0233" w:rsidRPr="00CC4C85">
        <w:t>.</w:t>
      </w:r>
    </w:p>
    <w:p w:rsidR="000C0564" w:rsidRDefault="00E76C20" w:rsidP="00380DDA">
      <w:pPr>
        <w:contextualSpacing w:val="0"/>
      </w:pPr>
      <w:r>
        <w:rPr>
          <w:b/>
        </w:rPr>
        <w:t>Pagrindin</w:t>
      </w:r>
      <w:r w:rsidR="00E47164" w:rsidRPr="00E47164">
        <w:rPr>
          <w:b/>
        </w:rPr>
        <w:t>iai žodžiai</w:t>
      </w:r>
      <w:r w:rsidR="00E47164">
        <w:t>:</w:t>
      </w:r>
      <w:r w:rsidR="005F236E">
        <w:t xml:space="preserve"> </w:t>
      </w:r>
      <w:r w:rsidR="00AC0CA8">
        <w:t xml:space="preserve">gyventojų </w:t>
      </w:r>
      <w:r w:rsidR="005F236E">
        <w:t xml:space="preserve">finansinė elgsena, nedarbo draudimo išmoka, </w:t>
      </w:r>
      <w:r w:rsidR="004226F2">
        <w:t xml:space="preserve">neracionalumas, racionalumas, sąmoninga elgsena, </w:t>
      </w:r>
      <w:r w:rsidR="001714C3">
        <w:t xml:space="preserve">socialinė apsauga, </w:t>
      </w:r>
      <w:r w:rsidR="005F236E">
        <w:t xml:space="preserve">socialinė parama, </w:t>
      </w:r>
      <w:r w:rsidR="00AC0CA8">
        <w:t>socialinės apsaugos lėšos</w:t>
      </w:r>
      <w:r w:rsidR="001714C3">
        <w:t>.</w:t>
      </w:r>
    </w:p>
    <w:p w:rsidR="00A25AA9" w:rsidRPr="00FD7D41" w:rsidRDefault="00A25AA9" w:rsidP="00380DDA">
      <w:pPr>
        <w:spacing w:after="0"/>
        <w:contextualSpacing w:val="0"/>
        <w:rPr>
          <w:szCs w:val="24"/>
          <w:lang w:val="en-US"/>
        </w:rPr>
      </w:pPr>
      <w:proofErr w:type="spellStart"/>
      <w:r w:rsidRPr="00870977">
        <w:rPr>
          <w:b/>
          <w:szCs w:val="24"/>
          <w:lang w:val="en-US"/>
        </w:rPr>
        <w:t>Šarkauskaitė</w:t>
      </w:r>
      <w:proofErr w:type="spellEnd"/>
      <w:r w:rsidRPr="00870977">
        <w:rPr>
          <w:b/>
          <w:szCs w:val="24"/>
          <w:lang w:val="en-US"/>
        </w:rPr>
        <w:t xml:space="preserve"> R.</w:t>
      </w:r>
      <w:r w:rsidRPr="00874891">
        <w:rPr>
          <w:szCs w:val="24"/>
          <w:lang w:val="en-US"/>
        </w:rPr>
        <w:t xml:space="preserve"> The assessment of</w:t>
      </w:r>
      <w:r>
        <w:rPr>
          <w:szCs w:val="24"/>
          <w:lang w:val="en-US"/>
        </w:rPr>
        <w:t xml:space="preserve"> the</w:t>
      </w:r>
      <w:r w:rsidRPr="00874891">
        <w:rPr>
          <w:szCs w:val="24"/>
          <w:lang w:val="en-US"/>
        </w:rPr>
        <w:t xml:space="preserve"> financial behavior of recipients of unemployment insurance benefits and social assistance: the case of Lithuania / Master Thesis in Fin</w:t>
      </w:r>
      <w:r>
        <w:rPr>
          <w:szCs w:val="24"/>
          <w:lang w:val="en-US"/>
        </w:rPr>
        <w:t>ancial Management. Supervisor: P</w:t>
      </w:r>
      <w:r w:rsidRPr="00874891">
        <w:rPr>
          <w:szCs w:val="24"/>
          <w:lang w:val="en-US"/>
        </w:rPr>
        <w:t xml:space="preserve">rof. dr. D. </w:t>
      </w:r>
      <w:proofErr w:type="spellStart"/>
      <w:r w:rsidRPr="00874891">
        <w:rPr>
          <w:szCs w:val="24"/>
          <w:lang w:val="en-US"/>
        </w:rPr>
        <w:t>Jurevičienė</w:t>
      </w:r>
      <w:proofErr w:type="spellEnd"/>
      <w:r w:rsidRPr="00874891">
        <w:rPr>
          <w:szCs w:val="24"/>
          <w:lang w:val="en-US"/>
        </w:rPr>
        <w:t xml:space="preserve">. – Vilnius: </w:t>
      </w:r>
      <w:proofErr w:type="spellStart"/>
      <w:r w:rsidRPr="00874891">
        <w:rPr>
          <w:szCs w:val="24"/>
          <w:lang w:val="en-US"/>
        </w:rPr>
        <w:t>Mykolas</w:t>
      </w:r>
      <w:proofErr w:type="spellEnd"/>
      <w:r w:rsidRPr="00874891">
        <w:rPr>
          <w:szCs w:val="24"/>
          <w:lang w:val="en-US"/>
        </w:rPr>
        <w:t xml:space="preserve"> </w:t>
      </w:r>
      <w:proofErr w:type="spellStart"/>
      <w:r w:rsidRPr="00874891">
        <w:rPr>
          <w:szCs w:val="24"/>
          <w:lang w:val="en-US"/>
        </w:rPr>
        <w:t>Romeris</w:t>
      </w:r>
      <w:proofErr w:type="spellEnd"/>
      <w:r w:rsidRPr="00874891">
        <w:rPr>
          <w:szCs w:val="24"/>
          <w:lang w:val="en-US"/>
        </w:rPr>
        <w:t xml:space="preserve"> University</w:t>
      </w:r>
      <w:r>
        <w:rPr>
          <w:szCs w:val="24"/>
          <w:lang w:val="en-US"/>
        </w:rPr>
        <w:t>,</w:t>
      </w:r>
      <w:r w:rsidRPr="00874891">
        <w:rPr>
          <w:szCs w:val="24"/>
          <w:lang w:val="en-US"/>
        </w:rPr>
        <w:t xml:space="preserve"> Faculty of Eco</w:t>
      </w:r>
      <w:r>
        <w:rPr>
          <w:szCs w:val="24"/>
          <w:lang w:val="en-US"/>
        </w:rPr>
        <w:t>nomics and Financial Management</w:t>
      </w:r>
      <w:r w:rsidRPr="00874891">
        <w:rPr>
          <w:szCs w:val="24"/>
          <w:lang w:val="en-US"/>
        </w:rPr>
        <w:t>, 2012</w:t>
      </w:r>
      <w:r w:rsidRPr="00CB5EB0">
        <w:rPr>
          <w:szCs w:val="24"/>
          <w:lang w:val="en-US"/>
        </w:rPr>
        <w:t xml:space="preserve">. – </w:t>
      </w:r>
      <w:r w:rsidR="00C36C0D">
        <w:rPr>
          <w:szCs w:val="24"/>
          <w:lang w:val="en-US"/>
        </w:rPr>
        <w:t>82</w:t>
      </w:r>
      <w:r w:rsidR="00CB5EB0" w:rsidRPr="00CB5EB0">
        <w:rPr>
          <w:szCs w:val="24"/>
          <w:lang w:val="en-US"/>
        </w:rPr>
        <w:t xml:space="preserve"> p., 19</w:t>
      </w:r>
      <w:r w:rsidRPr="00CB5EB0">
        <w:rPr>
          <w:szCs w:val="24"/>
          <w:lang w:val="en-US"/>
        </w:rPr>
        <w:t xml:space="preserve"> </w:t>
      </w:r>
      <w:r w:rsidR="00CB5EB0" w:rsidRPr="00CB5EB0">
        <w:rPr>
          <w:szCs w:val="24"/>
          <w:lang w:val="en-US"/>
        </w:rPr>
        <w:t>figures, 9</w:t>
      </w:r>
      <w:r w:rsidR="00796889" w:rsidRPr="00CB5EB0">
        <w:rPr>
          <w:szCs w:val="24"/>
          <w:lang w:val="en-US"/>
        </w:rPr>
        <w:t xml:space="preserve"> tables, 95 references. 13</w:t>
      </w:r>
      <w:r w:rsidRPr="00CB5EB0">
        <w:rPr>
          <w:szCs w:val="24"/>
          <w:lang w:val="en-US"/>
        </w:rPr>
        <w:t xml:space="preserve"> appendixes are attached separately.</w:t>
      </w:r>
    </w:p>
    <w:p w:rsidR="000E6E89" w:rsidRPr="00FD7D41" w:rsidRDefault="000E6E89" w:rsidP="00380DDA">
      <w:pPr>
        <w:spacing w:after="0"/>
        <w:ind w:firstLine="0"/>
        <w:contextualSpacing w:val="0"/>
        <w:jc w:val="center"/>
        <w:rPr>
          <w:b/>
          <w:szCs w:val="24"/>
          <w:lang w:val="en-US"/>
        </w:rPr>
      </w:pPr>
      <w:r w:rsidRPr="00FD7D41">
        <w:rPr>
          <w:b/>
          <w:szCs w:val="24"/>
          <w:lang w:val="en-US"/>
        </w:rPr>
        <w:t>ANNOTATION</w:t>
      </w:r>
    </w:p>
    <w:p w:rsidR="001E68DB" w:rsidRDefault="00E635A0" w:rsidP="006A3BB1">
      <w:pPr>
        <w:rPr>
          <w:lang w:val="en-US"/>
        </w:rPr>
      </w:pPr>
      <w:r>
        <w:rPr>
          <w:lang w:val="en-US"/>
        </w:rPr>
        <w:t xml:space="preserve">In </w:t>
      </w:r>
      <w:r w:rsidR="00531320">
        <w:rPr>
          <w:lang w:val="en-US"/>
        </w:rPr>
        <w:t xml:space="preserve">the </w:t>
      </w:r>
      <w:r>
        <w:rPr>
          <w:lang w:val="en-US"/>
        </w:rPr>
        <w:t>Master Thesis</w:t>
      </w:r>
      <w:r w:rsidR="00EB7071">
        <w:rPr>
          <w:lang w:val="en-US"/>
        </w:rPr>
        <w:t xml:space="preserve"> </w:t>
      </w:r>
      <w:r w:rsidR="00F37BA1">
        <w:rPr>
          <w:lang w:val="en-US"/>
        </w:rPr>
        <w:t xml:space="preserve">the </w:t>
      </w:r>
      <w:r w:rsidR="00EB7071">
        <w:rPr>
          <w:lang w:val="en-US"/>
        </w:rPr>
        <w:t>basic</w:t>
      </w:r>
      <w:r w:rsidR="00E25855">
        <w:rPr>
          <w:lang w:val="en-US"/>
        </w:rPr>
        <w:t xml:space="preserve"> factors </w:t>
      </w:r>
      <w:r w:rsidR="00EB6D8A">
        <w:rPr>
          <w:lang w:val="en-US"/>
        </w:rPr>
        <w:t>that influence</w:t>
      </w:r>
      <w:r w:rsidR="00D978FC">
        <w:rPr>
          <w:lang w:val="en-US"/>
        </w:rPr>
        <w:t xml:space="preserve"> </w:t>
      </w:r>
      <w:r w:rsidR="003274D0">
        <w:rPr>
          <w:lang w:val="en-US"/>
        </w:rPr>
        <w:t xml:space="preserve">the emergence of </w:t>
      </w:r>
      <w:r w:rsidR="00D978FC">
        <w:rPr>
          <w:lang w:val="en-US"/>
        </w:rPr>
        <w:t>irrational</w:t>
      </w:r>
      <w:r w:rsidR="00EB6D8A">
        <w:rPr>
          <w:lang w:val="en-US"/>
        </w:rPr>
        <w:t xml:space="preserve"> </w:t>
      </w:r>
      <w:r w:rsidR="00B10670">
        <w:rPr>
          <w:lang w:val="en-US"/>
        </w:rPr>
        <w:t xml:space="preserve">financial behavior of recipients of </w:t>
      </w:r>
      <w:r w:rsidR="001F6A81">
        <w:rPr>
          <w:lang w:val="en-US"/>
        </w:rPr>
        <w:t xml:space="preserve">social </w:t>
      </w:r>
      <w:r w:rsidR="00175080">
        <w:rPr>
          <w:lang w:val="en-US"/>
        </w:rPr>
        <w:t xml:space="preserve">benefits </w:t>
      </w:r>
      <w:r w:rsidR="001F6A81">
        <w:rPr>
          <w:lang w:val="en-US"/>
        </w:rPr>
        <w:t xml:space="preserve">were analyzed and </w:t>
      </w:r>
      <w:r w:rsidR="00EB6D8A">
        <w:rPr>
          <w:lang w:val="en-US"/>
        </w:rPr>
        <w:t>assessed</w:t>
      </w:r>
      <w:r w:rsidR="00D978FC">
        <w:rPr>
          <w:lang w:val="en-US"/>
        </w:rPr>
        <w:t xml:space="preserve">, </w:t>
      </w:r>
      <w:r w:rsidR="0080234C">
        <w:rPr>
          <w:lang w:val="en-US"/>
        </w:rPr>
        <w:t xml:space="preserve">the main problems were discussed and </w:t>
      </w:r>
      <w:r w:rsidR="00052BD2">
        <w:rPr>
          <w:lang w:val="en-US"/>
        </w:rPr>
        <w:t xml:space="preserve">possible solutions </w:t>
      </w:r>
      <w:r w:rsidR="00B15BD9">
        <w:rPr>
          <w:lang w:val="en-US"/>
        </w:rPr>
        <w:t xml:space="preserve">for </w:t>
      </w:r>
      <w:r w:rsidR="00794850">
        <w:rPr>
          <w:lang w:val="en-US"/>
        </w:rPr>
        <w:t>imp</w:t>
      </w:r>
      <w:r w:rsidR="00282400">
        <w:rPr>
          <w:lang w:val="en-US"/>
        </w:rPr>
        <w:t xml:space="preserve">rovement </w:t>
      </w:r>
      <w:r w:rsidR="00E656CD">
        <w:rPr>
          <w:lang w:val="en-US"/>
        </w:rPr>
        <w:t>of</w:t>
      </w:r>
      <w:r w:rsidR="009038C0">
        <w:rPr>
          <w:lang w:val="en-US"/>
        </w:rPr>
        <w:t xml:space="preserve"> financial behavior of recipients of social benefits were suggested.</w:t>
      </w:r>
      <w:r w:rsidR="00DA0DFE">
        <w:rPr>
          <w:lang w:val="en-US"/>
        </w:rPr>
        <w:t xml:space="preserve"> </w:t>
      </w:r>
      <w:r w:rsidR="00DA0DFE" w:rsidRPr="00175080">
        <w:rPr>
          <w:i/>
          <w:lang w:val="en-US"/>
        </w:rPr>
        <w:t xml:space="preserve">In the first part </w:t>
      </w:r>
      <w:r w:rsidR="0089111F" w:rsidRPr="00175080">
        <w:rPr>
          <w:i/>
          <w:lang w:val="en-US"/>
        </w:rPr>
        <w:t>of the Thesis</w:t>
      </w:r>
      <w:r w:rsidR="0089111F">
        <w:rPr>
          <w:lang w:val="en-US"/>
        </w:rPr>
        <w:t xml:space="preserve"> </w:t>
      </w:r>
      <w:r w:rsidR="00F51A02">
        <w:rPr>
          <w:lang w:val="en-US"/>
        </w:rPr>
        <w:t xml:space="preserve">the complexity of financial behavior </w:t>
      </w:r>
      <w:r w:rsidR="003C0314">
        <w:rPr>
          <w:lang w:val="en-US"/>
        </w:rPr>
        <w:t xml:space="preserve">phenomenon </w:t>
      </w:r>
      <w:r w:rsidR="00940E16">
        <w:rPr>
          <w:lang w:val="en-US"/>
        </w:rPr>
        <w:t>is being revealed</w:t>
      </w:r>
      <w:r w:rsidR="003C0314">
        <w:rPr>
          <w:lang w:val="en-US"/>
        </w:rPr>
        <w:t xml:space="preserve">; </w:t>
      </w:r>
      <w:r w:rsidR="00011122">
        <w:rPr>
          <w:lang w:val="en-US"/>
        </w:rPr>
        <w:t>the definition of</w:t>
      </w:r>
      <w:r w:rsidR="00D80E91">
        <w:rPr>
          <w:lang w:val="en-US"/>
        </w:rPr>
        <w:t xml:space="preserve"> the financial behavior</w:t>
      </w:r>
      <w:r w:rsidR="00261880">
        <w:rPr>
          <w:lang w:val="en-US"/>
        </w:rPr>
        <w:t xml:space="preserve"> </w:t>
      </w:r>
      <w:r w:rsidR="00453454">
        <w:rPr>
          <w:lang w:val="en-US"/>
        </w:rPr>
        <w:t>is being presented which is being</w:t>
      </w:r>
      <w:r w:rsidR="00E7665A">
        <w:rPr>
          <w:lang w:val="en-US"/>
        </w:rPr>
        <w:t xml:space="preserve"> </w:t>
      </w:r>
      <w:r w:rsidR="00CA37E5">
        <w:rPr>
          <w:lang w:val="en-US"/>
        </w:rPr>
        <w:t>us</w:t>
      </w:r>
      <w:r w:rsidR="00BB1882">
        <w:rPr>
          <w:lang w:val="en-US"/>
        </w:rPr>
        <w:t xml:space="preserve">ed </w:t>
      </w:r>
      <w:r w:rsidR="0042258F">
        <w:rPr>
          <w:lang w:val="en-US"/>
        </w:rPr>
        <w:t xml:space="preserve">when examining </w:t>
      </w:r>
      <w:r w:rsidR="00BB1882">
        <w:rPr>
          <w:lang w:val="en-US"/>
        </w:rPr>
        <w:t>behavior of recipients of social benefits</w:t>
      </w:r>
      <w:r w:rsidR="00F83987">
        <w:rPr>
          <w:lang w:val="en-US"/>
        </w:rPr>
        <w:t xml:space="preserve">; after sorting recipients of social benefits </w:t>
      </w:r>
      <w:r w:rsidR="00395271">
        <w:rPr>
          <w:lang w:val="en-US"/>
        </w:rPr>
        <w:t>by selected</w:t>
      </w:r>
      <w:r w:rsidR="00CA37E5">
        <w:rPr>
          <w:lang w:val="en-US"/>
        </w:rPr>
        <w:t xml:space="preserve"> symptoms</w:t>
      </w:r>
      <w:r w:rsidR="00C06001">
        <w:rPr>
          <w:lang w:val="en-US"/>
        </w:rPr>
        <w:t xml:space="preserve">, the </w:t>
      </w:r>
      <w:r w:rsidR="00F46360">
        <w:rPr>
          <w:lang w:val="en-US"/>
        </w:rPr>
        <w:t xml:space="preserve">basic </w:t>
      </w:r>
      <w:r w:rsidR="00C0530C">
        <w:rPr>
          <w:lang w:val="en-US"/>
        </w:rPr>
        <w:t>fac</w:t>
      </w:r>
      <w:r w:rsidR="00F46360">
        <w:rPr>
          <w:lang w:val="en-US"/>
        </w:rPr>
        <w:t>t</w:t>
      </w:r>
      <w:r w:rsidR="00C0530C">
        <w:rPr>
          <w:lang w:val="en-US"/>
        </w:rPr>
        <w:t>ors</w:t>
      </w:r>
      <w:r w:rsidR="00F46360">
        <w:rPr>
          <w:lang w:val="en-US"/>
        </w:rPr>
        <w:t xml:space="preserve"> that influence </w:t>
      </w:r>
      <w:r w:rsidR="00163AAD">
        <w:rPr>
          <w:lang w:val="en-US"/>
        </w:rPr>
        <w:t xml:space="preserve">financial </w:t>
      </w:r>
      <w:r w:rsidR="002872DE">
        <w:rPr>
          <w:lang w:val="en-US"/>
        </w:rPr>
        <w:t>behavior</w:t>
      </w:r>
      <w:r w:rsidR="00F61DC2">
        <w:rPr>
          <w:lang w:val="en-US"/>
        </w:rPr>
        <w:t xml:space="preserve"> are being</w:t>
      </w:r>
      <w:r w:rsidR="00AB3094">
        <w:rPr>
          <w:lang w:val="en-US"/>
        </w:rPr>
        <w:t xml:space="preserve"> discussed. </w:t>
      </w:r>
      <w:r w:rsidR="00D7503C">
        <w:rPr>
          <w:lang w:val="en-US"/>
        </w:rPr>
        <w:t>After concluding that there are no</w:t>
      </w:r>
      <w:r w:rsidR="00163AAD">
        <w:rPr>
          <w:lang w:val="en-US"/>
        </w:rPr>
        <w:t>t enough</w:t>
      </w:r>
      <w:r w:rsidR="00D7503C">
        <w:rPr>
          <w:lang w:val="en-US"/>
        </w:rPr>
        <w:t xml:space="preserve"> met</w:t>
      </w:r>
      <w:r w:rsidR="00BF4D72">
        <w:rPr>
          <w:lang w:val="en-US"/>
        </w:rPr>
        <w:t>h</w:t>
      </w:r>
      <w:r w:rsidR="00D7503C">
        <w:rPr>
          <w:lang w:val="en-US"/>
        </w:rPr>
        <w:t>odolo</w:t>
      </w:r>
      <w:r w:rsidR="00BF4D72">
        <w:rPr>
          <w:lang w:val="en-US"/>
        </w:rPr>
        <w:t>gically based models</w:t>
      </w:r>
      <w:r w:rsidR="00163AAD">
        <w:rPr>
          <w:lang w:val="en-US"/>
        </w:rPr>
        <w:t xml:space="preserve"> </w:t>
      </w:r>
      <w:r w:rsidR="00DE6102">
        <w:rPr>
          <w:lang w:val="en-US"/>
        </w:rPr>
        <w:t xml:space="preserve">which could be used for assessment of financial behavior of </w:t>
      </w:r>
      <w:r w:rsidR="00D105CF">
        <w:rPr>
          <w:lang w:val="en-US"/>
        </w:rPr>
        <w:t>benef</w:t>
      </w:r>
      <w:r w:rsidR="00790F51">
        <w:rPr>
          <w:lang w:val="en-US"/>
        </w:rPr>
        <w:t>iciaries</w:t>
      </w:r>
      <w:r w:rsidR="00B453A5">
        <w:rPr>
          <w:lang w:val="en-US"/>
        </w:rPr>
        <w:t xml:space="preserve">, </w:t>
      </w:r>
      <w:r w:rsidR="005E3224" w:rsidRPr="00764214">
        <w:rPr>
          <w:i/>
          <w:lang w:val="en-US"/>
        </w:rPr>
        <w:t>in the second part of the Thesis</w:t>
      </w:r>
      <w:r w:rsidR="005E3224">
        <w:rPr>
          <w:lang w:val="en-US"/>
        </w:rPr>
        <w:t xml:space="preserve"> </w:t>
      </w:r>
      <w:r w:rsidR="00143E2E">
        <w:rPr>
          <w:lang w:val="en-US"/>
        </w:rPr>
        <w:t xml:space="preserve">the possible model </w:t>
      </w:r>
      <w:r w:rsidR="005E3224">
        <w:rPr>
          <w:lang w:val="en-US"/>
        </w:rPr>
        <w:t>is being offered</w:t>
      </w:r>
      <w:r w:rsidR="00D157B7">
        <w:rPr>
          <w:lang w:val="en-US"/>
        </w:rPr>
        <w:t>.</w:t>
      </w:r>
      <w:r w:rsidR="00E3137A">
        <w:rPr>
          <w:lang w:val="en-US"/>
        </w:rPr>
        <w:t xml:space="preserve"> </w:t>
      </w:r>
      <w:r w:rsidR="00E3137A" w:rsidRPr="008D2F41">
        <w:rPr>
          <w:i/>
          <w:lang w:val="en-US"/>
        </w:rPr>
        <w:t xml:space="preserve">In the </w:t>
      </w:r>
      <w:r w:rsidR="00F37BA1" w:rsidRPr="008D2F41">
        <w:rPr>
          <w:i/>
          <w:lang w:val="en-US"/>
        </w:rPr>
        <w:t>third part</w:t>
      </w:r>
      <w:r w:rsidR="00F37BA1">
        <w:rPr>
          <w:lang w:val="en-US"/>
        </w:rPr>
        <w:t xml:space="preserve"> the results </w:t>
      </w:r>
      <w:r w:rsidR="003F5E38">
        <w:rPr>
          <w:lang w:val="en-US"/>
        </w:rPr>
        <w:t xml:space="preserve">of the surveys are being discussed </w:t>
      </w:r>
      <w:r w:rsidR="006A3BB1">
        <w:rPr>
          <w:lang w:val="en-US"/>
        </w:rPr>
        <w:t>and the main problems are being revealed</w:t>
      </w:r>
      <w:r w:rsidR="00F444B6">
        <w:rPr>
          <w:lang w:val="en-US"/>
        </w:rPr>
        <w:t xml:space="preserve"> which </w:t>
      </w:r>
      <w:r w:rsidR="00F444B6" w:rsidRPr="00F444B6">
        <w:rPr>
          <w:i/>
          <w:lang w:val="en-US"/>
        </w:rPr>
        <w:t>in t</w:t>
      </w:r>
      <w:r w:rsidR="00BC2325" w:rsidRPr="00F444B6">
        <w:rPr>
          <w:i/>
          <w:lang w:val="en-US"/>
        </w:rPr>
        <w:t>he fourth p</w:t>
      </w:r>
      <w:r w:rsidR="008D2F41">
        <w:rPr>
          <w:i/>
          <w:lang w:val="en-US"/>
        </w:rPr>
        <w:t xml:space="preserve">art </w:t>
      </w:r>
      <w:r w:rsidR="008D2F41">
        <w:rPr>
          <w:lang w:val="en-US"/>
        </w:rPr>
        <w:t xml:space="preserve">are </w:t>
      </w:r>
      <w:r w:rsidR="0048112B">
        <w:rPr>
          <w:lang w:val="en-US"/>
        </w:rPr>
        <w:t xml:space="preserve">being used for </w:t>
      </w:r>
      <w:r w:rsidR="00D93BC7">
        <w:rPr>
          <w:lang w:val="en-US"/>
        </w:rPr>
        <w:t xml:space="preserve">justifying </w:t>
      </w:r>
      <w:r w:rsidR="0048112B">
        <w:rPr>
          <w:lang w:val="en-US"/>
        </w:rPr>
        <w:t>solutions.</w:t>
      </w:r>
    </w:p>
    <w:p w:rsidR="004B49FA" w:rsidRDefault="00CC03CB" w:rsidP="006A3BB1">
      <w:pPr>
        <w:rPr>
          <w:b/>
          <w:sz w:val="26"/>
          <w:szCs w:val="26"/>
        </w:rPr>
      </w:pPr>
      <w:r w:rsidRPr="00CC03CB">
        <w:rPr>
          <w:b/>
          <w:lang w:val="en-US"/>
        </w:rPr>
        <w:t>Keywords</w:t>
      </w:r>
      <w:r w:rsidRPr="00CC03CB">
        <w:rPr>
          <w:lang w:val="en-US"/>
        </w:rPr>
        <w:t xml:space="preserve">: </w:t>
      </w:r>
      <w:r>
        <w:rPr>
          <w:lang w:val="en-US"/>
        </w:rPr>
        <w:t>individual's financial behavior</w:t>
      </w:r>
      <w:r w:rsidR="00253A87">
        <w:rPr>
          <w:lang w:val="en-US"/>
        </w:rPr>
        <w:t xml:space="preserve">, irrationality, rationality, </w:t>
      </w:r>
      <w:r w:rsidR="00A950F4">
        <w:rPr>
          <w:lang w:val="en-US"/>
        </w:rPr>
        <w:t>social assistance, social security</w:t>
      </w:r>
      <w:r w:rsidR="00E4606F">
        <w:rPr>
          <w:lang w:val="en-US"/>
        </w:rPr>
        <w:t>,</w:t>
      </w:r>
      <w:r w:rsidR="00A950F4">
        <w:rPr>
          <w:lang w:val="en-US"/>
        </w:rPr>
        <w:t xml:space="preserve"> social security</w:t>
      </w:r>
      <w:r w:rsidR="00E4606F">
        <w:rPr>
          <w:lang w:val="en-US"/>
        </w:rPr>
        <w:t xml:space="preserve"> funds</w:t>
      </w:r>
      <w:r w:rsidR="00A950F4">
        <w:rPr>
          <w:lang w:val="en-US"/>
        </w:rPr>
        <w:t>,</w:t>
      </w:r>
      <w:r w:rsidR="00A950F4" w:rsidRPr="00F30762">
        <w:rPr>
          <w:lang w:val="en-US"/>
        </w:rPr>
        <w:t xml:space="preserve"> </w:t>
      </w:r>
      <w:r w:rsidR="00253A87">
        <w:rPr>
          <w:lang w:val="en-US"/>
        </w:rPr>
        <w:t xml:space="preserve">conscious behavior, </w:t>
      </w:r>
      <w:r w:rsidR="00F30762">
        <w:rPr>
          <w:lang w:val="en-US"/>
        </w:rPr>
        <w:t>unemployment insurance benefit</w:t>
      </w:r>
      <w:r w:rsidR="00253A87">
        <w:rPr>
          <w:lang w:val="en-US"/>
        </w:rPr>
        <w:t>.</w:t>
      </w:r>
      <w:r w:rsidR="004B49FA">
        <w:rPr>
          <w:b/>
          <w:sz w:val="26"/>
          <w:szCs w:val="26"/>
        </w:rPr>
        <w:br w:type="page"/>
      </w:r>
    </w:p>
    <w:p w:rsidR="0058214A" w:rsidRPr="006C4A7E" w:rsidRDefault="0058214A" w:rsidP="0058214A">
      <w:proofErr w:type="spellStart"/>
      <w:r w:rsidRPr="006C4A7E">
        <w:rPr>
          <w:b/>
        </w:rPr>
        <w:lastRenderedPageBreak/>
        <w:t>Šarkauskaitė</w:t>
      </w:r>
      <w:proofErr w:type="spellEnd"/>
      <w:r w:rsidRPr="006C4A7E">
        <w:rPr>
          <w:b/>
        </w:rPr>
        <w:t xml:space="preserve"> R.</w:t>
      </w:r>
      <w:r w:rsidRPr="006C4A7E">
        <w:t xml:space="preserve"> Nedarbo socialinio draudimo išmokų bei socialinės paramos gavėjų finansinės elgsenos vertinimas: Lietuvos atvejis / Finansų valdymo magistro baigiamasis darbas. Vadovė prof. dr. D. </w:t>
      </w:r>
      <w:proofErr w:type="spellStart"/>
      <w:r w:rsidRPr="006C4A7E">
        <w:t>Jurevičienė</w:t>
      </w:r>
      <w:proofErr w:type="spellEnd"/>
      <w:r w:rsidRPr="006C4A7E">
        <w:t xml:space="preserve">. – Vilnius: Mykolo </w:t>
      </w:r>
      <w:proofErr w:type="spellStart"/>
      <w:r w:rsidRPr="006C4A7E">
        <w:t>Romerio</w:t>
      </w:r>
      <w:proofErr w:type="spellEnd"/>
      <w:r w:rsidRPr="006C4A7E">
        <w:t xml:space="preserve"> universitetas, Ekonomikos ir finansų valdymo fakultetas, 2012. – </w:t>
      </w:r>
      <w:r w:rsidR="00C36C0D">
        <w:t>82</w:t>
      </w:r>
      <w:r w:rsidRPr="00F51EAF">
        <w:t> p.</w:t>
      </w:r>
      <w:r w:rsidR="0032163B" w:rsidRPr="00F51EAF">
        <w:t xml:space="preserve"> teksto be priedų</w:t>
      </w:r>
      <w:r w:rsidR="00796889" w:rsidRPr="00F51EAF">
        <w:t>,</w:t>
      </w:r>
      <w:r w:rsidR="00F51EAF" w:rsidRPr="00F51EAF">
        <w:t xml:space="preserve"> 19 pav., 9</w:t>
      </w:r>
      <w:r w:rsidR="00796889" w:rsidRPr="00F51EAF">
        <w:t> lent., 95</w:t>
      </w:r>
      <w:r w:rsidRPr="00F51EAF">
        <w:t> </w:t>
      </w:r>
      <w:r w:rsidR="00796889" w:rsidRPr="00F51EAF">
        <w:t>literatūros šaltiniai. Atskirai pridedama 13</w:t>
      </w:r>
      <w:r w:rsidRPr="00F51EAF">
        <w:t> darbo priedų.</w:t>
      </w:r>
    </w:p>
    <w:p w:rsidR="00506ABE" w:rsidRPr="00073E62" w:rsidRDefault="00506ABE" w:rsidP="00506ABE">
      <w:pPr>
        <w:ind w:firstLine="0"/>
        <w:jc w:val="center"/>
        <w:rPr>
          <w:b/>
          <w:szCs w:val="24"/>
        </w:rPr>
      </w:pPr>
      <w:r w:rsidRPr="00073E62">
        <w:rPr>
          <w:b/>
          <w:szCs w:val="24"/>
        </w:rPr>
        <w:t>SANTRAUKA</w:t>
      </w:r>
    </w:p>
    <w:p w:rsidR="00B43C8E" w:rsidRDefault="00985120" w:rsidP="00506ABE">
      <w:r>
        <w:t xml:space="preserve">Kadangi </w:t>
      </w:r>
      <w:r w:rsidR="00DB3F31">
        <w:t xml:space="preserve">per pastarąjį dešimtmetį </w:t>
      </w:r>
      <w:r w:rsidR="00F76EC3">
        <w:t>tyrimus</w:t>
      </w:r>
      <w:r w:rsidR="00814E83">
        <w:t xml:space="preserve"> </w:t>
      </w:r>
      <w:r w:rsidR="00F76EC3">
        <w:t xml:space="preserve">gyventojų finansinės elgsenos tema </w:t>
      </w:r>
      <w:r w:rsidR="00A53388">
        <w:t xml:space="preserve">plėtojo </w:t>
      </w:r>
      <w:r w:rsidR="001152EE">
        <w:t>tiek Lietuvos, tiek užsienio šalių</w:t>
      </w:r>
      <w:r w:rsidR="001A7C94">
        <w:t xml:space="preserve"> autoriai</w:t>
      </w:r>
      <w:r w:rsidR="00C01D91">
        <w:t xml:space="preserve">, galima teigti, jog </w:t>
      </w:r>
      <w:r w:rsidR="00A53388">
        <w:t>žmoni</w:t>
      </w:r>
      <w:r w:rsidR="00C01D91">
        <w:t>ų finansinė elgsena nėra iki galo išnagrinėta</w:t>
      </w:r>
      <w:r w:rsidR="00A53388">
        <w:t>s</w:t>
      </w:r>
      <w:r w:rsidR="00C01D91">
        <w:t xml:space="preserve"> reiškinys, </w:t>
      </w:r>
      <w:r w:rsidR="00A53388">
        <w:t>todėl reikalaujantis tolimesnių</w:t>
      </w:r>
      <w:r w:rsidR="00A84444">
        <w:t xml:space="preserve"> plėtočių</w:t>
      </w:r>
      <w:r w:rsidR="0010400A">
        <w:t xml:space="preserve"> – ir ypatingai tose srityse, kurios iki šiol buvo mažiausiai</w:t>
      </w:r>
      <w:r w:rsidR="002F0090">
        <w:t xml:space="preserve"> </w:t>
      </w:r>
      <w:r w:rsidR="00A84444">
        <w:t>ty</w:t>
      </w:r>
      <w:r w:rsidR="002F0090">
        <w:t>rinėtos</w:t>
      </w:r>
      <w:r w:rsidR="00A53388">
        <w:t>.</w:t>
      </w:r>
      <w:r w:rsidR="004E0D7A">
        <w:t xml:space="preserve"> Viena iš tokių sričių ir yra</w:t>
      </w:r>
      <w:r w:rsidR="009C28FE">
        <w:t xml:space="preserve"> </w:t>
      </w:r>
      <w:r w:rsidR="00587B80">
        <w:t xml:space="preserve">nedarbo draudimo </w:t>
      </w:r>
      <w:r w:rsidR="009C28FE">
        <w:t>išmokų</w:t>
      </w:r>
      <w:r w:rsidR="00587B80">
        <w:t xml:space="preserve"> bei socialinės paramos</w:t>
      </w:r>
      <w:r w:rsidR="009C28FE">
        <w:t xml:space="preserve"> gavėjų finansinė elgsena</w:t>
      </w:r>
      <w:r w:rsidR="00B34A77">
        <w:t>, kuri dėmesį</w:t>
      </w:r>
      <w:r w:rsidR="00781A3E">
        <w:t xml:space="preserve"> </w:t>
      </w:r>
      <w:r w:rsidR="00B34A77">
        <w:t xml:space="preserve">traukia tuo, jog </w:t>
      </w:r>
      <w:r w:rsidR="00100B62">
        <w:t>žmonės neretai</w:t>
      </w:r>
      <w:r w:rsidR="008906BD">
        <w:t xml:space="preserve"> </w:t>
      </w:r>
      <w:r w:rsidR="00100B62">
        <w:t xml:space="preserve">gyvenimą iš socialinės apsaugos lėšų renkasi </w:t>
      </w:r>
      <w:r w:rsidR="008906BD">
        <w:t>sąmoningai</w:t>
      </w:r>
      <w:r w:rsidR="00162640">
        <w:t>.</w:t>
      </w:r>
      <w:r w:rsidR="000351BA">
        <w:t xml:space="preserve"> </w:t>
      </w:r>
      <w:r w:rsidR="001F2AF3">
        <w:t xml:space="preserve">Sparčiai augant </w:t>
      </w:r>
      <w:r w:rsidR="000351BA">
        <w:t xml:space="preserve">socialinių išmokų gavėjų </w:t>
      </w:r>
      <w:r w:rsidR="00F56332">
        <w:t xml:space="preserve">Lietuvoje </w:t>
      </w:r>
      <w:r w:rsidR="00490145">
        <w:t>skaičiu</w:t>
      </w:r>
      <w:r w:rsidR="006F0789">
        <w:t>i</w:t>
      </w:r>
      <w:r w:rsidR="00490145">
        <w:t>,</w:t>
      </w:r>
      <w:r w:rsidR="000C47C5">
        <w:t xml:space="preserve"> </w:t>
      </w:r>
      <w:r w:rsidR="009A7527">
        <w:t>tokia</w:t>
      </w:r>
      <w:r w:rsidR="00F13796">
        <w:t xml:space="preserve"> </w:t>
      </w:r>
      <w:r w:rsidR="005E00C9">
        <w:t xml:space="preserve">darbo </w:t>
      </w:r>
      <w:r w:rsidR="006F0789">
        <w:t>tema tampa aktuali ir praktiniu lygmeniu</w:t>
      </w:r>
      <w:r w:rsidR="00F56332">
        <w:t>.</w:t>
      </w:r>
    </w:p>
    <w:p w:rsidR="000A3979" w:rsidRPr="005717ED" w:rsidRDefault="0041660F" w:rsidP="00506ABE">
      <w:pPr>
        <w:rPr>
          <w:color w:val="0070C0"/>
        </w:rPr>
      </w:pPr>
      <w:r>
        <w:t>Nors</w:t>
      </w:r>
      <w:r w:rsidR="009C0A29">
        <w:t xml:space="preserve"> atskirų socialinių grupių problematika buvo nagrinėta kai kurių autorių darbuose</w:t>
      </w:r>
      <w:r w:rsidR="004C5D67">
        <w:t>, šiuo aspektu</w:t>
      </w:r>
      <w:r w:rsidR="00E16E04">
        <w:t>, t. y.</w:t>
      </w:r>
      <w:r w:rsidR="005717ED">
        <w:t xml:space="preserve"> kaip strategija pajamas formuoti iš socialinės apsaugos </w:t>
      </w:r>
      <w:r w:rsidR="005717ED" w:rsidRPr="002D79B7">
        <w:t xml:space="preserve">lėšų, </w:t>
      </w:r>
      <w:r w:rsidR="004C5D67" w:rsidRPr="002D79B7">
        <w:t>elgsena</w:t>
      </w:r>
      <w:r w:rsidR="00153B20" w:rsidRPr="002D79B7">
        <w:t xml:space="preserve"> buvo </w:t>
      </w:r>
      <w:r w:rsidR="002D79B7" w:rsidRPr="002D79B7">
        <w:t xml:space="preserve">analizuota </w:t>
      </w:r>
      <w:r w:rsidR="00153B20" w:rsidRPr="002D79B7">
        <w:t>nepakankamai</w:t>
      </w:r>
      <w:r w:rsidR="005717ED" w:rsidRPr="002D79B7">
        <w:t>.</w:t>
      </w:r>
      <w:r w:rsidR="005717ED">
        <w:rPr>
          <w:color w:val="0070C0"/>
        </w:rPr>
        <w:t xml:space="preserve"> </w:t>
      </w:r>
      <w:r w:rsidR="000A3979">
        <w:t xml:space="preserve">Nauja šiame darbe </w:t>
      </w:r>
      <w:r w:rsidR="00531B7C">
        <w:t xml:space="preserve">yra </w:t>
      </w:r>
      <w:r w:rsidR="000A3979">
        <w:t>ir tai, jog pateik</w:t>
      </w:r>
      <w:r w:rsidR="00531B7C">
        <w:t>iamos</w:t>
      </w:r>
      <w:r w:rsidR="000A3979">
        <w:t xml:space="preserve"> </w:t>
      </w:r>
      <w:r w:rsidR="00A85A1C">
        <w:t>sav</w:t>
      </w:r>
      <w:r w:rsidR="00531B7C">
        <w:t>o</w:t>
      </w:r>
      <w:r w:rsidR="000A3979">
        <w:t>s įžvalg</w:t>
      </w:r>
      <w:r w:rsidR="00531B7C">
        <w:t>o</w:t>
      </w:r>
      <w:r w:rsidR="000A3979">
        <w:t>s, kur</w:t>
      </w:r>
      <w:r w:rsidR="00531B7C">
        <w:t>iami</w:t>
      </w:r>
      <w:r w:rsidR="000A3979">
        <w:t xml:space="preserve"> </w:t>
      </w:r>
      <w:r w:rsidR="00357978">
        <w:t xml:space="preserve">nauji </w:t>
      </w:r>
      <w:r w:rsidR="000A3979">
        <w:t>modeli</w:t>
      </w:r>
      <w:r w:rsidR="00531B7C">
        <w:t>ai</w:t>
      </w:r>
      <w:r w:rsidR="000A3979">
        <w:t>, kurie</w:t>
      </w:r>
      <w:r w:rsidR="00D47C07">
        <w:t xml:space="preserve"> padeda</w:t>
      </w:r>
      <w:r w:rsidR="00E62C24">
        <w:t xml:space="preserve"> geriau </w:t>
      </w:r>
      <w:r w:rsidR="00357978">
        <w:t xml:space="preserve">suprasti </w:t>
      </w:r>
      <w:r w:rsidR="00E62C24">
        <w:t>bedarbių ir socialinės paramos gavėjų finansinę elgseną.</w:t>
      </w:r>
      <w:r w:rsidR="00A3733B">
        <w:t xml:space="preserve"> Taigi </w:t>
      </w:r>
      <w:r w:rsidR="00030D61">
        <w:t>darb</w:t>
      </w:r>
      <w:r w:rsidR="00A3733B">
        <w:t xml:space="preserve">e gvildenama tokia problema: kaip pagerinti </w:t>
      </w:r>
      <w:r w:rsidR="00030D61">
        <w:t>socialinių išmokų gavėjų finansinę elgseną, kad teigiamą poveikį pajaustų visa visuomenė?</w:t>
      </w:r>
    </w:p>
    <w:p w:rsidR="00762860" w:rsidRDefault="008246C5" w:rsidP="00506ABE">
      <w:r>
        <w:t>Siekiant išsiaiškinti, k</w:t>
      </w:r>
      <w:r w:rsidR="000267E4">
        <w:t xml:space="preserve">okie veiksniai lemia </w:t>
      </w:r>
      <w:r w:rsidR="00AC2D36">
        <w:t xml:space="preserve">sprendimo </w:t>
      </w:r>
      <w:r w:rsidR="000267E4">
        <w:t>gyventi iš socialinių i</w:t>
      </w:r>
      <w:r w:rsidR="005A6D11">
        <w:t xml:space="preserve">šmokų priėmimą, darbo eigoje </w:t>
      </w:r>
      <w:r w:rsidR="00664547">
        <w:t xml:space="preserve">buvo </w:t>
      </w:r>
      <w:r w:rsidR="000A525F">
        <w:t>pri</w:t>
      </w:r>
      <w:r w:rsidR="005A6D11">
        <w:t>taikyt</w:t>
      </w:r>
      <w:r w:rsidR="000267E4">
        <w:t>i</w:t>
      </w:r>
      <w:r w:rsidR="00664547">
        <w:t xml:space="preserve"> šie</w:t>
      </w:r>
      <w:r w:rsidR="000A525F">
        <w:t xml:space="preserve"> metodai: sisteminė, </w:t>
      </w:r>
      <w:r w:rsidR="00662FC6">
        <w:t>lyginamoji mokslinės literatūros analizė</w:t>
      </w:r>
      <w:r w:rsidR="001205CE">
        <w:t xml:space="preserve">, teisinių dokumentų </w:t>
      </w:r>
      <w:r w:rsidR="000329BD">
        <w:t xml:space="preserve">analizė, </w:t>
      </w:r>
      <w:r w:rsidR="001205CE">
        <w:t>statistinių duomenų</w:t>
      </w:r>
      <w:r w:rsidR="000329BD">
        <w:t xml:space="preserve"> apžvalga, tačiau </w:t>
      </w:r>
      <w:r w:rsidR="002B31C8">
        <w:t>svarbiausiais tapo</w:t>
      </w:r>
      <w:r w:rsidR="00990F80">
        <w:t xml:space="preserve"> – anketinė </w:t>
      </w:r>
      <w:r w:rsidR="002B31C8">
        <w:t>apklausa ir ekspertų vertinimas, kurie padėjo</w:t>
      </w:r>
      <w:r w:rsidR="007F065C">
        <w:t xml:space="preserve"> atskleisti </w:t>
      </w:r>
      <w:r w:rsidR="00D321A8">
        <w:t xml:space="preserve">socialinių išmokų </w:t>
      </w:r>
      <w:r w:rsidR="00AC2D36">
        <w:t>gavėjų</w:t>
      </w:r>
      <w:r w:rsidR="00664547">
        <w:t xml:space="preserve"> finansinės</w:t>
      </w:r>
      <w:r w:rsidR="00AC2D36">
        <w:t xml:space="preserve"> elgsen</w:t>
      </w:r>
      <w:r w:rsidR="005A6D11">
        <w:t xml:space="preserve">os pobūdį ir </w:t>
      </w:r>
      <w:r w:rsidR="00462761">
        <w:t xml:space="preserve">nustatyti </w:t>
      </w:r>
      <w:r w:rsidR="008C7796">
        <w:t>problemines sriti</w:t>
      </w:r>
      <w:r w:rsidR="000A525F">
        <w:t>s.</w:t>
      </w:r>
    </w:p>
    <w:p w:rsidR="00030D61" w:rsidRDefault="004509BB" w:rsidP="00506ABE">
      <w:r>
        <w:t>P</w:t>
      </w:r>
      <w:r w:rsidR="00532A38">
        <w:t xml:space="preserve">alyginus </w:t>
      </w:r>
      <w:r w:rsidR="00762860">
        <w:t>tyrimų</w:t>
      </w:r>
      <w:r w:rsidR="00532A38">
        <w:t xml:space="preserve"> </w:t>
      </w:r>
      <w:r w:rsidR="00201AE1">
        <w:t xml:space="preserve">rezultatus, paaiškėjo, jog </w:t>
      </w:r>
      <w:r w:rsidR="009251D0">
        <w:t xml:space="preserve">socialinių išmokų </w:t>
      </w:r>
      <w:r w:rsidR="003E05AF">
        <w:t xml:space="preserve">gavėjų </w:t>
      </w:r>
      <w:r w:rsidR="00762860">
        <w:t xml:space="preserve">finansinė </w:t>
      </w:r>
      <w:r w:rsidR="003E05AF">
        <w:t>elgsena yra linkstanti į nerac</w:t>
      </w:r>
      <w:r w:rsidR="00966A6D">
        <w:t>ionalumą</w:t>
      </w:r>
      <w:r w:rsidR="003E05AF">
        <w:t>,</w:t>
      </w:r>
      <w:r w:rsidR="008C7796">
        <w:t xml:space="preserve"> </w:t>
      </w:r>
      <w:r w:rsidR="00C152A1">
        <w:t xml:space="preserve">– </w:t>
      </w:r>
      <w:r w:rsidR="008C7796">
        <w:t>nors patys apklausos</w:t>
      </w:r>
      <w:r w:rsidR="007315D7">
        <w:t xml:space="preserve"> dalyviai savo elgseną</w:t>
      </w:r>
      <w:r w:rsidR="00F4178E">
        <w:t xml:space="preserve"> </w:t>
      </w:r>
      <w:r w:rsidR="00966A6D">
        <w:t xml:space="preserve">ir </w:t>
      </w:r>
      <w:r w:rsidR="007315D7">
        <w:t>buvo linkę vertinti geriau.</w:t>
      </w:r>
      <w:r w:rsidR="009251D0">
        <w:t xml:space="preserve"> </w:t>
      </w:r>
      <w:r w:rsidR="00F4178E">
        <w:t xml:space="preserve">Tai leido </w:t>
      </w:r>
      <w:r>
        <w:t xml:space="preserve">tik </w:t>
      </w:r>
      <w:r w:rsidR="00F4178E">
        <w:t xml:space="preserve">iš dalies patvirtinti pirmąją </w:t>
      </w:r>
      <w:r w:rsidR="005A2CD8">
        <w:t>hipotezę (H</w:t>
      </w:r>
      <w:r w:rsidR="005A2CD8">
        <w:rPr>
          <w:vertAlign w:val="subscript"/>
        </w:rPr>
        <w:t>1</w:t>
      </w:r>
      <w:r>
        <w:t>), jog</w:t>
      </w:r>
      <w:r w:rsidR="005A2CD8">
        <w:t xml:space="preserve"> dauguma bedarbių</w:t>
      </w:r>
      <w:r w:rsidR="000663A4">
        <w:t xml:space="preserve"> ir socialinės paramos gavėjų </w:t>
      </w:r>
      <w:r w:rsidR="00D51C53">
        <w:t xml:space="preserve">savo </w:t>
      </w:r>
      <w:r w:rsidR="000663A4">
        <w:t>pajamas formuoja</w:t>
      </w:r>
      <w:r w:rsidR="00D51C53">
        <w:t xml:space="preserve"> arba</w:t>
      </w:r>
      <w:r w:rsidR="00A135B2">
        <w:t xml:space="preserve"> </w:t>
      </w:r>
      <w:r w:rsidR="000663A4">
        <w:t>nepagrįstai</w:t>
      </w:r>
      <w:r w:rsidR="00D51C53">
        <w:t>,</w:t>
      </w:r>
      <w:r w:rsidR="000663A4">
        <w:t xml:space="preserve"> arba neteisėtai.</w:t>
      </w:r>
      <w:r w:rsidR="00A135B2">
        <w:t xml:space="preserve"> Tyrimai taip pat</w:t>
      </w:r>
      <w:r w:rsidR="008C7796">
        <w:t xml:space="preserve"> parodė</w:t>
      </w:r>
      <w:r w:rsidR="00A135B2">
        <w:t xml:space="preserve">, </w:t>
      </w:r>
      <w:r w:rsidR="008C7796">
        <w:t>jog</w:t>
      </w:r>
      <w:r w:rsidR="005A6C27">
        <w:t xml:space="preserve"> pagrindinės </w:t>
      </w:r>
      <w:r w:rsidR="002A0067">
        <w:t xml:space="preserve">neracionalios elgsenos priežastys </w:t>
      </w:r>
      <w:r w:rsidR="005A6C27">
        <w:t xml:space="preserve">slypi tame, </w:t>
      </w:r>
      <w:r w:rsidR="002A0067">
        <w:t xml:space="preserve">jog </w:t>
      </w:r>
      <w:r w:rsidR="00F31897">
        <w:t xml:space="preserve">žmonės </w:t>
      </w:r>
      <w:r w:rsidR="002A0067">
        <w:t>nėra motyvuoti, n</w:t>
      </w:r>
      <w:r w:rsidR="00695019">
        <w:t xml:space="preserve">ejaučia atsakomybės ir nepaiso kitų </w:t>
      </w:r>
      <w:r w:rsidR="001F7659">
        <w:t xml:space="preserve">individų </w:t>
      </w:r>
      <w:r w:rsidR="00695019">
        <w:t xml:space="preserve">lūkesčių, </w:t>
      </w:r>
      <w:r w:rsidR="005968E7">
        <w:t>todėl stengiasi išnaudoti</w:t>
      </w:r>
      <w:r w:rsidR="000D5468">
        <w:t xml:space="preserve"> pasitaik</w:t>
      </w:r>
      <w:r w:rsidR="003C7851">
        <w:t>ančias galimybes.</w:t>
      </w:r>
      <w:r w:rsidR="00324C50">
        <w:t xml:space="preserve"> Taigi antroji hipotezė</w:t>
      </w:r>
      <w:r w:rsidR="001F7659">
        <w:t xml:space="preserve"> (H</w:t>
      </w:r>
      <w:r w:rsidR="001F7659">
        <w:rPr>
          <w:vertAlign w:val="subscript"/>
        </w:rPr>
        <w:t>2</w:t>
      </w:r>
      <w:r w:rsidR="001F7659">
        <w:t>)</w:t>
      </w:r>
      <w:r w:rsidR="00F31897">
        <w:t xml:space="preserve"> </w:t>
      </w:r>
      <w:r w:rsidR="001540B5">
        <w:t>tai</w:t>
      </w:r>
      <w:r w:rsidR="000D5468">
        <w:t>pogi</w:t>
      </w:r>
      <w:r w:rsidR="001540B5">
        <w:t xml:space="preserve"> </w:t>
      </w:r>
      <w:r w:rsidR="00F31897">
        <w:t>pasitvirtino iš dalies.</w:t>
      </w:r>
    </w:p>
    <w:p w:rsidR="003C434E" w:rsidRDefault="003C434E" w:rsidP="00506ABE">
      <w:r>
        <w:t xml:space="preserve">Siekiant pagerinti </w:t>
      </w:r>
      <w:r w:rsidR="00CE1E5B">
        <w:t xml:space="preserve">nedarbo draudimo išmokų ir </w:t>
      </w:r>
      <w:r>
        <w:t>socialinės paramos gavėjų finansinę elgseną, siūloma taikyti</w:t>
      </w:r>
      <w:r w:rsidR="00CE1E5B">
        <w:t xml:space="preserve"> šias priemones:</w:t>
      </w:r>
      <w:r w:rsidR="00C50D6E">
        <w:t xml:space="preserve"> padidinti finansinę ribą tarp pajamas užsidirbančių ir socialines pašalpas gaunančių individų, </w:t>
      </w:r>
      <w:r w:rsidR="00FB41DE">
        <w:t xml:space="preserve">suteikiant </w:t>
      </w:r>
      <w:r w:rsidR="00C50D6E">
        <w:t>bedarbiams teisę į papildomą nedarbo draudimo išmoką</w:t>
      </w:r>
      <w:r w:rsidR="00FB41DE">
        <w:t>; įtvirtinti</w:t>
      </w:r>
      <w:r w:rsidR="0078578A">
        <w:t xml:space="preserve"> tas nuostatas, kurios labiau įpareigotų socialinių išmokų gavėjus ir drausmintų </w:t>
      </w:r>
      <w:r w:rsidR="006E6417">
        <w:t>prasikaltusiuosius</w:t>
      </w:r>
      <w:r w:rsidR="00C10F7F">
        <w:t>; bei sumažinti priklausomybę nuo socialinės pašalpos</w:t>
      </w:r>
      <w:r w:rsidR="00C213C2">
        <w:t xml:space="preserve">, </w:t>
      </w:r>
      <w:r w:rsidR="00275F7E">
        <w:t xml:space="preserve">keičiant </w:t>
      </w:r>
      <w:r w:rsidR="00C213C2">
        <w:t>pašalpų mokėjimo t</w:t>
      </w:r>
      <w:r w:rsidR="00DE68F3">
        <w:t>rukmę</w:t>
      </w:r>
      <w:r w:rsidR="00C213C2">
        <w:t xml:space="preserve"> ir nustatant papildomas sąlygas </w:t>
      </w:r>
      <w:r w:rsidR="00DE68F3">
        <w:t>pašalpai gauti.</w:t>
      </w:r>
    </w:p>
    <w:p w:rsidR="00A45E31" w:rsidRDefault="00DE68F3" w:rsidP="00155C80">
      <w:r w:rsidRPr="005A4091">
        <w:t>Darbą sudaro</w:t>
      </w:r>
      <w:r w:rsidR="00A214C1" w:rsidRPr="005A4091">
        <w:t xml:space="preserve"> tokios dalys</w:t>
      </w:r>
      <w:r w:rsidR="0030482D" w:rsidRPr="005A4091">
        <w:t>: įvadas</w:t>
      </w:r>
      <w:r w:rsidR="005A4091" w:rsidRPr="005A4091">
        <w:t>;</w:t>
      </w:r>
      <w:r w:rsidR="0030482D" w:rsidRPr="005A4091">
        <w:t xml:space="preserve"> teori</w:t>
      </w:r>
      <w:r w:rsidR="00757FE4" w:rsidRPr="005A4091">
        <w:t xml:space="preserve">jos </w:t>
      </w:r>
      <w:r w:rsidR="00F56B82" w:rsidRPr="005A4091">
        <w:t xml:space="preserve">individų </w:t>
      </w:r>
      <w:r w:rsidR="00757FE4" w:rsidRPr="005A4091">
        <w:t>finansinės elgsenos tema analizė</w:t>
      </w:r>
      <w:r w:rsidR="005A4091" w:rsidRPr="005A4091">
        <w:t>;</w:t>
      </w:r>
      <w:r w:rsidR="0030482D" w:rsidRPr="005A4091">
        <w:t xml:space="preserve"> metodologi</w:t>
      </w:r>
      <w:r w:rsidR="00F56B82" w:rsidRPr="005A4091">
        <w:t>j</w:t>
      </w:r>
      <w:r w:rsidR="00A214C1" w:rsidRPr="005A4091">
        <w:t>a</w:t>
      </w:r>
      <w:r w:rsidR="00155C80" w:rsidRPr="005A4091">
        <w:t xml:space="preserve"> </w:t>
      </w:r>
      <w:r w:rsidR="00BC2907" w:rsidRPr="005A4091">
        <w:t xml:space="preserve">socialinių išmokų gavėjų </w:t>
      </w:r>
      <w:r w:rsidR="00C401DF" w:rsidRPr="005A4091">
        <w:t xml:space="preserve">finansinei </w:t>
      </w:r>
      <w:r w:rsidR="00B66E3E" w:rsidRPr="005A4091">
        <w:t xml:space="preserve">elgsenai </w:t>
      </w:r>
      <w:r w:rsidR="005A4091" w:rsidRPr="005A4091">
        <w:t>į</w:t>
      </w:r>
      <w:r w:rsidR="00B66E3E" w:rsidRPr="005A4091">
        <w:t>vertinti</w:t>
      </w:r>
      <w:r w:rsidR="005A4091" w:rsidRPr="005A4091">
        <w:t>;</w:t>
      </w:r>
      <w:r w:rsidR="0030482D" w:rsidRPr="005A4091">
        <w:t xml:space="preserve"> analitinė </w:t>
      </w:r>
      <w:r w:rsidR="005A4091" w:rsidRPr="005A4091">
        <w:t xml:space="preserve">ir </w:t>
      </w:r>
      <w:r w:rsidR="0074292C" w:rsidRPr="005A4091">
        <w:t>projektinė dal</w:t>
      </w:r>
      <w:r w:rsidR="005A4091" w:rsidRPr="005A4091">
        <w:t>y</w:t>
      </w:r>
      <w:r w:rsidR="0074292C" w:rsidRPr="005A4091">
        <w:t>s</w:t>
      </w:r>
      <w:r w:rsidR="005A4091" w:rsidRPr="005A4091">
        <w:t>;</w:t>
      </w:r>
      <w:r w:rsidR="0074292C" w:rsidRPr="005A4091">
        <w:t xml:space="preserve"> išvados ir pasiūlymai</w:t>
      </w:r>
      <w:r w:rsidR="00B66E3E" w:rsidRPr="005A4091">
        <w:t>.</w:t>
      </w:r>
    </w:p>
    <w:p w:rsidR="00462779" w:rsidRPr="00874891" w:rsidRDefault="00657E1C" w:rsidP="00657E1C">
      <w:pPr>
        <w:rPr>
          <w:szCs w:val="24"/>
          <w:lang w:val="en-US"/>
        </w:rPr>
      </w:pPr>
      <w:proofErr w:type="spellStart"/>
      <w:r w:rsidRPr="00870977">
        <w:rPr>
          <w:b/>
          <w:szCs w:val="24"/>
          <w:lang w:val="en-US"/>
        </w:rPr>
        <w:lastRenderedPageBreak/>
        <w:t>Šarkauskaitė</w:t>
      </w:r>
      <w:proofErr w:type="spellEnd"/>
      <w:r w:rsidRPr="00870977">
        <w:rPr>
          <w:b/>
          <w:szCs w:val="24"/>
          <w:lang w:val="en-US"/>
        </w:rPr>
        <w:t xml:space="preserve"> R.</w:t>
      </w:r>
      <w:r w:rsidRPr="00874891">
        <w:rPr>
          <w:szCs w:val="24"/>
          <w:lang w:val="en-US"/>
        </w:rPr>
        <w:t xml:space="preserve"> The assessment of</w:t>
      </w:r>
      <w:r w:rsidR="00C579AA">
        <w:rPr>
          <w:szCs w:val="24"/>
          <w:lang w:val="en-US"/>
        </w:rPr>
        <w:t xml:space="preserve"> the</w:t>
      </w:r>
      <w:r w:rsidRPr="00874891">
        <w:rPr>
          <w:szCs w:val="24"/>
          <w:lang w:val="en-US"/>
        </w:rPr>
        <w:t xml:space="preserve"> financial behavior of recipients of unemployment insurance benefits and social assistance: the case of Lithuania / Master Thesis in Fin</w:t>
      </w:r>
      <w:r w:rsidR="00015B56">
        <w:rPr>
          <w:szCs w:val="24"/>
          <w:lang w:val="en-US"/>
        </w:rPr>
        <w:t xml:space="preserve">ancial Management. Supervisor: </w:t>
      </w:r>
      <w:r w:rsidR="00AC64EE">
        <w:rPr>
          <w:szCs w:val="24"/>
          <w:lang w:val="en-US"/>
        </w:rPr>
        <w:t>P</w:t>
      </w:r>
      <w:r w:rsidRPr="00874891">
        <w:rPr>
          <w:szCs w:val="24"/>
          <w:lang w:val="en-US"/>
        </w:rPr>
        <w:t xml:space="preserve">rof. dr. D. </w:t>
      </w:r>
      <w:proofErr w:type="spellStart"/>
      <w:r w:rsidRPr="00874891">
        <w:rPr>
          <w:szCs w:val="24"/>
          <w:lang w:val="en-US"/>
        </w:rPr>
        <w:t>Jurevičienė</w:t>
      </w:r>
      <w:proofErr w:type="spellEnd"/>
      <w:r w:rsidRPr="00874891">
        <w:rPr>
          <w:szCs w:val="24"/>
          <w:lang w:val="en-US"/>
        </w:rPr>
        <w:t xml:space="preserve">. – Vilnius: </w:t>
      </w:r>
      <w:proofErr w:type="spellStart"/>
      <w:r w:rsidR="00AC64EE" w:rsidRPr="00874891">
        <w:rPr>
          <w:szCs w:val="24"/>
          <w:lang w:val="en-US"/>
        </w:rPr>
        <w:t>Mykolas</w:t>
      </w:r>
      <w:proofErr w:type="spellEnd"/>
      <w:r w:rsidR="00AC64EE" w:rsidRPr="00874891">
        <w:rPr>
          <w:szCs w:val="24"/>
          <w:lang w:val="en-US"/>
        </w:rPr>
        <w:t xml:space="preserve"> </w:t>
      </w:r>
      <w:proofErr w:type="spellStart"/>
      <w:r w:rsidR="00AC64EE" w:rsidRPr="00874891">
        <w:rPr>
          <w:szCs w:val="24"/>
          <w:lang w:val="en-US"/>
        </w:rPr>
        <w:t>Romeris</w:t>
      </w:r>
      <w:proofErr w:type="spellEnd"/>
      <w:r w:rsidR="00AC64EE" w:rsidRPr="00874891">
        <w:rPr>
          <w:szCs w:val="24"/>
          <w:lang w:val="en-US"/>
        </w:rPr>
        <w:t xml:space="preserve"> University</w:t>
      </w:r>
      <w:r w:rsidR="00AC64EE">
        <w:rPr>
          <w:szCs w:val="24"/>
          <w:lang w:val="en-US"/>
        </w:rPr>
        <w:t>,</w:t>
      </w:r>
      <w:r w:rsidR="00AC64EE" w:rsidRPr="00874891">
        <w:rPr>
          <w:szCs w:val="24"/>
          <w:lang w:val="en-US"/>
        </w:rPr>
        <w:t xml:space="preserve"> </w:t>
      </w:r>
      <w:r w:rsidRPr="00874891">
        <w:rPr>
          <w:szCs w:val="24"/>
          <w:lang w:val="en-US"/>
        </w:rPr>
        <w:t>Faculty of Eco</w:t>
      </w:r>
      <w:r w:rsidR="00AC64EE">
        <w:rPr>
          <w:szCs w:val="24"/>
          <w:lang w:val="en-US"/>
        </w:rPr>
        <w:t xml:space="preserve">nomics and Financial </w:t>
      </w:r>
      <w:r w:rsidR="00AC64EE" w:rsidRPr="006F2AF2">
        <w:rPr>
          <w:szCs w:val="24"/>
          <w:lang w:val="en-US"/>
        </w:rPr>
        <w:t>Management</w:t>
      </w:r>
      <w:r w:rsidRPr="006F2AF2">
        <w:rPr>
          <w:szCs w:val="24"/>
          <w:lang w:val="en-US"/>
        </w:rPr>
        <w:t xml:space="preserve">, 2012. – </w:t>
      </w:r>
      <w:r w:rsidR="00C36C0D">
        <w:rPr>
          <w:szCs w:val="24"/>
          <w:lang w:val="en-US"/>
        </w:rPr>
        <w:t>82</w:t>
      </w:r>
      <w:r w:rsidRPr="006F2AF2">
        <w:rPr>
          <w:szCs w:val="24"/>
          <w:lang w:val="en-US"/>
        </w:rPr>
        <w:t xml:space="preserve"> p.</w:t>
      </w:r>
      <w:r w:rsidR="006F2AF2" w:rsidRPr="006F2AF2">
        <w:rPr>
          <w:szCs w:val="24"/>
          <w:lang w:val="en-US"/>
        </w:rPr>
        <w:t>, 19</w:t>
      </w:r>
      <w:r w:rsidR="00462779" w:rsidRPr="006F2AF2">
        <w:rPr>
          <w:szCs w:val="24"/>
          <w:lang w:val="en-US"/>
        </w:rPr>
        <w:t xml:space="preserve"> figures</w:t>
      </w:r>
      <w:r w:rsidR="006F2AF2" w:rsidRPr="006F2AF2">
        <w:rPr>
          <w:szCs w:val="24"/>
          <w:lang w:val="en-US"/>
        </w:rPr>
        <w:t>, 9</w:t>
      </w:r>
      <w:r w:rsidR="00796889" w:rsidRPr="006F2AF2">
        <w:rPr>
          <w:szCs w:val="24"/>
          <w:lang w:val="en-US"/>
        </w:rPr>
        <w:t xml:space="preserve"> tables, 95</w:t>
      </w:r>
      <w:r w:rsidR="00462779" w:rsidRPr="006F2AF2">
        <w:rPr>
          <w:szCs w:val="24"/>
          <w:lang w:val="en-US"/>
        </w:rPr>
        <w:t> references</w:t>
      </w:r>
      <w:r w:rsidR="00796889" w:rsidRPr="006F2AF2">
        <w:rPr>
          <w:szCs w:val="24"/>
          <w:lang w:val="en-US"/>
        </w:rPr>
        <w:t>. 13</w:t>
      </w:r>
      <w:r w:rsidRPr="006F2AF2">
        <w:rPr>
          <w:szCs w:val="24"/>
          <w:lang w:val="en-US"/>
        </w:rPr>
        <w:t xml:space="preserve"> appendixes are attached separately.</w:t>
      </w:r>
    </w:p>
    <w:p w:rsidR="00657E1C" w:rsidRPr="00073E62" w:rsidRDefault="00657E1C" w:rsidP="00657E1C">
      <w:pPr>
        <w:jc w:val="center"/>
        <w:rPr>
          <w:b/>
          <w:szCs w:val="24"/>
          <w:lang w:val="en-US"/>
        </w:rPr>
      </w:pPr>
      <w:r w:rsidRPr="00073E62">
        <w:rPr>
          <w:b/>
          <w:szCs w:val="24"/>
          <w:lang w:val="en-US"/>
        </w:rPr>
        <w:t>SUMMARY</w:t>
      </w:r>
    </w:p>
    <w:p w:rsidR="00657E1C" w:rsidRPr="00874891" w:rsidRDefault="00657E1C" w:rsidP="00657E1C">
      <w:pPr>
        <w:rPr>
          <w:szCs w:val="24"/>
          <w:lang w:val="en-US"/>
        </w:rPr>
      </w:pPr>
      <w:r w:rsidRPr="00874891">
        <w:rPr>
          <w:szCs w:val="24"/>
          <w:lang w:val="en-US"/>
        </w:rPr>
        <w:t>Over the past decade research on financial behavior of the population has been conducted by both: Lithuanian and foreign scholars, therefore it can be said that financial behavior is not a fully investigated phenomenon so it requires for more developments – especially in these areas which have so far been the least</w:t>
      </w:r>
      <w:r w:rsidR="00D30433">
        <w:rPr>
          <w:szCs w:val="24"/>
          <w:lang w:val="en-US"/>
        </w:rPr>
        <w:t xml:space="preserve"> analyzed</w:t>
      </w:r>
      <w:r w:rsidRPr="00874891">
        <w:rPr>
          <w:szCs w:val="24"/>
          <w:lang w:val="en-US"/>
        </w:rPr>
        <w:t xml:space="preserve">. One of these areas is behavior of recipients of </w:t>
      </w:r>
      <w:r w:rsidR="00771D14">
        <w:rPr>
          <w:szCs w:val="24"/>
          <w:lang w:val="en-US"/>
        </w:rPr>
        <w:t xml:space="preserve">social benefits </w:t>
      </w:r>
      <w:r w:rsidRPr="00874891">
        <w:rPr>
          <w:szCs w:val="24"/>
          <w:lang w:val="en-US"/>
        </w:rPr>
        <w:t xml:space="preserve">which attracts the attention by the fact that people often choose to live out of </w:t>
      </w:r>
      <w:r w:rsidR="000F068A">
        <w:rPr>
          <w:szCs w:val="24"/>
          <w:lang w:val="en-US"/>
        </w:rPr>
        <w:t xml:space="preserve">State </w:t>
      </w:r>
      <w:r w:rsidRPr="00874891">
        <w:rPr>
          <w:szCs w:val="24"/>
          <w:lang w:val="en-US"/>
        </w:rPr>
        <w:t xml:space="preserve">funds deliberately. The number of recipients </w:t>
      </w:r>
      <w:r w:rsidR="00A67926">
        <w:rPr>
          <w:szCs w:val="24"/>
          <w:lang w:val="en-US"/>
        </w:rPr>
        <w:t xml:space="preserve">of </w:t>
      </w:r>
      <w:r w:rsidRPr="00874891">
        <w:rPr>
          <w:szCs w:val="24"/>
          <w:lang w:val="en-US"/>
        </w:rPr>
        <w:t>social benefits is rapidly growing in Lithuania so the Thesis also becomes relevant at the practical level.</w:t>
      </w:r>
    </w:p>
    <w:p w:rsidR="00657E1C" w:rsidRPr="00874891" w:rsidRDefault="00657E1C" w:rsidP="00657E1C">
      <w:pPr>
        <w:rPr>
          <w:szCs w:val="24"/>
          <w:lang w:val="en-US"/>
        </w:rPr>
      </w:pPr>
      <w:r w:rsidRPr="00874891">
        <w:rPr>
          <w:szCs w:val="24"/>
          <w:lang w:val="en-US"/>
        </w:rPr>
        <w:t xml:space="preserve">Although problems of </w:t>
      </w:r>
      <w:r w:rsidR="00187907">
        <w:rPr>
          <w:szCs w:val="24"/>
          <w:lang w:val="en-US"/>
        </w:rPr>
        <w:t>some social groups have been analyz</w:t>
      </w:r>
      <w:r w:rsidRPr="00874891">
        <w:rPr>
          <w:szCs w:val="24"/>
          <w:lang w:val="en-US"/>
        </w:rPr>
        <w:t>ed by s</w:t>
      </w:r>
      <w:r w:rsidR="00E64012">
        <w:rPr>
          <w:szCs w:val="24"/>
          <w:lang w:val="en-US"/>
        </w:rPr>
        <w:t>ome scholars, in this respect –</w:t>
      </w:r>
      <w:r w:rsidR="00F42309">
        <w:rPr>
          <w:szCs w:val="24"/>
          <w:lang w:val="en-US"/>
        </w:rPr>
        <w:t xml:space="preserve"> as a strategy to creat</w:t>
      </w:r>
      <w:r w:rsidRPr="00874891">
        <w:rPr>
          <w:szCs w:val="24"/>
          <w:lang w:val="en-US"/>
        </w:rPr>
        <w:t>e in</w:t>
      </w:r>
      <w:r w:rsidR="00E64012">
        <w:rPr>
          <w:szCs w:val="24"/>
          <w:lang w:val="en-US"/>
        </w:rPr>
        <w:t>come from social security funds –</w:t>
      </w:r>
      <w:r w:rsidRPr="00874891">
        <w:rPr>
          <w:szCs w:val="24"/>
          <w:lang w:val="en-US"/>
        </w:rPr>
        <w:t xml:space="preserve"> such behavior w</w:t>
      </w:r>
      <w:r w:rsidR="00D75BB7">
        <w:rPr>
          <w:szCs w:val="24"/>
          <w:lang w:val="en-US"/>
        </w:rPr>
        <w:t xml:space="preserve">as analyzed insufficiently. The Thesis is also novel due to the fact that </w:t>
      </w:r>
      <w:r w:rsidR="007927F0">
        <w:rPr>
          <w:szCs w:val="24"/>
          <w:lang w:val="en-US"/>
        </w:rPr>
        <w:t xml:space="preserve">our </w:t>
      </w:r>
      <w:r w:rsidR="00D75BB7">
        <w:rPr>
          <w:szCs w:val="24"/>
          <w:lang w:val="en-US"/>
        </w:rPr>
        <w:t>own insights</w:t>
      </w:r>
      <w:r w:rsidR="007927F0">
        <w:rPr>
          <w:szCs w:val="24"/>
          <w:lang w:val="en-US"/>
        </w:rPr>
        <w:t xml:space="preserve"> and </w:t>
      </w:r>
      <w:r w:rsidR="001E318D">
        <w:rPr>
          <w:szCs w:val="24"/>
          <w:lang w:val="en-US"/>
        </w:rPr>
        <w:t xml:space="preserve">new </w:t>
      </w:r>
      <w:r w:rsidR="007927F0">
        <w:rPr>
          <w:szCs w:val="24"/>
          <w:lang w:val="en-US"/>
        </w:rPr>
        <w:t xml:space="preserve">models are </w:t>
      </w:r>
      <w:r w:rsidR="002F5061">
        <w:rPr>
          <w:szCs w:val="24"/>
          <w:lang w:val="en-US"/>
        </w:rPr>
        <w:t xml:space="preserve">being </w:t>
      </w:r>
      <w:r w:rsidR="007927F0">
        <w:rPr>
          <w:szCs w:val="24"/>
          <w:lang w:val="en-US"/>
        </w:rPr>
        <w:t>proposed</w:t>
      </w:r>
      <w:r w:rsidR="00F413C2">
        <w:rPr>
          <w:szCs w:val="24"/>
          <w:lang w:val="en-US"/>
        </w:rPr>
        <w:t xml:space="preserve"> for </w:t>
      </w:r>
      <w:r w:rsidR="006E06D6">
        <w:rPr>
          <w:szCs w:val="24"/>
          <w:lang w:val="en-US"/>
        </w:rPr>
        <w:t xml:space="preserve">a </w:t>
      </w:r>
      <w:r w:rsidR="00F413C2">
        <w:rPr>
          <w:szCs w:val="24"/>
          <w:lang w:val="en-US"/>
        </w:rPr>
        <w:t>better understanding</w:t>
      </w:r>
      <w:r w:rsidR="00B13FD6">
        <w:rPr>
          <w:szCs w:val="24"/>
          <w:lang w:val="en-US"/>
        </w:rPr>
        <w:t xml:space="preserve"> of </w:t>
      </w:r>
      <w:r w:rsidR="00C63407">
        <w:rPr>
          <w:szCs w:val="24"/>
          <w:lang w:val="en-US"/>
        </w:rPr>
        <w:t xml:space="preserve">the </w:t>
      </w:r>
      <w:r w:rsidR="00B13FD6">
        <w:rPr>
          <w:szCs w:val="24"/>
          <w:lang w:val="en-US"/>
        </w:rPr>
        <w:t xml:space="preserve">behavior of </w:t>
      </w:r>
      <w:r w:rsidR="001E318D">
        <w:rPr>
          <w:szCs w:val="24"/>
          <w:lang w:val="en-US"/>
        </w:rPr>
        <w:t>recipients of social benefits.</w:t>
      </w:r>
      <w:r w:rsidR="005D316E">
        <w:rPr>
          <w:szCs w:val="24"/>
          <w:lang w:val="en-US"/>
        </w:rPr>
        <w:t xml:space="preserve"> </w:t>
      </w:r>
      <w:r w:rsidRPr="00874891">
        <w:rPr>
          <w:szCs w:val="24"/>
          <w:lang w:val="en-US"/>
        </w:rPr>
        <w:t xml:space="preserve">So the problem </w:t>
      </w:r>
      <w:r w:rsidR="005D316E">
        <w:rPr>
          <w:szCs w:val="24"/>
          <w:lang w:val="en-US"/>
        </w:rPr>
        <w:t xml:space="preserve">of </w:t>
      </w:r>
      <w:r w:rsidRPr="00874891">
        <w:rPr>
          <w:szCs w:val="24"/>
          <w:lang w:val="en-US"/>
        </w:rPr>
        <w:t>the Thesis</w:t>
      </w:r>
      <w:r w:rsidR="005D316E">
        <w:rPr>
          <w:szCs w:val="24"/>
          <w:lang w:val="en-US"/>
        </w:rPr>
        <w:t xml:space="preserve"> is</w:t>
      </w:r>
      <w:r w:rsidRPr="00874891">
        <w:rPr>
          <w:szCs w:val="24"/>
          <w:lang w:val="en-US"/>
        </w:rPr>
        <w:t>: how to improve the financial behavior of recipients of social benefits that the w</w:t>
      </w:r>
      <w:r w:rsidR="00E64012">
        <w:rPr>
          <w:szCs w:val="24"/>
          <w:lang w:val="en-US"/>
        </w:rPr>
        <w:t xml:space="preserve">hole </w:t>
      </w:r>
      <w:r w:rsidR="00257C92">
        <w:rPr>
          <w:szCs w:val="24"/>
          <w:lang w:val="en-US"/>
        </w:rPr>
        <w:t xml:space="preserve">State </w:t>
      </w:r>
      <w:r w:rsidR="00E64012">
        <w:rPr>
          <w:szCs w:val="24"/>
          <w:lang w:val="en-US"/>
        </w:rPr>
        <w:t>could feel well-being</w:t>
      </w:r>
      <w:r w:rsidRPr="00874891">
        <w:rPr>
          <w:szCs w:val="24"/>
          <w:lang w:val="en-US"/>
        </w:rPr>
        <w:t>?</w:t>
      </w:r>
    </w:p>
    <w:p w:rsidR="00657E1C" w:rsidRPr="00874891" w:rsidRDefault="00657E1C" w:rsidP="00657E1C">
      <w:pPr>
        <w:rPr>
          <w:szCs w:val="24"/>
          <w:lang w:val="en-US"/>
        </w:rPr>
      </w:pPr>
      <w:r w:rsidRPr="00874891">
        <w:rPr>
          <w:szCs w:val="24"/>
          <w:lang w:val="en-US"/>
        </w:rPr>
        <w:t xml:space="preserve">In order to find out what factors </w:t>
      </w:r>
      <w:r w:rsidR="00B846C6">
        <w:rPr>
          <w:szCs w:val="24"/>
          <w:lang w:val="en-US"/>
        </w:rPr>
        <w:t xml:space="preserve">fate </w:t>
      </w:r>
      <w:r w:rsidRPr="00874891">
        <w:rPr>
          <w:szCs w:val="24"/>
          <w:lang w:val="en-US"/>
        </w:rPr>
        <w:t xml:space="preserve">the decision to live out of social benefits the following methods have been used: systematic and comparative analysis, analysis of legal documents, statistical overview, but the most importantly </w:t>
      </w:r>
      <w:r w:rsidRPr="00874891">
        <w:rPr>
          <w:szCs w:val="24"/>
          <w:lang w:val="en-US"/>
        </w:rPr>
        <w:softHyphen/>
        <w:t xml:space="preserve">– questionnaire survey and assessment of experts which helped to disclose the nature of </w:t>
      </w:r>
      <w:r w:rsidR="00920553">
        <w:rPr>
          <w:szCs w:val="24"/>
          <w:lang w:val="en-US"/>
        </w:rPr>
        <w:t xml:space="preserve">the </w:t>
      </w:r>
      <w:r w:rsidRPr="00874891">
        <w:rPr>
          <w:szCs w:val="24"/>
          <w:lang w:val="en-US"/>
        </w:rPr>
        <w:t>financial behavior of the recipients of social benefits and to identify the problematic areas.</w:t>
      </w:r>
    </w:p>
    <w:p w:rsidR="00657E1C" w:rsidRPr="00874891" w:rsidRDefault="00657E1C" w:rsidP="00657E1C">
      <w:pPr>
        <w:rPr>
          <w:szCs w:val="24"/>
          <w:lang w:val="en-US"/>
        </w:rPr>
      </w:pPr>
      <w:r w:rsidRPr="00874891">
        <w:rPr>
          <w:szCs w:val="24"/>
          <w:lang w:val="en-US"/>
        </w:rPr>
        <w:t xml:space="preserve">The results showed that </w:t>
      </w:r>
      <w:r w:rsidR="00C749E1">
        <w:rPr>
          <w:szCs w:val="24"/>
          <w:lang w:val="en-US"/>
        </w:rPr>
        <w:t xml:space="preserve">the </w:t>
      </w:r>
      <w:r w:rsidRPr="00874891">
        <w:rPr>
          <w:szCs w:val="24"/>
          <w:lang w:val="en-US"/>
        </w:rPr>
        <w:t xml:space="preserve">financial behavior of recipients of social benefits </w:t>
      </w:r>
      <w:r w:rsidR="00C749E1">
        <w:rPr>
          <w:szCs w:val="24"/>
          <w:lang w:val="en-US"/>
        </w:rPr>
        <w:t xml:space="preserve">is </w:t>
      </w:r>
      <w:r w:rsidRPr="00874891">
        <w:rPr>
          <w:szCs w:val="24"/>
          <w:lang w:val="en-US"/>
        </w:rPr>
        <w:t>irrational</w:t>
      </w:r>
      <w:r w:rsidR="00C749E1">
        <w:rPr>
          <w:szCs w:val="24"/>
          <w:lang w:val="en-US"/>
        </w:rPr>
        <w:t xml:space="preserve"> </w:t>
      </w:r>
      <w:r w:rsidRPr="00874891">
        <w:rPr>
          <w:szCs w:val="24"/>
          <w:lang w:val="en-US"/>
        </w:rPr>
        <w:t xml:space="preserve">– though participants of the survey themselves were inclined to assess their behavior much </w:t>
      </w:r>
      <w:r w:rsidR="00182BA6">
        <w:rPr>
          <w:szCs w:val="24"/>
          <w:lang w:val="en-US"/>
        </w:rPr>
        <w:t>better. This allowed only part</w:t>
      </w:r>
      <w:r w:rsidR="009D3738">
        <w:rPr>
          <w:szCs w:val="24"/>
          <w:lang w:val="en-US"/>
        </w:rPr>
        <w:t>ial</w:t>
      </w:r>
      <w:r w:rsidR="00182BA6">
        <w:rPr>
          <w:szCs w:val="24"/>
          <w:lang w:val="en-US"/>
        </w:rPr>
        <w:t>ly confirm</w:t>
      </w:r>
      <w:r w:rsidRPr="00874891">
        <w:rPr>
          <w:szCs w:val="24"/>
          <w:lang w:val="en-US"/>
        </w:rPr>
        <w:t xml:space="preserve"> the first hypothesis (</w:t>
      </w:r>
      <w:r w:rsidRPr="00912BC8">
        <w:rPr>
          <w:i/>
          <w:szCs w:val="24"/>
          <w:lang w:val="en-US"/>
        </w:rPr>
        <w:t>H</w:t>
      </w:r>
      <w:r w:rsidRPr="00912BC8">
        <w:rPr>
          <w:i/>
          <w:szCs w:val="24"/>
          <w:vertAlign w:val="subscript"/>
          <w:lang w:val="en-US"/>
        </w:rPr>
        <w:t>1</w:t>
      </w:r>
      <w:r w:rsidRPr="00874891">
        <w:rPr>
          <w:szCs w:val="24"/>
          <w:lang w:val="en-US"/>
        </w:rPr>
        <w:t xml:space="preserve">) that the majority of </w:t>
      </w:r>
      <w:r w:rsidR="00D5665A">
        <w:rPr>
          <w:szCs w:val="24"/>
          <w:lang w:val="en-US"/>
        </w:rPr>
        <w:t xml:space="preserve">recipients of social benefits </w:t>
      </w:r>
      <w:r w:rsidR="00EA4BA1">
        <w:rPr>
          <w:szCs w:val="24"/>
          <w:lang w:val="en-US"/>
        </w:rPr>
        <w:t xml:space="preserve">create </w:t>
      </w:r>
      <w:r w:rsidRPr="00874891">
        <w:rPr>
          <w:szCs w:val="24"/>
          <w:lang w:val="en-US"/>
        </w:rPr>
        <w:t xml:space="preserve">their income </w:t>
      </w:r>
      <w:r w:rsidR="002C6A6B">
        <w:rPr>
          <w:szCs w:val="24"/>
          <w:lang w:val="en-US"/>
        </w:rPr>
        <w:t xml:space="preserve">unreasonably </w:t>
      </w:r>
      <w:r w:rsidRPr="00874891">
        <w:rPr>
          <w:szCs w:val="24"/>
          <w:lang w:val="en-US"/>
        </w:rPr>
        <w:t>or ill</w:t>
      </w:r>
      <w:r w:rsidR="00F21F1B">
        <w:rPr>
          <w:szCs w:val="24"/>
          <w:lang w:val="en-US"/>
        </w:rPr>
        <w:t>egally. The results</w:t>
      </w:r>
      <w:r w:rsidRPr="00874891">
        <w:rPr>
          <w:szCs w:val="24"/>
          <w:lang w:val="en-US"/>
        </w:rPr>
        <w:t xml:space="preserve"> also </w:t>
      </w:r>
      <w:r w:rsidR="00F21F1B">
        <w:rPr>
          <w:szCs w:val="24"/>
          <w:lang w:val="en-US"/>
        </w:rPr>
        <w:t xml:space="preserve">showed </w:t>
      </w:r>
      <w:r w:rsidRPr="00874891">
        <w:rPr>
          <w:szCs w:val="24"/>
          <w:lang w:val="en-US"/>
        </w:rPr>
        <w:t>that the main reasons</w:t>
      </w:r>
      <w:r w:rsidR="00D656F0">
        <w:rPr>
          <w:szCs w:val="24"/>
          <w:lang w:val="en-US"/>
        </w:rPr>
        <w:t xml:space="preserve"> for irrational behavior lies</w:t>
      </w:r>
      <w:r w:rsidRPr="00874891">
        <w:rPr>
          <w:szCs w:val="24"/>
          <w:lang w:val="en-US"/>
        </w:rPr>
        <w:t xml:space="preserve"> in the fact that people are not motivated; </w:t>
      </w:r>
      <w:r w:rsidR="00D656F0">
        <w:rPr>
          <w:szCs w:val="24"/>
          <w:lang w:val="en-US"/>
        </w:rPr>
        <w:t>are irresponsible</w:t>
      </w:r>
      <w:r w:rsidR="00AD5A39">
        <w:rPr>
          <w:szCs w:val="24"/>
          <w:lang w:val="en-US"/>
        </w:rPr>
        <w:t>;</w:t>
      </w:r>
      <w:r w:rsidRPr="00874891">
        <w:rPr>
          <w:szCs w:val="24"/>
          <w:lang w:val="en-US"/>
        </w:rPr>
        <w:t xml:space="preserve"> and ignore expectations of other individuals so they try to use frequent opportunities. Therefore the second hypothesis (</w:t>
      </w:r>
      <w:r w:rsidRPr="00C37E5C">
        <w:rPr>
          <w:i/>
          <w:szCs w:val="24"/>
          <w:lang w:val="en-US"/>
        </w:rPr>
        <w:t>H</w:t>
      </w:r>
      <w:r w:rsidRPr="00C37E5C">
        <w:rPr>
          <w:i/>
          <w:szCs w:val="24"/>
          <w:vertAlign w:val="subscript"/>
          <w:lang w:val="en-US"/>
        </w:rPr>
        <w:t>2</w:t>
      </w:r>
      <w:r w:rsidRPr="00874891">
        <w:rPr>
          <w:szCs w:val="24"/>
          <w:lang w:val="en-US"/>
        </w:rPr>
        <w:t>) also proved out only partially.</w:t>
      </w:r>
    </w:p>
    <w:p w:rsidR="00657E1C" w:rsidRPr="00874891" w:rsidRDefault="00657E1C" w:rsidP="00657E1C">
      <w:pPr>
        <w:rPr>
          <w:szCs w:val="24"/>
          <w:lang w:val="en-US"/>
        </w:rPr>
      </w:pPr>
      <w:r w:rsidRPr="00874891">
        <w:rPr>
          <w:szCs w:val="24"/>
          <w:lang w:val="en-US"/>
        </w:rPr>
        <w:t>In order to improve behavior of recipients of</w:t>
      </w:r>
      <w:r w:rsidR="00CA6314">
        <w:rPr>
          <w:szCs w:val="24"/>
          <w:lang w:val="en-US"/>
        </w:rPr>
        <w:t xml:space="preserve"> social benefits</w:t>
      </w:r>
      <w:r w:rsidRPr="00874891">
        <w:rPr>
          <w:szCs w:val="24"/>
          <w:lang w:val="en-US"/>
        </w:rPr>
        <w:t xml:space="preserve">, </w:t>
      </w:r>
      <w:r w:rsidR="00CA6314" w:rsidRPr="00874891">
        <w:rPr>
          <w:szCs w:val="24"/>
          <w:lang w:val="en-US"/>
        </w:rPr>
        <w:t>the following measures</w:t>
      </w:r>
      <w:r w:rsidR="00CA6314">
        <w:rPr>
          <w:szCs w:val="24"/>
          <w:lang w:val="en-US"/>
        </w:rPr>
        <w:t xml:space="preserve"> were </w:t>
      </w:r>
      <w:r w:rsidRPr="00874891">
        <w:rPr>
          <w:szCs w:val="24"/>
          <w:lang w:val="en-US"/>
        </w:rPr>
        <w:t>propose</w:t>
      </w:r>
      <w:r w:rsidR="00CA6314">
        <w:rPr>
          <w:szCs w:val="24"/>
          <w:lang w:val="en-US"/>
        </w:rPr>
        <w:t>d</w:t>
      </w:r>
      <w:r w:rsidR="001B3EEC">
        <w:rPr>
          <w:szCs w:val="24"/>
          <w:lang w:val="en-US"/>
        </w:rPr>
        <w:t xml:space="preserve">: </w:t>
      </w:r>
      <w:r w:rsidRPr="00874891">
        <w:rPr>
          <w:szCs w:val="24"/>
          <w:lang w:val="en-US"/>
        </w:rPr>
        <w:t xml:space="preserve">to increase the boundary between </w:t>
      </w:r>
      <w:r w:rsidR="001B3EEC">
        <w:rPr>
          <w:szCs w:val="24"/>
          <w:lang w:val="en-US"/>
        </w:rPr>
        <w:t>the recipients of unemplo</w:t>
      </w:r>
      <w:r w:rsidR="00A4265B">
        <w:rPr>
          <w:szCs w:val="24"/>
          <w:lang w:val="en-US"/>
        </w:rPr>
        <w:t xml:space="preserve">yment </w:t>
      </w:r>
      <w:r w:rsidR="00F22A54">
        <w:rPr>
          <w:szCs w:val="24"/>
          <w:lang w:val="en-US"/>
        </w:rPr>
        <w:t xml:space="preserve">insurance </w:t>
      </w:r>
      <w:r w:rsidR="00A4265B">
        <w:rPr>
          <w:szCs w:val="24"/>
          <w:lang w:val="en-US"/>
        </w:rPr>
        <w:t xml:space="preserve">benefits </w:t>
      </w:r>
      <w:r w:rsidRPr="00874891">
        <w:rPr>
          <w:szCs w:val="24"/>
          <w:lang w:val="en-US"/>
        </w:rPr>
        <w:t xml:space="preserve">and </w:t>
      </w:r>
      <w:r w:rsidR="000F7B73">
        <w:rPr>
          <w:szCs w:val="24"/>
          <w:lang w:val="en-US"/>
        </w:rPr>
        <w:t xml:space="preserve">the recipients of </w:t>
      </w:r>
      <w:r w:rsidRPr="00874891">
        <w:rPr>
          <w:szCs w:val="24"/>
          <w:lang w:val="en-US"/>
        </w:rPr>
        <w:t xml:space="preserve">social </w:t>
      </w:r>
      <w:r w:rsidR="000F7B73">
        <w:rPr>
          <w:szCs w:val="24"/>
          <w:lang w:val="en-US"/>
        </w:rPr>
        <w:t>assistance</w:t>
      </w:r>
      <w:r w:rsidR="00FC199B">
        <w:rPr>
          <w:szCs w:val="24"/>
          <w:lang w:val="en-US"/>
        </w:rPr>
        <w:t xml:space="preserve"> by providing an additional benefit</w:t>
      </w:r>
      <w:r w:rsidRPr="00874891">
        <w:rPr>
          <w:szCs w:val="24"/>
          <w:lang w:val="en-US"/>
        </w:rPr>
        <w:t xml:space="preserve">; to establish provisions which would obligate receivers of social benefits more and would discipline transgressors; and to </w:t>
      </w:r>
      <w:r w:rsidR="009D087A">
        <w:rPr>
          <w:szCs w:val="24"/>
          <w:lang w:val="en-US"/>
        </w:rPr>
        <w:t xml:space="preserve">reduce </w:t>
      </w:r>
      <w:r w:rsidRPr="00874891">
        <w:rPr>
          <w:szCs w:val="24"/>
          <w:lang w:val="en-US"/>
        </w:rPr>
        <w:t>dependency</w:t>
      </w:r>
      <w:r w:rsidR="009D087A">
        <w:rPr>
          <w:szCs w:val="24"/>
          <w:lang w:val="en-US"/>
        </w:rPr>
        <w:t xml:space="preserve"> on social benefits by changing</w:t>
      </w:r>
      <w:r w:rsidRPr="00874891">
        <w:rPr>
          <w:szCs w:val="24"/>
          <w:lang w:val="en-US"/>
        </w:rPr>
        <w:t xml:space="preserve"> the duration of payment</w:t>
      </w:r>
      <w:r w:rsidR="009D087A">
        <w:rPr>
          <w:szCs w:val="24"/>
          <w:lang w:val="en-US"/>
        </w:rPr>
        <w:t>s</w:t>
      </w:r>
      <w:r w:rsidRPr="00874891">
        <w:rPr>
          <w:szCs w:val="24"/>
          <w:lang w:val="en-US"/>
        </w:rPr>
        <w:t xml:space="preserve"> and establishing additional conditions for receiving social benefits.</w:t>
      </w:r>
    </w:p>
    <w:p w:rsidR="00B13BCE" w:rsidRPr="005A4091" w:rsidRDefault="00657E1C" w:rsidP="00657E1C">
      <w:r w:rsidRPr="00874891">
        <w:rPr>
          <w:szCs w:val="24"/>
          <w:lang w:val="en-US"/>
        </w:rPr>
        <w:t>The Thesis consists of the following parts: Introduct</w:t>
      </w:r>
      <w:r w:rsidR="00D811E4">
        <w:rPr>
          <w:szCs w:val="24"/>
          <w:lang w:val="en-US"/>
        </w:rPr>
        <w:t>ion;</w:t>
      </w:r>
      <w:r w:rsidR="005546CE">
        <w:rPr>
          <w:szCs w:val="24"/>
          <w:lang w:val="en-US"/>
        </w:rPr>
        <w:t xml:space="preserve"> Analysis of </w:t>
      </w:r>
      <w:r w:rsidR="005A7630">
        <w:rPr>
          <w:szCs w:val="24"/>
          <w:lang w:val="en-US"/>
        </w:rPr>
        <w:t xml:space="preserve">the </w:t>
      </w:r>
      <w:r w:rsidR="005546CE">
        <w:rPr>
          <w:szCs w:val="24"/>
          <w:lang w:val="en-US"/>
        </w:rPr>
        <w:t>theory</w:t>
      </w:r>
      <w:r w:rsidR="009E1F05">
        <w:rPr>
          <w:szCs w:val="24"/>
          <w:lang w:val="en-US"/>
        </w:rPr>
        <w:t xml:space="preserve"> of financial behavior</w:t>
      </w:r>
      <w:r w:rsidR="00D811E4">
        <w:rPr>
          <w:szCs w:val="24"/>
          <w:lang w:val="en-US"/>
        </w:rPr>
        <w:t>; The methodology fo</w:t>
      </w:r>
      <w:r w:rsidR="009E1F05">
        <w:rPr>
          <w:szCs w:val="24"/>
          <w:lang w:val="en-US"/>
        </w:rPr>
        <w:t>r evaluations</w:t>
      </w:r>
      <w:r w:rsidRPr="00874891">
        <w:rPr>
          <w:szCs w:val="24"/>
          <w:lang w:val="en-US"/>
        </w:rPr>
        <w:t xml:space="preserve">, Analytical and </w:t>
      </w:r>
      <w:r w:rsidR="005A7630" w:rsidRPr="00042B21">
        <w:rPr>
          <w:szCs w:val="24"/>
          <w:lang w:val="en-US"/>
        </w:rPr>
        <w:t>Project</w:t>
      </w:r>
      <w:r w:rsidRPr="00042B21">
        <w:rPr>
          <w:szCs w:val="24"/>
          <w:lang w:val="en-US"/>
        </w:rPr>
        <w:t xml:space="preserve"> parts,</w:t>
      </w:r>
      <w:r w:rsidRPr="00874891">
        <w:rPr>
          <w:szCs w:val="24"/>
          <w:lang w:val="en-US"/>
        </w:rPr>
        <w:t xml:space="preserve"> Conclusions and Recommendations.</w:t>
      </w:r>
      <w:r w:rsidR="00B13BCE" w:rsidRPr="005A4091">
        <w:br w:type="page"/>
      </w:r>
    </w:p>
    <w:p w:rsidR="00B13BCE" w:rsidRPr="00FD6AD6" w:rsidRDefault="00B13BCE" w:rsidP="006948E4">
      <w:pPr>
        <w:rPr>
          <w:szCs w:val="24"/>
        </w:rPr>
      </w:pPr>
    </w:p>
    <w:p w:rsidR="006A5256" w:rsidRPr="006A5256" w:rsidRDefault="006A5256" w:rsidP="006A5256">
      <w:pPr>
        <w:ind w:left="360" w:firstLine="0"/>
      </w:pPr>
    </w:p>
    <w:p w:rsidR="0002065C" w:rsidRDefault="0002065C" w:rsidP="0002065C">
      <w:pPr>
        <w:ind w:firstLine="0"/>
        <w:rPr>
          <w:b/>
          <w:sz w:val="44"/>
          <w:szCs w:val="44"/>
        </w:rPr>
      </w:pPr>
    </w:p>
    <w:p w:rsidR="00532669" w:rsidRDefault="0002065C" w:rsidP="00DD1688">
      <w:pPr>
        <w:spacing w:before="4800"/>
        <w:ind w:firstLine="0"/>
        <w:contextualSpacing w:val="0"/>
        <w:jc w:val="center"/>
        <w:rPr>
          <w:b/>
          <w:sz w:val="40"/>
          <w:szCs w:val="40"/>
        </w:rPr>
      </w:pPr>
      <w:r w:rsidRPr="0002065C">
        <w:rPr>
          <w:b/>
          <w:sz w:val="40"/>
          <w:szCs w:val="40"/>
        </w:rPr>
        <w:t>PRIEDAI</w:t>
      </w:r>
    </w:p>
    <w:p w:rsidR="00886347" w:rsidRDefault="00886347">
      <w:pPr>
        <w:widowControl/>
        <w:spacing w:after="200" w:line="276" w:lineRule="auto"/>
        <w:ind w:firstLine="0"/>
        <w:contextualSpacing w:val="0"/>
        <w:jc w:val="left"/>
      </w:pPr>
      <w:r>
        <w:br w:type="page"/>
      </w:r>
    </w:p>
    <w:p w:rsidR="00886347" w:rsidRPr="009A70C1" w:rsidRDefault="00D84BC4" w:rsidP="00886347">
      <w:pPr>
        <w:pStyle w:val="Caption"/>
      </w:pPr>
      <w:fldSimple w:instr=" SEQ lentelė \* ARABIC ">
        <w:r w:rsidR="00886347" w:rsidRPr="009A6EF4">
          <w:t>1</w:t>
        </w:r>
      </w:fldSimple>
      <w:r w:rsidR="00886347" w:rsidRPr="009A6EF4">
        <w:t> lentelė.</w:t>
      </w:r>
      <w:r w:rsidR="00886347" w:rsidRPr="009A70C1">
        <w:t xml:space="preserve"> Gyventojų finansinės elgsenos problemos</w:t>
      </w:r>
    </w:p>
    <w:tbl>
      <w:tblPr>
        <w:tblStyle w:val="LightGrid-Accent5"/>
        <w:tblW w:w="103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35"/>
        <w:gridCol w:w="1260"/>
        <w:gridCol w:w="4318"/>
        <w:gridCol w:w="4319"/>
      </w:tblGrid>
      <w:tr w:rsidR="00886347" w:rsidRPr="00B21B29" w:rsidTr="00886347">
        <w:trPr>
          <w:cnfStyle w:val="100000000000"/>
          <w:trHeight w:val="20"/>
        </w:trPr>
        <w:tc>
          <w:tcPr>
            <w:cnfStyle w:val="001000000000"/>
            <w:tcW w:w="435" w:type="dxa"/>
            <w:tcBorders>
              <w:top w:val="single" w:sz="12" w:space="0" w:color="auto"/>
              <w:left w:val="single" w:sz="12" w:space="0" w:color="auto"/>
              <w:bottom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b w:val="0"/>
                <w:sz w:val="15"/>
                <w:szCs w:val="15"/>
              </w:rPr>
            </w:pPr>
          </w:p>
        </w:tc>
        <w:tc>
          <w:tcPr>
            <w:tcW w:w="1260" w:type="dxa"/>
            <w:tcBorders>
              <w:top w:val="single" w:sz="12" w:space="0" w:color="auto"/>
              <w:left w:val="single" w:sz="12" w:space="0" w:color="auto"/>
              <w:bottom w:val="single" w:sz="12" w:space="0" w:color="auto"/>
              <w:right w:val="single" w:sz="8" w:space="0" w:color="auto"/>
            </w:tcBorders>
            <w:shd w:val="clear" w:color="auto" w:fill="92CDDC" w:themeFill="accent5" w:themeFillTint="99"/>
          </w:tcPr>
          <w:p w:rsidR="00886347" w:rsidRPr="00B21B29" w:rsidRDefault="00886347" w:rsidP="00886347">
            <w:pPr>
              <w:spacing w:after="0" w:line="240" w:lineRule="auto"/>
              <w:ind w:firstLine="0"/>
              <w:cnfStyle w:val="100000000000"/>
              <w:rPr>
                <w:b w:val="0"/>
                <w:sz w:val="15"/>
                <w:szCs w:val="15"/>
              </w:rPr>
            </w:pPr>
          </w:p>
        </w:tc>
        <w:tc>
          <w:tcPr>
            <w:tcW w:w="4318" w:type="dxa"/>
            <w:tcBorders>
              <w:top w:val="single" w:sz="12" w:space="0" w:color="auto"/>
              <w:left w:val="single" w:sz="8" w:space="0" w:color="auto"/>
              <w:bottom w:val="single" w:sz="12" w:space="0" w:color="auto"/>
              <w:right w:val="single" w:sz="8" w:space="0" w:color="auto"/>
            </w:tcBorders>
            <w:shd w:val="clear" w:color="auto" w:fill="92CDDC" w:themeFill="accent5" w:themeFillTint="99"/>
          </w:tcPr>
          <w:p w:rsidR="00886347" w:rsidRPr="00B21B29" w:rsidRDefault="00886347" w:rsidP="00886347">
            <w:pPr>
              <w:spacing w:after="0" w:line="240" w:lineRule="auto"/>
              <w:ind w:firstLine="0"/>
              <w:jc w:val="center"/>
              <w:cnfStyle w:val="100000000000"/>
              <w:rPr>
                <w:b w:val="0"/>
                <w:sz w:val="15"/>
                <w:szCs w:val="15"/>
              </w:rPr>
            </w:pPr>
            <w:r w:rsidRPr="00B21B29">
              <w:rPr>
                <w:sz w:val="15"/>
                <w:szCs w:val="15"/>
              </w:rPr>
              <w:t>TAUPYMAS</w:t>
            </w:r>
          </w:p>
        </w:tc>
        <w:tc>
          <w:tcPr>
            <w:tcW w:w="4319" w:type="dxa"/>
            <w:tcBorders>
              <w:top w:val="single" w:sz="12" w:space="0" w:color="auto"/>
              <w:left w:val="single" w:sz="8" w:space="0" w:color="auto"/>
              <w:bottom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jc w:val="center"/>
              <w:cnfStyle w:val="100000000000"/>
              <w:rPr>
                <w:b w:val="0"/>
                <w:sz w:val="15"/>
                <w:szCs w:val="15"/>
              </w:rPr>
            </w:pPr>
            <w:r w:rsidRPr="00B21B29">
              <w:rPr>
                <w:sz w:val="15"/>
                <w:szCs w:val="15"/>
              </w:rPr>
              <w:t>INVESTAVIMAS</w:t>
            </w:r>
          </w:p>
        </w:tc>
      </w:tr>
      <w:tr w:rsidR="00886347" w:rsidRPr="00B21B29" w:rsidTr="00886347">
        <w:trPr>
          <w:cnfStyle w:val="000000100000"/>
          <w:trHeight w:val="384"/>
        </w:trPr>
        <w:tc>
          <w:tcPr>
            <w:cnfStyle w:val="001000000000"/>
            <w:tcW w:w="435" w:type="dxa"/>
            <w:vMerge w:val="restart"/>
            <w:tcBorders>
              <w:top w:val="single" w:sz="12" w:space="0" w:color="auto"/>
              <w:left w:val="single" w:sz="12" w:space="0" w:color="auto"/>
              <w:bottom w:val="single" w:sz="8" w:space="0" w:color="auto"/>
              <w:right w:val="single" w:sz="12" w:space="0" w:color="auto"/>
            </w:tcBorders>
            <w:shd w:val="clear" w:color="auto" w:fill="92CDDC" w:themeFill="accent5" w:themeFillTint="99"/>
            <w:textDirection w:val="btLr"/>
          </w:tcPr>
          <w:p w:rsidR="00886347" w:rsidRPr="00B21B29" w:rsidRDefault="00886347" w:rsidP="00886347">
            <w:pPr>
              <w:spacing w:after="0" w:line="240" w:lineRule="auto"/>
              <w:ind w:left="113" w:right="113" w:firstLine="0"/>
              <w:jc w:val="center"/>
              <w:rPr>
                <w:b w:val="0"/>
                <w:sz w:val="15"/>
                <w:szCs w:val="15"/>
              </w:rPr>
            </w:pPr>
            <w:r w:rsidRPr="00B21B29">
              <w:rPr>
                <w:sz w:val="15"/>
                <w:szCs w:val="15"/>
              </w:rPr>
              <w:t>2007</w:t>
            </w:r>
          </w:p>
        </w:tc>
        <w:tc>
          <w:tcPr>
            <w:tcW w:w="1260" w:type="dxa"/>
            <w:tcBorders>
              <w:top w:val="single" w:sz="12"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100000"/>
              <w:rPr>
                <w:sz w:val="15"/>
                <w:szCs w:val="15"/>
              </w:rPr>
            </w:pPr>
            <w:r w:rsidRPr="00B21B29">
              <w:rPr>
                <w:sz w:val="15"/>
                <w:szCs w:val="15"/>
              </w:rPr>
              <w:t>Problema</w:t>
            </w:r>
          </w:p>
        </w:tc>
        <w:tc>
          <w:tcPr>
            <w:tcW w:w="4318" w:type="dxa"/>
            <w:tcBorders>
              <w:top w:val="single" w:sz="12"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1. Netaupo jaunimas</w:t>
            </w:r>
            <w:r w:rsidRPr="00B21B29">
              <w:rPr>
                <w:b/>
                <w:sz w:val="15"/>
                <w:szCs w:val="15"/>
                <w:vertAlign w:val="superscript"/>
              </w:rPr>
              <w:t>1</w:t>
            </w:r>
            <w:r w:rsidRPr="00B21B29">
              <w:rPr>
                <w:b/>
                <w:sz w:val="15"/>
                <w:szCs w:val="15"/>
              </w:rPr>
              <w:t>.</w:t>
            </w:r>
          </w:p>
        </w:tc>
        <w:tc>
          <w:tcPr>
            <w:tcW w:w="4319" w:type="dxa"/>
            <w:tcBorders>
              <w:top w:val="single" w:sz="12"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jc w:val="left"/>
              <w:cnfStyle w:val="000000100000"/>
              <w:rPr>
                <w:b/>
                <w:sz w:val="15"/>
                <w:szCs w:val="15"/>
              </w:rPr>
            </w:pPr>
            <w:r w:rsidRPr="00B21B29">
              <w:rPr>
                <w:b/>
                <w:sz w:val="15"/>
                <w:szCs w:val="15"/>
              </w:rPr>
              <w:t>1. Investicinė elgsena konservatyvi (dažniau moterų): indėliai; grynieji pinigai; gyvybės draudimas.</w:t>
            </w:r>
          </w:p>
        </w:tc>
      </w:tr>
      <w:tr w:rsidR="00886347" w:rsidRPr="00B21B29" w:rsidTr="00886347">
        <w:trPr>
          <w:cnfStyle w:val="000000010000"/>
          <w:trHeight w:val="20"/>
        </w:trPr>
        <w:tc>
          <w:tcPr>
            <w:cnfStyle w:val="001000000000"/>
            <w:tcW w:w="435" w:type="dxa"/>
            <w:vMerge/>
            <w:tcBorders>
              <w:top w:val="single" w:sz="8" w:space="0" w:color="auto"/>
              <w:left w:val="single" w:sz="12" w:space="0" w:color="auto"/>
              <w:right w:val="single" w:sz="12" w:space="0" w:color="auto"/>
            </w:tcBorders>
            <w:shd w:val="clear" w:color="auto" w:fill="92CDDC" w:themeFill="accent5" w:themeFillTint="99"/>
            <w:textDirection w:val="btLr"/>
          </w:tcPr>
          <w:p w:rsidR="00886347" w:rsidRPr="00B21B29" w:rsidRDefault="00886347" w:rsidP="00886347">
            <w:pPr>
              <w:spacing w:after="0" w:line="240" w:lineRule="auto"/>
              <w:ind w:left="113" w:right="113" w:firstLine="0"/>
              <w:jc w:val="center"/>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010000"/>
              <w:rPr>
                <w:sz w:val="15"/>
                <w:szCs w:val="15"/>
              </w:rPr>
            </w:pPr>
            <w:r w:rsidRPr="00B21B29">
              <w:rPr>
                <w:sz w:val="15"/>
                <w:szCs w:val="15"/>
              </w:rPr>
              <w:t>Priežastys</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negalvojama apie ateitį, neužsibrėžiami tikslai.</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konservatyvumas (nuokrypis).</w:t>
            </w:r>
          </w:p>
        </w:tc>
      </w:tr>
      <w:tr w:rsidR="00886347" w:rsidRPr="00B21B29" w:rsidTr="00886347">
        <w:trPr>
          <w:cnfStyle w:val="000000100000"/>
          <w:trHeight w:val="20"/>
        </w:trPr>
        <w:tc>
          <w:tcPr>
            <w:cnfStyle w:val="001000000000"/>
            <w:tcW w:w="435" w:type="dxa"/>
            <w:vMerge/>
            <w:tcBorders>
              <w:top w:val="single" w:sz="8" w:space="0" w:color="auto"/>
              <w:left w:val="single" w:sz="12" w:space="0" w:color="auto"/>
              <w:bottom w:val="single" w:sz="8" w:space="0" w:color="auto"/>
              <w:right w:val="single" w:sz="12" w:space="0" w:color="auto"/>
            </w:tcBorders>
            <w:shd w:val="clear" w:color="auto" w:fill="92CDDC" w:themeFill="accent5" w:themeFillTint="99"/>
            <w:textDirection w:val="btLr"/>
          </w:tcPr>
          <w:p w:rsidR="00886347" w:rsidRPr="00B21B29" w:rsidRDefault="00886347" w:rsidP="00886347">
            <w:pPr>
              <w:spacing w:after="0" w:line="240" w:lineRule="auto"/>
              <w:ind w:left="113" w:right="113" w:firstLine="0"/>
              <w:jc w:val="center"/>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100000"/>
              <w:rPr>
                <w:sz w:val="15"/>
                <w:szCs w:val="15"/>
              </w:rPr>
            </w:pPr>
            <w:r w:rsidRPr="00B21B29">
              <w:rPr>
                <w:sz w:val="15"/>
                <w:szCs w:val="15"/>
              </w:rPr>
              <w:t>Problema</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2. Taupyti negali vyresni žmonės, pasiekę karjeros viršūnę, bei mažiausias pajamas gaunantys asmenys.</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2. Į vertybinius popierius investuoja nedidelė dalis žmonių.</w:t>
            </w:r>
          </w:p>
        </w:tc>
      </w:tr>
      <w:tr w:rsidR="00886347" w:rsidRPr="00B21B29" w:rsidTr="00886347">
        <w:trPr>
          <w:cnfStyle w:val="000000010000"/>
          <w:trHeight w:val="20"/>
        </w:trPr>
        <w:tc>
          <w:tcPr>
            <w:cnfStyle w:val="001000000000"/>
            <w:tcW w:w="435" w:type="dxa"/>
            <w:vMerge/>
            <w:tcBorders>
              <w:left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010000"/>
              <w:rPr>
                <w:sz w:val="15"/>
                <w:szCs w:val="15"/>
              </w:rPr>
            </w:pPr>
            <w:r w:rsidRPr="00B21B29">
              <w:rPr>
                <w:sz w:val="15"/>
                <w:szCs w:val="15"/>
              </w:rPr>
              <w:t>Priežastys</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mažos pajamos, tenkančios vienam šeimos nariui;</w:t>
            </w:r>
          </w:p>
          <w:p w:rsidR="00886347" w:rsidRPr="00B21B29" w:rsidRDefault="00886347" w:rsidP="00886347">
            <w:pPr>
              <w:spacing w:after="0" w:line="240" w:lineRule="auto"/>
              <w:ind w:firstLine="0"/>
              <w:cnfStyle w:val="000000010000"/>
              <w:rPr>
                <w:sz w:val="15"/>
                <w:szCs w:val="15"/>
              </w:rPr>
            </w:pPr>
            <w:r w:rsidRPr="00B21B29">
              <w:rPr>
                <w:sz w:val="15"/>
                <w:szCs w:val="15"/>
              </w:rPr>
              <w:t>2) visų amžiaus grupių moterų pajamos mažesnės;</w:t>
            </w:r>
          </w:p>
          <w:p w:rsidR="00886347" w:rsidRPr="00B21B29" w:rsidRDefault="00886347" w:rsidP="00886347">
            <w:pPr>
              <w:spacing w:after="0" w:line="240" w:lineRule="auto"/>
              <w:ind w:firstLine="0"/>
              <w:cnfStyle w:val="000000010000"/>
              <w:rPr>
                <w:sz w:val="15"/>
                <w:szCs w:val="15"/>
              </w:rPr>
            </w:pPr>
            <w:r w:rsidRPr="00B21B29">
              <w:rPr>
                <w:sz w:val="15"/>
                <w:szCs w:val="15"/>
              </w:rPr>
              <w:t>3) amžius, kuris daro įtaką asmens pajamoms.</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reikalingų įgūdžių ir žinių stoka;</w:t>
            </w:r>
          </w:p>
          <w:p w:rsidR="00886347" w:rsidRPr="00B21B29" w:rsidRDefault="00886347" w:rsidP="00886347">
            <w:pPr>
              <w:spacing w:after="0" w:line="240" w:lineRule="auto"/>
              <w:ind w:firstLine="0"/>
              <w:cnfStyle w:val="000000010000"/>
              <w:rPr>
                <w:sz w:val="15"/>
                <w:szCs w:val="15"/>
              </w:rPr>
            </w:pPr>
            <w:r w:rsidRPr="00B21B29">
              <w:rPr>
                <w:sz w:val="15"/>
                <w:szCs w:val="15"/>
              </w:rPr>
              <w:t>2) klaidingas požiūris, jog investuoti reikia daug</w:t>
            </w:r>
            <w:r w:rsidRPr="00B21B29">
              <w:rPr>
                <w:sz w:val="15"/>
                <w:szCs w:val="15"/>
                <w:vertAlign w:val="superscript"/>
              </w:rPr>
              <w:t>2</w:t>
            </w:r>
            <w:r w:rsidRPr="00B21B29">
              <w:rPr>
                <w:sz w:val="15"/>
                <w:szCs w:val="15"/>
              </w:rPr>
              <w:t>;</w:t>
            </w:r>
          </w:p>
          <w:p w:rsidR="00886347" w:rsidRPr="00B21B29" w:rsidRDefault="00886347" w:rsidP="00886347">
            <w:pPr>
              <w:spacing w:after="0" w:line="240" w:lineRule="auto"/>
              <w:ind w:firstLine="0"/>
              <w:cnfStyle w:val="000000010000"/>
              <w:rPr>
                <w:sz w:val="15"/>
                <w:szCs w:val="15"/>
              </w:rPr>
            </w:pPr>
            <w:r w:rsidRPr="00B21B29">
              <w:rPr>
                <w:sz w:val="15"/>
                <w:szCs w:val="15"/>
              </w:rPr>
              <w:t>3) netolerancija rizikai.</w:t>
            </w:r>
          </w:p>
        </w:tc>
      </w:tr>
      <w:tr w:rsidR="00886347" w:rsidRPr="00B21B29" w:rsidTr="00886347">
        <w:trPr>
          <w:cnfStyle w:val="000000100000"/>
          <w:trHeight w:val="20"/>
        </w:trPr>
        <w:tc>
          <w:tcPr>
            <w:cnfStyle w:val="001000000000"/>
            <w:tcW w:w="435" w:type="dxa"/>
            <w:vMerge/>
            <w:tcBorders>
              <w:top w:val="single" w:sz="8" w:space="0" w:color="auto"/>
              <w:left w:val="single" w:sz="12" w:space="0" w:color="auto"/>
              <w:bottom w:val="single" w:sz="8"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100000"/>
              <w:rPr>
                <w:sz w:val="15"/>
                <w:szCs w:val="15"/>
              </w:rPr>
            </w:pPr>
            <w:r w:rsidRPr="00B21B29">
              <w:rPr>
                <w:sz w:val="15"/>
                <w:szCs w:val="15"/>
              </w:rPr>
              <w:t>Problema</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 xml:space="preserve">3. Didelė dalis gyventojų </w:t>
            </w:r>
            <w:r w:rsidRPr="00B21B29">
              <w:rPr>
                <w:sz w:val="15"/>
                <w:szCs w:val="15"/>
              </w:rPr>
              <w:t>(1 / 2)</w:t>
            </w:r>
            <w:r w:rsidRPr="00B21B29">
              <w:rPr>
                <w:b/>
                <w:sz w:val="15"/>
                <w:szCs w:val="15"/>
              </w:rPr>
              <w:t xml:space="preserve"> nėra linkusi planuoti santaupų.</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100000"/>
              <w:rPr>
                <w:sz w:val="15"/>
                <w:szCs w:val="15"/>
              </w:rPr>
            </w:pPr>
            <w:r w:rsidRPr="00B21B29">
              <w:rPr>
                <w:b/>
                <w:sz w:val="15"/>
                <w:szCs w:val="15"/>
              </w:rPr>
              <w:t>3. Didelė dalis vyresnio amžiaus vyrų (56–60 m.) investuoja į akcijas</w:t>
            </w:r>
            <w:r w:rsidRPr="00B21B29">
              <w:rPr>
                <w:b/>
                <w:sz w:val="15"/>
                <w:szCs w:val="15"/>
                <w:vertAlign w:val="superscript"/>
              </w:rPr>
              <w:t>1</w:t>
            </w:r>
            <w:r w:rsidRPr="00B21B29">
              <w:rPr>
                <w:b/>
                <w:sz w:val="15"/>
                <w:szCs w:val="15"/>
              </w:rPr>
              <w:t>.</w:t>
            </w:r>
          </w:p>
        </w:tc>
      </w:tr>
      <w:tr w:rsidR="00886347" w:rsidRPr="00B21B29" w:rsidTr="00886347">
        <w:trPr>
          <w:cnfStyle w:val="000000010000"/>
          <w:trHeight w:val="20"/>
        </w:trPr>
        <w:tc>
          <w:tcPr>
            <w:cnfStyle w:val="001000000000"/>
            <w:tcW w:w="435" w:type="dxa"/>
            <w:vMerge/>
            <w:tcBorders>
              <w:left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010000"/>
              <w:rPr>
                <w:sz w:val="15"/>
                <w:szCs w:val="15"/>
              </w:rPr>
            </w:pPr>
            <w:r w:rsidRPr="00B21B29">
              <w:rPr>
                <w:sz w:val="15"/>
                <w:szCs w:val="15"/>
              </w:rPr>
              <w:t>Priežastys</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nesuvokiama gyvenimo ciklo prasmė;</w:t>
            </w:r>
          </w:p>
          <w:p w:rsidR="00886347" w:rsidRPr="00B21B29" w:rsidRDefault="00886347" w:rsidP="00886347">
            <w:pPr>
              <w:spacing w:after="0" w:line="240" w:lineRule="auto"/>
              <w:ind w:firstLine="0"/>
              <w:cnfStyle w:val="000000010000"/>
              <w:rPr>
                <w:sz w:val="15"/>
                <w:szCs w:val="15"/>
              </w:rPr>
            </w:pPr>
            <w:r w:rsidRPr="00B21B29">
              <w:rPr>
                <w:sz w:val="15"/>
                <w:szCs w:val="15"/>
              </w:rPr>
              <w:t>2) neturima jokių taupymo tikslų.</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nesuvokiama gyvenimo ciklo esmė;</w:t>
            </w:r>
          </w:p>
          <w:p w:rsidR="00886347" w:rsidRPr="00B21B29" w:rsidRDefault="00886347" w:rsidP="00886347">
            <w:pPr>
              <w:spacing w:after="0" w:line="240" w:lineRule="auto"/>
              <w:ind w:firstLine="0"/>
              <w:cnfStyle w:val="000000010000"/>
              <w:rPr>
                <w:sz w:val="15"/>
                <w:szCs w:val="15"/>
              </w:rPr>
            </w:pPr>
            <w:r w:rsidRPr="00B21B29">
              <w:rPr>
                <w:sz w:val="15"/>
                <w:szCs w:val="15"/>
              </w:rPr>
              <w:t>2) neįvertinama rizika.</w:t>
            </w:r>
          </w:p>
        </w:tc>
      </w:tr>
      <w:tr w:rsidR="00886347" w:rsidRPr="00B21B29" w:rsidTr="00886347">
        <w:trPr>
          <w:cnfStyle w:val="000000100000"/>
          <w:trHeight w:val="20"/>
        </w:trPr>
        <w:tc>
          <w:tcPr>
            <w:cnfStyle w:val="001000000000"/>
            <w:tcW w:w="435" w:type="dxa"/>
            <w:vMerge/>
            <w:tcBorders>
              <w:top w:val="single" w:sz="8" w:space="0" w:color="auto"/>
              <w:left w:val="single" w:sz="12" w:space="0" w:color="auto"/>
              <w:bottom w:val="single" w:sz="8"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100000"/>
              <w:rPr>
                <w:sz w:val="15"/>
                <w:szCs w:val="15"/>
              </w:rPr>
            </w:pPr>
            <w:r w:rsidRPr="00B21B29">
              <w:rPr>
                <w:sz w:val="15"/>
                <w:szCs w:val="15"/>
              </w:rPr>
              <w:t>Problema</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4. Didelė dalis planuojančių santaupas žmonių, prioritetą teikia didesnėms išlaidoms (vartojimui).</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100000"/>
              <w:rPr>
                <w:sz w:val="15"/>
                <w:szCs w:val="15"/>
              </w:rPr>
            </w:pPr>
          </w:p>
        </w:tc>
      </w:tr>
      <w:tr w:rsidR="00886347" w:rsidRPr="00B21B29" w:rsidTr="00886347">
        <w:trPr>
          <w:cnfStyle w:val="000000010000"/>
          <w:trHeight w:val="20"/>
        </w:trPr>
        <w:tc>
          <w:tcPr>
            <w:cnfStyle w:val="001000000000"/>
            <w:tcW w:w="435" w:type="dxa"/>
            <w:vMerge/>
            <w:tcBorders>
              <w:left w:val="single" w:sz="12" w:space="0" w:color="auto"/>
              <w:bottom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12" w:space="0" w:color="auto"/>
              <w:right w:val="single" w:sz="8" w:space="0" w:color="auto"/>
            </w:tcBorders>
            <w:vAlign w:val="center"/>
          </w:tcPr>
          <w:p w:rsidR="00886347" w:rsidRPr="00B21B29" w:rsidRDefault="00886347" w:rsidP="00886347">
            <w:pPr>
              <w:spacing w:after="0" w:line="240" w:lineRule="auto"/>
              <w:ind w:firstLine="0"/>
              <w:jc w:val="center"/>
              <w:cnfStyle w:val="000000010000"/>
              <w:rPr>
                <w:sz w:val="15"/>
                <w:szCs w:val="15"/>
              </w:rPr>
            </w:pPr>
            <w:r w:rsidRPr="00B21B29">
              <w:rPr>
                <w:sz w:val="15"/>
                <w:szCs w:val="15"/>
              </w:rPr>
              <w:t>Priežastys</w:t>
            </w:r>
          </w:p>
        </w:tc>
        <w:tc>
          <w:tcPr>
            <w:tcW w:w="4318" w:type="dxa"/>
            <w:tcBorders>
              <w:top w:val="single" w:sz="8" w:space="0" w:color="auto"/>
              <w:left w:val="single" w:sz="8" w:space="0" w:color="auto"/>
              <w:bottom w:val="single" w:sz="12" w:space="0" w:color="auto"/>
              <w:right w:val="single" w:sz="8"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gyvenimo būdas (ypatingai moterų ir jaunų vyrų).</w:t>
            </w:r>
          </w:p>
        </w:tc>
        <w:tc>
          <w:tcPr>
            <w:tcW w:w="4319" w:type="dxa"/>
            <w:tcBorders>
              <w:top w:val="single" w:sz="8" w:space="0" w:color="auto"/>
              <w:left w:val="single" w:sz="8" w:space="0" w:color="auto"/>
              <w:bottom w:val="single" w:sz="12" w:space="0" w:color="auto"/>
              <w:right w:val="single" w:sz="12" w:space="0" w:color="auto"/>
            </w:tcBorders>
          </w:tcPr>
          <w:p w:rsidR="00886347" w:rsidRPr="00B21B29" w:rsidRDefault="00886347" w:rsidP="00886347">
            <w:pPr>
              <w:spacing w:after="0" w:line="240" w:lineRule="auto"/>
              <w:ind w:firstLine="0"/>
              <w:cnfStyle w:val="000000010000"/>
              <w:rPr>
                <w:sz w:val="15"/>
                <w:szCs w:val="15"/>
              </w:rPr>
            </w:pPr>
          </w:p>
        </w:tc>
      </w:tr>
      <w:tr w:rsidR="00886347" w:rsidRPr="00B21B29" w:rsidTr="00886347">
        <w:trPr>
          <w:cnfStyle w:val="000000100000"/>
          <w:trHeight w:val="20"/>
        </w:trPr>
        <w:tc>
          <w:tcPr>
            <w:cnfStyle w:val="001000000000"/>
            <w:tcW w:w="435" w:type="dxa"/>
            <w:vMerge w:val="restart"/>
            <w:tcBorders>
              <w:top w:val="single" w:sz="12" w:space="0" w:color="auto"/>
              <w:left w:val="single" w:sz="12" w:space="0" w:color="auto"/>
              <w:bottom w:val="single" w:sz="12" w:space="0" w:color="auto"/>
              <w:right w:val="single" w:sz="12" w:space="0" w:color="auto"/>
            </w:tcBorders>
            <w:shd w:val="clear" w:color="auto" w:fill="92CDDC" w:themeFill="accent5" w:themeFillTint="99"/>
            <w:textDirection w:val="btLr"/>
          </w:tcPr>
          <w:p w:rsidR="00886347" w:rsidRPr="00B21B29" w:rsidRDefault="00886347" w:rsidP="00886347">
            <w:pPr>
              <w:spacing w:after="0" w:line="240" w:lineRule="auto"/>
              <w:ind w:left="115" w:right="115" w:firstLine="0"/>
              <w:jc w:val="center"/>
              <w:rPr>
                <w:b w:val="0"/>
                <w:sz w:val="15"/>
                <w:szCs w:val="15"/>
              </w:rPr>
            </w:pPr>
            <w:r w:rsidRPr="00B21B29">
              <w:rPr>
                <w:sz w:val="15"/>
                <w:szCs w:val="15"/>
              </w:rPr>
              <w:t>2008</w:t>
            </w:r>
          </w:p>
        </w:tc>
        <w:tc>
          <w:tcPr>
            <w:tcW w:w="1260" w:type="dxa"/>
            <w:tcBorders>
              <w:top w:val="single" w:sz="12"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100000"/>
              <w:rPr>
                <w:sz w:val="15"/>
                <w:szCs w:val="15"/>
              </w:rPr>
            </w:pPr>
            <w:r w:rsidRPr="00B21B29">
              <w:rPr>
                <w:sz w:val="15"/>
                <w:szCs w:val="15"/>
              </w:rPr>
              <w:t>Problema</w:t>
            </w:r>
          </w:p>
        </w:tc>
        <w:tc>
          <w:tcPr>
            <w:tcW w:w="4318" w:type="dxa"/>
            <w:tcBorders>
              <w:top w:val="single" w:sz="12"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jc w:val="left"/>
              <w:cnfStyle w:val="000000100000"/>
              <w:rPr>
                <w:b/>
                <w:sz w:val="15"/>
                <w:szCs w:val="15"/>
              </w:rPr>
            </w:pPr>
            <w:r w:rsidRPr="00B21B29">
              <w:rPr>
                <w:b/>
                <w:sz w:val="15"/>
                <w:szCs w:val="15"/>
              </w:rPr>
              <w:t>1. Gyventojų finansinis turtas mažėja, o paskolų portfelis – didėja.</w:t>
            </w:r>
          </w:p>
        </w:tc>
        <w:tc>
          <w:tcPr>
            <w:tcW w:w="4319" w:type="dxa"/>
            <w:tcBorders>
              <w:top w:val="single" w:sz="12"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1. Didžiausią gyventojų finansinio turto dalį sudaro indėliai, o didžiausia dalis indėlių laikoma nacionaline valiuta.</w:t>
            </w:r>
          </w:p>
        </w:tc>
      </w:tr>
      <w:tr w:rsidR="00886347" w:rsidRPr="00B21B29" w:rsidTr="00886347">
        <w:trPr>
          <w:cnfStyle w:val="000000010000"/>
          <w:trHeight w:val="144"/>
        </w:trPr>
        <w:tc>
          <w:tcPr>
            <w:cnfStyle w:val="001000000000"/>
            <w:tcW w:w="435" w:type="dxa"/>
            <w:vMerge/>
            <w:tcBorders>
              <w:top w:val="nil"/>
              <w:left w:val="single" w:sz="12" w:space="0" w:color="auto"/>
              <w:bottom w:val="single" w:sz="12" w:space="0" w:color="auto"/>
              <w:right w:val="single" w:sz="12" w:space="0" w:color="auto"/>
            </w:tcBorders>
            <w:shd w:val="clear" w:color="auto" w:fill="92CDDC" w:themeFill="accent5" w:themeFillTint="99"/>
            <w:textDirection w:val="btLr"/>
          </w:tcPr>
          <w:p w:rsidR="00886347" w:rsidRPr="00B21B29" w:rsidRDefault="00886347" w:rsidP="00886347">
            <w:pPr>
              <w:spacing w:after="0" w:line="240" w:lineRule="auto"/>
              <w:ind w:left="113" w:right="113" w:firstLine="0"/>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010000"/>
              <w:rPr>
                <w:sz w:val="15"/>
                <w:szCs w:val="15"/>
              </w:rPr>
            </w:pPr>
            <w:r w:rsidRPr="00B21B29">
              <w:rPr>
                <w:sz w:val="15"/>
                <w:szCs w:val="15"/>
              </w:rPr>
              <w:t>Priežastys</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nuosmukis finansų rinkose;</w:t>
            </w:r>
          </w:p>
          <w:p w:rsidR="00886347" w:rsidRPr="00B21B29" w:rsidRDefault="00886347" w:rsidP="00886347">
            <w:pPr>
              <w:spacing w:after="0" w:line="240" w:lineRule="auto"/>
              <w:ind w:firstLine="0"/>
              <w:cnfStyle w:val="000000010000"/>
              <w:rPr>
                <w:sz w:val="15"/>
                <w:szCs w:val="15"/>
              </w:rPr>
            </w:pPr>
            <w:r w:rsidRPr="00B21B29">
              <w:rPr>
                <w:sz w:val="15"/>
                <w:szCs w:val="15"/>
              </w:rPr>
              <w:t>2) prioritetų pasikeitimas.</w:t>
            </w:r>
          </w:p>
          <w:p w:rsidR="00886347" w:rsidRPr="00B21B29" w:rsidRDefault="00886347" w:rsidP="00886347">
            <w:pPr>
              <w:spacing w:after="0" w:line="240" w:lineRule="auto"/>
              <w:ind w:firstLine="0"/>
              <w:cnfStyle w:val="000000010000"/>
              <w:rPr>
                <w:b/>
                <w:sz w:val="15"/>
                <w:szCs w:val="15"/>
              </w:rPr>
            </w:pP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konservatyvumas (nuokrypis);</w:t>
            </w:r>
          </w:p>
          <w:p w:rsidR="00886347" w:rsidRPr="00B21B29" w:rsidRDefault="00886347" w:rsidP="00886347">
            <w:pPr>
              <w:spacing w:after="0" w:line="240" w:lineRule="auto"/>
              <w:ind w:firstLine="0"/>
              <w:cnfStyle w:val="000000010000"/>
              <w:rPr>
                <w:sz w:val="15"/>
                <w:szCs w:val="15"/>
              </w:rPr>
            </w:pPr>
            <w:r w:rsidRPr="00B21B29">
              <w:rPr>
                <w:sz w:val="15"/>
                <w:szCs w:val="15"/>
              </w:rPr>
              <w:t>2) netolerancija rizikai.</w:t>
            </w:r>
          </w:p>
        </w:tc>
      </w:tr>
      <w:tr w:rsidR="00886347" w:rsidRPr="00B21B29" w:rsidTr="00886347">
        <w:trPr>
          <w:cnfStyle w:val="000000100000"/>
          <w:trHeight w:val="20"/>
        </w:trPr>
        <w:tc>
          <w:tcPr>
            <w:cnfStyle w:val="001000000000"/>
            <w:tcW w:w="435" w:type="dxa"/>
            <w:vMerge/>
            <w:tcBorders>
              <w:top w:val="single" w:sz="8" w:space="0" w:color="auto"/>
              <w:left w:val="single" w:sz="12" w:space="0" w:color="auto"/>
              <w:bottom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100000"/>
              <w:rPr>
                <w:sz w:val="15"/>
                <w:szCs w:val="15"/>
              </w:rPr>
            </w:pPr>
            <w:r w:rsidRPr="00B21B29">
              <w:rPr>
                <w:sz w:val="15"/>
                <w:szCs w:val="15"/>
              </w:rPr>
              <w:t>Problema</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2. Išaugo vartojimo paskolų skaičius.</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2. Indėlius, kaip investicinę priemonę, renkamasi pirmu punktu, o akcijas – trečiu punktu.</w:t>
            </w:r>
          </w:p>
        </w:tc>
      </w:tr>
      <w:tr w:rsidR="00886347" w:rsidRPr="00B21B29" w:rsidTr="00886347">
        <w:trPr>
          <w:cnfStyle w:val="000000010000"/>
          <w:trHeight w:val="20"/>
        </w:trPr>
        <w:tc>
          <w:tcPr>
            <w:cnfStyle w:val="001000000000"/>
            <w:tcW w:w="435" w:type="dxa"/>
            <w:vMerge/>
            <w:tcBorders>
              <w:left w:val="single" w:sz="12" w:space="0" w:color="auto"/>
              <w:bottom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12" w:space="0" w:color="auto"/>
              <w:right w:val="single" w:sz="8" w:space="0" w:color="auto"/>
            </w:tcBorders>
            <w:vAlign w:val="center"/>
          </w:tcPr>
          <w:p w:rsidR="00886347" w:rsidRPr="00B21B29" w:rsidRDefault="00886347" w:rsidP="00886347">
            <w:pPr>
              <w:spacing w:after="0" w:line="240" w:lineRule="auto"/>
              <w:ind w:firstLine="0"/>
              <w:jc w:val="center"/>
              <w:cnfStyle w:val="000000010000"/>
              <w:rPr>
                <w:sz w:val="15"/>
                <w:szCs w:val="15"/>
              </w:rPr>
            </w:pPr>
            <w:r w:rsidRPr="00B21B29">
              <w:rPr>
                <w:sz w:val="15"/>
                <w:szCs w:val="15"/>
              </w:rPr>
              <w:t>Priežastys</w:t>
            </w:r>
          </w:p>
        </w:tc>
        <w:tc>
          <w:tcPr>
            <w:tcW w:w="4318" w:type="dxa"/>
            <w:tcBorders>
              <w:top w:val="single" w:sz="8" w:space="0" w:color="auto"/>
              <w:left w:val="single" w:sz="8" w:space="0" w:color="auto"/>
              <w:bottom w:val="single" w:sz="12" w:space="0" w:color="auto"/>
              <w:right w:val="single" w:sz="8"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prioritetas teikiamas vartojimui;</w:t>
            </w:r>
          </w:p>
          <w:p w:rsidR="00886347" w:rsidRPr="00B21B29" w:rsidRDefault="00886347" w:rsidP="00886347">
            <w:pPr>
              <w:spacing w:after="0" w:line="240" w:lineRule="auto"/>
              <w:ind w:firstLine="0"/>
              <w:cnfStyle w:val="000000010000"/>
              <w:rPr>
                <w:sz w:val="15"/>
                <w:szCs w:val="15"/>
              </w:rPr>
            </w:pPr>
            <w:r w:rsidRPr="00B21B29">
              <w:rPr>
                <w:sz w:val="15"/>
                <w:szCs w:val="15"/>
              </w:rPr>
              <w:t>2) asmeninių finansų tikslo nesuvokimas.</w:t>
            </w:r>
          </w:p>
        </w:tc>
        <w:tc>
          <w:tcPr>
            <w:tcW w:w="4319" w:type="dxa"/>
            <w:tcBorders>
              <w:top w:val="single" w:sz="8" w:space="0" w:color="auto"/>
              <w:left w:val="single" w:sz="8" w:space="0" w:color="auto"/>
              <w:bottom w:val="single" w:sz="12" w:space="0" w:color="auto"/>
              <w:right w:val="single" w:sz="12"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konkrečios strategijos nepasirinkimas: norima ir pasipelnyti, ir būti saugiam tuo pačiu metu, kas, investuojant, nėra logiška.</w:t>
            </w:r>
          </w:p>
        </w:tc>
      </w:tr>
      <w:tr w:rsidR="00886347" w:rsidRPr="00B21B29" w:rsidTr="00886347">
        <w:trPr>
          <w:cnfStyle w:val="000000100000"/>
          <w:trHeight w:val="20"/>
        </w:trPr>
        <w:tc>
          <w:tcPr>
            <w:cnfStyle w:val="001000000000"/>
            <w:tcW w:w="435" w:type="dxa"/>
            <w:vMerge w:val="restart"/>
            <w:tcBorders>
              <w:top w:val="single" w:sz="12" w:space="0" w:color="auto"/>
              <w:left w:val="single" w:sz="12" w:space="0" w:color="auto"/>
              <w:bottom w:val="single" w:sz="12" w:space="0" w:color="auto"/>
              <w:right w:val="single" w:sz="12" w:space="0" w:color="auto"/>
            </w:tcBorders>
            <w:shd w:val="clear" w:color="auto" w:fill="92CDDC" w:themeFill="accent5" w:themeFillTint="99"/>
            <w:textDirection w:val="btLr"/>
          </w:tcPr>
          <w:p w:rsidR="00886347" w:rsidRPr="00B21B29" w:rsidRDefault="00886347" w:rsidP="00886347">
            <w:pPr>
              <w:spacing w:after="0" w:line="240" w:lineRule="auto"/>
              <w:ind w:left="113" w:right="113" w:firstLine="0"/>
              <w:jc w:val="center"/>
              <w:rPr>
                <w:b w:val="0"/>
                <w:sz w:val="15"/>
                <w:szCs w:val="15"/>
              </w:rPr>
            </w:pPr>
            <w:r w:rsidRPr="00B21B29">
              <w:rPr>
                <w:sz w:val="15"/>
                <w:szCs w:val="15"/>
              </w:rPr>
              <w:t>2009</w:t>
            </w:r>
          </w:p>
        </w:tc>
        <w:tc>
          <w:tcPr>
            <w:tcW w:w="1260" w:type="dxa"/>
            <w:tcBorders>
              <w:top w:val="single" w:sz="12"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100000"/>
              <w:rPr>
                <w:sz w:val="15"/>
                <w:szCs w:val="15"/>
              </w:rPr>
            </w:pPr>
            <w:r w:rsidRPr="00B21B29">
              <w:rPr>
                <w:sz w:val="15"/>
                <w:szCs w:val="15"/>
              </w:rPr>
              <w:t>Problema</w:t>
            </w:r>
          </w:p>
        </w:tc>
        <w:tc>
          <w:tcPr>
            <w:tcW w:w="4318" w:type="dxa"/>
            <w:tcBorders>
              <w:top w:val="single" w:sz="12"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1. Didžioji dalis žmonių netaupo.</w:t>
            </w:r>
          </w:p>
        </w:tc>
        <w:tc>
          <w:tcPr>
            <w:tcW w:w="4319" w:type="dxa"/>
            <w:tcBorders>
              <w:top w:val="single" w:sz="12"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1. Investicinė elgsena konservatyvi: indėliai; grynieji pinigai.</w:t>
            </w:r>
          </w:p>
        </w:tc>
      </w:tr>
      <w:tr w:rsidR="00886347" w:rsidRPr="00B21B29" w:rsidTr="00886347">
        <w:trPr>
          <w:cnfStyle w:val="000000010000"/>
          <w:trHeight w:val="20"/>
        </w:trPr>
        <w:tc>
          <w:tcPr>
            <w:cnfStyle w:val="001000000000"/>
            <w:tcW w:w="435" w:type="dxa"/>
            <w:vMerge/>
            <w:tcBorders>
              <w:top w:val="single" w:sz="8" w:space="0" w:color="auto"/>
              <w:left w:val="single" w:sz="12" w:space="0" w:color="auto"/>
              <w:bottom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010000"/>
              <w:rPr>
                <w:sz w:val="15"/>
                <w:szCs w:val="15"/>
              </w:rPr>
            </w:pPr>
            <w:r w:rsidRPr="00B21B29">
              <w:rPr>
                <w:sz w:val="15"/>
                <w:szCs w:val="15"/>
              </w:rPr>
              <w:t>Priežastys</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mažos pajamos, tenkančios vienam šeimos nariui;</w:t>
            </w:r>
          </w:p>
          <w:p w:rsidR="00886347" w:rsidRPr="00B21B29" w:rsidRDefault="00886347" w:rsidP="00886347">
            <w:pPr>
              <w:spacing w:after="0" w:line="240" w:lineRule="auto"/>
              <w:ind w:firstLine="0"/>
              <w:cnfStyle w:val="000000010000"/>
              <w:rPr>
                <w:sz w:val="15"/>
                <w:szCs w:val="15"/>
              </w:rPr>
            </w:pPr>
            <w:r w:rsidRPr="00B21B29">
              <w:rPr>
                <w:sz w:val="15"/>
                <w:szCs w:val="15"/>
              </w:rPr>
              <w:t>2) jauni netaupo dėl to, jog negalvoja apie ateitį;</w:t>
            </w:r>
          </w:p>
          <w:p w:rsidR="00886347" w:rsidRPr="00B21B29" w:rsidRDefault="00886347" w:rsidP="00886347">
            <w:pPr>
              <w:spacing w:after="0" w:line="240" w:lineRule="auto"/>
              <w:ind w:firstLine="0"/>
              <w:cnfStyle w:val="000000010000"/>
              <w:rPr>
                <w:sz w:val="15"/>
                <w:szCs w:val="15"/>
              </w:rPr>
            </w:pPr>
            <w:r w:rsidRPr="00B21B29">
              <w:rPr>
                <w:sz w:val="15"/>
                <w:szCs w:val="15"/>
              </w:rPr>
              <w:t>3) taupyti trukdo finansiniai įsipareigojimai.</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konservatyvumas (nuokrypis);</w:t>
            </w:r>
          </w:p>
          <w:p w:rsidR="00886347" w:rsidRPr="00B21B29" w:rsidRDefault="00886347" w:rsidP="00886347">
            <w:pPr>
              <w:spacing w:after="0" w:line="240" w:lineRule="auto"/>
              <w:ind w:firstLine="0"/>
              <w:cnfStyle w:val="000000010000"/>
              <w:rPr>
                <w:sz w:val="15"/>
                <w:szCs w:val="15"/>
              </w:rPr>
            </w:pPr>
            <w:r w:rsidRPr="00B21B29">
              <w:rPr>
                <w:sz w:val="15"/>
                <w:szCs w:val="15"/>
              </w:rPr>
              <w:t>2) pinigai laikomi kitiems tikslams;</w:t>
            </w:r>
          </w:p>
          <w:p w:rsidR="00886347" w:rsidRPr="00B21B29" w:rsidRDefault="00886347" w:rsidP="00886347">
            <w:pPr>
              <w:spacing w:after="0" w:line="240" w:lineRule="auto"/>
              <w:ind w:firstLine="0"/>
              <w:cnfStyle w:val="000000010000"/>
              <w:rPr>
                <w:sz w:val="15"/>
                <w:szCs w:val="15"/>
              </w:rPr>
            </w:pPr>
            <w:r w:rsidRPr="00B21B29">
              <w:rPr>
                <w:sz w:val="15"/>
                <w:szCs w:val="15"/>
              </w:rPr>
              <w:t>3) tokią elgseną (kartais) lemia mažesnis išsimokslinimas.</w:t>
            </w:r>
          </w:p>
        </w:tc>
      </w:tr>
      <w:tr w:rsidR="00886347" w:rsidRPr="00B21B29" w:rsidTr="00886347">
        <w:trPr>
          <w:cnfStyle w:val="000000100000"/>
          <w:trHeight w:val="20"/>
        </w:trPr>
        <w:tc>
          <w:tcPr>
            <w:cnfStyle w:val="001000000000"/>
            <w:tcW w:w="435" w:type="dxa"/>
            <w:vMerge/>
            <w:tcBorders>
              <w:top w:val="single" w:sz="8" w:space="0" w:color="auto"/>
              <w:left w:val="single" w:sz="12" w:space="0" w:color="auto"/>
              <w:bottom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100000"/>
              <w:rPr>
                <w:sz w:val="15"/>
                <w:szCs w:val="15"/>
              </w:rPr>
            </w:pPr>
            <w:r w:rsidRPr="00B21B29">
              <w:rPr>
                <w:sz w:val="15"/>
                <w:szCs w:val="15"/>
              </w:rPr>
              <w:t>Problema</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2. Didelė dalis žmonių beveik visai neturi santaupų (jei staiga sumažėtų pajamos, išgyventų 1-2 mėn.).</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2. Į vertybinius popierius investuoja nedidelė dalis žmonių.</w:t>
            </w:r>
          </w:p>
        </w:tc>
      </w:tr>
      <w:tr w:rsidR="00886347" w:rsidRPr="00B21B29" w:rsidTr="00886347">
        <w:trPr>
          <w:cnfStyle w:val="000000010000"/>
          <w:trHeight w:val="20"/>
        </w:trPr>
        <w:tc>
          <w:tcPr>
            <w:cnfStyle w:val="001000000000"/>
            <w:tcW w:w="435" w:type="dxa"/>
            <w:vMerge/>
            <w:tcBorders>
              <w:top w:val="single" w:sz="8" w:space="0" w:color="auto"/>
              <w:left w:val="single" w:sz="12" w:space="0" w:color="auto"/>
              <w:bottom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12" w:space="0" w:color="auto"/>
              <w:right w:val="single" w:sz="8" w:space="0" w:color="auto"/>
            </w:tcBorders>
            <w:vAlign w:val="center"/>
          </w:tcPr>
          <w:p w:rsidR="00886347" w:rsidRPr="00B21B29" w:rsidRDefault="00886347" w:rsidP="00886347">
            <w:pPr>
              <w:spacing w:after="0" w:line="240" w:lineRule="auto"/>
              <w:ind w:firstLine="0"/>
              <w:jc w:val="center"/>
              <w:cnfStyle w:val="000000010000"/>
              <w:rPr>
                <w:sz w:val="15"/>
                <w:szCs w:val="15"/>
              </w:rPr>
            </w:pPr>
            <w:r w:rsidRPr="00B21B29">
              <w:rPr>
                <w:sz w:val="15"/>
                <w:szCs w:val="15"/>
              </w:rPr>
              <w:t>Priežastys</w:t>
            </w:r>
          </w:p>
        </w:tc>
        <w:tc>
          <w:tcPr>
            <w:tcW w:w="4318" w:type="dxa"/>
            <w:tcBorders>
              <w:top w:val="single" w:sz="8" w:space="0" w:color="auto"/>
              <w:left w:val="single" w:sz="8" w:space="0" w:color="auto"/>
              <w:bottom w:val="single" w:sz="12" w:space="0" w:color="auto"/>
              <w:right w:val="single" w:sz="8" w:space="0" w:color="auto"/>
            </w:tcBorders>
          </w:tcPr>
          <w:p w:rsidR="00886347" w:rsidRPr="00B21B29" w:rsidRDefault="00886347" w:rsidP="00886347">
            <w:pPr>
              <w:spacing w:after="0" w:line="240" w:lineRule="auto"/>
              <w:ind w:firstLine="0"/>
              <w:cnfStyle w:val="000000010000"/>
              <w:rPr>
                <w:b/>
                <w:sz w:val="15"/>
                <w:szCs w:val="15"/>
              </w:rPr>
            </w:pPr>
            <w:r w:rsidRPr="00B21B29">
              <w:rPr>
                <w:sz w:val="15"/>
                <w:szCs w:val="15"/>
              </w:rPr>
              <w:t>1) po išlaidų apmokėjimo, visiškai nelieka pinigų.</w:t>
            </w:r>
          </w:p>
        </w:tc>
        <w:tc>
          <w:tcPr>
            <w:tcW w:w="4319" w:type="dxa"/>
            <w:tcBorders>
              <w:top w:val="single" w:sz="8" w:space="0" w:color="auto"/>
              <w:left w:val="single" w:sz="8" w:space="0" w:color="auto"/>
              <w:bottom w:val="single" w:sz="12" w:space="0" w:color="auto"/>
              <w:right w:val="single" w:sz="12"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klaidingas požiūris, jog investuoti reikia daug;</w:t>
            </w:r>
          </w:p>
          <w:p w:rsidR="00886347" w:rsidRPr="00B21B29" w:rsidRDefault="00886347" w:rsidP="00886347">
            <w:pPr>
              <w:spacing w:after="0" w:line="240" w:lineRule="auto"/>
              <w:ind w:firstLine="0"/>
              <w:cnfStyle w:val="000000010000"/>
              <w:rPr>
                <w:sz w:val="15"/>
                <w:szCs w:val="15"/>
              </w:rPr>
            </w:pPr>
            <w:r w:rsidRPr="00B21B29">
              <w:rPr>
                <w:sz w:val="15"/>
                <w:szCs w:val="15"/>
              </w:rPr>
              <w:t>2) netolerancija rizikai;</w:t>
            </w:r>
          </w:p>
          <w:p w:rsidR="00886347" w:rsidRPr="00B21B29" w:rsidRDefault="00886347" w:rsidP="00886347">
            <w:pPr>
              <w:spacing w:after="0" w:line="240" w:lineRule="auto"/>
              <w:ind w:firstLine="0"/>
              <w:cnfStyle w:val="000000010000"/>
              <w:rPr>
                <w:sz w:val="15"/>
                <w:szCs w:val="15"/>
              </w:rPr>
            </w:pPr>
            <w:r w:rsidRPr="00B21B29">
              <w:rPr>
                <w:sz w:val="15"/>
                <w:szCs w:val="15"/>
              </w:rPr>
              <w:t>3) nepasitikėjimas finansų institucijomis;</w:t>
            </w:r>
          </w:p>
          <w:p w:rsidR="00886347" w:rsidRPr="00B21B29" w:rsidRDefault="00886347" w:rsidP="00886347">
            <w:pPr>
              <w:spacing w:after="0" w:line="240" w:lineRule="auto"/>
              <w:ind w:firstLine="0"/>
              <w:cnfStyle w:val="000000010000"/>
              <w:rPr>
                <w:sz w:val="15"/>
                <w:szCs w:val="15"/>
              </w:rPr>
            </w:pPr>
            <w:r w:rsidRPr="00B21B29">
              <w:rPr>
                <w:sz w:val="15"/>
                <w:szCs w:val="15"/>
              </w:rPr>
              <w:t>4) reikalingų įgūdžių ir žinių stoka.</w:t>
            </w:r>
          </w:p>
        </w:tc>
      </w:tr>
      <w:tr w:rsidR="00886347" w:rsidRPr="00B21B29" w:rsidTr="00886347">
        <w:trPr>
          <w:cnfStyle w:val="000000100000"/>
          <w:trHeight w:val="20"/>
        </w:trPr>
        <w:tc>
          <w:tcPr>
            <w:cnfStyle w:val="001000000000"/>
            <w:tcW w:w="435" w:type="dxa"/>
            <w:vMerge w:val="restart"/>
            <w:tcBorders>
              <w:top w:val="single" w:sz="12" w:space="0" w:color="auto"/>
              <w:left w:val="single" w:sz="12" w:space="0" w:color="auto"/>
              <w:bottom w:val="single" w:sz="12" w:space="0" w:color="auto"/>
              <w:right w:val="single" w:sz="12" w:space="0" w:color="auto"/>
            </w:tcBorders>
            <w:shd w:val="clear" w:color="auto" w:fill="92CDDC" w:themeFill="accent5" w:themeFillTint="99"/>
            <w:textDirection w:val="btLr"/>
          </w:tcPr>
          <w:p w:rsidR="00886347" w:rsidRPr="00B21B29" w:rsidRDefault="00886347" w:rsidP="00886347">
            <w:pPr>
              <w:spacing w:after="0" w:line="240" w:lineRule="auto"/>
              <w:ind w:left="113" w:right="113" w:firstLine="0"/>
              <w:jc w:val="center"/>
              <w:rPr>
                <w:b w:val="0"/>
                <w:sz w:val="15"/>
                <w:szCs w:val="15"/>
              </w:rPr>
            </w:pPr>
            <w:r w:rsidRPr="00B21B29">
              <w:rPr>
                <w:sz w:val="15"/>
                <w:szCs w:val="15"/>
              </w:rPr>
              <w:t>2010</w:t>
            </w:r>
          </w:p>
        </w:tc>
        <w:tc>
          <w:tcPr>
            <w:tcW w:w="1260" w:type="dxa"/>
            <w:tcBorders>
              <w:top w:val="single" w:sz="12"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100000"/>
              <w:rPr>
                <w:sz w:val="15"/>
                <w:szCs w:val="15"/>
              </w:rPr>
            </w:pPr>
            <w:r w:rsidRPr="00B21B29">
              <w:rPr>
                <w:sz w:val="15"/>
                <w:szCs w:val="15"/>
              </w:rPr>
              <w:t>Problema</w:t>
            </w:r>
          </w:p>
        </w:tc>
        <w:tc>
          <w:tcPr>
            <w:tcW w:w="4318" w:type="dxa"/>
            <w:tcBorders>
              <w:top w:val="single" w:sz="12"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 xml:space="preserve">1. Didelė dalis </w:t>
            </w:r>
            <w:r w:rsidRPr="00B21B29">
              <w:rPr>
                <w:sz w:val="15"/>
                <w:szCs w:val="15"/>
              </w:rPr>
              <w:t>(1 / 3)</w:t>
            </w:r>
            <w:r w:rsidRPr="00B21B29">
              <w:rPr>
                <w:b/>
                <w:sz w:val="15"/>
                <w:szCs w:val="15"/>
              </w:rPr>
              <w:t xml:space="preserve"> žmonių neturi galimybės taupyti, yra priversti skolintis</w:t>
            </w:r>
            <w:r w:rsidRPr="00B21B29">
              <w:rPr>
                <w:b/>
                <w:sz w:val="15"/>
                <w:szCs w:val="15"/>
                <w:vertAlign w:val="superscript"/>
              </w:rPr>
              <w:t>3</w:t>
            </w:r>
            <w:r w:rsidRPr="00B21B29">
              <w:rPr>
                <w:b/>
                <w:sz w:val="15"/>
                <w:szCs w:val="15"/>
              </w:rPr>
              <w:t>.</w:t>
            </w:r>
          </w:p>
        </w:tc>
        <w:tc>
          <w:tcPr>
            <w:tcW w:w="4319" w:type="dxa"/>
            <w:tcBorders>
              <w:top w:val="single" w:sz="12"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1. Investicinė elgsena konservatyvi: banko sąskaitos; grynieji pinigai; indėliai</w:t>
            </w:r>
            <w:r w:rsidRPr="00B21B29">
              <w:rPr>
                <w:b/>
                <w:sz w:val="15"/>
                <w:szCs w:val="15"/>
                <w:vertAlign w:val="superscript"/>
              </w:rPr>
              <w:t>3</w:t>
            </w:r>
            <w:r w:rsidRPr="00B21B29">
              <w:rPr>
                <w:b/>
                <w:sz w:val="15"/>
                <w:szCs w:val="15"/>
              </w:rPr>
              <w:t>.</w:t>
            </w:r>
          </w:p>
        </w:tc>
      </w:tr>
      <w:tr w:rsidR="00886347" w:rsidRPr="00B21B29" w:rsidTr="00886347">
        <w:trPr>
          <w:cnfStyle w:val="000000010000"/>
          <w:trHeight w:val="20"/>
        </w:trPr>
        <w:tc>
          <w:tcPr>
            <w:cnfStyle w:val="001000000000"/>
            <w:tcW w:w="435" w:type="dxa"/>
            <w:vMerge/>
            <w:tcBorders>
              <w:top w:val="single" w:sz="8" w:space="0" w:color="auto"/>
              <w:left w:val="single" w:sz="12" w:space="0" w:color="auto"/>
              <w:bottom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010000"/>
              <w:rPr>
                <w:sz w:val="15"/>
                <w:szCs w:val="15"/>
              </w:rPr>
            </w:pPr>
            <w:r w:rsidRPr="00B21B29">
              <w:rPr>
                <w:sz w:val="15"/>
                <w:szCs w:val="15"/>
              </w:rPr>
              <w:t>Priežastys</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mažos pajamos, tenkančios vienam šeimos nariui;</w:t>
            </w:r>
          </w:p>
          <w:p w:rsidR="00886347" w:rsidRPr="00B21B29" w:rsidRDefault="00886347" w:rsidP="00886347">
            <w:pPr>
              <w:spacing w:after="0" w:line="240" w:lineRule="auto"/>
              <w:ind w:firstLine="0"/>
              <w:cnfStyle w:val="000000010000"/>
              <w:rPr>
                <w:sz w:val="15"/>
                <w:szCs w:val="15"/>
              </w:rPr>
            </w:pPr>
            <w:r w:rsidRPr="00B21B29">
              <w:rPr>
                <w:sz w:val="15"/>
                <w:szCs w:val="15"/>
              </w:rPr>
              <w:t>2) gyvenimo būdas, vartojimo įpročiai;</w:t>
            </w:r>
          </w:p>
          <w:p w:rsidR="00886347" w:rsidRPr="00B21B29" w:rsidRDefault="00886347" w:rsidP="00886347">
            <w:pPr>
              <w:spacing w:after="0" w:line="240" w:lineRule="auto"/>
              <w:ind w:firstLine="0"/>
              <w:cnfStyle w:val="000000010000"/>
              <w:rPr>
                <w:sz w:val="15"/>
                <w:szCs w:val="15"/>
              </w:rPr>
            </w:pPr>
            <w:r w:rsidRPr="00B21B29">
              <w:rPr>
                <w:sz w:val="15"/>
                <w:szCs w:val="15"/>
              </w:rPr>
              <w:t>3) taupyti trukdo finansiniai įsipareigojimai.</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trumpalaikių tikslų siekimas;</w:t>
            </w:r>
          </w:p>
          <w:p w:rsidR="00886347" w:rsidRPr="00B21B29" w:rsidRDefault="00886347" w:rsidP="00886347">
            <w:pPr>
              <w:spacing w:after="0" w:line="240" w:lineRule="auto"/>
              <w:ind w:firstLine="0"/>
              <w:cnfStyle w:val="000000010000"/>
              <w:rPr>
                <w:sz w:val="15"/>
                <w:szCs w:val="15"/>
              </w:rPr>
            </w:pPr>
            <w:r w:rsidRPr="00B21B29">
              <w:rPr>
                <w:sz w:val="15"/>
                <w:szCs w:val="15"/>
              </w:rPr>
              <w:t>2) konservatyvumas (nuokrypis).</w:t>
            </w:r>
          </w:p>
        </w:tc>
      </w:tr>
      <w:tr w:rsidR="00886347" w:rsidRPr="00B21B29" w:rsidTr="00886347">
        <w:trPr>
          <w:cnfStyle w:val="000000100000"/>
          <w:trHeight w:val="20"/>
        </w:trPr>
        <w:tc>
          <w:tcPr>
            <w:cnfStyle w:val="001000000000"/>
            <w:tcW w:w="435" w:type="dxa"/>
            <w:vMerge/>
            <w:tcBorders>
              <w:top w:val="single" w:sz="8" w:space="0" w:color="auto"/>
              <w:left w:val="single" w:sz="12" w:space="0" w:color="auto"/>
              <w:bottom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100000"/>
              <w:rPr>
                <w:sz w:val="15"/>
                <w:szCs w:val="15"/>
              </w:rPr>
            </w:pPr>
            <w:r w:rsidRPr="00B21B29">
              <w:rPr>
                <w:sz w:val="15"/>
                <w:szCs w:val="15"/>
              </w:rPr>
              <w:t>Problema</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 xml:space="preserve">2. Didelė dalis taupančių žmonių prioritetą teikia kelionėms, atostogoms </w:t>
            </w:r>
            <w:r w:rsidRPr="00B21B29">
              <w:rPr>
                <w:sz w:val="15"/>
                <w:szCs w:val="15"/>
              </w:rPr>
              <w:t>(2 vieta)</w:t>
            </w:r>
            <w:r w:rsidRPr="00B21B29">
              <w:rPr>
                <w:b/>
                <w:sz w:val="15"/>
                <w:szCs w:val="15"/>
              </w:rPr>
              <w:t>, didesnėms išlaidoms</w:t>
            </w:r>
            <w:r w:rsidRPr="00B21B29">
              <w:rPr>
                <w:b/>
                <w:sz w:val="15"/>
                <w:szCs w:val="15"/>
                <w:vertAlign w:val="superscript"/>
              </w:rPr>
              <w:t>3</w:t>
            </w:r>
            <w:r w:rsidRPr="00B21B29">
              <w:rPr>
                <w:b/>
                <w:sz w:val="15"/>
                <w:szCs w:val="15"/>
              </w:rPr>
              <w:t xml:space="preserve"> </w:t>
            </w:r>
            <w:r w:rsidRPr="00B21B29">
              <w:rPr>
                <w:sz w:val="15"/>
                <w:szCs w:val="15"/>
              </w:rPr>
              <w:t>(3 vieta)</w:t>
            </w:r>
            <w:r w:rsidRPr="00B21B29">
              <w:rPr>
                <w:b/>
                <w:sz w:val="15"/>
                <w:szCs w:val="15"/>
              </w:rPr>
              <w:t>.</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 xml:space="preserve">2. Į vertybinius popierius investuoja tik </w:t>
            </w:r>
            <w:r w:rsidRPr="00B21B29">
              <w:rPr>
                <w:sz w:val="15"/>
                <w:szCs w:val="15"/>
              </w:rPr>
              <w:t>1 / 2</w:t>
            </w:r>
            <w:r w:rsidRPr="00B21B29">
              <w:rPr>
                <w:b/>
                <w:sz w:val="15"/>
                <w:szCs w:val="15"/>
              </w:rPr>
              <w:t xml:space="preserve"> apklaustų gyventojų.</w:t>
            </w:r>
          </w:p>
        </w:tc>
      </w:tr>
      <w:tr w:rsidR="00886347" w:rsidRPr="00B21B29" w:rsidTr="00886347">
        <w:trPr>
          <w:cnfStyle w:val="000000010000"/>
          <w:trHeight w:val="20"/>
        </w:trPr>
        <w:tc>
          <w:tcPr>
            <w:cnfStyle w:val="001000000000"/>
            <w:tcW w:w="435" w:type="dxa"/>
            <w:vMerge/>
            <w:tcBorders>
              <w:top w:val="single" w:sz="8" w:space="0" w:color="auto"/>
              <w:left w:val="single" w:sz="12" w:space="0" w:color="auto"/>
              <w:bottom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010000"/>
              <w:rPr>
                <w:sz w:val="15"/>
                <w:szCs w:val="15"/>
              </w:rPr>
            </w:pPr>
            <w:r w:rsidRPr="00B21B29">
              <w:rPr>
                <w:sz w:val="15"/>
                <w:szCs w:val="15"/>
              </w:rPr>
              <w:t>Priežastys</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gyvenimo būdas.</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baimė prarasti pinigus;</w:t>
            </w:r>
          </w:p>
          <w:p w:rsidR="00886347" w:rsidRPr="00B21B29" w:rsidRDefault="00886347" w:rsidP="00886347">
            <w:pPr>
              <w:spacing w:after="0" w:line="240" w:lineRule="auto"/>
              <w:ind w:firstLine="0"/>
              <w:cnfStyle w:val="000000010000"/>
              <w:rPr>
                <w:sz w:val="15"/>
                <w:szCs w:val="15"/>
              </w:rPr>
            </w:pPr>
            <w:r w:rsidRPr="00B21B29">
              <w:rPr>
                <w:sz w:val="15"/>
                <w:szCs w:val="15"/>
              </w:rPr>
              <w:t>2) baimė dėl apgaulės.</w:t>
            </w:r>
          </w:p>
        </w:tc>
      </w:tr>
      <w:tr w:rsidR="00886347" w:rsidRPr="00B21B29" w:rsidTr="00886347">
        <w:trPr>
          <w:cnfStyle w:val="000000100000"/>
          <w:trHeight w:val="20"/>
        </w:trPr>
        <w:tc>
          <w:tcPr>
            <w:cnfStyle w:val="001000000000"/>
            <w:tcW w:w="435" w:type="dxa"/>
            <w:vMerge/>
            <w:tcBorders>
              <w:top w:val="single" w:sz="8" w:space="0" w:color="auto"/>
              <w:left w:val="single" w:sz="12" w:space="0" w:color="auto"/>
              <w:bottom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100000"/>
              <w:rPr>
                <w:sz w:val="15"/>
                <w:szCs w:val="15"/>
              </w:rPr>
            </w:pPr>
            <w:r w:rsidRPr="00B21B29">
              <w:rPr>
                <w:sz w:val="15"/>
                <w:szCs w:val="15"/>
              </w:rPr>
              <w:t>Problema</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3. Valdant finansus, siekiama trumpalaikių tikslų</w:t>
            </w:r>
            <w:r w:rsidRPr="00B21B29">
              <w:rPr>
                <w:b/>
                <w:sz w:val="15"/>
                <w:szCs w:val="15"/>
                <w:vertAlign w:val="superscript"/>
              </w:rPr>
              <w:t>3</w:t>
            </w:r>
            <w:r w:rsidRPr="00B21B29">
              <w:rPr>
                <w:b/>
                <w:sz w:val="15"/>
                <w:szCs w:val="15"/>
              </w:rPr>
              <w:t>.</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3. 47 % investuotojų yra neracionalūs</w:t>
            </w:r>
            <w:r w:rsidRPr="00B21B29">
              <w:rPr>
                <w:b/>
                <w:sz w:val="15"/>
                <w:szCs w:val="15"/>
                <w:vertAlign w:val="superscript"/>
              </w:rPr>
              <w:t>5</w:t>
            </w:r>
            <w:r w:rsidRPr="00B21B29">
              <w:rPr>
                <w:b/>
                <w:sz w:val="15"/>
                <w:szCs w:val="15"/>
              </w:rPr>
              <w:t>.</w:t>
            </w:r>
          </w:p>
        </w:tc>
      </w:tr>
      <w:tr w:rsidR="00886347" w:rsidRPr="00B21B29" w:rsidTr="00886347">
        <w:trPr>
          <w:cnfStyle w:val="000000010000"/>
          <w:trHeight w:val="20"/>
        </w:trPr>
        <w:tc>
          <w:tcPr>
            <w:cnfStyle w:val="001000000000"/>
            <w:tcW w:w="435" w:type="dxa"/>
            <w:vMerge/>
            <w:tcBorders>
              <w:top w:val="single" w:sz="8" w:space="0" w:color="auto"/>
              <w:left w:val="single" w:sz="12" w:space="0" w:color="auto"/>
              <w:bottom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010000"/>
              <w:rPr>
                <w:sz w:val="15"/>
                <w:szCs w:val="15"/>
              </w:rPr>
            </w:pPr>
            <w:r w:rsidRPr="00B21B29">
              <w:rPr>
                <w:sz w:val="15"/>
                <w:szCs w:val="15"/>
              </w:rPr>
              <w:t>Priežastys</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gyvenimo būdas;</w:t>
            </w:r>
          </w:p>
          <w:p w:rsidR="00886347" w:rsidRPr="00B21B29" w:rsidRDefault="00886347" w:rsidP="00886347">
            <w:pPr>
              <w:spacing w:after="0" w:line="240" w:lineRule="auto"/>
              <w:ind w:firstLine="0"/>
              <w:cnfStyle w:val="000000010000"/>
              <w:rPr>
                <w:sz w:val="15"/>
                <w:szCs w:val="15"/>
              </w:rPr>
            </w:pPr>
            <w:r w:rsidRPr="00B21B29">
              <w:rPr>
                <w:sz w:val="15"/>
                <w:szCs w:val="15"/>
              </w:rPr>
              <w:t>2) planavimo svarbos nesuvokimas.</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susikuriama reikšmė, prie kurios derinamas sprendimas;</w:t>
            </w:r>
          </w:p>
          <w:p w:rsidR="00886347" w:rsidRPr="00B21B29" w:rsidRDefault="00886347" w:rsidP="00886347">
            <w:pPr>
              <w:spacing w:after="0" w:line="240" w:lineRule="auto"/>
              <w:ind w:firstLine="0"/>
              <w:cnfStyle w:val="000000010000"/>
              <w:rPr>
                <w:sz w:val="15"/>
                <w:szCs w:val="15"/>
              </w:rPr>
            </w:pPr>
            <w:r w:rsidRPr="00B21B29">
              <w:rPr>
                <w:sz w:val="15"/>
                <w:szCs w:val="15"/>
              </w:rPr>
              <w:t>2) nekreipiamas dėmesys į naują informaciją;</w:t>
            </w:r>
          </w:p>
          <w:p w:rsidR="00886347" w:rsidRPr="00B21B29" w:rsidRDefault="00886347" w:rsidP="00886347">
            <w:pPr>
              <w:spacing w:after="0" w:line="240" w:lineRule="auto"/>
              <w:ind w:firstLine="0"/>
              <w:cnfStyle w:val="000000010000"/>
              <w:rPr>
                <w:sz w:val="15"/>
                <w:szCs w:val="15"/>
              </w:rPr>
            </w:pPr>
            <w:r w:rsidRPr="00B21B29">
              <w:rPr>
                <w:sz w:val="15"/>
                <w:szCs w:val="15"/>
              </w:rPr>
              <w:t>3) mentalinės sąskaitos;</w:t>
            </w:r>
          </w:p>
          <w:p w:rsidR="00886347" w:rsidRPr="00B21B29" w:rsidRDefault="00886347" w:rsidP="00886347">
            <w:pPr>
              <w:spacing w:after="0" w:line="240" w:lineRule="auto"/>
              <w:ind w:firstLine="0"/>
              <w:cnfStyle w:val="000000010000"/>
              <w:rPr>
                <w:sz w:val="15"/>
                <w:szCs w:val="15"/>
              </w:rPr>
            </w:pPr>
            <w:r w:rsidRPr="00B21B29">
              <w:rPr>
                <w:sz w:val="15"/>
                <w:szCs w:val="15"/>
              </w:rPr>
              <w:t>4) perdėta savikliova arba apatija.</w:t>
            </w:r>
          </w:p>
        </w:tc>
      </w:tr>
      <w:tr w:rsidR="00886347" w:rsidRPr="00B21B29" w:rsidTr="00886347">
        <w:trPr>
          <w:cnfStyle w:val="000000100000"/>
          <w:trHeight w:val="20"/>
        </w:trPr>
        <w:tc>
          <w:tcPr>
            <w:cnfStyle w:val="001000000000"/>
            <w:tcW w:w="435" w:type="dxa"/>
            <w:vMerge/>
            <w:tcBorders>
              <w:top w:val="single" w:sz="8" w:space="0" w:color="auto"/>
              <w:left w:val="single" w:sz="12" w:space="0" w:color="auto"/>
              <w:bottom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100000"/>
              <w:rPr>
                <w:sz w:val="15"/>
                <w:szCs w:val="15"/>
              </w:rPr>
            </w:pPr>
            <w:r w:rsidRPr="00B21B29">
              <w:rPr>
                <w:sz w:val="15"/>
                <w:szCs w:val="15"/>
              </w:rPr>
              <w:t>Problema</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4. Mažai rūpinamasi lėšų kaupimu senatvei</w:t>
            </w:r>
            <w:r w:rsidRPr="00B21B29">
              <w:rPr>
                <w:b/>
                <w:sz w:val="15"/>
                <w:szCs w:val="15"/>
                <w:vertAlign w:val="superscript"/>
              </w:rPr>
              <w:t>3</w:t>
            </w:r>
            <w:r w:rsidRPr="00B21B29">
              <w:rPr>
                <w:b/>
                <w:sz w:val="15"/>
                <w:szCs w:val="15"/>
              </w:rPr>
              <w:t>.</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100000"/>
              <w:rPr>
                <w:sz w:val="15"/>
                <w:szCs w:val="15"/>
              </w:rPr>
            </w:pPr>
          </w:p>
        </w:tc>
      </w:tr>
      <w:tr w:rsidR="00886347" w:rsidRPr="00B21B29" w:rsidTr="00886347">
        <w:trPr>
          <w:cnfStyle w:val="000000010000"/>
          <w:trHeight w:val="20"/>
        </w:trPr>
        <w:tc>
          <w:tcPr>
            <w:cnfStyle w:val="001000000000"/>
            <w:tcW w:w="435" w:type="dxa"/>
            <w:vMerge/>
            <w:tcBorders>
              <w:top w:val="single" w:sz="8" w:space="0" w:color="auto"/>
              <w:left w:val="single" w:sz="12" w:space="0" w:color="auto"/>
              <w:bottom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12" w:space="0" w:color="auto"/>
              <w:right w:val="single" w:sz="8" w:space="0" w:color="auto"/>
            </w:tcBorders>
            <w:vAlign w:val="center"/>
          </w:tcPr>
          <w:p w:rsidR="00886347" w:rsidRPr="00B21B29" w:rsidRDefault="00886347" w:rsidP="00886347">
            <w:pPr>
              <w:spacing w:after="0" w:line="240" w:lineRule="auto"/>
              <w:ind w:firstLine="0"/>
              <w:jc w:val="center"/>
              <w:cnfStyle w:val="000000010000"/>
              <w:rPr>
                <w:sz w:val="15"/>
                <w:szCs w:val="15"/>
              </w:rPr>
            </w:pPr>
            <w:r w:rsidRPr="00B21B29">
              <w:rPr>
                <w:sz w:val="15"/>
                <w:szCs w:val="15"/>
              </w:rPr>
              <w:t>Priežastys</w:t>
            </w:r>
          </w:p>
        </w:tc>
        <w:tc>
          <w:tcPr>
            <w:tcW w:w="4318" w:type="dxa"/>
            <w:tcBorders>
              <w:top w:val="single" w:sz="8" w:space="0" w:color="auto"/>
              <w:left w:val="single" w:sz="8" w:space="0" w:color="auto"/>
              <w:bottom w:val="single" w:sz="12" w:space="0" w:color="auto"/>
              <w:right w:val="single" w:sz="8"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ateities nesuvokimas.</w:t>
            </w:r>
          </w:p>
        </w:tc>
        <w:tc>
          <w:tcPr>
            <w:tcW w:w="4319" w:type="dxa"/>
            <w:tcBorders>
              <w:top w:val="single" w:sz="8" w:space="0" w:color="auto"/>
              <w:left w:val="single" w:sz="8" w:space="0" w:color="auto"/>
              <w:bottom w:val="single" w:sz="12" w:space="0" w:color="auto"/>
              <w:right w:val="single" w:sz="12" w:space="0" w:color="auto"/>
            </w:tcBorders>
          </w:tcPr>
          <w:p w:rsidR="00886347" w:rsidRPr="00B21B29" w:rsidRDefault="00886347" w:rsidP="00886347">
            <w:pPr>
              <w:spacing w:after="0" w:line="240" w:lineRule="auto"/>
              <w:ind w:firstLine="0"/>
              <w:cnfStyle w:val="000000010000"/>
              <w:rPr>
                <w:sz w:val="15"/>
                <w:szCs w:val="15"/>
              </w:rPr>
            </w:pPr>
          </w:p>
        </w:tc>
      </w:tr>
      <w:tr w:rsidR="00886347" w:rsidRPr="00B21B29" w:rsidTr="00886347">
        <w:trPr>
          <w:cnfStyle w:val="000000100000"/>
          <w:trHeight w:val="20"/>
        </w:trPr>
        <w:tc>
          <w:tcPr>
            <w:cnfStyle w:val="001000000000"/>
            <w:tcW w:w="435" w:type="dxa"/>
            <w:vMerge w:val="restart"/>
            <w:tcBorders>
              <w:top w:val="single" w:sz="12" w:space="0" w:color="auto"/>
              <w:left w:val="single" w:sz="12" w:space="0" w:color="auto"/>
              <w:bottom w:val="single" w:sz="8" w:space="0" w:color="auto"/>
              <w:right w:val="single" w:sz="12" w:space="0" w:color="auto"/>
            </w:tcBorders>
            <w:shd w:val="clear" w:color="auto" w:fill="92CDDC" w:themeFill="accent5" w:themeFillTint="99"/>
            <w:textDirection w:val="btLr"/>
          </w:tcPr>
          <w:p w:rsidR="00886347" w:rsidRPr="00B21B29" w:rsidRDefault="00886347" w:rsidP="00886347">
            <w:pPr>
              <w:spacing w:after="0" w:line="240" w:lineRule="auto"/>
              <w:ind w:left="113" w:right="113" w:firstLine="0"/>
              <w:jc w:val="center"/>
              <w:rPr>
                <w:b w:val="0"/>
                <w:sz w:val="15"/>
                <w:szCs w:val="15"/>
              </w:rPr>
            </w:pPr>
            <w:r w:rsidRPr="00B21B29">
              <w:rPr>
                <w:sz w:val="15"/>
                <w:szCs w:val="15"/>
              </w:rPr>
              <w:t>2011</w:t>
            </w:r>
          </w:p>
        </w:tc>
        <w:tc>
          <w:tcPr>
            <w:tcW w:w="1260" w:type="dxa"/>
            <w:tcBorders>
              <w:top w:val="single" w:sz="12"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100000"/>
              <w:rPr>
                <w:sz w:val="15"/>
                <w:szCs w:val="15"/>
              </w:rPr>
            </w:pPr>
            <w:r w:rsidRPr="00B21B29">
              <w:rPr>
                <w:sz w:val="15"/>
                <w:szCs w:val="15"/>
              </w:rPr>
              <w:t>Problema</w:t>
            </w:r>
          </w:p>
        </w:tc>
        <w:tc>
          <w:tcPr>
            <w:tcW w:w="4318" w:type="dxa"/>
            <w:tcBorders>
              <w:top w:val="single" w:sz="12"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1. Didžioji dalis gyventojų neturi galimybės taupyti.</w:t>
            </w:r>
          </w:p>
        </w:tc>
        <w:tc>
          <w:tcPr>
            <w:tcW w:w="4319" w:type="dxa"/>
            <w:tcBorders>
              <w:top w:val="single" w:sz="12"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1. Investicinė elgsena konservatyvi: grynieji pinigai; indėliai; vaikų draudimas.</w:t>
            </w:r>
          </w:p>
        </w:tc>
      </w:tr>
      <w:tr w:rsidR="00886347" w:rsidRPr="00B21B29" w:rsidTr="00886347">
        <w:trPr>
          <w:cnfStyle w:val="000000010000"/>
          <w:trHeight w:val="20"/>
        </w:trPr>
        <w:tc>
          <w:tcPr>
            <w:cnfStyle w:val="001000000000"/>
            <w:tcW w:w="435" w:type="dxa"/>
            <w:vMerge/>
            <w:tcBorders>
              <w:left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010000"/>
              <w:rPr>
                <w:sz w:val="15"/>
                <w:szCs w:val="15"/>
              </w:rPr>
            </w:pPr>
            <w:r w:rsidRPr="00B21B29">
              <w:rPr>
                <w:sz w:val="15"/>
                <w:szCs w:val="15"/>
              </w:rPr>
              <w:t>Priežastys</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mažos pajamos, tenkančios vienam šeimos nariui.</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konservatyvumas (nuokrypis).</w:t>
            </w:r>
          </w:p>
        </w:tc>
      </w:tr>
      <w:tr w:rsidR="00886347" w:rsidRPr="00B21B29" w:rsidTr="00886347">
        <w:trPr>
          <w:cnfStyle w:val="000000100000"/>
          <w:trHeight w:val="20"/>
        </w:trPr>
        <w:tc>
          <w:tcPr>
            <w:cnfStyle w:val="001000000000"/>
            <w:tcW w:w="435" w:type="dxa"/>
            <w:vMerge/>
            <w:tcBorders>
              <w:top w:val="single" w:sz="8" w:space="0" w:color="auto"/>
              <w:left w:val="single" w:sz="12" w:space="0" w:color="auto"/>
              <w:bottom w:val="single" w:sz="8"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100000"/>
              <w:rPr>
                <w:sz w:val="15"/>
                <w:szCs w:val="15"/>
              </w:rPr>
            </w:pPr>
            <w:r w:rsidRPr="00B21B29">
              <w:rPr>
                <w:sz w:val="15"/>
                <w:szCs w:val="15"/>
              </w:rPr>
              <w:t>Problema</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2. Didelė dalis taupančių asmenų prioritetą teikia didesniam vartojimui.</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100000"/>
              <w:rPr>
                <w:sz w:val="15"/>
                <w:szCs w:val="15"/>
              </w:rPr>
            </w:pPr>
          </w:p>
        </w:tc>
      </w:tr>
      <w:tr w:rsidR="00886347" w:rsidRPr="00B21B29" w:rsidTr="00886347">
        <w:trPr>
          <w:cnfStyle w:val="000000010000"/>
          <w:trHeight w:val="20"/>
        </w:trPr>
        <w:tc>
          <w:tcPr>
            <w:cnfStyle w:val="001000000000"/>
            <w:tcW w:w="435" w:type="dxa"/>
            <w:vMerge/>
            <w:tcBorders>
              <w:left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010000"/>
              <w:rPr>
                <w:sz w:val="15"/>
                <w:szCs w:val="15"/>
              </w:rPr>
            </w:pPr>
            <w:r w:rsidRPr="00B21B29">
              <w:rPr>
                <w:sz w:val="15"/>
                <w:szCs w:val="15"/>
              </w:rPr>
              <w:t>Priežastys</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taupymo elgsena neatitinka taupymo nuostatų.</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010000"/>
              <w:rPr>
                <w:sz w:val="15"/>
                <w:szCs w:val="15"/>
              </w:rPr>
            </w:pPr>
          </w:p>
        </w:tc>
      </w:tr>
      <w:tr w:rsidR="00886347" w:rsidRPr="00B21B29" w:rsidTr="00886347">
        <w:trPr>
          <w:cnfStyle w:val="000000100000"/>
          <w:trHeight w:val="20"/>
        </w:trPr>
        <w:tc>
          <w:tcPr>
            <w:cnfStyle w:val="001000000000"/>
            <w:tcW w:w="435" w:type="dxa"/>
            <w:vMerge/>
            <w:tcBorders>
              <w:top w:val="single" w:sz="8" w:space="0" w:color="auto"/>
              <w:left w:val="single" w:sz="12" w:space="0" w:color="auto"/>
              <w:bottom w:val="single" w:sz="8"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100000"/>
              <w:rPr>
                <w:sz w:val="15"/>
                <w:szCs w:val="15"/>
              </w:rPr>
            </w:pPr>
            <w:r w:rsidRPr="00B21B29">
              <w:rPr>
                <w:sz w:val="15"/>
                <w:szCs w:val="15"/>
              </w:rPr>
              <w:t>Problema</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3. Baiminamasi dėl senatvės, tačiau ja nesirūpinama.</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100000"/>
              <w:rPr>
                <w:sz w:val="15"/>
                <w:szCs w:val="15"/>
              </w:rPr>
            </w:pPr>
          </w:p>
        </w:tc>
      </w:tr>
      <w:tr w:rsidR="00886347" w:rsidRPr="00B21B29" w:rsidTr="00886347">
        <w:trPr>
          <w:cnfStyle w:val="000000010000"/>
          <w:trHeight w:val="20"/>
        </w:trPr>
        <w:tc>
          <w:tcPr>
            <w:cnfStyle w:val="001000000000"/>
            <w:tcW w:w="435" w:type="dxa"/>
            <w:vMerge/>
            <w:tcBorders>
              <w:left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010000"/>
              <w:rPr>
                <w:sz w:val="15"/>
                <w:szCs w:val="15"/>
              </w:rPr>
            </w:pPr>
            <w:r w:rsidRPr="00B21B29">
              <w:rPr>
                <w:sz w:val="15"/>
                <w:szCs w:val="15"/>
              </w:rPr>
              <w:t>Priežastys</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teikiamas prioritetas kitiems dalykams.</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010000"/>
              <w:rPr>
                <w:sz w:val="15"/>
                <w:szCs w:val="15"/>
              </w:rPr>
            </w:pPr>
          </w:p>
        </w:tc>
      </w:tr>
      <w:tr w:rsidR="00886347" w:rsidRPr="00B21B29" w:rsidTr="00886347">
        <w:trPr>
          <w:cnfStyle w:val="000000100000"/>
          <w:trHeight w:val="20"/>
        </w:trPr>
        <w:tc>
          <w:tcPr>
            <w:cnfStyle w:val="001000000000"/>
            <w:tcW w:w="435" w:type="dxa"/>
            <w:vMerge/>
            <w:tcBorders>
              <w:top w:val="single" w:sz="8" w:space="0" w:color="auto"/>
              <w:left w:val="single" w:sz="12" w:space="0" w:color="auto"/>
              <w:bottom w:val="single" w:sz="8"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8" w:space="0" w:color="auto"/>
              <w:right w:val="single" w:sz="8" w:space="0" w:color="auto"/>
            </w:tcBorders>
            <w:vAlign w:val="center"/>
          </w:tcPr>
          <w:p w:rsidR="00886347" w:rsidRPr="00B21B29" w:rsidRDefault="00886347" w:rsidP="00886347">
            <w:pPr>
              <w:spacing w:after="0" w:line="240" w:lineRule="auto"/>
              <w:ind w:firstLine="0"/>
              <w:jc w:val="center"/>
              <w:cnfStyle w:val="000000100000"/>
              <w:rPr>
                <w:sz w:val="15"/>
                <w:szCs w:val="15"/>
              </w:rPr>
            </w:pPr>
            <w:r w:rsidRPr="00B21B29">
              <w:rPr>
                <w:sz w:val="15"/>
                <w:szCs w:val="15"/>
              </w:rPr>
              <w:t>Problema</w:t>
            </w:r>
          </w:p>
        </w:tc>
        <w:tc>
          <w:tcPr>
            <w:tcW w:w="4318" w:type="dxa"/>
            <w:tcBorders>
              <w:top w:val="single" w:sz="8" w:space="0" w:color="auto"/>
              <w:left w:val="single" w:sz="8" w:space="0" w:color="auto"/>
              <w:bottom w:val="single" w:sz="8" w:space="0" w:color="auto"/>
              <w:right w:val="single" w:sz="8" w:space="0" w:color="auto"/>
            </w:tcBorders>
          </w:tcPr>
          <w:p w:rsidR="00886347" w:rsidRPr="00B21B29" w:rsidRDefault="00886347" w:rsidP="00886347">
            <w:pPr>
              <w:spacing w:after="0" w:line="240" w:lineRule="auto"/>
              <w:ind w:firstLine="0"/>
              <w:cnfStyle w:val="000000100000"/>
              <w:rPr>
                <w:b/>
                <w:sz w:val="15"/>
                <w:szCs w:val="15"/>
              </w:rPr>
            </w:pPr>
            <w:r w:rsidRPr="00B21B29">
              <w:rPr>
                <w:b/>
                <w:sz w:val="15"/>
                <w:szCs w:val="15"/>
              </w:rPr>
              <w:t>4. Didžiausią įtaką finansų elgsenai daro: partnerio patarimai; draugų / giminių patarimai; žiniasklaida.</w:t>
            </w:r>
          </w:p>
        </w:tc>
        <w:tc>
          <w:tcPr>
            <w:tcW w:w="4319" w:type="dxa"/>
            <w:tcBorders>
              <w:top w:val="single" w:sz="8" w:space="0" w:color="auto"/>
              <w:left w:val="single" w:sz="8" w:space="0" w:color="auto"/>
              <w:bottom w:val="single" w:sz="8" w:space="0" w:color="auto"/>
              <w:right w:val="single" w:sz="12" w:space="0" w:color="auto"/>
            </w:tcBorders>
          </w:tcPr>
          <w:p w:rsidR="00886347" w:rsidRPr="00B21B29" w:rsidRDefault="00886347" w:rsidP="00886347">
            <w:pPr>
              <w:spacing w:after="0" w:line="240" w:lineRule="auto"/>
              <w:ind w:firstLine="0"/>
              <w:cnfStyle w:val="000000100000"/>
              <w:rPr>
                <w:sz w:val="15"/>
                <w:szCs w:val="15"/>
              </w:rPr>
            </w:pPr>
          </w:p>
        </w:tc>
      </w:tr>
      <w:tr w:rsidR="00886347" w:rsidRPr="00B21B29" w:rsidTr="00886347">
        <w:trPr>
          <w:cnfStyle w:val="000000010000"/>
          <w:trHeight w:val="20"/>
        </w:trPr>
        <w:tc>
          <w:tcPr>
            <w:cnfStyle w:val="001000000000"/>
            <w:tcW w:w="435" w:type="dxa"/>
            <w:vMerge/>
            <w:tcBorders>
              <w:left w:val="single" w:sz="12" w:space="0" w:color="auto"/>
              <w:bottom w:val="single" w:sz="12" w:space="0" w:color="auto"/>
              <w:right w:val="single" w:sz="12" w:space="0" w:color="auto"/>
            </w:tcBorders>
            <w:shd w:val="clear" w:color="auto" w:fill="92CDDC" w:themeFill="accent5" w:themeFillTint="99"/>
          </w:tcPr>
          <w:p w:rsidR="00886347" w:rsidRPr="00B21B29" w:rsidRDefault="00886347" w:rsidP="00886347">
            <w:pPr>
              <w:spacing w:after="0" w:line="240" w:lineRule="auto"/>
              <w:ind w:firstLine="0"/>
              <w:rPr>
                <w:sz w:val="15"/>
                <w:szCs w:val="15"/>
              </w:rPr>
            </w:pPr>
          </w:p>
        </w:tc>
        <w:tc>
          <w:tcPr>
            <w:tcW w:w="1260" w:type="dxa"/>
            <w:tcBorders>
              <w:top w:val="single" w:sz="8" w:space="0" w:color="auto"/>
              <w:left w:val="single" w:sz="12" w:space="0" w:color="auto"/>
              <w:bottom w:val="single" w:sz="12" w:space="0" w:color="auto"/>
              <w:right w:val="single" w:sz="8" w:space="0" w:color="auto"/>
            </w:tcBorders>
            <w:vAlign w:val="center"/>
          </w:tcPr>
          <w:p w:rsidR="00886347" w:rsidRPr="00B21B29" w:rsidRDefault="00886347" w:rsidP="00886347">
            <w:pPr>
              <w:spacing w:after="0" w:line="240" w:lineRule="auto"/>
              <w:ind w:firstLine="0"/>
              <w:jc w:val="center"/>
              <w:cnfStyle w:val="000000010000"/>
              <w:rPr>
                <w:sz w:val="15"/>
                <w:szCs w:val="15"/>
              </w:rPr>
            </w:pPr>
            <w:r w:rsidRPr="00B21B29">
              <w:rPr>
                <w:sz w:val="15"/>
                <w:szCs w:val="15"/>
              </w:rPr>
              <w:t>Priežastys</w:t>
            </w:r>
          </w:p>
        </w:tc>
        <w:tc>
          <w:tcPr>
            <w:tcW w:w="4318" w:type="dxa"/>
            <w:tcBorders>
              <w:top w:val="single" w:sz="8" w:space="0" w:color="auto"/>
              <w:left w:val="single" w:sz="8" w:space="0" w:color="auto"/>
              <w:bottom w:val="single" w:sz="12" w:space="0" w:color="auto"/>
              <w:right w:val="single" w:sz="8" w:space="0" w:color="auto"/>
            </w:tcBorders>
          </w:tcPr>
          <w:p w:rsidR="00886347" w:rsidRPr="00B21B29" w:rsidRDefault="00886347" w:rsidP="00886347">
            <w:pPr>
              <w:spacing w:after="0" w:line="240" w:lineRule="auto"/>
              <w:ind w:firstLine="0"/>
              <w:cnfStyle w:val="000000010000"/>
              <w:rPr>
                <w:sz w:val="15"/>
                <w:szCs w:val="15"/>
              </w:rPr>
            </w:pPr>
            <w:r w:rsidRPr="00B21B29">
              <w:rPr>
                <w:sz w:val="15"/>
                <w:szCs w:val="15"/>
              </w:rPr>
              <w:t>1) profesionali informacija nepasiekia žmonių;</w:t>
            </w:r>
          </w:p>
          <w:p w:rsidR="00886347" w:rsidRPr="00B21B29" w:rsidRDefault="00886347" w:rsidP="00886347">
            <w:pPr>
              <w:spacing w:after="0" w:line="240" w:lineRule="auto"/>
              <w:ind w:firstLine="0"/>
              <w:cnfStyle w:val="000000010000"/>
              <w:rPr>
                <w:sz w:val="15"/>
                <w:szCs w:val="15"/>
              </w:rPr>
            </w:pPr>
            <w:r w:rsidRPr="00B21B29">
              <w:rPr>
                <w:sz w:val="15"/>
                <w:szCs w:val="15"/>
              </w:rPr>
              <w:t>2) gyventojai patys nesidomi profesionalia informacija.</w:t>
            </w:r>
          </w:p>
        </w:tc>
        <w:tc>
          <w:tcPr>
            <w:tcW w:w="4319" w:type="dxa"/>
            <w:tcBorders>
              <w:top w:val="single" w:sz="8" w:space="0" w:color="auto"/>
              <w:left w:val="single" w:sz="8" w:space="0" w:color="auto"/>
              <w:bottom w:val="single" w:sz="12" w:space="0" w:color="auto"/>
              <w:right w:val="single" w:sz="12" w:space="0" w:color="auto"/>
            </w:tcBorders>
          </w:tcPr>
          <w:p w:rsidR="00886347" w:rsidRPr="00B21B29" w:rsidRDefault="00886347" w:rsidP="00886347">
            <w:pPr>
              <w:spacing w:after="0" w:line="240" w:lineRule="auto"/>
              <w:ind w:firstLine="0"/>
              <w:cnfStyle w:val="000000010000"/>
              <w:rPr>
                <w:sz w:val="15"/>
                <w:szCs w:val="15"/>
              </w:rPr>
            </w:pPr>
          </w:p>
        </w:tc>
      </w:tr>
    </w:tbl>
    <w:p w:rsidR="00886347" w:rsidRPr="00E849BE" w:rsidRDefault="00886347" w:rsidP="00886347">
      <w:pPr>
        <w:spacing w:after="120" w:line="240" w:lineRule="auto"/>
        <w:contextualSpacing w:val="0"/>
        <w:rPr>
          <w:sz w:val="20"/>
        </w:rPr>
      </w:pPr>
      <w:r w:rsidRPr="00E849BE">
        <w:rPr>
          <w:sz w:val="20"/>
          <w:vertAlign w:val="superscript"/>
        </w:rPr>
        <w:t>1</w:t>
      </w:r>
      <w:r w:rsidRPr="00E849BE">
        <w:rPr>
          <w:sz w:val="20"/>
        </w:rPr>
        <w:t xml:space="preserve"> Nurodė Rakauskienė, </w:t>
      </w:r>
      <w:proofErr w:type="spellStart"/>
      <w:r w:rsidRPr="00E849BE">
        <w:rPr>
          <w:sz w:val="20"/>
        </w:rPr>
        <w:t>Bikas</w:t>
      </w:r>
      <w:proofErr w:type="spellEnd"/>
      <w:r w:rsidRPr="00E849BE">
        <w:rPr>
          <w:sz w:val="20"/>
        </w:rPr>
        <w:t xml:space="preserve">  (2007); </w:t>
      </w:r>
      <w:r w:rsidRPr="00E849BE">
        <w:rPr>
          <w:sz w:val="20"/>
          <w:vertAlign w:val="superscript"/>
        </w:rPr>
        <w:t>2</w:t>
      </w:r>
      <w:r w:rsidRPr="00E849BE">
        <w:rPr>
          <w:sz w:val="20"/>
        </w:rPr>
        <w:t xml:space="preserve"> Nurodė </w:t>
      </w:r>
      <w:proofErr w:type="spellStart"/>
      <w:r w:rsidRPr="00E849BE">
        <w:rPr>
          <w:sz w:val="20"/>
        </w:rPr>
        <w:t>Klimavičienė</w:t>
      </w:r>
      <w:proofErr w:type="spellEnd"/>
      <w:r w:rsidRPr="00E849BE">
        <w:rPr>
          <w:sz w:val="20"/>
        </w:rPr>
        <w:t xml:space="preserve">, </w:t>
      </w:r>
      <w:proofErr w:type="spellStart"/>
      <w:r w:rsidRPr="00E849BE">
        <w:rPr>
          <w:sz w:val="20"/>
        </w:rPr>
        <w:t>Jurevičienė</w:t>
      </w:r>
      <w:proofErr w:type="spellEnd"/>
      <w:r w:rsidRPr="00E849BE">
        <w:rPr>
          <w:sz w:val="20"/>
        </w:rPr>
        <w:t xml:space="preserve"> (2007);</w:t>
      </w:r>
      <w:r>
        <w:rPr>
          <w:sz w:val="20"/>
        </w:rPr>
        <w:t xml:space="preserve"> </w:t>
      </w:r>
      <w:r w:rsidRPr="00E849BE">
        <w:rPr>
          <w:sz w:val="20"/>
          <w:vertAlign w:val="superscript"/>
        </w:rPr>
        <w:t>3</w:t>
      </w:r>
      <w:r w:rsidRPr="00E849BE">
        <w:rPr>
          <w:sz w:val="20"/>
        </w:rPr>
        <w:t xml:space="preserve"> Nurodė </w:t>
      </w:r>
      <w:proofErr w:type="spellStart"/>
      <w:r w:rsidRPr="00E849BE">
        <w:rPr>
          <w:sz w:val="20"/>
        </w:rPr>
        <w:t>Jurevičienė</w:t>
      </w:r>
      <w:proofErr w:type="spellEnd"/>
      <w:r w:rsidRPr="00E849BE">
        <w:rPr>
          <w:sz w:val="20"/>
        </w:rPr>
        <w:t xml:space="preserve">, </w:t>
      </w:r>
      <w:proofErr w:type="spellStart"/>
      <w:r w:rsidRPr="00E849BE">
        <w:rPr>
          <w:sz w:val="20"/>
        </w:rPr>
        <w:t>Gausienė</w:t>
      </w:r>
      <w:proofErr w:type="spellEnd"/>
      <w:r w:rsidRPr="00E849BE">
        <w:rPr>
          <w:sz w:val="20"/>
        </w:rPr>
        <w:t xml:space="preserve"> (2010); </w:t>
      </w:r>
      <w:r w:rsidRPr="00E849BE">
        <w:rPr>
          <w:sz w:val="20"/>
          <w:vertAlign w:val="superscript"/>
        </w:rPr>
        <w:t>4</w:t>
      </w:r>
      <w:r w:rsidRPr="00E849BE">
        <w:rPr>
          <w:sz w:val="20"/>
        </w:rPr>
        <w:t xml:space="preserve"> Nurodė </w:t>
      </w:r>
      <w:proofErr w:type="spellStart"/>
      <w:r w:rsidRPr="00E849BE">
        <w:rPr>
          <w:sz w:val="20"/>
        </w:rPr>
        <w:t>Taujanskaitė</w:t>
      </w:r>
      <w:proofErr w:type="spellEnd"/>
      <w:r w:rsidRPr="00E849BE">
        <w:rPr>
          <w:sz w:val="20"/>
        </w:rPr>
        <w:t xml:space="preserve">, </w:t>
      </w:r>
      <w:proofErr w:type="spellStart"/>
      <w:r w:rsidRPr="00E849BE">
        <w:rPr>
          <w:sz w:val="20"/>
        </w:rPr>
        <w:t>Jurevičienė</w:t>
      </w:r>
      <w:proofErr w:type="spellEnd"/>
      <w:r w:rsidRPr="00E849BE">
        <w:rPr>
          <w:sz w:val="20"/>
        </w:rPr>
        <w:t xml:space="preserve"> (2010); </w:t>
      </w:r>
      <w:r w:rsidRPr="00E849BE">
        <w:rPr>
          <w:sz w:val="20"/>
          <w:vertAlign w:val="superscript"/>
        </w:rPr>
        <w:t>5</w:t>
      </w:r>
      <w:r w:rsidRPr="00E849BE">
        <w:rPr>
          <w:sz w:val="20"/>
        </w:rPr>
        <w:t xml:space="preserve"> Nurodė </w:t>
      </w:r>
      <w:proofErr w:type="spellStart"/>
      <w:r w:rsidRPr="00E849BE">
        <w:rPr>
          <w:sz w:val="20"/>
        </w:rPr>
        <w:t>Bikas</w:t>
      </w:r>
      <w:proofErr w:type="spellEnd"/>
      <w:r w:rsidRPr="00E849BE">
        <w:rPr>
          <w:sz w:val="20"/>
        </w:rPr>
        <w:t>, Kavaliauskas (2010)</w:t>
      </w:r>
    </w:p>
    <w:p w:rsidR="00886347" w:rsidRPr="00E849BE" w:rsidRDefault="00886347" w:rsidP="00886347">
      <w:pPr>
        <w:rPr>
          <w:sz w:val="20"/>
        </w:rPr>
      </w:pPr>
      <w:r w:rsidRPr="00E849BE">
        <w:rPr>
          <w:b/>
          <w:sz w:val="20"/>
        </w:rPr>
        <w:t>Šaltinis</w:t>
      </w:r>
      <w:r w:rsidRPr="00E849BE">
        <w:rPr>
          <w:sz w:val="20"/>
        </w:rPr>
        <w:t xml:space="preserve">: sudaryta, remiantis </w:t>
      </w:r>
      <w:proofErr w:type="spellStart"/>
      <w:r w:rsidRPr="00E849BE">
        <w:rPr>
          <w:sz w:val="20"/>
        </w:rPr>
        <w:t>Biku</w:t>
      </w:r>
      <w:proofErr w:type="spellEnd"/>
      <w:r w:rsidRPr="00E849BE">
        <w:rPr>
          <w:sz w:val="20"/>
        </w:rPr>
        <w:t xml:space="preserve">, Kavaliausku (2010); Rakauskiene, </w:t>
      </w:r>
      <w:proofErr w:type="spellStart"/>
      <w:r w:rsidRPr="00E849BE">
        <w:rPr>
          <w:sz w:val="20"/>
        </w:rPr>
        <w:t>Biku</w:t>
      </w:r>
      <w:proofErr w:type="spellEnd"/>
      <w:r w:rsidRPr="00E849BE">
        <w:rPr>
          <w:sz w:val="20"/>
        </w:rPr>
        <w:t xml:space="preserve"> (2007); </w:t>
      </w:r>
      <w:proofErr w:type="spellStart"/>
      <w:r w:rsidRPr="00E849BE">
        <w:rPr>
          <w:sz w:val="20"/>
        </w:rPr>
        <w:t>Jurevičiene</w:t>
      </w:r>
      <w:proofErr w:type="spellEnd"/>
      <w:r w:rsidRPr="00E849BE">
        <w:rPr>
          <w:sz w:val="20"/>
        </w:rPr>
        <w:t xml:space="preserve">, </w:t>
      </w:r>
      <w:proofErr w:type="spellStart"/>
      <w:r w:rsidRPr="00E849BE">
        <w:rPr>
          <w:sz w:val="20"/>
        </w:rPr>
        <w:t>Gausiene</w:t>
      </w:r>
      <w:proofErr w:type="spellEnd"/>
      <w:r w:rsidRPr="00E849BE">
        <w:rPr>
          <w:sz w:val="20"/>
        </w:rPr>
        <w:t xml:space="preserve"> (2010); </w:t>
      </w:r>
      <w:proofErr w:type="spellStart"/>
      <w:r w:rsidRPr="00E849BE">
        <w:rPr>
          <w:sz w:val="20"/>
        </w:rPr>
        <w:t>Klimavičiene</w:t>
      </w:r>
      <w:proofErr w:type="spellEnd"/>
      <w:r w:rsidRPr="00E849BE">
        <w:rPr>
          <w:sz w:val="20"/>
        </w:rPr>
        <w:t xml:space="preserve">, </w:t>
      </w:r>
      <w:proofErr w:type="spellStart"/>
      <w:r w:rsidRPr="00E849BE">
        <w:rPr>
          <w:sz w:val="20"/>
        </w:rPr>
        <w:t>Jurevičiene</w:t>
      </w:r>
      <w:proofErr w:type="spellEnd"/>
      <w:r w:rsidRPr="00E849BE">
        <w:rPr>
          <w:sz w:val="20"/>
        </w:rPr>
        <w:t xml:space="preserve"> (2007); </w:t>
      </w:r>
      <w:proofErr w:type="spellStart"/>
      <w:r w:rsidRPr="00E849BE">
        <w:rPr>
          <w:sz w:val="20"/>
        </w:rPr>
        <w:t>Taujanskaite</w:t>
      </w:r>
      <w:proofErr w:type="spellEnd"/>
      <w:r w:rsidRPr="00E849BE">
        <w:rPr>
          <w:sz w:val="20"/>
        </w:rPr>
        <w:t xml:space="preserve">, </w:t>
      </w:r>
      <w:proofErr w:type="spellStart"/>
      <w:r w:rsidRPr="00E849BE">
        <w:rPr>
          <w:sz w:val="20"/>
        </w:rPr>
        <w:t>Jurevičiene</w:t>
      </w:r>
      <w:proofErr w:type="spellEnd"/>
      <w:r w:rsidRPr="00E849BE">
        <w:rPr>
          <w:sz w:val="20"/>
        </w:rPr>
        <w:t xml:space="preserve"> (2010); SEB banku (2011); </w:t>
      </w:r>
      <w:proofErr w:type="spellStart"/>
      <w:r w:rsidRPr="00E849BE">
        <w:rPr>
          <w:sz w:val="20"/>
        </w:rPr>
        <w:t>Swedbank</w:t>
      </w:r>
      <w:proofErr w:type="spellEnd"/>
      <w:r w:rsidRPr="00E849BE">
        <w:rPr>
          <w:sz w:val="20"/>
        </w:rPr>
        <w:t xml:space="preserve"> asmeninių finansų institutu (2011), Vertybinių popierių komisija (2009)</w:t>
      </w:r>
    </w:p>
    <w:p w:rsidR="00AF0FAF" w:rsidRDefault="00AF0FAF" w:rsidP="00886347">
      <w:pPr>
        <w:sectPr w:rsidR="00AF0FAF" w:rsidSect="00030506">
          <w:headerReference w:type="even" r:id="rId20"/>
          <w:headerReference w:type="default" r:id="rId21"/>
          <w:footerReference w:type="even" r:id="rId22"/>
          <w:footerReference w:type="default" r:id="rId23"/>
          <w:headerReference w:type="first" r:id="rId24"/>
          <w:footerReference w:type="first" r:id="rId25"/>
          <w:pgSz w:w="12240" w:h="15840"/>
          <w:pgMar w:top="1134" w:right="567" w:bottom="1134" w:left="1418" w:header="576" w:footer="720" w:gutter="0"/>
          <w:cols w:space="720"/>
          <w:titlePg/>
          <w:docGrid w:linePitch="360"/>
        </w:sectPr>
      </w:pPr>
    </w:p>
    <w:p w:rsidR="00886347" w:rsidRDefault="00186E0E" w:rsidP="00F6568D">
      <w:pPr>
        <w:ind w:firstLine="0"/>
        <w:jc w:val="center"/>
      </w:pPr>
      <w:r>
        <w:rPr>
          <w:noProof/>
          <w:lang w:val="en-US"/>
        </w:rPr>
        <w:lastRenderedPageBreak/>
        <w:drawing>
          <wp:inline distT="0" distB="0" distL="0" distR="0">
            <wp:extent cx="7648575" cy="5734050"/>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srcRect/>
                    <a:stretch>
                      <a:fillRect/>
                    </a:stretch>
                  </pic:blipFill>
                  <pic:spPr bwMode="auto">
                    <a:xfrm>
                      <a:off x="0" y="0"/>
                      <a:ext cx="7648575" cy="5734050"/>
                    </a:xfrm>
                    <a:prstGeom prst="rect">
                      <a:avLst/>
                    </a:prstGeom>
                    <a:noFill/>
                    <a:ln w="9525">
                      <a:noFill/>
                      <a:miter lim="800000"/>
                      <a:headEnd/>
                      <a:tailEnd/>
                    </a:ln>
                  </pic:spPr>
                </pic:pic>
              </a:graphicData>
            </a:graphic>
          </wp:inline>
        </w:drawing>
      </w:r>
    </w:p>
    <w:p w:rsidR="00F6568D" w:rsidRDefault="00F6568D">
      <w:pPr>
        <w:widowControl/>
        <w:spacing w:after="200" w:line="276" w:lineRule="auto"/>
        <w:ind w:firstLine="0"/>
        <w:contextualSpacing w:val="0"/>
        <w:jc w:val="left"/>
      </w:pPr>
      <w:r>
        <w:br w:type="page"/>
      </w:r>
    </w:p>
    <w:p w:rsidR="00F6568D" w:rsidRDefault="00F6568D" w:rsidP="00F6568D">
      <w:pPr>
        <w:sectPr w:rsidR="00F6568D" w:rsidSect="00AF0FAF">
          <w:pgSz w:w="15840" w:h="12240" w:orient="landscape"/>
          <w:pgMar w:top="1411" w:right="1138" w:bottom="562" w:left="1138" w:header="576" w:footer="720" w:gutter="0"/>
          <w:cols w:space="720"/>
          <w:titlePg/>
          <w:docGrid w:linePitch="360"/>
        </w:sectPr>
      </w:pPr>
    </w:p>
    <w:p w:rsidR="00E969CD" w:rsidRDefault="00E969CD" w:rsidP="00E969CD">
      <w:pPr>
        <w:spacing w:before="120"/>
        <w:ind w:firstLine="0"/>
        <w:contextualSpacing w:val="0"/>
        <w:jc w:val="center"/>
        <w:rPr>
          <w:b/>
        </w:rPr>
      </w:pPr>
      <w:r>
        <w:rPr>
          <w:b/>
        </w:rPr>
        <w:lastRenderedPageBreak/>
        <w:t>REIKŠMINGUMO KOEFICIENTŲ NUSTATYMAS</w:t>
      </w:r>
    </w:p>
    <w:p w:rsidR="00E969CD" w:rsidRDefault="00E969CD" w:rsidP="00E969CD">
      <w:r>
        <w:t xml:space="preserve">Kadangi ekspertai </w:t>
      </w:r>
      <w:r w:rsidRPr="00D55975">
        <w:t xml:space="preserve">didžiausią svorį – </w:t>
      </w:r>
      <w:r w:rsidRPr="00426525">
        <w:rPr>
          <w:b/>
          <w:i/>
        </w:rPr>
        <w:t>iš vidinių veiksnių</w:t>
      </w:r>
      <w:r w:rsidRPr="00D55975">
        <w:t xml:space="preserve"> – suteikė </w:t>
      </w:r>
      <w:r w:rsidRPr="00D55975">
        <w:rPr>
          <w:i/>
        </w:rPr>
        <w:t>motyvacijos stokai</w:t>
      </w:r>
      <w:r>
        <w:rPr>
          <w:i/>
        </w:rPr>
        <w:t xml:space="preserve"> (a</w:t>
      </w:r>
      <w:r>
        <w:rPr>
          <w:i/>
          <w:vertAlign w:val="subscript"/>
        </w:rPr>
        <w:t>6</w:t>
      </w:r>
      <w:r>
        <w:rPr>
          <w:i/>
        </w:rPr>
        <w:t>)</w:t>
      </w:r>
      <w:r w:rsidRPr="00D55975">
        <w:t xml:space="preserve"> ir </w:t>
      </w:r>
      <w:r w:rsidRPr="00D55975">
        <w:rPr>
          <w:i/>
        </w:rPr>
        <w:t>menkam išsilavinimui</w:t>
      </w:r>
      <w:r>
        <w:rPr>
          <w:i/>
        </w:rPr>
        <w:t xml:space="preserve"> (b</w:t>
      </w:r>
      <w:r>
        <w:rPr>
          <w:i/>
          <w:vertAlign w:val="subscript"/>
        </w:rPr>
        <w:t>1</w:t>
      </w:r>
      <w:r>
        <w:rPr>
          <w:i/>
        </w:rPr>
        <w:t xml:space="preserve">) </w:t>
      </w:r>
      <w:r w:rsidRPr="00426525">
        <w:t>(žr. 1 lent.)</w:t>
      </w:r>
      <w:r w:rsidRPr="00D55975">
        <w:t xml:space="preserve">, </w:t>
      </w:r>
      <w:r>
        <w:t xml:space="preserve">t. y. tiems veiksniams, kurie būdingi skirtingų tipų žmonėms (pirmu atveju, priimantiems tyčinius sprendimus, o antru atveju – visiškai pagrįstus sprendimus), šiems veiksniams buvo suteiktas didesnis, t. y. (2,0) koeficientas. Tai </w:t>
      </w:r>
      <w:r w:rsidRPr="00D55975">
        <w:t>reiškia, jog</w:t>
      </w:r>
      <w:r>
        <w:t>, vertinant gyventojų finansinę elgseną socialinės apsaugos srityje,</w:t>
      </w:r>
      <w:r w:rsidRPr="00D55975">
        <w:t xml:space="preserve"> </w:t>
      </w:r>
      <w:r>
        <w:t>bus sustiprinta šių veiksnių įtaka, kas priėmusių tinkamus finansinius sprendimus žmonių elgseną padarys racionalesnę (reikšmė ↑), o blogai pasielgusiųjų – pakreips priešinga linkme (reikšmė ↓).</w:t>
      </w:r>
    </w:p>
    <w:p w:rsidR="00E969CD" w:rsidRDefault="00E969CD" w:rsidP="00E969CD">
      <w:r w:rsidRPr="00D55975">
        <w:t>Kaip</w:t>
      </w:r>
      <w:r>
        <w:t xml:space="preserve"> mažiausiai svarius veiksnius</w:t>
      </w:r>
      <w:r w:rsidRPr="00D55975">
        <w:t xml:space="preserve"> ekspertai nurodė </w:t>
      </w:r>
      <w:r w:rsidRPr="00B52008">
        <w:rPr>
          <w:i/>
        </w:rPr>
        <w:t>grupių įtaką</w:t>
      </w:r>
      <w:r>
        <w:rPr>
          <w:i/>
        </w:rPr>
        <w:t xml:space="preserve"> (a</w:t>
      </w:r>
      <w:r>
        <w:rPr>
          <w:i/>
          <w:vertAlign w:val="subscript"/>
        </w:rPr>
        <w:t>8</w:t>
      </w:r>
      <w:r>
        <w:rPr>
          <w:i/>
        </w:rPr>
        <w:t>)</w:t>
      </w:r>
      <w:r w:rsidRPr="00D55975">
        <w:t xml:space="preserve"> ir </w:t>
      </w:r>
      <w:r w:rsidRPr="00B52008">
        <w:rPr>
          <w:i/>
        </w:rPr>
        <w:t>gyvenimo būdą</w:t>
      </w:r>
      <w:r>
        <w:rPr>
          <w:i/>
        </w:rPr>
        <w:t xml:space="preserve"> (b</w:t>
      </w:r>
      <w:r>
        <w:rPr>
          <w:i/>
          <w:vertAlign w:val="subscript"/>
        </w:rPr>
        <w:t>7</w:t>
      </w:r>
      <w:r>
        <w:rPr>
          <w:i/>
        </w:rPr>
        <w:t>)</w:t>
      </w:r>
      <w:r>
        <w:t xml:space="preserve"> (siejant jį su padidėjusiu poreikiu laisvalaikiui), todėl šiems veiksniams buvo priskirti mažiausi (1,0) koeficientai, kurie, –</w:t>
      </w:r>
      <w:r>
        <w:rPr>
          <w:i/>
        </w:rPr>
        <w:t xml:space="preserve"> nepakeisdami </w:t>
      </w:r>
      <w:r w:rsidRPr="000E2F35">
        <w:rPr>
          <w:i/>
        </w:rPr>
        <w:t>įtakos</w:t>
      </w:r>
      <w:r>
        <w:rPr>
          <w:i/>
        </w:rPr>
        <w:t xml:space="preserve"> dydžio</w:t>
      </w:r>
      <w:r>
        <w:t>, – leis tiksliau perteikti kitų, t. y. svarbesnių, veiksnių įtakos dydį. Visiems kitiems veiksniams, kurie buvo vertinami kaip vidutiniškai svarūs, suteiktas (1,5) koeficientas, – tokiu būdu užtikrinant tinkamą nuotolį (tarp svarių ir nesvarių veiksnių) ir išlaikant reikiamą pusiausvyrą.</w:t>
      </w:r>
    </w:p>
    <w:p w:rsidR="00E969CD" w:rsidRDefault="00E969CD" w:rsidP="00E969CD">
      <w:pPr>
        <w:pStyle w:val="Caption"/>
      </w:pPr>
      <w:r w:rsidRPr="00B449A0">
        <w:t>1 lentelė.</w:t>
      </w:r>
      <w:r>
        <w:t xml:space="preserve"> </w:t>
      </w:r>
      <w:r w:rsidRPr="00486D34">
        <w:t xml:space="preserve">Vidinių veiksnių </w:t>
      </w:r>
      <w:r>
        <w:t>svoriai (</w:t>
      </w:r>
      <w:r w:rsidRPr="004B578C">
        <w:rPr>
          <w:i/>
        </w:rPr>
        <w:t>Mo</w:t>
      </w:r>
      <w:r>
        <w:t xml:space="preserve">) ir </w:t>
      </w:r>
      <w:r w:rsidRPr="00486D34">
        <w:t>reikšmingumo koeficientai (</w:t>
      </w:r>
      <w:r w:rsidRPr="004B578C">
        <w:rPr>
          <w:i/>
        </w:rPr>
        <w:t>K</w:t>
      </w:r>
      <w:r w:rsidRPr="00486D34">
        <w:t>)</w:t>
      </w:r>
    </w:p>
    <w:tbl>
      <w:tblPr>
        <w:tblStyle w:val="TableGrid"/>
        <w:tblW w:w="10396"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tblPr>
      <w:tblGrid>
        <w:gridCol w:w="1440"/>
        <w:gridCol w:w="2664"/>
        <w:gridCol w:w="547"/>
        <w:gridCol w:w="547"/>
        <w:gridCol w:w="1440"/>
        <w:gridCol w:w="2664"/>
        <w:gridCol w:w="547"/>
        <w:gridCol w:w="547"/>
      </w:tblGrid>
      <w:tr w:rsidR="00E969CD" w:rsidRPr="003559BA" w:rsidTr="00E969CD">
        <w:tc>
          <w:tcPr>
            <w:tcW w:w="10396" w:type="dxa"/>
            <w:gridSpan w:val="8"/>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3559BA" w:rsidRDefault="00E969CD" w:rsidP="00E969CD">
            <w:pPr>
              <w:spacing w:after="0" w:line="240" w:lineRule="auto"/>
              <w:ind w:firstLine="0"/>
              <w:jc w:val="center"/>
              <w:rPr>
                <w:b/>
                <w:sz w:val="20"/>
              </w:rPr>
            </w:pPr>
            <w:r w:rsidRPr="003559BA">
              <w:rPr>
                <w:b/>
                <w:sz w:val="20"/>
              </w:rPr>
              <w:t>VIDINIAI VEIKSNIAI</w:t>
            </w:r>
          </w:p>
        </w:tc>
      </w:tr>
      <w:tr w:rsidR="00E969CD" w:rsidRPr="003559BA" w:rsidTr="00E969CD">
        <w:tc>
          <w:tcPr>
            <w:tcW w:w="14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969CD" w:rsidRPr="003559BA" w:rsidRDefault="00E969CD" w:rsidP="00E969CD">
            <w:pPr>
              <w:spacing w:after="0" w:line="240" w:lineRule="auto"/>
              <w:ind w:firstLine="0"/>
              <w:jc w:val="center"/>
              <w:rPr>
                <w:b/>
                <w:i/>
                <w:sz w:val="20"/>
              </w:rPr>
            </w:pPr>
            <w:r w:rsidRPr="003559BA">
              <w:rPr>
                <w:b/>
                <w:i/>
                <w:sz w:val="20"/>
              </w:rPr>
              <w:t>- A -</w:t>
            </w:r>
          </w:p>
        </w:tc>
        <w:tc>
          <w:tcPr>
            <w:tcW w:w="266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969CD" w:rsidRPr="003559BA" w:rsidRDefault="00E969CD" w:rsidP="00E969CD">
            <w:pPr>
              <w:spacing w:after="0" w:line="240" w:lineRule="auto"/>
              <w:ind w:firstLine="0"/>
              <w:jc w:val="center"/>
              <w:rPr>
                <w:b/>
                <w:i/>
                <w:sz w:val="20"/>
              </w:rPr>
            </w:pPr>
            <w:r w:rsidRPr="003559BA">
              <w:rPr>
                <w:b/>
                <w:i/>
                <w:sz w:val="20"/>
              </w:rPr>
              <w:t>Ekspertų vertinimai</w:t>
            </w:r>
          </w:p>
        </w:tc>
        <w:tc>
          <w:tcPr>
            <w:tcW w:w="54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969CD" w:rsidRPr="003559BA" w:rsidRDefault="00E969CD" w:rsidP="00E969CD">
            <w:pPr>
              <w:spacing w:after="0" w:line="240" w:lineRule="auto"/>
              <w:ind w:firstLine="0"/>
              <w:jc w:val="center"/>
              <w:rPr>
                <w:b/>
                <w:i/>
                <w:sz w:val="20"/>
              </w:rPr>
            </w:pPr>
            <w:proofErr w:type="spellStart"/>
            <w:r w:rsidRPr="003559BA">
              <w:rPr>
                <w:b/>
                <w:i/>
                <w:sz w:val="20"/>
              </w:rPr>
              <w:t>Mo</w:t>
            </w:r>
            <w:proofErr w:type="spellEnd"/>
          </w:p>
        </w:tc>
        <w:tc>
          <w:tcPr>
            <w:tcW w:w="54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969CD" w:rsidRPr="003559BA" w:rsidRDefault="00E969CD" w:rsidP="00E969CD">
            <w:pPr>
              <w:spacing w:after="0" w:line="240" w:lineRule="auto"/>
              <w:ind w:firstLine="0"/>
              <w:jc w:val="center"/>
              <w:rPr>
                <w:b/>
                <w:i/>
                <w:sz w:val="20"/>
              </w:rPr>
            </w:pPr>
            <w:r w:rsidRPr="003559BA">
              <w:rPr>
                <w:b/>
                <w:i/>
                <w:sz w:val="20"/>
              </w:rPr>
              <w:t>K</w:t>
            </w:r>
          </w:p>
        </w:tc>
        <w:tc>
          <w:tcPr>
            <w:tcW w:w="14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969CD" w:rsidRPr="003559BA" w:rsidRDefault="00E969CD" w:rsidP="00E969CD">
            <w:pPr>
              <w:spacing w:after="0" w:line="240" w:lineRule="auto"/>
              <w:ind w:firstLine="0"/>
              <w:jc w:val="center"/>
              <w:rPr>
                <w:b/>
                <w:i/>
                <w:sz w:val="20"/>
              </w:rPr>
            </w:pPr>
            <w:r w:rsidRPr="003559BA">
              <w:rPr>
                <w:b/>
                <w:i/>
                <w:sz w:val="20"/>
              </w:rPr>
              <w:t>- B -</w:t>
            </w:r>
          </w:p>
        </w:tc>
        <w:tc>
          <w:tcPr>
            <w:tcW w:w="266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969CD" w:rsidRPr="003559BA" w:rsidRDefault="00E969CD" w:rsidP="00E969CD">
            <w:pPr>
              <w:spacing w:after="0" w:line="240" w:lineRule="auto"/>
              <w:ind w:firstLine="0"/>
              <w:jc w:val="center"/>
              <w:rPr>
                <w:b/>
                <w:i/>
                <w:sz w:val="20"/>
              </w:rPr>
            </w:pPr>
            <w:r w:rsidRPr="003559BA">
              <w:rPr>
                <w:b/>
                <w:i/>
                <w:sz w:val="20"/>
              </w:rPr>
              <w:t>Ekspertų vertinimai</w:t>
            </w:r>
          </w:p>
        </w:tc>
        <w:tc>
          <w:tcPr>
            <w:tcW w:w="547"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3559BA" w:rsidRDefault="00E969CD" w:rsidP="00E969CD">
            <w:pPr>
              <w:spacing w:after="0" w:line="240" w:lineRule="auto"/>
              <w:ind w:firstLine="0"/>
              <w:jc w:val="center"/>
              <w:rPr>
                <w:b/>
                <w:i/>
                <w:sz w:val="20"/>
              </w:rPr>
            </w:pPr>
            <w:proofErr w:type="spellStart"/>
            <w:r w:rsidRPr="003559BA">
              <w:rPr>
                <w:b/>
                <w:i/>
                <w:sz w:val="20"/>
              </w:rPr>
              <w:t>Mo</w:t>
            </w:r>
            <w:proofErr w:type="spellEnd"/>
          </w:p>
        </w:tc>
        <w:tc>
          <w:tcPr>
            <w:tcW w:w="547" w:type="dxa"/>
            <w:tcBorders>
              <w:top w:val="single" w:sz="12" w:space="0" w:color="auto"/>
              <w:left w:val="single" w:sz="12" w:space="0" w:color="auto"/>
              <w:bottom w:val="single" w:sz="12" w:space="0" w:color="auto"/>
            </w:tcBorders>
            <w:shd w:val="clear" w:color="auto" w:fill="D9D9D9" w:themeFill="background1" w:themeFillShade="D9"/>
          </w:tcPr>
          <w:p w:rsidR="00E969CD" w:rsidRPr="003559BA" w:rsidRDefault="00E969CD" w:rsidP="00E969CD">
            <w:pPr>
              <w:spacing w:after="0" w:line="240" w:lineRule="auto"/>
              <w:ind w:firstLine="0"/>
              <w:jc w:val="center"/>
              <w:rPr>
                <w:b/>
                <w:i/>
                <w:sz w:val="20"/>
              </w:rPr>
            </w:pPr>
            <w:r w:rsidRPr="003559BA">
              <w:rPr>
                <w:b/>
                <w:i/>
                <w:sz w:val="20"/>
              </w:rPr>
              <w:t>K</w:t>
            </w:r>
          </w:p>
        </w:tc>
      </w:tr>
      <w:tr w:rsidR="00E969CD" w:rsidRPr="003559BA" w:rsidTr="00E969CD">
        <w:tc>
          <w:tcPr>
            <w:tcW w:w="1440" w:type="dxa"/>
            <w:tcBorders>
              <w:top w:val="single" w:sz="12" w:space="0" w:color="auto"/>
              <w:bottom w:val="single" w:sz="2" w:space="0" w:color="auto"/>
              <w:right w:val="single" w:sz="12" w:space="0" w:color="auto"/>
            </w:tcBorders>
            <w:shd w:val="clear" w:color="auto" w:fill="B8CCE4" w:themeFill="accent1" w:themeFillTint="66"/>
          </w:tcPr>
          <w:p w:rsidR="00E969CD" w:rsidRPr="003559BA" w:rsidRDefault="00E969CD" w:rsidP="00E969CD">
            <w:pPr>
              <w:spacing w:after="0" w:line="240" w:lineRule="auto"/>
              <w:ind w:firstLine="0"/>
              <w:jc w:val="center"/>
              <w:rPr>
                <w:b/>
                <w:i/>
                <w:sz w:val="20"/>
              </w:rPr>
            </w:pPr>
            <w:r w:rsidRPr="003559BA">
              <w:rPr>
                <w:b/>
                <w:i/>
                <w:sz w:val="20"/>
              </w:rPr>
              <w:t>a</w:t>
            </w:r>
            <w:r w:rsidRPr="003559BA">
              <w:rPr>
                <w:b/>
                <w:i/>
                <w:sz w:val="20"/>
                <w:vertAlign w:val="subscript"/>
              </w:rPr>
              <w:t>1</w:t>
            </w:r>
          </w:p>
        </w:tc>
        <w:tc>
          <w:tcPr>
            <w:tcW w:w="2664" w:type="dxa"/>
            <w:tcBorders>
              <w:top w:val="single" w:sz="12" w:space="0" w:color="auto"/>
              <w:left w:val="single" w:sz="12" w:space="0" w:color="auto"/>
              <w:bottom w:val="single" w:sz="2" w:space="0" w:color="auto"/>
              <w:right w:val="single" w:sz="12" w:space="0" w:color="auto"/>
            </w:tcBorders>
            <w:shd w:val="clear" w:color="auto" w:fill="B8CCE4" w:themeFill="accent1" w:themeFillTint="66"/>
          </w:tcPr>
          <w:p w:rsidR="00E969CD" w:rsidRPr="003559BA" w:rsidRDefault="00E969CD" w:rsidP="00E969CD">
            <w:pPr>
              <w:spacing w:after="0" w:line="240" w:lineRule="auto"/>
              <w:ind w:firstLine="0"/>
              <w:jc w:val="center"/>
              <w:rPr>
                <w:sz w:val="20"/>
              </w:rPr>
            </w:pPr>
            <w:r w:rsidRPr="003559BA">
              <w:rPr>
                <w:sz w:val="20"/>
              </w:rPr>
              <w:t>2; 2; 1; 1; 1; 1; 2; 2; 2; 2</w:t>
            </w:r>
          </w:p>
        </w:tc>
        <w:tc>
          <w:tcPr>
            <w:tcW w:w="547" w:type="dxa"/>
            <w:tcBorders>
              <w:top w:val="single" w:sz="1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2</w:t>
            </w:r>
          </w:p>
        </w:tc>
        <w:tc>
          <w:tcPr>
            <w:tcW w:w="547" w:type="dxa"/>
            <w:tcBorders>
              <w:top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0070C0"/>
                <w:sz w:val="20"/>
              </w:rPr>
            </w:pPr>
            <w:r w:rsidRPr="003559BA">
              <w:rPr>
                <w:b/>
                <w:color w:val="0070C0"/>
                <w:sz w:val="20"/>
              </w:rPr>
              <w:t>1,5</w:t>
            </w:r>
          </w:p>
        </w:tc>
        <w:tc>
          <w:tcPr>
            <w:tcW w:w="1440" w:type="dxa"/>
            <w:tcBorders>
              <w:top w:val="single" w:sz="12" w:space="0" w:color="auto"/>
              <w:right w:val="single" w:sz="12" w:space="0" w:color="auto"/>
            </w:tcBorders>
            <w:shd w:val="clear" w:color="auto" w:fill="CCC0D9" w:themeFill="accent4" w:themeFillTint="66"/>
          </w:tcPr>
          <w:p w:rsidR="00E969CD" w:rsidRPr="003559BA" w:rsidRDefault="00E969CD" w:rsidP="00E969CD">
            <w:pPr>
              <w:spacing w:after="0" w:line="240" w:lineRule="auto"/>
              <w:ind w:firstLine="0"/>
              <w:jc w:val="center"/>
              <w:rPr>
                <w:b/>
                <w:i/>
                <w:sz w:val="20"/>
              </w:rPr>
            </w:pPr>
            <w:r w:rsidRPr="003559BA">
              <w:rPr>
                <w:b/>
                <w:i/>
                <w:sz w:val="20"/>
              </w:rPr>
              <w:t>b</w:t>
            </w:r>
            <w:r w:rsidRPr="003559BA">
              <w:rPr>
                <w:b/>
                <w:i/>
                <w:sz w:val="20"/>
                <w:vertAlign w:val="subscript"/>
              </w:rPr>
              <w:t>1</w:t>
            </w:r>
          </w:p>
        </w:tc>
        <w:tc>
          <w:tcPr>
            <w:tcW w:w="2664" w:type="dxa"/>
            <w:tcBorders>
              <w:top w:val="single" w:sz="12" w:space="0" w:color="auto"/>
              <w:left w:val="single" w:sz="12" w:space="0" w:color="auto"/>
              <w:right w:val="single" w:sz="12" w:space="0" w:color="auto"/>
            </w:tcBorders>
            <w:shd w:val="clear" w:color="auto" w:fill="CCC0D9" w:themeFill="accent4" w:themeFillTint="66"/>
          </w:tcPr>
          <w:p w:rsidR="00E969CD" w:rsidRPr="003559BA" w:rsidRDefault="00E969CD" w:rsidP="00E969CD">
            <w:pPr>
              <w:spacing w:after="0" w:line="240" w:lineRule="auto"/>
              <w:ind w:firstLine="0"/>
              <w:jc w:val="center"/>
              <w:rPr>
                <w:sz w:val="20"/>
              </w:rPr>
            </w:pPr>
            <w:r w:rsidRPr="003559BA">
              <w:rPr>
                <w:sz w:val="20"/>
              </w:rPr>
              <w:t>1; 2; 1; 2; 2; 1; 2; 1; 1; 1</w:t>
            </w:r>
          </w:p>
        </w:tc>
        <w:tc>
          <w:tcPr>
            <w:tcW w:w="547" w:type="dxa"/>
            <w:tcBorders>
              <w:top w:val="single" w:sz="1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1</w:t>
            </w:r>
          </w:p>
        </w:tc>
        <w:tc>
          <w:tcPr>
            <w:tcW w:w="547" w:type="dxa"/>
            <w:tcBorders>
              <w:top w:val="single" w:sz="1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8C3A8E"/>
                <w:sz w:val="20"/>
              </w:rPr>
            </w:pPr>
            <w:r w:rsidRPr="003559BA">
              <w:rPr>
                <w:b/>
                <w:color w:val="8C3A8E"/>
                <w:sz w:val="20"/>
              </w:rPr>
              <w:t>2,0</w:t>
            </w:r>
          </w:p>
        </w:tc>
      </w:tr>
      <w:tr w:rsidR="00E969CD" w:rsidRPr="003559BA" w:rsidTr="00E969CD">
        <w:tc>
          <w:tcPr>
            <w:tcW w:w="1440" w:type="dxa"/>
            <w:tcBorders>
              <w:top w:val="single" w:sz="2" w:space="0" w:color="auto"/>
              <w:bottom w:val="single" w:sz="2" w:space="0" w:color="auto"/>
              <w:right w:val="single" w:sz="12" w:space="0" w:color="auto"/>
            </w:tcBorders>
            <w:shd w:val="clear" w:color="auto" w:fill="B8CCE4" w:themeFill="accent1" w:themeFillTint="66"/>
          </w:tcPr>
          <w:p w:rsidR="00E969CD" w:rsidRPr="003559BA" w:rsidRDefault="00E969CD" w:rsidP="00E969CD">
            <w:pPr>
              <w:spacing w:after="0" w:line="240" w:lineRule="auto"/>
              <w:ind w:firstLine="0"/>
              <w:jc w:val="center"/>
              <w:rPr>
                <w:b/>
                <w:i/>
                <w:sz w:val="20"/>
              </w:rPr>
            </w:pPr>
            <w:r w:rsidRPr="003559BA">
              <w:rPr>
                <w:b/>
                <w:i/>
                <w:sz w:val="20"/>
              </w:rPr>
              <w:t>a</w:t>
            </w:r>
            <w:r w:rsidRPr="003559BA">
              <w:rPr>
                <w:b/>
                <w:i/>
                <w:sz w:val="20"/>
                <w:vertAlign w:val="subscript"/>
              </w:rPr>
              <w:t>2</w:t>
            </w:r>
          </w:p>
        </w:tc>
        <w:tc>
          <w:tcPr>
            <w:tcW w:w="2664" w:type="dxa"/>
            <w:tcBorders>
              <w:top w:val="single" w:sz="2" w:space="0" w:color="auto"/>
              <w:left w:val="single" w:sz="12" w:space="0" w:color="auto"/>
              <w:bottom w:val="single" w:sz="2" w:space="0" w:color="auto"/>
              <w:right w:val="single" w:sz="12" w:space="0" w:color="auto"/>
            </w:tcBorders>
            <w:shd w:val="clear" w:color="auto" w:fill="B8CCE4" w:themeFill="accent1" w:themeFillTint="66"/>
          </w:tcPr>
          <w:p w:rsidR="00E969CD" w:rsidRPr="003559BA" w:rsidRDefault="00E969CD" w:rsidP="00E969CD">
            <w:pPr>
              <w:spacing w:after="0" w:line="240" w:lineRule="auto"/>
              <w:ind w:firstLine="0"/>
              <w:jc w:val="center"/>
              <w:rPr>
                <w:sz w:val="20"/>
              </w:rPr>
            </w:pPr>
            <w:r w:rsidRPr="003559BA">
              <w:rPr>
                <w:sz w:val="20"/>
              </w:rPr>
              <w:t>2; 2; 1; 1; 2; 2; 2; 2; 2; 1</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2</w:t>
            </w:r>
          </w:p>
        </w:tc>
        <w:tc>
          <w:tcPr>
            <w:tcW w:w="547" w:type="dxa"/>
            <w:tcBorders>
              <w:top w:val="single" w:sz="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0070C0"/>
                <w:sz w:val="20"/>
              </w:rPr>
            </w:pPr>
            <w:r w:rsidRPr="003559BA">
              <w:rPr>
                <w:b/>
                <w:color w:val="0070C0"/>
                <w:sz w:val="20"/>
              </w:rPr>
              <w:t>1,5</w:t>
            </w:r>
          </w:p>
        </w:tc>
        <w:tc>
          <w:tcPr>
            <w:tcW w:w="1440" w:type="dxa"/>
            <w:tcBorders>
              <w:right w:val="single" w:sz="12" w:space="0" w:color="auto"/>
            </w:tcBorders>
            <w:shd w:val="clear" w:color="auto" w:fill="CCC0D9" w:themeFill="accent4" w:themeFillTint="66"/>
          </w:tcPr>
          <w:p w:rsidR="00E969CD" w:rsidRPr="003559BA" w:rsidRDefault="00E969CD" w:rsidP="00E969CD">
            <w:pPr>
              <w:spacing w:after="0" w:line="240" w:lineRule="auto"/>
              <w:ind w:firstLine="0"/>
              <w:jc w:val="center"/>
              <w:rPr>
                <w:b/>
                <w:i/>
                <w:sz w:val="20"/>
              </w:rPr>
            </w:pPr>
            <w:r w:rsidRPr="003559BA">
              <w:rPr>
                <w:b/>
                <w:i/>
                <w:sz w:val="20"/>
              </w:rPr>
              <w:t>b</w:t>
            </w:r>
            <w:r w:rsidRPr="003559BA">
              <w:rPr>
                <w:b/>
                <w:i/>
                <w:sz w:val="20"/>
                <w:vertAlign w:val="subscript"/>
              </w:rPr>
              <w:t>2</w:t>
            </w:r>
          </w:p>
        </w:tc>
        <w:tc>
          <w:tcPr>
            <w:tcW w:w="2664" w:type="dxa"/>
            <w:tcBorders>
              <w:left w:val="single" w:sz="12" w:space="0" w:color="auto"/>
              <w:right w:val="single" w:sz="12" w:space="0" w:color="auto"/>
            </w:tcBorders>
            <w:shd w:val="clear" w:color="auto" w:fill="CCC0D9" w:themeFill="accent4" w:themeFillTint="66"/>
          </w:tcPr>
          <w:p w:rsidR="00E969CD" w:rsidRPr="003559BA" w:rsidRDefault="00E969CD" w:rsidP="00E969CD">
            <w:pPr>
              <w:spacing w:after="0" w:line="240" w:lineRule="auto"/>
              <w:ind w:firstLine="0"/>
              <w:jc w:val="center"/>
              <w:rPr>
                <w:sz w:val="20"/>
              </w:rPr>
            </w:pPr>
            <w:r w:rsidRPr="003559BA">
              <w:rPr>
                <w:sz w:val="20"/>
              </w:rPr>
              <w:t>1; 2; 2; 3; 2; 1; 2; 1; 3; 2</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2</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8C3A8E"/>
                <w:sz w:val="20"/>
              </w:rPr>
            </w:pPr>
            <w:r w:rsidRPr="003559BA">
              <w:rPr>
                <w:b/>
                <w:color w:val="8C3A8E"/>
                <w:sz w:val="20"/>
              </w:rPr>
              <w:t>1,5</w:t>
            </w:r>
          </w:p>
        </w:tc>
      </w:tr>
      <w:tr w:rsidR="00E969CD" w:rsidRPr="003559BA" w:rsidTr="00E969CD">
        <w:tc>
          <w:tcPr>
            <w:tcW w:w="1440" w:type="dxa"/>
            <w:tcBorders>
              <w:top w:val="single" w:sz="2" w:space="0" w:color="auto"/>
              <w:bottom w:val="single" w:sz="2" w:space="0" w:color="auto"/>
              <w:right w:val="single" w:sz="12" w:space="0" w:color="auto"/>
            </w:tcBorders>
            <w:shd w:val="clear" w:color="auto" w:fill="B8CCE4" w:themeFill="accent1" w:themeFillTint="66"/>
          </w:tcPr>
          <w:p w:rsidR="00E969CD" w:rsidRPr="003559BA" w:rsidRDefault="00E969CD" w:rsidP="00E969CD">
            <w:pPr>
              <w:spacing w:after="0" w:line="240" w:lineRule="auto"/>
              <w:ind w:firstLine="0"/>
              <w:jc w:val="center"/>
              <w:rPr>
                <w:b/>
                <w:i/>
                <w:sz w:val="20"/>
              </w:rPr>
            </w:pPr>
            <w:r w:rsidRPr="003559BA">
              <w:rPr>
                <w:b/>
                <w:i/>
                <w:sz w:val="20"/>
              </w:rPr>
              <w:t>a</w:t>
            </w:r>
            <w:r w:rsidRPr="003559BA">
              <w:rPr>
                <w:b/>
                <w:i/>
                <w:sz w:val="20"/>
                <w:vertAlign w:val="subscript"/>
              </w:rPr>
              <w:t>3</w:t>
            </w:r>
          </w:p>
        </w:tc>
        <w:tc>
          <w:tcPr>
            <w:tcW w:w="2664" w:type="dxa"/>
            <w:tcBorders>
              <w:top w:val="single" w:sz="2" w:space="0" w:color="auto"/>
              <w:left w:val="single" w:sz="12" w:space="0" w:color="auto"/>
              <w:bottom w:val="single" w:sz="2" w:space="0" w:color="auto"/>
              <w:right w:val="single" w:sz="12" w:space="0" w:color="auto"/>
            </w:tcBorders>
            <w:shd w:val="clear" w:color="auto" w:fill="B8CCE4" w:themeFill="accent1" w:themeFillTint="66"/>
          </w:tcPr>
          <w:p w:rsidR="00E969CD" w:rsidRPr="003559BA" w:rsidRDefault="00E969CD" w:rsidP="00E969CD">
            <w:pPr>
              <w:spacing w:after="0" w:line="240" w:lineRule="auto"/>
              <w:ind w:firstLine="0"/>
              <w:jc w:val="center"/>
              <w:rPr>
                <w:sz w:val="20"/>
              </w:rPr>
            </w:pPr>
            <w:r w:rsidRPr="003559BA">
              <w:rPr>
                <w:sz w:val="20"/>
              </w:rPr>
              <w:t>2; 2; 1; 3; 1; 2; 2; 2; 1; 3</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2</w:t>
            </w:r>
          </w:p>
        </w:tc>
        <w:tc>
          <w:tcPr>
            <w:tcW w:w="547" w:type="dxa"/>
            <w:tcBorders>
              <w:top w:val="single" w:sz="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0070C0"/>
                <w:sz w:val="20"/>
              </w:rPr>
            </w:pPr>
            <w:r w:rsidRPr="003559BA">
              <w:rPr>
                <w:b/>
                <w:color w:val="0070C0"/>
                <w:sz w:val="20"/>
              </w:rPr>
              <w:t>1,5</w:t>
            </w:r>
          </w:p>
        </w:tc>
        <w:tc>
          <w:tcPr>
            <w:tcW w:w="1440" w:type="dxa"/>
            <w:tcBorders>
              <w:right w:val="single" w:sz="12" w:space="0" w:color="auto"/>
            </w:tcBorders>
            <w:shd w:val="clear" w:color="auto" w:fill="CCC0D9" w:themeFill="accent4" w:themeFillTint="66"/>
          </w:tcPr>
          <w:p w:rsidR="00E969CD" w:rsidRPr="003559BA" w:rsidRDefault="00E969CD" w:rsidP="00E969CD">
            <w:pPr>
              <w:spacing w:after="0" w:line="240" w:lineRule="auto"/>
              <w:ind w:firstLine="0"/>
              <w:jc w:val="center"/>
              <w:rPr>
                <w:b/>
                <w:i/>
                <w:sz w:val="20"/>
              </w:rPr>
            </w:pPr>
            <w:r w:rsidRPr="003559BA">
              <w:rPr>
                <w:b/>
                <w:i/>
                <w:sz w:val="20"/>
              </w:rPr>
              <w:t>b</w:t>
            </w:r>
            <w:r w:rsidRPr="003559BA">
              <w:rPr>
                <w:b/>
                <w:i/>
                <w:sz w:val="20"/>
                <w:vertAlign w:val="subscript"/>
              </w:rPr>
              <w:t>3</w:t>
            </w:r>
          </w:p>
        </w:tc>
        <w:tc>
          <w:tcPr>
            <w:tcW w:w="2664" w:type="dxa"/>
            <w:tcBorders>
              <w:left w:val="single" w:sz="12" w:space="0" w:color="auto"/>
              <w:right w:val="single" w:sz="12" w:space="0" w:color="auto"/>
            </w:tcBorders>
            <w:shd w:val="clear" w:color="auto" w:fill="CCC0D9" w:themeFill="accent4" w:themeFillTint="66"/>
          </w:tcPr>
          <w:p w:rsidR="00E969CD" w:rsidRPr="003559BA" w:rsidRDefault="00E969CD" w:rsidP="00E969CD">
            <w:pPr>
              <w:spacing w:after="0" w:line="240" w:lineRule="auto"/>
              <w:ind w:firstLine="0"/>
              <w:jc w:val="center"/>
              <w:rPr>
                <w:sz w:val="20"/>
              </w:rPr>
            </w:pPr>
            <w:r w:rsidRPr="003559BA">
              <w:rPr>
                <w:sz w:val="20"/>
              </w:rPr>
              <w:t>2; 2; 2; 1; 2; 1; 3; 2; 2; 3</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2</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8C3A8E"/>
                <w:sz w:val="20"/>
              </w:rPr>
            </w:pPr>
            <w:r w:rsidRPr="003559BA">
              <w:rPr>
                <w:b/>
                <w:color w:val="8C3A8E"/>
                <w:sz w:val="20"/>
              </w:rPr>
              <w:t>1,5</w:t>
            </w:r>
          </w:p>
        </w:tc>
      </w:tr>
      <w:tr w:rsidR="00E969CD" w:rsidRPr="003559BA" w:rsidTr="00E969CD">
        <w:tc>
          <w:tcPr>
            <w:tcW w:w="1440" w:type="dxa"/>
            <w:tcBorders>
              <w:top w:val="single" w:sz="2" w:space="0" w:color="auto"/>
              <w:bottom w:val="single" w:sz="2" w:space="0" w:color="auto"/>
              <w:right w:val="single" w:sz="12" w:space="0" w:color="auto"/>
            </w:tcBorders>
            <w:shd w:val="clear" w:color="auto" w:fill="B8CCE4" w:themeFill="accent1" w:themeFillTint="66"/>
          </w:tcPr>
          <w:p w:rsidR="00E969CD" w:rsidRPr="003559BA" w:rsidRDefault="00E969CD" w:rsidP="00E969CD">
            <w:pPr>
              <w:spacing w:after="0" w:line="240" w:lineRule="auto"/>
              <w:ind w:firstLine="0"/>
              <w:jc w:val="center"/>
              <w:rPr>
                <w:b/>
                <w:i/>
                <w:sz w:val="20"/>
              </w:rPr>
            </w:pPr>
            <w:r w:rsidRPr="003559BA">
              <w:rPr>
                <w:b/>
                <w:i/>
                <w:sz w:val="20"/>
              </w:rPr>
              <w:t>a</w:t>
            </w:r>
            <w:r w:rsidRPr="003559BA">
              <w:rPr>
                <w:b/>
                <w:i/>
                <w:sz w:val="20"/>
                <w:vertAlign w:val="subscript"/>
              </w:rPr>
              <w:t>4</w:t>
            </w:r>
          </w:p>
        </w:tc>
        <w:tc>
          <w:tcPr>
            <w:tcW w:w="2664" w:type="dxa"/>
            <w:tcBorders>
              <w:top w:val="single" w:sz="2" w:space="0" w:color="auto"/>
              <w:left w:val="single" w:sz="12" w:space="0" w:color="auto"/>
              <w:bottom w:val="single" w:sz="2" w:space="0" w:color="auto"/>
              <w:right w:val="single" w:sz="12" w:space="0" w:color="auto"/>
            </w:tcBorders>
            <w:shd w:val="clear" w:color="auto" w:fill="B8CCE4" w:themeFill="accent1" w:themeFillTint="66"/>
          </w:tcPr>
          <w:p w:rsidR="00E969CD" w:rsidRPr="003559BA" w:rsidRDefault="00E969CD" w:rsidP="00E969CD">
            <w:pPr>
              <w:spacing w:after="0" w:line="240" w:lineRule="auto"/>
              <w:ind w:firstLine="0"/>
              <w:jc w:val="center"/>
              <w:rPr>
                <w:sz w:val="20"/>
              </w:rPr>
            </w:pPr>
            <w:r w:rsidRPr="003559BA">
              <w:rPr>
                <w:sz w:val="20"/>
              </w:rPr>
              <w:t>2; 2; 1; 2; 3; 3; 1; 2; 2; 1</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2</w:t>
            </w:r>
          </w:p>
        </w:tc>
        <w:tc>
          <w:tcPr>
            <w:tcW w:w="547" w:type="dxa"/>
            <w:tcBorders>
              <w:top w:val="single" w:sz="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0070C0"/>
                <w:sz w:val="20"/>
              </w:rPr>
            </w:pPr>
            <w:r w:rsidRPr="003559BA">
              <w:rPr>
                <w:b/>
                <w:color w:val="0070C0"/>
                <w:sz w:val="20"/>
              </w:rPr>
              <w:t>1,5</w:t>
            </w:r>
          </w:p>
        </w:tc>
        <w:tc>
          <w:tcPr>
            <w:tcW w:w="1440" w:type="dxa"/>
            <w:tcBorders>
              <w:right w:val="single" w:sz="12" w:space="0" w:color="auto"/>
            </w:tcBorders>
            <w:shd w:val="clear" w:color="auto" w:fill="CCC0D9" w:themeFill="accent4" w:themeFillTint="66"/>
          </w:tcPr>
          <w:p w:rsidR="00E969CD" w:rsidRPr="003559BA" w:rsidRDefault="00E969CD" w:rsidP="00E969CD">
            <w:pPr>
              <w:spacing w:after="0" w:line="240" w:lineRule="auto"/>
              <w:ind w:firstLine="0"/>
              <w:jc w:val="center"/>
              <w:rPr>
                <w:b/>
                <w:i/>
                <w:sz w:val="20"/>
              </w:rPr>
            </w:pPr>
            <w:r w:rsidRPr="003559BA">
              <w:rPr>
                <w:b/>
                <w:i/>
                <w:sz w:val="20"/>
              </w:rPr>
              <w:t>b</w:t>
            </w:r>
            <w:r w:rsidRPr="003559BA">
              <w:rPr>
                <w:b/>
                <w:i/>
                <w:sz w:val="20"/>
                <w:vertAlign w:val="subscript"/>
              </w:rPr>
              <w:t>4</w:t>
            </w:r>
          </w:p>
        </w:tc>
        <w:tc>
          <w:tcPr>
            <w:tcW w:w="2664" w:type="dxa"/>
            <w:tcBorders>
              <w:left w:val="single" w:sz="12" w:space="0" w:color="auto"/>
              <w:right w:val="single" w:sz="12" w:space="0" w:color="auto"/>
            </w:tcBorders>
            <w:shd w:val="clear" w:color="auto" w:fill="CCC0D9" w:themeFill="accent4" w:themeFillTint="66"/>
          </w:tcPr>
          <w:p w:rsidR="00E969CD" w:rsidRPr="003559BA" w:rsidRDefault="00E969CD" w:rsidP="00E969CD">
            <w:pPr>
              <w:spacing w:after="0" w:line="240" w:lineRule="auto"/>
              <w:ind w:firstLine="0"/>
              <w:jc w:val="center"/>
              <w:rPr>
                <w:sz w:val="20"/>
              </w:rPr>
            </w:pPr>
            <w:r w:rsidRPr="003559BA">
              <w:rPr>
                <w:sz w:val="20"/>
              </w:rPr>
              <w:t>2; 2; 2; 1; 1; 1; 3; 2; 3; 2</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2</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8C3A8E"/>
                <w:sz w:val="20"/>
              </w:rPr>
            </w:pPr>
            <w:r w:rsidRPr="003559BA">
              <w:rPr>
                <w:b/>
                <w:color w:val="8C3A8E"/>
                <w:sz w:val="20"/>
              </w:rPr>
              <w:t>1,5</w:t>
            </w:r>
          </w:p>
        </w:tc>
      </w:tr>
      <w:tr w:rsidR="00E969CD" w:rsidRPr="003559BA" w:rsidTr="00E969CD">
        <w:tc>
          <w:tcPr>
            <w:tcW w:w="1440" w:type="dxa"/>
            <w:tcBorders>
              <w:top w:val="single" w:sz="2" w:space="0" w:color="auto"/>
              <w:bottom w:val="single" w:sz="2" w:space="0" w:color="auto"/>
              <w:right w:val="single" w:sz="12" w:space="0" w:color="auto"/>
            </w:tcBorders>
            <w:shd w:val="clear" w:color="auto" w:fill="B8CCE4" w:themeFill="accent1" w:themeFillTint="66"/>
          </w:tcPr>
          <w:p w:rsidR="00E969CD" w:rsidRPr="003559BA" w:rsidRDefault="00E969CD" w:rsidP="00E969CD">
            <w:pPr>
              <w:spacing w:after="0" w:line="240" w:lineRule="auto"/>
              <w:ind w:firstLine="0"/>
              <w:jc w:val="center"/>
              <w:rPr>
                <w:b/>
                <w:i/>
                <w:sz w:val="20"/>
              </w:rPr>
            </w:pPr>
            <w:r w:rsidRPr="003559BA">
              <w:rPr>
                <w:b/>
                <w:i/>
                <w:sz w:val="20"/>
              </w:rPr>
              <w:t>a</w:t>
            </w:r>
            <w:r w:rsidRPr="003559BA">
              <w:rPr>
                <w:b/>
                <w:i/>
                <w:sz w:val="20"/>
                <w:vertAlign w:val="subscript"/>
              </w:rPr>
              <w:t>5</w:t>
            </w:r>
          </w:p>
        </w:tc>
        <w:tc>
          <w:tcPr>
            <w:tcW w:w="2664" w:type="dxa"/>
            <w:tcBorders>
              <w:top w:val="single" w:sz="2" w:space="0" w:color="auto"/>
              <w:left w:val="single" w:sz="12" w:space="0" w:color="auto"/>
              <w:bottom w:val="single" w:sz="2" w:space="0" w:color="auto"/>
              <w:right w:val="single" w:sz="12" w:space="0" w:color="auto"/>
            </w:tcBorders>
            <w:shd w:val="clear" w:color="auto" w:fill="B8CCE4" w:themeFill="accent1" w:themeFillTint="66"/>
          </w:tcPr>
          <w:p w:rsidR="00E969CD" w:rsidRPr="003559BA" w:rsidRDefault="00E969CD" w:rsidP="00E969CD">
            <w:pPr>
              <w:spacing w:after="0" w:line="240" w:lineRule="auto"/>
              <w:ind w:firstLine="0"/>
              <w:jc w:val="center"/>
              <w:rPr>
                <w:sz w:val="20"/>
              </w:rPr>
            </w:pPr>
            <w:r>
              <w:rPr>
                <w:sz w:val="20"/>
              </w:rPr>
              <w:t>2</w:t>
            </w:r>
            <w:r w:rsidRPr="003559BA">
              <w:rPr>
                <w:sz w:val="20"/>
              </w:rPr>
              <w:t>; 1; 2; 1; 2; 2; 1; 1; 2; 2</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2</w:t>
            </w:r>
          </w:p>
        </w:tc>
        <w:tc>
          <w:tcPr>
            <w:tcW w:w="547" w:type="dxa"/>
            <w:tcBorders>
              <w:top w:val="single" w:sz="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0070C0"/>
                <w:sz w:val="20"/>
              </w:rPr>
            </w:pPr>
            <w:r w:rsidRPr="003559BA">
              <w:rPr>
                <w:b/>
                <w:color w:val="0070C0"/>
                <w:sz w:val="20"/>
              </w:rPr>
              <w:t>1,5</w:t>
            </w:r>
          </w:p>
        </w:tc>
        <w:tc>
          <w:tcPr>
            <w:tcW w:w="1440" w:type="dxa"/>
            <w:tcBorders>
              <w:right w:val="single" w:sz="12" w:space="0" w:color="auto"/>
            </w:tcBorders>
            <w:shd w:val="clear" w:color="auto" w:fill="CCC0D9" w:themeFill="accent4" w:themeFillTint="66"/>
          </w:tcPr>
          <w:p w:rsidR="00E969CD" w:rsidRPr="003559BA" w:rsidRDefault="00E969CD" w:rsidP="00E969CD">
            <w:pPr>
              <w:spacing w:after="0" w:line="240" w:lineRule="auto"/>
              <w:ind w:firstLine="0"/>
              <w:jc w:val="center"/>
              <w:rPr>
                <w:b/>
                <w:i/>
                <w:sz w:val="20"/>
              </w:rPr>
            </w:pPr>
            <w:r w:rsidRPr="003559BA">
              <w:rPr>
                <w:b/>
                <w:i/>
                <w:sz w:val="20"/>
              </w:rPr>
              <w:t>b</w:t>
            </w:r>
            <w:r w:rsidRPr="003559BA">
              <w:rPr>
                <w:b/>
                <w:i/>
                <w:sz w:val="20"/>
                <w:vertAlign w:val="subscript"/>
              </w:rPr>
              <w:t>5</w:t>
            </w:r>
          </w:p>
        </w:tc>
        <w:tc>
          <w:tcPr>
            <w:tcW w:w="2664" w:type="dxa"/>
            <w:tcBorders>
              <w:left w:val="single" w:sz="12" w:space="0" w:color="auto"/>
              <w:right w:val="single" w:sz="12" w:space="0" w:color="auto"/>
            </w:tcBorders>
            <w:shd w:val="clear" w:color="auto" w:fill="CCC0D9" w:themeFill="accent4" w:themeFillTint="66"/>
          </w:tcPr>
          <w:p w:rsidR="00E969CD" w:rsidRPr="003559BA" w:rsidRDefault="00E969CD" w:rsidP="00E969CD">
            <w:pPr>
              <w:spacing w:after="0" w:line="240" w:lineRule="auto"/>
              <w:ind w:firstLine="0"/>
              <w:jc w:val="center"/>
              <w:rPr>
                <w:sz w:val="20"/>
              </w:rPr>
            </w:pPr>
            <w:r w:rsidRPr="003559BA">
              <w:rPr>
                <w:sz w:val="20"/>
              </w:rPr>
              <w:t>3; 2; 1; 2; 2; 2; 2; 2; 2; 3</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2</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8C3A8E"/>
                <w:sz w:val="20"/>
              </w:rPr>
            </w:pPr>
            <w:r w:rsidRPr="003559BA">
              <w:rPr>
                <w:b/>
                <w:color w:val="8C3A8E"/>
                <w:sz w:val="20"/>
              </w:rPr>
              <w:t>1,5</w:t>
            </w:r>
          </w:p>
        </w:tc>
      </w:tr>
      <w:tr w:rsidR="00E969CD" w:rsidRPr="003559BA" w:rsidTr="00E969CD">
        <w:tc>
          <w:tcPr>
            <w:tcW w:w="1440" w:type="dxa"/>
            <w:tcBorders>
              <w:top w:val="single" w:sz="2" w:space="0" w:color="auto"/>
              <w:bottom w:val="single" w:sz="2" w:space="0" w:color="auto"/>
              <w:right w:val="single" w:sz="12" w:space="0" w:color="auto"/>
            </w:tcBorders>
            <w:shd w:val="clear" w:color="auto" w:fill="B8CCE4" w:themeFill="accent1" w:themeFillTint="66"/>
          </w:tcPr>
          <w:p w:rsidR="00E969CD" w:rsidRPr="003559BA" w:rsidRDefault="00E969CD" w:rsidP="00E969CD">
            <w:pPr>
              <w:spacing w:after="0" w:line="240" w:lineRule="auto"/>
              <w:ind w:firstLine="0"/>
              <w:jc w:val="center"/>
              <w:rPr>
                <w:b/>
                <w:i/>
                <w:sz w:val="20"/>
              </w:rPr>
            </w:pPr>
            <w:r w:rsidRPr="003559BA">
              <w:rPr>
                <w:b/>
                <w:i/>
                <w:sz w:val="20"/>
              </w:rPr>
              <w:t>a</w:t>
            </w:r>
            <w:r w:rsidRPr="003559BA">
              <w:rPr>
                <w:b/>
                <w:i/>
                <w:sz w:val="20"/>
                <w:vertAlign w:val="subscript"/>
              </w:rPr>
              <w:t>6</w:t>
            </w:r>
          </w:p>
        </w:tc>
        <w:tc>
          <w:tcPr>
            <w:tcW w:w="2664" w:type="dxa"/>
            <w:tcBorders>
              <w:top w:val="single" w:sz="2" w:space="0" w:color="auto"/>
              <w:left w:val="single" w:sz="12" w:space="0" w:color="auto"/>
              <w:bottom w:val="single" w:sz="2" w:space="0" w:color="auto"/>
              <w:right w:val="single" w:sz="12" w:space="0" w:color="auto"/>
            </w:tcBorders>
            <w:shd w:val="clear" w:color="auto" w:fill="B8CCE4" w:themeFill="accent1" w:themeFillTint="66"/>
          </w:tcPr>
          <w:p w:rsidR="00E969CD" w:rsidRPr="003559BA" w:rsidRDefault="00E969CD" w:rsidP="00E969CD">
            <w:pPr>
              <w:spacing w:after="0" w:line="240" w:lineRule="auto"/>
              <w:ind w:firstLine="0"/>
              <w:jc w:val="center"/>
              <w:rPr>
                <w:sz w:val="20"/>
              </w:rPr>
            </w:pPr>
            <w:r w:rsidRPr="003559BA">
              <w:rPr>
                <w:sz w:val="20"/>
              </w:rPr>
              <w:t>1; 1; 1; 3; 2; 3; 1; 1; 3; 1</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1</w:t>
            </w:r>
          </w:p>
        </w:tc>
        <w:tc>
          <w:tcPr>
            <w:tcW w:w="547" w:type="dxa"/>
            <w:tcBorders>
              <w:top w:val="single" w:sz="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0070C0"/>
                <w:sz w:val="20"/>
              </w:rPr>
            </w:pPr>
            <w:r w:rsidRPr="003559BA">
              <w:rPr>
                <w:b/>
                <w:color w:val="0070C0"/>
                <w:sz w:val="20"/>
              </w:rPr>
              <w:t>2,0</w:t>
            </w:r>
          </w:p>
        </w:tc>
        <w:tc>
          <w:tcPr>
            <w:tcW w:w="1440" w:type="dxa"/>
            <w:tcBorders>
              <w:right w:val="single" w:sz="12" w:space="0" w:color="auto"/>
            </w:tcBorders>
            <w:shd w:val="clear" w:color="auto" w:fill="CCC0D9" w:themeFill="accent4" w:themeFillTint="66"/>
          </w:tcPr>
          <w:p w:rsidR="00E969CD" w:rsidRPr="003559BA" w:rsidRDefault="00E969CD" w:rsidP="00E969CD">
            <w:pPr>
              <w:spacing w:after="0" w:line="240" w:lineRule="auto"/>
              <w:ind w:firstLine="0"/>
              <w:jc w:val="center"/>
              <w:rPr>
                <w:b/>
                <w:i/>
                <w:sz w:val="20"/>
              </w:rPr>
            </w:pPr>
            <w:r w:rsidRPr="003559BA">
              <w:rPr>
                <w:b/>
                <w:i/>
                <w:sz w:val="20"/>
              </w:rPr>
              <w:t>b</w:t>
            </w:r>
            <w:r w:rsidRPr="003559BA">
              <w:rPr>
                <w:b/>
                <w:i/>
                <w:sz w:val="20"/>
                <w:vertAlign w:val="subscript"/>
              </w:rPr>
              <w:t>6</w:t>
            </w:r>
          </w:p>
        </w:tc>
        <w:tc>
          <w:tcPr>
            <w:tcW w:w="2664" w:type="dxa"/>
            <w:tcBorders>
              <w:left w:val="single" w:sz="12" w:space="0" w:color="auto"/>
              <w:right w:val="single" w:sz="12" w:space="0" w:color="auto"/>
            </w:tcBorders>
            <w:shd w:val="clear" w:color="auto" w:fill="CCC0D9" w:themeFill="accent4" w:themeFillTint="66"/>
          </w:tcPr>
          <w:p w:rsidR="00E969CD" w:rsidRPr="003559BA" w:rsidRDefault="00E969CD" w:rsidP="00E969CD">
            <w:pPr>
              <w:spacing w:after="0" w:line="240" w:lineRule="auto"/>
              <w:ind w:firstLine="0"/>
              <w:jc w:val="center"/>
              <w:rPr>
                <w:sz w:val="20"/>
              </w:rPr>
            </w:pPr>
            <w:r w:rsidRPr="003559BA">
              <w:rPr>
                <w:sz w:val="20"/>
              </w:rPr>
              <w:t>2; 1; 2; 2; 2; 3; 1; 2; 2; 2</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2</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8C3A8E"/>
                <w:sz w:val="20"/>
              </w:rPr>
            </w:pPr>
            <w:r w:rsidRPr="003559BA">
              <w:rPr>
                <w:b/>
                <w:color w:val="8C3A8E"/>
                <w:sz w:val="20"/>
              </w:rPr>
              <w:t>1,5</w:t>
            </w:r>
          </w:p>
        </w:tc>
      </w:tr>
      <w:tr w:rsidR="00E969CD" w:rsidRPr="003559BA" w:rsidTr="00E969CD">
        <w:tc>
          <w:tcPr>
            <w:tcW w:w="1440" w:type="dxa"/>
            <w:tcBorders>
              <w:top w:val="single" w:sz="2" w:space="0" w:color="auto"/>
              <w:bottom w:val="single" w:sz="2" w:space="0" w:color="auto"/>
              <w:right w:val="single" w:sz="12" w:space="0" w:color="auto"/>
            </w:tcBorders>
            <w:shd w:val="clear" w:color="auto" w:fill="B8CCE4" w:themeFill="accent1" w:themeFillTint="66"/>
          </w:tcPr>
          <w:p w:rsidR="00E969CD" w:rsidRPr="003559BA" w:rsidRDefault="00E969CD" w:rsidP="00E969CD">
            <w:pPr>
              <w:spacing w:after="0" w:line="240" w:lineRule="auto"/>
              <w:ind w:firstLine="0"/>
              <w:jc w:val="center"/>
              <w:rPr>
                <w:b/>
                <w:i/>
                <w:sz w:val="20"/>
              </w:rPr>
            </w:pPr>
            <w:r w:rsidRPr="003559BA">
              <w:rPr>
                <w:b/>
                <w:i/>
                <w:sz w:val="20"/>
              </w:rPr>
              <w:t>a</w:t>
            </w:r>
            <w:r w:rsidRPr="003559BA">
              <w:rPr>
                <w:b/>
                <w:i/>
                <w:sz w:val="20"/>
                <w:vertAlign w:val="subscript"/>
              </w:rPr>
              <w:t>7</w:t>
            </w:r>
          </w:p>
        </w:tc>
        <w:tc>
          <w:tcPr>
            <w:tcW w:w="2664" w:type="dxa"/>
            <w:tcBorders>
              <w:top w:val="single" w:sz="2" w:space="0" w:color="auto"/>
              <w:left w:val="single" w:sz="12" w:space="0" w:color="auto"/>
              <w:bottom w:val="single" w:sz="2" w:space="0" w:color="auto"/>
              <w:right w:val="single" w:sz="12" w:space="0" w:color="auto"/>
            </w:tcBorders>
            <w:shd w:val="clear" w:color="auto" w:fill="B8CCE4" w:themeFill="accent1" w:themeFillTint="66"/>
          </w:tcPr>
          <w:p w:rsidR="00E969CD" w:rsidRPr="003559BA" w:rsidRDefault="00E969CD" w:rsidP="00E969CD">
            <w:pPr>
              <w:spacing w:after="0" w:line="240" w:lineRule="auto"/>
              <w:ind w:firstLine="0"/>
              <w:jc w:val="center"/>
              <w:rPr>
                <w:sz w:val="20"/>
              </w:rPr>
            </w:pPr>
            <w:r w:rsidRPr="003559BA">
              <w:rPr>
                <w:sz w:val="20"/>
              </w:rPr>
              <w:t>1; 1; 2; 2; 2; 2; 3; 1; 2; 3</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2</w:t>
            </w:r>
          </w:p>
        </w:tc>
        <w:tc>
          <w:tcPr>
            <w:tcW w:w="547" w:type="dxa"/>
            <w:tcBorders>
              <w:top w:val="single" w:sz="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0070C0"/>
                <w:sz w:val="20"/>
              </w:rPr>
            </w:pPr>
            <w:r w:rsidRPr="003559BA">
              <w:rPr>
                <w:b/>
                <w:color w:val="0070C0"/>
                <w:sz w:val="20"/>
              </w:rPr>
              <w:t>1,5</w:t>
            </w:r>
          </w:p>
        </w:tc>
        <w:tc>
          <w:tcPr>
            <w:tcW w:w="1440" w:type="dxa"/>
            <w:tcBorders>
              <w:right w:val="single" w:sz="12" w:space="0" w:color="auto"/>
            </w:tcBorders>
            <w:shd w:val="clear" w:color="auto" w:fill="CCC0D9" w:themeFill="accent4" w:themeFillTint="66"/>
          </w:tcPr>
          <w:p w:rsidR="00E969CD" w:rsidRPr="003559BA" w:rsidRDefault="00E969CD" w:rsidP="00E969CD">
            <w:pPr>
              <w:spacing w:after="0" w:line="240" w:lineRule="auto"/>
              <w:ind w:firstLine="0"/>
              <w:jc w:val="center"/>
              <w:rPr>
                <w:b/>
                <w:i/>
                <w:sz w:val="20"/>
              </w:rPr>
            </w:pPr>
            <w:r w:rsidRPr="003559BA">
              <w:rPr>
                <w:b/>
                <w:i/>
                <w:sz w:val="20"/>
              </w:rPr>
              <w:t>b</w:t>
            </w:r>
            <w:r w:rsidRPr="003559BA">
              <w:rPr>
                <w:b/>
                <w:i/>
                <w:sz w:val="20"/>
                <w:vertAlign w:val="subscript"/>
              </w:rPr>
              <w:t>7</w:t>
            </w:r>
          </w:p>
        </w:tc>
        <w:tc>
          <w:tcPr>
            <w:tcW w:w="2664" w:type="dxa"/>
            <w:tcBorders>
              <w:left w:val="single" w:sz="12" w:space="0" w:color="auto"/>
              <w:right w:val="single" w:sz="12" w:space="0" w:color="auto"/>
            </w:tcBorders>
            <w:shd w:val="clear" w:color="auto" w:fill="CCC0D9" w:themeFill="accent4" w:themeFillTint="66"/>
          </w:tcPr>
          <w:p w:rsidR="00E969CD" w:rsidRPr="003559BA" w:rsidRDefault="00E969CD" w:rsidP="00E969CD">
            <w:pPr>
              <w:spacing w:after="0" w:line="240" w:lineRule="auto"/>
              <w:ind w:firstLine="0"/>
              <w:jc w:val="center"/>
              <w:rPr>
                <w:sz w:val="20"/>
              </w:rPr>
            </w:pPr>
            <w:r w:rsidRPr="003559BA">
              <w:rPr>
                <w:sz w:val="20"/>
              </w:rPr>
              <w:t>3; 2; 1; 3; 3; 3; 1; 3; 3; 2</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3</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8C3A8E"/>
                <w:sz w:val="20"/>
              </w:rPr>
            </w:pPr>
            <w:r w:rsidRPr="003559BA">
              <w:rPr>
                <w:b/>
                <w:color w:val="8C3A8E"/>
                <w:sz w:val="20"/>
              </w:rPr>
              <w:t>1,0</w:t>
            </w:r>
          </w:p>
        </w:tc>
      </w:tr>
      <w:tr w:rsidR="00E969CD" w:rsidRPr="003559BA" w:rsidTr="00E969CD">
        <w:tc>
          <w:tcPr>
            <w:tcW w:w="1440" w:type="dxa"/>
            <w:tcBorders>
              <w:top w:val="single" w:sz="2" w:space="0" w:color="auto"/>
              <w:bottom w:val="single" w:sz="2" w:space="0" w:color="auto"/>
              <w:right w:val="single" w:sz="12" w:space="0" w:color="auto"/>
            </w:tcBorders>
            <w:shd w:val="clear" w:color="auto" w:fill="B8CCE4" w:themeFill="accent1" w:themeFillTint="66"/>
          </w:tcPr>
          <w:p w:rsidR="00E969CD" w:rsidRPr="003559BA" w:rsidRDefault="00E969CD" w:rsidP="00E969CD">
            <w:pPr>
              <w:spacing w:after="0" w:line="240" w:lineRule="auto"/>
              <w:ind w:firstLine="0"/>
              <w:jc w:val="center"/>
              <w:rPr>
                <w:b/>
                <w:i/>
                <w:sz w:val="20"/>
              </w:rPr>
            </w:pPr>
            <w:r w:rsidRPr="003559BA">
              <w:rPr>
                <w:b/>
                <w:i/>
                <w:sz w:val="20"/>
              </w:rPr>
              <w:t>a</w:t>
            </w:r>
            <w:r w:rsidRPr="003559BA">
              <w:rPr>
                <w:b/>
                <w:i/>
                <w:sz w:val="20"/>
                <w:vertAlign w:val="subscript"/>
              </w:rPr>
              <w:t>8</w:t>
            </w:r>
          </w:p>
        </w:tc>
        <w:tc>
          <w:tcPr>
            <w:tcW w:w="2664" w:type="dxa"/>
            <w:tcBorders>
              <w:top w:val="single" w:sz="2" w:space="0" w:color="auto"/>
              <w:left w:val="single" w:sz="12" w:space="0" w:color="auto"/>
              <w:bottom w:val="single" w:sz="2" w:space="0" w:color="auto"/>
              <w:right w:val="single" w:sz="12" w:space="0" w:color="auto"/>
            </w:tcBorders>
            <w:shd w:val="clear" w:color="auto" w:fill="B8CCE4" w:themeFill="accent1" w:themeFillTint="66"/>
          </w:tcPr>
          <w:p w:rsidR="00E969CD" w:rsidRPr="003559BA" w:rsidRDefault="00E969CD" w:rsidP="00E969CD">
            <w:pPr>
              <w:spacing w:after="0" w:line="240" w:lineRule="auto"/>
              <w:ind w:firstLine="0"/>
              <w:jc w:val="center"/>
              <w:rPr>
                <w:sz w:val="20"/>
              </w:rPr>
            </w:pPr>
            <w:r w:rsidRPr="003559BA">
              <w:rPr>
                <w:sz w:val="20"/>
              </w:rPr>
              <w:t>3; 1; 3; 2; 2; 3; 3; 1; 3; 1</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3</w:t>
            </w:r>
          </w:p>
        </w:tc>
        <w:tc>
          <w:tcPr>
            <w:tcW w:w="547" w:type="dxa"/>
            <w:tcBorders>
              <w:top w:val="single" w:sz="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0070C0"/>
                <w:sz w:val="20"/>
              </w:rPr>
            </w:pPr>
            <w:r w:rsidRPr="003559BA">
              <w:rPr>
                <w:b/>
                <w:color w:val="0070C0"/>
                <w:sz w:val="20"/>
              </w:rPr>
              <w:t>1,0</w:t>
            </w:r>
          </w:p>
        </w:tc>
        <w:tc>
          <w:tcPr>
            <w:tcW w:w="1440" w:type="dxa"/>
            <w:tcBorders>
              <w:right w:val="single" w:sz="12" w:space="0" w:color="auto"/>
            </w:tcBorders>
            <w:shd w:val="clear" w:color="auto" w:fill="CCC0D9" w:themeFill="accent4" w:themeFillTint="66"/>
          </w:tcPr>
          <w:p w:rsidR="00E969CD" w:rsidRPr="003559BA" w:rsidRDefault="00E969CD" w:rsidP="00E969CD">
            <w:pPr>
              <w:spacing w:after="0" w:line="240" w:lineRule="auto"/>
              <w:ind w:firstLine="0"/>
              <w:rPr>
                <w:sz w:val="20"/>
              </w:rPr>
            </w:pPr>
          </w:p>
        </w:tc>
        <w:tc>
          <w:tcPr>
            <w:tcW w:w="2664" w:type="dxa"/>
            <w:tcBorders>
              <w:left w:val="single" w:sz="12" w:space="0" w:color="auto"/>
              <w:right w:val="single" w:sz="12" w:space="0" w:color="auto"/>
            </w:tcBorders>
            <w:shd w:val="clear" w:color="auto" w:fill="CCC0D9" w:themeFill="accent4" w:themeFillTint="66"/>
          </w:tcPr>
          <w:p w:rsidR="00E969CD" w:rsidRPr="003559BA" w:rsidRDefault="00E969CD" w:rsidP="00E969CD">
            <w:pPr>
              <w:spacing w:after="0" w:line="240" w:lineRule="auto"/>
              <w:ind w:firstLine="0"/>
              <w:jc w:val="center"/>
              <w:rPr>
                <w:sz w:val="20"/>
              </w:rPr>
            </w:pP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sz w:val="20"/>
              </w:rPr>
            </w:pP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sz w:val="20"/>
              </w:rPr>
            </w:pPr>
          </w:p>
        </w:tc>
      </w:tr>
      <w:tr w:rsidR="00E969CD" w:rsidRPr="003559BA" w:rsidTr="00E969CD">
        <w:tc>
          <w:tcPr>
            <w:tcW w:w="1440" w:type="dxa"/>
            <w:tcBorders>
              <w:top w:val="single" w:sz="2" w:space="0" w:color="auto"/>
              <w:bottom w:val="single" w:sz="12" w:space="0" w:color="auto"/>
              <w:right w:val="single" w:sz="12" w:space="0" w:color="auto"/>
            </w:tcBorders>
            <w:shd w:val="clear" w:color="auto" w:fill="B8CCE4" w:themeFill="accent1" w:themeFillTint="66"/>
          </w:tcPr>
          <w:p w:rsidR="00E969CD" w:rsidRPr="003559BA" w:rsidRDefault="00E969CD" w:rsidP="00E969CD">
            <w:pPr>
              <w:spacing w:after="0" w:line="240" w:lineRule="auto"/>
              <w:ind w:firstLine="0"/>
              <w:jc w:val="center"/>
              <w:rPr>
                <w:b/>
                <w:i/>
                <w:sz w:val="20"/>
              </w:rPr>
            </w:pPr>
            <w:r w:rsidRPr="003559BA">
              <w:rPr>
                <w:b/>
                <w:i/>
                <w:sz w:val="20"/>
              </w:rPr>
              <w:t>a</w:t>
            </w:r>
            <w:r w:rsidRPr="003559BA">
              <w:rPr>
                <w:b/>
                <w:i/>
                <w:sz w:val="20"/>
                <w:vertAlign w:val="subscript"/>
              </w:rPr>
              <w:t>9</w:t>
            </w:r>
          </w:p>
        </w:tc>
        <w:tc>
          <w:tcPr>
            <w:tcW w:w="2664" w:type="dxa"/>
            <w:tcBorders>
              <w:top w:val="single" w:sz="2" w:space="0" w:color="auto"/>
              <w:left w:val="single" w:sz="12" w:space="0" w:color="auto"/>
              <w:bottom w:val="single" w:sz="12" w:space="0" w:color="auto"/>
              <w:right w:val="single" w:sz="12" w:space="0" w:color="auto"/>
            </w:tcBorders>
            <w:shd w:val="clear" w:color="auto" w:fill="B8CCE4" w:themeFill="accent1" w:themeFillTint="66"/>
          </w:tcPr>
          <w:p w:rsidR="00E969CD" w:rsidRPr="003559BA" w:rsidRDefault="00E969CD" w:rsidP="00E969CD">
            <w:pPr>
              <w:spacing w:after="0" w:line="240" w:lineRule="auto"/>
              <w:ind w:firstLine="0"/>
              <w:jc w:val="center"/>
              <w:rPr>
                <w:sz w:val="20"/>
              </w:rPr>
            </w:pPr>
            <w:r w:rsidRPr="003559BA">
              <w:rPr>
                <w:sz w:val="20"/>
              </w:rPr>
              <w:t>1; 2; 1; 3; 2; 3; 3; 2; 2; 2</w:t>
            </w:r>
          </w:p>
        </w:tc>
        <w:tc>
          <w:tcPr>
            <w:tcW w:w="547" w:type="dxa"/>
            <w:tcBorders>
              <w:top w:val="single" w:sz="2" w:space="0" w:color="auto"/>
              <w:left w:val="single" w:sz="12" w:space="0" w:color="auto"/>
              <w:bottom w:val="single" w:sz="1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2</w:t>
            </w:r>
          </w:p>
        </w:tc>
        <w:tc>
          <w:tcPr>
            <w:tcW w:w="547" w:type="dxa"/>
            <w:tcBorders>
              <w:top w:val="single" w:sz="2" w:space="0" w:color="auto"/>
              <w:bottom w:val="single" w:sz="1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0070C0"/>
                <w:sz w:val="20"/>
              </w:rPr>
            </w:pPr>
            <w:r w:rsidRPr="003559BA">
              <w:rPr>
                <w:b/>
                <w:color w:val="0070C0"/>
                <w:sz w:val="20"/>
              </w:rPr>
              <w:t>1,5</w:t>
            </w:r>
          </w:p>
        </w:tc>
        <w:tc>
          <w:tcPr>
            <w:tcW w:w="1440" w:type="dxa"/>
            <w:tcBorders>
              <w:bottom w:val="single" w:sz="12" w:space="0" w:color="auto"/>
              <w:right w:val="single" w:sz="12" w:space="0" w:color="auto"/>
            </w:tcBorders>
            <w:shd w:val="clear" w:color="auto" w:fill="CCC0D9" w:themeFill="accent4" w:themeFillTint="66"/>
          </w:tcPr>
          <w:p w:rsidR="00E969CD" w:rsidRPr="003559BA" w:rsidRDefault="00E969CD" w:rsidP="00E969CD">
            <w:pPr>
              <w:spacing w:after="0" w:line="240" w:lineRule="auto"/>
              <w:ind w:firstLine="0"/>
              <w:rPr>
                <w:sz w:val="20"/>
              </w:rPr>
            </w:pPr>
          </w:p>
        </w:tc>
        <w:tc>
          <w:tcPr>
            <w:tcW w:w="2664" w:type="dxa"/>
            <w:tcBorders>
              <w:left w:val="single" w:sz="12" w:space="0" w:color="auto"/>
              <w:bottom w:val="single" w:sz="12" w:space="0" w:color="auto"/>
              <w:right w:val="single" w:sz="12" w:space="0" w:color="auto"/>
            </w:tcBorders>
            <w:shd w:val="clear" w:color="auto" w:fill="CCC0D9" w:themeFill="accent4" w:themeFillTint="66"/>
          </w:tcPr>
          <w:p w:rsidR="00E969CD" w:rsidRPr="003559BA" w:rsidRDefault="00E969CD" w:rsidP="00E969CD">
            <w:pPr>
              <w:spacing w:after="0" w:line="240" w:lineRule="auto"/>
              <w:ind w:firstLine="0"/>
              <w:jc w:val="center"/>
              <w:rPr>
                <w:sz w:val="20"/>
              </w:rPr>
            </w:pPr>
          </w:p>
        </w:tc>
        <w:tc>
          <w:tcPr>
            <w:tcW w:w="547" w:type="dxa"/>
            <w:tcBorders>
              <w:top w:val="single" w:sz="2" w:space="0" w:color="auto"/>
              <w:left w:val="single" w:sz="12" w:space="0" w:color="auto"/>
              <w:bottom w:val="single" w:sz="12" w:space="0" w:color="auto"/>
            </w:tcBorders>
            <w:shd w:val="clear" w:color="auto" w:fill="D9D9D9" w:themeFill="background1" w:themeFillShade="D9"/>
          </w:tcPr>
          <w:p w:rsidR="00E969CD" w:rsidRPr="003559BA" w:rsidRDefault="00E969CD" w:rsidP="00E969CD">
            <w:pPr>
              <w:spacing w:after="0" w:line="240" w:lineRule="auto"/>
              <w:ind w:firstLine="0"/>
              <w:jc w:val="center"/>
              <w:rPr>
                <w:sz w:val="20"/>
              </w:rPr>
            </w:pPr>
          </w:p>
        </w:tc>
        <w:tc>
          <w:tcPr>
            <w:tcW w:w="547" w:type="dxa"/>
            <w:tcBorders>
              <w:top w:val="single" w:sz="2" w:space="0" w:color="auto"/>
              <w:left w:val="single" w:sz="12" w:space="0" w:color="auto"/>
              <w:bottom w:val="single" w:sz="12" w:space="0" w:color="auto"/>
            </w:tcBorders>
            <w:shd w:val="clear" w:color="auto" w:fill="D9D9D9" w:themeFill="background1" w:themeFillShade="D9"/>
          </w:tcPr>
          <w:p w:rsidR="00E969CD" w:rsidRPr="003559BA" w:rsidRDefault="00E969CD" w:rsidP="00E969CD">
            <w:pPr>
              <w:spacing w:after="0" w:line="240" w:lineRule="auto"/>
              <w:ind w:firstLine="0"/>
              <w:jc w:val="center"/>
              <w:rPr>
                <w:sz w:val="20"/>
              </w:rPr>
            </w:pPr>
          </w:p>
        </w:tc>
      </w:tr>
    </w:tbl>
    <w:p w:rsidR="00E969CD" w:rsidRPr="00C60018" w:rsidRDefault="00E969CD" w:rsidP="00E969CD">
      <w:pPr>
        <w:rPr>
          <w:sz w:val="20"/>
        </w:rPr>
      </w:pPr>
      <w:r w:rsidRPr="00C60018">
        <w:rPr>
          <w:b/>
          <w:sz w:val="20"/>
        </w:rPr>
        <w:t>Šaltinis</w:t>
      </w:r>
      <w:r w:rsidRPr="00C60018">
        <w:rPr>
          <w:sz w:val="20"/>
        </w:rPr>
        <w:t>: sudaryta šio darbo autorės</w:t>
      </w:r>
      <w:r>
        <w:rPr>
          <w:sz w:val="20"/>
        </w:rPr>
        <w:t>, remiantis ekspertų vertinimais</w:t>
      </w:r>
    </w:p>
    <w:p w:rsidR="00E969CD" w:rsidRDefault="00E969CD" w:rsidP="00E969CD">
      <w:r>
        <w:t xml:space="preserve">Vertindami </w:t>
      </w:r>
      <w:r w:rsidRPr="00C90C4C">
        <w:t>veiksniu</w:t>
      </w:r>
      <w:r>
        <w:t xml:space="preserve">s, kurių pasireiškimas nuo individų </w:t>
      </w:r>
      <w:r w:rsidRPr="00C90C4C">
        <w:t>valios nepriklauso</w:t>
      </w:r>
      <w:r>
        <w:t xml:space="preserve"> – </w:t>
      </w:r>
      <w:r w:rsidRPr="00E62A23">
        <w:rPr>
          <w:b/>
          <w:i/>
        </w:rPr>
        <w:t>išorinius veiksnius</w:t>
      </w:r>
      <w:r w:rsidRPr="00E17B43">
        <w:t>,</w:t>
      </w:r>
      <w:r>
        <w:t xml:space="preserve"> –</w:t>
      </w:r>
      <w:r w:rsidRPr="00C90C4C">
        <w:t xml:space="preserve">ekspertai jiems priskyrė didesnius </w:t>
      </w:r>
      <w:r w:rsidRPr="00D36329">
        <w:t xml:space="preserve">svorius </w:t>
      </w:r>
      <w:r>
        <w:t>(žr. 3</w:t>
      </w:r>
      <w:r w:rsidRPr="00D36329">
        <w:t> lent.)</w:t>
      </w:r>
      <w:r>
        <w:t xml:space="preserve"> negu</w:t>
      </w:r>
      <w:r w:rsidRPr="00C90C4C">
        <w:t xml:space="preserve"> vidiniams veiksniams, kurie gali būti valdomi pačių individų</w:t>
      </w:r>
      <w:r>
        <w:t>,</w:t>
      </w:r>
      <w:r w:rsidRPr="00C90C4C">
        <w:t xml:space="preserve"> – tai leidžia daryti </w:t>
      </w:r>
      <w:r>
        <w:t>išva</w:t>
      </w:r>
      <w:r w:rsidRPr="00C90C4C">
        <w:t>dą, jog didesn</w:t>
      </w:r>
      <w:r>
        <w:t xml:space="preserve">į pavojų įplaukų formavimo (iš valstybės lėšų) srityje kelia tie veiksniai, kurie yra neigiami patys savaime, pavyzdžiui, </w:t>
      </w:r>
      <w:r w:rsidRPr="007E30CA">
        <w:rPr>
          <w:i/>
        </w:rPr>
        <w:t>neigiami pokyčiai darbo rinkoje</w:t>
      </w:r>
      <w:r>
        <w:rPr>
          <w:i/>
        </w:rPr>
        <w:t xml:space="preserve"> (c</w:t>
      </w:r>
      <w:r>
        <w:rPr>
          <w:i/>
          <w:vertAlign w:val="subscript"/>
        </w:rPr>
        <w:t>1</w:t>
      </w:r>
      <w:r>
        <w:rPr>
          <w:i/>
        </w:rPr>
        <w:t>)</w:t>
      </w:r>
      <w:r>
        <w:t xml:space="preserve"> ar </w:t>
      </w:r>
      <w:r w:rsidRPr="00E87454">
        <w:rPr>
          <w:i/>
        </w:rPr>
        <w:t>įstatymų spragos</w:t>
      </w:r>
      <w:r>
        <w:rPr>
          <w:i/>
        </w:rPr>
        <w:t xml:space="preserve"> (d</w:t>
      </w:r>
      <w:r>
        <w:rPr>
          <w:i/>
          <w:vertAlign w:val="subscript"/>
        </w:rPr>
        <w:t>2</w:t>
      </w:r>
      <w:r>
        <w:rPr>
          <w:i/>
        </w:rPr>
        <w:t>)</w:t>
      </w:r>
      <w:r>
        <w:t>. Dėl šios priežasties tokiems, t. y. svaresniems, veiksniams buvo suteiktas didesnis, t. y. (2,0) koeficientas, o visiems kitiems veiksniams – vidutinę įtaką atspindintis, t. y. (1,5) koeficientas.</w:t>
      </w:r>
    </w:p>
    <w:p w:rsidR="00E969CD" w:rsidRDefault="00E969CD" w:rsidP="00E969CD">
      <w:pPr>
        <w:pStyle w:val="Caption"/>
      </w:pPr>
      <w:r w:rsidRPr="00B449A0">
        <w:t>2 lentelė.</w:t>
      </w:r>
      <w:r>
        <w:t xml:space="preserve"> </w:t>
      </w:r>
      <w:r w:rsidRPr="00486D34">
        <w:t>Išorinių veiksnių</w:t>
      </w:r>
      <w:r>
        <w:t xml:space="preserve"> svoriai (</w:t>
      </w:r>
      <w:r w:rsidRPr="004B578C">
        <w:rPr>
          <w:i/>
        </w:rPr>
        <w:t>Mo</w:t>
      </w:r>
      <w:r>
        <w:t>)</w:t>
      </w:r>
      <w:r w:rsidRPr="00486D34">
        <w:t xml:space="preserve"> reikšmingumo koeficientai (</w:t>
      </w:r>
      <w:r w:rsidRPr="004B578C">
        <w:rPr>
          <w:i/>
        </w:rPr>
        <w:t>K</w:t>
      </w:r>
      <w:r w:rsidRPr="00486D34">
        <w:t>)</w:t>
      </w:r>
    </w:p>
    <w:tbl>
      <w:tblPr>
        <w:tblStyle w:val="TableGrid"/>
        <w:tblW w:w="10396"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tblPr>
      <w:tblGrid>
        <w:gridCol w:w="1440"/>
        <w:gridCol w:w="2664"/>
        <w:gridCol w:w="547"/>
        <w:gridCol w:w="547"/>
        <w:gridCol w:w="1440"/>
        <w:gridCol w:w="2664"/>
        <w:gridCol w:w="547"/>
        <w:gridCol w:w="547"/>
      </w:tblGrid>
      <w:tr w:rsidR="00E969CD" w:rsidRPr="003559BA" w:rsidTr="00E969CD">
        <w:tc>
          <w:tcPr>
            <w:tcW w:w="10396" w:type="dxa"/>
            <w:gridSpan w:val="8"/>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3559BA" w:rsidRDefault="00E969CD" w:rsidP="00E969CD">
            <w:pPr>
              <w:spacing w:after="0" w:line="240" w:lineRule="auto"/>
              <w:ind w:firstLine="0"/>
              <w:jc w:val="center"/>
              <w:rPr>
                <w:b/>
                <w:sz w:val="20"/>
              </w:rPr>
            </w:pPr>
            <w:r w:rsidRPr="003559BA">
              <w:rPr>
                <w:b/>
                <w:sz w:val="20"/>
              </w:rPr>
              <w:t>IŠORINIAI VEIKSNIAI</w:t>
            </w:r>
          </w:p>
        </w:tc>
      </w:tr>
      <w:tr w:rsidR="00E969CD" w:rsidRPr="003559BA" w:rsidTr="00E969CD">
        <w:tc>
          <w:tcPr>
            <w:tcW w:w="14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969CD" w:rsidRPr="003559BA" w:rsidRDefault="00E969CD" w:rsidP="00E969CD">
            <w:pPr>
              <w:spacing w:after="0" w:line="240" w:lineRule="auto"/>
              <w:ind w:firstLine="0"/>
              <w:jc w:val="center"/>
              <w:rPr>
                <w:b/>
                <w:i/>
                <w:sz w:val="20"/>
              </w:rPr>
            </w:pPr>
            <w:r w:rsidRPr="003559BA">
              <w:rPr>
                <w:b/>
                <w:i/>
                <w:sz w:val="20"/>
              </w:rPr>
              <w:t>- C -</w:t>
            </w:r>
          </w:p>
        </w:tc>
        <w:tc>
          <w:tcPr>
            <w:tcW w:w="266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969CD" w:rsidRPr="003559BA" w:rsidRDefault="00E969CD" w:rsidP="00E969CD">
            <w:pPr>
              <w:spacing w:after="0" w:line="240" w:lineRule="auto"/>
              <w:ind w:firstLine="0"/>
              <w:jc w:val="center"/>
              <w:rPr>
                <w:b/>
                <w:i/>
                <w:sz w:val="20"/>
              </w:rPr>
            </w:pPr>
            <w:r w:rsidRPr="003559BA">
              <w:rPr>
                <w:b/>
                <w:i/>
                <w:sz w:val="20"/>
              </w:rPr>
              <w:t>Ekspertų vertinimai</w:t>
            </w:r>
          </w:p>
        </w:tc>
        <w:tc>
          <w:tcPr>
            <w:tcW w:w="54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969CD" w:rsidRPr="003559BA" w:rsidRDefault="00E969CD" w:rsidP="00E969CD">
            <w:pPr>
              <w:spacing w:after="0" w:line="240" w:lineRule="auto"/>
              <w:ind w:firstLine="0"/>
              <w:jc w:val="center"/>
              <w:rPr>
                <w:b/>
                <w:i/>
                <w:sz w:val="20"/>
              </w:rPr>
            </w:pPr>
            <w:proofErr w:type="spellStart"/>
            <w:r w:rsidRPr="003559BA">
              <w:rPr>
                <w:b/>
                <w:i/>
                <w:sz w:val="20"/>
              </w:rPr>
              <w:t>Mo</w:t>
            </w:r>
            <w:proofErr w:type="spellEnd"/>
          </w:p>
        </w:tc>
        <w:tc>
          <w:tcPr>
            <w:tcW w:w="54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969CD" w:rsidRPr="003559BA" w:rsidRDefault="00E969CD" w:rsidP="00E969CD">
            <w:pPr>
              <w:spacing w:after="0" w:line="240" w:lineRule="auto"/>
              <w:ind w:firstLine="0"/>
              <w:jc w:val="center"/>
              <w:rPr>
                <w:b/>
                <w:i/>
                <w:sz w:val="20"/>
              </w:rPr>
            </w:pPr>
            <w:r w:rsidRPr="003559BA">
              <w:rPr>
                <w:b/>
                <w:i/>
                <w:sz w:val="20"/>
              </w:rPr>
              <w:t>K</w:t>
            </w:r>
          </w:p>
        </w:tc>
        <w:tc>
          <w:tcPr>
            <w:tcW w:w="14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969CD" w:rsidRPr="003559BA" w:rsidRDefault="00E969CD" w:rsidP="00E969CD">
            <w:pPr>
              <w:spacing w:after="0" w:line="240" w:lineRule="auto"/>
              <w:ind w:firstLine="0"/>
              <w:jc w:val="center"/>
              <w:rPr>
                <w:b/>
                <w:i/>
                <w:sz w:val="20"/>
              </w:rPr>
            </w:pPr>
            <w:r w:rsidRPr="003559BA">
              <w:rPr>
                <w:b/>
                <w:i/>
                <w:sz w:val="20"/>
              </w:rPr>
              <w:t>- D -</w:t>
            </w:r>
          </w:p>
        </w:tc>
        <w:tc>
          <w:tcPr>
            <w:tcW w:w="266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969CD" w:rsidRPr="003559BA" w:rsidRDefault="00E969CD" w:rsidP="00E969CD">
            <w:pPr>
              <w:spacing w:after="0" w:line="240" w:lineRule="auto"/>
              <w:ind w:firstLine="0"/>
              <w:jc w:val="center"/>
              <w:rPr>
                <w:b/>
                <w:i/>
                <w:sz w:val="20"/>
              </w:rPr>
            </w:pPr>
            <w:r w:rsidRPr="003559BA">
              <w:rPr>
                <w:b/>
                <w:i/>
                <w:sz w:val="20"/>
              </w:rPr>
              <w:t>Ekspertų vertinimai</w:t>
            </w:r>
          </w:p>
        </w:tc>
        <w:tc>
          <w:tcPr>
            <w:tcW w:w="547"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3559BA" w:rsidRDefault="00E969CD" w:rsidP="00E969CD">
            <w:pPr>
              <w:spacing w:after="0" w:line="240" w:lineRule="auto"/>
              <w:ind w:firstLine="0"/>
              <w:jc w:val="center"/>
              <w:rPr>
                <w:b/>
                <w:i/>
                <w:sz w:val="20"/>
              </w:rPr>
            </w:pPr>
            <w:proofErr w:type="spellStart"/>
            <w:r w:rsidRPr="003559BA">
              <w:rPr>
                <w:b/>
                <w:i/>
                <w:sz w:val="20"/>
              </w:rPr>
              <w:t>Mo</w:t>
            </w:r>
            <w:proofErr w:type="spellEnd"/>
          </w:p>
        </w:tc>
        <w:tc>
          <w:tcPr>
            <w:tcW w:w="547" w:type="dxa"/>
            <w:tcBorders>
              <w:top w:val="single" w:sz="12" w:space="0" w:color="auto"/>
              <w:left w:val="single" w:sz="12" w:space="0" w:color="auto"/>
              <w:bottom w:val="single" w:sz="12" w:space="0" w:color="auto"/>
            </w:tcBorders>
            <w:shd w:val="clear" w:color="auto" w:fill="D9D9D9" w:themeFill="background1" w:themeFillShade="D9"/>
          </w:tcPr>
          <w:p w:rsidR="00E969CD" w:rsidRPr="003559BA" w:rsidRDefault="00E969CD" w:rsidP="00E969CD">
            <w:pPr>
              <w:spacing w:after="0" w:line="240" w:lineRule="auto"/>
              <w:ind w:firstLine="0"/>
              <w:jc w:val="center"/>
              <w:rPr>
                <w:b/>
                <w:i/>
                <w:sz w:val="20"/>
              </w:rPr>
            </w:pPr>
            <w:r w:rsidRPr="003559BA">
              <w:rPr>
                <w:b/>
                <w:i/>
                <w:sz w:val="20"/>
              </w:rPr>
              <w:t>K</w:t>
            </w:r>
          </w:p>
        </w:tc>
      </w:tr>
      <w:tr w:rsidR="00E969CD" w:rsidRPr="003559BA" w:rsidTr="00E969CD">
        <w:tc>
          <w:tcPr>
            <w:tcW w:w="1440" w:type="dxa"/>
            <w:tcBorders>
              <w:top w:val="single" w:sz="12" w:space="0" w:color="auto"/>
              <w:bottom w:val="single" w:sz="2" w:space="0" w:color="auto"/>
              <w:right w:val="single" w:sz="12" w:space="0" w:color="auto"/>
            </w:tcBorders>
            <w:shd w:val="clear" w:color="auto" w:fill="E5B8B7" w:themeFill="accent2" w:themeFillTint="66"/>
          </w:tcPr>
          <w:p w:rsidR="00E969CD" w:rsidRPr="003559BA" w:rsidRDefault="00E969CD" w:rsidP="00E969CD">
            <w:pPr>
              <w:spacing w:after="0" w:line="240" w:lineRule="auto"/>
              <w:ind w:firstLine="0"/>
              <w:jc w:val="center"/>
              <w:rPr>
                <w:b/>
                <w:i/>
                <w:sz w:val="20"/>
              </w:rPr>
            </w:pPr>
            <w:r w:rsidRPr="003559BA">
              <w:rPr>
                <w:b/>
                <w:i/>
                <w:sz w:val="20"/>
              </w:rPr>
              <w:t>c</w:t>
            </w:r>
            <w:r w:rsidRPr="003559BA">
              <w:rPr>
                <w:b/>
                <w:i/>
                <w:sz w:val="20"/>
                <w:vertAlign w:val="subscript"/>
              </w:rPr>
              <w:t>1</w:t>
            </w:r>
          </w:p>
        </w:tc>
        <w:tc>
          <w:tcPr>
            <w:tcW w:w="2664" w:type="dxa"/>
            <w:tcBorders>
              <w:top w:val="single" w:sz="12" w:space="0" w:color="auto"/>
              <w:left w:val="single" w:sz="12" w:space="0" w:color="auto"/>
              <w:bottom w:val="single" w:sz="2" w:space="0" w:color="auto"/>
              <w:right w:val="single" w:sz="12" w:space="0" w:color="auto"/>
            </w:tcBorders>
            <w:shd w:val="clear" w:color="auto" w:fill="E5B8B7" w:themeFill="accent2" w:themeFillTint="66"/>
          </w:tcPr>
          <w:p w:rsidR="00E969CD" w:rsidRPr="003559BA" w:rsidRDefault="00E969CD" w:rsidP="00E969CD">
            <w:pPr>
              <w:spacing w:after="0" w:line="240" w:lineRule="auto"/>
              <w:ind w:firstLine="0"/>
              <w:jc w:val="center"/>
              <w:rPr>
                <w:sz w:val="20"/>
              </w:rPr>
            </w:pPr>
            <w:r w:rsidRPr="003559BA">
              <w:rPr>
                <w:sz w:val="20"/>
              </w:rPr>
              <w:t xml:space="preserve">1; 3; 3; 1; 2; 1; 2; 2; 1; 1 </w:t>
            </w:r>
          </w:p>
        </w:tc>
        <w:tc>
          <w:tcPr>
            <w:tcW w:w="547" w:type="dxa"/>
            <w:tcBorders>
              <w:top w:val="single" w:sz="1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1</w:t>
            </w:r>
          </w:p>
        </w:tc>
        <w:tc>
          <w:tcPr>
            <w:tcW w:w="547" w:type="dxa"/>
            <w:tcBorders>
              <w:top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943634" w:themeColor="accent2" w:themeShade="BF"/>
                <w:sz w:val="20"/>
              </w:rPr>
            </w:pPr>
            <w:r w:rsidRPr="003559BA">
              <w:rPr>
                <w:b/>
                <w:color w:val="943634" w:themeColor="accent2" w:themeShade="BF"/>
                <w:sz w:val="20"/>
              </w:rPr>
              <w:t>2,0</w:t>
            </w:r>
          </w:p>
        </w:tc>
        <w:tc>
          <w:tcPr>
            <w:tcW w:w="1440" w:type="dxa"/>
            <w:tcBorders>
              <w:top w:val="single" w:sz="12" w:space="0" w:color="auto"/>
              <w:bottom w:val="single" w:sz="2" w:space="0" w:color="auto"/>
              <w:right w:val="single" w:sz="12" w:space="0" w:color="auto"/>
            </w:tcBorders>
            <w:shd w:val="clear" w:color="auto" w:fill="FBD4B4" w:themeFill="accent6" w:themeFillTint="66"/>
          </w:tcPr>
          <w:p w:rsidR="00E969CD" w:rsidRPr="003559BA" w:rsidRDefault="00E969CD" w:rsidP="00E969CD">
            <w:pPr>
              <w:spacing w:after="0" w:line="240" w:lineRule="auto"/>
              <w:ind w:firstLine="0"/>
              <w:jc w:val="center"/>
              <w:rPr>
                <w:b/>
                <w:i/>
                <w:sz w:val="20"/>
              </w:rPr>
            </w:pPr>
            <w:r w:rsidRPr="003559BA">
              <w:rPr>
                <w:b/>
                <w:i/>
                <w:sz w:val="20"/>
              </w:rPr>
              <w:t>d</w:t>
            </w:r>
            <w:r w:rsidRPr="003559BA">
              <w:rPr>
                <w:b/>
                <w:i/>
                <w:sz w:val="20"/>
                <w:vertAlign w:val="subscript"/>
              </w:rPr>
              <w:t>1</w:t>
            </w:r>
          </w:p>
        </w:tc>
        <w:tc>
          <w:tcPr>
            <w:tcW w:w="2664" w:type="dxa"/>
            <w:tcBorders>
              <w:top w:val="single" w:sz="12" w:space="0" w:color="auto"/>
              <w:left w:val="single" w:sz="12" w:space="0" w:color="auto"/>
              <w:bottom w:val="single" w:sz="2" w:space="0" w:color="auto"/>
              <w:right w:val="single" w:sz="12" w:space="0" w:color="auto"/>
            </w:tcBorders>
            <w:shd w:val="clear" w:color="auto" w:fill="FBD4B4" w:themeFill="accent6" w:themeFillTint="66"/>
          </w:tcPr>
          <w:p w:rsidR="00E969CD" w:rsidRPr="003559BA" w:rsidRDefault="00E969CD" w:rsidP="00E969CD">
            <w:pPr>
              <w:spacing w:after="0" w:line="240" w:lineRule="auto"/>
              <w:ind w:firstLine="0"/>
              <w:jc w:val="center"/>
              <w:rPr>
                <w:sz w:val="20"/>
              </w:rPr>
            </w:pPr>
            <w:r w:rsidRPr="003559BA">
              <w:rPr>
                <w:sz w:val="20"/>
              </w:rPr>
              <w:t>1; 1; 1; 1; 2; 1; 2; 1; 1; 2</w:t>
            </w:r>
          </w:p>
        </w:tc>
        <w:tc>
          <w:tcPr>
            <w:tcW w:w="547" w:type="dxa"/>
            <w:tcBorders>
              <w:top w:val="single" w:sz="1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1</w:t>
            </w:r>
          </w:p>
        </w:tc>
        <w:tc>
          <w:tcPr>
            <w:tcW w:w="547" w:type="dxa"/>
            <w:tcBorders>
              <w:top w:val="single" w:sz="1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E36C0A" w:themeColor="accent6" w:themeShade="BF"/>
                <w:sz w:val="20"/>
              </w:rPr>
            </w:pPr>
            <w:r w:rsidRPr="003559BA">
              <w:rPr>
                <w:b/>
                <w:color w:val="E36C0A" w:themeColor="accent6" w:themeShade="BF"/>
                <w:sz w:val="20"/>
              </w:rPr>
              <w:t>2,0</w:t>
            </w:r>
          </w:p>
        </w:tc>
      </w:tr>
      <w:tr w:rsidR="00E969CD" w:rsidRPr="003559BA" w:rsidTr="00E969CD">
        <w:tc>
          <w:tcPr>
            <w:tcW w:w="1440" w:type="dxa"/>
            <w:tcBorders>
              <w:top w:val="single" w:sz="2" w:space="0" w:color="auto"/>
              <w:bottom w:val="single" w:sz="2" w:space="0" w:color="auto"/>
              <w:right w:val="single" w:sz="12" w:space="0" w:color="auto"/>
            </w:tcBorders>
            <w:shd w:val="clear" w:color="auto" w:fill="E5B8B7" w:themeFill="accent2" w:themeFillTint="66"/>
          </w:tcPr>
          <w:p w:rsidR="00E969CD" w:rsidRPr="003559BA" w:rsidRDefault="00E969CD" w:rsidP="00E969CD">
            <w:pPr>
              <w:spacing w:after="0" w:line="240" w:lineRule="auto"/>
              <w:ind w:firstLine="0"/>
              <w:jc w:val="center"/>
              <w:rPr>
                <w:b/>
                <w:i/>
                <w:sz w:val="20"/>
              </w:rPr>
            </w:pPr>
            <w:r w:rsidRPr="003559BA">
              <w:rPr>
                <w:b/>
                <w:i/>
                <w:sz w:val="20"/>
              </w:rPr>
              <w:t>c</w:t>
            </w:r>
            <w:r w:rsidRPr="003559BA">
              <w:rPr>
                <w:b/>
                <w:i/>
                <w:sz w:val="20"/>
                <w:vertAlign w:val="subscript"/>
              </w:rPr>
              <w:t>2</w:t>
            </w:r>
          </w:p>
        </w:tc>
        <w:tc>
          <w:tcPr>
            <w:tcW w:w="266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E969CD" w:rsidRPr="003559BA" w:rsidRDefault="00E969CD" w:rsidP="00E969CD">
            <w:pPr>
              <w:spacing w:after="0" w:line="240" w:lineRule="auto"/>
              <w:ind w:firstLine="0"/>
              <w:jc w:val="center"/>
              <w:rPr>
                <w:sz w:val="20"/>
              </w:rPr>
            </w:pPr>
            <w:r w:rsidRPr="003559BA">
              <w:rPr>
                <w:sz w:val="20"/>
              </w:rPr>
              <w:t>2; 2; 2; 2; 2; 1; 1; 1; 1; 2</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2</w:t>
            </w:r>
          </w:p>
        </w:tc>
        <w:tc>
          <w:tcPr>
            <w:tcW w:w="547" w:type="dxa"/>
            <w:tcBorders>
              <w:top w:val="single" w:sz="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943634" w:themeColor="accent2" w:themeShade="BF"/>
                <w:sz w:val="20"/>
              </w:rPr>
            </w:pPr>
            <w:r w:rsidRPr="003559BA">
              <w:rPr>
                <w:b/>
                <w:color w:val="943634" w:themeColor="accent2" w:themeShade="BF"/>
                <w:sz w:val="20"/>
              </w:rPr>
              <w:t>1,5</w:t>
            </w:r>
          </w:p>
        </w:tc>
        <w:tc>
          <w:tcPr>
            <w:tcW w:w="1440" w:type="dxa"/>
            <w:tcBorders>
              <w:top w:val="single" w:sz="2" w:space="0" w:color="auto"/>
              <w:bottom w:val="single" w:sz="2" w:space="0" w:color="auto"/>
              <w:right w:val="single" w:sz="12" w:space="0" w:color="auto"/>
            </w:tcBorders>
            <w:shd w:val="clear" w:color="auto" w:fill="FBD4B4" w:themeFill="accent6" w:themeFillTint="66"/>
          </w:tcPr>
          <w:p w:rsidR="00E969CD" w:rsidRPr="003559BA" w:rsidRDefault="00E969CD" w:rsidP="00E969CD">
            <w:pPr>
              <w:spacing w:after="0" w:line="240" w:lineRule="auto"/>
              <w:ind w:firstLine="0"/>
              <w:jc w:val="center"/>
              <w:rPr>
                <w:b/>
                <w:i/>
                <w:sz w:val="20"/>
              </w:rPr>
            </w:pPr>
            <w:r w:rsidRPr="003559BA">
              <w:rPr>
                <w:b/>
                <w:i/>
                <w:sz w:val="20"/>
              </w:rPr>
              <w:t>d</w:t>
            </w:r>
            <w:r w:rsidRPr="003559BA">
              <w:rPr>
                <w:b/>
                <w:i/>
                <w:sz w:val="20"/>
                <w:vertAlign w:val="subscript"/>
              </w:rPr>
              <w:t>2</w:t>
            </w:r>
          </w:p>
        </w:tc>
        <w:tc>
          <w:tcPr>
            <w:tcW w:w="2664"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E969CD" w:rsidRPr="003559BA" w:rsidRDefault="00E969CD" w:rsidP="00E969CD">
            <w:pPr>
              <w:spacing w:after="0" w:line="240" w:lineRule="auto"/>
              <w:ind w:firstLine="0"/>
              <w:jc w:val="center"/>
              <w:rPr>
                <w:sz w:val="20"/>
              </w:rPr>
            </w:pPr>
            <w:r w:rsidRPr="003559BA">
              <w:rPr>
                <w:sz w:val="20"/>
              </w:rPr>
              <w:t>2; 1; 1; 3; 3; 1; 1; 2; 1; 1</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1</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E36C0A" w:themeColor="accent6" w:themeShade="BF"/>
                <w:sz w:val="20"/>
              </w:rPr>
            </w:pPr>
            <w:r w:rsidRPr="003559BA">
              <w:rPr>
                <w:b/>
                <w:color w:val="E36C0A" w:themeColor="accent6" w:themeShade="BF"/>
                <w:sz w:val="20"/>
              </w:rPr>
              <w:t>2,0</w:t>
            </w:r>
          </w:p>
        </w:tc>
      </w:tr>
      <w:tr w:rsidR="00E969CD" w:rsidRPr="003559BA" w:rsidTr="00E969CD">
        <w:tc>
          <w:tcPr>
            <w:tcW w:w="1440" w:type="dxa"/>
            <w:tcBorders>
              <w:top w:val="single" w:sz="2" w:space="0" w:color="auto"/>
              <w:bottom w:val="single" w:sz="2" w:space="0" w:color="auto"/>
              <w:right w:val="single" w:sz="12" w:space="0" w:color="auto"/>
            </w:tcBorders>
            <w:shd w:val="clear" w:color="auto" w:fill="E5B8B7" w:themeFill="accent2" w:themeFillTint="66"/>
          </w:tcPr>
          <w:p w:rsidR="00E969CD" w:rsidRPr="003559BA" w:rsidRDefault="00E969CD" w:rsidP="00E969CD">
            <w:pPr>
              <w:spacing w:after="0" w:line="240" w:lineRule="auto"/>
              <w:ind w:firstLine="0"/>
              <w:jc w:val="center"/>
              <w:rPr>
                <w:b/>
                <w:i/>
                <w:sz w:val="20"/>
              </w:rPr>
            </w:pPr>
            <w:r w:rsidRPr="003559BA">
              <w:rPr>
                <w:b/>
                <w:i/>
                <w:sz w:val="20"/>
              </w:rPr>
              <w:t>c</w:t>
            </w:r>
            <w:r w:rsidRPr="003559BA">
              <w:rPr>
                <w:b/>
                <w:i/>
                <w:sz w:val="20"/>
                <w:vertAlign w:val="subscript"/>
              </w:rPr>
              <w:t>3</w:t>
            </w:r>
          </w:p>
        </w:tc>
        <w:tc>
          <w:tcPr>
            <w:tcW w:w="266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E969CD" w:rsidRPr="003559BA" w:rsidRDefault="00E969CD" w:rsidP="00E969CD">
            <w:pPr>
              <w:spacing w:after="0" w:line="240" w:lineRule="auto"/>
              <w:ind w:firstLine="0"/>
              <w:jc w:val="center"/>
              <w:rPr>
                <w:sz w:val="20"/>
              </w:rPr>
            </w:pPr>
            <w:r w:rsidRPr="003559BA">
              <w:rPr>
                <w:sz w:val="20"/>
              </w:rPr>
              <w:t>3; 2; 1; 2; 2; 2; 3; 3; 1; 2</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2</w:t>
            </w:r>
          </w:p>
        </w:tc>
        <w:tc>
          <w:tcPr>
            <w:tcW w:w="547" w:type="dxa"/>
            <w:tcBorders>
              <w:top w:val="single" w:sz="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943634" w:themeColor="accent2" w:themeShade="BF"/>
                <w:sz w:val="20"/>
              </w:rPr>
            </w:pPr>
            <w:r w:rsidRPr="003559BA">
              <w:rPr>
                <w:b/>
                <w:color w:val="943634" w:themeColor="accent2" w:themeShade="BF"/>
                <w:sz w:val="20"/>
              </w:rPr>
              <w:t>1,5</w:t>
            </w:r>
          </w:p>
        </w:tc>
        <w:tc>
          <w:tcPr>
            <w:tcW w:w="1440" w:type="dxa"/>
            <w:tcBorders>
              <w:top w:val="single" w:sz="2" w:space="0" w:color="auto"/>
              <w:bottom w:val="single" w:sz="2" w:space="0" w:color="auto"/>
              <w:right w:val="single" w:sz="12" w:space="0" w:color="auto"/>
            </w:tcBorders>
            <w:shd w:val="clear" w:color="auto" w:fill="FBD4B4" w:themeFill="accent6" w:themeFillTint="66"/>
          </w:tcPr>
          <w:p w:rsidR="00E969CD" w:rsidRPr="003559BA" w:rsidRDefault="00E969CD" w:rsidP="00E969CD">
            <w:pPr>
              <w:spacing w:after="0" w:line="240" w:lineRule="auto"/>
              <w:ind w:firstLine="0"/>
              <w:jc w:val="center"/>
              <w:rPr>
                <w:b/>
                <w:i/>
                <w:sz w:val="20"/>
              </w:rPr>
            </w:pPr>
            <w:r w:rsidRPr="003559BA">
              <w:rPr>
                <w:b/>
                <w:i/>
                <w:sz w:val="20"/>
              </w:rPr>
              <w:t>d</w:t>
            </w:r>
            <w:r w:rsidRPr="003559BA">
              <w:rPr>
                <w:b/>
                <w:i/>
                <w:sz w:val="20"/>
                <w:vertAlign w:val="subscript"/>
              </w:rPr>
              <w:t>3</w:t>
            </w:r>
          </w:p>
        </w:tc>
        <w:tc>
          <w:tcPr>
            <w:tcW w:w="2664"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E969CD" w:rsidRPr="003559BA" w:rsidRDefault="00E969CD" w:rsidP="00E969CD">
            <w:pPr>
              <w:spacing w:after="0" w:line="240" w:lineRule="auto"/>
              <w:ind w:firstLine="0"/>
              <w:jc w:val="center"/>
              <w:rPr>
                <w:sz w:val="20"/>
              </w:rPr>
            </w:pPr>
            <w:r w:rsidRPr="003559BA">
              <w:rPr>
                <w:sz w:val="20"/>
              </w:rPr>
              <w:t>3; 2; 1; 2; 3; 2; 2; 1; 2; 2</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2</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E36C0A" w:themeColor="accent6" w:themeShade="BF"/>
                <w:sz w:val="20"/>
              </w:rPr>
            </w:pPr>
            <w:r w:rsidRPr="003559BA">
              <w:rPr>
                <w:b/>
                <w:color w:val="E36C0A" w:themeColor="accent6" w:themeShade="BF"/>
                <w:sz w:val="20"/>
              </w:rPr>
              <w:t>1,5</w:t>
            </w:r>
          </w:p>
        </w:tc>
      </w:tr>
      <w:tr w:rsidR="00E969CD" w:rsidRPr="003559BA" w:rsidTr="00E969CD">
        <w:tc>
          <w:tcPr>
            <w:tcW w:w="1440" w:type="dxa"/>
            <w:tcBorders>
              <w:top w:val="single" w:sz="2" w:space="0" w:color="auto"/>
              <w:bottom w:val="single" w:sz="2" w:space="0" w:color="auto"/>
              <w:right w:val="single" w:sz="12" w:space="0" w:color="auto"/>
            </w:tcBorders>
            <w:shd w:val="clear" w:color="auto" w:fill="E5B8B7" w:themeFill="accent2" w:themeFillTint="66"/>
          </w:tcPr>
          <w:p w:rsidR="00E969CD" w:rsidRPr="003559BA" w:rsidRDefault="00E969CD" w:rsidP="00E969CD">
            <w:pPr>
              <w:spacing w:after="0" w:line="240" w:lineRule="auto"/>
              <w:ind w:firstLine="0"/>
              <w:jc w:val="center"/>
              <w:rPr>
                <w:b/>
                <w:i/>
                <w:sz w:val="20"/>
              </w:rPr>
            </w:pPr>
            <w:r w:rsidRPr="003559BA">
              <w:rPr>
                <w:b/>
                <w:i/>
                <w:sz w:val="20"/>
              </w:rPr>
              <w:t>c</w:t>
            </w:r>
            <w:r w:rsidRPr="003559BA">
              <w:rPr>
                <w:b/>
                <w:i/>
                <w:sz w:val="20"/>
                <w:vertAlign w:val="subscript"/>
              </w:rPr>
              <w:t>4</w:t>
            </w:r>
          </w:p>
        </w:tc>
        <w:tc>
          <w:tcPr>
            <w:tcW w:w="2664"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E969CD" w:rsidRPr="003559BA" w:rsidRDefault="00E969CD" w:rsidP="00E969CD">
            <w:pPr>
              <w:spacing w:after="0" w:line="240" w:lineRule="auto"/>
              <w:ind w:firstLine="0"/>
              <w:jc w:val="center"/>
              <w:rPr>
                <w:sz w:val="20"/>
              </w:rPr>
            </w:pPr>
            <w:r w:rsidRPr="003559BA">
              <w:rPr>
                <w:sz w:val="20"/>
              </w:rPr>
              <w:t>2; 2; 1; 1; 2; 2; 2; 1; 1; 2</w:t>
            </w: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2</w:t>
            </w:r>
          </w:p>
        </w:tc>
        <w:tc>
          <w:tcPr>
            <w:tcW w:w="547" w:type="dxa"/>
            <w:tcBorders>
              <w:top w:val="single" w:sz="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943634" w:themeColor="accent2" w:themeShade="BF"/>
                <w:sz w:val="20"/>
              </w:rPr>
            </w:pPr>
            <w:r w:rsidRPr="003559BA">
              <w:rPr>
                <w:b/>
                <w:color w:val="943634" w:themeColor="accent2" w:themeShade="BF"/>
                <w:sz w:val="20"/>
              </w:rPr>
              <w:t>1,5</w:t>
            </w:r>
          </w:p>
        </w:tc>
        <w:tc>
          <w:tcPr>
            <w:tcW w:w="1440" w:type="dxa"/>
            <w:tcBorders>
              <w:top w:val="single" w:sz="2" w:space="0" w:color="auto"/>
              <w:bottom w:val="single" w:sz="2" w:space="0" w:color="auto"/>
              <w:right w:val="single" w:sz="12" w:space="0" w:color="auto"/>
            </w:tcBorders>
            <w:shd w:val="clear" w:color="auto" w:fill="FBD4B4" w:themeFill="accent6" w:themeFillTint="66"/>
          </w:tcPr>
          <w:p w:rsidR="00E969CD" w:rsidRPr="003559BA" w:rsidRDefault="00E969CD" w:rsidP="00E969CD">
            <w:pPr>
              <w:spacing w:after="0" w:line="240" w:lineRule="auto"/>
              <w:ind w:firstLine="0"/>
              <w:jc w:val="center"/>
              <w:rPr>
                <w:b/>
                <w:i/>
                <w:sz w:val="20"/>
              </w:rPr>
            </w:pPr>
          </w:p>
        </w:tc>
        <w:tc>
          <w:tcPr>
            <w:tcW w:w="2664"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E969CD" w:rsidRPr="003559BA" w:rsidRDefault="00E969CD" w:rsidP="00E969CD">
            <w:pPr>
              <w:spacing w:after="0" w:line="240" w:lineRule="auto"/>
              <w:ind w:firstLine="0"/>
              <w:jc w:val="center"/>
              <w:rPr>
                <w:sz w:val="20"/>
              </w:rPr>
            </w:pP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p>
        </w:tc>
        <w:tc>
          <w:tcPr>
            <w:tcW w:w="547" w:type="dxa"/>
            <w:tcBorders>
              <w:top w:val="single" w:sz="2" w:space="0" w:color="auto"/>
              <w:left w:val="single" w:sz="12" w:space="0" w:color="auto"/>
              <w:bottom w:val="single" w:sz="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8C3A8E"/>
                <w:sz w:val="20"/>
              </w:rPr>
            </w:pPr>
          </w:p>
        </w:tc>
      </w:tr>
      <w:tr w:rsidR="00E969CD" w:rsidRPr="003559BA" w:rsidTr="00E969CD">
        <w:tc>
          <w:tcPr>
            <w:tcW w:w="1440" w:type="dxa"/>
            <w:tcBorders>
              <w:top w:val="single" w:sz="2" w:space="0" w:color="auto"/>
              <w:bottom w:val="single" w:sz="12" w:space="0" w:color="auto"/>
              <w:right w:val="single" w:sz="12" w:space="0" w:color="auto"/>
            </w:tcBorders>
            <w:shd w:val="clear" w:color="auto" w:fill="E5B8B7" w:themeFill="accent2" w:themeFillTint="66"/>
          </w:tcPr>
          <w:p w:rsidR="00E969CD" w:rsidRPr="003559BA" w:rsidRDefault="00E969CD" w:rsidP="00E969CD">
            <w:pPr>
              <w:spacing w:after="0" w:line="240" w:lineRule="auto"/>
              <w:ind w:firstLine="0"/>
              <w:jc w:val="center"/>
              <w:rPr>
                <w:b/>
                <w:i/>
                <w:sz w:val="20"/>
              </w:rPr>
            </w:pPr>
            <w:r w:rsidRPr="003559BA">
              <w:rPr>
                <w:b/>
                <w:i/>
                <w:sz w:val="20"/>
              </w:rPr>
              <w:t>c</w:t>
            </w:r>
            <w:r w:rsidRPr="003559BA">
              <w:rPr>
                <w:b/>
                <w:i/>
                <w:sz w:val="20"/>
                <w:vertAlign w:val="subscript"/>
              </w:rPr>
              <w:t>5</w:t>
            </w:r>
          </w:p>
        </w:tc>
        <w:tc>
          <w:tcPr>
            <w:tcW w:w="2664" w:type="dxa"/>
            <w:tcBorders>
              <w:top w:val="single" w:sz="2" w:space="0" w:color="auto"/>
              <w:left w:val="single" w:sz="12" w:space="0" w:color="auto"/>
              <w:bottom w:val="single" w:sz="12" w:space="0" w:color="auto"/>
              <w:right w:val="single" w:sz="12" w:space="0" w:color="auto"/>
            </w:tcBorders>
            <w:shd w:val="clear" w:color="auto" w:fill="E5B8B7" w:themeFill="accent2" w:themeFillTint="66"/>
          </w:tcPr>
          <w:p w:rsidR="00E969CD" w:rsidRPr="003559BA" w:rsidRDefault="00E969CD" w:rsidP="00E969CD">
            <w:pPr>
              <w:spacing w:after="0" w:line="240" w:lineRule="auto"/>
              <w:ind w:firstLine="0"/>
              <w:jc w:val="center"/>
              <w:rPr>
                <w:sz w:val="20"/>
              </w:rPr>
            </w:pPr>
            <w:r w:rsidRPr="003559BA">
              <w:rPr>
                <w:sz w:val="20"/>
              </w:rPr>
              <w:t>1; 1; 1; 3; 2; 2; 1; 1; 2; 2</w:t>
            </w:r>
          </w:p>
        </w:tc>
        <w:tc>
          <w:tcPr>
            <w:tcW w:w="547" w:type="dxa"/>
            <w:tcBorders>
              <w:top w:val="single" w:sz="2" w:space="0" w:color="auto"/>
              <w:left w:val="single" w:sz="12" w:space="0" w:color="auto"/>
              <w:bottom w:val="single" w:sz="1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r w:rsidRPr="003559BA">
              <w:rPr>
                <w:b/>
                <w:sz w:val="20"/>
              </w:rPr>
              <w:t>1</w:t>
            </w:r>
          </w:p>
        </w:tc>
        <w:tc>
          <w:tcPr>
            <w:tcW w:w="547" w:type="dxa"/>
            <w:tcBorders>
              <w:top w:val="single" w:sz="2" w:space="0" w:color="auto"/>
              <w:bottom w:val="single" w:sz="1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943634" w:themeColor="accent2" w:themeShade="BF"/>
                <w:sz w:val="20"/>
              </w:rPr>
            </w:pPr>
            <w:r w:rsidRPr="003559BA">
              <w:rPr>
                <w:b/>
                <w:color w:val="943634" w:themeColor="accent2" w:themeShade="BF"/>
                <w:sz w:val="20"/>
              </w:rPr>
              <w:t>2,0</w:t>
            </w:r>
          </w:p>
        </w:tc>
        <w:tc>
          <w:tcPr>
            <w:tcW w:w="1440" w:type="dxa"/>
            <w:tcBorders>
              <w:top w:val="single" w:sz="2" w:space="0" w:color="auto"/>
              <w:bottom w:val="single" w:sz="12" w:space="0" w:color="auto"/>
              <w:right w:val="single" w:sz="12" w:space="0" w:color="auto"/>
            </w:tcBorders>
            <w:shd w:val="clear" w:color="auto" w:fill="FBD4B4" w:themeFill="accent6" w:themeFillTint="66"/>
          </w:tcPr>
          <w:p w:rsidR="00E969CD" w:rsidRPr="003559BA" w:rsidRDefault="00E969CD" w:rsidP="00E969CD">
            <w:pPr>
              <w:spacing w:after="0" w:line="240" w:lineRule="auto"/>
              <w:ind w:firstLine="0"/>
              <w:jc w:val="center"/>
              <w:rPr>
                <w:b/>
                <w:i/>
                <w:sz w:val="20"/>
              </w:rPr>
            </w:pPr>
          </w:p>
        </w:tc>
        <w:tc>
          <w:tcPr>
            <w:tcW w:w="2664" w:type="dxa"/>
            <w:tcBorders>
              <w:top w:val="single" w:sz="2" w:space="0" w:color="auto"/>
              <w:left w:val="single" w:sz="12" w:space="0" w:color="auto"/>
              <w:bottom w:val="single" w:sz="12" w:space="0" w:color="auto"/>
              <w:right w:val="single" w:sz="12" w:space="0" w:color="auto"/>
            </w:tcBorders>
            <w:shd w:val="clear" w:color="auto" w:fill="FBD4B4" w:themeFill="accent6" w:themeFillTint="66"/>
          </w:tcPr>
          <w:p w:rsidR="00E969CD" w:rsidRPr="003559BA" w:rsidRDefault="00E969CD" w:rsidP="00E969CD">
            <w:pPr>
              <w:spacing w:after="0" w:line="240" w:lineRule="auto"/>
              <w:ind w:firstLine="0"/>
              <w:jc w:val="center"/>
              <w:rPr>
                <w:sz w:val="20"/>
              </w:rPr>
            </w:pPr>
          </w:p>
        </w:tc>
        <w:tc>
          <w:tcPr>
            <w:tcW w:w="547" w:type="dxa"/>
            <w:tcBorders>
              <w:top w:val="single" w:sz="2" w:space="0" w:color="auto"/>
              <w:left w:val="single" w:sz="12" w:space="0" w:color="auto"/>
              <w:bottom w:val="single" w:sz="12" w:space="0" w:color="auto"/>
            </w:tcBorders>
            <w:shd w:val="clear" w:color="auto" w:fill="D9D9D9" w:themeFill="background1" w:themeFillShade="D9"/>
          </w:tcPr>
          <w:p w:rsidR="00E969CD" w:rsidRPr="003559BA" w:rsidRDefault="00E969CD" w:rsidP="00E969CD">
            <w:pPr>
              <w:spacing w:after="0" w:line="240" w:lineRule="auto"/>
              <w:ind w:firstLine="0"/>
              <w:jc w:val="center"/>
              <w:rPr>
                <w:b/>
                <w:sz w:val="20"/>
              </w:rPr>
            </w:pPr>
          </w:p>
        </w:tc>
        <w:tc>
          <w:tcPr>
            <w:tcW w:w="547" w:type="dxa"/>
            <w:tcBorders>
              <w:top w:val="single" w:sz="2" w:space="0" w:color="auto"/>
              <w:left w:val="single" w:sz="12" w:space="0" w:color="auto"/>
              <w:bottom w:val="single" w:sz="12" w:space="0" w:color="auto"/>
            </w:tcBorders>
            <w:shd w:val="clear" w:color="auto" w:fill="D9D9D9" w:themeFill="background1" w:themeFillShade="D9"/>
          </w:tcPr>
          <w:p w:rsidR="00E969CD" w:rsidRPr="003559BA" w:rsidRDefault="00E969CD" w:rsidP="00E969CD">
            <w:pPr>
              <w:spacing w:after="0" w:line="240" w:lineRule="auto"/>
              <w:ind w:firstLine="0"/>
              <w:jc w:val="center"/>
              <w:rPr>
                <w:b/>
                <w:color w:val="8C3A8E"/>
                <w:sz w:val="20"/>
              </w:rPr>
            </w:pPr>
          </w:p>
        </w:tc>
      </w:tr>
    </w:tbl>
    <w:p w:rsidR="00E969CD" w:rsidRPr="001811A7" w:rsidRDefault="00E969CD" w:rsidP="00E969CD">
      <w:pPr>
        <w:rPr>
          <w:sz w:val="20"/>
        </w:rPr>
      </w:pPr>
      <w:r w:rsidRPr="00913A09">
        <w:rPr>
          <w:b/>
          <w:sz w:val="20"/>
        </w:rPr>
        <w:t>Šaltinis</w:t>
      </w:r>
      <w:r w:rsidRPr="00913A09">
        <w:rPr>
          <w:sz w:val="20"/>
        </w:rPr>
        <w:t>: sudaryta šio darbo autorės</w:t>
      </w:r>
      <w:r>
        <w:rPr>
          <w:sz w:val="20"/>
        </w:rPr>
        <w:t>, remiantis ekspertų vertinimais</w:t>
      </w:r>
    </w:p>
    <w:p w:rsidR="00E969CD" w:rsidRDefault="00E969CD">
      <w:pPr>
        <w:widowControl/>
        <w:spacing w:after="200" w:line="276" w:lineRule="auto"/>
        <w:ind w:firstLine="0"/>
        <w:contextualSpacing w:val="0"/>
        <w:jc w:val="left"/>
      </w:pPr>
      <w:r>
        <w:br w:type="page"/>
      </w:r>
    </w:p>
    <w:p w:rsidR="00E969CD" w:rsidRPr="005D69C7" w:rsidRDefault="00E969CD" w:rsidP="00E969CD">
      <w:pPr>
        <w:spacing w:before="100" w:after="120" w:line="240" w:lineRule="auto"/>
        <w:ind w:firstLine="0"/>
        <w:jc w:val="center"/>
        <w:rPr>
          <w:b/>
        </w:rPr>
      </w:pPr>
      <w:r>
        <w:rPr>
          <w:b/>
        </w:rPr>
        <w:lastRenderedPageBreak/>
        <w:t>SVERTINIŲ BALŲ</w:t>
      </w:r>
      <w:r w:rsidRPr="005D69C7">
        <w:rPr>
          <w:b/>
        </w:rPr>
        <w:t xml:space="preserve"> SKAIČIAVIMAS</w:t>
      </w:r>
      <w:r>
        <w:rPr>
          <w:b/>
        </w:rPr>
        <w:t xml:space="preserve"> IR FINANSINĖS ELGSENOS NUSTATYMAS </w:t>
      </w:r>
    </w:p>
    <w:p w:rsidR="00E969CD" w:rsidRDefault="00E969CD" w:rsidP="00E969CD">
      <w:pPr>
        <w:pStyle w:val="Caption"/>
        <w:rPr>
          <w:b w:val="0"/>
        </w:rPr>
      </w:pPr>
      <w:r w:rsidRPr="00B911EE">
        <w:t>1 lentelė.</w:t>
      </w:r>
      <w:r>
        <w:t xml:space="preserve"> </w:t>
      </w:r>
      <w:r w:rsidRPr="00413176">
        <w:t>Bedarbių ir socialinės paramos gavėjų finansinė elgsena</w:t>
      </w:r>
    </w:p>
    <w:tbl>
      <w:tblPr>
        <w:tblStyle w:val="TableGrid"/>
        <w:tblW w:w="10224"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tblPr>
      <w:tblGrid>
        <w:gridCol w:w="2880"/>
        <w:gridCol w:w="1152"/>
        <w:gridCol w:w="1152"/>
        <w:gridCol w:w="1152"/>
        <w:gridCol w:w="1296"/>
        <w:gridCol w:w="1296"/>
        <w:gridCol w:w="1296"/>
      </w:tblGrid>
      <w:tr w:rsidR="00E969CD" w:rsidRPr="002945A6" w:rsidTr="00E969CD">
        <w:trPr>
          <w:trHeight w:val="249"/>
        </w:trPr>
        <w:tc>
          <w:tcPr>
            <w:tcW w:w="2880" w:type="dxa"/>
            <w:tcBorders>
              <w:top w:val="single" w:sz="12" w:space="0" w:color="auto"/>
              <w:bottom w:val="single" w:sz="12" w:space="0" w:color="auto"/>
              <w:right w:val="single" w:sz="12" w:space="0" w:color="auto"/>
            </w:tcBorders>
            <w:shd w:val="clear" w:color="auto" w:fill="D9D9D9" w:themeFill="background1" w:themeFillShade="D9"/>
            <w:vAlign w:val="center"/>
          </w:tcPr>
          <w:p w:rsidR="00E969CD" w:rsidRPr="002945A6" w:rsidRDefault="00E969CD" w:rsidP="00E969CD">
            <w:pPr>
              <w:spacing w:after="0" w:line="240" w:lineRule="auto"/>
              <w:ind w:firstLine="0"/>
              <w:jc w:val="center"/>
              <w:rPr>
                <w:b/>
                <w:i/>
                <w:sz w:val="17"/>
                <w:szCs w:val="17"/>
              </w:rPr>
            </w:pPr>
            <w:r w:rsidRPr="002945A6">
              <w:rPr>
                <w:b/>
                <w:i/>
                <w:sz w:val="17"/>
                <w:szCs w:val="17"/>
              </w:rPr>
              <w:t>- A -</w:t>
            </w:r>
          </w:p>
        </w:tc>
        <w:tc>
          <w:tcPr>
            <w:tcW w:w="1152"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945A6" w:rsidRDefault="00E969CD" w:rsidP="00E969CD">
            <w:pPr>
              <w:spacing w:after="0" w:line="240" w:lineRule="auto"/>
              <w:ind w:firstLine="0"/>
              <w:jc w:val="center"/>
              <w:rPr>
                <w:b/>
                <w:i/>
                <w:sz w:val="17"/>
                <w:szCs w:val="17"/>
              </w:rPr>
            </w:pPr>
            <w:r w:rsidRPr="002945A6">
              <w:rPr>
                <w:b/>
                <w:i/>
                <w:sz w:val="17"/>
                <w:szCs w:val="17"/>
              </w:rPr>
              <w:t>K</w:t>
            </w:r>
          </w:p>
        </w:tc>
        <w:tc>
          <w:tcPr>
            <w:tcW w:w="1152"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945A6" w:rsidRDefault="00E969CD" w:rsidP="00E969CD">
            <w:pPr>
              <w:spacing w:after="0" w:line="240" w:lineRule="auto"/>
              <w:ind w:firstLine="0"/>
              <w:jc w:val="center"/>
              <w:rPr>
                <w:b/>
                <w:i/>
                <w:sz w:val="17"/>
                <w:szCs w:val="17"/>
              </w:rPr>
            </w:pPr>
            <w:proofErr w:type="spellStart"/>
            <w:r w:rsidRPr="002945A6">
              <w:rPr>
                <w:b/>
                <w:i/>
                <w:sz w:val="17"/>
                <w:szCs w:val="17"/>
              </w:rPr>
              <w:t>M</w:t>
            </w:r>
            <w:r>
              <w:rPr>
                <w:b/>
                <w:i/>
                <w:sz w:val="17"/>
                <w:szCs w:val="17"/>
              </w:rPr>
              <w:t>o</w:t>
            </w:r>
            <w:proofErr w:type="spellEnd"/>
          </w:p>
        </w:tc>
        <w:tc>
          <w:tcPr>
            <w:tcW w:w="1152" w:type="dxa"/>
            <w:tcBorders>
              <w:top w:val="single" w:sz="12" w:space="0" w:color="auto"/>
              <w:left w:val="single" w:sz="2" w:space="0" w:color="auto"/>
              <w:right w:val="single" w:sz="12" w:space="0" w:color="auto"/>
            </w:tcBorders>
            <w:shd w:val="clear" w:color="auto" w:fill="D9D9D9" w:themeFill="background1" w:themeFillShade="D9"/>
            <w:vAlign w:val="center"/>
          </w:tcPr>
          <w:p w:rsidR="00E969CD" w:rsidRPr="000D1E8E" w:rsidRDefault="00E969CD" w:rsidP="00E969CD">
            <w:pPr>
              <w:widowControl/>
              <w:autoSpaceDE w:val="0"/>
              <w:autoSpaceDN w:val="0"/>
              <w:adjustRightInd w:val="0"/>
              <w:spacing w:after="0" w:line="240" w:lineRule="auto"/>
              <w:ind w:firstLine="0"/>
              <w:jc w:val="center"/>
              <w:rPr>
                <w:b/>
                <w:i/>
                <w:color w:val="FF0000"/>
                <w:sz w:val="17"/>
                <w:szCs w:val="17"/>
              </w:rPr>
            </w:pPr>
            <w:r w:rsidRPr="000D1E8E">
              <w:rPr>
                <w:b/>
                <w:i/>
                <w:color w:val="FF0000"/>
                <w:sz w:val="17"/>
                <w:szCs w:val="17"/>
              </w:rPr>
              <w:t>Svertinis</w:t>
            </w:r>
          </w:p>
          <w:p w:rsidR="00E969CD" w:rsidRPr="000D1E8E" w:rsidRDefault="00E969CD" w:rsidP="00E969CD">
            <w:pPr>
              <w:widowControl/>
              <w:autoSpaceDE w:val="0"/>
              <w:autoSpaceDN w:val="0"/>
              <w:adjustRightInd w:val="0"/>
              <w:spacing w:after="0" w:line="240" w:lineRule="auto"/>
              <w:ind w:firstLine="0"/>
              <w:jc w:val="center"/>
              <w:rPr>
                <w:b/>
                <w:i/>
                <w:color w:val="FF0000"/>
                <w:sz w:val="17"/>
                <w:szCs w:val="17"/>
              </w:rPr>
            </w:pPr>
            <w:r w:rsidRPr="000D1E8E">
              <w:rPr>
                <w:b/>
                <w:i/>
                <w:color w:val="FF0000"/>
                <w:sz w:val="17"/>
                <w:szCs w:val="17"/>
              </w:rPr>
              <w:t>balas</w:t>
            </w:r>
          </w:p>
        </w:tc>
        <w:tc>
          <w:tcPr>
            <w:tcW w:w="1296" w:type="dxa"/>
            <w:tcBorders>
              <w:top w:val="single" w:sz="12" w:space="0" w:color="auto"/>
              <w:left w:val="single" w:sz="12" w:space="0" w:color="auto"/>
            </w:tcBorders>
            <w:shd w:val="clear" w:color="auto" w:fill="D9D9D9" w:themeFill="background1" w:themeFillShade="D9"/>
            <w:vAlign w:val="center"/>
          </w:tcPr>
          <w:p w:rsidR="00E969CD" w:rsidRPr="000D1E8E" w:rsidRDefault="00E969CD" w:rsidP="00E969CD">
            <w:pPr>
              <w:spacing w:after="0" w:line="240" w:lineRule="auto"/>
              <w:ind w:firstLine="0"/>
              <w:jc w:val="center"/>
              <w:rPr>
                <w:b/>
                <w:i/>
                <w:color w:val="0070C0"/>
                <w:sz w:val="17"/>
                <w:szCs w:val="17"/>
              </w:rPr>
            </w:pPr>
            <w:r w:rsidRPr="000D1E8E">
              <w:rPr>
                <w:b/>
                <w:i/>
                <w:color w:val="0070C0"/>
                <w:sz w:val="17"/>
                <w:szCs w:val="17"/>
              </w:rPr>
              <w:t>Pageidautina reikšmė</w:t>
            </w:r>
          </w:p>
        </w:tc>
        <w:tc>
          <w:tcPr>
            <w:tcW w:w="1296" w:type="dxa"/>
            <w:tcBorders>
              <w:top w:val="single" w:sz="12" w:space="0" w:color="auto"/>
              <w:left w:val="single" w:sz="12" w:space="0" w:color="auto"/>
            </w:tcBorders>
            <w:shd w:val="clear" w:color="auto" w:fill="D9D9D9" w:themeFill="background1" w:themeFillShade="D9"/>
            <w:vAlign w:val="center"/>
          </w:tcPr>
          <w:p w:rsidR="00E969CD" w:rsidRPr="000D1E8E" w:rsidRDefault="00E969CD" w:rsidP="00E969CD">
            <w:pPr>
              <w:spacing w:after="0" w:line="240" w:lineRule="auto"/>
              <w:ind w:firstLine="0"/>
              <w:jc w:val="center"/>
              <w:rPr>
                <w:b/>
                <w:i/>
                <w:sz w:val="17"/>
                <w:szCs w:val="17"/>
              </w:rPr>
            </w:pPr>
            <w:r w:rsidRPr="000D1E8E">
              <w:rPr>
                <w:b/>
                <w:i/>
                <w:sz w:val="17"/>
                <w:szCs w:val="17"/>
              </w:rPr>
              <w:t>Skirtumas</w:t>
            </w:r>
          </w:p>
        </w:tc>
        <w:tc>
          <w:tcPr>
            <w:tcW w:w="1296" w:type="dxa"/>
            <w:tcBorders>
              <w:top w:val="single" w:sz="12" w:space="0" w:color="auto"/>
              <w:left w:val="single" w:sz="12" w:space="0" w:color="auto"/>
            </w:tcBorders>
            <w:shd w:val="clear" w:color="auto" w:fill="D9D9D9" w:themeFill="background1" w:themeFillShade="D9"/>
            <w:vAlign w:val="center"/>
          </w:tcPr>
          <w:p w:rsidR="00E969CD" w:rsidRPr="002945A6" w:rsidRDefault="00E969CD" w:rsidP="00E969CD">
            <w:pPr>
              <w:spacing w:after="0" w:line="240" w:lineRule="auto"/>
              <w:ind w:firstLine="0"/>
              <w:jc w:val="center"/>
              <w:rPr>
                <w:b/>
                <w:i/>
                <w:color w:val="0070C0"/>
                <w:sz w:val="17"/>
                <w:szCs w:val="17"/>
              </w:rPr>
            </w:pPr>
            <w:r w:rsidRPr="000D1E8E">
              <w:rPr>
                <w:b/>
                <w:i/>
                <w:color w:val="FF66CC"/>
                <w:sz w:val="17"/>
                <w:szCs w:val="17"/>
              </w:rPr>
              <w:t>„Pusiausvyros taškas“</w:t>
            </w:r>
          </w:p>
        </w:tc>
      </w:tr>
      <w:tr w:rsidR="00E969CD" w:rsidRPr="008144D7" w:rsidTr="00E969CD">
        <w:tc>
          <w:tcPr>
            <w:tcW w:w="2880" w:type="dxa"/>
            <w:tcBorders>
              <w:top w:val="single" w:sz="12" w:space="0" w:color="auto"/>
              <w:bottom w:val="single" w:sz="2" w:space="0" w:color="auto"/>
              <w:right w:val="single" w:sz="12" w:space="0" w:color="auto"/>
            </w:tcBorders>
            <w:shd w:val="clear" w:color="auto" w:fill="B8CCE4" w:themeFill="accent1" w:themeFillTint="66"/>
          </w:tcPr>
          <w:p w:rsidR="00E969CD" w:rsidRPr="000D1E8E" w:rsidRDefault="00E969CD" w:rsidP="00E969CD">
            <w:pPr>
              <w:spacing w:after="0" w:line="240" w:lineRule="auto"/>
              <w:ind w:firstLine="0"/>
              <w:rPr>
                <w:i/>
                <w:sz w:val="18"/>
                <w:szCs w:val="18"/>
              </w:rPr>
            </w:pPr>
            <w:r w:rsidRPr="000D1E8E">
              <w:rPr>
                <w:i/>
                <w:sz w:val="18"/>
                <w:szCs w:val="18"/>
              </w:rPr>
              <w:t>Mentalinės sąskaitos (a</w:t>
            </w:r>
            <w:r w:rsidRPr="000D1E8E">
              <w:rPr>
                <w:i/>
                <w:sz w:val="18"/>
                <w:szCs w:val="18"/>
                <w:vertAlign w:val="subscript"/>
              </w:rPr>
              <w:t>1</w:t>
            </w:r>
            <w:r w:rsidRPr="000D1E8E">
              <w:rPr>
                <w:i/>
                <w:sz w:val="18"/>
                <w:szCs w:val="18"/>
              </w:rPr>
              <w:t>)</w:t>
            </w:r>
          </w:p>
        </w:tc>
        <w:tc>
          <w:tcPr>
            <w:tcW w:w="1152" w:type="dxa"/>
            <w:tcBorders>
              <w:top w:val="single" w:sz="1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b/>
                <w:sz w:val="18"/>
                <w:szCs w:val="18"/>
              </w:rPr>
            </w:pPr>
            <w:r w:rsidRPr="000D1E8E">
              <w:rPr>
                <w:b/>
                <w:sz w:val="18"/>
                <w:szCs w:val="18"/>
              </w:rPr>
              <w:t>1,5</w:t>
            </w:r>
          </w:p>
        </w:tc>
        <w:tc>
          <w:tcPr>
            <w:tcW w:w="1152" w:type="dxa"/>
            <w:tcBorders>
              <w:top w:val="single" w:sz="12" w:space="0" w:color="auto"/>
              <w:left w:val="single" w:sz="12" w:space="0" w:color="auto"/>
              <w:bottom w:val="single" w:sz="2" w:space="0" w:color="auto"/>
            </w:tcBorders>
            <w:shd w:val="clear" w:color="auto" w:fill="B8CCE4" w:themeFill="accent1"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1</w:t>
            </w:r>
          </w:p>
        </w:tc>
        <w:tc>
          <w:tcPr>
            <w:tcW w:w="1152"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E969CD" w:rsidRPr="000D1E8E" w:rsidRDefault="00E969CD" w:rsidP="00E969CD">
            <w:pPr>
              <w:spacing w:after="0" w:line="240" w:lineRule="auto"/>
              <w:ind w:firstLine="0"/>
              <w:jc w:val="center"/>
              <w:rPr>
                <w:b/>
                <w:sz w:val="18"/>
                <w:szCs w:val="18"/>
              </w:rPr>
            </w:pPr>
            <w:r w:rsidRPr="000D1E8E">
              <w:rPr>
                <w:b/>
                <w:sz w:val="18"/>
                <w:szCs w:val="18"/>
              </w:rPr>
              <w:t>1,5</w:t>
            </w:r>
          </w:p>
        </w:tc>
        <w:tc>
          <w:tcPr>
            <w:tcW w:w="1296" w:type="dxa"/>
            <w:tcBorders>
              <w:top w:val="single" w:sz="12" w:space="0" w:color="auto"/>
              <w:left w:val="single" w:sz="12" w:space="0" w:color="auto"/>
              <w:bottom w:val="single" w:sz="2" w:space="0" w:color="auto"/>
            </w:tcBorders>
            <w:shd w:val="clear" w:color="auto" w:fill="B8CCE4" w:themeFill="accent1" w:themeFillTint="66"/>
          </w:tcPr>
          <w:p w:rsidR="00E969CD" w:rsidRPr="00075794" w:rsidRDefault="00E969CD" w:rsidP="00E969CD">
            <w:pPr>
              <w:spacing w:after="0" w:line="240" w:lineRule="auto"/>
              <w:ind w:firstLine="0"/>
              <w:jc w:val="center"/>
              <w:rPr>
                <w:b/>
                <w:sz w:val="18"/>
                <w:szCs w:val="18"/>
              </w:rPr>
            </w:pPr>
            <w:r w:rsidRPr="00075794">
              <w:rPr>
                <w:b/>
                <w:sz w:val="18"/>
                <w:szCs w:val="18"/>
              </w:rPr>
              <w:t>7,5</w:t>
            </w:r>
          </w:p>
        </w:tc>
        <w:tc>
          <w:tcPr>
            <w:tcW w:w="1296" w:type="dxa"/>
            <w:tcBorders>
              <w:top w:val="single" w:sz="1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sz w:val="18"/>
                <w:szCs w:val="18"/>
              </w:rPr>
            </w:pPr>
            <w:r w:rsidRPr="000D1E8E">
              <w:rPr>
                <w:sz w:val="18"/>
                <w:szCs w:val="18"/>
              </w:rPr>
              <w:t>6,0</w:t>
            </w:r>
          </w:p>
        </w:tc>
        <w:tc>
          <w:tcPr>
            <w:tcW w:w="1296" w:type="dxa"/>
            <w:tcBorders>
              <w:top w:val="single" w:sz="1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sz w:val="18"/>
                <w:szCs w:val="18"/>
              </w:rPr>
            </w:pPr>
            <w:r w:rsidRPr="000D1E8E">
              <w:rPr>
                <w:sz w:val="18"/>
                <w:szCs w:val="18"/>
              </w:rPr>
              <w:t>3,75</w:t>
            </w:r>
          </w:p>
        </w:tc>
      </w:tr>
      <w:tr w:rsidR="00E969CD" w:rsidRPr="008144D7" w:rsidTr="00E969CD">
        <w:tc>
          <w:tcPr>
            <w:tcW w:w="2880" w:type="dxa"/>
            <w:tcBorders>
              <w:top w:val="single" w:sz="2" w:space="0" w:color="auto"/>
              <w:bottom w:val="single" w:sz="2" w:space="0" w:color="auto"/>
              <w:right w:val="single" w:sz="12" w:space="0" w:color="auto"/>
            </w:tcBorders>
            <w:shd w:val="clear" w:color="auto" w:fill="B8CCE4" w:themeFill="accent1" w:themeFillTint="66"/>
          </w:tcPr>
          <w:p w:rsidR="00E969CD" w:rsidRPr="000D1E8E" w:rsidRDefault="00E969CD" w:rsidP="00E969CD">
            <w:pPr>
              <w:spacing w:after="0" w:line="240" w:lineRule="auto"/>
              <w:ind w:firstLine="0"/>
              <w:rPr>
                <w:i/>
                <w:sz w:val="18"/>
                <w:szCs w:val="18"/>
              </w:rPr>
            </w:pPr>
            <w:r w:rsidRPr="000D1E8E">
              <w:rPr>
                <w:i/>
                <w:sz w:val="18"/>
                <w:szCs w:val="18"/>
              </w:rPr>
              <w:t>„Sovietinis“ mentalitetas (a</w:t>
            </w:r>
            <w:r w:rsidRPr="000D1E8E">
              <w:rPr>
                <w:i/>
                <w:sz w:val="18"/>
                <w:szCs w:val="18"/>
                <w:vertAlign w:val="subscript"/>
              </w:rPr>
              <w:t>2</w:t>
            </w:r>
            <w:r w:rsidRPr="000D1E8E">
              <w:rPr>
                <w:i/>
                <w:sz w:val="18"/>
                <w:szCs w:val="18"/>
              </w:rPr>
              <w:t>)</w:t>
            </w:r>
          </w:p>
        </w:tc>
        <w:tc>
          <w:tcPr>
            <w:tcW w:w="1152"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b/>
                <w:sz w:val="18"/>
                <w:szCs w:val="18"/>
              </w:rPr>
            </w:pPr>
            <w:r w:rsidRPr="000D1E8E">
              <w:rPr>
                <w:b/>
                <w:sz w:val="18"/>
                <w:szCs w:val="18"/>
              </w:rPr>
              <w:t>1,5</w:t>
            </w:r>
          </w:p>
        </w:tc>
        <w:tc>
          <w:tcPr>
            <w:tcW w:w="1152"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1</w:t>
            </w:r>
          </w:p>
        </w:tc>
        <w:tc>
          <w:tcPr>
            <w:tcW w:w="1152"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E969CD" w:rsidRPr="000D1E8E" w:rsidRDefault="00E969CD" w:rsidP="00E969CD">
            <w:pPr>
              <w:spacing w:after="0" w:line="240" w:lineRule="auto"/>
              <w:ind w:firstLine="0"/>
              <w:jc w:val="center"/>
              <w:rPr>
                <w:b/>
                <w:sz w:val="18"/>
                <w:szCs w:val="18"/>
              </w:rPr>
            </w:pPr>
            <w:r w:rsidRPr="000D1E8E">
              <w:rPr>
                <w:b/>
                <w:sz w:val="18"/>
                <w:szCs w:val="18"/>
              </w:rPr>
              <w:t>1,5</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75794" w:rsidRDefault="00E969CD" w:rsidP="00E969CD">
            <w:pPr>
              <w:spacing w:after="0" w:line="240" w:lineRule="auto"/>
              <w:ind w:firstLine="0"/>
              <w:jc w:val="center"/>
              <w:rPr>
                <w:b/>
                <w:sz w:val="18"/>
                <w:szCs w:val="18"/>
              </w:rPr>
            </w:pPr>
            <w:r w:rsidRPr="00075794">
              <w:rPr>
                <w:b/>
                <w:sz w:val="18"/>
                <w:szCs w:val="18"/>
              </w:rPr>
              <w:t>6,0</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sz w:val="18"/>
                <w:szCs w:val="18"/>
              </w:rPr>
            </w:pPr>
            <w:r w:rsidRPr="000D1E8E">
              <w:rPr>
                <w:sz w:val="18"/>
                <w:szCs w:val="18"/>
              </w:rPr>
              <w:t>4,5</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sz w:val="18"/>
                <w:szCs w:val="18"/>
              </w:rPr>
            </w:pPr>
            <w:r w:rsidRPr="000D1E8E">
              <w:rPr>
                <w:sz w:val="18"/>
                <w:szCs w:val="18"/>
              </w:rPr>
              <w:t>3,00</w:t>
            </w:r>
          </w:p>
        </w:tc>
      </w:tr>
      <w:tr w:rsidR="00E969CD" w:rsidRPr="008144D7" w:rsidTr="00E969CD">
        <w:tc>
          <w:tcPr>
            <w:tcW w:w="2880" w:type="dxa"/>
            <w:tcBorders>
              <w:top w:val="single" w:sz="2" w:space="0" w:color="auto"/>
              <w:bottom w:val="single" w:sz="2" w:space="0" w:color="auto"/>
              <w:right w:val="single" w:sz="12" w:space="0" w:color="auto"/>
            </w:tcBorders>
            <w:shd w:val="clear" w:color="auto" w:fill="B8CCE4" w:themeFill="accent1" w:themeFillTint="66"/>
          </w:tcPr>
          <w:p w:rsidR="00E969CD" w:rsidRPr="000D1E8E" w:rsidRDefault="00E969CD" w:rsidP="00E969CD">
            <w:pPr>
              <w:spacing w:after="0" w:line="240" w:lineRule="auto"/>
              <w:ind w:firstLine="0"/>
              <w:rPr>
                <w:i/>
                <w:sz w:val="18"/>
                <w:szCs w:val="18"/>
              </w:rPr>
            </w:pPr>
            <w:r w:rsidRPr="000D1E8E">
              <w:rPr>
                <w:i/>
                <w:sz w:val="18"/>
                <w:szCs w:val="18"/>
              </w:rPr>
              <w:t>Amoralus šeimyniškumas (a</w:t>
            </w:r>
            <w:r w:rsidRPr="000D1E8E">
              <w:rPr>
                <w:i/>
                <w:sz w:val="18"/>
                <w:szCs w:val="18"/>
                <w:vertAlign w:val="subscript"/>
              </w:rPr>
              <w:t>3</w:t>
            </w:r>
            <w:r w:rsidRPr="000D1E8E">
              <w:rPr>
                <w:i/>
                <w:sz w:val="18"/>
                <w:szCs w:val="18"/>
              </w:rPr>
              <w:t>)</w:t>
            </w:r>
          </w:p>
        </w:tc>
        <w:tc>
          <w:tcPr>
            <w:tcW w:w="1152"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b/>
                <w:sz w:val="18"/>
                <w:szCs w:val="18"/>
              </w:rPr>
            </w:pPr>
            <w:r w:rsidRPr="000D1E8E">
              <w:rPr>
                <w:b/>
                <w:sz w:val="18"/>
                <w:szCs w:val="18"/>
              </w:rPr>
              <w:t>1,5</w:t>
            </w:r>
          </w:p>
        </w:tc>
        <w:tc>
          <w:tcPr>
            <w:tcW w:w="1152"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1</w:t>
            </w:r>
          </w:p>
        </w:tc>
        <w:tc>
          <w:tcPr>
            <w:tcW w:w="1152"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E969CD" w:rsidRPr="000D1E8E" w:rsidRDefault="00E969CD" w:rsidP="00E969CD">
            <w:pPr>
              <w:spacing w:after="0" w:line="240" w:lineRule="auto"/>
              <w:ind w:firstLine="0"/>
              <w:jc w:val="center"/>
              <w:rPr>
                <w:b/>
                <w:sz w:val="18"/>
                <w:szCs w:val="18"/>
              </w:rPr>
            </w:pPr>
            <w:r w:rsidRPr="000D1E8E">
              <w:rPr>
                <w:b/>
                <w:sz w:val="18"/>
                <w:szCs w:val="18"/>
              </w:rPr>
              <w:t>1,5</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75794" w:rsidRDefault="00E969CD" w:rsidP="00E969CD">
            <w:pPr>
              <w:spacing w:after="0" w:line="240" w:lineRule="auto"/>
              <w:ind w:firstLine="0"/>
              <w:jc w:val="center"/>
              <w:rPr>
                <w:b/>
                <w:sz w:val="18"/>
                <w:szCs w:val="18"/>
              </w:rPr>
            </w:pPr>
            <w:r w:rsidRPr="00075794">
              <w:rPr>
                <w:b/>
                <w:sz w:val="18"/>
                <w:szCs w:val="18"/>
              </w:rPr>
              <w:t>6,0</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sz w:val="18"/>
                <w:szCs w:val="18"/>
              </w:rPr>
            </w:pPr>
            <w:r w:rsidRPr="000D1E8E">
              <w:rPr>
                <w:sz w:val="18"/>
                <w:szCs w:val="18"/>
              </w:rPr>
              <w:t>4,5</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sz w:val="18"/>
                <w:szCs w:val="18"/>
              </w:rPr>
            </w:pPr>
            <w:r w:rsidRPr="000D1E8E">
              <w:rPr>
                <w:sz w:val="18"/>
                <w:szCs w:val="18"/>
              </w:rPr>
              <w:t>3,00</w:t>
            </w:r>
          </w:p>
        </w:tc>
      </w:tr>
      <w:tr w:rsidR="00E969CD" w:rsidRPr="008144D7" w:rsidTr="00E969CD">
        <w:tc>
          <w:tcPr>
            <w:tcW w:w="2880" w:type="dxa"/>
            <w:tcBorders>
              <w:top w:val="single" w:sz="2" w:space="0" w:color="auto"/>
              <w:bottom w:val="single" w:sz="2" w:space="0" w:color="auto"/>
              <w:right w:val="single" w:sz="12" w:space="0" w:color="auto"/>
            </w:tcBorders>
            <w:shd w:val="clear" w:color="auto" w:fill="B8CCE4" w:themeFill="accent1" w:themeFillTint="66"/>
          </w:tcPr>
          <w:p w:rsidR="00E969CD" w:rsidRPr="000D1E8E" w:rsidRDefault="00E969CD" w:rsidP="00E969CD">
            <w:pPr>
              <w:spacing w:after="0" w:line="240" w:lineRule="auto"/>
              <w:ind w:firstLine="0"/>
              <w:rPr>
                <w:i/>
                <w:sz w:val="18"/>
                <w:szCs w:val="18"/>
              </w:rPr>
            </w:pPr>
            <w:r w:rsidRPr="000D1E8E">
              <w:rPr>
                <w:i/>
                <w:sz w:val="18"/>
                <w:szCs w:val="18"/>
              </w:rPr>
              <w:t>Minimalūs poreikiai (a</w:t>
            </w:r>
            <w:r w:rsidRPr="000D1E8E">
              <w:rPr>
                <w:i/>
                <w:sz w:val="18"/>
                <w:szCs w:val="18"/>
                <w:vertAlign w:val="subscript"/>
              </w:rPr>
              <w:t>4</w:t>
            </w:r>
            <w:r w:rsidRPr="000D1E8E">
              <w:rPr>
                <w:i/>
                <w:sz w:val="18"/>
                <w:szCs w:val="18"/>
              </w:rPr>
              <w:t>)</w:t>
            </w:r>
          </w:p>
        </w:tc>
        <w:tc>
          <w:tcPr>
            <w:tcW w:w="1152"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b/>
                <w:sz w:val="18"/>
                <w:szCs w:val="18"/>
              </w:rPr>
            </w:pPr>
            <w:r w:rsidRPr="000D1E8E">
              <w:rPr>
                <w:b/>
                <w:sz w:val="18"/>
                <w:szCs w:val="18"/>
              </w:rPr>
              <w:t>1,5</w:t>
            </w:r>
          </w:p>
        </w:tc>
        <w:tc>
          <w:tcPr>
            <w:tcW w:w="1152"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3</w:t>
            </w:r>
          </w:p>
        </w:tc>
        <w:tc>
          <w:tcPr>
            <w:tcW w:w="1152"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E969CD" w:rsidRPr="000D1E8E" w:rsidRDefault="00E969CD" w:rsidP="00E969CD">
            <w:pPr>
              <w:spacing w:after="0" w:line="240" w:lineRule="auto"/>
              <w:ind w:firstLine="0"/>
              <w:jc w:val="center"/>
              <w:rPr>
                <w:b/>
                <w:sz w:val="18"/>
                <w:szCs w:val="18"/>
              </w:rPr>
            </w:pPr>
            <w:r w:rsidRPr="000D1E8E">
              <w:rPr>
                <w:b/>
                <w:sz w:val="18"/>
                <w:szCs w:val="18"/>
              </w:rPr>
              <w:t>4,5</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75794" w:rsidRDefault="00E969CD" w:rsidP="00E969CD">
            <w:pPr>
              <w:spacing w:after="0" w:line="240" w:lineRule="auto"/>
              <w:ind w:firstLine="0"/>
              <w:jc w:val="center"/>
              <w:rPr>
                <w:b/>
                <w:sz w:val="18"/>
                <w:szCs w:val="18"/>
              </w:rPr>
            </w:pPr>
            <w:r w:rsidRPr="00075794">
              <w:rPr>
                <w:b/>
                <w:sz w:val="18"/>
                <w:szCs w:val="18"/>
              </w:rPr>
              <w:t>7,5</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sz w:val="18"/>
                <w:szCs w:val="18"/>
              </w:rPr>
            </w:pPr>
            <w:r w:rsidRPr="000D1E8E">
              <w:rPr>
                <w:sz w:val="18"/>
                <w:szCs w:val="18"/>
              </w:rPr>
              <w:t>3,0</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sz w:val="18"/>
                <w:szCs w:val="18"/>
              </w:rPr>
            </w:pPr>
            <w:r w:rsidRPr="000D1E8E">
              <w:rPr>
                <w:sz w:val="18"/>
                <w:szCs w:val="18"/>
              </w:rPr>
              <w:t>3,75</w:t>
            </w:r>
          </w:p>
        </w:tc>
      </w:tr>
      <w:tr w:rsidR="00E969CD" w:rsidRPr="008144D7" w:rsidTr="00E969CD">
        <w:tc>
          <w:tcPr>
            <w:tcW w:w="2880" w:type="dxa"/>
            <w:tcBorders>
              <w:top w:val="single" w:sz="2" w:space="0" w:color="auto"/>
              <w:bottom w:val="single" w:sz="2" w:space="0" w:color="auto"/>
              <w:right w:val="single" w:sz="12" w:space="0" w:color="auto"/>
            </w:tcBorders>
            <w:shd w:val="clear" w:color="auto" w:fill="B8CCE4" w:themeFill="accent1" w:themeFillTint="66"/>
          </w:tcPr>
          <w:p w:rsidR="00E969CD" w:rsidRPr="000D1E8E" w:rsidRDefault="00E969CD" w:rsidP="00E969CD">
            <w:pPr>
              <w:spacing w:after="0" w:line="240" w:lineRule="auto"/>
              <w:ind w:firstLine="0"/>
              <w:rPr>
                <w:i/>
                <w:sz w:val="18"/>
                <w:szCs w:val="18"/>
              </w:rPr>
            </w:pPr>
            <w:r w:rsidRPr="000D1E8E">
              <w:rPr>
                <w:i/>
                <w:sz w:val="18"/>
                <w:szCs w:val="18"/>
              </w:rPr>
              <w:t>Orumo jausmas (a</w:t>
            </w:r>
            <w:r w:rsidRPr="000D1E8E">
              <w:rPr>
                <w:i/>
                <w:sz w:val="18"/>
                <w:szCs w:val="18"/>
                <w:vertAlign w:val="subscript"/>
              </w:rPr>
              <w:t>5</w:t>
            </w:r>
            <w:r w:rsidRPr="000D1E8E">
              <w:rPr>
                <w:i/>
                <w:sz w:val="18"/>
                <w:szCs w:val="18"/>
              </w:rPr>
              <w:t>)</w:t>
            </w:r>
          </w:p>
        </w:tc>
        <w:tc>
          <w:tcPr>
            <w:tcW w:w="1152"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b/>
                <w:sz w:val="18"/>
                <w:szCs w:val="18"/>
              </w:rPr>
            </w:pPr>
            <w:r w:rsidRPr="000D1E8E">
              <w:rPr>
                <w:b/>
                <w:sz w:val="18"/>
                <w:szCs w:val="18"/>
              </w:rPr>
              <w:t>1,5</w:t>
            </w:r>
          </w:p>
        </w:tc>
        <w:tc>
          <w:tcPr>
            <w:tcW w:w="1152"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4</w:t>
            </w:r>
          </w:p>
        </w:tc>
        <w:tc>
          <w:tcPr>
            <w:tcW w:w="1152"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E969CD" w:rsidRPr="000D1E8E" w:rsidRDefault="00E969CD" w:rsidP="00E969CD">
            <w:pPr>
              <w:spacing w:after="0" w:line="240" w:lineRule="auto"/>
              <w:ind w:firstLine="0"/>
              <w:jc w:val="center"/>
              <w:rPr>
                <w:b/>
                <w:sz w:val="18"/>
                <w:szCs w:val="18"/>
              </w:rPr>
            </w:pPr>
            <w:r w:rsidRPr="000D1E8E">
              <w:rPr>
                <w:b/>
                <w:sz w:val="18"/>
                <w:szCs w:val="18"/>
              </w:rPr>
              <w:t>6,0</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75794" w:rsidRDefault="00E969CD" w:rsidP="00E969CD">
            <w:pPr>
              <w:spacing w:after="0" w:line="240" w:lineRule="auto"/>
              <w:ind w:firstLine="0"/>
              <w:jc w:val="center"/>
              <w:rPr>
                <w:b/>
                <w:sz w:val="18"/>
                <w:szCs w:val="18"/>
              </w:rPr>
            </w:pPr>
            <w:r w:rsidRPr="00075794">
              <w:rPr>
                <w:b/>
                <w:sz w:val="18"/>
                <w:szCs w:val="18"/>
              </w:rPr>
              <w:t>6,0</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sz w:val="18"/>
                <w:szCs w:val="18"/>
              </w:rPr>
            </w:pPr>
            <w:r w:rsidRPr="000D1E8E">
              <w:rPr>
                <w:sz w:val="18"/>
                <w:szCs w:val="18"/>
              </w:rPr>
              <w:t>0,0</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sz w:val="18"/>
                <w:szCs w:val="18"/>
              </w:rPr>
            </w:pPr>
            <w:r w:rsidRPr="000D1E8E">
              <w:rPr>
                <w:sz w:val="18"/>
                <w:szCs w:val="18"/>
              </w:rPr>
              <w:t>3,00</w:t>
            </w:r>
          </w:p>
        </w:tc>
      </w:tr>
      <w:tr w:rsidR="00E969CD" w:rsidRPr="008144D7" w:rsidTr="00E969CD">
        <w:tc>
          <w:tcPr>
            <w:tcW w:w="2880" w:type="dxa"/>
            <w:tcBorders>
              <w:top w:val="single" w:sz="2" w:space="0" w:color="auto"/>
              <w:bottom w:val="single" w:sz="2" w:space="0" w:color="auto"/>
              <w:right w:val="single" w:sz="12" w:space="0" w:color="auto"/>
            </w:tcBorders>
            <w:shd w:val="clear" w:color="auto" w:fill="B8CCE4" w:themeFill="accent1" w:themeFillTint="66"/>
          </w:tcPr>
          <w:p w:rsidR="00E969CD" w:rsidRPr="000D1E8E" w:rsidRDefault="00E969CD" w:rsidP="00E969CD">
            <w:pPr>
              <w:spacing w:after="0" w:line="240" w:lineRule="auto"/>
              <w:ind w:firstLine="0"/>
              <w:rPr>
                <w:i/>
                <w:sz w:val="18"/>
                <w:szCs w:val="18"/>
              </w:rPr>
            </w:pPr>
            <w:r w:rsidRPr="000D1E8E">
              <w:rPr>
                <w:i/>
                <w:sz w:val="18"/>
                <w:szCs w:val="18"/>
              </w:rPr>
              <w:t>Motyvacijos stoka (a</w:t>
            </w:r>
            <w:r w:rsidRPr="000D1E8E">
              <w:rPr>
                <w:i/>
                <w:sz w:val="18"/>
                <w:szCs w:val="18"/>
                <w:vertAlign w:val="subscript"/>
              </w:rPr>
              <w:t>6</w:t>
            </w:r>
            <w:r w:rsidRPr="000D1E8E">
              <w:rPr>
                <w:i/>
                <w:sz w:val="18"/>
                <w:szCs w:val="18"/>
              </w:rPr>
              <w:t>)</w:t>
            </w:r>
          </w:p>
        </w:tc>
        <w:tc>
          <w:tcPr>
            <w:tcW w:w="1152"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b/>
                <w:sz w:val="18"/>
                <w:szCs w:val="18"/>
              </w:rPr>
            </w:pPr>
            <w:r w:rsidRPr="000D1E8E">
              <w:rPr>
                <w:b/>
                <w:sz w:val="18"/>
                <w:szCs w:val="18"/>
              </w:rPr>
              <w:t>2,0</w:t>
            </w:r>
          </w:p>
        </w:tc>
        <w:tc>
          <w:tcPr>
            <w:tcW w:w="1152"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3</w:t>
            </w:r>
          </w:p>
        </w:tc>
        <w:tc>
          <w:tcPr>
            <w:tcW w:w="1152"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E969CD" w:rsidRPr="000D1E8E" w:rsidRDefault="00E969CD" w:rsidP="00E969CD">
            <w:pPr>
              <w:spacing w:after="0" w:line="240" w:lineRule="auto"/>
              <w:ind w:firstLine="0"/>
              <w:jc w:val="center"/>
              <w:rPr>
                <w:b/>
                <w:sz w:val="18"/>
                <w:szCs w:val="18"/>
              </w:rPr>
            </w:pPr>
            <w:r w:rsidRPr="000D1E8E">
              <w:rPr>
                <w:b/>
                <w:sz w:val="18"/>
                <w:szCs w:val="18"/>
              </w:rPr>
              <w:t>6,0</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75794" w:rsidRDefault="00E969CD" w:rsidP="00E969CD">
            <w:pPr>
              <w:spacing w:after="0" w:line="240" w:lineRule="auto"/>
              <w:ind w:firstLine="0"/>
              <w:jc w:val="center"/>
              <w:rPr>
                <w:b/>
                <w:sz w:val="18"/>
                <w:szCs w:val="18"/>
              </w:rPr>
            </w:pPr>
            <w:r w:rsidRPr="00075794">
              <w:rPr>
                <w:b/>
                <w:sz w:val="18"/>
                <w:szCs w:val="18"/>
              </w:rPr>
              <w:t>8,0</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sz w:val="18"/>
                <w:szCs w:val="18"/>
              </w:rPr>
            </w:pPr>
            <w:r w:rsidRPr="000D1E8E">
              <w:rPr>
                <w:sz w:val="18"/>
                <w:szCs w:val="18"/>
              </w:rPr>
              <w:t>2,0</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sz w:val="18"/>
                <w:szCs w:val="18"/>
              </w:rPr>
            </w:pPr>
            <w:r w:rsidRPr="000D1E8E">
              <w:rPr>
                <w:sz w:val="18"/>
                <w:szCs w:val="18"/>
              </w:rPr>
              <w:t>4,00</w:t>
            </w:r>
          </w:p>
        </w:tc>
      </w:tr>
      <w:tr w:rsidR="00E969CD" w:rsidRPr="008144D7" w:rsidTr="00E969CD">
        <w:tc>
          <w:tcPr>
            <w:tcW w:w="2880" w:type="dxa"/>
            <w:tcBorders>
              <w:top w:val="single" w:sz="2" w:space="0" w:color="auto"/>
              <w:bottom w:val="single" w:sz="2" w:space="0" w:color="auto"/>
              <w:right w:val="single" w:sz="12" w:space="0" w:color="auto"/>
            </w:tcBorders>
            <w:shd w:val="clear" w:color="auto" w:fill="B8CCE4" w:themeFill="accent1" w:themeFillTint="66"/>
          </w:tcPr>
          <w:p w:rsidR="00E969CD" w:rsidRPr="000D1E8E" w:rsidRDefault="00E969CD" w:rsidP="00E969CD">
            <w:pPr>
              <w:spacing w:after="0" w:line="240" w:lineRule="auto"/>
              <w:ind w:firstLine="0"/>
              <w:rPr>
                <w:i/>
                <w:sz w:val="18"/>
                <w:szCs w:val="18"/>
              </w:rPr>
            </w:pPr>
            <w:r w:rsidRPr="000D1E8E">
              <w:rPr>
                <w:i/>
                <w:sz w:val="18"/>
                <w:szCs w:val="18"/>
              </w:rPr>
              <w:t>Perdėta savikliova (a</w:t>
            </w:r>
            <w:r w:rsidRPr="000D1E8E">
              <w:rPr>
                <w:i/>
                <w:sz w:val="18"/>
                <w:szCs w:val="18"/>
                <w:vertAlign w:val="subscript"/>
              </w:rPr>
              <w:t>7</w:t>
            </w:r>
            <w:r w:rsidRPr="000D1E8E">
              <w:rPr>
                <w:i/>
                <w:sz w:val="18"/>
                <w:szCs w:val="18"/>
              </w:rPr>
              <w:t>)</w:t>
            </w:r>
          </w:p>
        </w:tc>
        <w:tc>
          <w:tcPr>
            <w:tcW w:w="1152"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b/>
                <w:sz w:val="18"/>
                <w:szCs w:val="18"/>
              </w:rPr>
            </w:pPr>
            <w:r w:rsidRPr="000D1E8E">
              <w:rPr>
                <w:b/>
                <w:sz w:val="18"/>
                <w:szCs w:val="18"/>
              </w:rPr>
              <w:t>1,5</w:t>
            </w:r>
          </w:p>
        </w:tc>
        <w:tc>
          <w:tcPr>
            <w:tcW w:w="1152"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3</w:t>
            </w:r>
          </w:p>
        </w:tc>
        <w:tc>
          <w:tcPr>
            <w:tcW w:w="1152"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E969CD" w:rsidRPr="000D1E8E" w:rsidRDefault="00E969CD" w:rsidP="00E969CD">
            <w:pPr>
              <w:spacing w:after="0" w:line="240" w:lineRule="auto"/>
              <w:ind w:firstLine="0"/>
              <w:jc w:val="center"/>
              <w:rPr>
                <w:b/>
                <w:sz w:val="18"/>
                <w:szCs w:val="18"/>
              </w:rPr>
            </w:pPr>
            <w:r w:rsidRPr="000D1E8E">
              <w:rPr>
                <w:b/>
                <w:sz w:val="18"/>
                <w:szCs w:val="18"/>
              </w:rPr>
              <w:t>4,5</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75794" w:rsidRDefault="00E969CD" w:rsidP="00E969CD">
            <w:pPr>
              <w:spacing w:after="0" w:line="240" w:lineRule="auto"/>
              <w:ind w:firstLine="0"/>
              <w:jc w:val="center"/>
              <w:rPr>
                <w:b/>
                <w:sz w:val="18"/>
                <w:szCs w:val="18"/>
              </w:rPr>
            </w:pPr>
            <w:r w:rsidRPr="00075794">
              <w:rPr>
                <w:b/>
                <w:sz w:val="18"/>
                <w:szCs w:val="18"/>
              </w:rPr>
              <w:t>6,0</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sz w:val="18"/>
                <w:szCs w:val="18"/>
              </w:rPr>
            </w:pPr>
            <w:r w:rsidRPr="000D1E8E">
              <w:rPr>
                <w:sz w:val="18"/>
                <w:szCs w:val="18"/>
              </w:rPr>
              <w:t>1,5</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sz w:val="18"/>
                <w:szCs w:val="18"/>
              </w:rPr>
            </w:pPr>
            <w:r w:rsidRPr="000D1E8E">
              <w:rPr>
                <w:sz w:val="18"/>
                <w:szCs w:val="18"/>
              </w:rPr>
              <w:t>3,00</w:t>
            </w:r>
          </w:p>
        </w:tc>
      </w:tr>
      <w:tr w:rsidR="00E969CD" w:rsidRPr="008144D7" w:rsidTr="00E969CD">
        <w:tc>
          <w:tcPr>
            <w:tcW w:w="2880" w:type="dxa"/>
            <w:tcBorders>
              <w:top w:val="single" w:sz="2" w:space="0" w:color="auto"/>
              <w:bottom w:val="single" w:sz="2" w:space="0" w:color="auto"/>
              <w:right w:val="single" w:sz="12" w:space="0" w:color="auto"/>
            </w:tcBorders>
            <w:shd w:val="clear" w:color="auto" w:fill="B8CCE4" w:themeFill="accent1" w:themeFillTint="66"/>
          </w:tcPr>
          <w:p w:rsidR="00E969CD" w:rsidRPr="000D1E8E" w:rsidRDefault="00E969CD" w:rsidP="00E969CD">
            <w:pPr>
              <w:spacing w:after="0" w:line="240" w:lineRule="auto"/>
              <w:ind w:firstLine="0"/>
              <w:rPr>
                <w:i/>
                <w:sz w:val="18"/>
                <w:szCs w:val="18"/>
              </w:rPr>
            </w:pPr>
            <w:r w:rsidRPr="000D1E8E">
              <w:rPr>
                <w:i/>
                <w:sz w:val="18"/>
                <w:szCs w:val="18"/>
              </w:rPr>
              <w:t>Grupių įtaka (a</w:t>
            </w:r>
            <w:r w:rsidRPr="000D1E8E">
              <w:rPr>
                <w:i/>
                <w:sz w:val="18"/>
                <w:szCs w:val="18"/>
                <w:vertAlign w:val="subscript"/>
              </w:rPr>
              <w:t>8</w:t>
            </w:r>
            <w:r w:rsidRPr="000D1E8E">
              <w:rPr>
                <w:i/>
                <w:sz w:val="18"/>
                <w:szCs w:val="18"/>
              </w:rPr>
              <w:t>)</w:t>
            </w:r>
          </w:p>
        </w:tc>
        <w:tc>
          <w:tcPr>
            <w:tcW w:w="1152"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b/>
                <w:sz w:val="18"/>
                <w:szCs w:val="18"/>
              </w:rPr>
            </w:pPr>
            <w:r w:rsidRPr="000D1E8E">
              <w:rPr>
                <w:b/>
                <w:sz w:val="18"/>
                <w:szCs w:val="18"/>
              </w:rPr>
              <w:t>1,0</w:t>
            </w:r>
          </w:p>
        </w:tc>
        <w:tc>
          <w:tcPr>
            <w:tcW w:w="1152"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3</w:t>
            </w:r>
          </w:p>
        </w:tc>
        <w:tc>
          <w:tcPr>
            <w:tcW w:w="1152"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E969CD" w:rsidRPr="000D1E8E" w:rsidRDefault="00E969CD" w:rsidP="00E969CD">
            <w:pPr>
              <w:spacing w:after="0" w:line="240" w:lineRule="auto"/>
              <w:ind w:firstLine="0"/>
              <w:jc w:val="center"/>
              <w:rPr>
                <w:b/>
                <w:sz w:val="18"/>
                <w:szCs w:val="18"/>
              </w:rPr>
            </w:pPr>
            <w:r w:rsidRPr="000D1E8E">
              <w:rPr>
                <w:b/>
                <w:sz w:val="18"/>
                <w:szCs w:val="18"/>
              </w:rPr>
              <w:t>3,0</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75794" w:rsidRDefault="00E969CD" w:rsidP="00E969CD">
            <w:pPr>
              <w:spacing w:after="0" w:line="240" w:lineRule="auto"/>
              <w:ind w:firstLine="0"/>
              <w:jc w:val="center"/>
              <w:rPr>
                <w:b/>
                <w:sz w:val="18"/>
                <w:szCs w:val="18"/>
              </w:rPr>
            </w:pPr>
            <w:r w:rsidRPr="00075794">
              <w:rPr>
                <w:b/>
                <w:sz w:val="18"/>
                <w:szCs w:val="18"/>
              </w:rPr>
              <w:t>5,0</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sz w:val="18"/>
                <w:szCs w:val="18"/>
              </w:rPr>
            </w:pPr>
            <w:r w:rsidRPr="000D1E8E">
              <w:rPr>
                <w:sz w:val="18"/>
                <w:szCs w:val="18"/>
              </w:rPr>
              <w:t>2,0</w:t>
            </w:r>
          </w:p>
        </w:tc>
        <w:tc>
          <w:tcPr>
            <w:tcW w:w="1296" w:type="dxa"/>
            <w:tcBorders>
              <w:top w:val="single" w:sz="2" w:space="0" w:color="auto"/>
              <w:left w:val="single" w:sz="12" w:space="0" w:color="auto"/>
              <w:bottom w:val="single" w:sz="2" w:space="0" w:color="auto"/>
            </w:tcBorders>
            <w:shd w:val="clear" w:color="auto" w:fill="B8CCE4" w:themeFill="accent1" w:themeFillTint="66"/>
          </w:tcPr>
          <w:p w:rsidR="00E969CD" w:rsidRPr="000D1E8E" w:rsidRDefault="00E969CD" w:rsidP="00E969CD">
            <w:pPr>
              <w:spacing w:after="0" w:line="240" w:lineRule="auto"/>
              <w:ind w:firstLine="0"/>
              <w:jc w:val="center"/>
              <w:rPr>
                <w:sz w:val="18"/>
                <w:szCs w:val="18"/>
              </w:rPr>
            </w:pPr>
            <w:r w:rsidRPr="000D1E8E">
              <w:rPr>
                <w:sz w:val="18"/>
                <w:szCs w:val="18"/>
              </w:rPr>
              <w:t>2,50</w:t>
            </w:r>
          </w:p>
        </w:tc>
      </w:tr>
      <w:tr w:rsidR="00E969CD" w:rsidRPr="008144D7" w:rsidTr="00E969CD">
        <w:tc>
          <w:tcPr>
            <w:tcW w:w="2880" w:type="dxa"/>
            <w:tcBorders>
              <w:top w:val="single" w:sz="2" w:space="0" w:color="auto"/>
              <w:bottom w:val="single" w:sz="12" w:space="0" w:color="auto"/>
              <w:right w:val="single" w:sz="12" w:space="0" w:color="auto"/>
            </w:tcBorders>
            <w:shd w:val="clear" w:color="auto" w:fill="B8CCE4" w:themeFill="accent1" w:themeFillTint="66"/>
          </w:tcPr>
          <w:p w:rsidR="00E969CD" w:rsidRPr="000D1E8E" w:rsidRDefault="00E969CD" w:rsidP="00E969CD">
            <w:pPr>
              <w:spacing w:after="0" w:line="240" w:lineRule="auto"/>
              <w:ind w:firstLine="0"/>
              <w:rPr>
                <w:i/>
                <w:sz w:val="18"/>
                <w:szCs w:val="18"/>
              </w:rPr>
            </w:pPr>
            <w:r w:rsidRPr="000D1E8E">
              <w:rPr>
                <w:i/>
                <w:sz w:val="18"/>
                <w:szCs w:val="18"/>
              </w:rPr>
              <w:t>Materialios vertybės (a</w:t>
            </w:r>
            <w:r w:rsidRPr="000D1E8E">
              <w:rPr>
                <w:i/>
                <w:sz w:val="18"/>
                <w:szCs w:val="18"/>
                <w:vertAlign w:val="subscript"/>
              </w:rPr>
              <w:t>9</w:t>
            </w:r>
            <w:r w:rsidRPr="000D1E8E">
              <w:rPr>
                <w:i/>
                <w:sz w:val="18"/>
                <w:szCs w:val="18"/>
              </w:rPr>
              <w:t>)</w:t>
            </w:r>
          </w:p>
        </w:tc>
        <w:tc>
          <w:tcPr>
            <w:tcW w:w="1152" w:type="dxa"/>
            <w:tcBorders>
              <w:top w:val="single" w:sz="2" w:space="0" w:color="auto"/>
              <w:left w:val="single" w:sz="12" w:space="0" w:color="auto"/>
              <w:bottom w:val="single" w:sz="12" w:space="0" w:color="auto"/>
            </w:tcBorders>
            <w:shd w:val="clear" w:color="auto" w:fill="B8CCE4" w:themeFill="accent1" w:themeFillTint="66"/>
          </w:tcPr>
          <w:p w:rsidR="00E969CD" w:rsidRPr="000D1E8E" w:rsidRDefault="00E969CD" w:rsidP="00E969CD">
            <w:pPr>
              <w:spacing w:after="0" w:line="240" w:lineRule="auto"/>
              <w:ind w:firstLine="0"/>
              <w:jc w:val="center"/>
              <w:rPr>
                <w:b/>
                <w:sz w:val="18"/>
                <w:szCs w:val="18"/>
              </w:rPr>
            </w:pPr>
            <w:r w:rsidRPr="000D1E8E">
              <w:rPr>
                <w:b/>
                <w:sz w:val="18"/>
                <w:szCs w:val="18"/>
              </w:rPr>
              <w:t>1,5</w:t>
            </w:r>
          </w:p>
        </w:tc>
        <w:tc>
          <w:tcPr>
            <w:tcW w:w="1152" w:type="dxa"/>
            <w:tcBorders>
              <w:top w:val="single" w:sz="2" w:space="0" w:color="auto"/>
              <w:left w:val="single" w:sz="12" w:space="0" w:color="auto"/>
              <w:bottom w:val="single" w:sz="12" w:space="0" w:color="auto"/>
            </w:tcBorders>
            <w:shd w:val="clear" w:color="auto" w:fill="B8CCE4" w:themeFill="accent1"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2</w:t>
            </w:r>
          </w:p>
        </w:tc>
        <w:tc>
          <w:tcPr>
            <w:tcW w:w="1152"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E969CD" w:rsidRPr="000D1E8E" w:rsidRDefault="00E969CD" w:rsidP="00E969CD">
            <w:pPr>
              <w:spacing w:after="0" w:line="240" w:lineRule="auto"/>
              <w:ind w:firstLine="0"/>
              <w:jc w:val="center"/>
              <w:rPr>
                <w:b/>
                <w:sz w:val="18"/>
                <w:szCs w:val="18"/>
              </w:rPr>
            </w:pPr>
            <w:r w:rsidRPr="000D1E8E">
              <w:rPr>
                <w:b/>
                <w:sz w:val="18"/>
                <w:szCs w:val="18"/>
              </w:rPr>
              <w:t>3,0</w:t>
            </w:r>
          </w:p>
        </w:tc>
        <w:tc>
          <w:tcPr>
            <w:tcW w:w="1296" w:type="dxa"/>
            <w:tcBorders>
              <w:top w:val="single" w:sz="2" w:space="0" w:color="auto"/>
              <w:left w:val="single" w:sz="12" w:space="0" w:color="auto"/>
              <w:bottom w:val="single" w:sz="12" w:space="0" w:color="auto"/>
            </w:tcBorders>
            <w:shd w:val="clear" w:color="auto" w:fill="B8CCE4" w:themeFill="accent1" w:themeFillTint="66"/>
          </w:tcPr>
          <w:p w:rsidR="00E969CD" w:rsidRPr="00075794" w:rsidRDefault="00E969CD" w:rsidP="00E969CD">
            <w:pPr>
              <w:spacing w:after="0" w:line="240" w:lineRule="auto"/>
              <w:ind w:firstLine="0"/>
              <w:jc w:val="center"/>
              <w:rPr>
                <w:b/>
                <w:sz w:val="18"/>
                <w:szCs w:val="18"/>
              </w:rPr>
            </w:pPr>
            <w:r w:rsidRPr="00075794">
              <w:rPr>
                <w:b/>
                <w:sz w:val="18"/>
                <w:szCs w:val="18"/>
              </w:rPr>
              <w:t>6,0</w:t>
            </w:r>
          </w:p>
        </w:tc>
        <w:tc>
          <w:tcPr>
            <w:tcW w:w="1296" w:type="dxa"/>
            <w:tcBorders>
              <w:top w:val="single" w:sz="2" w:space="0" w:color="auto"/>
              <w:left w:val="single" w:sz="12" w:space="0" w:color="auto"/>
              <w:bottom w:val="single" w:sz="12" w:space="0" w:color="auto"/>
            </w:tcBorders>
            <w:shd w:val="clear" w:color="auto" w:fill="B8CCE4" w:themeFill="accent1" w:themeFillTint="66"/>
          </w:tcPr>
          <w:p w:rsidR="00E969CD" w:rsidRPr="000D1E8E" w:rsidRDefault="00E969CD" w:rsidP="00E969CD">
            <w:pPr>
              <w:spacing w:after="0" w:line="240" w:lineRule="auto"/>
              <w:ind w:firstLine="0"/>
              <w:jc w:val="center"/>
              <w:rPr>
                <w:sz w:val="18"/>
                <w:szCs w:val="18"/>
              </w:rPr>
            </w:pPr>
            <w:r w:rsidRPr="000D1E8E">
              <w:rPr>
                <w:sz w:val="18"/>
                <w:szCs w:val="18"/>
              </w:rPr>
              <w:t>3,0</w:t>
            </w:r>
          </w:p>
        </w:tc>
        <w:tc>
          <w:tcPr>
            <w:tcW w:w="1296" w:type="dxa"/>
            <w:tcBorders>
              <w:top w:val="single" w:sz="2" w:space="0" w:color="auto"/>
              <w:left w:val="single" w:sz="12" w:space="0" w:color="auto"/>
              <w:bottom w:val="single" w:sz="12" w:space="0" w:color="auto"/>
            </w:tcBorders>
            <w:shd w:val="clear" w:color="auto" w:fill="B8CCE4" w:themeFill="accent1" w:themeFillTint="66"/>
          </w:tcPr>
          <w:p w:rsidR="00E969CD" w:rsidRPr="000D1E8E" w:rsidRDefault="00E969CD" w:rsidP="00E969CD">
            <w:pPr>
              <w:spacing w:after="0" w:line="240" w:lineRule="auto"/>
              <w:ind w:firstLine="0"/>
              <w:jc w:val="center"/>
              <w:rPr>
                <w:sz w:val="18"/>
                <w:szCs w:val="18"/>
              </w:rPr>
            </w:pPr>
            <w:r w:rsidRPr="000D1E8E">
              <w:rPr>
                <w:sz w:val="18"/>
                <w:szCs w:val="18"/>
              </w:rPr>
              <w:t>3,00</w:t>
            </w:r>
          </w:p>
        </w:tc>
      </w:tr>
      <w:tr w:rsidR="00E969CD" w:rsidRPr="008144D7" w:rsidTr="00E969CD">
        <w:tc>
          <w:tcPr>
            <w:tcW w:w="2880" w:type="dxa"/>
            <w:tcBorders>
              <w:top w:val="single" w:sz="12" w:space="0" w:color="auto"/>
              <w:bottom w:val="single" w:sz="12" w:space="0" w:color="auto"/>
              <w:right w:val="single" w:sz="12" w:space="0" w:color="auto"/>
            </w:tcBorders>
            <w:shd w:val="clear" w:color="auto" w:fill="D9D9D9" w:themeFill="background1" w:themeFillShade="D9"/>
            <w:vAlign w:val="center"/>
          </w:tcPr>
          <w:p w:rsidR="00E969CD" w:rsidRPr="0026790D" w:rsidRDefault="00E969CD" w:rsidP="00E969CD">
            <w:pPr>
              <w:spacing w:after="0" w:line="240" w:lineRule="auto"/>
              <w:ind w:firstLine="0"/>
              <w:jc w:val="right"/>
              <w:rPr>
                <w:b/>
                <w:i/>
                <w:sz w:val="17"/>
                <w:szCs w:val="17"/>
              </w:rPr>
            </w:pPr>
            <w:r w:rsidRPr="0026790D">
              <w:rPr>
                <w:b/>
                <w:i/>
                <w:sz w:val="17"/>
                <w:szCs w:val="17"/>
              </w:rPr>
              <w:t>SUMA:</w:t>
            </w:r>
          </w:p>
        </w:tc>
        <w:tc>
          <w:tcPr>
            <w:tcW w:w="1152"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6790D" w:rsidRDefault="00E969CD" w:rsidP="00E969CD">
            <w:pPr>
              <w:spacing w:after="0" w:line="240" w:lineRule="auto"/>
              <w:ind w:firstLine="0"/>
              <w:jc w:val="center"/>
              <w:rPr>
                <w:b/>
                <w:color w:val="0070C0"/>
                <w:sz w:val="17"/>
                <w:szCs w:val="17"/>
              </w:rPr>
            </w:pPr>
            <w:r w:rsidRPr="0026790D">
              <w:rPr>
                <w:b/>
                <w:color w:val="0070C0"/>
                <w:sz w:val="17"/>
                <w:szCs w:val="17"/>
              </w:rPr>
              <w:t>-</w:t>
            </w:r>
          </w:p>
        </w:tc>
        <w:tc>
          <w:tcPr>
            <w:tcW w:w="1152"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6790D" w:rsidRDefault="00E969CD" w:rsidP="00E969CD">
            <w:pPr>
              <w:widowControl/>
              <w:autoSpaceDE w:val="0"/>
              <w:autoSpaceDN w:val="0"/>
              <w:adjustRightInd w:val="0"/>
              <w:spacing w:after="0" w:line="240" w:lineRule="auto"/>
              <w:ind w:firstLine="0"/>
              <w:jc w:val="center"/>
              <w:rPr>
                <w:b/>
                <w:color w:val="000000"/>
                <w:sz w:val="17"/>
                <w:szCs w:val="17"/>
              </w:rPr>
            </w:pPr>
            <w:r w:rsidRPr="0026790D">
              <w:rPr>
                <w:b/>
                <w:color w:val="000000"/>
                <w:sz w:val="17"/>
                <w:szCs w:val="17"/>
              </w:rPr>
              <w:t>21</w:t>
            </w:r>
          </w:p>
        </w:tc>
        <w:tc>
          <w:tcPr>
            <w:tcW w:w="1152"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E969CD" w:rsidRPr="0026790D" w:rsidRDefault="00E969CD" w:rsidP="00E969CD">
            <w:pPr>
              <w:spacing w:after="0" w:line="240" w:lineRule="auto"/>
              <w:ind w:firstLine="0"/>
              <w:jc w:val="center"/>
              <w:rPr>
                <w:b/>
                <w:color w:val="FF0000"/>
                <w:sz w:val="17"/>
                <w:szCs w:val="17"/>
              </w:rPr>
            </w:pPr>
            <w:r w:rsidRPr="0026790D">
              <w:rPr>
                <w:b/>
                <w:color w:val="FF0000"/>
                <w:sz w:val="17"/>
                <w:szCs w:val="17"/>
              </w:rPr>
              <w:t>31,5</w:t>
            </w:r>
          </w:p>
        </w:tc>
        <w:tc>
          <w:tcPr>
            <w:tcW w:w="1296"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6790D" w:rsidRDefault="00E969CD" w:rsidP="00E969CD">
            <w:pPr>
              <w:spacing w:after="0" w:line="240" w:lineRule="auto"/>
              <w:ind w:firstLine="0"/>
              <w:jc w:val="center"/>
              <w:rPr>
                <w:b/>
                <w:color w:val="0070C0"/>
                <w:sz w:val="17"/>
                <w:szCs w:val="17"/>
              </w:rPr>
            </w:pPr>
            <w:r w:rsidRPr="0026790D">
              <w:rPr>
                <w:b/>
                <w:color w:val="0070C0"/>
                <w:sz w:val="17"/>
                <w:szCs w:val="17"/>
              </w:rPr>
              <w:t>58,0</w:t>
            </w:r>
          </w:p>
        </w:tc>
        <w:tc>
          <w:tcPr>
            <w:tcW w:w="1296"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6790D" w:rsidRDefault="00E969CD" w:rsidP="00E969CD">
            <w:pPr>
              <w:spacing w:after="0" w:line="240" w:lineRule="auto"/>
              <w:ind w:firstLine="0"/>
              <w:jc w:val="center"/>
              <w:rPr>
                <w:b/>
                <w:sz w:val="17"/>
                <w:szCs w:val="17"/>
              </w:rPr>
            </w:pPr>
            <w:r w:rsidRPr="0026790D">
              <w:rPr>
                <w:b/>
                <w:sz w:val="17"/>
                <w:szCs w:val="17"/>
              </w:rPr>
              <w:t>26,5</w:t>
            </w:r>
          </w:p>
        </w:tc>
        <w:tc>
          <w:tcPr>
            <w:tcW w:w="1296"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6790D" w:rsidRDefault="00E969CD" w:rsidP="00E969CD">
            <w:pPr>
              <w:spacing w:after="0" w:line="240" w:lineRule="auto"/>
              <w:ind w:firstLine="0"/>
              <w:jc w:val="center"/>
              <w:rPr>
                <w:b/>
                <w:color w:val="FF66CC"/>
                <w:sz w:val="17"/>
                <w:szCs w:val="17"/>
              </w:rPr>
            </w:pPr>
            <w:r w:rsidRPr="0026790D">
              <w:rPr>
                <w:b/>
                <w:color w:val="FF66CC"/>
                <w:sz w:val="17"/>
                <w:szCs w:val="17"/>
              </w:rPr>
              <w:t>29,0</w:t>
            </w:r>
          </w:p>
        </w:tc>
      </w:tr>
      <w:tr w:rsidR="00E969CD" w:rsidRPr="00152F50" w:rsidTr="00E969CD">
        <w:tc>
          <w:tcPr>
            <w:tcW w:w="10224" w:type="dxa"/>
            <w:gridSpan w:val="7"/>
            <w:tcBorders>
              <w:top w:val="single" w:sz="12" w:space="0" w:color="auto"/>
              <w:bottom w:val="single" w:sz="12" w:space="0" w:color="auto"/>
            </w:tcBorders>
            <w:shd w:val="clear" w:color="auto" w:fill="auto"/>
            <w:vAlign w:val="center"/>
          </w:tcPr>
          <w:p w:rsidR="00E969CD" w:rsidRPr="00152F50" w:rsidRDefault="00E969CD" w:rsidP="00E969CD">
            <w:pPr>
              <w:spacing w:after="0" w:line="240" w:lineRule="auto"/>
              <w:ind w:firstLine="0"/>
              <w:jc w:val="center"/>
              <w:rPr>
                <w:color w:val="FF66CC"/>
                <w:sz w:val="6"/>
                <w:szCs w:val="6"/>
              </w:rPr>
            </w:pPr>
          </w:p>
        </w:tc>
      </w:tr>
      <w:tr w:rsidR="00E969CD" w:rsidRPr="002945A6" w:rsidTr="00E969CD">
        <w:trPr>
          <w:trHeight w:val="249"/>
        </w:trPr>
        <w:tc>
          <w:tcPr>
            <w:tcW w:w="2880" w:type="dxa"/>
            <w:tcBorders>
              <w:top w:val="single" w:sz="12" w:space="0" w:color="auto"/>
              <w:bottom w:val="single" w:sz="12" w:space="0" w:color="auto"/>
              <w:right w:val="single" w:sz="12" w:space="0" w:color="auto"/>
            </w:tcBorders>
            <w:shd w:val="clear" w:color="auto" w:fill="D9D9D9" w:themeFill="background1" w:themeFillShade="D9"/>
            <w:vAlign w:val="center"/>
          </w:tcPr>
          <w:p w:rsidR="00E969CD" w:rsidRPr="002945A6" w:rsidRDefault="00E969CD" w:rsidP="00E969CD">
            <w:pPr>
              <w:spacing w:after="0" w:line="240" w:lineRule="auto"/>
              <w:ind w:firstLine="0"/>
              <w:jc w:val="center"/>
              <w:rPr>
                <w:b/>
                <w:i/>
                <w:sz w:val="17"/>
                <w:szCs w:val="17"/>
              </w:rPr>
            </w:pPr>
            <w:r>
              <w:rPr>
                <w:b/>
                <w:i/>
                <w:sz w:val="17"/>
                <w:szCs w:val="17"/>
              </w:rPr>
              <w:t>- B</w:t>
            </w:r>
            <w:r w:rsidRPr="002945A6">
              <w:rPr>
                <w:b/>
                <w:i/>
                <w:sz w:val="17"/>
                <w:szCs w:val="17"/>
              </w:rPr>
              <w:t> -</w:t>
            </w:r>
          </w:p>
        </w:tc>
        <w:tc>
          <w:tcPr>
            <w:tcW w:w="1152"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945A6" w:rsidRDefault="00E969CD" w:rsidP="00E969CD">
            <w:pPr>
              <w:spacing w:after="0" w:line="240" w:lineRule="auto"/>
              <w:ind w:firstLine="0"/>
              <w:jc w:val="center"/>
              <w:rPr>
                <w:b/>
                <w:i/>
                <w:sz w:val="17"/>
                <w:szCs w:val="17"/>
              </w:rPr>
            </w:pPr>
            <w:r w:rsidRPr="002945A6">
              <w:rPr>
                <w:b/>
                <w:i/>
                <w:sz w:val="17"/>
                <w:szCs w:val="17"/>
              </w:rPr>
              <w:t>K</w:t>
            </w:r>
          </w:p>
        </w:tc>
        <w:tc>
          <w:tcPr>
            <w:tcW w:w="1152"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945A6" w:rsidRDefault="00E969CD" w:rsidP="00E969CD">
            <w:pPr>
              <w:spacing w:after="0" w:line="240" w:lineRule="auto"/>
              <w:ind w:firstLine="0"/>
              <w:jc w:val="center"/>
              <w:rPr>
                <w:b/>
                <w:i/>
                <w:sz w:val="17"/>
                <w:szCs w:val="17"/>
              </w:rPr>
            </w:pPr>
            <w:proofErr w:type="spellStart"/>
            <w:r w:rsidRPr="002945A6">
              <w:rPr>
                <w:b/>
                <w:i/>
                <w:sz w:val="17"/>
                <w:szCs w:val="17"/>
              </w:rPr>
              <w:t>M</w:t>
            </w:r>
            <w:r>
              <w:rPr>
                <w:b/>
                <w:i/>
                <w:sz w:val="17"/>
                <w:szCs w:val="17"/>
              </w:rPr>
              <w:t>o</w:t>
            </w:r>
            <w:proofErr w:type="spellEnd"/>
          </w:p>
        </w:tc>
        <w:tc>
          <w:tcPr>
            <w:tcW w:w="1152" w:type="dxa"/>
            <w:tcBorders>
              <w:top w:val="single" w:sz="12" w:space="0" w:color="auto"/>
              <w:left w:val="single" w:sz="2" w:space="0" w:color="auto"/>
              <w:right w:val="single" w:sz="12" w:space="0" w:color="auto"/>
            </w:tcBorders>
            <w:shd w:val="clear" w:color="auto" w:fill="D9D9D9" w:themeFill="background1" w:themeFillShade="D9"/>
            <w:vAlign w:val="center"/>
          </w:tcPr>
          <w:p w:rsidR="00E969CD" w:rsidRPr="000D1E8E" w:rsidRDefault="00E969CD" w:rsidP="00E969CD">
            <w:pPr>
              <w:widowControl/>
              <w:autoSpaceDE w:val="0"/>
              <w:autoSpaceDN w:val="0"/>
              <w:adjustRightInd w:val="0"/>
              <w:spacing w:after="0" w:line="240" w:lineRule="auto"/>
              <w:ind w:firstLine="0"/>
              <w:jc w:val="center"/>
              <w:rPr>
                <w:b/>
                <w:i/>
                <w:color w:val="FF0000"/>
                <w:sz w:val="17"/>
                <w:szCs w:val="17"/>
              </w:rPr>
            </w:pPr>
            <w:r w:rsidRPr="000D1E8E">
              <w:rPr>
                <w:b/>
                <w:i/>
                <w:color w:val="FF0000"/>
                <w:sz w:val="17"/>
                <w:szCs w:val="17"/>
              </w:rPr>
              <w:t>Svertinis</w:t>
            </w:r>
          </w:p>
          <w:p w:rsidR="00E969CD" w:rsidRPr="000D1E8E" w:rsidRDefault="00E969CD" w:rsidP="00E969CD">
            <w:pPr>
              <w:widowControl/>
              <w:autoSpaceDE w:val="0"/>
              <w:autoSpaceDN w:val="0"/>
              <w:adjustRightInd w:val="0"/>
              <w:spacing w:after="0" w:line="240" w:lineRule="auto"/>
              <w:ind w:firstLine="0"/>
              <w:jc w:val="center"/>
              <w:rPr>
                <w:b/>
                <w:i/>
                <w:color w:val="FF0000"/>
                <w:sz w:val="17"/>
                <w:szCs w:val="17"/>
              </w:rPr>
            </w:pPr>
            <w:r w:rsidRPr="000D1E8E">
              <w:rPr>
                <w:b/>
                <w:i/>
                <w:color w:val="FF0000"/>
                <w:sz w:val="17"/>
                <w:szCs w:val="17"/>
              </w:rPr>
              <w:t>balas</w:t>
            </w:r>
          </w:p>
        </w:tc>
        <w:tc>
          <w:tcPr>
            <w:tcW w:w="1296" w:type="dxa"/>
            <w:tcBorders>
              <w:top w:val="single" w:sz="12" w:space="0" w:color="auto"/>
              <w:left w:val="single" w:sz="12" w:space="0" w:color="auto"/>
            </w:tcBorders>
            <w:shd w:val="clear" w:color="auto" w:fill="D9D9D9" w:themeFill="background1" w:themeFillShade="D9"/>
            <w:vAlign w:val="center"/>
          </w:tcPr>
          <w:p w:rsidR="00E969CD" w:rsidRPr="000D1E8E" w:rsidRDefault="00E969CD" w:rsidP="00E969CD">
            <w:pPr>
              <w:spacing w:after="0" w:line="240" w:lineRule="auto"/>
              <w:ind w:firstLine="0"/>
              <w:jc w:val="center"/>
              <w:rPr>
                <w:b/>
                <w:i/>
                <w:color w:val="0070C0"/>
                <w:sz w:val="17"/>
                <w:szCs w:val="17"/>
              </w:rPr>
            </w:pPr>
            <w:r w:rsidRPr="000D1E8E">
              <w:rPr>
                <w:b/>
                <w:i/>
                <w:color w:val="8C3A8E"/>
                <w:sz w:val="17"/>
                <w:szCs w:val="17"/>
              </w:rPr>
              <w:t>Pageidautina reikšmė</w:t>
            </w:r>
          </w:p>
        </w:tc>
        <w:tc>
          <w:tcPr>
            <w:tcW w:w="1296" w:type="dxa"/>
            <w:tcBorders>
              <w:top w:val="single" w:sz="12" w:space="0" w:color="auto"/>
              <w:left w:val="single" w:sz="12" w:space="0" w:color="auto"/>
            </w:tcBorders>
            <w:shd w:val="clear" w:color="auto" w:fill="D9D9D9" w:themeFill="background1" w:themeFillShade="D9"/>
            <w:vAlign w:val="center"/>
          </w:tcPr>
          <w:p w:rsidR="00E969CD" w:rsidRPr="000D1E8E" w:rsidRDefault="00E969CD" w:rsidP="00E969CD">
            <w:pPr>
              <w:spacing w:after="0" w:line="240" w:lineRule="auto"/>
              <w:ind w:firstLine="0"/>
              <w:jc w:val="center"/>
              <w:rPr>
                <w:b/>
                <w:i/>
                <w:sz w:val="17"/>
                <w:szCs w:val="17"/>
              </w:rPr>
            </w:pPr>
            <w:r w:rsidRPr="000D1E8E">
              <w:rPr>
                <w:b/>
                <w:i/>
                <w:sz w:val="17"/>
                <w:szCs w:val="17"/>
              </w:rPr>
              <w:t>Skirtumas</w:t>
            </w:r>
          </w:p>
        </w:tc>
        <w:tc>
          <w:tcPr>
            <w:tcW w:w="1296" w:type="dxa"/>
            <w:tcBorders>
              <w:top w:val="single" w:sz="12" w:space="0" w:color="auto"/>
              <w:left w:val="single" w:sz="12" w:space="0" w:color="auto"/>
            </w:tcBorders>
            <w:shd w:val="clear" w:color="auto" w:fill="D9D9D9" w:themeFill="background1" w:themeFillShade="D9"/>
            <w:vAlign w:val="center"/>
          </w:tcPr>
          <w:p w:rsidR="00E969CD" w:rsidRPr="002945A6" w:rsidRDefault="00E969CD" w:rsidP="00E969CD">
            <w:pPr>
              <w:spacing w:after="0" w:line="240" w:lineRule="auto"/>
              <w:ind w:firstLine="0"/>
              <w:jc w:val="center"/>
              <w:rPr>
                <w:b/>
                <w:i/>
                <w:color w:val="0070C0"/>
                <w:sz w:val="17"/>
                <w:szCs w:val="17"/>
              </w:rPr>
            </w:pPr>
            <w:r w:rsidRPr="000D1E8E">
              <w:rPr>
                <w:b/>
                <w:i/>
                <w:color w:val="FF66CC"/>
                <w:sz w:val="17"/>
                <w:szCs w:val="17"/>
              </w:rPr>
              <w:t>„Pusiausvyros taškas“</w:t>
            </w:r>
          </w:p>
        </w:tc>
      </w:tr>
      <w:tr w:rsidR="00E969CD" w:rsidRPr="008144D7" w:rsidTr="00E969CD">
        <w:tc>
          <w:tcPr>
            <w:tcW w:w="2880" w:type="dxa"/>
            <w:tcBorders>
              <w:top w:val="single" w:sz="12" w:space="0" w:color="auto"/>
              <w:bottom w:val="single" w:sz="2" w:space="0" w:color="auto"/>
              <w:right w:val="single" w:sz="12" w:space="0" w:color="auto"/>
            </w:tcBorders>
            <w:shd w:val="clear" w:color="auto" w:fill="CCC0D9" w:themeFill="accent4" w:themeFillTint="66"/>
          </w:tcPr>
          <w:p w:rsidR="00E969CD" w:rsidRPr="000D1E8E" w:rsidRDefault="00E969CD" w:rsidP="00E969CD">
            <w:pPr>
              <w:spacing w:after="0" w:line="240" w:lineRule="auto"/>
              <w:ind w:firstLine="0"/>
              <w:rPr>
                <w:i/>
                <w:sz w:val="18"/>
                <w:szCs w:val="18"/>
              </w:rPr>
            </w:pPr>
            <w:r w:rsidRPr="000D1E8E">
              <w:rPr>
                <w:i/>
                <w:sz w:val="18"/>
                <w:szCs w:val="18"/>
              </w:rPr>
              <w:t>Menkas išsilavinimas (b</w:t>
            </w:r>
            <w:r w:rsidRPr="000D1E8E">
              <w:rPr>
                <w:i/>
                <w:sz w:val="18"/>
                <w:szCs w:val="18"/>
                <w:vertAlign w:val="subscript"/>
              </w:rPr>
              <w:t>1</w:t>
            </w:r>
            <w:r w:rsidRPr="000D1E8E">
              <w:rPr>
                <w:i/>
                <w:sz w:val="18"/>
                <w:szCs w:val="18"/>
              </w:rPr>
              <w:t>)</w:t>
            </w:r>
          </w:p>
        </w:tc>
        <w:tc>
          <w:tcPr>
            <w:tcW w:w="1152" w:type="dxa"/>
            <w:tcBorders>
              <w:top w:val="single" w:sz="1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b/>
                <w:sz w:val="18"/>
                <w:szCs w:val="18"/>
              </w:rPr>
            </w:pPr>
            <w:r>
              <w:rPr>
                <w:b/>
                <w:sz w:val="18"/>
                <w:szCs w:val="18"/>
              </w:rPr>
              <w:t>2,0</w:t>
            </w:r>
          </w:p>
        </w:tc>
        <w:tc>
          <w:tcPr>
            <w:tcW w:w="1152" w:type="dxa"/>
            <w:tcBorders>
              <w:top w:val="single" w:sz="12" w:space="0" w:color="auto"/>
              <w:left w:val="single" w:sz="12" w:space="0" w:color="auto"/>
              <w:bottom w:val="single" w:sz="2" w:space="0" w:color="auto"/>
            </w:tcBorders>
            <w:shd w:val="clear" w:color="auto" w:fill="CCC0D9" w:themeFill="accent4"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2</w:t>
            </w:r>
          </w:p>
        </w:tc>
        <w:tc>
          <w:tcPr>
            <w:tcW w:w="1152" w:type="dxa"/>
            <w:tcBorders>
              <w:top w:val="single" w:sz="12" w:space="0" w:color="auto"/>
              <w:left w:val="single" w:sz="2" w:space="0" w:color="auto"/>
              <w:bottom w:val="single" w:sz="2" w:space="0" w:color="auto"/>
              <w:right w:val="single" w:sz="12" w:space="0" w:color="auto"/>
            </w:tcBorders>
            <w:shd w:val="clear" w:color="auto" w:fill="CCC0D9" w:themeFill="accent4" w:themeFillTint="66"/>
          </w:tcPr>
          <w:p w:rsidR="00E969CD" w:rsidRPr="000D1E8E" w:rsidRDefault="00E969CD" w:rsidP="00E969CD">
            <w:pPr>
              <w:spacing w:after="0" w:line="240" w:lineRule="auto"/>
              <w:ind w:firstLine="0"/>
              <w:jc w:val="center"/>
              <w:rPr>
                <w:b/>
                <w:sz w:val="18"/>
                <w:szCs w:val="18"/>
              </w:rPr>
            </w:pPr>
            <w:r w:rsidRPr="000D1E8E">
              <w:rPr>
                <w:b/>
                <w:sz w:val="18"/>
                <w:szCs w:val="18"/>
              </w:rPr>
              <w:t>4,0</w:t>
            </w:r>
          </w:p>
        </w:tc>
        <w:tc>
          <w:tcPr>
            <w:tcW w:w="1296" w:type="dxa"/>
            <w:tcBorders>
              <w:top w:val="single" w:sz="1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4,0</w:t>
            </w:r>
          </w:p>
        </w:tc>
        <w:tc>
          <w:tcPr>
            <w:tcW w:w="1296" w:type="dxa"/>
            <w:tcBorders>
              <w:top w:val="single" w:sz="1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0,0</w:t>
            </w:r>
          </w:p>
        </w:tc>
        <w:tc>
          <w:tcPr>
            <w:tcW w:w="1296" w:type="dxa"/>
            <w:tcBorders>
              <w:top w:val="single" w:sz="1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2,00</w:t>
            </w:r>
          </w:p>
        </w:tc>
      </w:tr>
      <w:tr w:rsidR="00E969CD" w:rsidRPr="008144D7" w:rsidTr="00E969CD">
        <w:tc>
          <w:tcPr>
            <w:tcW w:w="2880" w:type="dxa"/>
            <w:tcBorders>
              <w:top w:val="single" w:sz="2" w:space="0" w:color="auto"/>
              <w:bottom w:val="single" w:sz="2" w:space="0" w:color="auto"/>
              <w:right w:val="single" w:sz="12" w:space="0" w:color="auto"/>
            </w:tcBorders>
            <w:shd w:val="clear" w:color="auto" w:fill="CCC0D9" w:themeFill="accent4" w:themeFillTint="66"/>
          </w:tcPr>
          <w:p w:rsidR="00E969CD" w:rsidRPr="000D1E8E" w:rsidRDefault="00E969CD" w:rsidP="00E969CD">
            <w:pPr>
              <w:spacing w:after="0" w:line="240" w:lineRule="auto"/>
              <w:ind w:firstLine="0"/>
              <w:rPr>
                <w:i/>
                <w:sz w:val="18"/>
                <w:szCs w:val="18"/>
              </w:rPr>
            </w:pPr>
            <w:r w:rsidRPr="000D1E8E">
              <w:rPr>
                <w:i/>
                <w:sz w:val="18"/>
                <w:szCs w:val="18"/>
              </w:rPr>
              <w:t>Nepaklausi profesija (b</w:t>
            </w:r>
            <w:r w:rsidRPr="000D1E8E">
              <w:rPr>
                <w:i/>
                <w:sz w:val="18"/>
                <w:szCs w:val="18"/>
                <w:vertAlign w:val="subscript"/>
              </w:rPr>
              <w:t>2</w:t>
            </w:r>
            <w:r w:rsidRPr="000D1E8E">
              <w:rPr>
                <w:i/>
                <w:sz w:val="18"/>
                <w:szCs w:val="18"/>
              </w:rPr>
              <w:t>)</w:t>
            </w:r>
          </w:p>
        </w:tc>
        <w:tc>
          <w:tcPr>
            <w:tcW w:w="1152"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b/>
                <w:sz w:val="18"/>
                <w:szCs w:val="18"/>
              </w:rPr>
            </w:pPr>
            <w:r>
              <w:rPr>
                <w:b/>
                <w:sz w:val="18"/>
                <w:szCs w:val="18"/>
              </w:rPr>
              <w:t>1,5</w:t>
            </w:r>
          </w:p>
        </w:tc>
        <w:tc>
          <w:tcPr>
            <w:tcW w:w="1152"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2</w:t>
            </w:r>
          </w:p>
        </w:tc>
        <w:tc>
          <w:tcPr>
            <w:tcW w:w="1152" w:type="dxa"/>
            <w:tcBorders>
              <w:top w:val="single" w:sz="2" w:space="0" w:color="auto"/>
              <w:left w:val="single" w:sz="2" w:space="0" w:color="auto"/>
              <w:bottom w:val="single" w:sz="2" w:space="0" w:color="auto"/>
              <w:right w:val="single" w:sz="12" w:space="0" w:color="auto"/>
            </w:tcBorders>
            <w:shd w:val="clear" w:color="auto" w:fill="CCC0D9" w:themeFill="accent4" w:themeFillTint="66"/>
          </w:tcPr>
          <w:p w:rsidR="00E969CD" w:rsidRPr="000D1E8E" w:rsidRDefault="00E969CD" w:rsidP="00E969CD">
            <w:pPr>
              <w:spacing w:after="0" w:line="240" w:lineRule="auto"/>
              <w:ind w:firstLine="0"/>
              <w:jc w:val="center"/>
              <w:rPr>
                <w:b/>
                <w:sz w:val="18"/>
                <w:szCs w:val="18"/>
              </w:rPr>
            </w:pPr>
            <w:r w:rsidRPr="000D1E8E">
              <w:rPr>
                <w:b/>
                <w:sz w:val="18"/>
                <w:szCs w:val="18"/>
              </w:rPr>
              <w:t>3,0</w:t>
            </w:r>
          </w:p>
        </w:tc>
        <w:tc>
          <w:tcPr>
            <w:tcW w:w="1296"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4,5</w:t>
            </w:r>
          </w:p>
        </w:tc>
        <w:tc>
          <w:tcPr>
            <w:tcW w:w="1296"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1,5</w:t>
            </w:r>
          </w:p>
        </w:tc>
        <w:tc>
          <w:tcPr>
            <w:tcW w:w="1296"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2,25</w:t>
            </w:r>
          </w:p>
        </w:tc>
      </w:tr>
      <w:tr w:rsidR="00E969CD" w:rsidRPr="008144D7" w:rsidTr="00E969CD">
        <w:tc>
          <w:tcPr>
            <w:tcW w:w="2880" w:type="dxa"/>
            <w:tcBorders>
              <w:top w:val="single" w:sz="2" w:space="0" w:color="auto"/>
              <w:bottom w:val="single" w:sz="2" w:space="0" w:color="auto"/>
              <w:right w:val="single" w:sz="12" w:space="0" w:color="auto"/>
            </w:tcBorders>
            <w:shd w:val="clear" w:color="auto" w:fill="CCC0D9" w:themeFill="accent4" w:themeFillTint="66"/>
          </w:tcPr>
          <w:p w:rsidR="00E969CD" w:rsidRPr="000D1E8E" w:rsidRDefault="00E969CD" w:rsidP="00E969CD">
            <w:pPr>
              <w:spacing w:after="0" w:line="240" w:lineRule="auto"/>
              <w:ind w:firstLine="0"/>
              <w:rPr>
                <w:i/>
                <w:sz w:val="18"/>
                <w:szCs w:val="18"/>
              </w:rPr>
            </w:pPr>
            <w:r w:rsidRPr="000D1E8E">
              <w:rPr>
                <w:i/>
                <w:sz w:val="18"/>
                <w:szCs w:val="18"/>
              </w:rPr>
              <w:t>Įgūdžių, kompetencijos stoka (b</w:t>
            </w:r>
            <w:r w:rsidRPr="000D1E8E">
              <w:rPr>
                <w:i/>
                <w:sz w:val="18"/>
                <w:szCs w:val="18"/>
                <w:vertAlign w:val="subscript"/>
              </w:rPr>
              <w:t>3</w:t>
            </w:r>
            <w:r w:rsidRPr="000D1E8E">
              <w:rPr>
                <w:i/>
                <w:sz w:val="18"/>
                <w:szCs w:val="18"/>
              </w:rPr>
              <w:t>)</w:t>
            </w:r>
          </w:p>
        </w:tc>
        <w:tc>
          <w:tcPr>
            <w:tcW w:w="1152"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b/>
                <w:sz w:val="18"/>
                <w:szCs w:val="18"/>
              </w:rPr>
            </w:pPr>
            <w:r>
              <w:rPr>
                <w:b/>
                <w:sz w:val="18"/>
                <w:szCs w:val="18"/>
              </w:rPr>
              <w:t>1,5</w:t>
            </w:r>
          </w:p>
        </w:tc>
        <w:tc>
          <w:tcPr>
            <w:tcW w:w="1152"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3</w:t>
            </w:r>
          </w:p>
        </w:tc>
        <w:tc>
          <w:tcPr>
            <w:tcW w:w="1152" w:type="dxa"/>
            <w:tcBorders>
              <w:top w:val="single" w:sz="2" w:space="0" w:color="auto"/>
              <w:left w:val="single" w:sz="2" w:space="0" w:color="auto"/>
              <w:bottom w:val="single" w:sz="2" w:space="0" w:color="auto"/>
              <w:right w:val="single" w:sz="12" w:space="0" w:color="auto"/>
            </w:tcBorders>
            <w:shd w:val="clear" w:color="auto" w:fill="CCC0D9" w:themeFill="accent4" w:themeFillTint="66"/>
          </w:tcPr>
          <w:p w:rsidR="00E969CD" w:rsidRPr="000D1E8E" w:rsidRDefault="00E969CD" w:rsidP="00E969CD">
            <w:pPr>
              <w:spacing w:after="0" w:line="240" w:lineRule="auto"/>
              <w:ind w:firstLine="0"/>
              <w:jc w:val="center"/>
              <w:rPr>
                <w:b/>
                <w:sz w:val="18"/>
                <w:szCs w:val="18"/>
              </w:rPr>
            </w:pPr>
            <w:r w:rsidRPr="000D1E8E">
              <w:rPr>
                <w:b/>
                <w:sz w:val="18"/>
                <w:szCs w:val="18"/>
              </w:rPr>
              <w:t>4,5</w:t>
            </w:r>
          </w:p>
        </w:tc>
        <w:tc>
          <w:tcPr>
            <w:tcW w:w="1296"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4,5</w:t>
            </w:r>
          </w:p>
        </w:tc>
        <w:tc>
          <w:tcPr>
            <w:tcW w:w="1296"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0,0</w:t>
            </w:r>
          </w:p>
        </w:tc>
        <w:tc>
          <w:tcPr>
            <w:tcW w:w="1296"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2,25</w:t>
            </w:r>
          </w:p>
        </w:tc>
      </w:tr>
      <w:tr w:rsidR="00E969CD" w:rsidRPr="008144D7" w:rsidTr="00E969CD">
        <w:tc>
          <w:tcPr>
            <w:tcW w:w="2880" w:type="dxa"/>
            <w:tcBorders>
              <w:top w:val="single" w:sz="2" w:space="0" w:color="auto"/>
              <w:bottom w:val="single" w:sz="2" w:space="0" w:color="auto"/>
              <w:right w:val="single" w:sz="12" w:space="0" w:color="auto"/>
            </w:tcBorders>
            <w:shd w:val="clear" w:color="auto" w:fill="CCC0D9" w:themeFill="accent4" w:themeFillTint="66"/>
          </w:tcPr>
          <w:p w:rsidR="00E969CD" w:rsidRPr="000D1E8E" w:rsidRDefault="00E969CD" w:rsidP="00E969CD">
            <w:pPr>
              <w:spacing w:after="0" w:line="240" w:lineRule="auto"/>
              <w:ind w:firstLine="0"/>
              <w:rPr>
                <w:i/>
                <w:sz w:val="18"/>
                <w:szCs w:val="18"/>
              </w:rPr>
            </w:pPr>
            <w:r w:rsidRPr="000D1E8E">
              <w:rPr>
                <w:i/>
                <w:sz w:val="18"/>
                <w:szCs w:val="18"/>
              </w:rPr>
              <w:t>Minimali darbo patirtis (b</w:t>
            </w:r>
            <w:r w:rsidRPr="000D1E8E">
              <w:rPr>
                <w:i/>
                <w:sz w:val="18"/>
                <w:szCs w:val="18"/>
                <w:vertAlign w:val="subscript"/>
              </w:rPr>
              <w:t>4</w:t>
            </w:r>
            <w:r w:rsidRPr="000D1E8E">
              <w:rPr>
                <w:i/>
                <w:sz w:val="18"/>
                <w:szCs w:val="18"/>
              </w:rPr>
              <w:t>)</w:t>
            </w:r>
          </w:p>
        </w:tc>
        <w:tc>
          <w:tcPr>
            <w:tcW w:w="1152"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b/>
                <w:sz w:val="18"/>
                <w:szCs w:val="18"/>
              </w:rPr>
            </w:pPr>
            <w:r>
              <w:rPr>
                <w:b/>
                <w:sz w:val="18"/>
                <w:szCs w:val="18"/>
              </w:rPr>
              <w:t>1,5</w:t>
            </w:r>
          </w:p>
        </w:tc>
        <w:tc>
          <w:tcPr>
            <w:tcW w:w="1152"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2</w:t>
            </w:r>
          </w:p>
        </w:tc>
        <w:tc>
          <w:tcPr>
            <w:tcW w:w="1152" w:type="dxa"/>
            <w:tcBorders>
              <w:top w:val="single" w:sz="2" w:space="0" w:color="auto"/>
              <w:left w:val="single" w:sz="2" w:space="0" w:color="auto"/>
              <w:bottom w:val="single" w:sz="2" w:space="0" w:color="auto"/>
              <w:right w:val="single" w:sz="12" w:space="0" w:color="auto"/>
            </w:tcBorders>
            <w:shd w:val="clear" w:color="auto" w:fill="CCC0D9" w:themeFill="accent4" w:themeFillTint="66"/>
          </w:tcPr>
          <w:p w:rsidR="00E969CD" w:rsidRPr="000D1E8E" w:rsidRDefault="00E969CD" w:rsidP="00E969CD">
            <w:pPr>
              <w:spacing w:after="0" w:line="240" w:lineRule="auto"/>
              <w:ind w:firstLine="0"/>
              <w:jc w:val="center"/>
              <w:rPr>
                <w:b/>
                <w:sz w:val="18"/>
                <w:szCs w:val="18"/>
              </w:rPr>
            </w:pPr>
            <w:r w:rsidRPr="000D1E8E">
              <w:rPr>
                <w:b/>
                <w:sz w:val="18"/>
                <w:szCs w:val="18"/>
              </w:rPr>
              <w:t>3,0</w:t>
            </w:r>
          </w:p>
        </w:tc>
        <w:tc>
          <w:tcPr>
            <w:tcW w:w="1296"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4,5</w:t>
            </w:r>
          </w:p>
        </w:tc>
        <w:tc>
          <w:tcPr>
            <w:tcW w:w="1296"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1,5</w:t>
            </w:r>
          </w:p>
        </w:tc>
        <w:tc>
          <w:tcPr>
            <w:tcW w:w="1296"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2,25</w:t>
            </w:r>
          </w:p>
        </w:tc>
      </w:tr>
      <w:tr w:rsidR="00E969CD" w:rsidRPr="008144D7" w:rsidTr="00E969CD">
        <w:tc>
          <w:tcPr>
            <w:tcW w:w="2880" w:type="dxa"/>
            <w:tcBorders>
              <w:top w:val="single" w:sz="2" w:space="0" w:color="auto"/>
              <w:bottom w:val="single" w:sz="2" w:space="0" w:color="auto"/>
              <w:right w:val="single" w:sz="12" w:space="0" w:color="auto"/>
            </w:tcBorders>
            <w:shd w:val="clear" w:color="auto" w:fill="CCC0D9" w:themeFill="accent4" w:themeFillTint="66"/>
          </w:tcPr>
          <w:p w:rsidR="00E969CD" w:rsidRPr="000D1E8E" w:rsidRDefault="00E969CD" w:rsidP="00E969CD">
            <w:pPr>
              <w:spacing w:after="0" w:line="240" w:lineRule="auto"/>
              <w:ind w:firstLine="0"/>
              <w:rPr>
                <w:i/>
                <w:sz w:val="18"/>
                <w:szCs w:val="18"/>
              </w:rPr>
            </w:pPr>
            <w:r w:rsidRPr="000D1E8E">
              <w:rPr>
                <w:i/>
                <w:sz w:val="18"/>
                <w:szCs w:val="18"/>
              </w:rPr>
              <w:t>Didelė šeimos struktūra (b</w:t>
            </w:r>
            <w:r w:rsidRPr="000D1E8E">
              <w:rPr>
                <w:i/>
                <w:sz w:val="18"/>
                <w:szCs w:val="18"/>
                <w:vertAlign w:val="subscript"/>
              </w:rPr>
              <w:t>5</w:t>
            </w:r>
            <w:r w:rsidRPr="000D1E8E">
              <w:rPr>
                <w:i/>
                <w:sz w:val="18"/>
                <w:szCs w:val="18"/>
              </w:rPr>
              <w:t>)</w:t>
            </w:r>
          </w:p>
        </w:tc>
        <w:tc>
          <w:tcPr>
            <w:tcW w:w="1152"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b/>
                <w:sz w:val="18"/>
                <w:szCs w:val="18"/>
              </w:rPr>
            </w:pPr>
            <w:r>
              <w:rPr>
                <w:b/>
                <w:sz w:val="18"/>
                <w:szCs w:val="18"/>
              </w:rPr>
              <w:t>1,5</w:t>
            </w:r>
          </w:p>
        </w:tc>
        <w:tc>
          <w:tcPr>
            <w:tcW w:w="1152"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4</w:t>
            </w:r>
          </w:p>
        </w:tc>
        <w:tc>
          <w:tcPr>
            <w:tcW w:w="1152" w:type="dxa"/>
            <w:tcBorders>
              <w:top w:val="single" w:sz="2" w:space="0" w:color="auto"/>
              <w:left w:val="single" w:sz="2" w:space="0" w:color="auto"/>
              <w:bottom w:val="single" w:sz="2" w:space="0" w:color="auto"/>
              <w:right w:val="single" w:sz="12" w:space="0" w:color="auto"/>
            </w:tcBorders>
            <w:shd w:val="clear" w:color="auto" w:fill="CCC0D9" w:themeFill="accent4" w:themeFillTint="66"/>
          </w:tcPr>
          <w:p w:rsidR="00E969CD" w:rsidRPr="000D1E8E" w:rsidRDefault="00E969CD" w:rsidP="00E969CD">
            <w:pPr>
              <w:spacing w:after="0" w:line="240" w:lineRule="auto"/>
              <w:ind w:firstLine="0"/>
              <w:jc w:val="center"/>
              <w:rPr>
                <w:b/>
                <w:sz w:val="18"/>
                <w:szCs w:val="18"/>
              </w:rPr>
            </w:pPr>
            <w:r w:rsidRPr="000D1E8E">
              <w:rPr>
                <w:b/>
                <w:sz w:val="18"/>
                <w:szCs w:val="18"/>
              </w:rPr>
              <w:t>6,0</w:t>
            </w:r>
          </w:p>
        </w:tc>
        <w:tc>
          <w:tcPr>
            <w:tcW w:w="1296"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6,0</w:t>
            </w:r>
          </w:p>
        </w:tc>
        <w:tc>
          <w:tcPr>
            <w:tcW w:w="1296"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0,0</w:t>
            </w:r>
          </w:p>
        </w:tc>
        <w:tc>
          <w:tcPr>
            <w:tcW w:w="1296"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3,00</w:t>
            </w:r>
          </w:p>
        </w:tc>
      </w:tr>
      <w:tr w:rsidR="00E969CD" w:rsidRPr="008144D7" w:rsidTr="00E969CD">
        <w:tc>
          <w:tcPr>
            <w:tcW w:w="2880" w:type="dxa"/>
            <w:tcBorders>
              <w:top w:val="single" w:sz="2" w:space="0" w:color="auto"/>
              <w:bottom w:val="single" w:sz="2" w:space="0" w:color="auto"/>
              <w:right w:val="single" w:sz="12" w:space="0" w:color="auto"/>
            </w:tcBorders>
            <w:shd w:val="clear" w:color="auto" w:fill="CCC0D9" w:themeFill="accent4" w:themeFillTint="66"/>
          </w:tcPr>
          <w:p w:rsidR="00E969CD" w:rsidRPr="000D1E8E" w:rsidRDefault="00E969CD" w:rsidP="00E969CD">
            <w:pPr>
              <w:spacing w:after="0" w:line="240" w:lineRule="auto"/>
              <w:ind w:firstLine="0"/>
              <w:rPr>
                <w:i/>
                <w:sz w:val="18"/>
                <w:szCs w:val="18"/>
              </w:rPr>
            </w:pPr>
            <w:r w:rsidRPr="000D1E8E">
              <w:rPr>
                <w:i/>
                <w:sz w:val="18"/>
                <w:szCs w:val="18"/>
              </w:rPr>
              <w:t>Jaunatviškas maksimalizmas (b</w:t>
            </w:r>
            <w:r w:rsidRPr="000D1E8E">
              <w:rPr>
                <w:i/>
                <w:sz w:val="18"/>
                <w:szCs w:val="18"/>
                <w:vertAlign w:val="subscript"/>
              </w:rPr>
              <w:t>6</w:t>
            </w:r>
            <w:r w:rsidRPr="000D1E8E">
              <w:rPr>
                <w:i/>
                <w:sz w:val="18"/>
                <w:szCs w:val="18"/>
              </w:rPr>
              <w:t>)</w:t>
            </w:r>
          </w:p>
        </w:tc>
        <w:tc>
          <w:tcPr>
            <w:tcW w:w="1152"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b/>
                <w:sz w:val="18"/>
                <w:szCs w:val="18"/>
              </w:rPr>
            </w:pPr>
            <w:r>
              <w:rPr>
                <w:b/>
                <w:sz w:val="18"/>
                <w:szCs w:val="18"/>
              </w:rPr>
              <w:t>1,5</w:t>
            </w:r>
          </w:p>
        </w:tc>
        <w:tc>
          <w:tcPr>
            <w:tcW w:w="1152"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3</w:t>
            </w:r>
          </w:p>
        </w:tc>
        <w:tc>
          <w:tcPr>
            <w:tcW w:w="1152" w:type="dxa"/>
            <w:tcBorders>
              <w:top w:val="single" w:sz="2" w:space="0" w:color="auto"/>
              <w:left w:val="single" w:sz="2" w:space="0" w:color="auto"/>
              <w:bottom w:val="single" w:sz="2" w:space="0" w:color="auto"/>
              <w:right w:val="single" w:sz="12" w:space="0" w:color="auto"/>
            </w:tcBorders>
            <w:shd w:val="clear" w:color="auto" w:fill="CCC0D9" w:themeFill="accent4" w:themeFillTint="66"/>
          </w:tcPr>
          <w:p w:rsidR="00E969CD" w:rsidRPr="000D1E8E" w:rsidRDefault="00E969CD" w:rsidP="00E969CD">
            <w:pPr>
              <w:spacing w:after="0" w:line="240" w:lineRule="auto"/>
              <w:ind w:firstLine="0"/>
              <w:jc w:val="center"/>
              <w:rPr>
                <w:b/>
                <w:sz w:val="18"/>
                <w:szCs w:val="18"/>
              </w:rPr>
            </w:pPr>
            <w:r w:rsidRPr="000D1E8E">
              <w:rPr>
                <w:b/>
                <w:sz w:val="18"/>
                <w:szCs w:val="18"/>
              </w:rPr>
              <w:t>4,5</w:t>
            </w:r>
          </w:p>
        </w:tc>
        <w:tc>
          <w:tcPr>
            <w:tcW w:w="1296"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7,5</w:t>
            </w:r>
          </w:p>
        </w:tc>
        <w:tc>
          <w:tcPr>
            <w:tcW w:w="1296"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3,0</w:t>
            </w:r>
          </w:p>
        </w:tc>
        <w:tc>
          <w:tcPr>
            <w:tcW w:w="1296" w:type="dxa"/>
            <w:tcBorders>
              <w:top w:val="single" w:sz="2" w:space="0" w:color="auto"/>
              <w:left w:val="single" w:sz="12" w:space="0" w:color="auto"/>
              <w:bottom w:val="single" w:sz="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3,75</w:t>
            </w:r>
          </w:p>
        </w:tc>
      </w:tr>
      <w:tr w:rsidR="00E969CD" w:rsidRPr="008144D7" w:rsidTr="00E969CD">
        <w:tc>
          <w:tcPr>
            <w:tcW w:w="2880" w:type="dxa"/>
            <w:tcBorders>
              <w:top w:val="single" w:sz="2" w:space="0" w:color="auto"/>
              <w:bottom w:val="single" w:sz="12" w:space="0" w:color="auto"/>
              <w:right w:val="single" w:sz="12" w:space="0" w:color="auto"/>
            </w:tcBorders>
            <w:shd w:val="clear" w:color="auto" w:fill="CCC0D9" w:themeFill="accent4" w:themeFillTint="66"/>
          </w:tcPr>
          <w:p w:rsidR="00E969CD" w:rsidRPr="000D1E8E" w:rsidRDefault="00E969CD" w:rsidP="00E969CD">
            <w:pPr>
              <w:spacing w:after="0" w:line="240" w:lineRule="auto"/>
              <w:ind w:firstLine="0"/>
              <w:rPr>
                <w:i/>
                <w:sz w:val="18"/>
                <w:szCs w:val="18"/>
              </w:rPr>
            </w:pPr>
            <w:r w:rsidRPr="000D1E8E">
              <w:rPr>
                <w:i/>
                <w:sz w:val="18"/>
                <w:szCs w:val="18"/>
              </w:rPr>
              <w:t>Gyvenimo būdas: laisvalaikis (b</w:t>
            </w:r>
            <w:r w:rsidRPr="000D1E8E">
              <w:rPr>
                <w:i/>
                <w:sz w:val="18"/>
                <w:szCs w:val="18"/>
                <w:vertAlign w:val="subscript"/>
              </w:rPr>
              <w:t>7</w:t>
            </w:r>
            <w:r w:rsidRPr="000D1E8E">
              <w:rPr>
                <w:i/>
                <w:sz w:val="18"/>
                <w:szCs w:val="18"/>
              </w:rPr>
              <w:t>)</w:t>
            </w:r>
          </w:p>
        </w:tc>
        <w:tc>
          <w:tcPr>
            <w:tcW w:w="1152" w:type="dxa"/>
            <w:tcBorders>
              <w:top w:val="single" w:sz="2" w:space="0" w:color="auto"/>
              <w:left w:val="single" w:sz="12" w:space="0" w:color="auto"/>
              <w:bottom w:val="single" w:sz="12" w:space="0" w:color="auto"/>
            </w:tcBorders>
            <w:shd w:val="clear" w:color="auto" w:fill="CCC0D9" w:themeFill="accent4" w:themeFillTint="66"/>
          </w:tcPr>
          <w:p w:rsidR="00E969CD" w:rsidRPr="000D1E8E" w:rsidRDefault="00E969CD" w:rsidP="00E969CD">
            <w:pPr>
              <w:spacing w:after="0" w:line="240" w:lineRule="auto"/>
              <w:ind w:firstLine="0"/>
              <w:jc w:val="center"/>
              <w:rPr>
                <w:b/>
                <w:sz w:val="18"/>
                <w:szCs w:val="18"/>
              </w:rPr>
            </w:pPr>
            <w:r>
              <w:rPr>
                <w:b/>
                <w:sz w:val="18"/>
                <w:szCs w:val="18"/>
              </w:rPr>
              <w:t>1,0</w:t>
            </w:r>
          </w:p>
        </w:tc>
        <w:tc>
          <w:tcPr>
            <w:tcW w:w="1152" w:type="dxa"/>
            <w:tcBorders>
              <w:top w:val="single" w:sz="2" w:space="0" w:color="auto"/>
              <w:left w:val="single" w:sz="12" w:space="0" w:color="auto"/>
              <w:bottom w:val="single" w:sz="12" w:space="0" w:color="auto"/>
            </w:tcBorders>
            <w:shd w:val="clear" w:color="auto" w:fill="CCC0D9" w:themeFill="accent4"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4</w:t>
            </w:r>
          </w:p>
        </w:tc>
        <w:tc>
          <w:tcPr>
            <w:tcW w:w="1152" w:type="dxa"/>
            <w:tcBorders>
              <w:top w:val="single" w:sz="2" w:space="0" w:color="auto"/>
              <w:left w:val="single" w:sz="2" w:space="0" w:color="auto"/>
              <w:bottom w:val="single" w:sz="12" w:space="0" w:color="auto"/>
              <w:right w:val="single" w:sz="12" w:space="0" w:color="auto"/>
            </w:tcBorders>
            <w:shd w:val="clear" w:color="auto" w:fill="CCC0D9" w:themeFill="accent4" w:themeFillTint="66"/>
          </w:tcPr>
          <w:p w:rsidR="00E969CD" w:rsidRPr="000D1E8E" w:rsidRDefault="00E969CD" w:rsidP="00E969CD">
            <w:pPr>
              <w:spacing w:after="0" w:line="240" w:lineRule="auto"/>
              <w:ind w:firstLine="0"/>
              <w:jc w:val="center"/>
              <w:rPr>
                <w:b/>
                <w:sz w:val="18"/>
                <w:szCs w:val="18"/>
              </w:rPr>
            </w:pPr>
            <w:r w:rsidRPr="000D1E8E">
              <w:rPr>
                <w:b/>
                <w:sz w:val="18"/>
                <w:szCs w:val="18"/>
              </w:rPr>
              <w:t>4,0</w:t>
            </w:r>
          </w:p>
        </w:tc>
        <w:tc>
          <w:tcPr>
            <w:tcW w:w="1296" w:type="dxa"/>
            <w:tcBorders>
              <w:top w:val="single" w:sz="2" w:space="0" w:color="auto"/>
              <w:left w:val="single" w:sz="12" w:space="0" w:color="auto"/>
              <w:bottom w:val="single" w:sz="1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5,0</w:t>
            </w:r>
          </w:p>
        </w:tc>
        <w:tc>
          <w:tcPr>
            <w:tcW w:w="1296" w:type="dxa"/>
            <w:tcBorders>
              <w:top w:val="single" w:sz="2" w:space="0" w:color="auto"/>
              <w:left w:val="single" w:sz="12" w:space="0" w:color="auto"/>
              <w:bottom w:val="single" w:sz="1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1,0</w:t>
            </w:r>
          </w:p>
        </w:tc>
        <w:tc>
          <w:tcPr>
            <w:tcW w:w="1296" w:type="dxa"/>
            <w:tcBorders>
              <w:top w:val="single" w:sz="2" w:space="0" w:color="auto"/>
              <w:left w:val="single" w:sz="12" w:space="0" w:color="auto"/>
              <w:bottom w:val="single" w:sz="12" w:space="0" w:color="auto"/>
            </w:tcBorders>
            <w:shd w:val="clear" w:color="auto" w:fill="CCC0D9" w:themeFill="accent4" w:themeFillTint="66"/>
          </w:tcPr>
          <w:p w:rsidR="00E969CD" w:rsidRPr="000D1E8E" w:rsidRDefault="00E969CD" w:rsidP="00E969CD">
            <w:pPr>
              <w:spacing w:after="0" w:line="240" w:lineRule="auto"/>
              <w:ind w:firstLine="0"/>
              <w:jc w:val="center"/>
              <w:rPr>
                <w:sz w:val="18"/>
                <w:szCs w:val="18"/>
              </w:rPr>
            </w:pPr>
            <w:r w:rsidRPr="000D1E8E">
              <w:rPr>
                <w:sz w:val="18"/>
                <w:szCs w:val="18"/>
              </w:rPr>
              <w:t>2,50</w:t>
            </w:r>
          </w:p>
        </w:tc>
      </w:tr>
      <w:tr w:rsidR="00E969CD" w:rsidRPr="008144D7" w:rsidTr="00E969CD">
        <w:tc>
          <w:tcPr>
            <w:tcW w:w="2880" w:type="dxa"/>
            <w:tcBorders>
              <w:top w:val="single" w:sz="12" w:space="0" w:color="auto"/>
              <w:bottom w:val="single" w:sz="12" w:space="0" w:color="auto"/>
              <w:right w:val="single" w:sz="12" w:space="0" w:color="auto"/>
            </w:tcBorders>
            <w:shd w:val="clear" w:color="auto" w:fill="D9D9D9" w:themeFill="background1" w:themeFillShade="D9"/>
            <w:vAlign w:val="center"/>
          </w:tcPr>
          <w:p w:rsidR="00E969CD" w:rsidRPr="0026790D" w:rsidRDefault="00E969CD" w:rsidP="00E969CD">
            <w:pPr>
              <w:spacing w:after="0" w:line="240" w:lineRule="auto"/>
              <w:ind w:firstLine="0"/>
              <w:jc w:val="right"/>
              <w:rPr>
                <w:b/>
                <w:i/>
                <w:sz w:val="17"/>
                <w:szCs w:val="17"/>
              </w:rPr>
            </w:pPr>
            <w:r w:rsidRPr="0026790D">
              <w:rPr>
                <w:b/>
                <w:i/>
                <w:sz w:val="17"/>
                <w:szCs w:val="17"/>
              </w:rPr>
              <w:t>SUMA:</w:t>
            </w:r>
          </w:p>
        </w:tc>
        <w:tc>
          <w:tcPr>
            <w:tcW w:w="1152" w:type="dxa"/>
            <w:tcBorders>
              <w:top w:val="single" w:sz="12" w:space="0" w:color="auto"/>
              <w:left w:val="single" w:sz="12" w:space="0" w:color="auto"/>
              <w:bottom w:val="single" w:sz="12" w:space="0" w:color="auto"/>
            </w:tcBorders>
            <w:shd w:val="clear" w:color="auto" w:fill="D9D9D9" w:themeFill="background1" w:themeFillShade="D9"/>
          </w:tcPr>
          <w:p w:rsidR="00E969CD" w:rsidRPr="0026790D" w:rsidRDefault="00E969CD" w:rsidP="00E969CD">
            <w:pPr>
              <w:spacing w:after="0" w:line="240" w:lineRule="auto"/>
              <w:ind w:firstLine="0"/>
              <w:jc w:val="center"/>
              <w:rPr>
                <w:b/>
                <w:color w:val="0070C0"/>
                <w:sz w:val="17"/>
                <w:szCs w:val="17"/>
              </w:rPr>
            </w:pPr>
            <w:r w:rsidRPr="0026790D">
              <w:rPr>
                <w:b/>
                <w:color w:val="0070C0"/>
                <w:sz w:val="17"/>
                <w:szCs w:val="17"/>
              </w:rPr>
              <w:t>-</w:t>
            </w:r>
          </w:p>
        </w:tc>
        <w:tc>
          <w:tcPr>
            <w:tcW w:w="1152" w:type="dxa"/>
            <w:tcBorders>
              <w:top w:val="single" w:sz="12" w:space="0" w:color="auto"/>
              <w:left w:val="single" w:sz="12" w:space="0" w:color="auto"/>
              <w:bottom w:val="single" w:sz="12" w:space="0" w:color="auto"/>
            </w:tcBorders>
            <w:shd w:val="clear" w:color="auto" w:fill="D9D9D9" w:themeFill="background1" w:themeFillShade="D9"/>
          </w:tcPr>
          <w:p w:rsidR="00E969CD" w:rsidRPr="0026790D" w:rsidRDefault="00E969CD" w:rsidP="00E969CD">
            <w:pPr>
              <w:widowControl/>
              <w:autoSpaceDE w:val="0"/>
              <w:autoSpaceDN w:val="0"/>
              <w:adjustRightInd w:val="0"/>
              <w:spacing w:after="0" w:line="240" w:lineRule="auto"/>
              <w:ind w:firstLine="0"/>
              <w:jc w:val="center"/>
              <w:rPr>
                <w:b/>
                <w:color w:val="000000"/>
                <w:sz w:val="17"/>
                <w:szCs w:val="17"/>
              </w:rPr>
            </w:pPr>
            <w:r w:rsidRPr="0026790D">
              <w:rPr>
                <w:b/>
                <w:color w:val="000000"/>
                <w:sz w:val="17"/>
                <w:szCs w:val="17"/>
              </w:rPr>
              <w:t>20</w:t>
            </w:r>
          </w:p>
        </w:tc>
        <w:tc>
          <w:tcPr>
            <w:tcW w:w="1152"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E969CD" w:rsidRPr="0026790D" w:rsidRDefault="00E969CD" w:rsidP="00E969CD">
            <w:pPr>
              <w:spacing w:after="0" w:line="240" w:lineRule="auto"/>
              <w:ind w:firstLine="0"/>
              <w:jc w:val="center"/>
              <w:rPr>
                <w:b/>
                <w:color w:val="FF0000"/>
                <w:sz w:val="17"/>
                <w:szCs w:val="17"/>
              </w:rPr>
            </w:pPr>
            <w:r w:rsidRPr="0026790D">
              <w:rPr>
                <w:b/>
                <w:color w:val="FF0000"/>
                <w:sz w:val="17"/>
                <w:szCs w:val="17"/>
              </w:rPr>
              <w:t xml:space="preserve"> 29,0</w:t>
            </w:r>
          </w:p>
        </w:tc>
        <w:tc>
          <w:tcPr>
            <w:tcW w:w="1296"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6790D" w:rsidRDefault="00E969CD" w:rsidP="00E969CD">
            <w:pPr>
              <w:spacing w:after="0" w:line="240" w:lineRule="auto"/>
              <w:ind w:firstLine="0"/>
              <w:jc w:val="center"/>
              <w:rPr>
                <w:b/>
                <w:color w:val="8C3A8E"/>
                <w:sz w:val="17"/>
                <w:szCs w:val="17"/>
              </w:rPr>
            </w:pPr>
            <w:r w:rsidRPr="0026790D">
              <w:rPr>
                <w:b/>
                <w:color w:val="8C3A8E"/>
                <w:sz w:val="17"/>
                <w:szCs w:val="17"/>
              </w:rPr>
              <w:t>36,0</w:t>
            </w:r>
          </w:p>
        </w:tc>
        <w:tc>
          <w:tcPr>
            <w:tcW w:w="1296" w:type="dxa"/>
            <w:tcBorders>
              <w:top w:val="single" w:sz="12" w:space="0" w:color="auto"/>
              <w:left w:val="single" w:sz="12" w:space="0" w:color="auto"/>
              <w:bottom w:val="single" w:sz="12" w:space="0" w:color="auto"/>
            </w:tcBorders>
            <w:shd w:val="clear" w:color="auto" w:fill="D9D9D9" w:themeFill="background1" w:themeFillShade="D9"/>
          </w:tcPr>
          <w:p w:rsidR="00E969CD" w:rsidRPr="0026790D" w:rsidRDefault="00E969CD" w:rsidP="00E969CD">
            <w:pPr>
              <w:spacing w:after="0" w:line="240" w:lineRule="auto"/>
              <w:ind w:firstLine="0"/>
              <w:jc w:val="center"/>
              <w:rPr>
                <w:b/>
                <w:sz w:val="17"/>
                <w:szCs w:val="17"/>
              </w:rPr>
            </w:pPr>
            <w:r w:rsidRPr="0026790D">
              <w:rPr>
                <w:b/>
                <w:sz w:val="17"/>
                <w:szCs w:val="17"/>
              </w:rPr>
              <w:t>7,0</w:t>
            </w:r>
          </w:p>
        </w:tc>
        <w:tc>
          <w:tcPr>
            <w:tcW w:w="1296"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6790D" w:rsidRDefault="00E969CD" w:rsidP="00E969CD">
            <w:pPr>
              <w:spacing w:after="0" w:line="240" w:lineRule="auto"/>
              <w:ind w:firstLine="0"/>
              <w:jc w:val="center"/>
              <w:rPr>
                <w:b/>
                <w:color w:val="FF66CC"/>
                <w:sz w:val="17"/>
                <w:szCs w:val="17"/>
              </w:rPr>
            </w:pPr>
            <w:r w:rsidRPr="0026790D">
              <w:rPr>
                <w:b/>
                <w:color w:val="FF66CC"/>
                <w:sz w:val="17"/>
                <w:szCs w:val="17"/>
              </w:rPr>
              <w:t xml:space="preserve"> 18,0</w:t>
            </w:r>
          </w:p>
        </w:tc>
      </w:tr>
      <w:tr w:rsidR="00E969CD" w:rsidRPr="00152F50" w:rsidTr="00E969CD">
        <w:tc>
          <w:tcPr>
            <w:tcW w:w="10224" w:type="dxa"/>
            <w:gridSpan w:val="7"/>
            <w:tcBorders>
              <w:top w:val="single" w:sz="12" w:space="0" w:color="auto"/>
              <w:bottom w:val="single" w:sz="12" w:space="0" w:color="auto"/>
            </w:tcBorders>
            <w:shd w:val="clear" w:color="auto" w:fill="auto"/>
            <w:vAlign w:val="center"/>
          </w:tcPr>
          <w:p w:rsidR="00E969CD" w:rsidRPr="00152F50" w:rsidRDefault="00E969CD" w:rsidP="00E969CD">
            <w:pPr>
              <w:spacing w:after="0" w:line="240" w:lineRule="auto"/>
              <w:ind w:firstLine="0"/>
              <w:jc w:val="center"/>
              <w:rPr>
                <w:color w:val="FF66CC"/>
                <w:sz w:val="6"/>
                <w:szCs w:val="6"/>
              </w:rPr>
            </w:pPr>
          </w:p>
        </w:tc>
      </w:tr>
      <w:tr w:rsidR="00E969CD" w:rsidRPr="002945A6" w:rsidTr="00E969CD">
        <w:trPr>
          <w:trHeight w:val="249"/>
        </w:trPr>
        <w:tc>
          <w:tcPr>
            <w:tcW w:w="2880" w:type="dxa"/>
            <w:tcBorders>
              <w:top w:val="single" w:sz="12" w:space="0" w:color="auto"/>
              <w:bottom w:val="single" w:sz="12" w:space="0" w:color="auto"/>
              <w:right w:val="single" w:sz="12" w:space="0" w:color="auto"/>
            </w:tcBorders>
            <w:shd w:val="clear" w:color="auto" w:fill="D9D9D9" w:themeFill="background1" w:themeFillShade="D9"/>
            <w:vAlign w:val="center"/>
          </w:tcPr>
          <w:p w:rsidR="00E969CD" w:rsidRPr="002945A6" w:rsidRDefault="00E969CD" w:rsidP="00E969CD">
            <w:pPr>
              <w:spacing w:after="0" w:line="240" w:lineRule="auto"/>
              <w:ind w:firstLine="0"/>
              <w:jc w:val="center"/>
              <w:rPr>
                <w:b/>
                <w:i/>
                <w:sz w:val="17"/>
                <w:szCs w:val="17"/>
              </w:rPr>
            </w:pPr>
            <w:r>
              <w:rPr>
                <w:b/>
                <w:i/>
                <w:sz w:val="17"/>
                <w:szCs w:val="17"/>
              </w:rPr>
              <w:t>- C</w:t>
            </w:r>
            <w:r w:rsidRPr="002945A6">
              <w:rPr>
                <w:b/>
                <w:i/>
                <w:sz w:val="17"/>
                <w:szCs w:val="17"/>
              </w:rPr>
              <w:t> -</w:t>
            </w:r>
          </w:p>
        </w:tc>
        <w:tc>
          <w:tcPr>
            <w:tcW w:w="1152"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945A6" w:rsidRDefault="00E969CD" w:rsidP="00E969CD">
            <w:pPr>
              <w:spacing w:after="0" w:line="240" w:lineRule="auto"/>
              <w:ind w:firstLine="0"/>
              <w:jc w:val="center"/>
              <w:rPr>
                <w:b/>
                <w:i/>
                <w:sz w:val="17"/>
                <w:szCs w:val="17"/>
              </w:rPr>
            </w:pPr>
            <w:r w:rsidRPr="002945A6">
              <w:rPr>
                <w:b/>
                <w:i/>
                <w:sz w:val="17"/>
                <w:szCs w:val="17"/>
              </w:rPr>
              <w:t>K</w:t>
            </w:r>
          </w:p>
        </w:tc>
        <w:tc>
          <w:tcPr>
            <w:tcW w:w="1152"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945A6" w:rsidRDefault="00E969CD" w:rsidP="00E969CD">
            <w:pPr>
              <w:spacing w:after="0" w:line="240" w:lineRule="auto"/>
              <w:ind w:firstLine="0"/>
              <w:jc w:val="center"/>
              <w:rPr>
                <w:b/>
                <w:i/>
                <w:sz w:val="17"/>
                <w:szCs w:val="17"/>
              </w:rPr>
            </w:pPr>
            <w:proofErr w:type="spellStart"/>
            <w:r w:rsidRPr="002945A6">
              <w:rPr>
                <w:b/>
                <w:i/>
                <w:sz w:val="17"/>
                <w:szCs w:val="17"/>
              </w:rPr>
              <w:t>M</w:t>
            </w:r>
            <w:r>
              <w:rPr>
                <w:b/>
                <w:i/>
                <w:sz w:val="17"/>
                <w:szCs w:val="17"/>
              </w:rPr>
              <w:t>o</w:t>
            </w:r>
            <w:proofErr w:type="spellEnd"/>
          </w:p>
        </w:tc>
        <w:tc>
          <w:tcPr>
            <w:tcW w:w="1152" w:type="dxa"/>
            <w:tcBorders>
              <w:top w:val="single" w:sz="12" w:space="0" w:color="auto"/>
              <w:left w:val="single" w:sz="2" w:space="0" w:color="auto"/>
              <w:right w:val="single" w:sz="12" w:space="0" w:color="auto"/>
            </w:tcBorders>
            <w:shd w:val="clear" w:color="auto" w:fill="D9D9D9" w:themeFill="background1" w:themeFillShade="D9"/>
            <w:vAlign w:val="center"/>
          </w:tcPr>
          <w:p w:rsidR="00E969CD" w:rsidRPr="000D1E8E" w:rsidRDefault="00E969CD" w:rsidP="00E969CD">
            <w:pPr>
              <w:widowControl/>
              <w:autoSpaceDE w:val="0"/>
              <w:autoSpaceDN w:val="0"/>
              <w:adjustRightInd w:val="0"/>
              <w:spacing w:after="0" w:line="240" w:lineRule="auto"/>
              <w:ind w:firstLine="0"/>
              <w:jc w:val="center"/>
              <w:rPr>
                <w:b/>
                <w:i/>
                <w:color w:val="FF0000"/>
                <w:sz w:val="17"/>
                <w:szCs w:val="17"/>
              </w:rPr>
            </w:pPr>
            <w:r w:rsidRPr="000D1E8E">
              <w:rPr>
                <w:b/>
                <w:i/>
                <w:color w:val="FF0000"/>
                <w:sz w:val="17"/>
                <w:szCs w:val="17"/>
              </w:rPr>
              <w:t>Svertinis</w:t>
            </w:r>
          </w:p>
          <w:p w:rsidR="00E969CD" w:rsidRPr="000D1E8E" w:rsidRDefault="00E969CD" w:rsidP="00E969CD">
            <w:pPr>
              <w:widowControl/>
              <w:autoSpaceDE w:val="0"/>
              <w:autoSpaceDN w:val="0"/>
              <w:adjustRightInd w:val="0"/>
              <w:spacing w:after="0" w:line="240" w:lineRule="auto"/>
              <w:ind w:firstLine="0"/>
              <w:jc w:val="center"/>
              <w:rPr>
                <w:b/>
                <w:i/>
                <w:color w:val="FF0000"/>
                <w:sz w:val="17"/>
                <w:szCs w:val="17"/>
              </w:rPr>
            </w:pPr>
            <w:r w:rsidRPr="000D1E8E">
              <w:rPr>
                <w:b/>
                <w:i/>
                <w:color w:val="FF0000"/>
                <w:sz w:val="17"/>
                <w:szCs w:val="17"/>
              </w:rPr>
              <w:t>balas</w:t>
            </w:r>
          </w:p>
        </w:tc>
        <w:tc>
          <w:tcPr>
            <w:tcW w:w="1296" w:type="dxa"/>
            <w:tcBorders>
              <w:top w:val="single" w:sz="12" w:space="0" w:color="auto"/>
              <w:left w:val="single" w:sz="12" w:space="0" w:color="auto"/>
            </w:tcBorders>
            <w:shd w:val="clear" w:color="auto" w:fill="D9D9D9" w:themeFill="background1" w:themeFillShade="D9"/>
            <w:vAlign w:val="center"/>
          </w:tcPr>
          <w:p w:rsidR="00E969CD" w:rsidRPr="000D1E8E" w:rsidRDefault="00E969CD" w:rsidP="00E969CD">
            <w:pPr>
              <w:spacing w:after="0" w:line="240" w:lineRule="auto"/>
              <w:ind w:firstLine="0"/>
              <w:jc w:val="center"/>
              <w:rPr>
                <w:b/>
                <w:i/>
                <w:color w:val="0070C0"/>
                <w:sz w:val="17"/>
                <w:szCs w:val="17"/>
              </w:rPr>
            </w:pPr>
            <w:r w:rsidRPr="000D1E8E">
              <w:rPr>
                <w:b/>
                <w:i/>
                <w:color w:val="C00000"/>
                <w:sz w:val="17"/>
                <w:szCs w:val="17"/>
              </w:rPr>
              <w:t>Pageidautina reikšmė</w:t>
            </w:r>
          </w:p>
        </w:tc>
        <w:tc>
          <w:tcPr>
            <w:tcW w:w="1296" w:type="dxa"/>
            <w:tcBorders>
              <w:top w:val="single" w:sz="12" w:space="0" w:color="auto"/>
              <w:left w:val="single" w:sz="12" w:space="0" w:color="auto"/>
            </w:tcBorders>
            <w:shd w:val="clear" w:color="auto" w:fill="D9D9D9" w:themeFill="background1" w:themeFillShade="D9"/>
            <w:vAlign w:val="center"/>
          </w:tcPr>
          <w:p w:rsidR="00E969CD" w:rsidRPr="000D1E8E" w:rsidRDefault="00E969CD" w:rsidP="00E969CD">
            <w:pPr>
              <w:spacing w:after="0" w:line="240" w:lineRule="auto"/>
              <w:ind w:firstLine="0"/>
              <w:jc w:val="center"/>
              <w:rPr>
                <w:b/>
                <w:i/>
                <w:sz w:val="17"/>
                <w:szCs w:val="17"/>
              </w:rPr>
            </w:pPr>
            <w:r w:rsidRPr="000D1E8E">
              <w:rPr>
                <w:b/>
                <w:i/>
                <w:sz w:val="17"/>
                <w:szCs w:val="17"/>
              </w:rPr>
              <w:t>Skirtumas</w:t>
            </w:r>
          </w:p>
        </w:tc>
        <w:tc>
          <w:tcPr>
            <w:tcW w:w="1296" w:type="dxa"/>
            <w:tcBorders>
              <w:top w:val="single" w:sz="12" w:space="0" w:color="auto"/>
              <w:left w:val="single" w:sz="12" w:space="0" w:color="auto"/>
            </w:tcBorders>
            <w:shd w:val="clear" w:color="auto" w:fill="D9D9D9" w:themeFill="background1" w:themeFillShade="D9"/>
            <w:vAlign w:val="center"/>
          </w:tcPr>
          <w:p w:rsidR="00E969CD" w:rsidRPr="002945A6" w:rsidRDefault="00E969CD" w:rsidP="00E969CD">
            <w:pPr>
              <w:spacing w:after="0" w:line="240" w:lineRule="auto"/>
              <w:ind w:firstLine="0"/>
              <w:jc w:val="center"/>
              <w:rPr>
                <w:b/>
                <w:i/>
                <w:color w:val="0070C0"/>
                <w:sz w:val="17"/>
                <w:szCs w:val="17"/>
              </w:rPr>
            </w:pPr>
            <w:r w:rsidRPr="000D1E8E">
              <w:rPr>
                <w:b/>
                <w:i/>
                <w:color w:val="FF66CC"/>
                <w:sz w:val="17"/>
                <w:szCs w:val="17"/>
              </w:rPr>
              <w:t>„Pusiausvyros taškas“</w:t>
            </w:r>
          </w:p>
        </w:tc>
      </w:tr>
      <w:tr w:rsidR="00E969CD" w:rsidRPr="008144D7" w:rsidTr="00E969CD">
        <w:tc>
          <w:tcPr>
            <w:tcW w:w="2880" w:type="dxa"/>
            <w:tcBorders>
              <w:top w:val="single" w:sz="12" w:space="0" w:color="auto"/>
              <w:bottom w:val="single" w:sz="2" w:space="0" w:color="auto"/>
              <w:right w:val="single" w:sz="12" w:space="0" w:color="auto"/>
            </w:tcBorders>
            <w:shd w:val="clear" w:color="auto" w:fill="E5B8B7" w:themeFill="accent2" w:themeFillTint="66"/>
          </w:tcPr>
          <w:p w:rsidR="00E969CD" w:rsidRPr="000D1E8E" w:rsidRDefault="00E969CD" w:rsidP="00E969CD">
            <w:pPr>
              <w:spacing w:after="0" w:line="240" w:lineRule="auto"/>
              <w:ind w:firstLine="0"/>
              <w:rPr>
                <w:i/>
                <w:sz w:val="18"/>
                <w:szCs w:val="18"/>
              </w:rPr>
            </w:pPr>
            <w:r w:rsidRPr="000D1E8E">
              <w:rPr>
                <w:i/>
                <w:sz w:val="18"/>
                <w:szCs w:val="18"/>
              </w:rPr>
              <w:t>Neigiami užimtumo pokyčiai (c</w:t>
            </w:r>
            <w:r w:rsidRPr="000D1E8E">
              <w:rPr>
                <w:i/>
                <w:sz w:val="18"/>
                <w:szCs w:val="18"/>
                <w:vertAlign w:val="subscript"/>
              </w:rPr>
              <w:t>1</w:t>
            </w:r>
            <w:r w:rsidRPr="000D1E8E">
              <w:rPr>
                <w:i/>
                <w:sz w:val="18"/>
                <w:szCs w:val="18"/>
              </w:rPr>
              <w:t>)</w:t>
            </w:r>
          </w:p>
        </w:tc>
        <w:tc>
          <w:tcPr>
            <w:tcW w:w="1152" w:type="dxa"/>
            <w:tcBorders>
              <w:top w:val="single" w:sz="12" w:space="0" w:color="auto"/>
              <w:left w:val="single" w:sz="12" w:space="0" w:color="auto"/>
              <w:bottom w:val="single" w:sz="2" w:space="0" w:color="auto"/>
            </w:tcBorders>
            <w:shd w:val="clear" w:color="auto" w:fill="E5B8B7" w:themeFill="accent2" w:themeFillTint="66"/>
          </w:tcPr>
          <w:p w:rsidR="00E969CD" w:rsidRPr="000D1E8E" w:rsidRDefault="00E969CD" w:rsidP="00E969CD">
            <w:pPr>
              <w:spacing w:after="0" w:line="240" w:lineRule="auto"/>
              <w:ind w:firstLine="0"/>
              <w:jc w:val="center"/>
              <w:rPr>
                <w:b/>
                <w:sz w:val="18"/>
                <w:szCs w:val="18"/>
              </w:rPr>
            </w:pPr>
            <w:r w:rsidRPr="000D1E8E">
              <w:rPr>
                <w:b/>
                <w:sz w:val="18"/>
                <w:szCs w:val="18"/>
              </w:rPr>
              <w:t>2,0</w:t>
            </w:r>
          </w:p>
        </w:tc>
        <w:tc>
          <w:tcPr>
            <w:tcW w:w="1152" w:type="dxa"/>
            <w:tcBorders>
              <w:top w:val="single" w:sz="12" w:space="0" w:color="auto"/>
              <w:left w:val="single" w:sz="12" w:space="0" w:color="auto"/>
              <w:bottom w:val="single" w:sz="2" w:space="0" w:color="auto"/>
            </w:tcBorders>
            <w:shd w:val="clear" w:color="auto" w:fill="E5B8B7" w:themeFill="accent2"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2</w:t>
            </w:r>
          </w:p>
        </w:tc>
        <w:tc>
          <w:tcPr>
            <w:tcW w:w="1152" w:type="dxa"/>
            <w:tcBorders>
              <w:top w:val="single" w:sz="12" w:space="0" w:color="auto"/>
              <w:left w:val="single" w:sz="2" w:space="0" w:color="auto"/>
              <w:bottom w:val="single" w:sz="2" w:space="0" w:color="auto"/>
              <w:right w:val="single" w:sz="12" w:space="0" w:color="auto"/>
            </w:tcBorders>
            <w:shd w:val="clear" w:color="auto" w:fill="E5B8B7" w:themeFill="accent2" w:themeFillTint="66"/>
          </w:tcPr>
          <w:p w:rsidR="00E969CD" w:rsidRPr="000D1E8E" w:rsidRDefault="00E969CD" w:rsidP="00E969CD">
            <w:pPr>
              <w:spacing w:after="0" w:line="240" w:lineRule="auto"/>
              <w:ind w:firstLine="0"/>
              <w:jc w:val="center"/>
              <w:rPr>
                <w:b/>
                <w:sz w:val="18"/>
                <w:szCs w:val="18"/>
              </w:rPr>
            </w:pPr>
            <w:r w:rsidRPr="000D1E8E">
              <w:rPr>
                <w:b/>
                <w:sz w:val="18"/>
                <w:szCs w:val="18"/>
              </w:rPr>
              <w:t>4,0</w:t>
            </w:r>
          </w:p>
        </w:tc>
        <w:tc>
          <w:tcPr>
            <w:tcW w:w="1296" w:type="dxa"/>
            <w:tcBorders>
              <w:top w:val="single" w:sz="12" w:space="0" w:color="auto"/>
              <w:left w:val="single" w:sz="12" w:space="0" w:color="auto"/>
              <w:bottom w:val="single" w:sz="2" w:space="0" w:color="auto"/>
            </w:tcBorders>
            <w:shd w:val="clear" w:color="auto" w:fill="E5B8B7" w:themeFill="accent2" w:themeFillTint="66"/>
          </w:tcPr>
          <w:p w:rsidR="00E969CD" w:rsidRPr="000D1E8E" w:rsidRDefault="00E969CD" w:rsidP="00E969CD">
            <w:pPr>
              <w:spacing w:after="0" w:line="240" w:lineRule="auto"/>
              <w:ind w:firstLine="0"/>
              <w:jc w:val="center"/>
              <w:rPr>
                <w:sz w:val="18"/>
                <w:szCs w:val="18"/>
              </w:rPr>
            </w:pPr>
            <w:r w:rsidRPr="000D1E8E">
              <w:rPr>
                <w:sz w:val="18"/>
                <w:szCs w:val="18"/>
              </w:rPr>
              <w:t>6,0</w:t>
            </w:r>
          </w:p>
        </w:tc>
        <w:tc>
          <w:tcPr>
            <w:tcW w:w="1296" w:type="dxa"/>
            <w:tcBorders>
              <w:top w:val="single" w:sz="12" w:space="0" w:color="auto"/>
              <w:left w:val="single" w:sz="12" w:space="0" w:color="auto"/>
              <w:bottom w:val="single" w:sz="2" w:space="0" w:color="auto"/>
            </w:tcBorders>
            <w:shd w:val="clear" w:color="auto" w:fill="E5B8B7" w:themeFill="accent2" w:themeFillTint="66"/>
          </w:tcPr>
          <w:p w:rsidR="00E969CD" w:rsidRPr="000D1E8E" w:rsidRDefault="00E969CD" w:rsidP="00E969CD">
            <w:pPr>
              <w:spacing w:after="0" w:line="240" w:lineRule="auto"/>
              <w:ind w:firstLine="0"/>
              <w:jc w:val="center"/>
              <w:rPr>
                <w:sz w:val="18"/>
                <w:szCs w:val="18"/>
              </w:rPr>
            </w:pPr>
            <w:r w:rsidRPr="000D1E8E">
              <w:rPr>
                <w:sz w:val="18"/>
                <w:szCs w:val="18"/>
              </w:rPr>
              <w:t>2,0</w:t>
            </w:r>
          </w:p>
        </w:tc>
        <w:tc>
          <w:tcPr>
            <w:tcW w:w="1296" w:type="dxa"/>
            <w:tcBorders>
              <w:top w:val="single" w:sz="12" w:space="0" w:color="auto"/>
              <w:left w:val="single" w:sz="12" w:space="0" w:color="auto"/>
              <w:bottom w:val="single" w:sz="2" w:space="0" w:color="auto"/>
            </w:tcBorders>
            <w:shd w:val="clear" w:color="auto" w:fill="E5B8B7" w:themeFill="accent2" w:themeFillTint="66"/>
          </w:tcPr>
          <w:p w:rsidR="00E969CD" w:rsidRPr="000D1E8E" w:rsidRDefault="00E969CD" w:rsidP="00E969CD">
            <w:pPr>
              <w:spacing w:after="0" w:line="240" w:lineRule="auto"/>
              <w:ind w:firstLine="0"/>
              <w:jc w:val="center"/>
              <w:rPr>
                <w:sz w:val="18"/>
                <w:szCs w:val="18"/>
              </w:rPr>
            </w:pPr>
            <w:r w:rsidRPr="000D1E8E">
              <w:rPr>
                <w:sz w:val="18"/>
                <w:szCs w:val="18"/>
              </w:rPr>
              <w:t>3,00</w:t>
            </w:r>
          </w:p>
        </w:tc>
      </w:tr>
      <w:tr w:rsidR="00E969CD" w:rsidRPr="008144D7" w:rsidTr="00E969CD">
        <w:tc>
          <w:tcPr>
            <w:tcW w:w="2880" w:type="dxa"/>
            <w:tcBorders>
              <w:top w:val="single" w:sz="2" w:space="0" w:color="auto"/>
              <w:bottom w:val="single" w:sz="2" w:space="0" w:color="auto"/>
              <w:right w:val="single" w:sz="12" w:space="0" w:color="auto"/>
            </w:tcBorders>
            <w:shd w:val="clear" w:color="auto" w:fill="E5B8B7" w:themeFill="accent2" w:themeFillTint="66"/>
          </w:tcPr>
          <w:p w:rsidR="00E969CD" w:rsidRPr="000D1E8E" w:rsidRDefault="00E969CD" w:rsidP="00E969CD">
            <w:pPr>
              <w:spacing w:after="0" w:line="240" w:lineRule="auto"/>
              <w:ind w:firstLine="0"/>
              <w:rPr>
                <w:i/>
                <w:sz w:val="18"/>
                <w:szCs w:val="18"/>
              </w:rPr>
            </w:pPr>
            <w:r w:rsidRPr="000D1E8E">
              <w:rPr>
                <w:i/>
                <w:sz w:val="18"/>
                <w:szCs w:val="18"/>
              </w:rPr>
              <w:t>Šešėlinė ekonomika (c</w:t>
            </w:r>
            <w:r w:rsidRPr="000D1E8E">
              <w:rPr>
                <w:i/>
                <w:sz w:val="18"/>
                <w:szCs w:val="18"/>
                <w:vertAlign w:val="subscript"/>
              </w:rPr>
              <w:t>2</w:t>
            </w:r>
            <w:r w:rsidRPr="000D1E8E">
              <w:rPr>
                <w:i/>
                <w:sz w:val="18"/>
                <w:szCs w:val="18"/>
              </w:rPr>
              <w:t>)</w:t>
            </w:r>
          </w:p>
        </w:tc>
        <w:tc>
          <w:tcPr>
            <w:tcW w:w="1152" w:type="dxa"/>
            <w:tcBorders>
              <w:top w:val="single" w:sz="2" w:space="0" w:color="auto"/>
              <w:left w:val="single" w:sz="12" w:space="0" w:color="auto"/>
              <w:bottom w:val="single" w:sz="2" w:space="0" w:color="auto"/>
            </w:tcBorders>
            <w:shd w:val="clear" w:color="auto" w:fill="E5B8B7" w:themeFill="accent2" w:themeFillTint="66"/>
          </w:tcPr>
          <w:p w:rsidR="00E969CD" w:rsidRPr="000D1E8E" w:rsidRDefault="00E969CD" w:rsidP="00E969CD">
            <w:pPr>
              <w:spacing w:after="0" w:line="240" w:lineRule="auto"/>
              <w:ind w:firstLine="0"/>
              <w:jc w:val="center"/>
              <w:rPr>
                <w:b/>
                <w:sz w:val="18"/>
                <w:szCs w:val="18"/>
              </w:rPr>
            </w:pPr>
            <w:r w:rsidRPr="000D1E8E">
              <w:rPr>
                <w:b/>
                <w:sz w:val="18"/>
                <w:szCs w:val="18"/>
              </w:rPr>
              <w:t>1,5</w:t>
            </w:r>
          </w:p>
        </w:tc>
        <w:tc>
          <w:tcPr>
            <w:tcW w:w="1152" w:type="dxa"/>
            <w:tcBorders>
              <w:top w:val="single" w:sz="2" w:space="0" w:color="auto"/>
              <w:left w:val="single" w:sz="12" w:space="0" w:color="auto"/>
              <w:bottom w:val="single" w:sz="2" w:space="0" w:color="auto"/>
            </w:tcBorders>
            <w:shd w:val="clear" w:color="auto" w:fill="E5B8B7" w:themeFill="accent2"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2</w:t>
            </w:r>
          </w:p>
        </w:tc>
        <w:tc>
          <w:tcPr>
            <w:tcW w:w="1152" w:type="dxa"/>
            <w:tcBorders>
              <w:top w:val="single" w:sz="2" w:space="0" w:color="auto"/>
              <w:left w:val="single" w:sz="2" w:space="0" w:color="auto"/>
              <w:bottom w:val="single" w:sz="2" w:space="0" w:color="auto"/>
              <w:right w:val="single" w:sz="12" w:space="0" w:color="auto"/>
            </w:tcBorders>
            <w:shd w:val="clear" w:color="auto" w:fill="E5B8B7" w:themeFill="accent2" w:themeFillTint="66"/>
          </w:tcPr>
          <w:p w:rsidR="00E969CD" w:rsidRPr="000D1E8E" w:rsidRDefault="00E969CD" w:rsidP="00E969CD">
            <w:pPr>
              <w:spacing w:after="0" w:line="240" w:lineRule="auto"/>
              <w:ind w:firstLine="0"/>
              <w:jc w:val="center"/>
              <w:rPr>
                <w:b/>
                <w:sz w:val="18"/>
                <w:szCs w:val="18"/>
              </w:rPr>
            </w:pPr>
            <w:r w:rsidRPr="000D1E8E">
              <w:rPr>
                <w:b/>
                <w:sz w:val="18"/>
                <w:szCs w:val="18"/>
              </w:rPr>
              <w:t>3,0</w:t>
            </w:r>
          </w:p>
        </w:tc>
        <w:tc>
          <w:tcPr>
            <w:tcW w:w="1296" w:type="dxa"/>
            <w:tcBorders>
              <w:top w:val="single" w:sz="2" w:space="0" w:color="auto"/>
              <w:left w:val="single" w:sz="12" w:space="0" w:color="auto"/>
              <w:bottom w:val="single" w:sz="2" w:space="0" w:color="auto"/>
            </w:tcBorders>
            <w:shd w:val="clear" w:color="auto" w:fill="E5B8B7" w:themeFill="accent2" w:themeFillTint="66"/>
          </w:tcPr>
          <w:p w:rsidR="00E969CD" w:rsidRPr="000D1E8E" w:rsidRDefault="00E969CD" w:rsidP="00E969CD">
            <w:pPr>
              <w:spacing w:after="0" w:line="240" w:lineRule="auto"/>
              <w:ind w:firstLine="0"/>
              <w:jc w:val="center"/>
              <w:rPr>
                <w:sz w:val="18"/>
                <w:szCs w:val="18"/>
              </w:rPr>
            </w:pPr>
            <w:r w:rsidRPr="000D1E8E">
              <w:rPr>
                <w:sz w:val="18"/>
                <w:szCs w:val="18"/>
              </w:rPr>
              <w:t>7,5</w:t>
            </w:r>
          </w:p>
        </w:tc>
        <w:tc>
          <w:tcPr>
            <w:tcW w:w="1296" w:type="dxa"/>
            <w:tcBorders>
              <w:top w:val="single" w:sz="2" w:space="0" w:color="auto"/>
              <w:left w:val="single" w:sz="12" w:space="0" w:color="auto"/>
              <w:bottom w:val="single" w:sz="2" w:space="0" w:color="auto"/>
            </w:tcBorders>
            <w:shd w:val="clear" w:color="auto" w:fill="E5B8B7" w:themeFill="accent2" w:themeFillTint="66"/>
          </w:tcPr>
          <w:p w:rsidR="00E969CD" w:rsidRPr="000D1E8E" w:rsidRDefault="00E969CD" w:rsidP="00E969CD">
            <w:pPr>
              <w:spacing w:after="0" w:line="240" w:lineRule="auto"/>
              <w:ind w:firstLine="0"/>
              <w:jc w:val="center"/>
              <w:rPr>
                <w:sz w:val="18"/>
                <w:szCs w:val="18"/>
              </w:rPr>
            </w:pPr>
            <w:r w:rsidRPr="000D1E8E">
              <w:rPr>
                <w:sz w:val="18"/>
                <w:szCs w:val="18"/>
              </w:rPr>
              <w:t>4,5</w:t>
            </w:r>
          </w:p>
        </w:tc>
        <w:tc>
          <w:tcPr>
            <w:tcW w:w="1296" w:type="dxa"/>
            <w:tcBorders>
              <w:top w:val="single" w:sz="2" w:space="0" w:color="auto"/>
              <w:left w:val="single" w:sz="12" w:space="0" w:color="auto"/>
              <w:bottom w:val="single" w:sz="2" w:space="0" w:color="auto"/>
            </w:tcBorders>
            <w:shd w:val="clear" w:color="auto" w:fill="E5B8B7" w:themeFill="accent2" w:themeFillTint="66"/>
          </w:tcPr>
          <w:p w:rsidR="00E969CD" w:rsidRPr="000D1E8E" w:rsidRDefault="00E969CD" w:rsidP="00E969CD">
            <w:pPr>
              <w:spacing w:after="0" w:line="240" w:lineRule="auto"/>
              <w:ind w:firstLine="0"/>
              <w:jc w:val="center"/>
              <w:rPr>
                <w:sz w:val="18"/>
                <w:szCs w:val="18"/>
              </w:rPr>
            </w:pPr>
            <w:r w:rsidRPr="000D1E8E">
              <w:rPr>
                <w:sz w:val="18"/>
                <w:szCs w:val="18"/>
              </w:rPr>
              <w:t>3,75</w:t>
            </w:r>
          </w:p>
        </w:tc>
      </w:tr>
      <w:tr w:rsidR="00E969CD" w:rsidRPr="008144D7" w:rsidTr="00E969CD">
        <w:tc>
          <w:tcPr>
            <w:tcW w:w="2880" w:type="dxa"/>
            <w:tcBorders>
              <w:top w:val="single" w:sz="2" w:space="0" w:color="auto"/>
              <w:bottom w:val="single" w:sz="2" w:space="0" w:color="auto"/>
              <w:right w:val="single" w:sz="12" w:space="0" w:color="auto"/>
            </w:tcBorders>
            <w:shd w:val="clear" w:color="auto" w:fill="E5B8B7" w:themeFill="accent2" w:themeFillTint="66"/>
          </w:tcPr>
          <w:p w:rsidR="00E969CD" w:rsidRPr="000D1E8E" w:rsidRDefault="00E969CD" w:rsidP="00E969CD">
            <w:pPr>
              <w:spacing w:after="0" w:line="240" w:lineRule="auto"/>
              <w:ind w:firstLine="0"/>
              <w:rPr>
                <w:i/>
                <w:sz w:val="18"/>
                <w:szCs w:val="18"/>
              </w:rPr>
            </w:pPr>
            <w:r w:rsidRPr="000D1E8E">
              <w:rPr>
                <w:i/>
                <w:sz w:val="18"/>
                <w:szCs w:val="18"/>
              </w:rPr>
              <w:t>Mokesčių našta (c</w:t>
            </w:r>
            <w:r w:rsidRPr="000D1E8E">
              <w:rPr>
                <w:i/>
                <w:sz w:val="18"/>
                <w:szCs w:val="18"/>
                <w:vertAlign w:val="subscript"/>
              </w:rPr>
              <w:t>3</w:t>
            </w:r>
            <w:r w:rsidRPr="000D1E8E">
              <w:rPr>
                <w:i/>
                <w:sz w:val="18"/>
                <w:szCs w:val="18"/>
              </w:rPr>
              <w:t>)</w:t>
            </w:r>
          </w:p>
        </w:tc>
        <w:tc>
          <w:tcPr>
            <w:tcW w:w="1152" w:type="dxa"/>
            <w:tcBorders>
              <w:top w:val="single" w:sz="2" w:space="0" w:color="auto"/>
              <w:left w:val="single" w:sz="12" w:space="0" w:color="auto"/>
              <w:bottom w:val="single" w:sz="2" w:space="0" w:color="auto"/>
            </w:tcBorders>
            <w:shd w:val="clear" w:color="auto" w:fill="E5B8B7" w:themeFill="accent2" w:themeFillTint="66"/>
          </w:tcPr>
          <w:p w:rsidR="00E969CD" w:rsidRPr="000D1E8E" w:rsidRDefault="00E969CD" w:rsidP="00E969CD">
            <w:pPr>
              <w:spacing w:after="0" w:line="240" w:lineRule="auto"/>
              <w:ind w:firstLine="0"/>
              <w:jc w:val="center"/>
              <w:rPr>
                <w:b/>
                <w:sz w:val="18"/>
                <w:szCs w:val="18"/>
              </w:rPr>
            </w:pPr>
            <w:r w:rsidRPr="000D1E8E">
              <w:rPr>
                <w:b/>
                <w:sz w:val="18"/>
                <w:szCs w:val="18"/>
              </w:rPr>
              <w:t>1,5</w:t>
            </w:r>
          </w:p>
        </w:tc>
        <w:tc>
          <w:tcPr>
            <w:tcW w:w="1152" w:type="dxa"/>
            <w:tcBorders>
              <w:top w:val="single" w:sz="2" w:space="0" w:color="auto"/>
              <w:left w:val="single" w:sz="12" w:space="0" w:color="auto"/>
              <w:bottom w:val="single" w:sz="2" w:space="0" w:color="auto"/>
            </w:tcBorders>
            <w:shd w:val="clear" w:color="auto" w:fill="E5B8B7" w:themeFill="accent2"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2</w:t>
            </w:r>
          </w:p>
        </w:tc>
        <w:tc>
          <w:tcPr>
            <w:tcW w:w="1152" w:type="dxa"/>
            <w:tcBorders>
              <w:top w:val="single" w:sz="2" w:space="0" w:color="auto"/>
              <w:left w:val="single" w:sz="2" w:space="0" w:color="auto"/>
              <w:bottom w:val="single" w:sz="2" w:space="0" w:color="auto"/>
              <w:right w:val="single" w:sz="12" w:space="0" w:color="auto"/>
            </w:tcBorders>
            <w:shd w:val="clear" w:color="auto" w:fill="E5B8B7" w:themeFill="accent2" w:themeFillTint="66"/>
          </w:tcPr>
          <w:p w:rsidR="00E969CD" w:rsidRPr="000D1E8E" w:rsidRDefault="00E969CD" w:rsidP="00E969CD">
            <w:pPr>
              <w:spacing w:after="0" w:line="240" w:lineRule="auto"/>
              <w:ind w:firstLine="0"/>
              <w:jc w:val="center"/>
              <w:rPr>
                <w:b/>
                <w:sz w:val="18"/>
                <w:szCs w:val="18"/>
              </w:rPr>
            </w:pPr>
            <w:r w:rsidRPr="000D1E8E">
              <w:rPr>
                <w:b/>
                <w:sz w:val="18"/>
                <w:szCs w:val="18"/>
              </w:rPr>
              <w:t>3,0</w:t>
            </w:r>
          </w:p>
        </w:tc>
        <w:tc>
          <w:tcPr>
            <w:tcW w:w="1296" w:type="dxa"/>
            <w:tcBorders>
              <w:top w:val="single" w:sz="2" w:space="0" w:color="auto"/>
              <w:left w:val="single" w:sz="12" w:space="0" w:color="auto"/>
              <w:bottom w:val="single" w:sz="2" w:space="0" w:color="auto"/>
            </w:tcBorders>
            <w:shd w:val="clear" w:color="auto" w:fill="E5B8B7" w:themeFill="accent2" w:themeFillTint="66"/>
          </w:tcPr>
          <w:p w:rsidR="00E969CD" w:rsidRPr="000D1E8E" w:rsidRDefault="00E969CD" w:rsidP="00E969CD">
            <w:pPr>
              <w:spacing w:after="0" w:line="240" w:lineRule="auto"/>
              <w:ind w:firstLine="0"/>
              <w:jc w:val="center"/>
              <w:rPr>
                <w:sz w:val="18"/>
                <w:szCs w:val="18"/>
              </w:rPr>
            </w:pPr>
            <w:r w:rsidRPr="000D1E8E">
              <w:rPr>
                <w:sz w:val="18"/>
                <w:szCs w:val="18"/>
              </w:rPr>
              <w:t>6,0</w:t>
            </w:r>
          </w:p>
        </w:tc>
        <w:tc>
          <w:tcPr>
            <w:tcW w:w="1296" w:type="dxa"/>
            <w:tcBorders>
              <w:top w:val="single" w:sz="2" w:space="0" w:color="auto"/>
              <w:left w:val="single" w:sz="12" w:space="0" w:color="auto"/>
              <w:bottom w:val="single" w:sz="2" w:space="0" w:color="auto"/>
            </w:tcBorders>
            <w:shd w:val="clear" w:color="auto" w:fill="E5B8B7" w:themeFill="accent2" w:themeFillTint="66"/>
          </w:tcPr>
          <w:p w:rsidR="00E969CD" w:rsidRPr="000D1E8E" w:rsidRDefault="00E969CD" w:rsidP="00E969CD">
            <w:pPr>
              <w:spacing w:after="0" w:line="240" w:lineRule="auto"/>
              <w:ind w:firstLine="0"/>
              <w:jc w:val="center"/>
              <w:rPr>
                <w:sz w:val="18"/>
                <w:szCs w:val="18"/>
              </w:rPr>
            </w:pPr>
            <w:r w:rsidRPr="000D1E8E">
              <w:rPr>
                <w:sz w:val="18"/>
                <w:szCs w:val="18"/>
              </w:rPr>
              <w:t>3,0</w:t>
            </w:r>
          </w:p>
        </w:tc>
        <w:tc>
          <w:tcPr>
            <w:tcW w:w="1296" w:type="dxa"/>
            <w:tcBorders>
              <w:top w:val="single" w:sz="2" w:space="0" w:color="auto"/>
              <w:left w:val="single" w:sz="12" w:space="0" w:color="auto"/>
              <w:bottom w:val="single" w:sz="2" w:space="0" w:color="auto"/>
            </w:tcBorders>
            <w:shd w:val="clear" w:color="auto" w:fill="E5B8B7" w:themeFill="accent2" w:themeFillTint="66"/>
          </w:tcPr>
          <w:p w:rsidR="00E969CD" w:rsidRPr="000D1E8E" w:rsidRDefault="00E969CD" w:rsidP="00E969CD">
            <w:pPr>
              <w:spacing w:after="0" w:line="240" w:lineRule="auto"/>
              <w:ind w:firstLine="0"/>
              <w:jc w:val="center"/>
              <w:rPr>
                <w:sz w:val="18"/>
                <w:szCs w:val="18"/>
              </w:rPr>
            </w:pPr>
            <w:r w:rsidRPr="000D1E8E">
              <w:rPr>
                <w:sz w:val="18"/>
                <w:szCs w:val="18"/>
              </w:rPr>
              <w:t>3,00</w:t>
            </w:r>
          </w:p>
        </w:tc>
      </w:tr>
      <w:tr w:rsidR="00E969CD" w:rsidRPr="008144D7" w:rsidTr="00E969CD">
        <w:tc>
          <w:tcPr>
            <w:tcW w:w="2880" w:type="dxa"/>
            <w:tcBorders>
              <w:top w:val="single" w:sz="2" w:space="0" w:color="auto"/>
              <w:bottom w:val="single" w:sz="2" w:space="0" w:color="auto"/>
              <w:right w:val="single" w:sz="12" w:space="0" w:color="auto"/>
            </w:tcBorders>
            <w:shd w:val="clear" w:color="auto" w:fill="E5B8B7" w:themeFill="accent2" w:themeFillTint="66"/>
          </w:tcPr>
          <w:p w:rsidR="00E969CD" w:rsidRPr="000D1E8E" w:rsidRDefault="00E969CD" w:rsidP="00E969CD">
            <w:pPr>
              <w:spacing w:after="0" w:line="240" w:lineRule="auto"/>
              <w:ind w:firstLine="0"/>
              <w:rPr>
                <w:i/>
                <w:sz w:val="18"/>
                <w:szCs w:val="18"/>
              </w:rPr>
            </w:pPr>
            <w:r w:rsidRPr="000D1E8E">
              <w:rPr>
                <w:i/>
                <w:sz w:val="18"/>
                <w:szCs w:val="18"/>
              </w:rPr>
              <w:t>Skurdo „spąstai“ (c</w:t>
            </w:r>
            <w:r w:rsidRPr="000D1E8E">
              <w:rPr>
                <w:i/>
                <w:sz w:val="18"/>
                <w:szCs w:val="18"/>
                <w:vertAlign w:val="subscript"/>
              </w:rPr>
              <w:t>4</w:t>
            </w:r>
            <w:r w:rsidRPr="000D1E8E">
              <w:rPr>
                <w:i/>
                <w:sz w:val="18"/>
                <w:szCs w:val="18"/>
              </w:rPr>
              <w:t>)</w:t>
            </w:r>
          </w:p>
        </w:tc>
        <w:tc>
          <w:tcPr>
            <w:tcW w:w="1152" w:type="dxa"/>
            <w:tcBorders>
              <w:top w:val="single" w:sz="2" w:space="0" w:color="auto"/>
              <w:left w:val="single" w:sz="12" w:space="0" w:color="auto"/>
              <w:bottom w:val="single" w:sz="2" w:space="0" w:color="auto"/>
            </w:tcBorders>
            <w:shd w:val="clear" w:color="auto" w:fill="E5B8B7" w:themeFill="accent2" w:themeFillTint="66"/>
          </w:tcPr>
          <w:p w:rsidR="00E969CD" w:rsidRPr="000D1E8E" w:rsidRDefault="00E969CD" w:rsidP="00E969CD">
            <w:pPr>
              <w:spacing w:after="0" w:line="240" w:lineRule="auto"/>
              <w:ind w:firstLine="0"/>
              <w:jc w:val="center"/>
              <w:rPr>
                <w:b/>
                <w:sz w:val="18"/>
                <w:szCs w:val="18"/>
              </w:rPr>
            </w:pPr>
            <w:r w:rsidRPr="000D1E8E">
              <w:rPr>
                <w:b/>
                <w:sz w:val="18"/>
                <w:szCs w:val="18"/>
              </w:rPr>
              <w:t>1,5</w:t>
            </w:r>
          </w:p>
        </w:tc>
        <w:tc>
          <w:tcPr>
            <w:tcW w:w="1152" w:type="dxa"/>
            <w:tcBorders>
              <w:top w:val="single" w:sz="2" w:space="0" w:color="auto"/>
              <w:left w:val="single" w:sz="12" w:space="0" w:color="auto"/>
              <w:bottom w:val="single" w:sz="2" w:space="0" w:color="auto"/>
            </w:tcBorders>
            <w:shd w:val="clear" w:color="auto" w:fill="E5B8B7" w:themeFill="accent2"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2</w:t>
            </w:r>
          </w:p>
        </w:tc>
        <w:tc>
          <w:tcPr>
            <w:tcW w:w="1152" w:type="dxa"/>
            <w:tcBorders>
              <w:top w:val="single" w:sz="2" w:space="0" w:color="auto"/>
              <w:left w:val="single" w:sz="2" w:space="0" w:color="auto"/>
              <w:bottom w:val="single" w:sz="2" w:space="0" w:color="auto"/>
              <w:right w:val="single" w:sz="12" w:space="0" w:color="auto"/>
            </w:tcBorders>
            <w:shd w:val="clear" w:color="auto" w:fill="E5B8B7" w:themeFill="accent2" w:themeFillTint="66"/>
          </w:tcPr>
          <w:p w:rsidR="00E969CD" w:rsidRPr="000D1E8E" w:rsidRDefault="00E969CD" w:rsidP="00E969CD">
            <w:pPr>
              <w:spacing w:after="0" w:line="240" w:lineRule="auto"/>
              <w:ind w:firstLine="0"/>
              <w:jc w:val="center"/>
              <w:rPr>
                <w:b/>
                <w:sz w:val="18"/>
                <w:szCs w:val="18"/>
              </w:rPr>
            </w:pPr>
            <w:r w:rsidRPr="000D1E8E">
              <w:rPr>
                <w:b/>
                <w:sz w:val="18"/>
                <w:szCs w:val="18"/>
              </w:rPr>
              <w:t>3,0</w:t>
            </w:r>
          </w:p>
        </w:tc>
        <w:tc>
          <w:tcPr>
            <w:tcW w:w="1296" w:type="dxa"/>
            <w:tcBorders>
              <w:top w:val="single" w:sz="2" w:space="0" w:color="auto"/>
              <w:left w:val="single" w:sz="12" w:space="0" w:color="auto"/>
              <w:bottom w:val="single" w:sz="2" w:space="0" w:color="auto"/>
            </w:tcBorders>
            <w:shd w:val="clear" w:color="auto" w:fill="E5B8B7" w:themeFill="accent2" w:themeFillTint="66"/>
          </w:tcPr>
          <w:p w:rsidR="00E969CD" w:rsidRPr="000D1E8E" w:rsidRDefault="00E969CD" w:rsidP="00E969CD">
            <w:pPr>
              <w:spacing w:after="0" w:line="240" w:lineRule="auto"/>
              <w:ind w:firstLine="0"/>
              <w:jc w:val="center"/>
              <w:rPr>
                <w:sz w:val="18"/>
                <w:szCs w:val="18"/>
              </w:rPr>
            </w:pPr>
            <w:r w:rsidRPr="000D1E8E">
              <w:rPr>
                <w:sz w:val="18"/>
                <w:szCs w:val="18"/>
              </w:rPr>
              <w:t>4,5</w:t>
            </w:r>
          </w:p>
        </w:tc>
        <w:tc>
          <w:tcPr>
            <w:tcW w:w="1296" w:type="dxa"/>
            <w:tcBorders>
              <w:top w:val="single" w:sz="2" w:space="0" w:color="auto"/>
              <w:left w:val="single" w:sz="12" w:space="0" w:color="auto"/>
              <w:bottom w:val="single" w:sz="2" w:space="0" w:color="auto"/>
            </w:tcBorders>
            <w:shd w:val="clear" w:color="auto" w:fill="E5B8B7" w:themeFill="accent2" w:themeFillTint="66"/>
          </w:tcPr>
          <w:p w:rsidR="00E969CD" w:rsidRPr="000D1E8E" w:rsidRDefault="00E969CD" w:rsidP="00E969CD">
            <w:pPr>
              <w:spacing w:after="0" w:line="240" w:lineRule="auto"/>
              <w:ind w:firstLine="0"/>
              <w:jc w:val="center"/>
              <w:rPr>
                <w:sz w:val="18"/>
                <w:szCs w:val="18"/>
              </w:rPr>
            </w:pPr>
            <w:r w:rsidRPr="000D1E8E">
              <w:rPr>
                <w:sz w:val="18"/>
                <w:szCs w:val="18"/>
              </w:rPr>
              <w:t>1,5</w:t>
            </w:r>
          </w:p>
        </w:tc>
        <w:tc>
          <w:tcPr>
            <w:tcW w:w="1296" w:type="dxa"/>
            <w:tcBorders>
              <w:top w:val="single" w:sz="2" w:space="0" w:color="auto"/>
              <w:left w:val="single" w:sz="12" w:space="0" w:color="auto"/>
              <w:bottom w:val="single" w:sz="2" w:space="0" w:color="auto"/>
            </w:tcBorders>
            <w:shd w:val="clear" w:color="auto" w:fill="E5B8B7" w:themeFill="accent2" w:themeFillTint="66"/>
          </w:tcPr>
          <w:p w:rsidR="00E969CD" w:rsidRPr="000D1E8E" w:rsidRDefault="00E969CD" w:rsidP="00E969CD">
            <w:pPr>
              <w:spacing w:after="0" w:line="240" w:lineRule="auto"/>
              <w:ind w:firstLine="0"/>
              <w:jc w:val="center"/>
              <w:rPr>
                <w:sz w:val="18"/>
                <w:szCs w:val="18"/>
              </w:rPr>
            </w:pPr>
            <w:r w:rsidRPr="000D1E8E">
              <w:rPr>
                <w:sz w:val="18"/>
                <w:szCs w:val="18"/>
              </w:rPr>
              <w:t>2,25</w:t>
            </w:r>
          </w:p>
        </w:tc>
      </w:tr>
      <w:tr w:rsidR="00E969CD" w:rsidRPr="008144D7" w:rsidTr="00E969CD">
        <w:tc>
          <w:tcPr>
            <w:tcW w:w="2880" w:type="dxa"/>
            <w:tcBorders>
              <w:top w:val="single" w:sz="2" w:space="0" w:color="auto"/>
              <w:bottom w:val="single" w:sz="12" w:space="0" w:color="auto"/>
              <w:right w:val="single" w:sz="12" w:space="0" w:color="auto"/>
            </w:tcBorders>
            <w:shd w:val="clear" w:color="auto" w:fill="E5B8B7" w:themeFill="accent2" w:themeFillTint="66"/>
          </w:tcPr>
          <w:p w:rsidR="00E969CD" w:rsidRPr="000D1E8E" w:rsidRDefault="00E969CD" w:rsidP="00E969CD">
            <w:pPr>
              <w:spacing w:after="0" w:line="240" w:lineRule="auto"/>
              <w:ind w:firstLine="0"/>
              <w:rPr>
                <w:i/>
                <w:sz w:val="18"/>
                <w:szCs w:val="18"/>
              </w:rPr>
            </w:pPr>
            <w:r w:rsidRPr="000D1E8E">
              <w:rPr>
                <w:i/>
                <w:sz w:val="18"/>
                <w:szCs w:val="18"/>
              </w:rPr>
              <w:t>Išmokos mokėjimo trukmė (c</w:t>
            </w:r>
            <w:r w:rsidRPr="000D1E8E">
              <w:rPr>
                <w:i/>
                <w:sz w:val="18"/>
                <w:szCs w:val="18"/>
                <w:vertAlign w:val="subscript"/>
              </w:rPr>
              <w:t>5</w:t>
            </w:r>
            <w:r w:rsidRPr="000D1E8E">
              <w:rPr>
                <w:i/>
                <w:sz w:val="18"/>
                <w:szCs w:val="18"/>
              </w:rPr>
              <w:t>)</w:t>
            </w:r>
          </w:p>
        </w:tc>
        <w:tc>
          <w:tcPr>
            <w:tcW w:w="1152" w:type="dxa"/>
            <w:tcBorders>
              <w:top w:val="single" w:sz="2" w:space="0" w:color="auto"/>
              <w:left w:val="single" w:sz="12" w:space="0" w:color="auto"/>
              <w:bottom w:val="single" w:sz="12" w:space="0" w:color="auto"/>
            </w:tcBorders>
            <w:shd w:val="clear" w:color="auto" w:fill="E5B8B7" w:themeFill="accent2" w:themeFillTint="66"/>
          </w:tcPr>
          <w:p w:rsidR="00E969CD" w:rsidRPr="000D1E8E" w:rsidRDefault="00E969CD" w:rsidP="00E969CD">
            <w:pPr>
              <w:spacing w:after="0" w:line="240" w:lineRule="auto"/>
              <w:ind w:firstLine="0"/>
              <w:jc w:val="center"/>
              <w:rPr>
                <w:b/>
                <w:sz w:val="18"/>
                <w:szCs w:val="18"/>
              </w:rPr>
            </w:pPr>
            <w:r w:rsidRPr="000D1E8E">
              <w:rPr>
                <w:b/>
                <w:sz w:val="18"/>
                <w:szCs w:val="18"/>
              </w:rPr>
              <w:t>2,0</w:t>
            </w:r>
          </w:p>
        </w:tc>
        <w:tc>
          <w:tcPr>
            <w:tcW w:w="1152" w:type="dxa"/>
            <w:tcBorders>
              <w:top w:val="single" w:sz="2" w:space="0" w:color="auto"/>
              <w:left w:val="single" w:sz="12" w:space="0" w:color="auto"/>
              <w:bottom w:val="single" w:sz="12" w:space="0" w:color="auto"/>
            </w:tcBorders>
            <w:shd w:val="clear" w:color="auto" w:fill="E5B8B7" w:themeFill="accent2"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3</w:t>
            </w:r>
          </w:p>
        </w:tc>
        <w:tc>
          <w:tcPr>
            <w:tcW w:w="1152" w:type="dxa"/>
            <w:tcBorders>
              <w:top w:val="single" w:sz="2" w:space="0" w:color="auto"/>
              <w:left w:val="single" w:sz="2" w:space="0" w:color="auto"/>
              <w:bottom w:val="single" w:sz="12" w:space="0" w:color="auto"/>
              <w:right w:val="single" w:sz="12" w:space="0" w:color="auto"/>
            </w:tcBorders>
            <w:shd w:val="clear" w:color="auto" w:fill="E5B8B7" w:themeFill="accent2" w:themeFillTint="66"/>
          </w:tcPr>
          <w:p w:rsidR="00E969CD" w:rsidRPr="000D1E8E" w:rsidRDefault="00E969CD" w:rsidP="00E969CD">
            <w:pPr>
              <w:spacing w:after="0" w:line="240" w:lineRule="auto"/>
              <w:ind w:firstLine="0"/>
              <w:jc w:val="center"/>
              <w:rPr>
                <w:b/>
                <w:sz w:val="18"/>
                <w:szCs w:val="18"/>
              </w:rPr>
            </w:pPr>
            <w:r w:rsidRPr="000D1E8E">
              <w:rPr>
                <w:b/>
                <w:sz w:val="18"/>
                <w:szCs w:val="18"/>
              </w:rPr>
              <w:t>6,0</w:t>
            </w:r>
          </w:p>
        </w:tc>
        <w:tc>
          <w:tcPr>
            <w:tcW w:w="1296" w:type="dxa"/>
            <w:tcBorders>
              <w:top w:val="single" w:sz="2" w:space="0" w:color="auto"/>
              <w:left w:val="single" w:sz="12" w:space="0" w:color="auto"/>
              <w:bottom w:val="single" w:sz="12" w:space="0" w:color="auto"/>
            </w:tcBorders>
            <w:shd w:val="clear" w:color="auto" w:fill="E5B8B7" w:themeFill="accent2" w:themeFillTint="66"/>
          </w:tcPr>
          <w:p w:rsidR="00E969CD" w:rsidRPr="000D1E8E" w:rsidRDefault="00E969CD" w:rsidP="00E969CD">
            <w:pPr>
              <w:spacing w:after="0" w:line="240" w:lineRule="auto"/>
              <w:ind w:firstLine="0"/>
              <w:jc w:val="center"/>
              <w:rPr>
                <w:sz w:val="18"/>
                <w:szCs w:val="18"/>
              </w:rPr>
            </w:pPr>
            <w:r w:rsidRPr="000D1E8E">
              <w:rPr>
                <w:sz w:val="18"/>
                <w:szCs w:val="18"/>
              </w:rPr>
              <w:t>10,0</w:t>
            </w:r>
          </w:p>
        </w:tc>
        <w:tc>
          <w:tcPr>
            <w:tcW w:w="1296" w:type="dxa"/>
            <w:tcBorders>
              <w:top w:val="single" w:sz="2" w:space="0" w:color="auto"/>
              <w:left w:val="single" w:sz="12" w:space="0" w:color="auto"/>
              <w:bottom w:val="single" w:sz="12" w:space="0" w:color="auto"/>
            </w:tcBorders>
            <w:shd w:val="clear" w:color="auto" w:fill="E5B8B7" w:themeFill="accent2" w:themeFillTint="66"/>
          </w:tcPr>
          <w:p w:rsidR="00E969CD" w:rsidRPr="000D1E8E" w:rsidRDefault="00E969CD" w:rsidP="00E969CD">
            <w:pPr>
              <w:spacing w:after="0" w:line="240" w:lineRule="auto"/>
              <w:ind w:firstLine="0"/>
              <w:jc w:val="center"/>
              <w:rPr>
                <w:sz w:val="18"/>
                <w:szCs w:val="18"/>
              </w:rPr>
            </w:pPr>
            <w:r w:rsidRPr="000D1E8E">
              <w:rPr>
                <w:sz w:val="18"/>
                <w:szCs w:val="18"/>
              </w:rPr>
              <w:t>4,0</w:t>
            </w:r>
          </w:p>
        </w:tc>
        <w:tc>
          <w:tcPr>
            <w:tcW w:w="1296" w:type="dxa"/>
            <w:tcBorders>
              <w:top w:val="single" w:sz="2" w:space="0" w:color="auto"/>
              <w:left w:val="single" w:sz="12" w:space="0" w:color="auto"/>
              <w:bottom w:val="single" w:sz="12" w:space="0" w:color="auto"/>
            </w:tcBorders>
            <w:shd w:val="clear" w:color="auto" w:fill="E5B8B7" w:themeFill="accent2" w:themeFillTint="66"/>
          </w:tcPr>
          <w:p w:rsidR="00E969CD" w:rsidRPr="000D1E8E" w:rsidRDefault="00E969CD" w:rsidP="00E969CD">
            <w:pPr>
              <w:spacing w:after="0" w:line="240" w:lineRule="auto"/>
              <w:ind w:firstLine="0"/>
              <w:jc w:val="center"/>
              <w:rPr>
                <w:sz w:val="18"/>
                <w:szCs w:val="18"/>
              </w:rPr>
            </w:pPr>
            <w:r w:rsidRPr="000D1E8E">
              <w:rPr>
                <w:sz w:val="18"/>
                <w:szCs w:val="18"/>
              </w:rPr>
              <w:t>5,00</w:t>
            </w:r>
          </w:p>
        </w:tc>
      </w:tr>
      <w:tr w:rsidR="00E969CD" w:rsidRPr="008144D7" w:rsidTr="00E969CD">
        <w:tc>
          <w:tcPr>
            <w:tcW w:w="2880" w:type="dxa"/>
            <w:tcBorders>
              <w:top w:val="single" w:sz="12" w:space="0" w:color="auto"/>
              <w:bottom w:val="single" w:sz="12" w:space="0" w:color="auto"/>
              <w:right w:val="single" w:sz="12" w:space="0" w:color="auto"/>
            </w:tcBorders>
            <w:shd w:val="clear" w:color="auto" w:fill="D9D9D9" w:themeFill="background1" w:themeFillShade="D9"/>
            <w:vAlign w:val="center"/>
          </w:tcPr>
          <w:p w:rsidR="00E969CD" w:rsidRPr="0026790D" w:rsidRDefault="00E969CD" w:rsidP="00E969CD">
            <w:pPr>
              <w:spacing w:after="0" w:line="240" w:lineRule="auto"/>
              <w:ind w:firstLine="0"/>
              <w:jc w:val="right"/>
              <w:rPr>
                <w:b/>
                <w:i/>
                <w:sz w:val="17"/>
                <w:szCs w:val="17"/>
              </w:rPr>
            </w:pPr>
            <w:r w:rsidRPr="0026790D">
              <w:rPr>
                <w:b/>
                <w:i/>
                <w:sz w:val="17"/>
                <w:szCs w:val="17"/>
              </w:rPr>
              <w:t>SUMA:</w:t>
            </w:r>
          </w:p>
        </w:tc>
        <w:tc>
          <w:tcPr>
            <w:tcW w:w="1152" w:type="dxa"/>
            <w:tcBorders>
              <w:top w:val="single" w:sz="12" w:space="0" w:color="auto"/>
              <w:left w:val="single" w:sz="12" w:space="0" w:color="auto"/>
              <w:bottom w:val="single" w:sz="12" w:space="0" w:color="auto"/>
            </w:tcBorders>
            <w:shd w:val="clear" w:color="auto" w:fill="D9D9D9" w:themeFill="background1" w:themeFillShade="D9"/>
          </w:tcPr>
          <w:p w:rsidR="00E969CD" w:rsidRPr="0026790D" w:rsidRDefault="00E969CD" w:rsidP="00E969CD">
            <w:pPr>
              <w:spacing w:after="0" w:line="240" w:lineRule="auto"/>
              <w:ind w:firstLine="0"/>
              <w:jc w:val="center"/>
              <w:rPr>
                <w:b/>
                <w:color w:val="0070C0"/>
                <w:sz w:val="17"/>
                <w:szCs w:val="17"/>
              </w:rPr>
            </w:pPr>
            <w:r w:rsidRPr="0026790D">
              <w:rPr>
                <w:b/>
                <w:color w:val="0070C0"/>
                <w:sz w:val="17"/>
                <w:szCs w:val="17"/>
              </w:rPr>
              <w:t>-</w:t>
            </w:r>
          </w:p>
        </w:tc>
        <w:tc>
          <w:tcPr>
            <w:tcW w:w="1152" w:type="dxa"/>
            <w:tcBorders>
              <w:top w:val="single" w:sz="12" w:space="0" w:color="auto"/>
              <w:left w:val="single" w:sz="12" w:space="0" w:color="auto"/>
              <w:bottom w:val="single" w:sz="12" w:space="0" w:color="auto"/>
            </w:tcBorders>
            <w:shd w:val="clear" w:color="auto" w:fill="D9D9D9" w:themeFill="background1" w:themeFillShade="D9"/>
          </w:tcPr>
          <w:p w:rsidR="00E969CD" w:rsidRPr="0026790D" w:rsidRDefault="00E969CD" w:rsidP="00E969CD">
            <w:pPr>
              <w:widowControl/>
              <w:autoSpaceDE w:val="0"/>
              <w:autoSpaceDN w:val="0"/>
              <w:adjustRightInd w:val="0"/>
              <w:spacing w:after="0" w:line="240" w:lineRule="auto"/>
              <w:ind w:firstLine="0"/>
              <w:jc w:val="center"/>
              <w:rPr>
                <w:b/>
                <w:color w:val="000000"/>
                <w:sz w:val="17"/>
                <w:szCs w:val="17"/>
              </w:rPr>
            </w:pPr>
            <w:r w:rsidRPr="0026790D">
              <w:rPr>
                <w:b/>
                <w:color w:val="000000"/>
                <w:sz w:val="17"/>
                <w:szCs w:val="17"/>
              </w:rPr>
              <w:t>11</w:t>
            </w:r>
          </w:p>
        </w:tc>
        <w:tc>
          <w:tcPr>
            <w:tcW w:w="1152"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E969CD" w:rsidRPr="0026790D" w:rsidRDefault="00E969CD" w:rsidP="00E969CD">
            <w:pPr>
              <w:spacing w:after="0" w:line="240" w:lineRule="auto"/>
              <w:ind w:firstLine="0"/>
              <w:jc w:val="center"/>
              <w:rPr>
                <w:b/>
                <w:color w:val="FF0000"/>
                <w:sz w:val="17"/>
                <w:szCs w:val="17"/>
              </w:rPr>
            </w:pPr>
            <w:r w:rsidRPr="0026790D">
              <w:rPr>
                <w:b/>
                <w:color w:val="FF0000"/>
                <w:sz w:val="17"/>
                <w:szCs w:val="17"/>
              </w:rPr>
              <w:t xml:space="preserve">  19,0</w:t>
            </w:r>
          </w:p>
        </w:tc>
        <w:tc>
          <w:tcPr>
            <w:tcW w:w="1296"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6790D" w:rsidRDefault="00E969CD" w:rsidP="00E969CD">
            <w:pPr>
              <w:spacing w:after="0" w:line="240" w:lineRule="auto"/>
              <w:ind w:firstLine="0"/>
              <w:jc w:val="center"/>
              <w:rPr>
                <w:b/>
                <w:color w:val="C00000"/>
                <w:sz w:val="17"/>
                <w:szCs w:val="17"/>
              </w:rPr>
            </w:pPr>
            <w:r w:rsidRPr="0026790D">
              <w:rPr>
                <w:b/>
                <w:color w:val="C00000"/>
                <w:sz w:val="17"/>
                <w:szCs w:val="17"/>
              </w:rPr>
              <w:t>34,0</w:t>
            </w:r>
          </w:p>
        </w:tc>
        <w:tc>
          <w:tcPr>
            <w:tcW w:w="1296" w:type="dxa"/>
            <w:tcBorders>
              <w:top w:val="single" w:sz="12" w:space="0" w:color="auto"/>
              <w:left w:val="single" w:sz="12" w:space="0" w:color="auto"/>
              <w:bottom w:val="single" w:sz="12" w:space="0" w:color="auto"/>
            </w:tcBorders>
            <w:shd w:val="clear" w:color="auto" w:fill="D9D9D9" w:themeFill="background1" w:themeFillShade="D9"/>
          </w:tcPr>
          <w:p w:rsidR="00E969CD" w:rsidRPr="0026790D" w:rsidRDefault="00E969CD" w:rsidP="00E969CD">
            <w:pPr>
              <w:spacing w:after="0" w:line="240" w:lineRule="auto"/>
              <w:ind w:firstLine="0"/>
              <w:jc w:val="center"/>
              <w:rPr>
                <w:b/>
                <w:sz w:val="17"/>
                <w:szCs w:val="17"/>
              </w:rPr>
            </w:pPr>
            <w:r w:rsidRPr="0026790D">
              <w:rPr>
                <w:b/>
                <w:sz w:val="17"/>
                <w:szCs w:val="17"/>
              </w:rPr>
              <w:t>15,0</w:t>
            </w:r>
          </w:p>
        </w:tc>
        <w:tc>
          <w:tcPr>
            <w:tcW w:w="1296"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6790D" w:rsidRDefault="00E969CD" w:rsidP="00E969CD">
            <w:pPr>
              <w:spacing w:after="0" w:line="240" w:lineRule="auto"/>
              <w:ind w:firstLine="0"/>
              <w:jc w:val="center"/>
              <w:rPr>
                <w:b/>
                <w:color w:val="FF66CC"/>
                <w:sz w:val="17"/>
                <w:szCs w:val="17"/>
              </w:rPr>
            </w:pPr>
            <w:r w:rsidRPr="0026790D">
              <w:rPr>
                <w:b/>
                <w:color w:val="FF66CC"/>
                <w:sz w:val="17"/>
                <w:szCs w:val="17"/>
              </w:rPr>
              <w:t>17,0</w:t>
            </w:r>
          </w:p>
        </w:tc>
      </w:tr>
      <w:tr w:rsidR="00E969CD" w:rsidRPr="00152F50" w:rsidTr="00E969CD">
        <w:tc>
          <w:tcPr>
            <w:tcW w:w="10224" w:type="dxa"/>
            <w:gridSpan w:val="7"/>
            <w:tcBorders>
              <w:top w:val="single" w:sz="12" w:space="0" w:color="auto"/>
              <w:bottom w:val="single" w:sz="12" w:space="0" w:color="auto"/>
            </w:tcBorders>
            <w:shd w:val="clear" w:color="auto" w:fill="auto"/>
            <w:vAlign w:val="center"/>
          </w:tcPr>
          <w:p w:rsidR="00E969CD" w:rsidRPr="00152F50" w:rsidRDefault="00E969CD" w:rsidP="00E969CD">
            <w:pPr>
              <w:spacing w:after="0" w:line="240" w:lineRule="auto"/>
              <w:ind w:firstLine="0"/>
              <w:jc w:val="center"/>
              <w:rPr>
                <w:color w:val="FF66CC"/>
                <w:sz w:val="6"/>
                <w:szCs w:val="6"/>
              </w:rPr>
            </w:pPr>
          </w:p>
        </w:tc>
      </w:tr>
      <w:tr w:rsidR="00E969CD" w:rsidRPr="002945A6" w:rsidTr="00E969CD">
        <w:trPr>
          <w:trHeight w:val="249"/>
        </w:trPr>
        <w:tc>
          <w:tcPr>
            <w:tcW w:w="2880" w:type="dxa"/>
            <w:tcBorders>
              <w:top w:val="single" w:sz="12" w:space="0" w:color="auto"/>
              <w:bottom w:val="single" w:sz="12" w:space="0" w:color="auto"/>
              <w:right w:val="single" w:sz="12" w:space="0" w:color="auto"/>
            </w:tcBorders>
            <w:shd w:val="clear" w:color="auto" w:fill="D9D9D9" w:themeFill="background1" w:themeFillShade="D9"/>
            <w:vAlign w:val="center"/>
          </w:tcPr>
          <w:p w:rsidR="00E969CD" w:rsidRPr="002945A6" w:rsidRDefault="00E969CD" w:rsidP="00E969CD">
            <w:pPr>
              <w:spacing w:after="0" w:line="240" w:lineRule="auto"/>
              <w:ind w:firstLine="0"/>
              <w:jc w:val="center"/>
              <w:rPr>
                <w:b/>
                <w:i/>
                <w:sz w:val="17"/>
                <w:szCs w:val="17"/>
              </w:rPr>
            </w:pPr>
            <w:r>
              <w:rPr>
                <w:b/>
                <w:i/>
                <w:sz w:val="17"/>
                <w:szCs w:val="17"/>
              </w:rPr>
              <w:t>- D</w:t>
            </w:r>
            <w:r w:rsidRPr="002945A6">
              <w:rPr>
                <w:b/>
                <w:i/>
                <w:sz w:val="17"/>
                <w:szCs w:val="17"/>
              </w:rPr>
              <w:t> -</w:t>
            </w:r>
          </w:p>
        </w:tc>
        <w:tc>
          <w:tcPr>
            <w:tcW w:w="1152"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945A6" w:rsidRDefault="00E969CD" w:rsidP="00E969CD">
            <w:pPr>
              <w:spacing w:after="0" w:line="240" w:lineRule="auto"/>
              <w:ind w:firstLine="0"/>
              <w:jc w:val="center"/>
              <w:rPr>
                <w:b/>
                <w:i/>
                <w:sz w:val="17"/>
                <w:szCs w:val="17"/>
              </w:rPr>
            </w:pPr>
            <w:r w:rsidRPr="002945A6">
              <w:rPr>
                <w:b/>
                <w:i/>
                <w:sz w:val="17"/>
                <w:szCs w:val="17"/>
              </w:rPr>
              <w:t>K</w:t>
            </w:r>
          </w:p>
        </w:tc>
        <w:tc>
          <w:tcPr>
            <w:tcW w:w="1152"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945A6" w:rsidRDefault="00E969CD" w:rsidP="00E969CD">
            <w:pPr>
              <w:spacing w:after="0" w:line="240" w:lineRule="auto"/>
              <w:ind w:firstLine="0"/>
              <w:jc w:val="center"/>
              <w:rPr>
                <w:b/>
                <w:i/>
                <w:sz w:val="17"/>
                <w:szCs w:val="17"/>
              </w:rPr>
            </w:pPr>
            <w:proofErr w:type="spellStart"/>
            <w:r w:rsidRPr="002945A6">
              <w:rPr>
                <w:b/>
                <w:i/>
                <w:sz w:val="17"/>
                <w:szCs w:val="17"/>
              </w:rPr>
              <w:t>M</w:t>
            </w:r>
            <w:r>
              <w:rPr>
                <w:b/>
                <w:i/>
                <w:sz w:val="17"/>
                <w:szCs w:val="17"/>
              </w:rPr>
              <w:t>o</w:t>
            </w:r>
            <w:proofErr w:type="spellEnd"/>
          </w:p>
        </w:tc>
        <w:tc>
          <w:tcPr>
            <w:tcW w:w="1152" w:type="dxa"/>
            <w:tcBorders>
              <w:top w:val="single" w:sz="12" w:space="0" w:color="auto"/>
              <w:left w:val="single" w:sz="2" w:space="0" w:color="auto"/>
              <w:right w:val="single" w:sz="12" w:space="0" w:color="auto"/>
            </w:tcBorders>
            <w:shd w:val="clear" w:color="auto" w:fill="D9D9D9" w:themeFill="background1" w:themeFillShade="D9"/>
            <w:vAlign w:val="center"/>
          </w:tcPr>
          <w:p w:rsidR="00E969CD" w:rsidRPr="000D1E8E" w:rsidRDefault="00E969CD" w:rsidP="00E969CD">
            <w:pPr>
              <w:widowControl/>
              <w:autoSpaceDE w:val="0"/>
              <w:autoSpaceDN w:val="0"/>
              <w:adjustRightInd w:val="0"/>
              <w:spacing w:after="0" w:line="240" w:lineRule="auto"/>
              <w:ind w:firstLine="0"/>
              <w:jc w:val="center"/>
              <w:rPr>
                <w:b/>
                <w:i/>
                <w:color w:val="FF0000"/>
                <w:sz w:val="17"/>
                <w:szCs w:val="17"/>
              </w:rPr>
            </w:pPr>
            <w:r w:rsidRPr="000D1E8E">
              <w:rPr>
                <w:b/>
                <w:i/>
                <w:color w:val="FF0000"/>
                <w:sz w:val="17"/>
                <w:szCs w:val="17"/>
              </w:rPr>
              <w:t>Svertinis</w:t>
            </w:r>
          </w:p>
          <w:p w:rsidR="00E969CD" w:rsidRPr="000D1E8E" w:rsidRDefault="00E969CD" w:rsidP="00E969CD">
            <w:pPr>
              <w:widowControl/>
              <w:autoSpaceDE w:val="0"/>
              <w:autoSpaceDN w:val="0"/>
              <w:adjustRightInd w:val="0"/>
              <w:spacing w:after="0" w:line="240" w:lineRule="auto"/>
              <w:ind w:firstLine="0"/>
              <w:jc w:val="center"/>
              <w:rPr>
                <w:b/>
                <w:i/>
                <w:color w:val="FF0000"/>
                <w:sz w:val="17"/>
                <w:szCs w:val="17"/>
              </w:rPr>
            </w:pPr>
            <w:r w:rsidRPr="000D1E8E">
              <w:rPr>
                <w:b/>
                <w:i/>
                <w:color w:val="FF0000"/>
                <w:sz w:val="17"/>
                <w:szCs w:val="17"/>
              </w:rPr>
              <w:t>balas</w:t>
            </w:r>
          </w:p>
        </w:tc>
        <w:tc>
          <w:tcPr>
            <w:tcW w:w="1296" w:type="dxa"/>
            <w:tcBorders>
              <w:top w:val="single" w:sz="12" w:space="0" w:color="auto"/>
              <w:left w:val="single" w:sz="12" w:space="0" w:color="auto"/>
            </w:tcBorders>
            <w:shd w:val="clear" w:color="auto" w:fill="D9D9D9" w:themeFill="background1" w:themeFillShade="D9"/>
            <w:vAlign w:val="center"/>
          </w:tcPr>
          <w:p w:rsidR="00E969CD" w:rsidRPr="000D1E8E" w:rsidRDefault="00E969CD" w:rsidP="00E969CD">
            <w:pPr>
              <w:spacing w:after="0" w:line="240" w:lineRule="auto"/>
              <w:ind w:firstLine="0"/>
              <w:jc w:val="center"/>
              <w:rPr>
                <w:b/>
                <w:i/>
                <w:color w:val="0070C0"/>
                <w:sz w:val="17"/>
                <w:szCs w:val="17"/>
              </w:rPr>
            </w:pPr>
            <w:r w:rsidRPr="000D1E8E">
              <w:rPr>
                <w:b/>
                <w:i/>
                <w:color w:val="E36C0A" w:themeColor="accent6" w:themeShade="BF"/>
                <w:sz w:val="17"/>
                <w:szCs w:val="17"/>
              </w:rPr>
              <w:t>Pageidautina reikšmė</w:t>
            </w:r>
          </w:p>
        </w:tc>
        <w:tc>
          <w:tcPr>
            <w:tcW w:w="1296" w:type="dxa"/>
            <w:tcBorders>
              <w:top w:val="single" w:sz="12" w:space="0" w:color="auto"/>
              <w:left w:val="single" w:sz="12" w:space="0" w:color="auto"/>
            </w:tcBorders>
            <w:shd w:val="clear" w:color="auto" w:fill="D9D9D9" w:themeFill="background1" w:themeFillShade="D9"/>
            <w:vAlign w:val="center"/>
          </w:tcPr>
          <w:p w:rsidR="00E969CD" w:rsidRPr="000D1E8E" w:rsidRDefault="00E969CD" w:rsidP="00E969CD">
            <w:pPr>
              <w:spacing w:after="0" w:line="240" w:lineRule="auto"/>
              <w:ind w:firstLine="0"/>
              <w:jc w:val="center"/>
              <w:rPr>
                <w:b/>
                <w:i/>
                <w:sz w:val="17"/>
                <w:szCs w:val="17"/>
              </w:rPr>
            </w:pPr>
            <w:r w:rsidRPr="000D1E8E">
              <w:rPr>
                <w:b/>
                <w:i/>
                <w:sz w:val="17"/>
                <w:szCs w:val="17"/>
              </w:rPr>
              <w:t>Skirtumas</w:t>
            </w:r>
          </w:p>
        </w:tc>
        <w:tc>
          <w:tcPr>
            <w:tcW w:w="1296" w:type="dxa"/>
            <w:tcBorders>
              <w:top w:val="single" w:sz="12" w:space="0" w:color="auto"/>
              <w:left w:val="single" w:sz="12" w:space="0" w:color="auto"/>
            </w:tcBorders>
            <w:shd w:val="clear" w:color="auto" w:fill="D9D9D9" w:themeFill="background1" w:themeFillShade="D9"/>
            <w:vAlign w:val="center"/>
          </w:tcPr>
          <w:p w:rsidR="00E969CD" w:rsidRPr="002945A6" w:rsidRDefault="00E969CD" w:rsidP="00E969CD">
            <w:pPr>
              <w:spacing w:after="0" w:line="240" w:lineRule="auto"/>
              <w:ind w:firstLine="0"/>
              <w:jc w:val="center"/>
              <w:rPr>
                <w:b/>
                <w:i/>
                <w:color w:val="0070C0"/>
                <w:sz w:val="17"/>
                <w:szCs w:val="17"/>
              </w:rPr>
            </w:pPr>
            <w:r w:rsidRPr="000D1E8E">
              <w:rPr>
                <w:b/>
                <w:i/>
                <w:color w:val="FF66CC"/>
                <w:sz w:val="17"/>
                <w:szCs w:val="17"/>
              </w:rPr>
              <w:t>„Pusiausvyros taškas“</w:t>
            </w:r>
          </w:p>
        </w:tc>
      </w:tr>
      <w:tr w:rsidR="00E969CD" w:rsidRPr="008144D7" w:rsidTr="00E969CD">
        <w:tc>
          <w:tcPr>
            <w:tcW w:w="2880" w:type="dxa"/>
            <w:tcBorders>
              <w:top w:val="single" w:sz="12" w:space="0" w:color="auto"/>
              <w:bottom w:val="single" w:sz="2" w:space="0" w:color="auto"/>
              <w:right w:val="single" w:sz="12" w:space="0" w:color="auto"/>
            </w:tcBorders>
            <w:shd w:val="clear" w:color="auto" w:fill="FBD4B4" w:themeFill="accent6" w:themeFillTint="66"/>
          </w:tcPr>
          <w:p w:rsidR="00E969CD" w:rsidRPr="000D1E8E" w:rsidRDefault="00E969CD" w:rsidP="00E969CD">
            <w:pPr>
              <w:spacing w:after="0" w:line="240" w:lineRule="auto"/>
              <w:ind w:firstLine="0"/>
              <w:rPr>
                <w:i/>
                <w:sz w:val="18"/>
                <w:szCs w:val="18"/>
              </w:rPr>
            </w:pPr>
            <w:r w:rsidRPr="000D1E8E">
              <w:rPr>
                <w:i/>
                <w:sz w:val="18"/>
                <w:szCs w:val="18"/>
              </w:rPr>
              <w:t>Socialinės apsaugos sistema (d</w:t>
            </w:r>
            <w:r w:rsidRPr="000D1E8E">
              <w:rPr>
                <w:i/>
                <w:sz w:val="18"/>
                <w:szCs w:val="18"/>
                <w:vertAlign w:val="subscript"/>
              </w:rPr>
              <w:t>1</w:t>
            </w:r>
            <w:r w:rsidRPr="000D1E8E">
              <w:rPr>
                <w:i/>
                <w:sz w:val="18"/>
                <w:szCs w:val="18"/>
              </w:rPr>
              <w:t>)</w:t>
            </w:r>
          </w:p>
        </w:tc>
        <w:tc>
          <w:tcPr>
            <w:tcW w:w="1152" w:type="dxa"/>
            <w:tcBorders>
              <w:top w:val="single" w:sz="12" w:space="0" w:color="auto"/>
              <w:left w:val="single" w:sz="12" w:space="0" w:color="auto"/>
              <w:bottom w:val="single" w:sz="2" w:space="0" w:color="auto"/>
            </w:tcBorders>
            <w:shd w:val="clear" w:color="auto" w:fill="FBD4B4" w:themeFill="accent6" w:themeFillTint="66"/>
          </w:tcPr>
          <w:p w:rsidR="00E969CD" w:rsidRPr="000D1E8E" w:rsidRDefault="00E969CD" w:rsidP="00E969CD">
            <w:pPr>
              <w:spacing w:after="0" w:line="240" w:lineRule="auto"/>
              <w:ind w:firstLine="0"/>
              <w:jc w:val="center"/>
              <w:rPr>
                <w:b/>
                <w:sz w:val="18"/>
                <w:szCs w:val="18"/>
              </w:rPr>
            </w:pPr>
            <w:r w:rsidRPr="000D1E8E">
              <w:rPr>
                <w:b/>
                <w:sz w:val="18"/>
                <w:szCs w:val="18"/>
              </w:rPr>
              <w:t>2,0</w:t>
            </w:r>
          </w:p>
        </w:tc>
        <w:tc>
          <w:tcPr>
            <w:tcW w:w="1152" w:type="dxa"/>
            <w:tcBorders>
              <w:top w:val="single" w:sz="12" w:space="0" w:color="auto"/>
              <w:left w:val="single" w:sz="12" w:space="0" w:color="auto"/>
              <w:bottom w:val="single" w:sz="2" w:space="0" w:color="auto"/>
            </w:tcBorders>
            <w:shd w:val="clear" w:color="auto" w:fill="FBD4B4" w:themeFill="accent6"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3</w:t>
            </w:r>
          </w:p>
        </w:tc>
        <w:tc>
          <w:tcPr>
            <w:tcW w:w="1152" w:type="dxa"/>
            <w:tcBorders>
              <w:top w:val="single" w:sz="12" w:space="0" w:color="auto"/>
              <w:left w:val="single" w:sz="2" w:space="0" w:color="auto"/>
              <w:bottom w:val="single" w:sz="2" w:space="0" w:color="auto"/>
              <w:right w:val="single" w:sz="12" w:space="0" w:color="auto"/>
            </w:tcBorders>
            <w:shd w:val="clear" w:color="auto" w:fill="FBD4B4" w:themeFill="accent6" w:themeFillTint="66"/>
          </w:tcPr>
          <w:p w:rsidR="00E969CD" w:rsidRPr="000D1E8E" w:rsidRDefault="00E969CD" w:rsidP="00E969CD">
            <w:pPr>
              <w:spacing w:after="0" w:line="240" w:lineRule="auto"/>
              <w:ind w:firstLine="0"/>
              <w:jc w:val="center"/>
              <w:rPr>
                <w:b/>
                <w:sz w:val="18"/>
                <w:szCs w:val="18"/>
              </w:rPr>
            </w:pPr>
            <w:r w:rsidRPr="000D1E8E">
              <w:rPr>
                <w:b/>
                <w:sz w:val="18"/>
                <w:szCs w:val="18"/>
              </w:rPr>
              <w:t>6,0</w:t>
            </w:r>
          </w:p>
        </w:tc>
        <w:tc>
          <w:tcPr>
            <w:tcW w:w="1296" w:type="dxa"/>
            <w:tcBorders>
              <w:top w:val="single" w:sz="12" w:space="0" w:color="auto"/>
              <w:left w:val="single" w:sz="12" w:space="0" w:color="auto"/>
              <w:bottom w:val="single" w:sz="2" w:space="0" w:color="auto"/>
            </w:tcBorders>
            <w:shd w:val="clear" w:color="auto" w:fill="FBD4B4" w:themeFill="accent6" w:themeFillTint="66"/>
          </w:tcPr>
          <w:p w:rsidR="00E969CD" w:rsidRPr="000D1E8E" w:rsidRDefault="00E969CD" w:rsidP="00E969CD">
            <w:pPr>
              <w:spacing w:after="0" w:line="240" w:lineRule="auto"/>
              <w:ind w:firstLine="0"/>
              <w:jc w:val="center"/>
              <w:rPr>
                <w:sz w:val="18"/>
                <w:szCs w:val="18"/>
              </w:rPr>
            </w:pPr>
            <w:r w:rsidRPr="000D1E8E">
              <w:rPr>
                <w:sz w:val="18"/>
                <w:szCs w:val="18"/>
              </w:rPr>
              <w:t>6,0</w:t>
            </w:r>
          </w:p>
        </w:tc>
        <w:tc>
          <w:tcPr>
            <w:tcW w:w="1296" w:type="dxa"/>
            <w:tcBorders>
              <w:top w:val="single" w:sz="12" w:space="0" w:color="auto"/>
              <w:left w:val="single" w:sz="12" w:space="0" w:color="auto"/>
              <w:bottom w:val="single" w:sz="2" w:space="0" w:color="auto"/>
            </w:tcBorders>
            <w:shd w:val="clear" w:color="auto" w:fill="FBD4B4" w:themeFill="accent6" w:themeFillTint="66"/>
          </w:tcPr>
          <w:p w:rsidR="00E969CD" w:rsidRPr="000D1E8E" w:rsidRDefault="00E969CD" w:rsidP="00E969CD">
            <w:pPr>
              <w:spacing w:after="0" w:line="240" w:lineRule="auto"/>
              <w:ind w:firstLine="0"/>
              <w:jc w:val="center"/>
              <w:rPr>
                <w:sz w:val="18"/>
                <w:szCs w:val="18"/>
              </w:rPr>
            </w:pPr>
            <w:r w:rsidRPr="000D1E8E">
              <w:rPr>
                <w:sz w:val="18"/>
                <w:szCs w:val="18"/>
              </w:rPr>
              <w:t>0,0</w:t>
            </w:r>
          </w:p>
        </w:tc>
        <w:tc>
          <w:tcPr>
            <w:tcW w:w="1296" w:type="dxa"/>
            <w:tcBorders>
              <w:top w:val="single" w:sz="12" w:space="0" w:color="auto"/>
              <w:left w:val="single" w:sz="12" w:space="0" w:color="auto"/>
              <w:bottom w:val="single" w:sz="2" w:space="0" w:color="auto"/>
            </w:tcBorders>
            <w:shd w:val="clear" w:color="auto" w:fill="FBD4B4" w:themeFill="accent6" w:themeFillTint="66"/>
          </w:tcPr>
          <w:p w:rsidR="00E969CD" w:rsidRPr="000D1E8E" w:rsidRDefault="00E969CD" w:rsidP="00E969CD">
            <w:pPr>
              <w:spacing w:after="0" w:line="240" w:lineRule="auto"/>
              <w:ind w:firstLine="0"/>
              <w:jc w:val="center"/>
              <w:rPr>
                <w:sz w:val="18"/>
                <w:szCs w:val="18"/>
              </w:rPr>
            </w:pPr>
            <w:r w:rsidRPr="000D1E8E">
              <w:rPr>
                <w:sz w:val="18"/>
                <w:szCs w:val="18"/>
              </w:rPr>
              <w:t>3,00</w:t>
            </w:r>
          </w:p>
        </w:tc>
      </w:tr>
      <w:tr w:rsidR="00E969CD" w:rsidRPr="008144D7" w:rsidTr="00E969CD">
        <w:tc>
          <w:tcPr>
            <w:tcW w:w="2880" w:type="dxa"/>
            <w:tcBorders>
              <w:top w:val="single" w:sz="2" w:space="0" w:color="auto"/>
              <w:bottom w:val="single" w:sz="2" w:space="0" w:color="auto"/>
              <w:right w:val="single" w:sz="12" w:space="0" w:color="auto"/>
            </w:tcBorders>
            <w:shd w:val="clear" w:color="auto" w:fill="FBD4B4" w:themeFill="accent6" w:themeFillTint="66"/>
          </w:tcPr>
          <w:p w:rsidR="00E969CD" w:rsidRPr="000D1E8E" w:rsidRDefault="00E969CD" w:rsidP="00E969CD">
            <w:pPr>
              <w:spacing w:after="0" w:line="240" w:lineRule="auto"/>
              <w:ind w:firstLine="0"/>
              <w:rPr>
                <w:i/>
                <w:sz w:val="18"/>
                <w:szCs w:val="18"/>
              </w:rPr>
            </w:pPr>
            <w:r w:rsidRPr="000D1E8E">
              <w:rPr>
                <w:i/>
                <w:sz w:val="18"/>
                <w:szCs w:val="18"/>
              </w:rPr>
              <w:t>Įstatymų spragos (d</w:t>
            </w:r>
            <w:r w:rsidRPr="000D1E8E">
              <w:rPr>
                <w:i/>
                <w:sz w:val="18"/>
                <w:szCs w:val="18"/>
                <w:vertAlign w:val="subscript"/>
              </w:rPr>
              <w:t>2</w:t>
            </w:r>
            <w:r w:rsidRPr="000D1E8E">
              <w:rPr>
                <w:i/>
                <w:sz w:val="18"/>
                <w:szCs w:val="18"/>
              </w:rPr>
              <w:t>)</w:t>
            </w:r>
          </w:p>
        </w:tc>
        <w:tc>
          <w:tcPr>
            <w:tcW w:w="1152" w:type="dxa"/>
            <w:tcBorders>
              <w:top w:val="single" w:sz="2" w:space="0" w:color="auto"/>
              <w:left w:val="single" w:sz="12" w:space="0" w:color="auto"/>
              <w:bottom w:val="single" w:sz="2" w:space="0" w:color="auto"/>
            </w:tcBorders>
            <w:shd w:val="clear" w:color="auto" w:fill="FBD4B4" w:themeFill="accent6" w:themeFillTint="66"/>
          </w:tcPr>
          <w:p w:rsidR="00E969CD" w:rsidRPr="000D1E8E" w:rsidRDefault="00E969CD" w:rsidP="00E969CD">
            <w:pPr>
              <w:spacing w:after="0" w:line="240" w:lineRule="auto"/>
              <w:ind w:firstLine="0"/>
              <w:jc w:val="center"/>
              <w:rPr>
                <w:b/>
                <w:sz w:val="18"/>
                <w:szCs w:val="18"/>
              </w:rPr>
            </w:pPr>
            <w:r w:rsidRPr="000D1E8E">
              <w:rPr>
                <w:b/>
                <w:sz w:val="18"/>
                <w:szCs w:val="18"/>
              </w:rPr>
              <w:t>2,0</w:t>
            </w:r>
          </w:p>
        </w:tc>
        <w:tc>
          <w:tcPr>
            <w:tcW w:w="1152" w:type="dxa"/>
            <w:tcBorders>
              <w:top w:val="single" w:sz="2" w:space="0" w:color="auto"/>
              <w:left w:val="single" w:sz="12" w:space="0" w:color="auto"/>
              <w:bottom w:val="single" w:sz="2" w:space="0" w:color="auto"/>
            </w:tcBorders>
            <w:shd w:val="clear" w:color="auto" w:fill="FBD4B4" w:themeFill="accent6"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3</w:t>
            </w:r>
          </w:p>
        </w:tc>
        <w:tc>
          <w:tcPr>
            <w:tcW w:w="1152" w:type="dxa"/>
            <w:tcBorders>
              <w:top w:val="single" w:sz="2" w:space="0" w:color="auto"/>
              <w:left w:val="single" w:sz="2" w:space="0" w:color="auto"/>
              <w:bottom w:val="single" w:sz="2" w:space="0" w:color="auto"/>
              <w:right w:val="single" w:sz="12" w:space="0" w:color="auto"/>
            </w:tcBorders>
            <w:shd w:val="clear" w:color="auto" w:fill="FBD4B4" w:themeFill="accent6" w:themeFillTint="66"/>
          </w:tcPr>
          <w:p w:rsidR="00E969CD" w:rsidRPr="000D1E8E" w:rsidRDefault="00E969CD" w:rsidP="00E969CD">
            <w:pPr>
              <w:spacing w:after="0" w:line="240" w:lineRule="auto"/>
              <w:ind w:firstLine="0"/>
              <w:jc w:val="center"/>
              <w:rPr>
                <w:b/>
                <w:sz w:val="18"/>
                <w:szCs w:val="18"/>
              </w:rPr>
            </w:pPr>
            <w:r w:rsidRPr="000D1E8E">
              <w:rPr>
                <w:b/>
                <w:sz w:val="18"/>
                <w:szCs w:val="18"/>
              </w:rPr>
              <w:t>6,0</w:t>
            </w:r>
          </w:p>
        </w:tc>
        <w:tc>
          <w:tcPr>
            <w:tcW w:w="1296" w:type="dxa"/>
            <w:tcBorders>
              <w:top w:val="single" w:sz="2" w:space="0" w:color="auto"/>
              <w:left w:val="single" w:sz="12" w:space="0" w:color="auto"/>
              <w:bottom w:val="single" w:sz="2" w:space="0" w:color="auto"/>
            </w:tcBorders>
            <w:shd w:val="clear" w:color="auto" w:fill="FBD4B4" w:themeFill="accent6" w:themeFillTint="66"/>
          </w:tcPr>
          <w:p w:rsidR="00E969CD" w:rsidRPr="000D1E8E" w:rsidRDefault="00E969CD" w:rsidP="00E969CD">
            <w:pPr>
              <w:spacing w:after="0" w:line="240" w:lineRule="auto"/>
              <w:ind w:firstLine="0"/>
              <w:jc w:val="center"/>
              <w:rPr>
                <w:sz w:val="18"/>
                <w:szCs w:val="18"/>
              </w:rPr>
            </w:pPr>
            <w:r w:rsidRPr="000D1E8E">
              <w:rPr>
                <w:sz w:val="18"/>
                <w:szCs w:val="18"/>
              </w:rPr>
              <w:t>8,0</w:t>
            </w:r>
          </w:p>
        </w:tc>
        <w:tc>
          <w:tcPr>
            <w:tcW w:w="1296" w:type="dxa"/>
            <w:tcBorders>
              <w:top w:val="single" w:sz="2" w:space="0" w:color="auto"/>
              <w:left w:val="single" w:sz="12" w:space="0" w:color="auto"/>
              <w:bottom w:val="single" w:sz="2" w:space="0" w:color="auto"/>
            </w:tcBorders>
            <w:shd w:val="clear" w:color="auto" w:fill="FBD4B4" w:themeFill="accent6" w:themeFillTint="66"/>
          </w:tcPr>
          <w:p w:rsidR="00E969CD" w:rsidRPr="000D1E8E" w:rsidRDefault="00E969CD" w:rsidP="00E969CD">
            <w:pPr>
              <w:spacing w:after="0" w:line="240" w:lineRule="auto"/>
              <w:ind w:firstLine="0"/>
              <w:jc w:val="center"/>
              <w:rPr>
                <w:sz w:val="18"/>
                <w:szCs w:val="18"/>
              </w:rPr>
            </w:pPr>
            <w:r w:rsidRPr="000D1E8E">
              <w:rPr>
                <w:sz w:val="18"/>
                <w:szCs w:val="18"/>
              </w:rPr>
              <w:t>2,0</w:t>
            </w:r>
          </w:p>
        </w:tc>
        <w:tc>
          <w:tcPr>
            <w:tcW w:w="1296" w:type="dxa"/>
            <w:tcBorders>
              <w:top w:val="single" w:sz="2" w:space="0" w:color="auto"/>
              <w:left w:val="single" w:sz="12" w:space="0" w:color="auto"/>
              <w:bottom w:val="single" w:sz="2" w:space="0" w:color="auto"/>
            </w:tcBorders>
            <w:shd w:val="clear" w:color="auto" w:fill="FBD4B4" w:themeFill="accent6" w:themeFillTint="66"/>
          </w:tcPr>
          <w:p w:rsidR="00E969CD" w:rsidRPr="000D1E8E" w:rsidRDefault="00E969CD" w:rsidP="00E969CD">
            <w:pPr>
              <w:spacing w:after="0" w:line="240" w:lineRule="auto"/>
              <w:ind w:firstLine="0"/>
              <w:jc w:val="center"/>
              <w:rPr>
                <w:sz w:val="18"/>
                <w:szCs w:val="18"/>
              </w:rPr>
            </w:pPr>
            <w:r w:rsidRPr="000D1E8E">
              <w:rPr>
                <w:sz w:val="18"/>
                <w:szCs w:val="18"/>
              </w:rPr>
              <w:t>4,00</w:t>
            </w:r>
          </w:p>
        </w:tc>
      </w:tr>
      <w:tr w:rsidR="00E969CD" w:rsidRPr="008144D7" w:rsidTr="00E969CD">
        <w:tc>
          <w:tcPr>
            <w:tcW w:w="2880" w:type="dxa"/>
            <w:tcBorders>
              <w:top w:val="single" w:sz="2" w:space="0" w:color="auto"/>
              <w:bottom w:val="single" w:sz="12" w:space="0" w:color="auto"/>
              <w:right w:val="single" w:sz="12" w:space="0" w:color="auto"/>
            </w:tcBorders>
            <w:shd w:val="clear" w:color="auto" w:fill="FBD4B4" w:themeFill="accent6" w:themeFillTint="66"/>
          </w:tcPr>
          <w:p w:rsidR="00E969CD" w:rsidRPr="000D1E8E" w:rsidRDefault="00E969CD" w:rsidP="00E969CD">
            <w:pPr>
              <w:spacing w:after="0" w:line="240" w:lineRule="auto"/>
              <w:ind w:firstLine="0"/>
              <w:rPr>
                <w:i/>
                <w:sz w:val="18"/>
                <w:szCs w:val="18"/>
              </w:rPr>
            </w:pPr>
            <w:r w:rsidRPr="000D1E8E">
              <w:rPr>
                <w:i/>
                <w:sz w:val="18"/>
                <w:szCs w:val="18"/>
              </w:rPr>
              <w:t>Solidarumo stoka (d</w:t>
            </w:r>
            <w:r w:rsidRPr="000D1E8E">
              <w:rPr>
                <w:i/>
                <w:sz w:val="18"/>
                <w:szCs w:val="18"/>
                <w:vertAlign w:val="subscript"/>
              </w:rPr>
              <w:t>3</w:t>
            </w:r>
            <w:r w:rsidRPr="000D1E8E">
              <w:rPr>
                <w:i/>
                <w:sz w:val="18"/>
                <w:szCs w:val="18"/>
              </w:rPr>
              <w:t>)</w:t>
            </w:r>
          </w:p>
        </w:tc>
        <w:tc>
          <w:tcPr>
            <w:tcW w:w="1152" w:type="dxa"/>
            <w:tcBorders>
              <w:top w:val="single" w:sz="2" w:space="0" w:color="auto"/>
              <w:left w:val="single" w:sz="12" w:space="0" w:color="auto"/>
              <w:bottom w:val="single" w:sz="12" w:space="0" w:color="auto"/>
            </w:tcBorders>
            <w:shd w:val="clear" w:color="auto" w:fill="FBD4B4" w:themeFill="accent6" w:themeFillTint="66"/>
          </w:tcPr>
          <w:p w:rsidR="00E969CD" w:rsidRPr="000D1E8E" w:rsidRDefault="00E969CD" w:rsidP="00E969CD">
            <w:pPr>
              <w:spacing w:after="0" w:line="240" w:lineRule="auto"/>
              <w:ind w:firstLine="0"/>
              <w:jc w:val="center"/>
              <w:rPr>
                <w:b/>
                <w:sz w:val="18"/>
                <w:szCs w:val="18"/>
              </w:rPr>
            </w:pPr>
            <w:r w:rsidRPr="000D1E8E">
              <w:rPr>
                <w:b/>
                <w:sz w:val="18"/>
                <w:szCs w:val="18"/>
              </w:rPr>
              <w:t>1,5</w:t>
            </w:r>
          </w:p>
        </w:tc>
        <w:tc>
          <w:tcPr>
            <w:tcW w:w="1152" w:type="dxa"/>
            <w:tcBorders>
              <w:top w:val="single" w:sz="2" w:space="0" w:color="auto"/>
              <w:left w:val="single" w:sz="12" w:space="0" w:color="auto"/>
              <w:bottom w:val="single" w:sz="12" w:space="0" w:color="auto"/>
            </w:tcBorders>
            <w:shd w:val="clear" w:color="auto" w:fill="FBD4B4" w:themeFill="accent6" w:themeFillTint="66"/>
          </w:tcPr>
          <w:p w:rsidR="00E969CD" w:rsidRPr="000D1E8E" w:rsidRDefault="00E969CD" w:rsidP="00E969CD">
            <w:pPr>
              <w:widowControl/>
              <w:autoSpaceDE w:val="0"/>
              <w:autoSpaceDN w:val="0"/>
              <w:adjustRightInd w:val="0"/>
              <w:spacing w:after="0" w:line="240" w:lineRule="auto"/>
              <w:ind w:firstLine="0"/>
              <w:jc w:val="center"/>
              <w:rPr>
                <w:b/>
                <w:color w:val="000000"/>
                <w:sz w:val="18"/>
                <w:szCs w:val="18"/>
              </w:rPr>
            </w:pPr>
            <w:r w:rsidRPr="000D1E8E">
              <w:rPr>
                <w:b/>
                <w:color w:val="000000"/>
                <w:sz w:val="18"/>
                <w:szCs w:val="18"/>
              </w:rPr>
              <w:t>2</w:t>
            </w:r>
          </w:p>
        </w:tc>
        <w:tc>
          <w:tcPr>
            <w:tcW w:w="1152" w:type="dxa"/>
            <w:tcBorders>
              <w:top w:val="single" w:sz="2" w:space="0" w:color="auto"/>
              <w:left w:val="single" w:sz="2" w:space="0" w:color="auto"/>
              <w:bottom w:val="single" w:sz="12" w:space="0" w:color="auto"/>
              <w:right w:val="single" w:sz="12" w:space="0" w:color="auto"/>
            </w:tcBorders>
            <w:shd w:val="clear" w:color="auto" w:fill="FBD4B4" w:themeFill="accent6" w:themeFillTint="66"/>
          </w:tcPr>
          <w:p w:rsidR="00E969CD" w:rsidRPr="000D1E8E" w:rsidRDefault="00E969CD" w:rsidP="00E969CD">
            <w:pPr>
              <w:spacing w:after="0" w:line="240" w:lineRule="auto"/>
              <w:ind w:firstLine="0"/>
              <w:jc w:val="center"/>
              <w:rPr>
                <w:b/>
                <w:sz w:val="18"/>
                <w:szCs w:val="18"/>
              </w:rPr>
            </w:pPr>
            <w:r w:rsidRPr="000D1E8E">
              <w:rPr>
                <w:b/>
                <w:sz w:val="18"/>
                <w:szCs w:val="18"/>
              </w:rPr>
              <w:t>3,0</w:t>
            </w:r>
          </w:p>
        </w:tc>
        <w:tc>
          <w:tcPr>
            <w:tcW w:w="1296" w:type="dxa"/>
            <w:tcBorders>
              <w:top w:val="single" w:sz="2" w:space="0" w:color="auto"/>
              <w:left w:val="single" w:sz="12" w:space="0" w:color="auto"/>
              <w:bottom w:val="single" w:sz="12" w:space="0" w:color="auto"/>
            </w:tcBorders>
            <w:shd w:val="clear" w:color="auto" w:fill="FBD4B4" w:themeFill="accent6" w:themeFillTint="66"/>
          </w:tcPr>
          <w:p w:rsidR="00E969CD" w:rsidRPr="000D1E8E" w:rsidRDefault="00E969CD" w:rsidP="00E969CD">
            <w:pPr>
              <w:spacing w:after="0" w:line="240" w:lineRule="auto"/>
              <w:ind w:firstLine="0"/>
              <w:jc w:val="center"/>
              <w:rPr>
                <w:sz w:val="18"/>
                <w:szCs w:val="18"/>
              </w:rPr>
            </w:pPr>
            <w:r w:rsidRPr="000D1E8E">
              <w:rPr>
                <w:sz w:val="18"/>
                <w:szCs w:val="18"/>
              </w:rPr>
              <w:t>6,0</w:t>
            </w:r>
          </w:p>
        </w:tc>
        <w:tc>
          <w:tcPr>
            <w:tcW w:w="1296" w:type="dxa"/>
            <w:tcBorders>
              <w:top w:val="single" w:sz="2" w:space="0" w:color="auto"/>
              <w:left w:val="single" w:sz="12" w:space="0" w:color="auto"/>
              <w:bottom w:val="single" w:sz="12" w:space="0" w:color="auto"/>
            </w:tcBorders>
            <w:shd w:val="clear" w:color="auto" w:fill="FBD4B4" w:themeFill="accent6" w:themeFillTint="66"/>
          </w:tcPr>
          <w:p w:rsidR="00E969CD" w:rsidRPr="000D1E8E" w:rsidRDefault="00E969CD" w:rsidP="00E969CD">
            <w:pPr>
              <w:spacing w:after="0" w:line="240" w:lineRule="auto"/>
              <w:ind w:firstLine="0"/>
              <w:jc w:val="center"/>
              <w:rPr>
                <w:sz w:val="18"/>
                <w:szCs w:val="18"/>
              </w:rPr>
            </w:pPr>
            <w:r w:rsidRPr="000D1E8E">
              <w:rPr>
                <w:sz w:val="18"/>
                <w:szCs w:val="18"/>
              </w:rPr>
              <w:t>3,0</w:t>
            </w:r>
          </w:p>
        </w:tc>
        <w:tc>
          <w:tcPr>
            <w:tcW w:w="1296" w:type="dxa"/>
            <w:tcBorders>
              <w:top w:val="single" w:sz="2" w:space="0" w:color="auto"/>
              <w:left w:val="single" w:sz="12" w:space="0" w:color="auto"/>
              <w:bottom w:val="single" w:sz="12" w:space="0" w:color="auto"/>
            </w:tcBorders>
            <w:shd w:val="clear" w:color="auto" w:fill="FBD4B4" w:themeFill="accent6" w:themeFillTint="66"/>
          </w:tcPr>
          <w:p w:rsidR="00E969CD" w:rsidRPr="000D1E8E" w:rsidRDefault="00E969CD" w:rsidP="00E969CD">
            <w:pPr>
              <w:spacing w:after="0" w:line="240" w:lineRule="auto"/>
              <w:ind w:firstLine="0"/>
              <w:jc w:val="center"/>
              <w:rPr>
                <w:sz w:val="18"/>
                <w:szCs w:val="18"/>
              </w:rPr>
            </w:pPr>
            <w:r w:rsidRPr="000D1E8E">
              <w:rPr>
                <w:sz w:val="18"/>
                <w:szCs w:val="18"/>
              </w:rPr>
              <w:t>3,00</w:t>
            </w:r>
          </w:p>
        </w:tc>
      </w:tr>
      <w:tr w:rsidR="00E969CD" w:rsidRPr="008144D7" w:rsidTr="00E969CD">
        <w:tc>
          <w:tcPr>
            <w:tcW w:w="2880" w:type="dxa"/>
            <w:tcBorders>
              <w:top w:val="single" w:sz="12" w:space="0" w:color="auto"/>
              <w:bottom w:val="single" w:sz="12" w:space="0" w:color="auto"/>
              <w:right w:val="single" w:sz="12" w:space="0" w:color="auto"/>
            </w:tcBorders>
            <w:shd w:val="clear" w:color="auto" w:fill="D9D9D9" w:themeFill="background1" w:themeFillShade="D9"/>
            <w:vAlign w:val="center"/>
          </w:tcPr>
          <w:p w:rsidR="00E969CD" w:rsidRPr="0026790D" w:rsidRDefault="00E969CD" w:rsidP="00E969CD">
            <w:pPr>
              <w:spacing w:after="0" w:line="240" w:lineRule="auto"/>
              <w:ind w:firstLine="0"/>
              <w:jc w:val="right"/>
              <w:rPr>
                <w:b/>
                <w:i/>
                <w:sz w:val="17"/>
                <w:szCs w:val="17"/>
              </w:rPr>
            </w:pPr>
            <w:r w:rsidRPr="0026790D">
              <w:rPr>
                <w:b/>
                <w:i/>
                <w:sz w:val="17"/>
                <w:szCs w:val="17"/>
              </w:rPr>
              <w:t>SUMA:</w:t>
            </w:r>
          </w:p>
        </w:tc>
        <w:tc>
          <w:tcPr>
            <w:tcW w:w="1152" w:type="dxa"/>
            <w:tcBorders>
              <w:top w:val="single" w:sz="12" w:space="0" w:color="auto"/>
              <w:left w:val="single" w:sz="12" w:space="0" w:color="auto"/>
              <w:bottom w:val="single" w:sz="12" w:space="0" w:color="auto"/>
            </w:tcBorders>
            <w:shd w:val="clear" w:color="auto" w:fill="D9D9D9" w:themeFill="background1" w:themeFillShade="D9"/>
          </w:tcPr>
          <w:p w:rsidR="00E969CD" w:rsidRPr="0026790D" w:rsidRDefault="00E969CD" w:rsidP="00E969CD">
            <w:pPr>
              <w:spacing w:after="0" w:line="240" w:lineRule="auto"/>
              <w:ind w:firstLine="0"/>
              <w:jc w:val="center"/>
              <w:rPr>
                <w:b/>
                <w:color w:val="0070C0"/>
                <w:sz w:val="17"/>
                <w:szCs w:val="17"/>
              </w:rPr>
            </w:pPr>
            <w:r w:rsidRPr="0026790D">
              <w:rPr>
                <w:b/>
                <w:color w:val="0070C0"/>
                <w:sz w:val="17"/>
                <w:szCs w:val="17"/>
              </w:rPr>
              <w:t>-</w:t>
            </w:r>
          </w:p>
        </w:tc>
        <w:tc>
          <w:tcPr>
            <w:tcW w:w="1152" w:type="dxa"/>
            <w:tcBorders>
              <w:top w:val="single" w:sz="12" w:space="0" w:color="auto"/>
              <w:left w:val="single" w:sz="12" w:space="0" w:color="auto"/>
              <w:bottom w:val="single" w:sz="12" w:space="0" w:color="auto"/>
            </w:tcBorders>
            <w:shd w:val="clear" w:color="auto" w:fill="D9D9D9" w:themeFill="background1" w:themeFillShade="D9"/>
          </w:tcPr>
          <w:p w:rsidR="00E969CD" w:rsidRPr="0026790D" w:rsidRDefault="00E969CD" w:rsidP="00E969CD">
            <w:pPr>
              <w:widowControl/>
              <w:autoSpaceDE w:val="0"/>
              <w:autoSpaceDN w:val="0"/>
              <w:adjustRightInd w:val="0"/>
              <w:spacing w:after="0" w:line="240" w:lineRule="auto"/>
              <w:ind w:firstLine="0"/>
              <w:jc w:val="center"/>
              <w:rPr>
                <w:b/>
                <w:color w:val="000000"/>
                <w:sz w:val="17"/>
                <w:szCs w:val="17"/>
              </w:rPr>
            </w:pPr>
            <w:r w:rsidRPr="0026790D">
              <w:rPr>
                <w:b/>
                <w:color w:val="000000"/>
                <w:sz w:val="17"/>
                <w:szCs w:val="17"/>
              </w:rPr>
              <w:t>8</w:t>
            </w:r>
          </w:p>
        </w:tc>
        <w:tc>
          <w:tcPr>
            <w:tcW w:w="1152"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E969CD" w:rsidRPr="0026790D" w:rsidRDefault="00E969CD" w:rsidP="00E969CD">
            <w:pPr>
              <w:spacing w:after="0" w:line="240" w:lineRule="auto"/>
              <w:ind w:firstLine="0"/>
              <w:jc w:val="center"/>
              <w:rPr>
                <w:b/>
                <w:color w:val="FF0000"/>
                <w:sz w:val="17"/>
                <w:szCs w:val="17"/>
              </w:rPr>
            </w:pPr>
            <w:r w:rsidRPr="0026790D">
              <w:rPr>
                <w:b/>
                <w:color w:val="FF0000"/>
                <w:sz w:val="17"/>
                <w:szCs w:val="17"/>
              </w:rPr>
              <w:t>15,0</w:t>
            </w:r>
          </w:p>
        </w:tc>
        <w:tc>
          <w:tcPr>
            <w:tcW w:w="1296"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6790D" w:rsidRDefault="00E969CD" w:rsidP="00E969CD">
            <w:pPr>
              <w:spacing w:after="0" w:line="240" w:lineRule="auto"/>
              <w:ind w:firstLine="0"/>
              <w:jc w:val="center"/>
              <w:rPr>
                <w:b/>
                <w:color w:val="E36C0A" w:themeColor="accent6" w:themeShade="BF"/>
                <w:sz w:val="17"/>
                <w:szCs w:val="17"/>
              </w:rPr>
            </w:pPr>
            <w:r w:rsidRPr="0026790D">
              <w:rPr>
                <w:b/>
                <w:color w:val="E36C0A" w:themeColor="accent6" w:themeShade="BF"/>
                <w:sz w:val="17"/>
                <w:szCs w:val="17"/>
              </w:rPr>
              <w:t>20,0</w:t>
            </w:r>
          </w:p>
        </w:tc>
        <w:tc>
          <w:tcPr>
            <w:tcW w:w="1296" w:type="dxa"/>
            <w:tcBorders>
              <w:top w:val="single" w:sz="12" w:space="0" w:color="auto"/>
              <w:left w:val="single" w:sz="12" w:space="0" w:color="auto"/>
              <w:bottom w:val="single" w:sz="12" w:space="0" w:color="auto"/>
            </w:tcBorders>
            <w:shd w:val="clear" w:color="auto" w:fill="D9D9D9" w:themeFill="background1" w:themeFillShade="D9"/>
          </w:tcPr>
          <w:p w:rsidR="00E969CD" w:rsidRPr="0026790D" w:rsidRDefault="00E969CD" w:rsidP="00E969CD">
            <w:pPr>
              <w:spacing w:after="0" w:line="240" w:lineRule="auto"/>
              <w:ind w:firstLine="0"/>
              <w:jc w:val="center"/>
              <w:rPr>
                <w:b/>
                <w:sz w:val="17"/>
                <w:szCs w:val="17"/>
              </w:rPr>
            </w:pPr>
            <w:r w:rsidRPr="0026790D">
              <w:rPr>
                <w:b/>
                <w:sz w:val="17"/>
                <w:szCs w:val="17"/>
              </w:rPr>
              <w:t>5,0</w:t>
            </w:r>
          </w:p>
        </w:tc>
        <w:tc>
          <w:tcPr>
            <w:tcW w:w="1296"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6790D" w:rsidRDefault="00E969CD" w:rsidP="00E969CD">
            <w:pPr>
              <w:spacing w:after="0" w:line="240" w:lineRule="auto"/>
              <w:ind w:firstLine="0"/>
              <w:jc w:val="center"/>
              <w:rPr>
                <w:b/>
                <w:color w:val="FF66CC"/>
                <w:sz w:val="17"/>
                <w:szCs w:val="17"/>
              </w:rPr>
            </w:pPr>
            <w:r w:rsidRPr="0026790D">
              <w:rPr>
                <w:b/>
                <w:color w:val="FF66CC"/>
                <w:sz w:val="17"/>
                <w:szCs w:val="17"/>
              </w:rPr>
              <w:t>10,0</w:t>
            </w:r>
          </w:p>
        </w:tc>
      </w:tr>
      <w:tr w:rsidR="00E969CD" w:rsidRPr="00152F50" w:rsidTr="00E969CD">
        <w:tc>
          <w:tcPr>
            <w:tcW w:w="10224" w:type="dxa"/>
            <w:gridSpan w:val="7"/>
            <w:tcBorders>
              <w:top w:val="single" w:sz="12" w:space="0" w:color="auto"/>
              <w:bottom w:val="single" w:sz="12" w:space="0" w:color="auto"/>
            </w:tcBorders>
            <w:shd w:val="clear" w:color="auto" w:fill="auto"/>
            <w:vAlign w:val="center"/>
          </w:tcPr>
          <w:p w:rsidR="00E969CD" w:rsidRPr="00152F50" w:rsidRDefault="00E969CD" w:rsidP="00E969CD">
            <w:pPr>
              <w:spacing w:after="0" w:line="240" w:lineRule="auto"/>
              <w:ind w:firstLine="0"/>
              <w:jc w:val="center"/>
              <w:rPr>
                <w:color w:val="FF66CC"/>
                <w:sz w:val="6"/>
                <w:szCs w:val="6"/>
              </w:rPr>
            </w:pPr>
          </w:p>
        </w:tc>
      </w:tr>
      <w:tr w:rsidR="00E969CD" w:rsidRPr="002D79D9" w:rsidTr="00E969CD">
        <w:tc>
          <w:tcPr>
            <w:tcW w:w="2880" w:type="dxa"/>
            <w:tcBorders>
              <w:top w:val="single" w:sz="12" w:space="0" w:color="auto"/>
              <w:bottom w:val="single" w:sz="12" w:space="0" w:color="auto"/>
              <w:right w:val="single" w:sz="12" w:space="0" w:color="auto"/>
            </w:tcBorders>
            <w:shd w:val="clear" w:color="auto" w:fill="D9D9D9" w:themeFill="background1" w:themeFillShade="D9"/>
            <w:vAlign w:val="center"/>
          </w:tcPr>
          <w:p w:rsidR="00E969CD" w:rsidRPr="002D79D9" w:rsidRDefault="00E969CD" w:rsidP="00E969CD">
            <w:pPr>
              <w:spacing w:after="0" w:line="240" w:lineRule="auto"/>
              <w:ind w:firstLine="0"/>
              <w:jc w:val="right"/>
              <w:rPr>
                <w:b/>
                <w:i/>
                <w:sz w:val="20"/>
              </w:rPr>
            </w:pPr>
            <w:r w:rsidRPr="002D79D9">
              <w:rPr>
                <w:b/>
                <w:i/>
                <w:sz w:val="20"/>
              </w:rPr>
              <w:t>FINANSINĖ ELGSENA:</w:t>
            </w:r>
          </w:p>
        </w:tc>
        <w:tc>
          <w:tcPr>
            <w:tcW w:w="1152" w:type="dxa"/>
            <w:tcBorders>
              <w:top w:val="single" w:sz="12" w:space="0" w:color="auto"/>
              <w:left w:val="single" w:sz="12" w:space="0" w:color="auto"/>
              <w:bottom w:val="single" w:sz="12" w:space="0" w:color="auto"/>
            </w:tcBorders>
            <w:shd w:val="clear" w:color="auto" w:fill="D9D9D9" w:themeFill="background1" w:themeFillShade="D9"/>
          </w:tcPr>
          <w:p w:rsidR="00E969CD" w:rsidRPr="002D79D9" w:rsidRDefault="00E969CD" w:rsidP="00E969CD">
            <w:pPr>
              <w:spacing w:after="0" w:line="240" w:lineRule="auto"/>
              <w:ind w:firstLine="0"/>
              <w:jc w:val="center"/>
              <w:rPr>
                <w:b/>
                <w:sz w:val="20"/>
              </w:rPr>
            </w:pPr>
            <w:r w:rsidRPr="002D79D9">
              <w:rPr>
                <w:b/>
                <w:sz w:val="20"/>
              </w:rPr>
              <w:t>-</w:t>
            </w:r>
          </w:p>
        </w:tc>
        <w:tc>
          <w:tcPr>
            <w:tcW w:w="1152" w:type="dxa"/>
            <w:tcBorders>
              <w:top w:val="single" w:sz="12" w:space="0" w:color="auto"/>
              <w:left w:val="single" w:sz="12" w:space="0" w:color="auto"/>
              <w:bottom w:val="single" w:sz="12" w:space="0" w:color="auto"/>
            </w:tcBorders>
            <w:shd w:val="clear" w:color="auto" w:fill="D9D9D9" w:themeFill="background1" w:themeFillShade="D9"/>
          </w:tcPr>
          <w:p w:rsidR="00E969CD" w:rsidRPr="002D79D9" w:rsidRDefault="00E969CD" w:rsidP="00E969CD">
            <w:pPr>
              <w:widowControl/>
              <w:autoSpaceDE w:val="0"/>
              <w:autoSpaceDN w:val="0"/>
              <w:adjustRightInd w:val="0"/>
              <w:spacing w:after="0" w:line="240" w:lineRule="auto"/>
              <w:ind w:firstLine="0"/>
              <w:jc w:val="center"/>
              <w:rPr>
                <w:b/>
                <w:sz w:val="20"/>
              </w:rPr>
            </w:pPr>
            <w:r w:rsidRPr="002D79D9">
              <w:rPr>
                <w:b/>
                <w:sz w:val="20"/>
              </w:rPr>
              <w:t>-</w:t>
            </w:r>
          </w:p>
        </w:tc>
        <w:tc>
          <w:tcPr>
            <w:tcW w:w="1152"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E969CD" w:rsidRPr="002D79D9" w:rsidRDefault="00E969CD" w:rsidP="00E969CD">
            <w:pPr>
              <w:spacing w:after="0" w:line="240" w:lineRule="auto"/>
              <w:ind w:firstLine="0"/>
              <w:jc w:val="center"/>
              <w:rPr>
                <w:b/>
                <w:sz w:val="20"/>
              </w:rPr>
            </w:pPr>
            <w:r w:rsidRPr="002D79D9">
              <w:rPr>
                <w:b/>
                <w:sz w:val="20"/>
              </w:rPr>
              <w:t>94,5</w:t>
            </w:r>
          </w:p>
        </w:tc>
        <w:tc>
          <w:tcPr>
            <w:tcW w:w="1296"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D79D9" w:rsidRDefault="00E969CD" w:rsidP="00E969CD">
            <w:pPr>
              <w:spacing w:after="0" w:line="240" w:lineRule="auto"/>
              <w:ind w:firstLine="0"/>
              <w:jc w:val="center"/>
              <w:rPr>
                <w:b/>
                <w:sz w:val="20"/>
              </w:rPr>
            </w:pPr>
            <w:r w:rsidRPr="002D79D9">
              <w:rPr>
                <w:b/>
                <w:sz w:val="20"/>
              </w:rPr>
              <w:t>148,0</w:t>
            </w:r>
          </w:p>
        </w:tc>
        <w:tc>
          <w:tcPr>
            <w:tcW w:w="1296" w:type="dxa"/>
            <w:tcBorders>
              <w:top w:val="single" w:sz="12" w:space="0" w:color="auto"/>
              <w:left w:val="single" w:sz="12" w:space="0" w:color="auto"/>
              <w:bottom w:val="single" w:sz="12" w:space="0" w:color="auto"/>
            </w:tcBorders>
            <w:shd w:val="clear" w:color="auto" w:fill="D9D9D9" w:themeFill="background1" w:themeFillShade="D9"/>
          </w:tcPr>
          <w:p w:rsidR="00E969CD" w:rsidRPr="002D79D9" w:rsidRDefault="00E969CD" w:rsidP="00E969CD">
            <w:pPr>
              <w:spacing w:after="0" w:line="240" w:lineRule="auto"/>
              <w:ind w:firstLine="0"/>
              <w:jc w:val="center"/>
              <w:rPr>
                <w:b/>
                <w:sz w:val="20"/>
              </w:rPr>
            </w:pPr>
            <w:r w:rsidRPr="002D79D9">
              <w:rPr>
                <w:b/>
                <w:sz w:val="20"/>
              </w:rPr>
              <w:t>53,5</w:t>
            </w:r>
          </w:p>
        </w:tc>
        <w:tc>
          <w:tcPr>
            <w:tcW w:w="1296" w:type="dxa"/>
            <w:tcBorders>
              <w:top w:val="single" w:sz="12" w:space="0" w:color="auto"/>
              <w:left w:val="single" w:sz="12" w:space="0" w:color="auto"/>
              <w:bottom w:val="single" w:sz="12" w:space="0" w:color="auto"/>
            </w:tcBorders>
            <w:shd w:val="clear" w:color="auto" w:fill="D9D9D9" w:themeFill="background1" w:themeFillShade="D9"/>
            <w:vAlign w:val="center"/>
          </w:tcPr>
          <w:p w:rsidR="00E969CD" w:rsidRPr="002D79D9" w:rsidRDefault="00E969CD" w:rsidP="00E969CD">
            <w:pPr>
              <w:spacing w:after="0" w:line="240" w:lineRule="auto"/>
              <w:ind w:firstLine="0"/>
              <w:jc w:val="center"/>
              <w:rPr>
                <w:b/>
                <w:sz w:val="20"/>
              </w:rPr>
            </w:pPr>
            <w:r w:rsidRPr="002D79D9">
              <w:rPr>
                <w:b/>
                <w:sz w:val="20"/>
              </w:rPr>
              <w:t>74,0</w:t>
            </w:r>
          </w:p>
        </w:tc>
      </w:tr>
    </w:tbl>
    <w:p w:rsidR="00E969CD" w:rsidRPr="00EF2795" w:rsidRDefault="00E969CD" w:rsidP="00E969CD">
      <w:pPr>
        <w:spacing w:after="20"/>
        <w:rPr>
          <w:sz w:val="20"/>
        </w:rPr>
      </w:pPr>
      <w:r w:rsidRPr="00EF2795">
        <w:rPr>
          <w:b/>
          <w:sz w:val="20"/>
        </w:rPr>
        <w:t>Šaltinis</w:t>
      </w:r>
      <w:r w:rsidRPr="00EF2795">
        <w:rPr>
          <w:sz w:val="20"/>
        </w:rPr>
        <w:t>: sudaryta šio darbo autorės</w:t>
      </w:r>
      <w:r>
        <w:rPr>
          <w:sz w:val="20"/>
        </w:rPr>
        <w:t>, remiantis apklausos rezultatais</w:t>
      </w:r>
    </w:p>
    <w:p w:rsidR="00E969CD" w:rsidRDefault="00E969CD" w:rsidP="00E969CD">
      <w:r>
        <w:t xml:space="preserve">Apskaičiavus ir susumavus visų keturių veiksnių grubių svertinius balus, paaiškėjo, jog bedarbių bei socialinės paramos gavėjų finansinė elgsena (94,5 balai) racionaliai elgsenai (148 balai) prilygo 64 proc., kas parodo, jog didžioji dalis socialinių išmokų gavėjų demonstravo </w:t>
      </w:r>
      <w:r w:rsidRPr="00582982">
        <w:rPr>
          <w:i/>
        </w:rPr>
        <w:t>tik santykinai gerą</w:t>
      </w:r>
      <w:r>
        <w:t xml:space="preserve"> finansinę elgseną. Žvelgiant į atskirų veiksnių įvertinimus, tampa aišku, jog labiausiai prie neracionalios elgsenos atsiradimo prisideda </w:t>
      </w:r>
      <w:r w:rsidRPr="008C53DD">
        <w:rPr>
          <w:i/>
        </w:rPr>
        <w:t>emociniai-psichologiniai veiksniai</w:t>
      </w:r>
      <w:r>
        <w:t>, kurių svertinis balas optimaliai elgsenai prilygo tik 54 proc.</w:t>
      </w:r>
    </w:p>
    <w:p w:rsidR="00E969CD" w:rsidRDefault="00E969CD" w:rsidP="00E969CD">
      <w:r>
        <w:t xml:space="preserve">Galima tvirtinti, jog naudoti valstybės lėšas labiausiai skatina </w:t>
      </w:r>
      <w:r w:rsidRPr="001535ED">
        <w:rPr>
          <w:i/>
        </w:rPr>
        <w:t>mentalinės sąskaitos (a</w:t>
      </w:r>
      <w:r w:rsidRPr="001535ED">
        <w:rPr>
          <w:i/>
          <w:vertAlign w:val="subscript"/>
        </w:rPr>
        <w:t>1</w:t>
      </w:r>
      <w:r w:rsidRPr="001535ED">
        <w:rPr>
          <w:i/>
        </w:rPr>
        <w:t>)</w:t>
      </w:r>
      <w:r>
        <w:t>, „</w:t>
      </w:r>
      <w:r w:rsidRPr="00E16D1E">
        <w:rPr>
          <w:i/>
        </w:rPr>
        <w:t>sovietinis</w:t>
      </w:r>
      <w:r>
        <w:rPr>
          <w:i/>
        </w:rPr>
        <w:t>“</w:t>
      </w:r>
      <w:r w:rsidRPr="00E16D1E">
        <w:rPr>
          <w:i/>
        </w:rPr>
        <w:t xml:space="preserve"> mentalitetas (a</w:t>
      </w:r>
      <w:r w:rsidRPr="00E16D1E">
        <w:rPr>
          <w:i/>
          <w:vertAlign w:val="subscript"/>
        </w:rPr>
        <w:t>2</w:t>
      </w:r>
      <w:r w:rsidRPr="00E16D1E">
        <w:rPr>
          <w:i/>
        </w:rPr>
        <w:t>)</w:t>
      </w:r>
      <w:r>
        <w:t xml:space="preserve">, </w:t>
      </w:r>
      <w:r w:rsidRPr="00E16D1E">
        <w:rPr>
          <w:i/>
        </w:rPr>
        <w:t>amoralus šeimyniškumas (a</w:t>
      </w:r>
      <w:r w:rsidRPr="00E16D1E">
        <w:rPr>
          <w:i/>
          <w:vertAlign w:val="subscript"/>
        </w:rPr>
        <w:t>3</w:t>
      </w:r>
      <w:r w:rsidRPr="00E16D1E">
        <w:rPr>
          <w:i/>
        </w:rPr>
        <w:t>)</w:t>
      </w:r>
      <w:r>
        <w:t xml:space="preserve">, </w:t>
      </w:r>
      <w:r w:rsidRPr="00E16D1E">
        <w:rPr>
          <w:i/>
        </w:rPr>
        <w:t>šešėlinė ekonomika (c</w:t>
      </w:r>
      <w:r w:rsidRPr="00E16D1E">
        <w:rPr>
          <w:i/>
          <w:vertAlign w:val="subscript"/>
        </w:rPr>
        <w:t>2</w:t>
      </w:r>
      <w:r w:rsidRPr="00E16D1E">
        <w:rPr>
          <w:i/>
        </w:rPr>
        <w:t>)</w:t>
      </w:r>
      <w:r>
        <w:t xml:space="preserve"> ir </w:t>
      </w:r>
      <w:r w:rsidRPr="00102964">
        <w:rPr>
          <w:i/>
        </w:rPr>
        <w:t>išmokos mokėjimo trukmė (c</w:t>
      </w:r>
      <w:r w:rsidRPr="00102964">
        <w:rPr>
          <w:i/>
          <w:vertAlign w:val="subscript"/>
        </w:rPr>
        <w:t>5</w:t>
      </w:r>
      <w:r w:rsidRPr="00102964">
        <w:rPr>
          <w:i/>
        </w:rPr>
        <w:t>)</w:t>
      </w:r>
      <w:r>
        <w:t>, t. y. veiksniai, kurie iš prigimties yra neigiami. Tai reiškia, jog socialinės apsaugos lėšų naudojimas dažnai būna nepagrįstas, todėl reikia gerinti tokių individų elgseną, keičiant požiūrį į socialinės apsaugos sistemą.</w:t>
      </w:r>
    </w:p>
    <w:p w:rsidR="00F6568D" w:rsidRDefault="00F6568D" w:rsidP="00F6568D"/>
    <w:p w:rsidR="00051438" w:rsidRDefault="00051438" w:rsidP="00051438">
      <w:pPr>
        <w:spacing w:before="200" w:after="0"/>
        <w:ind w:firstLine="0"/>
        <w:jc w:val="center"/>
        <w:rPr>
          <w:b/>
        </w:rPr>
      </w:pPr>
      <w:r>
        <w:rPr>
          <w:b/>
        </w:rPr>
        <w:lastRenderedPageBreak/>
        <w:t>KONKORDANCIJOS KOEFICIENTŲ SKAIČIAVIMAS</w:t>
      </w:r>
    </w:p>
    <w:p w:rsidR="00051438" w:rsidRPr="00770A2D" w:rsidRDefault="00051438" w:rsidP="00051438">
      <w:pPr>
        <w:pStyle w:val="Caption"/>
      </w:pPr>
      <w:r w:rsidRPr="00C5032D">
        <w:t>1 lentelė.</w:t>
      </w:r>
      <w:r>
        <w:t xml:space="preserve"> </w:t>
      </w:r>
      <w:r w:rsidRPr="002648F5">
        <w:t>Emocinių-psichologinių veiksnių įtaka: konkordancijos koeficiento skaičiavimas</w:t>
      </w:r>
    </w:p>
    <w:tbl>
      <w:tblPr>
        <w:tblStyle w:val="TableGrid"/>
        <w:tblW w:w="1038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2088"/>
        <w:gridCol w:w="922"/>
        <w:gridCol w:w="922"/>
        <w:gridCol w:w="922"/>
        <w:gridCol w:w="922"/>
        <w:gridCol w:w="922"/>
        <w:gridCol w:w="922"/>
        <w:gridCol w:w="922"/>
        <w:gridCol w:w="922"/>
        <w:gridCol w:w="922"/>
      </w:tblGrid>
      <w:tr w:rsidR="00051438" w:rsidRPr="00794C26" w:rsidTr="00051438">
        <w:tc>
          <w:tcPr>
            <w:tcW w:w="2088" w:type="dxa"/>
            <w:tcBorders>
              <w:top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rPr>
            </w:pP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rPr>
            </w:pPr>
            <w:r w:rsidRPr="00794C26">
              <w:rPr>
                <w:b/>
                <w:i/>
                <w:sz w:val="17"/>
                <w:szCs w:val="17"/>
              </w:rPr>
              <w:t xml:space="preserve"> a</w:t>
            </w:r>
            <w:r w:rsidRPr="00794C26">
              <w:rPr>
                <w:b/>
                <w:i/>
                <w:sz w:val="17"/>
                <w:szCs w:val="17"/>
                <w:vertAlign w:val="subscript"/>
              </w:rPr>
              <w:t>1</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rPr>
            </w:pPr>
            <w:r w:rsidRPr="00794C26">
              <w:rPr>
                <w:b/>
                <w:i/>
                <w:sz w:val="17"/>
                <w:szCs w:val="17"/>
              </w:rPr>
              <w:t xml:space="preserve"> a</w:t>
            </w:r>
            <w:r w:rsidRPr="00794C26">
              <w:rPr>
                <w:b/>
                <w:i/>
                <w:sz w:val="17"/>
                <w:szCs w:val="17"/>
                <w:vertAlign w:val="subscript"/>
              </w:rPr>
              <w:t>2</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rPr>
            </w:pPr>
            <w:r w:rsidRPr="00794C26">
              <w:rPr>
                <w:b/>
                <w:i/>
                <w:sz w:val="17"/>
                <w:szCs w:val="17"/>
              </w:rPr>
              <w:t xml:space="preserve"> a</w:t>
            </w:r>
            <w:r w:rsidRPr="00794C26">
              <w:rPr>
                <w:b/>
                <w:i/>
                <w:sz w:val="17"/>
                <w:szCs w:val="17"/>
                <w:vertAlign w:val="subscript"/>
              </w:rPr>
              <w:t>3</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rPr>
            </w:pPr>
            <w:r w:rsidRPr="00794C26">
              <w:rPr>
                <w:b/>
                <w:i/>
                <w:sz w:val="17"/>
                <w:szCs w:val="17"/>
              </w:rPr>
              <w:t xml:space="preserve"> a</w:t>
            </w:r>
            <w:r w:rsidRPr="00794C26">
              <w:rPr>
                <w:b/>
                <w:i/>
                <w:sz w:val="17"/>
                <w:szCs w:val="17"/>
                <w:vertAlign w:val="subscript"/>
              </w:rPr>
              <w:t>4</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rPr>
            </w:pPr>
            <w:r w:rsidRPr="00794C26">
              <w:rPr>
                <w:b/>
                <w:i/>
                <w:sz w:val="17"/>
                <w:szCs w:val="17"/>
              </w:rPr>
              <w:t xml:space="preserve"> a</w:t>
            </w:r>
            <w:r w:rsidRPr="00794C26">
              <w:rPr>
                <w:b/>
                <w:i/>
                <w:sz w:val="17"/>
                <w:szCs w:val="17"/>
                <w:vertAlign w:val="subscript"/>
              </w:rPr>
              <w:t>5</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rPr>
            </w:pPr>
            <w:r w:rsidRPr="00794C26">
              <w:rPr>
                <w:b/>
                <w:i/>
                <w:sz w:val="17"/>
                <w:szCs w:val="17"/>
              </w:rPr>
              <w:t xml:space="preserve"> a</w:t>
            </w:r>
            <w:r w:rsidRPr="00794C26">
              <w:rPr>
                <w:b/>
                <w:i/>
                <w:sz w:val="17"/>
                <w:szCs w:val="17"/>
                <w:vertAlign w:val="subscript"/>
              </w:rPr>
              <w:t>6</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rPr>
            </w:pPr>
            <w:r w:rsidRPr="00794C26">
              <w:rPr>
                <w:b/>
                <w:i/>
                <w:sz w:val="17"/>
                <w:szCs w:val="17"/>
              </w:rPr>
              <w:t xml:space="preserve"> a</w:t>
            </w:r>
            <w:r w:rsidRPr="00794C26">
              <w:rPr>
                <w:b/>
                <w:i/>
                <w:sz w:val="17"/>
                <w:szCs w:val="17"/>
                <w:vertAlign w:val="subscript"/>
              </w:rPr>
              <w:t>7</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rPr>
            </w:pPr>
            <w:r w:rsidRPr="00794C26">
              <w:rPr>
                <w:b/>
                <w:i/>
                <w:sz w:val="17"/>
                <w:szCs w:val="17"/>
              </w:rPr>
              <w:t xml:space="preserve"> a</w:t>
            </w:r>
            <w:r w:rsidRPr="00794C26">
              <w:rPr>
                <w:b/>
                <w:i/>
                <w:sz w:val="17"/>
                <w:szCs w:val="17"/>
                <w:vertAlign w:val="subscript"/>
              </w:rPr>
              <w:t>8</w:t>
            </w:r>
          </w:p>
        </w:tc>
        <w:tc>
          <w:tcPr>
            <w:tcW w:w="922" w:type="dxa"/>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rPr>
            </w:pPr>
            <w:r w:rsidRPr="00794C26">
              <w:rPr>
                <w:b/>
                <w:i/>
                <w:sz w:val="17"/>
                <w:szCs w:val="17"/>
              </w:rPr>
              <w:t xml:space="preserve"> a</w:t>
            </w:r>
            <w:r w:rsidRPr="00794C26">
              <w:rPr>
                <w:b/>
                <w:i/>
                <w:sz w:val="17"/>
                <w:szCs w:val="17"/>
                <w:vertAlign w:val="subscript"/>
              </w:rPr>
              <w:t>9</w:t>
            </w:r>
          </w:p>
        </w:tc>
      </w:tr>
      <w:tr w:rsidR="00051438" w:rsidRPr="00794C26" w:rsidTr="00051438">
        <w:tc>
          <w:tcPr>
            <w:tcW w:w="2088" w:type="dxa"/>
            <w:tcBorders>
              <w:top w:val="single" w:sz="12" w:space="0" w:color="auto"/>
              <w:bottom w:val="single" w:sz="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vertAlign w:val="subscript"/>
              </w:rPr>
            </w:pPr>
            <w:r w:rsidRPr="00794C26">
              <w:rPr>
                <w:b/>
                <w:i/>
                <w:sz w:val="17"/>
                <w:szCs w:val="17"/>
              </w:rPr>
              <w:t>m</w:t>
            </w:r>
            <w:r w:rsidRPr="00794C26">
              <w:rPr>
                <w:b/>
                <w:i/>
                <w:sz w:val="17"/>
                <w:szCs w:val="17"/>
                <w:vertAlign w:val="subscript"/>
              </w:rPr>
              <w:t>1</w:t>
            </w:r>
          </w:p>
        </w:tc>
        <w:tc>
          <w:tcPr>
            <w:tcW w:w="922" w:type="dxa"/>
            <w:tcBorders>
              <w:top w:val="single" w:sz="12" w:space="0" w:color="auto"/>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4</w:t>
            </w:r>
          </w:p>
        </w:tc>
        <w:tc>
          <w:tcPr>
            <w:tcW w:w="922" w:type="dxa"/>
            <w:tcBorders>
              <w:top w:val="single" w:sz="12" w:space="0" w:color="auto"/>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1</w:t>
            </w:r>
          </w:p>
        </w:tc>
        <w:tc>
          <w:tcPr>
            <w:tcW w:w="922" w:type="dxa"/>
            <w:tcBorders>
              <w:top w:val="single" w:sz="12" w:space="0" w:color="auto"/>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7</w:t>
            </w:r>
          </w:p>
        </w:tc>
        <w:tc>
          <w:tcPr>
            <w:tcW w:w="922" w:type="dxa"/>
            <w:tcBorders>
              <w:top w:val="single" w:sz="12" w:space="0" w:color="auto"/>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6</w:t>
            </w:r>
          </w:p>
        </w:tc>
        <w:tc>
          <w:tcPr>
            <w:tcW w:w="922" w:type="dxa"/>
            <w:tcBorders>
              <w:top w:val="single" w:sz="12" w:space="0" w:color="auto"/>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5</w:t>
            </w:r>
          </w:p>
        </w:tc>
        <w:tc>
          <w:tcPr>
            <w:tcW w:w="922" w:type="dxa"/>
            <w:tcBorders>
              <w:top w:val="single" w:sz="12" w:space="0" w:color="auto"/>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2</w:t>
            </w:r>
          </w:p>
        </w:tc>
        <w:tc>
          <w:tcPr>
            <w:tcW w:w="922" w:type="dxa"/>
            <w:tcBorders>
              <w:top w:val="single" w:sz="12" w:space="0" w:color="auto"/>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8</w:t>
            </w:r>
          </w:p>
        </w:tc>
        <w:tc>
          <w:tcPr>
            <w:tcW w:w="922" w:type="dxa"/>
            <w:tcBorders>
              <w:top w:val="single" w:sz="12" w:space="0" w:color="auto"/>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9</w:t>
            </w:r>
          </w:p>
        </w:tc>
        <w:tc>
          <w:tcPr>
            <w:tcW w:w="922" w:type="dxa"/>
            <w:tcBorders>
              <w:top w:val="single" w:sz="12" w:space="0" w:color="auto"/>
              <w:left w:val="single" w:sz="12" w:space="0" w:color="auto"/>
              <w:bottom w:val="single" w:sz="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3</w:t>
            </w:r>
          </w:p>
        </w:tc>
      </w:tr>
      <w:tr w:rsidR="00051438" w:rsidRPr="00794C26" w:rsidTr="00051438">
        <w:tc>
          <w:tcPr>
            <w:tcW w:w="2088" w:type="dxa"/>
            <w:tcBorders>
              <w:top w:val="single" w:sz="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vertAlign w:val="subscript"/>
              </w:rPr>
            </w:pPr>
            <w:r w:rsidRPr="00794C26">
              <w:rPr>
                <w:b/>
                <w:i/>
                <w:sz w:val="17"/>
                <w:szCs w:val="17"/>
              </w:rPr>
              <w:t>m</w:t>
            </w:r>
            <w:r w:rsidRPr="00794C26">
              <w:rPr>
                <w:b/>
                <w:i/>
                <w:sz w:val="17"/>
                <w:szCs w:val="17"/>
                <w:vertAlign w:val="subscript"/>
              </w:rPr>
              <w:t>2</w:t>
            </w:r>
          </w:p>
        </w:tc>
        <w:tc>
          <w:tcPr>
            <w:tcW w:w="922" w:type="dxa"/>
            <w:tcBorders>
              <w:top w:val="single" w:sz="2" w:space="0" w:color="auto"/>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3</w:t>
            </w:r>
          </w:p>
        </w:tc>
        <w:tc>
          <w:tcPr>
            <w:tcW w:w="922" w:type="dxa"/>
            <w:tcBorders>
              <w:top w:val="single" w:sz="2" w:space="0" w:color="auto"/>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1</w:t>
            </w:r>
          </w:p>
        </w:tc>
        <w:tc>
          <w:tcPr>
            <w:tcW w:w="922" w:type="dxa"/>
            <w:tcBorders>
              <w:top w:val="single" w:sz="2" w:space="0" w:color="auto"/>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5</w:t>
            </w:r>
          </w:p>
        </w:tc>
        <w:tc>
          <w:tcPr>
            <w:tcW w:w="922" w:type="dxa"/>
            <w:tcBorders>
              <w:top w:val="single" w:sz="2" w:space="0" w:color="auto"/>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9</w:t>
            </w:r>
          </w:p>
        </w:tc>
        <w:tc>
          <w:tcPr>
            <w:tcW w:w="922" w:type="dxa"/>
            <w:tcBorders>
              <w:top w:val="single" w:sz="2" w:space="0" w:color="auto"/>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8</w:t>
            </w:r>
          </w:p>
        </w:tc>
        <w:tc>
          <w:tcPr>
            <w:tcW w:w="922" w:type="dxa"/>
            <w:tcBorders>
              <w:top w:val="single" w:sz="2" w:space="0" w:color="auto"/>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2</w:t>
            </w:r>
          </w:p>
        </w:tc>
        <w:tc>
          <w:tcPr>
            <w:tcW w:w="922" w:type="dxa"/>
            <w:tcBorders>
              <w:top w:val="single" w:sz="2" w:space="0" w:color="auto"/>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6</w:t>
            </w:r>
          </w:p>
        </w:tc>
        <w:tc>
          <w:tcPr>
            <w:tcW w:w="922" w:type="dxa"/>
            <w:tcBorders>
              <w:top w:val="single" w:sz="2" w:space="0" w:color="auto"/>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7</w:t>
            </w:r>
          </w:p>
        </w:tc>
        <w:tc>
          <w:tcPr>
            <w:tcW w:w="922" w:type="dxa"/>
            <w:tcBorders>
              <w:top w:val="single" w:sz="2" w:space="0" w:color="auto"/>
              <w:lef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4</w:t>
            </w:r>
          </w:p>
        </w:tc>
      </w:tr>
      <w:tr w:rsidR="00051438" w:rsidRPr="00794C26" w:rsidTr="00051438">
        <w:tc>
          <w:tcPr>
            <w:tcW w:w="2088" w:type="dxa"/>
            <w:tcBorders>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vertAlign w:val="subscript"/>
              </w:rPr>
            </w:pPr>
            <w:r w:rsidRPr="00794C26">
              <w:rPr>
                <w:b/>
                <w:i/>
                <w:sz w:val="17"/>
                <w:szCs w:val="17"/>
              </w:rPr>
              <w:t>m</w:t>
            </w:r>
            <w:r w:rsidRPr="00794C26">
              <w:rPr>
                <w:b/>
                <w:i/>
                <w:sz w:val="17"/>
                <w:szCs w:val="17"/>
                <w:vertAlign w:val="subscript"/>
              </w:rPr>
              <w:t>3</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6</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2</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4</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5</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8</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1</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7</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9</w:t>
            </w:r>
          </w:p>
        </w:tc>
        <w:tc>
          <w:tcPr>
            <w:tcW w:w="922" w:type="dxa"/>
            <w:tcBorders>
              <w:lef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3</w:t>
            </w:r>
          </w:p>
        </w:tc>
      </w:tr>
      <w:tr w:rsidR="00051438" w:rsidRPr="00794C26" w:rsidTr="00051438">
        <w:tc>
          <w:tcPr>
            <w:tcW w:w="2088" w:type="dxa"/>
            <w:tcBorders>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vertAlign w:val="subscript"/>
              </w:rPr>
            </w:pPr>
            <w:r w:rsidRPr="00794C26">
              <w:rPr>
                <w:b/>
                <w:i/>
                <w:sz w:val="17"/>
                <w:szCs w:val="17"/>
              </w:rPr>
              <w:t>m</w:t>
            </w:r>
            <w:r w:rsidRPr="00794C26">
              <w:rPr>
                <w:b/>
                <w:i/>
                <w:sz w:val="17"/>
                <w:szCs w:val="17"/>
                <w:vertAlign w:val="subscript"/>
              </w:rPr>
              <w:t>4</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6</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1</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4</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7</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3</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2</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9</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8</w:t>
            </w:r>
          </w:p>
        </w:tc>
        <w:tc>
          <w:tcPr>
            <w:tcW w:w="922" w:type="dxa"/>
            <w:tcBorders>
              <w:lef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5</w:t>
            </w:r>
          </w:p>
        </w:tc>
      </w:tr>
      <w:tr w:rsidR="00051438" w:rsidRPr="00794C26" w:rsidTr="00051438">
        <w:tc>
          <w:tcPr>
            <w:tcW w:w="2088" w:type="dxa"/>
            <w:tcBorders>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vertAlign w:val="subscript"/>
              </w:rPr>
            </w:pPr>
            <w:r w:rsidRPr="00794C26">
              <w:rPr>
                <w:b/>
                <w:i/>
                <w:sz w:val="17"/>
                <w:szCs w:val="17"/>
              </w:rPr>
              <w:t>m</w:t>
            </w:r>
            <w:r w:rsidRPr="00794C26">
              <w:rPr>
                <w:b/>
                <w:i/>
                <w:sz w:val="17"/>
                <w:szCs w:val="17"/>
                <w:vertAlign w:val="subscript"/>
              </w:rPr>
              <w:t>5</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5</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2</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4</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7</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6</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1</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8</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9</w:t>
            </w:r>
          </w:p>
        </w:tc>
        <w:tc>
          <w:tcPr>
            <w:tcW w:w="922" w:type="dxa"/>
            <w:tcBorders>
              <w:lef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3</w:t>
            </w:r>
          </w:p>
        </w:tc>
      </w:tr>
      <w:tr w:rsidR="00051438" w:rsidRPr="00794C26" w:rsidTr="00051438">
        <w:tc>
          <w:tcPr>
            <w:tcW w:w="2088" w:type="dxa"/>
            <w:tcBorders>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vertAlign w:val="subscript"/>
              </w:rPr>
            </w:pPr>
            <w:r w:rsidRPr="00794C26">
              <w:rPr>
                <w:b/>
                <w:i/>
                <w:sz w:val="17"/>
                <w:szCs w:val="17"/>
              </w:rPr>
              <w:t>m</w:t>
            </w:r>
            <w:r w:rsidRPr="00794C26">
              <w:rPr>
                <w:b/>
                <w:i/>
                <w:sz w:val="17"/>
                <w:szCs w:val="17"/>
                <w:vertAlign w:val="subscript"/>
              </w:rPr>
              <w:t>6</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5</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3</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4</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7</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8</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1</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6</w:t>
            </w:r>
          </w:p>
        </w:tc>
        <w:tc>
          <w:tcPr>
            <w:tcW w:w="922" w:type="dxa"/>
            <w:tcBorders>
              <w:left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9</w:t>
            </w:r>
          </w:p>
        </w:tc>
        <w:tc>
          <w:tcPr>
            <w:tcW w:w="922" w:type="dxa"/>
            <w:tcBorders>
              <w:lef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2</w:t>
            </w:r>
          </w:p>
        </w:tc>
      </w:tr>
      <w:tr w:rsidR="00051438" w:rsidRPr="00794C26" w:rsidTr="00051438">
        <w:tc>
          <w:tcPr>
            <w:tcW w:w="2088" w:type="dxa"/>
            <w:tcBorders>
              <w:bottom w:val="single" w:sz="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vertAlign w:val="subscript"/>
              </w:rPr>
            </w:pPr>
            <w:r w:rsidRPr="00794C26">
              <w:rPr>
                <w:b/>
                <w:i/>
                <w:sz w:val="17"/>
                <w:szCs w:val="17"/>
              </w:rPr>
              <w:t>m</w:t>
            </w:r>
            <w:r w:rsidRPr="00794C26">
              <w:rPr>
                <w:b/>
                <w:i/>
                <w:sz w:val="17"/>
                <w:szCs w:val="17"/>
                <w:vertAlign w:val="subscript"/>
              </w:rPr>
              <w:t>7</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3</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1</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5</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6</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4</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2</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9</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8</w:t>
            </w:r>
          </w:p>
        </w:tc>
        <w:tc>
          <w:tcPr>
            <w:tcW w:w="922" w:type="dxa"/>
            <w:tcBorders>
              <w:left w:val="single" w:sz="12" w:space="0" w:color="auto"/>
              <w:bottom w:val="single" w:sz="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7</w:t>
            </w:r>
          </w:p>
        </w:tc>
      </w:tr>
      <w:tr w:rsidR="00051438" w:rsidRPr="00794C26" w:rsidTr="00051438">
        <w:tc>
          <w:tcPr>
            <w:tcW w:w="2088" w:type="dxa"/>
            <w:tcBorders>
              <w:bottom w:val="single" w:sz="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vertAlign w:val="subscript"/>
              </w:rPr>
            </w:pPr>
            <w:r w:rsidRPr="00794C26">
              <w:rPr>
                <w:b/>
                <w:i/>
                <w:sz w:val="17"/>
                <w:szCs w:val="17"/>
              </w:rPr>
              <w:t>m</w:t>
            </w:r>
            <w:r w:rsidRPr="00794C26">
              <w:rPr>
                <w:b/>
                <w:i/>
                <w:sz w:val="17"/>
                <w:szCs w:val="17"/>
                <w:vertAlign w:val="subscript"/>
              </w:rPr>
              <w:t>8</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2</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6</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5</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4</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3</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1</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7</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9</w:t>
            </w:r>
          </w:p>
        </w:tc>
        <w:tc>
          <w:tcPr>
            <w:tcW w:w="922" w:type="dxa"/>
            <w:tcBorders>
              <w:left w:val="single" w:sz="12" w:space="0" w:color="auto"/>
              <w:bottom w:val="single" w:sz="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8</w:t>
            </w:r>
          </w:p>
        </w:tc>
      </w:tr>
      <w:tr w:rsidR="00051438" w:rsidRPr="00794C26" w:rsidTr="00051438">
        <w:tc>
          <w:tcPr>
            <w:tcW w:w="2088" w:type="dxa"/>
            <w:tcBorders>
              <w:bottom w:val="single" w:sz="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vertAlign w:val="subscript"/>
              </w:rPr>
            </w:pPr>
            <w:r w:rsidRPr="00794C26">
              <w:rPr>
                <w:b/>
                <w:i/>
                <w:sz w:val="17"/>
                <w:szCs w:val="17"/>
              </w:rPr>
              <w:t>m</w:t>
            </w:r>
            <w:r w:rsidRPr="00794C26">
              <w:rPr>
                <w:b/>
                <w:i/>
                <w:sz w:val="17"/>
                <w:szCs w:val="17"/>
                <w:vertAlign w:val="subscript"/>
              </w:rPr>
              <w:t>9</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4</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1</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6</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5</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8</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2</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7</w:t>
            </w:r>
          </w:p>
        </w:tc>
        <w:tc>
          <w:tcPr>
            <w:tcW w:w="922" w:type="dxa"/>
            <w:tcBorders>
              <w:left w:val="single" w:sz="12" w:space="0" w:color="auto"/>
              <w:bottom w:val="single" w:sz="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9</w:t>
            </w:r>
          </w:p>
        </w:tc>
        <w:tc>
          <w:tcPr>
            <w:tcW w:w="922" w:type="dxa"/>
            <w:tcBorders>
              <w:left w:val="single" w:sz="12" w:space="0" w:color="auto"/>
              <w:bottom w:val="single" w:sz="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3</w:t>
            </w:r>
          </w:p>
        </w:tc>
      </w:tr>
      <w:tr w:rsidR="00051438" w:rsidRPr="00794C26" w:rsidTr="00051438">
        <w:tc>
          <w:tcPr>
            <w:tcW w:w="2088" w:type="dxa"/>
            <w:tcBorders>
              <w:top w:val="single" w:sz="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vertAlign w:val="subscript"/>
              </w:rPr>
            </w:pPr>
            <w:r w:rsidRPr="00794C26">
              <w:rPr>
                <w:b/>
                <w:i/>
                <w:sz w:val="17"/>
                <w:szCs w:val="17"/>
              </w:rPr>
              <w:t>m</w:t>
            </w:r>
            <w:r w:rsidRPr="00794C26">
              <w:rPr>
                <w:b/>
                <w:i/>
                <w:sz w:val="17"/>
                <w:szCs w:val="17"/>
                <w:vertAlign w:val="subscript"/>
              </w:rPr>
              <w:t>10</w:t>
            </w:r>
          </w:p>
        </w:tc>
        <w:tc>
          <w:tcPr>
            <w:tcW w:w="922" w:type="dxa"/>
            <w:tcBorders>
              <w:top w:val="single" w:sz="2" w:space="0" w:color="auto"/>
              <w:left w:val="single" w:sz="12" w:space="0" w:color="auto"/>
              <w:bottom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6</w:t>
            </w:r>
          </w:p>
        </w:tc>
        <w:tc>
          <w:tcPr>
            <w:tcW w:w="922" w:type="dxa"/>
            <w:tcBorders>
              <w:top w:val="single" w:sz="2" w:space="0" w:color="auto"/>
              <w:left w:val="single" w:sz="12" w:space="0" w:color="auto"/>
              <w:bottom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1</w:t>
            </w:r>
          </w:p>
        </w:tc>
        <w:tc>
          <w:tcPr>
            <w:tcW w:w="922" w:type="dxa"/>
            <w:tcBorders>
              <w:top w:val="single" w:sz="2" w:space="0" w:color="auto"/>
              <w:left w:val="single" w:sz="12" w:space="0" w:color="auto"/>
              <w:bottom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8</w:t>
            </w:r>
          </w:p>
        </w:tc>
        <w:tc>
          <w:tcPr>
            <w:tcW w:w="922" w:type="dxa"/>
            <w:tcBorders>
              <w:top w:val="single" w:sz="2" w:space="0" w:color="auto"/>
              <w:left w:val="single" w:sz="12" w:space="0" w:color="auto"/>
              <w:bottom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2</w:t>
            </w:r>
          </w:p>
        </w:tc>
        <w:tc>
          <w:tcPr>
            <w:tcW w:w="922" w:type="dxa"/>
            <w:tcBorders>
              <w:top w:val="single" w:sz="2" w:space="0" w:color="auto"/>
              <w:left w:val="single" w:sz="12" w:space="0" w:color="auto"/>
              <w:bottom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7</w:t>
            </w:r>
          </w:p>
        </w:tc>
        <w:tc>
          <w:tcPr>
            <w:tcW w:w="922" w:type="dxa"/>
            <w:tcBorders>
              <w:top w:val="single" w:sz="2" w:space="0" w:color="auto"/>
              <w:left w:val="single" w:sz="12" w:space="0" w:color="auto"/>
              <w:bottom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4</w:t>
            </w:r>
          </w:p>
        </w:tc>
        <w:tc>
          <w:tcPr>
            <w:tcW w:w="922" w:type="dxa"/>
            <w:tcBorders>
              <w:top w:val="single" w:sz="2" w:space="0" w:color="auto"/>
              <w:left w:val="single" w:sz="12" w:space="0" w:color="auto"/>
              <w:bottom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9</w:t>
            </w:r>
          </w:p>
        </w:tc>
        <w:tc>
          <w:tcPr>
            <w:tcW w:w="922" w:type="dxa"/>
            <w:tcBorders>
              <w:top w:val="single" w:sz="2" w:space="0" w:color="auto"/>
              <w:left w:val="single" w:sz="12" w:space="0" w:color="auto"/>
              <w:bottom w:val="single" w:sz="12" w:space="0" w:color="auto"/>
              <w:right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3</w:t>
            </w:r>
          </w:p>
        </w:tc>
        <w:tc>
          <w:tcPr>
            <w:tcW w:w="922" w:type="dxa"/>
            <w:tcBorders>
              <w:top w:val="single" w:sz="2" w:space="0" w:color="auto"/>
              <w:left w:val="single" w:sz="12" w:space="0" w:color="auto"/>
              <w:bottom w:val="single" w:sz="12" w:space="0" w:color="auto"/>
            </w:tcBorders>
            <w:shd w:val="clear" w:color="auto" w:fill="B8CCE4" w:themeFill="accent1" w:themeFillTint="66"/>
            <w:vAlign w:val="center"/>
          </w:tcPr>
          <w:p w:rsidR="00051438" w:rsidRPr="00794C26" w:rsidRDefault="00051438" w:rsidP="00051438">
            <w:pPr>
              <w:spacing w:after="0" w:line="240" w:lineRule="auto"/>
              <w:ind w:firstLine="0"/>
              <w:jc w:val="center"/>
              <w:rPr>
                <w:sz w:val="17"/>
                <w:szCs w:val="17"/>
              </w:rPr>
            </w:pPr>
            <w:r w:rsidRPr="00794C26">
              <w:rPr>
                <w:sz w:val="17"/>
                <w:szCs w:val="17"/>
              </w:rPr>
              <w:t>5</w:t>
            </w:r>
          </w:p>
        </w:tc>
      </w:tr>
      <w:tr w:rsidR="00051438" w:rsidRPr="00794C26" w:rsidTr="00051438">
        <w:tc>
          <w:tcPr>
            <w:tcW w:w="2088" w:type="dxa"/>
            <w:tcBorders>
              <w:top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color w:val="0070C0"/>
                <w:sz w:val="17"/>
                <w:szCs w:val="17"/>
              </w:rPr>
            </w:pPr>
            <w:r w:rsidRPr="00794C26">
              <w:rPr>
                <w:b/>
                <w:i/>
                <w:sz w:val="17"/>
                <w:szCs w:val="17"/>
              </w:rPr>
              <w:t>Rangų suma</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sz w:val="17"/>
                <w:szCs w:val="17"/>
              </w:rPr>
            </w:pPr>
            <w:r w:rsidRPr="00794C26">
              <w:rPr>
                <w:b/>
                <w:sz w:val="17"/>
                <w:szCs w:val="17"/>
              </w:rPr>
              <w:t>44</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sz w:val="17"/>
                <w:szCs w:val="17"/>
              </w:rPr>
            </w:pPr>
            <w:r w:rsidRPr="00794C26">
              <w:rPr>
                <w:b/>
                <w:sz w:val="17"/>
                <w:szCs w:val="17"/>
              </w:rPr>
              <w:t>19</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sz w:val="17"/>
                <w:szCs w:val="17"/>
              </w:rPr>
            </w:pPr>
            <w:r w:rsidRPr="00794C26">
              <w:rPr>
                <w:b/>
                <w:sz w:val="17"/>
                <w:szCs w:val="17"/>
              </w:rPr>
              <w:t>52</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sz w:val="17"/>
                <w:szCs w:val="17"/>
              </w:rPr>
            </w:pPr>
            <w:r w:rsidRPr="00794C26">
              <w:rPr>
                <w:b/>
                <w:sz w:val="17"/>
                <w:szCs w:val="17"/>
              </w:rPr>
              <w:t>58</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sz w:val="17"/>
                <w:szCs w:val="17"/>
              </w:rPr>
            </w:pPr>
            <w:r w:rsidRPr="00794C26">
              <w:rPr>
                <w:b/>
                <w:sz w:val="17"/>
                <w:szCs w:val="17"/>
              </w:rPr>
              <w:t>60</w:t>
            </w:r>
          </w:p>
        </w:tc>
        <w:tc>
          <w:tcPr>
            <w:tcW w:w="922" w:type="dxa"/>
            <w:tcBorders>
              <w:top w:val="single" w:sz="12" w:space="0" w:color="auto"/>
              <w:left w:val="single" w:sz="12" w:space="0" w:color="auto"/>
              <w:bottom w:val="single" w:sz="12" w:space="0" w:color="auto"/>
              <w:right w:val="single" w:sz="12" w:space="0" w:color="auto"/>
            </w:tcBorders>
            <w:shd w:val="clear" w:color="auto" w:fill="auto"/>
            <w:vAlign w:val="center"/>
          </w:tcPr>
          <w:p w:rsidR="00051438" w:rsidRPr="00794C26" w:rsidRDefault="00051438" w:rsidP="00051438">
            <w:pPr>
              <w:spacing w:after="0" w:line="240" w:lineRule="auto"/>
              <w:ind w:firstLine="0"/>
              <w:jc w:val="center"/>
              <w:rPr>
                <w:b/>
                <w:sz w:val="17"/>
                <w:szCs w:val="17"/>
              </w:rPr>
            </w:pPr>
            <w:r w:rsidRPr="00794C26">
              <w:rPr>
                <w:b/>
                <w:sz w:val="17"/>
                <w:szCs w:val="17"/>
              </w:rPr>
              <w:t>18</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sz w:val="17"/>
                <w:szCs w:val="17"/>
              </w:rPr>
            </w:pPr>
            <w:r w:rsidRPr="00794C26">
              <w:rPr>
                <w:b/>
                <w:sz w:val="17"/>
                <w:szCs w:val="17"/>
              </w:rPr>
              <w:t>76</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sz w:val="17"/>
                <w:szCs w:val="17"/>
              </w:rPr>
            </w:pPr>
            <w:r w:rsidRPr="00794C26">
              <w:rPr>
                <w:b/>
                <w:sz w:val="17"/>
                <w:szCs w:val="17"/>
              </w:rPr>
              <w:t>80</w:t>
            </w:r>
          </w:p>
        </w:tc>
        <w:tc>
          <w:tcPr>
            <w:tcW w:w="922" w:type="dxa"/>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sz w:val="17"/>
                <w:szCs w:val="17"/>
              </w:rPr>
            </w:pPr>
            <w:r w:rsidRPr="00794C26">
              <w:rPr>
                <w:b/>
                <w:sz w:val="17"/>
                <w:szCs w:val="17"/>
              </w:rPr>
              <w:t>43</w:t>
            </w:r>
          </w:p>
        </w:tc>
      </w:tr>
      <w:tr w:rsidR="00051438" w:rsidRPr="00794C26" w:rsidTr="00051438">
        <w:tc>
          <w:tcPr>
            <w:tcW w:w="2088" w:type="dxa"/>
            <w:tcBorders>
              <w:top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rPr>
            </w:pPr>
            <w:r w:rsidRPr="00794C26">
              <w:rPr>
                <w:b/>
                <w:i/>
                <w:sz w:val="17"/>
                <w:szCs w:val="17"/>
              </w:rPr>
              <w:t>Rangų sumų vidurkis a</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sz w:val="17"/>
                <w:szCs w:val="17"/>
              </w:rPr>
            </w:pPr>
            <w:r w:rsidRPr="00794C26">
              <w:rPr>
                <w:b/>
                <w:sz w:val="17"/>
                <w:szCs w:val="17"/>
              </w:rPr>
              <w:t>50</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line="240" w:lineRule="auto"/>
              <w:ind w:firstLine="0"/>
              <w:jc w:val="center"/>
              <w:rPr>
                <w:b/>
                <w:sz w:val="17"/>
                <w:szCs w:val="17"/>
              </w:rPr>
            </w:pPr>
            <w:r w:rsidRPr="00794C26">
              <w:rPr>
                <w:b/>
                <w:sz w:val="17"/>
                <w:szCs w:val="17"/>
              </w:rPr>
              <w:t>50</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line="240" w:lineRule="auto"/>
              <w:ind w:firstLine="0"/>
              <w:jc w:val="center"/>
              <w:rPr>
                <w:b/>
                <w:sz w:val="17"/>
                <w:szCs w:val="17"/>
              </w:rPr>
            </w:pPr>
            <w:r w:rsidRPr="00794C26">
              <w:rPr>
                <w:b/>
                <w:sz w:val="17"/>
                <w:szCs w:val="17"/>
              </w:rPr>
              <w:t>50</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line="240" w:lineRule="auto"/>
              <w:ind w:firstLine="0"/>
              <w:jc w:val="center"/>
              <w:rPr>
                <w:b/>
                <w:sz w:val="17"/>
                <w:szCs w:val="17"/>
              </w:rPr>
            </w:pPr>
            <w:r w:rsidRPr="00794C26">
              <w:rPr>
                <w:b/>
                <w:sz w:val="17"/>
                <w:szCs w:val="17"/>
              </w:rPr>
              <w:t>50</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line="240" w:lineRule="auto"/>
              <w:ind w:firstLine="0"/>
              <w:jc w:val="center"/>
              <w:rPr>
                <w:b/>
                <w:sz w:val="17"/>
                <w:szCs w:val="17"/>
              </w:rPr>
            </w:pPr>
            <w:r w:rsidRPr="00794C26">
              <w:rPr>
                <w:b/>
                <w:sz w:val="17"/>
                <w:szCs w:val="17"/>
              </w:rPr>
              <w:t>50</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line="240" w:lineRule="auto"/>
              <w:ind w:firstLine="0"/>
              <w:jc w:val="center"/>
              <w:rPr>
                <w:b/>
                <w:sz w:val="17"/>
                <w:szCs w:val="17"/>
              </w:rPr>
            </w:pPr>
            <w:r w:rsidRPr="00794C26">
              <w:rPr>
                <w:b/>
                <w:sz w:val="17"/>
                <w:szCs w:val="17"/>
              </w:rPr>
              <w:t>50</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line="240" w:lineRule="auto"/>
              <w:ind w:firstLine="0"/>
              <w:jc w:val="center"/>
              <w:rPr>
                <w:b/>
                <w:sz w:val="17"/>
                <w:szCs w:val="17"/>
              </w:rPr>
            </w:pPr>
            <w:r w:rsidRPr="00794C26">
              <w:rPr>
                <w:b/>
                <w:sz w:val="17"/>
                <w:szCs w:val="17"/>
              </w:rPr>
              <w:t>50</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line="240" w:lineRule="auto"/>
              <w:ind w:firstLine="0"/>
              <w:jc w:val="center"/>
              <w:rPr>
                <w:b/>
                <w:sz w:val="17"/>
                <w:szCs w:val="17"/>
              </w:rPr>
            </w:pPr>
            <w:r w:rsidRPr="00794C26">
              <w:rPr>
                <w:b/>
                <w:sz w:val="17"/>
                <w:szCs w:val="17"/>
              </w:rPr>
              <w:t>50</w:t>
            </w:r>
          </w:p>
        </w:tc>
        <w:tc>
          <w:tcPr>
            <w:tcW w:w="922" w:type="dxa"/>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794C26" w:rsidRDefault="00051438" w:rsidP="00051438">
            <w:pPr>
              <w:spacing w:line="240" w:lineRule="auto"/>
              <w:ind w:firstLine="0"/>
              <w:jc w:val="center"/>
              <w:rPr>
                <w:b/>
                <w:sz w:val="17"/>
                <w:szCs w:val="17"/>
              </w:rPr>
            </w:pPr>
            <w:r w:rsidRPr="00794C26">
              <w:rPr>
                <w:b/>
                <w:sz w:val="17"/>
                <w:szCs w:val="17"/>
              </w:rPr>
              <w:t>50</w:t>
            </w:r>
          </w:p>
        </w:tc>
      </w:tr>
      <w:tr w:rsidR="00051438" w:rsidRPr="00794C26" w:rsidTr="00051438">
        <w:tc>
          <w:tcPr>
            <w:tcW w:w="2088" w:type="dxa"/>
            <w:tcBorders>
              <w:top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i/>
                <w:sz w:val="17"/>
                <w:szCs w:val="17"/>
              </w:rPr>
            </w:pPr>
            <w:r w:rsidRPr="00794C26">
              <w:rPr>
                <w:b/>
                <w:i/>
                <w:sz w:val="17"/>
                <w:szCs w:val="17"/>
              </w:rPr>
              <w:t>Nuokrypio kvadratas</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0"/>
              <w:jc w:val="center"/>
              <w:rPr>
                <w:b/>
                <w:sz w:val="17"/>
                <w:szCs w:val="17"/>
              </w:rPr>
            </w:pPr>
            <w:r w:rsidRPr="00794C26">
              <w:rPr>
                <w:b/>
                <w:sz w:val="17"/>
                <w:szCs w:val="17"/>
              </w:rPr>
              <w:t>36</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line="240" w:lineRule="auto"/>
              <w:ind w:firstLine="0"/>
              <w:jc w:val="center"/>
              <w:rPr>
                <w:b/>
                <w:sz w:val="17"/>
                <w:szCs w:val="17"/>
              </w:rPr>
            </w:pPr>
            <w:r w:rsidRPr="00794C26">
              <w:rPr>
                <w:b/>
                <w:sz w:val="17"/>
                <w:szCs w:val="17"/>
              </w:rPr>
              <w:t>961</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line="240" w:lineRule="auto"/>
              <w:ind w:firstLine="0"/>
              <w:jc w:val="center"/>
              <w:rPr>
                <w:b/>
                <w:sz w:val="17"/>
                <w:szCs w:val="17"/>
              </w:rPr>
            </w:pPr>
            <w:r w:rsidRPr="00794C26">
              <w:rPr>
                <w:b/>
                <w:sz w:val="17"/>
                <w:szCs w:val="17"/>
              </w:rPr>
              <w:t>4</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line="240" w:lineRule="auto"/>
              <w:ind w:firstLine="0"/>
              <w:jc w:val="center"/>
              <w:rPr>
                <w:b/>
                <w:sz w:val="17"/>
                <w:szCs w:val="17"/>
              </w:rPr>
            </w:pPr>
            <w:r w:rsidRPr="00794C26">
              <w:rPr>
                <w:b/>
                <w:sz w:val="17"/>
                <w:szCs w:val="17"/>
              </w:rPr>
              <w:t>64</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line="240" w:lineRule="auto"/>
              <w:ind w:firstLine="0"/>
              <w:jc w:val="center"/>
              <w:rPr>
                <w:b/>
                <w:sz w:val="17"/>
                <w:szCs w:val="17"/>
              </w:rPr>
            </w:pPr>
            <w:r w:rsidRPr="00794C26">
              <w:rPr>
                <w:b/>
                <w:sz w:val="17"/>
                <w:szCs w:val="17"/>
              </w:rPr>
              <w:t>100</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line="240" w:lineRule="auto"/>
              <w:ind w:firstLine="0"/>
              <w:jc w:val="center"/>
              <w:rPr>
                <w:b/>
                <w:sz w:val="17"/>
                <w:szCs w:val="17"/>
              </w:rPr>
            </w:pPr>
            <w:r w:rsidRPr="00794C26">
              <w:rPr>
                <w:b/>
                <w:sz w:val="17"/>
                <w:szCs w:val="17"/>
              </w:rPr>
              <w:t>1 024</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line="240" w:lineRule="auto"/>
              <w:ind w:firstLine="0"/>
              <w:jc w:val="center"/>
              <w:rPr>
                <w:b/>
                <w:sz w:val="17"/>
                <w:szCs w:val="17"/>
              </w:rPr>
            </w:pPr>
            <w:r w:rsidRPr="00794C26">
              <w:rPr>
                <w:b/>
                <w:sz w:val="17"/>
                <w:szCs w:val="17"/>
              </w:rPr>
              <w:t>676</w:t>
            </w:r>
          </w:p>
        </w:tc>
        <w:tc>
          <w:tcPr>
            <w:tcW w:w="9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794C26" w:rsidRDefault="00051438" w:rsidP="00051438">
            <w:pPr>
              <w:spacing w:line="240" w:lineRule="auto"/>
              <w:ind w:firstLine="0"/>
              <w:jc w:val="center"/>
              <w:rPr>
                <w:b/>
                <w:sz w:val="17"/>
                <w:szCs w:val="17"/>
              </w:rPr>
            </w:pPr>
            <w:r w:rsidRPr="00794C26">
              <w:rPr>
                <w:b/>
                <w:sz w:val="17"/>
                <w:szCs w:val="17"/>
              </w:rPr>
              <w:t>900</w:t>
            </w:r>
          </w:p>
        </w:tc>
        <w:tc>
          <w:tcPr>
            <w:tcW w:w="922" w:type="dxa"/>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794C26" w:rsidRDefault="00051438" w:rsidP="00051438">
            <w:pPr>
              <w:spacing w:line="240" w:lineRule="auto"/>
              <w:ind w:firstLine="0"/>
              <w:jc w:val="center"/>
              <w:rPr>
                <w:b/>
                <w:sz w:val="17"/>
                <w:szCs w:val="17"/>
              </w:rPr>
            </w:pPr>
            <w:r w:rsidRPr="00794C26">
              <w:rPr>
                <w:b/>
                <w:sz w:val="17"/>
                <w:szCs w:val="17"/>
              </w:rPr>
              <w:t>49</w:t>
            </w:r>
          </w:p>
        </w:tc>
      </w:tr>
      <w:tr w:rsidR="00051438" w:rsidRPr="00794C26" w:rsidTr="00051438">
        <w:tc>
          <w:tcPr>
            <w:tcW w:w="7620" w:type="dxa"/>
            <w:gridSpan w:val="7"/>
            <w:tcBorders>
              <w:top w:val="single" w:sz="12" w:space="0" w:color="auto"/>
              <w:left w:val="nil"/>
              <w:bottom w:val="nil"/>
              <w:right w:val="single" w:sz="12" w:space="0" w:color="auto"/>
            </w:tcBorders>
            <w:shd w:val="clear" w:color="auto" w:fill="auto"/>
            <w:vAlign w:val="center"/>
          </w:tcPr>
          <w:p w:rsidR="00051438" w:rsidRPr="00794C26" w:rsidRDefault="00051438" w:rsidP="00051438">
            <w:pPr>
              <w:spacing w:line="240" w:lineRule="auto"/>
              <w:ind w:firstLine="0"/>
              <w:jc w:val="center"/>
              <w:rPr>
                <w:b/>
                <w:sz w:val="17"/>
                <w:szCs w:val="17"/>
              </w:rPr>
            </w:pPr>
          </w:p>
        </w:tc>
        <w:tc>
          <w:tcPr>
            <w:tcW w:w="2766" w:type="dxa"/>
            <w:gridSpan w:val="3"/>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794C26" w:rsidRDefault="00051438" w:rsidP="00051438">
            <w:pPr>
              <w:spacing w:line="240" w:lineRule="auto"/>
              <w:ind w:firstLine="0"/>
              <w:jc w:val="center"/>
              <w:rPr>
                <w:b/>
                <w:sz w:val="17"/>
                <w:szCs w:val="17"/>
              </w:rPr>
            </w:pPr>
            <w:r w:rsidRPr="00794C26">
              <w:rPr>
                <w:b/>
                <w:i/>
                <w:position w:val="-10"/>
                <w:sz w:val="17"/>
                <w:szCs w:val="17"/>
              </w:rPr>
              <w:t>S</w:t>
            </w:r>
            <w:r w:rsidRPr="00794C26">
              <w:rPr>
                <w:b/>
                <w:i/>
                <w:position w:val="-10"/>
                <w:sz w:val="17"/>
                <w:szCs w:val="17"/>
                <w:vertAlign w:val="superscript"/>
              </w:rPr>
              <w:t>2</w:t>
            </w:r>
            <w:r w:rsidRPr="00794C26">
              <w:rPr>
                <w:b/>
                <w:i/>
                <w:position w:val="-10"/>
                <w:sz w:val="17"/>
                <w:szCs w:val="17"/>
              </w:rPr>
              <w:t> = 3 814; W = 0,64</w:t>
            </w:r>
          </w:p>
        </w:tc>
      </w:tr>
      <w:tr w:rsidR="00051438" w:rsidRPr="00AA1DB2" w:rsidTr="00051438">
        <w:tc>
          <w:tcPr>
            <w:tcW w:w="10386" w:type="dxa"/>
            <w:gridSpan w:val="10"/>
            <w:tcBorders>
              <w:top w:val="nil"/>
              <w:left w:val="nil"/>
              <w:bottom w:val="single" w:sz="12" w:space="0" w:color="auto"/>
              <w:right w:val="nil"/>
            </w:tcBorders>
            <w:shd w:val="clear" w:color="auto" w:fill="auto"/>
            <w:vAlign w:val="center"/>
          </w:tcPr>
          <w:p w:rsidR="00051438" w:rsidRPr="00AA1DB2" w:rsidRDefault="00051438" w:rsidP="00051438">
            <w:pPr>
              <w:spacing w:line="240" w:lineRule="auto"/>
              <w:ind w:firstLine="0"/>
              <w:jc w:val="center"/>
              <w:rPr>
                <w:position w:val="-10"/>
                <w:sz w:val="6"/>
                <w:szCs w:val="6"/>
              </w:rPr>
            </w:pPr>
          </w:p>
        </w:tc>
      </w:tr>
      <w:tr w:rsidR="00051438" w:rsidRPr="00794C26" w:rsidTr="00051438">
        <w:tc>
          <w:tcPr>
            <w:tcW w:w="10386" w:type="dxa"/>
            <w:gridSpan w:val="10"/>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794C26" w:rsidRDefault="00051438" w:rsidP="00051438">
            <w:pPr>
              <w:spacing w:after="0" w:line="240" w:lineRule="auto"/>
              <w:ind w:firstLine="547"/>
              <w:rPr>
                <w:bCs/>
                <w:iCs/>
                <w:sz w:val="17"/>
                <w:szCs w:val="17"/>
              </w:rPr>
            </w:pPr>
            <w:r w:rsidRPr="00794C26">
              <w:rPr>
                <w:b/>
                <w:bCs/>
                <w:i/>
                <w:iCs/>
                <w:sz w:val="17"/>
                <w:szCs w:val="17"/>
              </w:rPr>
              <w:t>Konkordancijos koeficiento reikšmingum</w:t>
            </w:r>
            <w:r>
              <w:rPr>
                <w:b/>
                <w:bCs/>
                <w:i/>
                <w:iCs/>
                <w:sz w:val="17"/>
                <w:szCs w:val="17"/>
              </w:rPr>
              <w:t>as</w:t>
            </w:r>
            <w:r w:rsidRPr="00794C26">
              <w:rPr>
                <w:bCs/>
                <w:iCs/>
                <w:sz w:val="17"/>
                <w:szCs w:val="17"/>
              </w:rPr>
              <w:t xml:space="preserve">: </w:t>
            </w:r>
            <w:r w:rsidRPr="00794C26">
              <w:rPr>
                <w:rFonts w:eastAsiaTheme="minorHAnsi"/>
                <w:bCs/>
                <w:iCs/>
                <w:position w:val="-10"/>
                <w:sz w:val="17"/>
                <w:szCs w:val="17"/>
                <w:lang w:eastAsia="en-US"/>
              </w:rPr>
              <w:object w:dxaOrig="2360" w:dyaOrig="340">
                <v:shape id="_x0000_i1032" type="#_x0000_t75" style="width:117.75pt;height:17.25pt" o:ole="">
                  <v:imagedata r:id="rId27" o:title=""/>
                </v:shape>
                <o:OLEObject Type="Embed" ProgID="Equation.3" ShapeID="_x0000_i1032" DrawAspect="Content" ObjectID="_1419701005" r:id="rId28"/>
              </w:object>
            </w:r>
            <w:r w:rsidRPr="00794C26">
              <w:rPr>
                <w:bCs/>
                <w:iCs/>
                <w:sz w:val="17"/>
                <w:szCs w:val="17"/>
              </w:rPr>
              <w:t xml:space="preserve">. Kadangi </w:t>
            </w:r>
            <w:r w:rsidRPr="00794C26">
              <w:rPr>
                <w:rFonts w:eastAsiaTheme="minorHAnsi"/>
                <w:bCs/>
                <w:i/>
                <w:iCs/>
                <w:position w:val="-10"/>
                <w:sz w:val="17"/>
                <w:szCs w:val="17"/>
                <w:lang w:eastAsia="en-US"/>
              </w:rPr>
              <w:object w:dxaOrig="1020" w:dyaOrig="340">
                <v:shape id="_x0000_i1033" type="#_x0000_t75" style="width:51.75pt;height:17.25pt" o:ole="">
                  <v:imagedata r:id="rId29" o:title=""/>
                </v:shape>
                <o:OLEObject Type="Embed" ProgID="Equation.3" ShapeID="_x0000_i1033" DrawAspect="Content" ObjectID="_1419701006" r:id="rId30"/>
              </w:object>
            </w:r>
            <w:r w:rsidRPr="00794C26">
              <w:rPr>
                <w:bCs/>
                <w:iCs/>
                <w:sz w:val="17"/>
                <w:szCs w:val="17"/>
              </w:rPr>
              <w:t xml:space="preserve"> </w:t>
            </w:r>
            <w:r w:rsidRPr="00794C26">
              <w:rPr>
                <w:bCs/>
                <w:i/>
                <w:iCs/>
                <w:sz w:val="17"/>
                <w:szCs w:val="17"/>
              </w:rPr>
              <w:t>(esant laisvės laipsnių skaičiui – 8; reikšmingumo lygmeniui – 0,05)</w:t>
            </w:r>
            <w:r w:rsidRPr="00794C26">
              <w:rPr>
                <w:bCs/>
                <w:iCs/>
                <w:sz w:val="17"/>
                <w:szCs w:val="17"/>
              </w:rPr>
              <w:t xml:space="preserve">, sąlyga </w:t>
            </w:r>
            <w:r w:rsidRPr="00794C26">
              <w:rPr>
                <w:rFonts w:eastAsiaTheme="minorHAnsi"/>
                <w:position w:val="-10"/>
                <w:sz w:val="17"/>
                <w:szCs w:val="17"/>
                <w:lang w:eastAsia="en-US"/>
              </w:rPr>
              <w:object w:dxaOrig="840" w:dyaOrig="340">
                <v:shape id="_x0000_i1034" type="#_x0000_t75" style="width:42.75pt;height:17.25pt" o:ole="">
                  <v:imagedata r:id="rId31" o:title=""/>
                </v:shape>
                <o:OLEObject Type="Embed" ProgID="Equation.3" ShapeID="_x0000_i1034" DrawAspect="Content" ObjectID="_1419701007" r:id="rId32"/>
              </w:object>
            </w:r>
            <w:r w:rsidRPr="00794C26">
              <w:rPr>
                <w:position w:val="-12"/>
                <w:sz w:val="17"/>
                <w:szCs w:val="17"/>
              </w:rPr>
              <w:t xml:space="preserve"> </w:t>
            </w:r>
            <w:r w:rsidRPr="00794C26">
              <w:rPr>
                <w:bCs/>
                <w:iCs/>
                <w:sz w:val="17"/>
                <w:szCs w:val="17"/>
              </w:rPr>
              <w:t xml:space="preserve">yra patenkinama, todėl hipotezę </w:t>
            </w:r>
            <w:r w:rsidRPr="00794C26">
              <w:rPr>
                <w:bCs/>
                <w:i/>
                <w:iCs/>
                <w:sz w:val="17"/>
                <w:szCs w:val="17"/>
              </w:rPr>
              <w:t>H</w:t>
            </w:r>
            <w:r w:rsidRPr="00794C26">
              <w:rPr>
                <w:bCs/>
                <w:i/>
                <w:iCs/>
                <w:sz w:val="17"/>
                <w:szCs w:val="17"/>
                <w:vertAlign w:val="subscript"/>
              </w:rPr>
              <w:t>0</w:t>
            </w:r>
            <w:r w:rsidRPr="00794C26">
              <w:rPr>
                <w:bCs/>
                <w:iCs/>
                <w:sz w:val="17"/>
                <w:szCs w:val="17"/>
              </w:rPr>
              <w:t xml:space="preserve"> galima atmesti</w:t>
            </w:r>
            <w:r>
              <w:rPr>
                <w:bCs/>
                <w:iCs/>
                <w:sz w:val="17"/>
                <w:szCs w:val="17"/>
              </w:rPr>
              <w:t xml:space="preserve"> ir ekspertų vertinimus laikyti panašiais.</w:t>
            </w:r>
          </w:p>
        </w:tc>
      </w:tr>
    </w:tbl>
    <w:p w:rsidR="00051438" w:rsidRPr="00D70CD3" w:rsidRDefault="00051438" w:rsidP="00051438">
      <w:pPr>
        <w:rPr>
          <w:sz w:val="20"/>
        </w:rPr>
      </w:pPr>
      <w:r w:rsidRPr="00D70CD3">
        <w:rPr>
          <w:b/>
          <w:sz w:val="20"/>
        </w:rPr>
        <w:t>Šaltinis</w:t>
      </w:r>
      <w:r w:rsidRPr="00D70CD3">
        <w:rPr>
          <w:sz w:val="20"/>
        </w:rPr>
        <w:t>: sudaryta šio darbo autorės</w:t>
      </w:r>
      <w:r>
        <w:rPr>
          <w:sz w:val="20"/>
        </w:rPr>
        <w:t>, remiantis ekspertų vertinimais</w:t>
      </w:r>
    </w:p>
    <w:p w:rsidR="00051438" w:rsidRDefault="00051438" w:rsidP="00051438">
      <w:pPr>
        <w:spacing w:after="0"/>
      </w:pPr>
      <w:r>
        <w:t>Formuoti pajamas iš valstybės lėšų turėtų skatinti</w:t>
      </w:r>
      <w:r w:rsidRPr="006A311E">
        <w:rPr>
          <w:i/>
        </w:rPr>
        <w:t xml:space="preserve"> </w:t>
      </w:r>
      <w:r w:rsidRPr="00244E86">
        <w:rPr>
          <w:i/>
        </w:rPr>
        <w:t>motyvacijos stoka</w:t>
      </w:r>
      <w:r>
        <w:rPr>
          <w:i/>
        </w:rPr>
        <w:t xml:space="preserve"> (a</w:t>
      </w:r>
      <w:r>
        <w:rPr>
          <w:i/>
          <w:vertAlign w:val="subscript"/>
        </w:rPr>
        <w:t>6</w:t>
      </w:r>
      <w:r>
        <w:rPr>
          <w:i/>
        </w:rPr>
        <w:t>)</w:t>
      </w:r>
      <w:r>
        <w:t xml:space="preserve"> ir </w:t>
      </w:r>
      <w:r>
        <w:rPr>
          <w:i/>
        </w:rPr>
        <w:t>„sovietinis</w:t>
      </w:r>
      <w:r w:rsidRPr="00244E86">
        <w:rPr>
          <w:i/>
        </w:rPr>
        <w:t>“ mentalitet</w:t>
      </w:r>
      <w:r>
        <w:rPr>
          <w:i/>
        </w:rPr>
        <w:t>as (a</w:t>
      </w:r>
      <w:r>
        <w:rPr>
          <w:i/>
          <w:vertAlign w:val="subscript"/>
        </w:rPr>
        <w:t>2</w:t>
      </w:r>
      <w:r>
        <w:rPr>
          <w:i/>
        </w:rPr>
        <w:t>)</w:t>
      </w:r>
      <w:r>
        <w:t xml:space="preserve"> – </w:t>
      </w:r>
      <w:r w:rsidRPr="00597739">
        <w:t>veiksniai,</w:t>
      </w:r>
      <w:r>
        <w:rPr>
          <w:b/>
          <w:i/>
        </w:rPr>
        <w:t xml:space="preserve"> </w:t>
      </w:r>
      <w:r>
        <w:t xml:space="preserve">kurie užkerta žmonėms kelią patiems rūpintis finansine gerove. Taip pat reikėtų paminėti </w:t>
      </w:r>
      <w:r w:rsidRPr="00943047">
        <w:rPr>
          <w:i/>
        </w:rPr>
        <w:t>moralinių vertybių nuosmukį</w:t>
      </w:r>
      <w:r>
        <w:rPr>
          <w:i/>
        </w:rPr>
        <w:t xml:space="preserve"> (a</w:t>
      </w:r>
      <w:r>
        <w:rPr>
          <w:i/>
          <w:vertAlign w:val="subscript"/>
        </w:rPr>
        <w:t>9</w:t>
      </w:r>
      <w:r>
        <w:rPr>
          <w:i/>
        </w:rPr>
        <w:t>)</w:t>
      </w:r>
      <w:r>
        <w:t xml:space="preserve">, kas byloja, jog siekis gauti pinigų gali tapti rimtu naudojimosi valstybės lėšomis motyvu. Prie </w:t>
      </w:r>
      <w:r w:rsidRPr="00990720">
        <w:rPr>
          <w:i/>
        </w:rPr>
        <w:t>mažiausi</w:t>
      </w:r>
      <w:r>
        <w:rPr>
          <w:i/>
        </w:rPr>
        <w:t>ą</w:t>
      </w:r>
      <w:r w:rsidRPr="00990720">
        <w:rPr>
          <w:i/>
        </w:rPr>
        <w:t xml:space="preserve"> </w:t>
      </w:r>
      <w:r>
        <w:rPr>
          <w:i/>
        </w:rPr>
        <w:t xml:space="preserve">įtaką darančių </w:t>
      </w:r>
      <w:r>
        <w:t xml:space="preserve">veiksnių priskirta </w:t>
      </w:r>
      <w:r>
        <w:rPr>
          <w:i/>
        </w:rPr>
        <w:t>grupių įtaka (a</w:t>
      </w:r>
      <w:r>
        <w:rPr>
          <w:i/>
          <w:vertAlign w:val="subscript"/>
        </w:rPr>
        <w:t>8</w:t>
      </w:r>
      <w:r>
        <w:rPr>
          <w:i/>
        </w:rPr>
        <w:t>)</w:t>
      </w:r>
      <w:r>
        <w:t xml:space="preserve">, </w:t>
      </w:r>
      <w:r>
        <w:rPr>
          <w:i/>
        </w:rPr>
        <w:t>perdėta savikliova (a</w:t>
      </w:r>
      <w:r>
        <w:rPr>
          <w:i/>
          <w:vertAlign w:val="subscript"/>
        </w:rPr>
        <w:t>7</w:t>
      </w:r>
      <w:r>
        <w:rPr>
          <w:i/>
        </w:rPr>
        <w:t>) ir orumas (a</w:t>
      </w:r>
      <w:r>
        <w:rPr>
          <w:i/>
          <w:vertAlign w:val="subscript"/>
        </w:rPr>
        <w:t>5</w:t>
      </w:r>
      <w:r>
        <w:rPr>
          <w:i/>
        </w:rPr>
        <w:t>)</w:t>
      </w:r>
      <w:r>
        <w:t xml:space="preserve">, </w:t>
      </w:r>
      <w:r w:rsidRPr="005C1E12">
        <w:t xml:space="preserve">nes, ekspertų požiūriu, kai kurie žmonės visai neturi savigarbos </w:t>
      </w:r>
      <w:r>
        <w:t>bei</w:t>
      </w:r>
      <w:r w:rsidRPr="005C1E12">
        <w:t xml:space="preserve"> netiki savo gebėjimais.</w:t>
      </w:r>
    </w:p>
    <w:p w:rsidR="00051438" w:rsidRPr="002648F5" w:rsidRDefault="00051438" w:rsidP="00051438">
      <w:pPr>
        <w:pStyle w:val="Caption"/>
        <w:rPr>
          <w:b w:val="0"/>
        </w:rPr>
      </w:pPr>
      <w:r w:rsidRPr="00C5032D">
        <w:t>2 lentelė.</w:t>
      </w:r>
      <w:r>
        <w:t xml:space="preserve"> </w:t>
      </w:r>
      <w:r w:rsidRPr="002648F5">
        <w:t>Socialinių-demografinių veiksnių</w:t>
      </w:r>
      <w:r w:rsidRPr="002648F5">
        <w:rPr>
          <w:color w:val="0070C0"/>
        </w:rPr>
        <w:t xml:space="preserve"> </w:t>
      </w:r>
      <w:r w:rsidRPr="002648F5">
        <w:t>įtaka: konkordancijos koeficiento skaičiavimas</w:t>
      </w:r>
    </w:p>
    <w:tbl>
      <w:tblPr>
        <w:tblStyle w:val="TableGrid"/>
        <w:tblW w:w="1035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2088"/>
        <w:gridCol w:w="1181"/>
        <w:gridCol w:w="1181"/>
        <w:gridCol w:w="1181"/>
        <w:gridCol w:w="1181"/>
        <w:gridCol w:w="808"/>
        <w:gridCol w:w="373"/>
        <w:gridCol w:w="1181"/>
        <w:gridCol w:w="1181"/>
      </w:tblGrid>
      <w:tr w:rsidR="00051438" w:rsidRPr="00D076C6" w:rsidTr="00051438">
        <w:tc>
          <w:tcPr>
            <w:tcW w:w="2088" w:type="dxa"/>
            <w:tcBorders>
              <w:top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sz w:val="17"/>
                <w:szCs w:val="17"/>
              </w:rPr>
            </w:pPr>
          </w:p>
        </w:tc>
        <w:tc>
          <w:tcPr>
            <w:tcW w:w="11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sz w:val="17"/>
                <w:szCs w:val="17"/>
              </w:rPr>
            </w:pPr>
            <w:r w:rsidRPr="00D076C6">
              <w:rPr>
                <w:b/>
                <w:i/>
                <w:sz w:val="17"/>
                <w:szCs w:val="17"/>
              </w:rPr>
              <w:t xml:space="preserve"> b</w:t>
            </w:r>
            <w:r w:rsidRPr="00D076C6">
              <w:rPr>
                <w:b/>
                <w:i/>
                <w:sz w:val="17"/>
                <w:szCs w:val="17"/>
                <w:vertAlign w:val="subscript"/>
              </w:rPr>
              <w:t>1</w:t>
            </w:r>
          </w:p>
        </w:tc>
        <w:tc>
          <w:tcPr>
            <w:tcW w:w="11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sz w:val="17"/>
                <w:szCs w:val="17"/>
              </w:rPr>
            </w:pPr>
            <w:r w:rsidRPr="00D076C6">
              <w:rPr>
                <w:b/>
                <w:i/>
                <w:sz w:val="17"/>
                <w:szCs w:val="17"/>
              </w:rPr>
              <w:t xml:space="preserve"> b</w:t>
            </w:r>
            <w:r w:rsidRPr="00D076C6">
              <w:rPr>
                <w:b/>
                <w:i/>
                <w:sz w:val="17"/>
                <w:szCs w:val="17"/>
                <w:vertAlign w:val="subscript"/>
              </w:rPr>
              <w:t>2</w:t>
            </w:r>
          </w:p>
        </w:tc>
        <w:tc>
          <w:tcPr>
            <w:tcW w:w="11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sz w:val="17"/>
                <w:szCs w:val="17"/>
              </w:rPr>
            </w:pPr>
            <w:r w:rsidRPr="00D076C6">
              <w:rPr>
                <w:b/>
                <w:i/>
                <w:sz w:val="17"/>
                <w:szCs w:val="17"/>
              </w:rPr>
              <w:t xml:space="preserve"> b</w:t>
            </w:r>
            <w:r w:rsidRPr="00D076C6">
              <w:rPr>
                <w:b/>
                <w:i/>
                <w:sz w:val="17"/>
                <w:szCs w:val="17"/>
                <w:vertAlign w:val="subscript"/>
              </w:rPr>
              <w:t>3</w:t>
            </w:r>
          </w:p>
        </w:tc>
        <w:tc>
          <w:tcPr>
            <w:tcW w:w="11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sz w:val="17"/>
                <w:szCs w:val="17"/>
              </w:rPr>
            </w:pPr>
            <w:r w:rsidRPr="00D076C6">
              <w:rPr>
                <w:b/>
                <w:i/>
                <w:sz w:val="17"/>
                <w:szCs w:val="17"/>
              </w:rPr>
              <w:t xml:space="preserve"> b</w:t>
            </w:r>
            <w:r w:rsidRPr="00D076C6">
              <w:rPr>
                <w:b/>
                <w:i/>
                <w:sz w:val="17"/>
                <w:szCs w:val="17"/>
                <w:vertAlign w:val="subscript"/>
              </w:rPr>
              <w:t>4</w:t>
            </w:r>
          </w:p>
        </w:tc>
        <w:tc>
          <w:tcPr>
            <w:tcW w:w="118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sz w:val="17"/>
                <w:szCs w:val="17"/>
              </w:rPr>
            </w:pPr>
            <w:r w:rsidRPr="00D076C6">
              <w:rPr>
                <w:b/>
                <w:i/>
                <w:sz w:val="17"/>
                <w:szCs w:val="17"/>
              </w:rPr>
              <w:t xml:space="preserve"> b</w:t>
            </w:r>
            <w:r w:rsidRPr="00D076C6">
              <w:rPr>
                <w:b/>
                <w:i/>
                <w:sz w:val="17"/>
                <w:szCs w:val="17"/>
                <w:vertAlign w:val="subscript"/>
              </w:rPr>
              <w:t>5</w:t>
            </w:r>
          </w:p>
        </w:tc>
        <w:tc>
          <w:tcPr>
            <w:tcW w:w="11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sz w:val="17"/>
                <w:szCs w:val="17"/>
              </w:rPr>
            </w:pPr>
            <w:r w:rsidRPr="00D076C6">
              <w:rPr>
                <w:b/>
                <w:i/>
                <w:sz w:val="17"/>
                <w:szCs w:val="17"/>
              </w:rPr>
              <w:t xml:space="preserve"> b</w:t>
            </w:r>
            <w:r w:rsidRPr="00D076C6">
              <w:rPr>
                <w:b/>
                <w:i/>
                <w:sz w:val="17"/>
                <w:szCs w:val="17"/>
                <w:vertAlign w:val="subscript"/>
              </w:rPr>
              <w:t>6</w:t>
            </w:r>
          </w:p>
        </w:tc>
        <w:tc>
          <w:tcPr>
            <w:tcW w:w="1181" w:type="dxa"/>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sz w:val="17"/>
                <w:szCs w:val="17"/>
              </w:rPr>
            </w:pPr>
            <w:r w:rsidRPr="00D076C6">
              <w:rPr>
                <w:b/>
                <w:i/>
                <w:sz w:val="17"/>
                <w:szCs w:val="17"/>
              </w:rPr>
              <w:t xml:space="preserve"> b</w:t>
            </w:r>
            <w:r w:rsidRPr="00D076C6">
              <w:rPr>
                <w:b/>
                <w:i/>
                <w:sz w:val="17"/>
                <w:szCs w:val="17"/>
                <w:vertAlign w:val="subscript"/>
              </w:rPr>
              <w:t>7</w:t>
            </w:r>
          </w:p>
        </w:tc>
      </w:tr>
      <w:tr w:rsidR="00051438" w:rsidRPr="00D076C6" w:rsidTr="00051438">
        <w:tc>
          <w:tcPr>
            <w:tcW w:w="2088" w:type="dxa"/>
            <w:tcBorders>
              <w:top w:val="single" w:sz="12" w:space="0" w:color="auto"/>
              <w:bottom w:val="single" w:sz="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sz w:val="17"/>
                <w:szCs w:val="17"/>
                <w:vertAlign w:val="subscript"/>
              </w:rPr>
            </w:pPr>
            <w:r w:rsidRPr="00D076C6">
              <w:rPr>
                <w:b/>
                <w:i/>
                <w:sz w:val="17"/>
                <w:szCs w:val="17"/>
              </w:rPr>
              <w:t>m</w:t>
            </w:r>
            <w:r w:rsidRPr="00D076C6">
              <w:rPr>
                <w:b/>
                <w:i/>
                <w:sz w:val="17"/>
                <w:szCs w:val="17"/>
                <w:vertAlign w:val="subscript"/>
              </w:rPr>
              <w:t>1</w:t>
            </w:r>
          </w:p>
        </w:tc>
        <w:tc>
          <w:tcPr>
            <w:tcW w:w="1181" w:type="dxa"/>
            <w:tcBorders>
              <w:top w:val="single" w:sz="12" w:space="0" w:color="auto"/>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1</w:t>
            </w:r>
          </w:p>
        </w:tc>
        <w:tc>
          <w:tcPr>
            <w:tcW w:w="1181" w:type="dxa"/>
            <w:tcBorders>
              <w:top w:val="single" w:sz="12" w:space="0" w:color="auto"/>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4</w:t>
            </w:r>
          </w:p>
        </w:tc>
        <w:tc>
          <w:tcPr>
            <w:tcW w:w="1181" w:type="dxa"/>
            <w:tcBorders>
              <w:top w:val="single" w:sz="12" w:space="0" w:color="auto"/>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7</w:t>
            </w:r>
          </w:p>
        </w:tc>
        <w:tc>
          <w:tcPr>
            <w:tcW w:w="1181" w:type="dxa"/>
            <w:tcBorders>
              <w:top w:val="single" w:sz="12" w:space="0" w:color="auto"/>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5</w:t>
            </w:r>
          </w:p>
        </w:tc>
        <w:tc>
          <w:tcPr>
            <w:tcW w:w="1181" w:type="dxa"/>
            <w:gridSpan w:val="2"/>
            <w:tcBorders>
              <w:top w:val="single" w:sz="12" w:space="0" w:color="auto"/>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6</w:t>
            </w:r>
          </w:p>
        </w:tc>
        <w:tc>
          <w:tcPr>
            <w:tcW w:w="1181" w:type="dxa"/>
            <w:tcBorders>
              <w:top w:val="single" w:sz="12" w:space="0" w:color="auto"/>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3</w:t>
            </w:r>
          </w:p>
        </w:tc>
        <w:tc>
          <w:tcPr>
            <w:tcW w:w="1181" w:type="dxa"/>
            <w:tcBorders>
              <w:top w:val="single" w:sz="12" w:space="0" w:color="auto"/>
              <w:left w:val="single" w:sz="12" w:space="0" w:color="auto"/>
              <w:bottom w:val="single" w:sz="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2</w:t>
            </w:r>
          </w:p>
        </w:tc>
      </w:tr>
      <w:tr w:rsidR="00051438" w:rsidRPr="00D076C6" w:rsidTr="00051438">
        <w:tc>
          <w:tcPr>
            <w:tcW w:w="2088" w:type="dxa"/>
            <w:tcBorders>
              <w:top w:val="single" w:sz="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sz w:val="17"/>
                <w:szCs w:val="17"/>
                <w:vertAlign w:val="subscript"/>
              </w:rPr>
            </w:pPr>
            <w:r w:rsidRPr="00D076C6">
              <w:rPr>
                <w:b/>
                <w:i/>
                <w:sz w:val="17"/>
                <w:szCs w:val="17"/>
              </w:rPr>
              <w:t>m</w:t>
            </w:r>
            <w:r w:rsidRPr="00D076C6">
              <w:rPr>
                <w:b/>
                <w:i/>
                <w:sz w:val="17"/>
                <w:szCs w:val="17"/>
                <w:vertAlign w:val="subscript"/>
              </w:rPr>
              <w:t>2</w:t>
            </w:r>
          </w:p>
        </w:tc>
        <w:tc>
          <w:tcPr>
            <w:tcW w:w="1181" w:type="dxa"/>
            <w:tcBorders>
              <w:top w:val="single" w:sz="2" w:space="0" w:color="auto"/>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7</w:t>
            </w:r>
          </w:p>
        </w:tc>
        <w:tc>
          <w:tcPr>
            <w:tcW w:w="1181" w:type="dxa"/>
            <w:tcBorders>
              <w:top w:val="single" w:sz="2" w:space="0" w:color="auto"/>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6</w:t>
            </w:r>
          </w:p>
        </w:tc>
        <w:tc>
          <w:tcPr>
            <w:tcW w:w="1181" w:type="dxa"/>
            <w:tcBorders>
              <w:top w:val="single" w:sz="2" w:space="0" w:color="auto"/>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4</w:t>
            </w:r>
          </w:p>
        </w:tc>
        <w:tc>
          <w:tcPr>
            <w:tcW w:w="1181" w:type="dxa"/>
            <w:tcBorders>
              <w:top w:val="single" w:sz="2" w:space="0" w:color="auto"/>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2</w:t>
            </w:r>
          </w:p>
        </w:tc>
        <w:tc>
          <w:tcPr>
            <w:tcW w:w="1181" w:type="dxa"/>
            <w:gridSpan w:val="2"/>
            <w:tcBorders>
              <w:top w:val="single" w:sz="2" w:space="0" w:color="auto"/>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3</w:t>
            </w:r>
          </w:p>
        </w:tc>
        <w:tc>
          <w:tcPr>
            <w:tcW w:w="1181" w:type="dxa"/>
            <w:tcBorders>
              <w:top w:val="single" w:sz="2" w:space="0" w:color="auto"/>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1</w:t>
            </w:r>
          </w:p>
        </w:tc>
        <w:tc>
          <w:tcPr>
            <w:tcW w:w="1181" w:type="dxa"/>
            <w:tcBorders>
              <w:top w:val="single" w:sz="2" w:space="0" w:color="auto"/>
              <w:lef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5</w:t>
            </w:r>
          </w:p>
        </w:tc>
      </w:tr>
      <w:tr w:rsidR="00051438" w:rsidRPr="00D076C6" w:rsidTr="00051438">
        <w:tc>
          <w:tcPr>
            <w:tcW w:w="2088" w:type="dxa"/>
            <w:tcBorders>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sz w:val="17"/>
                <w:szCs w:val="17"/>
                <w:vertAlign w:val="subscript"/>
              </w:rPr>
            </w:pPr>
            <w:r w:rsidRPr="00D076C6">
              <w:rPr>
                <w:b/>
                <w:i/>
                <w:sz w:val="17"/>
                <w:szCs w:val="17"/>
              </w:rPr>
              <w:t>m</w:t>
            </w:r>
            <w:r w:rsidRPr="00D076C6">
              <w:rPr>
                <w:b/>
                <w:i/>
                <w:sz w:val="17"/>
                <w:szCs w:val="17"/>
                <w:vertAlign w:val="subscript"/>
              </w:rPr>
              <w:t>3</w:t>
            </w:r>
          </w:p>
        </w:tc>
        <w:tc>
          <w:tcPr>
            <w:tcW w:w="1181" w:type="dxa"/>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1</w:t>
            </w:r>
          </w:p>
        </w:tc>
        <w:tc>
          <w:tcPr>
            <w:tcW w:w="1181" w:type="dxa"/>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3</w:t>
            </w:r>
          </w:p>
        </w:tc>
        <w:tc>
          <w:tcPr>
            <w:tcW w:w="1181" w:type="dxa"/>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6</w:t>
            </w:r>
          </w:p>
        </w:tc>
        <w:tc>
          <w:tcPr>
            <w:tcW w:w="1181" w:type="dxa"/>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5</w:t>
            </w:r>
          </w:p>
        </w:tc>
        <w:tc>
          <w:tcPr>
            <w:tcW w:w="1181" w:type="dxa"/>
            <w:gridSpan w:val="2"/>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7</w:t>
            </w:r>
          </w:p>
        </w:tc>
        <w:tc>
          <w:tcPr>
            <w:tcW w:w="1181" w:type="dxa"/>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4</w:t>
            </w:r>
          </w:p>
        </w:tc>
        <w:tc>
          <w:tcPr>
            <w:tcW w:w="1181" w:type="dxa"/>
            <w:tcBorders>
              <w:lef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2</w:t>
            </w:r>
          </w:p>
        </w:tc>
      </w:tr>
      <w:tr w:rsidR="00051438" w:rsidRPr="00D076C6" w:rsidTr="00051438">
        <w:tc>
          <w:tcPr>
            <w:tcW w:w="2088" w:type="dxa"/>
            <w:tcBorders>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sz w:val="17"/>
                <w:szCs w:val="17"/>
                <w:vertAlign w:val="subscript"/>
              </w:rPr>
            </w:pPr>
            <w:r w:rsidRPr="00D076C6">
              <w:rPr>
                <w:b/>
                <w:i/>
                <w:sz w:val="17"/>
                <w:szCs w:val="17"/>
              </w:rPr>
              <w:t>m</w:t>
            </w:r>
            <w:r w:rsidRPr="00D076C6">
              <w:rPr>
                <w:b/>
                <w:i/>
                <w:sz w:val="17"/>
                <w:szCs w:val="17"/>
                <w:vertAlign w:val="subscript"/>
              </w:rPr>
              <w:t>4</w:t>
            </w:r>
          </w:p>
        </w:tc>
        <w:tc>
          <w:tcPr>
            <w:tcW w:w="1181" w:type="dxa"/>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6</w:t>
            </w:r>
          </w:p>
        </w:tc>
        <w:tc>
          <w:tcPr>
            <w:tcW w:w="1181" w:type="dxa"/>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Pr>
                <w:sz w:val="17"/>
                <w:szCs w:val="17"/>
              </w:rPr>
              <w:t>2</w:t>
            </w:r>
          </w:p>
        </w:tc>
        <w:tc>
          <w:tcPr>
            <w:tcW w:w="1181" w:type="dxa"/>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1</w:t>
            </w:r>
          </w:p>
        </w:tc>
        <w:tc>
          <w:tcPr>
            <w:tcW w:w="1181" w:type="dxa"/>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3</w:t>
            </w:r>
          </w:p>
        </w:tc>
        <w:tc>
          <w:tcPr>
            <w:tcW w:w="1181" w:type="dxa"/>
            <w:gridSpan w:val="2"/>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Pr>
                <w:sz w:val="17"/>
                <w:szCs w:val="17"/>
              </w:rPr>
              <w:t>4</w:t>
            </w:r>
          </w:p>
        </w:tc>
        <w:tc>
          <w:tcPr>
            <w:tcW w:w="1181" w:type="dxa"/>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7</w:t>
            </w:r>
          </w:p>
        </w:tc>
        <w:tc>
          <w:tcPr>
            <w:tcW w:w="1181" w:type="dxa"/>
            <w:tcBorders>
              <w:lef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5</w:t>
            </w:r>
          </w:p>
        </w:tc>
      </w:tr>
      <w:tr w:rsidR="00051438" w:rsidRPr="00D076C6" w:rsidTr="00051438">
        <w:tc>
          <w:tcPr>
            <w:tcW w:w="2088" w:type="dxa"/>
            <w:tcBorders>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sz w:val="17"/>
                <w:szCs w:val="17"/>
                <w:vertAlign w:val="subscript"/>
              </w:rPr>
            </w:pPr>
            <w:r w:rsidRPr="00D076C6">
              <w:rPr>
                <w:b/>
                <w:i/>
                <w:sz w:val="17"/>
                <w:szCs w:val="17"/>
              </w:rPr>
              <w:t>m</w:t>
            </w:r>
            <w:r w:rsidRPr="00D076C6">
              <w:rPr>
                <w:b/>
                <w:i/>
                <w:sz w:val="17"/>
                <w:szCs w:val="17"/>
                <w:vertAlign w:val="subscript"/>
              </w:rPr>
              <w:t>5</w:t>
            </w:r>
          </w:p>
        </w:tc>
        <w:tc>
          <w:tcPr>
            <w:tcW w:w="1181" w:type="dxa"/>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2</w:t>
            </w:r>
          </w:p>
        </w:tc>
        <w:tc>
          <w:tcPr>
            <w:tcW w:w="1181" w:type="dxa"/>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3</w:t>
            </w:r>
          </w:p>
        </w:tc>
        <w:tc>
          <w:tcPr>
            <w:tcW w:w="1181" w:type="dxa"/>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5</w:t>
            </w:r>
          </w:p>
        </w:tc>
        <w:tc>
          <w:tcPr>
            <w:tcW w:w="1181" w:type="dxa"/>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4</w:t>
            </w:r>
          </w:p>
        </w:tc>
        <w:tc>
          <w:tcPr>
            <w:tcW w:w="1181" w:type="dxa"/>
            <w:gridSpan w:val="2"/>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6</w:t>
            </w:r>
          </w:p>
        </w:tc>
        <w:tc>
          <w:tcPr>
            <w:tcW w:w="1181" w:type="dxa"/>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1</w:t>
            </w:r>
          </w:p>
        </w:tc>
        <w:tc>
          <w:tcPr>
            <w:tcW w:w="1181" w:type="dxa"/>
            <w:tcBorders>
              <w:lef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Pr>
                <w:sz w:val="17"/>
                <w:szCs w:val="17"/>
              </w:rPr>
              <w:t>7</w:t>
            </w:r>
          </w:p>
        </w:tc>
      </w:tr>
      <w:tr w:rsidR="00051438" w:rsidRPr="00D076C6" w:rsidTr="00051438">
        <w:tc>
          <w:tcPr>
            <w:tcW w:w="2088" w:type="dxa"/>
            <w:tcBorders>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sz w:val="17"/>
                <w:szCs w:val="17"/>
                <w:vertAlign w:val="subscript"/>
              </w:rPr>
            </w:pPr>
            <w:r w:rsidRPr="00D076C6">
              <w:rPr>
                <w:b/>
                <w:i/>
                <w:sz w:val="17"/>
                <w:szCs w:val="17"/>
              </w:rPr>
              <w:t>m</w:t>
            </w:r>
            <w:r w:rsidRPr="00D076C6">
              <w:rPr>
                <w:b/>
                <w:i/>
                <w:sz w:val="17"/>
                <w:szCs w:val="17"/>
                <w:vertAlign w:val="subscript"/>
              </w:rPr>
              <w:t>6</w:t>
            </w:r>
          </w:p>
        </w:tc>
        <w:tc>
          <w:tcPr>
            <w:tcW w:w="1181" w:type="dxa"/>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3</w:t>
            </w:r>
          </w:p>
        </w:tc>
        <w:tc>
          <w:tcPr>
            <w:tcW w:w="1181" w:type="dxa"/>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1</w:t>
            </w:r>
          </w:p>
        </w:tc>
        <w:tc>
          <w:tcPr>
            <w:tcW w:w="1181" w:type="dxa"/>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2</w:t>
            </w:r>
          </w:p>
        </w:tc>
        <w:tc>
          <w:tcPr>
            <w:tcW w:w="1181" w:type="dxa"/>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4</w:t>
            </w:r>
          </w:p>
        </w:tc>
        <w:tc>
          <w:tcPr>
            <w:tcW w:w="1181" w:type="dxa"/>
            <w:gridSpan w:val="2"/>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5</w:t>
            </w:r>
          </w:p>
        </w:tc>
        <w:tc>
          <w:tcPr>
            <w:tcW w:w="1181" w:type="dxa"/>
            <w:tcBorders>
              <w:left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6</w:t>
            </w:r>
          </w:p>
        </w:tc>
        <w:tc>
          <w:tcPr>
            <w:tcW w:w="1181" w:type="dxa"/>
            <w:tcBorders>
              <w:lef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7</w:t>
            </w:r>
          </w:p>
        </w:tc>
      </w:tr>
      <w:tr w:rsidR="00051438" w:rsidRPr="00D076C6" w:rsidTr="00051438">
        <w:tc>
          <w:tcPr>
            <w:tcW w:w="2088" w:type="dxa"/>
            <w:tcBorders>
              <w:bottom w:val="single" w:sz="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sz w:val="17"/>
                <w:szCs w:val="17"/>
                <w:vertAlign w:val="subscript"/>
              </w:rPr>
            </w:pPr>
            <w:r w:rsidRPr="00D076C6">
              <w:rPr>
                <w:b/>
                <w:i/>
                <w:sz w:val="17"/>
                <w:szCs w:val="17"/>
              </w:rPr>
              <w:t>m</w:t>
            </w:r>
            <w:r w:rsidRPr="00D076C6">
              <w:rPr>
                <w:b/>
                <w:i/>
                <w:sz w:val="17"/>
                <w:szCs w:val="17"/>
                <w:vertAlign w:val="subscript"/>
              </w:rPr>
              <w:t>7</w:t>
            </w:r>
          </w:p>
        </w:tc>
        <w:tc>
          <w:tcPr>
            <w:tcW w:w="1181" w:type="dxa"/>
            <w:tcBorders>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1</w:t>
            </w:r>
          </w:p>
        </w:tc>
        <w:tc>
          <w:tcPr>
            <w:tcW w:w="1181" w:type="dxa"/>
            <w:tcBorders>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3</w:t>
            </w:r>
          </w:p>
        </w:tc>
        <w:tc>
          <w:tcPr>
            <w:tcW w:w="1181" w:type="dxa"/>
            <w:tcBorders>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4</w:t>
            </w:r>
          </w:p>
        </w:tc>
        <w:tc>
          <w:tcPr>
            <w:tcW w:w="1181" w:type="dxa"/>
            <w:tcBorders>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2</w:t>
            </w:r>
          </w:p>
        </w:tc>
        <w:tc>
          <w:tcPr>
            <w:tcW w:w="1181" w:type="dxa"/>
            <w:gridSpan w:val="2"/>
            <w:tcBorders>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7</w:t>
            </w:r>
          </w:p>
        </w:tc>
        <w:tc>
          <w:tcPr>
            <w:tcW w:w="1181" w:type="dxa"/>
            <w:tcBorders>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6</w:t>
            </w:r>
          </w:p>
        </w:tc>
        <w:tc>
          <w:tcPr>
            <w:tcW w:w="1181" w:type="dxa"/>
            <w:tcBorders>
              <w:left w:val="single" w:sz="12" w:space="0" w:color="auto"/>
              <w:bottom w:val="single" w:sz="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5</w:t>
            </w:r>
          </w:p>
        </w:tc>
      </w:tr>
      <w:tr w:rsidR="00051438" w:rsidRPr="00D076C6" w:rsidTr="00051438">
        <w:tc>
          <w:tcPr>
            <w:tcW w:w="2088" w:type="dxa"/>
            <w:tcBorders>
              <w:bottom w:val="single" w:sz="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sz w:val="17"/>
                <w:szCs w:val="17"/>
                <w:vertAlign w:val="subscript"/>
              </w:rPr>
            </w:pPr>
            <w:r w:rsidRPr="00D076C6">
              <w:rPr>
                <w:b/>
                <w:i/>
                <w:sz w:val="17"/>
                <w:szCs w:val="17"/>
              </w:rPr>
              <w:t>m</w:t>
            </w:r>
            <w:r w:rsidRPr="00D076C6">
              <w:rPr>
                <w:b/>
                <w:i/>
                <w:sz w:val="17"/>
                <w:szCs w:val="17"/>
                <w:vertAlign w:val="subscript"/>
              </w:rPr>
              <w:t>8</w:t>
            </w:r>
          </w:p>
        </w:tc>
        <w:tc>
          <w:tcPr>
            <w:tcW w:w="1181" w:type="dxa"/>
            <w:tcBorders>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2</w:t>
            </w:r>
          </w:p>
        </w:tc>
        <w:tc>
          <w:tcPr>
            <w:tcW w:w="1181" w:type="dxa"/>
            <w:tcBorders>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5</w:t>
            </w:r>
          </w:p>
        </w:tc>
        <w:tc>
          <w:tcPr>
            <w:tcW w:w="1181" w:type="dxa"/>
            <w:tcBorders>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Pr>
                <w:sz w:val="17"/>
                <w:szCs w:val="17"/>
              </w:rPr>
              <w:t>7</w:t>
            </w:r>
          </w:p>
        </w:tc>
        <w:tc>
          <w:tcPr>
            <w:tcW w:w="1181" w:type="dxa"/>
            <w:tcBorders>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Pr>
                <w:sz w:val="17"/>
                <w:szCs w:val="17"/>
              </w:rPr>
              <w:t>6</w:t>
            </w:r>
          </w:p>
        </w:tc>
        <w:tc>
          <w:tcPr>
            <w:tcW w:w="1181" w:type="dxa"/>
            <w:gridSpan w:val="2"/>
            <w:tcBorders>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3</w:t>
            </w:r>
          </w:p>
        </w:tc>
        <w:tc>
          <w:tcPr>
            <w:tcW w:w="1181" w:type="dxa"/>
            <w:tcBorders>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1</w:t>
            </w:r>
          </w:p>
        </w:tc>
        <w:tc>
          <w:tcPr>
            <w:tcW w:w="1181" w:type="dxa"/>
            <w:tcBorders>
              <w:left w:val="single" w:sz="12" w:space="0" w:color="auto"/>
              <w:bottom w:val="single" w:sz="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4</w:t>
            </w:r>
          </w:p>
        </w:tc>
      </w:tr>
      <w:tr w:rsidR="00051438" w:rsidRPr="00D076C6" w:rsidTr="00051438">
        <w:tc>
          <w:tcPr>
            <w:tcW w:w="2088" w:type="dxa"/>
            <w:tcBorders>
              <w:bottom w:val="single" w:sz="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sz w:val="17"/>
                <w:szCs w:val="17"/>
                <w:vertAlign w:val="subscript"/>
              </w:rPr>
            </w:pPr>
            <w:r w:rsidRPr="00D076C6">
              <w:rPr>
                <w:b/>
                <w:i/>
                <w:sz w:val="17"/>
                <w:szCs w:val="17"/>
              </w:rPr>
              <w:t>m</w:t>
            </w:r>
            <w:r w:rsidRPr="00D076C6">
              <w:rPr>
                <w:b/>
                <w:i/>
                <w:sz w:val="17"/>
                <w:szCs w:val="17"/>
                <w:vertAlign w:val="subscript"/>
              </w:rPr>
              <w:t>9</w:t>
            </w:r>
          </w:p>
        </w:tc>
        <w:tc>
          <w:tcPr>
            <w:tcW w:w="1181" w:type="dxa"/>
            <w:tcBorders>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1</w:t>
            </w:r>
          </w:p>
        </w:tc>
        <w:tc>
          <w:tcPr>
            <w:tcW w:w="1181" w:type="dxa"/>
            <w:tcBorders>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2</w:t>
            </w:r>
          </w:p>
        </w:tc>
        <w:tc>
          <w:tcPr>
            <w:tcW w:w="1181" w:type="dxa"/>
            <w:tcBorders>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5</w:t>
            </w:r>
          </w:p>
        </w:tc>
        <w:tc>
          <w:tcPr>
            <w:tcW w:w="1181" w:type="dxa"/>
            <w:tcBorders>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3</w:t>
            </w:r>
          </w:p>
        </w:tc>
        <w:tc>
          <w:tcPr>
            <w:tcW w:w="1181" w:type="dxa"/>
            <w:gridSpan w:val="2"/>
            <w:tcBorders>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6</w:t>
            </w:r>
          </w:p>
        </w:tc>
        <w:tc>
          <w:tcPr>
            <w:tcW w:w="1181" w:type="dxa"/>
            <w:tcBorders>
              <w:left w:val="single" w:sz="12" w:space="0" w:color="auto"/>
              <w:bottom w:val="single" w:sz="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4</w:t>
            </w:r>
          </w:p>
        </w:tc>
        <w:tc>
          <w:tcPr>
            <w:tcW w:w="1181" w:type="dxa"/>
            <w:tcBorders>
              <w:left w:val="single" w:sz="12" w:space="0" w:color="auto"/>
              <w:bottom w:val="single" w:sz="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7</w:t>
            </w:r>
          </w:p>
        </w:tc>
      </w:tr>
      <w:tr w:rsidR="00051438" w:rsidRPr="00D076C6" w:rsidTr="00051438">
        <w:tc>
          <w:tcPr>
            <w:tcW w:w="2088" w:type="dxa"/>
            <w:tcBorders>
              <w:top w:val="single" w:sz="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sz w:val="17"/>
                <w:szCs w:val="17"/>
                <w:vertAlign w:val="subscript"/>
              </w:rPr>
            </w:pPr>
            <w:r w:rsidRPr="00D076C6">
              <w:rPr>
                <w:b/>
                <w:i/>
                <w:sz w:val="17"/>
                <w:szCs w:val="17"/>
              </w:rPr>
              <w:t>m</w:t>
            </w:r>
            <w:r w:rsidRPr="00D076C6">
              <w:rPr>
                <w:b/>
                <w:i/>
                <w:sz w:val="17"/>
                <w:szCs w:val="17"/>
                <w:vertAlign w:val="subscript"/>
              </w:rPr>
              <w:t>10</w:t>
            </w:r>
          </w:p>
        </w:tc>
        <w:tc>
          <w:tcPr>
            <w:tcW w:w="1181" w:type="dxa"/>
            <w:tcBorders>
              <w:top w:val="single" w:sz="2" w:space="0" w:color="auto"/>
              <w:left w:val="single" w:sz="12" w:space="0" w:color="auto"/>
              <w:bottom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3</w:t>
            </w:r>
          </w:p>
        </w:tc>
        <w:tc>
          <w:tcPr>
            <w:tcW w:w="1181" w:type="dxa"/>
            <w:tcBorders>
              <w:top w:val="single" w:sz="2" w:space="0" w:color="auto"/>
              <w:left w:val="single" w:sz="12" w:space="0" w:color="auto"/>
              <w:bottom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1</w:t>
            </w:r>
          </w:p>
        </w:tc>
        <w:tc>
          <w:tcPr>
            <w:tcW w:w="1181" w:type="dxa"/>
            <w:tcBorders>
              <w:top w:val="single" w:sz="2" w:space="0" w:color="auto"/>
              <w:left w:val="single" w:sz="12" w:space="0" w:color="auto"/>
              <w:bottom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6</w:t>
            </w:r>
          </w:p>
        </w:tc>
        <w:tc>
          <w:tcPr>
            <w:tcW w:w="1181" w:type="dxa"/>
            <w:tcBorders>
              <w:top w:val="single" w:sz="2" w:space="0" w:color="auto"/>
              <w:left w:val="single" w:sz="12" w:space="0" w:color="auto"/>
              <w:bottom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4</w:t>
            </w:r>
          </w:p>
        </w:tc>
        <w:tc>
          <w:tcPr>
            <w:tcW w:w="1181" w:type="dxa"/>
            <w:gridSpan w:val="2"/>
            <w:tcBorders>
              <w:top w:val="single" w:sz="2" w:space="0" w:color="auto"/>
              <w:left w:val="single" w:sz="12" w:space="0" w:color="auto"/>
              <w:bottom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7</w:t>
            </w:r>
          </w:p>
        </w:tc>
        <w:tc>
          <w:tcPr>
            <w:tcW w:w="1181" w:type="dxa"/>
            <w:tcBorders>
              <w:top w:val="single" w:sz="2" w:space="0" w:color="auto"/>
              <w:left w:val="single" w:sz="12" w:space="0" w:color="auto"/>
              <w:bottom w:val="single" w:sz="12" w:space="0" w:color="auto"/>
              <w:right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2</w:t>
            </w:r>
          </w:p>
        </w:tc>
        <w:tc>
          <w:tcPr>
            <w:tcW w:w="1181" w:type="dxa"/>
            <w:tcBorders>
              <w:top w:val="single" w:sz="2" w:space="0" w:color="auto"/>
              <w:left w:val="single" w:sz="12" w:space="0" w:color="auto"/>
              <w:bottom w:val="single" w:sz="12" w:space="0" w:color="auto"/>
            </w:tcBorders>
            <w:shd w:val="clear" w:color="auto" w:fill="CCC0D9" w:themeFill="accent4" w:themeFillTint="66"/>
            <w:vAlign w:val="center"/>
          </w:tcPr>
          <w:p w:rsidR="00051438" w:rsidRPr="00D076C6" w:rsidRDefault="00051438" w:rsidP="00051438">
            <w:pPr>
              <w:spacing w:after="0" w:line="240" w:lineRule="auto"/>
              <w:ind w:firstLine="0"/>
              <w:jc w:val="center"/>
              <w:rPr>
                <w:sz w:val="17"/>
                <w:szCs w:val="17"/>
              </w:rPr>
            </w:pPr>
            <w:r w:rsidRPr="00D076C6">
              <w:rPr>
                <w:sz w:val="17"/>
                <w:szCs w:val="17"/>
              </w:rPr>
              <w:t>5</w:t>
            </w:r>
          </w:p>
        </w:tc>
      </w:tr>
      <w:tr w:rsidR="00051438" w:rsidRPr="00D076C6" w:rsidTr="00051438">
        <w:tc>
          <w:tcPr>
            <w:tcW w:w="2088" w:type="dxa"/>
            <w:tcBorders>
              <w:top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color w:val="0070C0"/>
                <w:sz w:val="17"/>
                <w:szCs w:val="17"/>
              </w:rPr>
            </w:pPr>
            <w:r w:rsidRPr="00D076C6">
              <w:rPr>
                <w:b/>
                <w:i/>
                <w:sz w:val="17"/>
                <w:szCs w:val="17"/>
              </w:rPr>
              <w:t>Rangų suma</w:t>
            </w:r>
          </w:p>
        </w:tc>
        <w:tc>
          <w:tcPr>
            <w:tcW w:w="118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051438" w:rsidRPr="00D076C6" w:rsidRDefault="00051438" w:rsidP="00051438">
            <w:pPr>
              <w:spacing w:after="0" w:line="240" w:lineRule="auto"/>
              <w:ind w:firstLine="0"/>
              <w:jc w:val="center"/>
              <w:rPr>
                <w:b/>
                <w:sz w:val="17"/>
                <w:szCs w:val="17"/>
              </w:rPr>
            </w:pPr>
            <w:r w:rsidRPr="00D076C6">
              <w:rPr>
                <w:b/>
                <w:sz w:val="17"/>
                <w:szCs w:val="17"/>
              </w:rPr>
              <w:t>27</w:t>
            </w:r>
          </w:p>
        </w:tc>
        <w:tc>
          <w:tcPr>
            <w:tcW w:w="11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sz w:val="17"/>
                <w:szCs w:val="17"/>
              </w:rPr>
            </w:pPr>
            <w:r w:rsidRPr="00D076C6">
              <w:rPr>
                <w:b/>
                <w:sz w:val="17"/>
                <w:szCs w:val="17"/>
              </w:rPr>
              <w:t>3</w:t>
            </w:r>
            <w:r>
              <w:rPr>
                <w:b/>
                <w:sz w:val="17"/>
                <w:szCs w:val="17"/>
              </w:rPr>
              <w:t>0</w:t>
            </w:r>
          </w:p>
        </w:tc>
        <w:tc>
          <w:tcPr>
            <w:tcW w:w="11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sz w:val="17"/>
                <w:szCs w:val="17"/>
              </w:rPr>
            </w:pPr>
            <w:r w:rsidRPr="00D076C6">
              <w:rPr>
                <w:b/>
                <w:sz w:val="17"/>
                <w:szCs w:val="17"/>
              </w:rPr>
              <w:t>4</w:t>
            </w:r>
            <w:r>
              <w:rPr>
                <w:b/>
                <w:sz w:val="17"/>
                <w:szCs w:val="17"/>
              </w:rPr>
              <w:t>7</w:t>
            </w:r>
          </w:p>
        </w:tc>
        <w:tc>
          <w:tcPr>
            <w:tcW w:w="11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sz w:val="17"/>
                <w:szCs w:val="17"/>
              </w:rPr>
            </w:pPr>
            <w:r>
              <w:rPr>
                <w:b/>
                <w:sz w:val="17"/>
                <w:szCs w:val="17"/>
              </w:rPr>
              <w:t>38</w:t>
            </w:r>
          </w:p>
        </w:tc>
        <w:tc>
          <w:tcPr>
            <w:tcW w:w="118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sz w:val="17"/>
                <w:szCs w:val="17"/>
              </w:rPr>
            </w:pPr>
            <w:r w:rsidRPr="00D076C6">
              <w:rPr>
                <w:b/>
                <w:sz w:val="17"/>
                <w:szCs w:val="17"/>
              </w:rPr>
              <w:t>5</w:t>
            </w:r>
            <w:r>
              <w:rPr>
                <w:b/>
                <w:sz w:val="17"/>
                <w:szCs w:val="17"/>
              </w:rPr>
              <w:t>4</w:t>
            </w:r>
          </w:p>
        </w:tc>
        <w:tc>
          <w:tcPr>
            <w:tcW w:w="11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sz w:val="17"/>
                <w:szCs w:val="17"/>
              </w:rPr>
            </w:pPr>
            <w:r w:rsidRPr="00D076C6">
              <w:rPr>
                <w:b/>
                <w:sz w:val="17"/>
                <w:szCs w:val="17"/>
              </w:rPr>
              <w:t>35</w:t>
            </w:r>
          </w:p>
        </w:tc>
        <w:tc>
          <w:tcPr>
            <w:tcW w:w="1181" w:type="dxa"/>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sz w:val="17"/>
                <w:szCs w:val="17"/>
              </w:rPr>
            </w:pPr>
            <w:r>
              <w:rPr>
                <w:b/>
                <w:sz w:val="17"/>
                <w:szCs w:val="17"/>
              </w:rPr>
              <w:t>49</w:t>
            </w:r>
          </w:p>
        </w:tc>
      </w:tr>
      <w:tr w:rsidR="00051438" w:rsidRPr="00D076C6" w:rsidTr="00051438">
        <w:tc>
          <w:tcPr>
            <w:tcW w:w="2088" w:type="dxa"/>
            <w:tcBorders>
              <w:top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sz w:val="17"/>
                <w:szCs w:val="17"/>
              </w:rPr>
            </w:pPr>
            <w:r w:rsidRPr="00D076C6">
              <w:rPr>
                <w:b/>
                <w:i/>
                <w:sz w:val="17"/>
                <w:szCs w:val="17"/>
              </w:rPr>
              <w:t>Rangų sumų vidurkis a</w:t>
            </w:r>
          </w:p>
        </w:tc>
        <w:tc>
          <w:tcPr>
            <w:tcW w:w="11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sz w:val="17"/>
                <w:szCs w:val="17"/>
              </w:rPr>
            </w:pPr>
            <w:r w:rsidRPr="00D076C6">
              <w:rPr>
                <w:b/>
                <w:sz w:val="17"/>
                <w:szCs w:val="17"/>
              </w:rPr>
              <w:t>40</w:t>
            </w:r>
          </w:p>
        </w:tc>
        <w:tc>
          <w:tcPr>
            <w:tcW w:w="11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line="240" w:lineRule="auto"/>
              <w:ind w:firstLine="0"/>
              <w:jc w:val="center"/>
              <w:rPr>
                <w:b/>
                <w:sz w:val="17"/>
                <w:szCs w:val="17"/>
              </w:rPr>
            </w:pPr>
            <w:r w:rsidRPr="00D076C6">
              <w:rPr>
                <w:b/>
                <w:sz w:val="17"/>
                <w:szCs w:val="17"/>
              </w:rPr>
              <w:t>40</w:t>
            </w:r>
          </w:p>
        </w:tc>
        <w:tc>
          <w:tcPr>
            <w:tcW w:w="11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line="240" w:lineRule="auto"/>
              <w:ind w:firstLine="0"/>
              <w:jc w:val="center"/>
              <w:rPr>
                <w:b/>
                <w:sz w:val="17"/>
                <w:szCs w:val="17"/>
              </w:rPr>
            </w:pPr>
            <w:r w:rsidRPr="00D076C6">
              <w:rPr>
                <w:b/>
                <w:sz w:val="17"/>
                <w:szCs w:val="17"/>
              </w:rPr>
              <w:t>40</w:t>
            </w:r>
          </w:p>
        </w:tc>
        <w:tc>
          <w:tcPr>
            <w:tcW w:w="11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line="240" w:lineRule="auto"/>
              <w:ind w:firstLine="0"/>
              <w:jc w:val="center"/>
              <w:rPr>
                <w:b/>
                <w:sz w:val="17"/>
                <w:szCs w:val="17"/>
              </w:rPr>
            </w:pPr>
            <w:r w:rsidRPr="00D076C6">
              <w:rPr>
                <w:b/>
                <w:sz w:val="17"/>
                <w:szCs w:val="17"/>
              </w:rPr>
              <w:t>40</w:t>
            </w:r>
          </w:p>
        </w:tc>
        <w:tc>
          <w:tcPr>
            <w:tcW w:w="118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line="240" w:lineRule="auto"/>
              <w:ind w:firstLine="0"/>
              <w:jc w:val="center"/>
              <w:rPr>
                <w:b/>
                <w:sz w:val="17"/>
                <w:szCs w:val="17"/>
              </w:rPr>
            </w:pPr>
            <w:r w:rsidRPr="00D076C6">
              <w:rPr>
                <w:b/>
                <w:sz w:val="17"/>
                <w:szCs w:val="17"/>
              </w:rPr>
              <w:t>40</w:t>
            </w:r>
          </w:p>
        </w:tc>
        <w:tc>
          <w:tcPr>
            <w:tcW w:w="11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line="240" w:lineRule="auto"/>
              <w:ind w:firstLine="0"/>
              <w:jc w:val="center"/>
              <w:rPr>
                <w:b/>
                <w:sz w:val="17"/>
                <w:szCs w:val="17"/>
              </w:rPr>
            </w:pPr>
            <w:r w:rsidRPr="00D076C6">
              <w:rPr>
                <w:b/>
                <w:sz w:val="17"/>
                <w:szCs w:val="17"/>
              </w:rPr>
              <w:t>40</w:t>
            </w:r>
          </w:p>
        </w:tc>
        <w:tc>
          <w:tcPr>
            <w:tcW w:w="1181" w:type="dxa"/>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D076C6" w:rsidRDefault="00051438" w:rsidP="00051438">
            <w:pPr>
              <w:spacing w:line="240" w:lineRule="auto"/>
              <w:ind w:firstLine="0"/>
              <w:jc w:val="center"/>
              <w:rPr>
                <w:b/>
                <w:sz w:val="17"/>
                <w:szCs w:val="17"/>
              </w:rPr>
            </w:pPr>
            <w:r w:rsidRPr="00D076C6">
              <w:rPr>
                <w:b/>
                <w:sz w:val="17"/>
                <w:szCs w:val="17"/>
              </w:rPr>
              <w:t>40</w:t>
            </w:r>
          </w:p>
        </w:tc>
      </w:tr>
      <w:tr w:rsidR="00051438" w:rsidRPr="00D076C6" w:rsidTr="00051438">
        <w:tc>
          <w:tcPr>
            <w:tcW w:w="2088" w:type="dxa"/>
            <w:tcBorders>
              <w:top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i/>
                <w:sz w:val="17"/>
                <w:szCs w:val="17"/>
              </w:rPr>
            </w:pPr>
            <w:r w:rsidRPr="00D076C6">
              <w:rPr>
                <w:b/>
                <w:i/>
                <w:sz w:val="17"/>
                <w:szCs w:val="17"/>
              </w:rPr>
              <w:t>Nuokrypio kvadratas</w:t>
            </w:r>
          </w:p>
        </w:tc>
        <w:tc>
          <w:tcPr>
            <w:tcW w:w="11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after="0" w:line="240" w:lineRule="auto"/>
              <w:ind w:firstLine="0"/>
              <w:jc w:val="center"/>
              <w:rPr>
                <w:b/>
                <w:sz w:val="17"/>
                <w:szCs w:val="17"/>
              </w:rPr>
            </w:pPr>
            <w:r w:rsidRPr="00D076C6">
              <w:rPr>
                <w:b/>
                <w:sz w:val="17"/>
                <w:szCs w:val="17"/>
              </w:rPr>
              <w:t>169</w:t>
            </w:r>
          </w:p>
        </w:tc>
        <w:tc>
          <w:tcPr>
            <w:tcW w:w="11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line="240" w:lineRule="auto"/>
              <w:ind w:firstLine="0"/>
              <w:jc w:val="center"/>
              <w:rPr>
                <w:b/>
                <w:sz w:val="17"/>
                <w:szCs w:val="17"/>
              </w:rPr>
            </w:pPr>
            <w:r>
              <w:rPr>
                <w:b/>
                <w:sz w:val="17"/>
                <w:szCs w:val="17"/>
              </w:rPr>
              <w:t>100</w:t>
            </w:r>
          </w:p>
        </w:tc>
        <w:tc>
          <w:tcPr>
            <w:tcW w:w="11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line="240" w:lineRule="auto"/>
              <w:ind w:firstLine="0"/>
              <w:jc w:val="center"/>
              <w:rPr>
                <w:b/>
                <w:sz w:val="17"/>
                <w:szCs w:val="17"/>
              </w:rPr>
            </w:pPr>
            <w:r>
              <w:rPr>
                <w:b/>
                <w:sz w:val="17"/>
                <w:szCs w:val="17"/>
              </w:rPr>
              <w:t>49</w:t>
            </w:r>
          </w:p>
        </w:tc>
        <w:tc>
          <w:tcPr>
            <w:tcW w:w="11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line="240" w:lineRule="auto"/>
              <w:ind w:firstLine="0"/>
              <w:jc w:val="center"/>
              <w:rPr>
                <w:b/>
                <w:sz w:val="17"/>
                <w:szCs w:val="17"/>
              </w:rPr>
            </w:pPr>
            <w:r>
              <w:rPr>
                <w:b/>
                <w:sz w:val="17"/>
                <w:szCs w:val="17"/>
              </w:rPr>
              <w:t>4</w:t>
            </w:r>
          </w:p>
        </w:tc>
        <w:tc>
          <w:tcPr>
            <w:tcW w:w="118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line="240" w:lineRule="auto"/>
              <w:ind w:firstLine="0"/>
              <w:jc w:val="center"/>
              <w:rPr>
                <w:b/>
                <w:sz w:val="17"/>
                <w:szCs w:val="17"/>
              </w:rPr>
            </w:pPr>
            <w:r w:rsidRPr="00D076C6">
              <w:rPr>
                <w:b/>
                <w:sz w:val="17"/>
                <w:szCs w:val="17"/>
              </w:rPr>
              <w:t>1</w:t>
            </w:r>
            <w:r>
              <w:rPr>
                <w:b/>
                <w:sz w:val="17"/>
                <w:szCs w:val="17"/>
              </w:rPr>
              <w:t>96</w:t>
            </w:r>
          </w:p>
        </w:tc>
        <w:tc>
          <w:tcPr>
            <w:tcW w:w="11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076C6" w:rsidRDefault="00051438" w:rsidP="00051438">
            <w:pPr>
              <w:spacing w:line="240" w:lineRule="auto"/>
              <w:ind w:firstLine="0"/>
              <w:jc w:val="center"/>
              <w:rPr>
                <w:b/>
                <w:sz w:val="17"/>
                <w:szCs w:val="17"/>
              </w:rPr>
            </w:pPr>
            <w:r w:rsidRPr="00D076C6">
              <w:rPr>
                <w:b/>
                <w:sz w:val="17"/>
                <w:szCs w:val="17"/>
              </w:rPr>
              <w:t>25</w:t>
            </w:r>
          </w:p>
        </w:tc>
        <w:tc>
          <w:tcPr>
            <w:tcW w:w="1181" w:type="dxa"/>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D076C6" w:rsidRDefault="00051438" w:rsidP="00051438">
            <w:pPr>
              <w:spacing w:line="240" w:lineRule="auto"/>
              <w:ind w:firstLine="0"/>
              <w:jc w:val="center"/>
              <w:rPr>
                <w:b/>
                <w:sz w:val="17"/>
                <w:szCs w:val="17"/>
              </w:rPr>
            </w:pPr>
            <w:r>
              <w:rPr>
                <w:b/>
                <w:sz w:val="17"/>
                <w:szCs w:val="17"/>
              </w:rPr>
              <w:t>81</w:t>
            </w:r>
          </w:p>
        </w:tc>
      </w:tr>
      <w:tr w:rsidR="00051438" w:rsidRPr="00D076C6" w:rsidTr="00051438">
        <w:tc>
          <w:tcPr>
            <w:tcW w:w="7620" w:type="dxa"/>
            <w:gridSpan w:val="6"/>
            <w:tcBorders>
              <w:top w:val="single" w:sz="12" w:space="0" w:color="auto"/>
              <w:left w:val="nil"/>
              <w:bottom w:val="nil"/>
              <w:right w:val="single" w:sz="12" w:space="0" w:color="auto"/>
            </w:tcBorders>
            <w:shd w:val="clear" w:color="auto" w:fill="auto"/>
            <w:vAlign w:val="center"/>
          </w:tcPr>
          <w:p w:rsidR="00051438" w:rsidRPr="00D076C6" w:rsidRDefault="00051438" w:rsidP="00051438">
            <w:pPr>
              <w:spacing w:line="240" w:lineRule="auto"/>
              <w:ind w:firstLine="0"/>
              <w:jc w:val="center"/>
              <w:rPr>
                <w:b/>
                <w:sz w:val="17"/>
                <w:szCs w:val="17"/>
              </w:rPr>
            </w:pPr>
          </w:p>
        </w:tc>
        <w:tc>
          <w:tcPr>
            <w:tcW w:w="2735" w:type="dxa"/>
            <w:gridSpan w:val="3"/>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D076C6" w:rsidRDefault="00051438" w:rsidP="00051438">
            <w:pPr>
              <w:spacing w:line="240" w:lineRule="auto"/>
              <w:ind w:firstLine="0"/>
              <w:jc w:val="center"/>
              <w:rPr>
                <w:b/>
                <w:sz w:val="17"/>
                <w:szCs w:val="17"/>
              </w:rPr>
            </w:pPr>
            <w:r w:rsidRPr="00D076C6">
              <w:rPr>
                <w:b/>
                <w:i/>
                <w:position w:val="-10"/>
                <w:sz w:val="17"/>
                <w:szCs w:val="17"/>
              </w:rPr>
              <w:t>S</w:t>
            </w:r>
            <w:r w:rsidRPr="00D076C6">
              <w:rPr>
                <w:b/>
                <w:i/>
                <w:position w:val="-10"/>
                <w:sz w:val="17"/>
                <w:szCs w:val="17"/>
                <w:vertAlign w:val="superscript"/>
              </w:rPr>
              <w:t>2</w:t>
            </w:r>
            <w:r w:rsidRPr="00D076C6">
              <w:rPr>
                <w:b/>
                <w:i/>
                <w:position w:val="-10"/>
                <w:sz w:val="17"/>
                <w:szCs w:val="17"/>
              </w:rPr>
              <w:t> = </w:t>
            </w:r>
            <w:r>
              <w:rPr>
                <w:b/>
                <w:i/>
                <w:position w:val="-10"/>
                <w:sz w:val="17"/>
                <w:szCs w:val="17"/>
              </w:rPr>
              <w:t>624</w:t>
            </w:r>
            <w:r w:rsidRPr="00D076C6">
              <w:rPr>
                <w:b/>
                <w:i/>
                <w:position w:val="-10"/>
                <w:sz w:val="17"/>
                <w:szCs w:val="17"/>
              </w:rPr>
              <w:t>; W = 0,</w:t>
            </w:r>
            <w:r>
              <w:rPr>
                <w:b/>
                <w:i/>
                <w:position w:val="-10"/>
                <w:sz w:val="17"/>
                <w:szCs w:val="17"/>
              </w:rPr>
              <w:t>22</w:t>
            </w:r>
          </w:p>
        </w:tc>
      </w:tr>
      <w:tr w:rsidR="00051438" w:rsidRPr="00AA1DB2" w:rsidTr="00051438">
        <w:tc>
          <w:tcPr>
            <w:tcW w:w="10355" w:type="dxa"/>
            <w:gridSpan w:val="9"/>
            <w:tcBorders>
              <w:top w:val="nil"/>
              <w:left w:val="nil"/>
              <w:bottom w:val="single" w:sz="12" w:space="0" w:color="auto"/>
              <w:right w:val="nil"/>
            </w:tcBorders>
            <w:shd w:val="clear" w:color="auto" w:fill="auto"/>
            <w:vAlign w:val="center"/>
          </w:tcPr>
          <w:p w:rsidR="00051438" w:rsidRPr="00AA1DB2" w:rsidRDefault="00051438" w:rsidP="00051438">
            <w:pPr>
              <w:spacing w:line="240" w:lineRule="auto"/>
              <w:ind w:firstLine="0"/>
              <w:jc w:val="center"/>
              <w:rPr>
                <w:position w:val="-10"/>
                <w:sz w:val="6"/>
                <w:szCs w:val="6"/>
              </w:rPr>
            </w:pPr>
          </w:p>
        </w:tc>
      </w:tr>
      <w:tr w:rsidR="00051438" w:rsidRPr="00D076C6" w:rsidTr="00051438">
        <w:tc>
          <w:tcPr>
            <w:tcW w:w="10355" w:type="dxa"/>
            <w:gridSpan w:val="9"/>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D076C6" w:rsidRDefault="00051438" w:rsidP="00051438">
            <w:pPr>
              <w:spacing w:line="240" w:lineRule="auto"/>
              <w:ind w:firstLine="547"/>
              <w:rPr>
                <w:bCs/>
                <w:iCs/>
                <w:sz w:val="17"/>
                <w:szCs w:val="17"/>
              </w:rPr>
            </w:pPr>
            <w:r w:rsidRPr="00D076C6">
              <w:rPr>
                <w:b/>
                <w:bCs/>
                <w:i/>
                <w:iCs/>
                <w:sz w:val="17"/>
                <w:szCs w:val="17"/>
              </w:rPr>
              <w:t>Konkordancijos koeficiento reikšmingumas</w:t>
            </w:r>
            <w:r w:rsidRPr="00D076C6">
              <w:rPr>
                <w:bCs/>
                <w:iCs/>
                <w:sz w:val="17"/>
                <w:szCs w:val="17"/>
              </w:rPr>
              <w:t xml:space="preserve">: </w:t>
            </w:r>
            <w:r w:rsidRPr="00D076C6">
              <w:rPr>
                <w:rFonts w:eastAsiaTheme="minorHAnsi"/>
                <w:bCs/>
                <w:iCs/>
                <w:position w:val="-10"/>
                <w:sz w:val="17"/>
                <w:szCs w:val="17"/>
                <w:lang w:eastAsia="en-US"/>
              </w:rPr>
              <w:object w:dxaOrig="2360" w:dyaOrig="340">
                <v:shape id="_x0000_i1035" type="#_x0000_t75" style="width:117.75pt;height:17.25pt" o:ole="">
                  <v:imagedata r:id="rId33" o:title=""/>
                </v:shape>
                <o:OLEObject Type="Embed" ProgID="Equation.3" ShapeID="_x0000_i1035" DrawAspect="Content" ObjectID="_1419701008" r:id="rId34"/>
              </w:object>
            </w:r>
            <w:r w:rsidRPr="00D076C6">
              <w:rPr>
                <w:bCs/>
                <w:iCs/>
                <w:sz w:val="17"/>
                <w:szCs w:val="17"/>
              </w:rPr>
              <w:t xml:space="preserve">. Kadangi </w:t>
            </w:r>
            <w:r w:rsidRPr="00D076C6">
              <w:rPr>
                <w:rFonts w:eastAsiaTheme="minorHAnsi"/>
                <w:bCs/>
                <w:i/>
                <w:iCs/>
                <w:position w:val="-10"/>
                <w:sz w:val="17"/>
                <w:szCs w:val="17"/>
                <w:lang w:eastAsia="en-US"/>
              </w:rPr>
              <w:object w:dxaOrig="1020" w:dyaOrig="340">
                <v:shape id="_x0000_i1036" type="#_x0000_t75" style="width:51.75pt;height:17.25pt" o:ole="">
                  <v:imagedata r:id="rId35" o:title=""/>
                </v:shape>
                <o:OLEObject Type="Embed" ProgID="Equation.3" ShapeID="_x0000_i1036" DrawAspect="Content" ObjectID="_1419701009" r:id="rId36"/>
              </w:object>
            </w:r>
            <w:r w:rsidRPr="00D076C6">
              <w:rPr>
                <w:bCs/>
                <w:iCs/>
                <w:sz w:val="17"/>
                <w:szCs w:val="17"/>
              </w:rPr>
              <w:t xml:space="preserve"> </w:t>
            </w:r>
            <w:r w:rsidRPr="00D076C6">
              <w:rPr>
                <w:bCs/>
                <w:i/>
                <w:iCs/>
                <w:sz w:val="17"/>
                <w:szCs w:val="17"/>
              </w:rPr>
              <w:t>(esant laisvės laipsnių skaičiui – 6; reikšmingumo lygmeniui – 0,05)</w:t>
            </w:r>
            <w:r w:rsidRPr="00D076C6">
              <w:rPr>
                <w:bCs/>
                <w:iCs/>
                <w:sz w:val="17"/>
                <w:szCs w:val="17"/>
              </w:rPr>
              <w:t xml:space="preserve">, sąlyga </w:t>
            </w:r>
            <w:r w:rsidRPr="00D076C6">
              <w:rPr>
                <w:rFonts w:eastAsiaTheme="minorHAnsi"/>
                <w:position w:val="-10"/>
                <w:sz w:val="17"/>
                <w:szCs w:val="17"/>
                <w:lang w:eastAsia="en-US"/>
              </w:rPr>
              <w:object w:dxaOrig="840" w:dyaOrig="340">
                <v:shape id="_x0000_i1037" type="#_x0000_t75" style="width:42.75pt;height:17.25pt" o:ole="">
                  <v:imagedata r:id="rId31" o:title=""/>
                </v:shape>
                <o:OLEObject Type="Embed" ProgID="Equation.3" ShapeID="_x0000_i1037" DrawAspect="Content" ObjectID="_1419701010" r:id="rId37"/>
              </w:object>
            </w:r>
            <w:r w:rsidRPr="00D076C6">
              <w:rPr>
                <w:position w:val="-12"/>
                <w:sz w:val="17"/>
                <w:szCs w:val="17"/>
              </w:rPr>
              <w:t xml:space="preserve"> </w:t>
            </w:r>
            <w:r w:rsidRPr="00D076C6">
              <w:rPr>
                <w:bCs/>
                <w:iCs/>
                <w:sz w:val="17"/>
                <w:szCs w:val="17"/>
              </w:rPr>
              <w:t xml:space="preserve">yra patenkinama, todėl hipotezę </w:t>
            </w:r>
            <w:r w:rsidRPr="00D076C6">
              <w:rPr>
                <w:bCs/>
                <w:i/>
                <w:iCs/>
                <w:sz w:val="17"/>
                <w:szCs w:val="17"/>
              </w:rPr>
              <w:t>H</w:t>
            </w:r>
            <w:r w:rsidRPr="00D076C6">
              <w:rPr>
                <w:bCs/>
                <w:i/>
                <w:iCs/>
                <w:sz w:val="17"/>
                <w:szCs w:val="17"/>
                <w:vertAlign w:val="subscript"/>
              </w:rPr>
              <w:t>0</w:t>
            </w:r>
            <w:r w:rsidRPr="00D076C6">
              <w:rPr>
                <w:bCs/>
                <w:iCs/>
                <w:sz w:val="17"/>
                <w:szCs w:val="17"/>
              </w:rPr>
              <w:t xml:space="preserve"> galima atmesti</w:t>
            </w:r>
            <w:r>
              <w:rPr>
                <w:bCs/>
                <w:iCs/>
                <w:sz w:val="17"/>
                <w:szCs w:val="17"/>
              </w:rPr>
              <w:t xml:space="preserve"> ir ekspertų vertinimus laikyti panašiais.</w:t>
            </w:r>
          </w:p>
        </w:tc>
      </w:tr>
    </w:tbl>
    <w:p w:rsidR="00051438" w:rsidRPr="00D70CD3" w:rsidRDefault="00051438" w:rsidP="00051438">
      <w:pPr>
        <w:rPr>
          <w:sz w:val="20"/>
        </w:rPr>
      </w:pPr>
      <w:r w:rsidRPr="00D70CD3">
        <w:rPr>
          <w:b/>
          <w:sz w:val="20"/>
        </w:rPr>
        <w:t>Šaltinis</w:t>
      </w:r>
      <w:r w:rsidRPr="00D70CD3">
        <w:rPr>
          <w:sz w:val="20"/>
        </w:rPr>
        <w:t>: sudaryta šio darbo autorės</w:t>
      </w:r>
      <w:r>
        <w:rPr>
          <w:sz w:val="20"/>
        </w:rPr>
        <w:t>, remiantis ekspertų vertinimais</w:t>
      </w:r>
    </w:p>
    <w:p w:rsidR="00051438" w:rsidRDefault="00051438" w:rsidP="00051438">
      <w:r>
        <w:t xml:space="preserve">Iš </w:t>
      </w:r>
      <w:r w:rsidRPr="001F037D">
        <w:t>socialinių-demografinių veiksnių</w:t>
      </w:r>
      <w:r>
        <w:t xml:space="preserve"> darančiais didžiausią įtaką buvo pripažinti </w:t>
      </w:r>
      <w:r w:rsidRPr="00852278">
        <w:rPr>
          <w:i/>
        </w:rPr>
        <w:t>išsilavinimo stoka</w:t>
      </w:r>
      <w:r>
        <w:rPr>
          <w:i/>
        </w:rPr>
        <w:t xml:space="preserve"> (b</w:t>
      </w:r>
      <w:r>
        <w:rPr>
          <w:i/>
          <w:vertAlign w:val="subscript"/>
        </w:rPr>
        <w:t>1</w:t>
      </w:r>
      <w:r>
        <w:rPr>
          <w:i/>
        </w:rPr>
        <w:t>)</w:t>
      </w:r>
      <w:r>
        <w:t xml:space="preserve">, </w:t>
      </w:r>
      <w:r>
        <w:rPr>
          <w:i/>
        </w:rPr>
        <w:t>ne</w:t>
      </w:r>
      <w:r w:rsidRPr="00852278">
        <w:rPr>
          <w:i/>
        </w:rPr>
        <w:t>paklausi profesija</w:t>
      </w:r>
      <w:r>
        <w:rPr>
          <w:i/>
        </w:rPr>
        <w:t xml:space="preserve"> (b</w:t>
      </w:r>
      <w:r>
        <w:rPr>
          <w:i/>
          <w:vertAlign w:val="subscript"/>
        </w:rPr>
        <w:t>2</w:t>
      </w:r>
      <w:r>
        <w:rPr>
          <w:i/>
        </w:rPr>
        <w:t>)</w:t>
      </w:r>
      <w:r>
        <w:t xml:space="preserve"> bei </w:t>
      </w:r>
      <w:r w:rsidRPr="00852278">
        <w:rPr>
          <w:i/>
        </w:rPr>
        <w:t>jaunatviškas maksimalizmas</w:t>
      </w:r>
      <w:r>
        <w:rPr>
          <w:i/>
        </w:rPr>
        <w:t xml:space="preserve"> (b</w:t>
      </w:r>
      <w:r>
        <w:rPr>
          <w:i/>
          <w:vertAlign w:val="subscript"/>
        </w:rPr>
        <w:t>6</w:t>
      </w:r>
      <w:r>
        <w:rPr>
          <w:i/>
        </w:rPr>
        <w:t>)</w:t>
      </w:r>
      <w:r>
        <w:t>, kas leidžia tvirtinti, jog vienus žmones gyventi „išlaikytinių“ gyvenimą turėtų skatinti objektyvios priežastys (</w:t>
      </w:r>
      <w:r w:rsidRPr="00EA0D88">
        <w:rPr>
          <w:i/>
        </w:rPr>
        <w:t>b</w:t>
      </w:r>
      <w:r w:rsidRPr="00EA0D88">
        <w:rPr>
          <w:i/>
          <w:vertAlign w:val="subscript"/>
        </w:rPr>
        <w:t>1</w:t>
      </w:r>
      <w:r w:rsidRPr="00EA0D88">
        <w:rPr>
          <w:i/>
        </w:rPr>
        <w:t>, b</w:t>
      </w:r>
      <w:r w:rsidRPr="00EA0D88">
        <w:rPr>
          <w:i/>
          <w:vertAlign w:val="subscript"/>
        </w:rPr>
        <w:t>2</w:t>
      </w:r>
      <w:r>
        <w:t xml:space="preserve">), o kitus – godumo jausmas. Darančiais mažiausią įtaką įvardyti </w:t>
      </w:r>
      <w:r w:rsidRPr="00A65761">
        <w:rPr>
          <w:i/>
        </w:rPr>
        <w:t>šeimos dydis (b</w:t>
      </w:r>
      <w:r w:rsidRPr="00A65761">
        <w:rPr>
          <w:i/>
          <w:vertAlign w:val="subscript"/>
        </w:rPr>
        <w:t>5</w:t>
      </w:r>
      <w:r w:rsidRPr="00A65761">
        <w:rPr>
          <w:i/>
        </w:rPr>
        <w:t>)</w:t>
      </w:r>
      <w:r>
        <w:t xml:space="preserve">, </w:t>
      </w:r>
      <w:r w:rsidRPr="00A65761">
        <w:rPr>
          <w:i/>
        </w:rPr>
        <w:t>poreikis laisvalaikiui (b</w:t>
      </w:r>
      <w:r w:rsidRPr="00A65761">
        <w:rPr>
          <w:i/>
          <w:vertAlign w:val="subscript"/>
        </w:rPr>
        <w:t>7</w:t>
      </w:r>
      <w:r w:rsidRPr="00A65761">
        <w:rPr>
          <w:i/>
        </w:rPr>
        <w:t>)</w:t>
      </w:r>
      <w:r>
        <w:t xml:space="preserve">, </w:t>
      </w:r>
      <w:r>
        <w:rPr>
          <w:i/>
        </w:rPr>
        <w:t xml:space="preserve">kompetencijos stoka </w:t>
      </w:r>
      <w:r w:rsidRPr="00A65761">
        <w:rPr>
          <w:i/>
        </w:rPr>
        <w:t>(b</w:t>
      </w:r>
      <w:r>
        <w:rPr>
          <w:i/>
          <w:vertAlign w:val="subscript"/>
        </w:rPr>
        <w:t>3</w:t>
      </w:r>
      <w:r w:rsidRPr="00A65761">
        <w:rPr>
          <w:i/>
        </w:rPr>
        <w:t>)</w:t>
      </w:r>
      <w:r>
        <w:t>.</w:t>
      </w:r>
    </w:p>
    <w:p w:rsidR="00051438" w:rsidRDefault="00051438" w:rsidP="00051438">
      <w:pPr>
        <w:pStyle w:val="Caption"/>
      </w:pPr>
      <w:r w:rsidRPr="00C5032D">
        <w:lastRenderedPageBreak/>
        <w:t>3 lentelė.</w:t>
      </w:r>
      <w:r>
        <w:t xml:space="preserve"> </w:t>
      </w:r>
      <w:r w:rsidRPr="00D360FF">
        <w:t>Ekonominių veiksnių</w:t>
      </w:r>
      <w:r w:rsidRPr="00D360FF">
        <w:rPr>
          <w:color w:val="0070C0"/>
        </w:rPr>
        <w:t xml:space="preserve"> </w:t>
      </w:r>
      <w:r w:rsidRPr="00D360FF">
        <w:t>įtaką: konkordancijos koeficientų skaičiavimas</w:t>
      </w:r>
    </w:p>
    <w:tbl>
      <w:tblPr>
        <w:tblStyle w:val="TableGrid"/>
        <w:tblW w:w="1036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2088"/>
        <w:gridCol w:w="1656"/>
        <w:gridCol w:w="1656"/>
        <w:gridCol w:w="1656"/>
        <w:gridCol w:w="564"/>
        <w:gridCol w:w="1092"/>
        <w:gridCol w:w="1656"/>
      </w:tblGrid>
      <w:tr w:rsidR="00051438" w:rsidRPr="00D360FF" w:rsidTr="00051438">
        <w:tc>
          <w:tcPr>
            <w:tcW w:w="2088" w:type="dxa"/>
            <w:tcBorders>
              <w:top w:val="single" w:sz="12" w:space="0" w:color="auto"/>
              <w:bottom w:val="single" w:sz="12" w:space="0" w:color="auto"/>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i/>
                <w:sz w:val="17"/>
                <w:szCs w:val="17"/>
              </w:rPr>
            </w:pPr>
          </w:p>
        </w:tc>
        <w:tc>
          <w:tcPr>
            <w:tcW w:w="16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i/>
                <w:sz w:val="17"/>
                <w:szCs w:val="17"/>
              </w:rPr>
            </w:pPr>
            <w:r w:rsidRPr="00D360FF">
              <w:rPr>
                <w:b/>
                <w:i/>
                <w:sz w:val="17"/>
                <w:szCs w:val="17"/>
              </w:rPr>
              <w:t xml:space="preserve"> c</w:t>
            </w:r>
            <w:r w:rsidRPr="00D360FF">
              <w:rPr>
                <w:b/>
                <w:i/>
                <w:sz w:val="17"/>
                <w:szCs w:val="17"/>
                <w:vertAlign w:val="subscript"/>
              </w:rPr>
              <w:t>1</w:t>
            </w:r>
          </w:p>
        </w:tc>
        <w:tc>
          <w:tcPr>
            <w:tcW w:w="16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i/>
                <w:sz w:val="17"/>
                <w:szCs w:val="17"/>
              </w:rPr>
            </w:pPr>
            <w:r w:rsidRPr="00D360FF">
              <w:rPr>
                <w:b/>
                <w:i/>
                <w:sz w:val="17"/>
                <w:szCs w:val="17"/>
              </w:rPr>
              <w:t xml:space="preserve"> c</w:t>
            </w:r>
            <w:r w:rsidRPr="00D360FF">
              <w:rPr>
                <w:b/>
                <w:i/>
                <w:sz w:val="17"/>
                <w:szCs w:val="17"/>
                <w:vertAlign w:val="subscript"/>
              </w:rPr>
              <w:t>2</w:t>
            </w:r>
          </w:p>
        </w:tc>
        <w:tc>
          <w:tcPr>
            <w:tcW w:w="16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i/>
                <w:sz w:val="17"/>
                <w:szCs w:val="17"/>
              </w:rPr>
            </w:pPr>
            <w:r w:rsidRPr="00D360FF">
              <w:rPr>
                <w:b/>
                <w:i/>
                <w:sz w:val="17"/>
                <w:szCs w:val="17"/>
              </w:rPr>
              <w:t xml:space="preserve"> c</w:t>
            </w:r>
            <w:r w:rsidRPr="00D360FF">
              <w:rPr>
                <w:b/>
                <w:i/>
                <w:sz w:val="17"/>
                <w:szCs w:val="17"/>
                <w:vertAlign w:val="subscript"/>
              </w:rPr>
              <w:t>3</w:t>
            </w:r>
          </w:p>
        </w:tc>
        <w:tc>
          <w:tcPr>
            <w:tcW w:w="165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i/>
                <w:sz w:val="17"/>
                <w:szCs w:val="17"/>
              </w:rPr>
            </w:pPr>
            <w:r w:rsidRPr="00D360FF">
              <w:rPr>
                <w:b/>
                <w:i/>
                <w:sz w:val="17"/>
                <w:szCs w:val="17"/>
              </w:rPr>
              <w:t xml:space="preserve"> c</w:t>
            </w:r>
            <w:r w:rsidRPr="00D360FF">
              <w:rPr>
                <w:b/>
                <w:i/>
                <w:sz w:val="17"/>
                <w:szCs w:val="17"/>
                <w:vertAlign w:val="subscript"/>
              </w:rPr>
              <w:t>4</w:t>
            </w:r>
          </w:p>
        </w:tc>
        <w:tc>
          <w:tcPr>
            <w:tcW w:w="1656" w:type="dxa"/>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i/>
                <w:sz w:val="17"/>
                <w:szCs w:val="17"/>
              </w:rPr>
            </w:pPr>
            <w:r w:rsidRPr="00D360FF">
              <w:rPr>
                <w:b/>
                <w:i/>
                <w:sz w:val="17"/>
                <w:szCs w:val="17"/>
              </w:rPr>
              <w:t xml:space="preserve"> c</w:t>
            </w:r>
            <w:r w:rsidRPr="00D360FF">
              <w:rPr>
                <w:b/>
                <w:i/>
                <w:sz w:val="17"/>
                <w:szCs w:val="17"/>
                <w:vertAlign w:val="subscript"/>
              </w:rPr>
              <w:t>5</w:t>
            </w:r>
          </w:p>
        </w:tc>
      </w:tr>
      <w:tr w:rsidR="00051438" w:rsidRPr="00D360FF" w:rsidTr="00051438">
        <w:tc>
          <w:tcPr>
            <w:tcW w:w="2088" w:type="dxa"/>
            <w:tcBorders>
              <w:top w:val="single" w:sz="12" w:space="0" w:color="auto"/>
              <w:bottom w:val="single" w:sz="2" w:space="0" w:color="auto"/>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i/>
                <w:sz w:val="17"/>
                <w:szCs w:val="17"/>
                <w:vertAlign w:val="subscript"/>
              </w:rPr>
            </w:pPr>
            <w:r w:rsidRPr="00D360FF">
              <w:rPr>
                <w:b/>
                <w:i/>
                <w:sz w:val="17"/>
                <w:szCs w:val="17"/>
              </w:rPr>
              <w:t>m</w:t>
            </w:r>
            <w:r w:rsidRPr="00D360FF">
              <w:rPr>
                <w:b/>
                <w:i/>
                <w:sz w:val="17"/>
                <w:szCs w:val="17"/>
                <w:vertAlign w:val="subscript"/>
              </w:rPr>
              <w:t>1</w:t>
            </w:r>
          </w:p>
        </w:tc>
        <w:tc>
          <w:tcPr>
            <w:tcW w:w="1656" w:type="dxa"/>
            <w:tcBorders>
              <w:top w:val="single" w:sz="12" w:space="0" w:color="auto"/>
              <w:left w:val="single" w:sz="12" w:space="0" w:color="auto"/>
              <w:bottom w:val="single" w:sz="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1</w:t>
            </w:r>
          </w:p>
        </w:tc>
        <w:tc>
          <w:tcPr>
            <w:tcW w:w="1656" w:type="dxa"/>
            <w:tcBorders>
              <w:top w:val="single" w:sz="12" w:space="0" w:color="auto"/>
              <w:left w:val="single" w:sz="12" w:space="0" w:color="auto"/>
              <w:bottom w:val="single" w:sz="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4</w:t>
            </w:r>
          </w:p>
        </w:tc>
        <w:tc>
          <w:tcPr>
            <w:tcW w:w="1656" w:type="dxa"/>
            <w:tcBorders>
              <w:top w:val="single" w:sz="12" w:space="0" w:color="auto"/>
              <w:left w:val="single" w:sz="12" w:space="0" w:color="auto"/>
              <w:bottom w:val="single" w:sz="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5</w:t>
            </w:r>
          </w:p>
        </w:tc>
        <w:tc>
          <w:tcPr>
            <w:tcW w:w="1656" w:type="dxa"/>
            <w:gridSpan w:val="2"/>
            <w:tcBorders>
              <w:top w:val="single" w:sz="12" w:space="0" w:color="auto"/>
              <w:left w:val="single" w:sz="12" w:space="0" w:color="auto"/>
              <w:bottom w:val="single" w:sz="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2</w:t>
            </w:r>
          </w:p>
        </w:tc>
        <w:tc>
          <w:tcPr>
            <w:tcW w:w="1656" w:type="dxa"/>
            <w:tcBorders>
              <w:top w:val="single" w:sz="12" w:space="0" w:color="auto"/>
              <w:left w:val="single" w:sz="12" w:space="0" w:color="auto"/>
              <w:bottom w:val="single" w:sz="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3</w:t>
            </w:r>
          </w:p>
        </w:tc>
      </w:tr>
      <w:tr w:rsidR="00051438" w:rsidRPr="00D360FF" w:rsidTr="00051438">
        <w:tc>
          <w:tcPr>
            <w:tcW w:w="2088" w:type="dxa"/>
            <w:tcBorders>
              <w:top w:val="single" w:sz="2" w:space="0" w:color="auto"/>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i/>
                <w:sz w:val="17"/>
                <w:szCs w:val="17"/>
                <w:vertAlign w:val="subscript"/>
              </w:rPr>
            </w:pPr>
            <w:r w:rsidRPr="00D360FF">
              <w:rPr>
                <w:b/>
                <w:i/>
                <w:sz w:val="17"/>
                <w:szCs w:val="17"/>
              </w:rPr>
              <w:t>m</w:t>
            </w:r>
            <w:r w:rsidRPr="00D360FF">
              <w:rPr>
                <w:b/>
                <w:i/>
                <w:sz w:val="17"/>
                <w:szCs w:val="17"/>
                <w:vertAlign w:val="subscript"/>
              </w:rPr>
              <w:t>2</w:t>
            </w:r>
          </w:p>
        </w:tc>
        <w:tc>
          <w:tcPr>
            <w:tcW w:w="1656" w:type="dxa"/>
            <w:tcBorders>
              <w:top w:val="single" w:sz="2" w:space="0" w:color="auto"/>
              <w:left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3</w:t>
            </w:r>
          </w:p>
        </w:tc>
        <w:tc>
          <w:tcPr>
            <w:tcW w:w="1656" w:type="dxa"/>
            <w:tcBorders>
              <w:top w:val="single" w:sz="2" w:space="0" w:color="auto"/>
              <w:left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4</w:t>
            </w:r>
          </w:p>
        </w:tc>
        <w:tc>
          <w:tcPr>
            <w:tcW w:w="1656" w:type="dxa"/>
            <w:tcBorders>
              <w:top w:val="single" w:sz="2" w:space="0" w:color="auto"/>
              <w:left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5</w:t>
            </w:r>
          </w:p>
        </w:tc>
        <w:tc>
          <w:tcPr>
            <w:tcW w:w="1656" w:type="dxa"/>
            <w:gridSpan w:val="2"/>
            <w:tcBorders>
              <w:top w:val="single" w:sz="2" w:space="0" w:color="auto"/>
              <w:left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1</w:t>
            </w:r>
          </w:p>
        </w:tc>
        <w:tc>
          <w:tcPr>
            <w:tcW w:w="1656" w:type="dxa"/>
            <w:tcBorders>
              <w:top w:val="single" w:sz="2" w:space="0" w:color="auto"/>
              <w:lef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2</w:t>
            </w:r>
          </w:p>
        </w:tc>
      </w:tr>
      <w:tr w:rsidR="00051438" w:rsidRPr="00D360FF" w:rsidTr="00051438">
        <w:tc>
          <w:tcPr>
            <w:tcW w:w="2088" w:type="dxa"/>
            <w:tcBorders>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i/>
                <w:sz w:val="17"/>
                <w:szCs w:val="17"/>
                <w:vertAlign w:val="subscript"/>
              </w:rPr>
            </w:pPr>
            <w:r w:rsidRPr="00D360FF">
              <w:rPr>
                <w:b/>
                <w:i/>
                <w:sz w:val="17"/>
                <w:szCs w:val="17"/>
              </w:rPr>
              <w:t>m</w:t>
            </w:r>
            <w:r w:rsidRPr="00D360FF">
              <w:rPr>
                <w:b/>
                <w:i/>
                <w:sz w:val="17"/>
                <w:szCs w:val="17"/>
                <w:vertAlign w:val="subscript"/>
              </w:rPr>
              <w:t>3</w:t>
            </w:r>
          </w:p>
        </w:tc>
        <w:tc>
          <w:tcPr>
            <w:tcW w:w="1656" w:type="dxa"/>
            <w:tcBorders>
              <w:left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3</w:t>
            </w:r>
          </w:p>
        </w:tc>
        <w:tc>
          <w:tcPr>
            <w:tcW w:w="1656" w:type="dxa"/>
            <w:tcBorders>
              <w:left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4</w:t>
            </w:r>
          </w:p>
        </w:tc>
        <w:tc>
          <w:tcPr>
            <w:tcW w:w="1656" w:type="dxa"/>
            <w:tcBorders>
              <w:left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5</w:t>
            </w:r>
          </w:p>
        </w:tc>
        <w:tc>
          <w:tcPr>
            <w:tcW w:w="1656" w:type="dxa"/>
            <w:gridSpan w:val="2"/>
            <w:tcBorders>
              <w:left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2</w:t>
            </w:r>
          </w:p>
        </w:tc>
        <w:tc>
          <w:tcPr>
            <w:tcW w:w="1656" w:type="dxa"/>
            <w:tcBorders>
              <w:lef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1</w:t>
            </w:r>
          </w:p>
        </w:tc>
      </w:tr>
      <w:tr w:rsidR="00051438" w:rsidRPr="00D360FF" w:rsidTr="00051438">
        <w:tc>
          <w:tcPr>
            <w:tcW w:w="2088" w:type="dxa"/>
            <w:tcBorders>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i/>
                <w:sz w:val="17"/>
                <w:szCs w:val="17"/>
                <w:vertAlign w:val="subscript"/>
              </w:rPr>
            </w:pPr>
            <w:r w:rsidRPr="00D360FF">
              <w:rPr>
                <w:b/>
                <w:i/>
                <w:sz w:val="17"/>
                <w:szCs w:val="17"/>
              </w:rPr>
              <w:t>m</w:t>
            </w:r>
            <w:r w:rsidRPr="00D360FF">
              <w:rPr>
                <w:b/>
                <w:i/>
                <w:sz w:val="17"/>
                <w:szCs w:val="17"/>
                <w:vertAlign w:val="subscript"/>
              </w:rPr>
              <w:t>4</w:t>
            </w:r>
          </w:p>
        </w:tc>
        <w:tc>
          <w:tcPr>
            <w:tcW w:w="1656" w:type="dxa"/>
            <w:tcBorders>
              <w:left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1</w:t>
            </w:r>
          </w:p>
        </w:tc>
        <w:tc>
          <w:tcPr>
            <w:tcW w:w="1656" w:type="dxa"/>
            <w:tcBorders>
              <w:left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5</w:t>
            </w:r>
          </w:p>
        </w:tc>
        <w:tc>
          <w:tcPr>
            <w:tcW w:w="1656" w:type="dxa"/>
            <w:tcBorders>
              <w:left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3</w:t>
            </w:r>
          </w:p>
        </w:tc>
        <w:tc>
          <w:tcPr>
            <w:tcW w:w="1656" w:type="dxa"/>
            <w:gridSpan w:val="2"/>
            <w:tcBorders>
              <w:left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2</w:t>
            </w:r>
          </w:p>
        </w:tc>
        <w:tc>
          <w:tcPr>
            <w:tcW w:w="1656" w:type="dxa"/>
            <w:tcBorders>
              <w:lef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4</w:t>
            </w:r>
          </w:p>
        </w:tc>
      </w:tr>
      <w:tr w:rsidR="00051438" w:rsidRPr="00D360FF" w:rsidTr="00051438">
        <w:tc>
          <w:tcPr>
            <w:tcW w:w="2088" w:type="dxa"/>
            <w:tcBorders>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i/>
                <w:sz w:val="17"/>
                <w:szCs w:val="17"/>
                <w:vertAlign w:val="subscript"/>
              </w:rPr>
            </w:pPr>
            <w:r w:rsidRPr="00D360FF">
              <w:rPr>
                <w:b/>
                <w:i/>
                <w:sz w:val="17"/>
                <w:szCs w:val="17"/>
              </w:rPr>
              <w:t>m</w:t>
            </w:r>
            <w:r w:rsidRPr="00D360FF">
              <w:rPr>
                <w:b/>
                <w:i/>
                <w:sz w:val="17"/>
                <w:szCs w:val="17"/>
                <w:vertAlign w:val="subscript"/>
              </w:rPr>
              <w:t>5</w:t>
            </w:r>
          </w:p>
        </w:tc>
        <w:tc>
          <w:tcPr>
            <w:tcW w:w="1656" w:type="dxa"/>
            <w:tcBorders>
              <w:left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3</w:t>
            </w:r>
          </w:p>
        </w:tc>
        <w:tc>
          <w:tcPr>
            <w:tcW w:w="1656" w:type="dxa"/>
            <w:tcBorders>
              <w:left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4</w:t>
            </w:r>
          </w:p>
        </w:tc>
        <w:tc>
          <w:tcPr>
            <w:tcW w:w="1656" w:type="dxa"/>
            <w:tcBorders>
              <w:left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5</w:t>
            </w:r>
          </w:p>
        </w:tc>
        <w:tc>
          <w:tcPr>
            <w:tcW w:w="1656" w:type="dxa"/>
            <w:gridSpan w:val="2"/>
            <w:tcBorders>
              <w:left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1</w:t>
            </w:r>
          </w:p>
        </w:tc>
        <w:tc>
          <w:tcPr>
            <w:tcW w:w="1656" w:type="dxa"/>
            <w:tcBorders>
              <w:lef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2</w:t>
            </w:r>
          </w:p>
        </w:tc>
      </w:tr>
      <w:tr w:rsidR="00051438" w:rsidRPr="00D360FF" w:rsidTr="00051438">
        <w:tc>
          <w:tcPr>
            <w:tcW w:w="2088" w:type="dxa"/>
            <w:tcBorders>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i/>
                <w:sz w:val="17"/>
                <w:szCs w:val="17"/>
                <w:vertAlign w:val="subscript"/>
              </w:rPr>
            </w:pPr>
            <w:r w:rsidRPr="00D360FF">
              <w:rPr>
                <w:b/>
                <w:i/>
                <w:sz w:val="17"/>
                <w:szCs w:val="17"/>
              </w:rPr>
              <w:t>m</w:t>
            </w:r>
            <w:r w:rsidRPr="00D360FF">
              <w:rPr>
                <w:b/>
                <w:i/>
                <w:sz w:val="17"/>
                <w:szCs w:val="17"/>
                <w:vertAlign w:val="subscript"/>
              </w:rPr>
              <w:t>6</w:t>
            </w:r>
          </w:p>
        </w:tc>
        <w:tc>
          <w:tcPr>
            <w:tcW w:w="1656" w:type="dxa"/>
            <w:tcBorders>
              <w:left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1</w:t>
            </w:r>
          </w:p>
        </w:tc>
        <w:tc>
          <w:tcPr>
            <w:tcW w:w="1656" w:type="dxa"/>
            <w:tcBorders>
              <w:left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5</w:t>
            </w:r>
          </w:p>
        </w:tc>
        <w:tc>
          <w:tcPr>
            <w:tcW w:w="1656" w:type="dxa"/>
            <w:tcBorders>
              <w:left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3</w:t>
            </w:r>
          </w:p>
        </w:tc>
        <w:tc>
          <w:tcPr>
            <w:tcW w:w="1656" w:type="dxa"/>
            <w:gridSpan w:val="2"/>
            <w:tcBorders>
              <w:left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2</w:t>
            </w:r>
          </w:p>
        </w:tc>
        <w:tc>
          <w:tcPr>
            <w:tcW w:w="1656" w:type="dxa"/>
            <w:tcBorders>
              <w:lef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4</w:t>
            </w:r>
          </w:p>
        </w:tc>
      </w:tr>
      <w:tr w:rsidR="00051438" w:rsidRPr="00D360FF" w:rsidTr="00051438">
        <w:tc>
          <w:tcPr>
            <w:tcW w:w="2088" w:type="dxa"/>
            <w:tcBorders>
              <w:bottom w:val="single" w:sz="2" w:space="0" w:color="auto"/>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i/>
                <w:sz w:val="17"/>
                <w:szCs w:val="17"/>
                <w:vertAlign w:val="subscript"/>
              </w:rPr>
            </w:pPr>
            <w:r w:rsidRPr="00D360FF">
              <w:rPr>
                <w:b/>
                <w:i/>
                <w:sz w:val="17"/>
                <w:szCs w:val="17"/>
              </w:rPr>
              <w:t>m</w:t>
            </w:r>
            <w:r w:rsidRPr="00D360FF">
              <w:rPr>
                <w:b/>
                <w:i/>
                <w:sz w:val="17"/>
                <w:szCs w:val="17"/>
                <w:vertAlign w:val="subscript"/>
              </w:rPr>
              <w:t>7</w:t>
            </w:r>
          </w:p>
        </w:tc>
        <w:tc>
          <w:tcPr>
            <w:tcW w:w="1656" w:type="dxa"/>
            <w:tcBorders>
              <w:left w:val="single" w:sz="12" w:space="0" w:color="auto"/>
              <w:bottom w:val="single" w:sz="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3</w:t>
            </w:r>
          </w:p>
        </w:tc>
        <w:tc>
          <w:tcPr>
            <w:tcW w:w="1656" w:type="dxa"/>
            <w:tcBorders>
              <w:left w:val="single" w:sz="12" w:space="0" w:color="auto"/>
              <w:bottom w:val="single" w:sz="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2</w:t>
            </w:r>
          </w:p>
        </w:tc>
        <w:tc>
          <w:tcPr>
            <w:tcW w:w="1656" w:type="dxa"/>
            <w:tcBorders>
              <w:left w:val="single" w:sz="12" w:space="0" w:color="auto"/>
              <w:bottom w:val="single" w:sz="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5</w:t>
            </w:r>
          </w:p>
        </w:tc>
        <w:tc>
          <w:tcPr>
            <w:tcW w:w="1656" w:type="dxa"/>
            <w:gridSpan w:val="2"/>
            <w:tcBorders>
              <w:left w:val="single" w:sz="12" w:space="0" w:color="auto"/>
              <w:bottom w:val="single" w:sz="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1</w:t>
            </w:r>
          </w:p>
        </w:tc>
        <w:tc>
          <w:tcPr>
            <w:tcW w:w="1656" w:type="dxa"/>
            <w:tcBorders>
              <w:left w:val="single" w:sz="12" w:space="0" w:color="auto"/>
              <w:bottom w:val="single" w:sz="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4</w:t>
            </w:r>
          </w:p>
        </w:tc>
      </w:tr>
      <w:tr w:rsidR="00051438" w:rsidRPr="00D360FF" w:rsidTr="00051438">
        <w:tc>
          <w:tcPr>
            <w:tcW w:w="2088" w:type="dxa"/>
            <w:tcBorders>
              <w:bottom w:val="single" w:sz="2" w:space="0" w:color="auto"/>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i/>
                <w:sz w:val="17"/>
                <w:szCs w:val="17"/>
                <w:vertAlign w:val="subscript"/>
              </w:rPr>
            </w:pPr>
            <w:r w:rsidRPr="00D360FF">
              <w:rPr>
                <w:b/>
                <w:i/>
                <w:sz w:val="17"/>
                <w:szCs w:val="17"/>
              </w:rPr>
              <w:t>m</w:t>
            </w:r>
            <w:r w:rsidRPr="00D360FF">
              <w:rPr>
                <w:b/>
                <w:i/>
                <w:sz w:val="17"/>
                <w:szCs w:val="17"/>
                <w:vertAlign w:val="subscript"/>
              </w:rPr>
              <w:t>8</w:t>
            </w:r>
          </w:p>
        </w:tc>
        <w:tc>
          <w:tcPr>
            <w:tcW w:w="1656" w:type="dxa"/>
            <w:tcBorders>
              <w:left w:val="single" w:sz="12" w:space="0" w:color="auto"/>
              <w:bottom w:val="single" w:sz="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3</w:t>
            </w:r>
          </w:p>
        </w:tc>
        <w:tc>
          <w:tcPr>
            <w:tcW w:w="1656" w:type="dxa"/>
            <w:tcBorders>
              <w:left w:val="single" w:sz="12" w:space="0" w:color="auto"/>
              <w:bottom w:val="single" w:sz="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5</w:t>
            </w:r>
          </w:p>
        </w:tc>
        <w:tc>
          <w:tcPr>
            <w:tcW w:w="1656" w:type="dxa"/>
            <w:tcBorders>
              <w:left w:val="single" w:sz="12" w:space="0" w:color="auto"/>
              <w:bottom w:val="single" w:sz="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4</w:t>
            </w:r>
          </w:p>
        </w:tc>
        <w:tc>
          <w:tcPr>
            <w:tcW w:w="1656" w:type="dxa"/>
            <w:gridSpan w:val="2"/>
            <w:tcBorders>
              <w:left w:val="single" w:sz="12" w:space="0" w:color="auto"/>
              <w:bottom w:val="single" w:sz="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1</w:t>
            </w:r>
          </w:p>
        </w:tc>
        <w:tc>
          <w:tcPr>
            <w:tcW w:w="1656" w:type="dxa"/>
            <w:tcBorders>
              <w:left w:val="single" w:sz="12" w:space="0" w:color="auto"/>
              <w:bottom w:val="single" w:sz="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2</w:t>
            </w:r>
          </w:p>
        </w:tc>
      </w:tr>
      <w:tr w:rsidR="00051438" w:rsidRPr="00D360FF" w:rsidTr="00051438">
        <w:tc>
          <w:tcPr>
            <w:tcW w:w="2088" w:type="dxa"/>
            <w:tcBorders>
              <w:bottom w:val="single" w:sz="2" w:space="0" w:color="auto"/>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i/>
                <w:sz w:val="17"/>
                <w:szCs w:val="17"/>
                <w:vertAlign w:val="subscript"/>
              </w:rPr>
            </w:pPr>
            <w:r w:rsidRPr="00D360FF">
              <w:rPr>
                <w:b/>
                <w:i/>
                <w:sz w:val="17"/>
                <w:szCs w:val="17"/>
              </w:rPr>
              <w:t>m</w:t>
            </w:r>
            <w:r w:rsidRPr="00D360FF">
              <w:rPr>
                <w:b/>
                <w:i/>
                <w:sz w:val="17"/>
                <w:szCs w:val="17"/>
                <w:vertAlign w:val="subscript"/>
              </w:rPr>
              <w:t>9</w:t>
            </w:r>
          </w:p>
        </w:tc>
        <w:tc>
          <w:tcPr>
            <w:tcW w:w="1656" w:type="dxa"/>
            <w:tcBorders>
              <w:left w:val="single" w:sz="12" w:space="0" w:color="auto"/>
              <w:bottom w:val="single" w:sz="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1</w:t>
            </w:r>
          </w:p>
        </w:tc>
        <w:tc>
          <w:tcPr>
            <w:tcW w:w="1656" w:type="dxa"/>
            <w:tcBorders>
              <w:left w:val="single" w:sz="12" w:space="0" w:color="auto"/>
              <w:bottom w:val="single" w:sz="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3</w:t>
            </w:r>
          </w:p>
        </w:tc>
        <w:tc>
          <w:tcPr>
            <w:tcW w:w="1656" w:type="dxa"/>
            <w:tcBorders>
              <w:left w:val="single" w:sz="12" w:space="0" w:color="auto"/>
              <w:bottom w:val="single" w:sz="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5</w:t>
            </w:r>
          </w:p>
        </w:tc>
        <w:tc>
          <w:tcPr>
            <w:tcW w:w="1656" w:type="dxa"/>
            <w:gridSpan w:val="2"/>
            <w:tcBorders>
              <w:left w:val="single" w:sz="12" w:space="0" w:color="auto"/>
              <w:bottom w:val="single" w:sz="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4</w:t>
            </w:r>
          </w:p>
        </w:tc>
        <w:tc>
          <w:tcPr>
            <w:tcW w:w="1656" w:type="dxa"/>
            <w:tcBorders>
              <w:left w:val="single" w:sz="12" w:space="0" w:color="auto"/>
              <w:bottom w:val="single" w:sz="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2</w:t>
            </w:r>
          </w:p>
        </w:tc>
      </w:tr>
      <w:tr w:rsidR="00051438" w:rsidRPr="00D360FF" w:rsidTr="00051438">
        <w:tc>
          <w:tcPr>
            <w:tcW w:w="2088" w:type="dxa"/>
            <w:tcBorders>
              <w:top w:val="single" w:sz="2" w:space="0" w:color="auto"/>
              <w:bottom w:val="single" w:sz="12" w:space="0" w:color="auto"/>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i/>
                <w:sz w:val="17"/>
                <w:szCs w:val="17"/>
                <w:vertAlign w:val="subscript"/>
              </w:rPr>
            </w:pPr>
            <w:r w:rsidRPr="00D360FF">
              <w:rPr>
                <w:b/>
                <w:i/>
                <w:sz w:val="17"/>
                <w:szCs w:val="17"/>
              </w:rPr>
              <w:t>m</w:t>
            </w:r>
            <w:r w:rsidRPr="00D360FF">
              <w:rPr>
                <w:b/>
                <w:i/>
                <w:sz w:val="17"/>
                <w:szCs w:val="17"/>
                <w:vertAlign w:val="subscript"/>
              </w:rPr>
              <w:t>10</w:t>
            </w:r>
          </w:p>
        </w:tc>
        <w:tc>
          <w:tcPr>
            <w:tcW w:w="1656" w:type="dxa"/>
            <w:tcBorders>
              <w:top w:val="single" w:sz="2" w:space="0" w:color="auto"/>
              <w:left w:val="single" w:sz="12" w:space="0" w:color="auto"/>
              <w:bottom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1</w:t>
            </w:r>
          </w:p>
        </w:tc>
        <w:tc>
          <w:tcPr>
            <w:tcW w:w="1656" w:type="dxa"/>
            <w:tcBorders>
              <w:top w:val="single" w:sz="2" w:space="0" w:color="auto"/>
              <w:left w:val="single" w:sz="12" w:space="0" w:color="auto"/>
              <w:bottom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5</w:t>
            </w:r>
          </w:p>
        </w:tc>
        <w:tc>
          <w:tcPr>
            <w:tcW w:w="1656" w:type="dxa"/>
            <w:tcBorders>
              <w:top w:val="single" w:sz="2" w:space="0" w:color="auto"/>
              <w:left w:val="single" w:sz="12" w:space="0" w:color="auto"/>
              <w:bottom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4</w:t>
            </w:r>
          </w:p>
        </w:tc>
        <w:tc>
          <w:tcPr>
            <w:tcW w:w="1656" w:type="dxa"/>
            <w:gridSpan w:val="2"/>
            <w:tcBorders>
              <w:top w:val="single" w:sz="2" w:space="0" w:color="auto"/>
              <w:left w:val="single" w:sz="12" w:space="0" w:color="auto"/>
              <w:bottom w:val="single" w:sz="12" w:space="0" w:color="auto"/>
              <w:right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2</w:t>
            </w:r>
          </w:p>
        </w:tc>
        <w:tc>
          <w:tcPr>
            <w:tcW w:w="1656" w:type="dxa"/>
            <w:tcBorders>
              <w:top w:val="single" w:sz="2" w:space="0" w:color="auto"/>
              <w:left w:val="single" w:sz="12" w:space="0" w:color="auto"/>
              <w:bottom w:val="single" w:sz="12" w:space="0" w:color="auto"/>
            </w:tcBorders>
            <w:shd w:val="clear" w:color="auto" w:fill="E5B8B7" w:themeFill="accent2" w:themeFillTint="66"/>
            <w:vAlign w:val="center"/>
          </w:tcPr>
          <w:p w:rsidR="00051438" w:rsidRPr="00D360FF" w:rsidRDefault="00051438" w:rsidP="00051438">
            <w:pPr>
              <w:spacing w:after="0" w:line="240" w:lineRule="auto"/>
              <w:ind w:firstLine="0"/>
              <w:jc w:val="center"/>
              <w:rPr>
                <w:sz w:val="17"/>
                <w:szCs w:val="17"/>
              </w:rPr>
            </w:pPr>
            <w:r w:rsidRPr="00D360FF">
              <w:rPr>
                <w:sz w:val="17"/>
                <w:szCs w:val="17"/>
              </w:rPr>
              <w:t>3</w:t>
            </w:r>
          </w:p>
        </w:tc>
      </w:tr>
      <w:tr w:rsidR="00051438" w:rsidRPr="00D360FF" w:rsidTr="00051438">
        <w:tc>
          <w:tcPr>
            <w:tcW w:w="2088" w:type="dxa"/>
            <w:tcBorders>
              <w:top w:val="single" w:sz="12" w:space="0" w:color="auto"/>
              <w:bottom w:val="single" w:sz="12" w:space="0" w:color="auto"/>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i/>
                <w:color w:val="0070C0"/>
                <w:sz w:val="17"/>
                <w:szCs w:val="17"/>
              </w:rPr>
            </w:pPr>
            <w:r w:rsidRPr="00D360FF">
              <w:rPr>
                <w:b/>
                <w:i/>
                <w:sz w:val="17"/>
                <w:szCs w:val="17"/>
              </w:rPr>
              <w:t>Rangų suma</w:t>
            </w:r>
          </w:p>
        </w:tc>
        <w:tc>
          <w:tcPr>
            <w:tcW w:w="16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sz w:val="17"/>
                <w:szCs w:val="17"/>
              </w:rPr>
            </w:pPr>
            <w:r w:rsidRPr="00D360FF">
              <w:rPr>
                <w:b/>
                <w:sz w:val="17"/>
                <w:szCs w:val="17"/>
              </w:rPr>
              <w:t>20</w:t>
            </w:r>
          </w:p>
        </w:tc>
        <w:tc>
          <w:tcPr>
            <w:tcW w:w="16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sz w:val="17"/>
                <w:szCs w:val="17"/>
              </w:rPr>
            </w:pPr>
            <w:r w:rsidRPr="00D360FF">
              <w:rPr>
                <w:b/>
                <w:sz w:val="17"/>
                <w:szCs w:val="17"/>
              </w:rPr>
              <w:t>41</w:t>
            </w:r>
          </w:p>
        </w:tc>
        <w:tc>
          <w:tcPr>
            <w:tcW w:w="16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sz w:val="17"/>
                <w:szCs w:val="17"/>
              </w:rPr>
            </w:pPr>
            <w:r w:rsidRPr="00D360FF">
              <w:rPr>
                <w:b/>
                <w:sz w:val="17"/>
                <w:szCs w:val="17"/>
              </w:rPr>
              <w:t>44</w:t>
            </w:r>
          </w:p>
        </w:tc>
        <w:tc>
          <w:tcPr>
            <w:tcW w:w="165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51438" w:rsidRPr="00D360FF" w:rsidRDefault="00051438" w:rsidP="00051438">
            <w:pPr>
              <w:spacing w:after="0" w:line="240" w:lineRule="auto"/>
              <w:ind w:firstLine="0"/>
              <w:jc w:val="center"/>
              <w:rPr>
                <w:b/>
                <w:sz w:val="17"/>
                <w:szCs w:val="17"/>
              </w:rPr>
            </w:pPr>
            <w:r w:rsidRPr="00D360FF">
              <w:rPr>
                <w:b/>
                <w:sz w:val="17"/>
                <w:szCs w:val="17"/>
              </w:rPr>
              <w:t>18</w:t>
            </w:r>
          </w:p>
        </w:tc>
        <w:tc>
          <w:tcPr>
            <w:tcW w:w="1656" w:type="dxa"/>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sz w:val="17"/>
                <w:szCs w:val="17"/>
              </w:rPr>
            </w:pPr>
            <w:r>
              <w:rPr>
                <w:b/>
                <w:sz w:val="17"/>
                <w:szCs w:val="17"/>
              </w:rPr>
              <w:t>2</w:t>
            </w:r>
            <w:r w:rsidRPr="00D360FF">
              <w:rPr>
                <w:b/>
                <w:sz w:val="17"/>
                <w:szCs w:val="17"/>
              </w:rPr>
              <w:t>7</w:t>
            </w:r>
          </w:p>
        </w:tc>
      </w:tr>
      <w:tr w:rsidR="00051438" w:rsidRPr="00D360FF" w:rsidTr="00051438">
        <w:tc>
          <w:tcPr>
            <w:tcW w:w="2088" w:type="dxa"/>
            <w:tcBorders>
              <w:top w:val="single" w:sz="12" w:space="0" w:color="auto"/>
              <w:bottom w:val="single" w:sz="12" w:space="0" w:color="auto"/>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i/>
                <w:sz w:val="17"/>
                <w:szCs w:val="17"/>
              </w:rPr>
            </w:pPr>
            <w:r w:rsidRPr="00D360FF">
              <w:rPr>
                <w:b/>
                <w:i/>
                <w:sz w:val="17"/>
                <w:szCs w:val="17"/>
              </w:rPr>
              <w:t>Rangų sumų vidurkis a</w:t>
            </w:r>
          </w:p>
        </w:tc>
        <w:tc>
          <w:tcPr>
            <w:tcW w:w="16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sz w:val="17"/>
                <w:szCs w:val="17"/>
              </w:rPr>
            </w:pPr>
            <w:r w:rsidRPr="00D360FF">
              <w:rPr>
                <w:b/>
                <w:sz w:val="17"/>
                <w:szCs w:val="17"/>
              </w:rPr>
              <w:t>30</w:t>
            </w:r>
          </w:p>
        </w:tc>
        <w:tc>
          <w:tcPr>
            <w:tcW w:w="16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360FF" w:rsidRDefault="00051438" w:rsidP="00051438">
            <w:pPr>
              <w:spacing w:line="240" w:lineRule="auto"/>
              <w:ind w:firstLine="0"/>
              <w:jc w:val="center"/>
              <w:rPr>
                <w:b/>
                <w:sz w:val="17"/>
                <w:szCs w:val="17"/>
              </w:rPr>
            </w:pPr>
            <w:r w:rsidRPr="00D360FF">
              <w:rPr>
                <w:b/>
                <w:sz w:val="17"/>
                <w:szCs w:val="17"/>
              </w:rPr>
              <w:t>30</w:t>
            </w:r>
          </w:p>
        </w:tc>
        <w:tc>
          <w:tcPr>
            <w:tcW w:w="16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360FF" w:rsidRDefault="00051438" w:rsidP="00051438">
            <w:pPr>
              <w:spacing w:line="240" w:lineRule="auto"/>
              <w:ind w:firstLine="0"/>
              <w:jc w:val="center"/>
              <w:rPr>
                <w:b/>
                <w:sz w:val="17"/>
                <w:szCs w:val="17"/>
              </w:rPr>
            </w:pPr>
            <w:r w:rsidRPr="00D360FF">
              <w:rPr>
                <w:b/>
                <w:sz w:val="17"/>
                <w:szCs w:val="17"/>
              </w:rPr>
              <w:t>30</w:t>
            </w:r>
          </w:p>
        </w:tc>
        <w:tc>
          <w:tcPr>
            <w:tcW w:w="165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360FF" w:rsidRDefault="00051438" w:rsidP="00051438">
            <w:pPr>
              <w:spacing w:line="240" w:lineRule="auto"/>
              <w:ind w:firstLine="0"/>
              <w:jc w:val="center"/>
              <w:rPr>
                <w:b/>
                <w:sz w:val="17"/>
                <w:szCs w:val="17"/>
              </w:rPr>
            </w:pPr>
            <w:r w:rsidRPr="00D360FF">
              <w:rPr>
                <w:b/>
                <w:sz w:val="17"/>
                <w:szCs w:val="17"/>
              </w:rPr>
              <w:t>30</w:t>
            </w:r>
          </w:p>
        </w:tc>
        <w:tc>
          <w:tcPr>
            <w:tcW w:w="1656" w:type="dxa"/>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D360FF" w:rsidRDefault="00051438" w:rsidP="00051438">
            <w:pPr>
              <w:spacing w:line="240" w:lineRule="auto"/>
              <w:ind w:firstLine="0"/>
              <w:jc w:val="center"/>
              <w:rPr>
                <w:b/>
                <w:sz w:val="17"/>
                <w:szCs w:val="17"/>
              </w:rPr>
            </w:pPr>
            <w:r w:rsidRPr="00D360FF">
              <w:rPr>
                <w:b/>
                <w:sz w:val="17"/>
                <w:szCs w:val="17"/>
              </w:rPr>
              <w:t>30</w:t>
            </w:r>
          </w:p>
        </w:tc>
      </w:tr>
      <w:tr w:rsidR="00051438" w:rsidRPr="00D360FF" w:rsidTr="00051438">
        <w:tc>
          <w:tcPr>
            <w:tcW w:w="2088" w:type="dxa"/>
            <w:tcBorders>
              <w:top w:val="single" w:sz="12" w:space="0" w:color="auto"/>
              <w:bottom w:val="single" w:sz="12" w:space="0" w:color="auto"/>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i/>
                <w:sz w:val="17"/>
                <w:szCs w:val="17"/>
              </w:rPr>
            </w:pPr>
            <w:r w:rsidRPr="00D360FF">
              <w:rPr>
                <w:b/>
                <w:i/>
                <w:sz w:val="17"/>
                <w:szCs w:val="17"/>
              </w:rPr>
              <w:t>Nuokrypio kvadratas</w:t>
            </w:r>
          </w:p>
        </w:tc>
        <w:tc>
          <w:tcPr>
            <w:tcW w:w="16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360FF" w:rsidRDefault="00051438" w:rsidP="00051438">
            <w:pPr>
              <w:spacing w:after="0" w:line="240" w:lineRule="auto"/>
              <w:ind w:firstLine="0"/>
              <w:jc w:val="center"/>
              <w:rPr>
                <w:b/>
                <w:sz w:val="17"/>
                <w:szCs w:val="17"/>
              </w:rPr>
            </w:pPr>
            <w:r w:rsidRPr="00D360FF">
              <w:rPr>
                <w:b/>
                <w:sz w:val="17"/>
                <w:szCs w:val="17"/>
              </w:rPr>
              <w:t>100</w:t>
            </w:r>
          </w:p>
        </w:tc>
        <w:tc>
          <w:tcPr>
            <w:tcW w:w="16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360FF" w:rsidRDefault="00051438" w:rsidP="00051438">
            <w:pPr>
              <w:spacing w:line="240" w:lineRule="auto"/>
              <w:ind w:firstLine="0"/>
              <w:jc w:val="center"/>
              <w:rPr>
                <w:b/>
                <w:sz w:val="17"/>
                <w:szCs w:val="17"/>
              </w:rPr>
            </w:pPr>
            <w:r w:rsidRPr="00D360FF">
              <w:rPr>
                <w:b/>
                <w:sz w:val="17"/>
                <w:szCs w:val="17"/>
              </w:rPr>
              <w:t>121</w:t>
            </w:r>
          </w:p>
        </w:tc>
        <w:tc>
          <w:tcPr>
            <w:tcW w:w="16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360FF" w:rsidRDefault="00051438" w:rsidP="00051438">
            <w:pPr>
              <w:spacing w:line="240" w:lineRule="auto"/>
              <w:ind w:firstLine="0"/>
              <w:jc w:val="center"/>
              <w:rPr>
                <w:b/>
                <w:sz w:val="17"/>
                <w:szCs w:val="17"/>
              </w:rPr>
            </w:pPr>
            <w:r w:rsidRPr="00D360FF">
              <w:rPr>
                <w:b/>
                <w:sz w:val="17"/>
                <w:szCs w:val="17"/>
              </w:rPr>
              <w:t>196</w:t>
            </w:r>
          </w:p>
        </w:tc>
        <w:tc>
          <w:tcPr>
            <w:tcW w:w="165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D360FF" w:rsidRDefault="00051438" w:rsidP="00051438">
            <w:pPr>
              <w:spacing w:line="240" w:lineRule="auto"/>
              <w:ind w:firstLine="0"/>
              <w:jc w:val="center"/>
              <w:rPr>
                <w:b/>
                <w:sz w:val="17"/>
                <w:szCs w:val="17"/>
              </w:rPr>
            </w:pPr>
            <w:r w:rsidRPr="00D360FF">
              <w:rPr>
                <w:b/>
                <w:sz w:val="17"/>
                <w:szCs w:val="17"/>
              </w:rPr>
              <w:t>144</w:t>
            </w:r>
          </w:p>
        </w:tc>
        <w:tc>
          <w:tcPr>
            <w:tcW w:w="1656" w:type="dxa"/>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D360FF" w:rsidRDefault="00051438" w:rsidP="00051438">
            <w:pPr>
              <w:spacing w:line="240" w:lineRule="auto"/>
              <w:ind w:firstLine="0"/>
              <w:jc w:val="center"/>
              <w:rPr>
                <w:b/>
                <w:sz w:val="17"/>
                <w:szCs w:val="17"/>
              </w:rPr>
            </w:pPr>
            <w:r w:rsidRPr="00D360FF">
              <w:rPr>
                <w:b/>
                <w:sz w:val="17"/>
                <w:szCs w:val="17"/>
              </w:rPr>
              <w:t>9</w:t>
            </w:r>
          </w:p>
        </w:tc>
      </w:tr>
      <w:tr w:rsidR="00051438" w:rsidRPr="00D360FF" w:rsidTr="00051438">
        <w:tc>
          <w:tcPr>
            <w:tcW w:w="7620" w:type="dxa"/>
            <w:gridSpan w:val="5"/>
            <w:tcBorders>
              <w:top w:val="single" w:sz="12" w:space="0" w:color="auto"/>
              <w:left w:val="nil"/>
              <w:bottom w:val="nil"/>
              <w:right w:val="single" w:sz="12" w:space="0" w:color="auto"/>
            </w:tcBorders>
            <w:shd w:val="clear" w:color="auto" w:fill="auto"/>
            <w:vAlign w:val="center"/>
          </w:tcPr>
          <w:p w:rsidR="00051438" w:rsidRPr="00D360FF" w:rsidRDefault="00051438" w:rsidP="00051438">
            <w:pPr>
              <w:spacing w:line="240" w:lineRule="auto"/>
              <w:ind w:firstLine="0"/>
              <w:jc w:val="center"/>
              <w:rPr>
                <w:b/>
                <w:sz w:val="17"/>
                <w:szCs w:val="17"/>
              </w:rPr>
            </w:pPr>
          </w:p>
        </w:tc>
        <w:tc>
          <w:tcPr>
            <w:tcW w:w="2748"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D360FF" w:rsidRDefault="00051438" w:rsidP="00051438">
            <w:pPr>
              <w:spacing w:line="240" w:lineRule="auto"/>
              <w:ind w:firstLine="0"/>
              <w:jc w:val="center"/>
              <w:rPr>
                <w:b/>
                <w:sz w:val="17"/>
                <w:szCs w:val="17"/>
              </w:rPr>
            </w:pPr>
            <w:r w:rsidRPr="00D360FF">
              <w:rPr>
                <w:b/>
                <w:i/>
                <w:position w:val="-10"/>
                <w:sz w:val="17"/>
                <w:szCs w:val="17"/>
              </w:rPr>
              <w:t>S</w:t>
            </w:r>
            <w:r w:rsidRPr="00D360FF">
              <w:rPr>
                <w:b/>
                <w:i/>
                <w:position w:val="-10"/>
                <w:sz w:val="17"/>
                <w:szCs w:val="17"/>
                <w:vertAlign w:val="superscript"/>
              </w:rPr>
              <w:t>2</w:t>
            </w:r>
            <w:r w:rsidRPr="00D360FF">
              <w:rPr>
                <w:b/>
                <w:i/>
                <w:position w:val="-10"/>
                <w:sz w:val="17"/>
                <w:szCs w:val="17"/>
              </w:rPr>
              <w:t> = </w:t>
            </w:r>
            <w:r>
              <w:rPr>
                <w:b/>
                <w:i/>
                <w:position w:val="-10"/>
                <w:sz w:val="17"/>
                <w:szCs w:val="17"/>
              </w:rPr>
              <w:t>570</w:t>
            </w:r>
            <w:r w:rsidRPr="00D360FF">
              <w:rPr>
                <w:b/>
                <w:i/>
                <w:position w:val="-10"/>
                <w:sz w:val="17"/>
                <w:szCs w:val="17"/>
              </w:rPr>
              <w:t>; W = 0,</w:t>
            </w:r>
            <w:r>
              <w:rPr>
                <w:b/>
                <w:i/>
                <w:position w:val="-10"/>
                <w:sz w:val="17"/>
                <w:szCs w:val="17"/>
              </w:rPr>
              <w:t>57</w:t>
            </w:r>
          </w:p>
        </w:tc>
      </w:tr>
      <w:tr w:rsidR="00051438" w:rsidRPr="00D360FF" w:rsidTr="00051438">
        <w:tc>
          <w:tcPr>
            <w:tcW w:w="10368" w:type="dxa"/>
            <w:gridSpan w:val="7"/>
            <w:tcBorders>
              <w:top w:val="nil"/>
              <w:left w:val="nil"/>
              <w:bottom w:val="single" w:sz="12" w:space="0" w:color="auto"/>
              <w:right w:val="nil"/>
            </w:tcBorders>
            <w:shd w:val="clear" w:color="auto" w:fill="auto"/>
            <w:vAlign w:val="center"/>
          </w:tcPr>
          <w:p w:rsidR="00051438" w:rsidRPr="00D360FF" w:rsidRDefault="00051438" w:rsidP="00051438">
            <w:pPr>
              <w:spacing w:line="240" w:lineRule="auto"/>
              <w:ind w:firstLine="0"/>
              <w:jc w:val="center"/>
              <w:rPr>
                <w:position w:val="-10"/>
                <w:sz w:val="6"/>
                <w:szCs w:val="6"/>
              </w:rPr>
            </w:pPr>
          </w:p>
        </w:tc>
      </w:tr>
      <w:tr w:rsidR="00051438" w:rsidRPr="00D360FF" w:rsidTr="00051438">
        <w:tc>
          <w:tcPr>
            <w:tcW w:w="10368" w:type="dxa"/>
            <w:gridSpan w:val="7"/>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D360FF" w:rsidRDefault="00051438" w:rsidP="00051438">
            <w:pPr>
              <w:spacing w:line="240" w:lineRule="auto"/>
              <w:ind w:firstLine="547"/>
              <w:rPr>
                <w:bCs/>
                <w:iCs/>
                <w:sz w:val="17"/>
                <w:szCs w:val="17"/>
              </w:rPr>
            </w:pPr>
            <w:r w:rsidRPr="00D360FF">
              <w:rPr>
                <w:b/>
                <w:bCs/>
                <w:i/>
                <w:iCs/>
                <w:sz w:val="17"/>
                <w:szCs w:val="17"/>
              </w:rPr>
              <w:t>Konkordancijos koeficiento reikšmingumas</w:t>
            </w:r>
            <w:r w:rsidRPr="00D360FF">
              <w:rPr>
                <w:bCs/>
                <w:iCs/>
                <w:sz w:val="17"/>
                <w:szCs w:val="17"/>
              </w:rPr>
              <w:t xml:space="preserve">: </w:t>
            </w:r>
            <w:r w:rsidRPr="00D360FF">
              <w:rPr>
                <w:rFonts w:eastAsiaTheme="minorHAnsi"/>
                <w:bCs/>
                <w:iCs/>
                <w:position w:val="-10"/>
                <w:sz w:val="17"/>
                <w:szCs w:val="17"/>
                <w:lang w:eastAsia="en-US"/>
              </w:rPr>
              <w:object w:dxaOrig="2380" w:dyaOrig="340">
                <v:shape id="_x0000_i1038" type="#_x0000_t75" style="width:118.5pt;height:17.25pt" o:ole="">
                  <v:imagedata r:id="rId38" o:title=""/>
                </v:shape>
                <o:OLEObject Type="Embed" ProgID="Equation.3" ShapeID="_x0000_i1038" DrawAspect="Content" ObjectID="_1419701011" r:id="rId39"/>
              </w:object>
            </w:r>
            <w:r w:rsidRPr="00D360FF">
              <w:rPr>
                <w:bCs/>
                <w:iCs/>
                <w:sz w:val="17"/>
                <w:szCs w:val="17"/>
              </w:rPr>
              <w:t xml:space="preserve">. Kadangi </w:t>
            </w:r>
            <w:r w:rsidRPr="00D360FF">
              <w:rPr>
                <w:rFonts w:eastAsiaTheme="minorHAnsi"/>
                <w:bCs/>
                <w:i/>
                <w:iCs/>
                <w:position w:val="-10"/>
                <w:sz w:val="17"/>
                <w:szCs w:val="17"/>
                <w:lang w:eastAsia="en-US"/>
              </w:rPr>
              <w:object w:dxaOrig="940" w:dyaOrig="340">
                <v:shape id="_x0000_i1039" type="#_x0000_t75" style="width:47.25pt;height:17.25pt" o:ole="">
                  <v:imagedata r:id="rId40" o:title=""/>
                </v:shape>
                <o:OLEObject Type="Embed" ProgID="Equation.3" ShapeID="_x0000_i1039" DrawAspect="Content" ObjectID="_1419701012" r:id="rId41"/>
              </w:object>
            </w:r>
            <w:r w:rsidRPr="00D360FF">
              <w:rPr>
                <w:bCs/>
                <w:iCs/>
                <w:sz w:val="17"/>
                <w:szCs w:val="17"/>
              </w:rPr>
              <w:t xml:space="preserve"> </w:t>
            </w:r>
            <w:r w:rsidRPr="00D360FF">
              <w:rPr>
                <w:bCs/>
                <w:i/>
                <w:iCs/>
                <w:sz w:val="17"/>
                <w:szCs w:val="17"/>
              </w:rPr>
              <w:t>(esant laisvės laipsnių skaičiui – 4; reikšmingumo lygmeniui – 0,05)</w:t>
            </w:r>
            <w:r w:rsidRPr="00D360FF">
              <w:rPr>
                <w:bCs/>
                <w:iCs/>
                <w:sz w:val="17"/>
                <w:szCs w:val="17"/>
              </w:rPr>
              <w:t xml:space="preserve">, sąlyga </w:t>
            </w:r>
            <w:r w:rsidRPr="00D360FF">
              <w:rPr>
                <w:rFonts w:eastAsiaTheme="minorHAnsi"/>
                <w:position w:val="-10"/>
                <w:sz w:val="17"/>
                <w:szCs w:val="17"/>
                <w:lang w:eastAsia="en-US"/>
              </w:rPr>
              <w:object w:dxaOrig="840" w:dyaOrig="340">
                <v:shape id="_x0000_i1040" type="#_x0000_t75" style="width:42.75pt;height:17.25pt" o:ole="">
                  <v:imagedata r:id="rId31" o:title=""/>
                </v:shape>
                <o:OLEObject Type="Embed" ProgID="Equation.3" ShapeID="_x0000_i1040" DrawAspect="Content" ObjectID="_1419701013" r:id="rId42"/>
              </w:object>
            </w:r>
            <w:r w:rsidRPr="00D360FF">
              <w:rPr>
                <w:position w:val="-12"/>
                <w:sz w:val="17"/>
                <w:szCs w:val="17"/>
              </w:rPr>
              <w:t xml:space="preserve"> </w:t>
            </w:r>
            <w:r w:rsidRPr="00D360FF">
              <w:rPr>
                <w:bCs/>
                <w:iCs/>
                <w:sz w:val="17"/>
                <w:szCs w:val="17"/>
              </w:rPr>
              <w:t xml:space="preserve">yra patenkinama, todėl hipotezę </w:t>
            </w:r>
            <w:r w:rsidRPr="00D360FF">
              <w:rPr>
                <w:bCs/>
                <w:i/>
                <w:iCs/>
                <w:sz w:val="17"/>
                <w:szCs w:val="17"/>
              </w:rPr>
              <w:t>H</w:t>
            </w:r>
            <w:r w:rsidRPr="00D360FF">
              <w:rPr>
                <w:bCs/>
                <w:i/>
                <w:iCs/>
                <w:sz w:val="17"/>
                <w:szCs w:val="17"/>
                <w:vertAlign w:val="subscript"/>
              </w:rPr>
              <w:t>0</w:t>
            </w:r>
            <w:r w:rsidRPr="00D360FF">
              <w:rPr>
                <w:bCs/>
                <w:iCs/>
                <w:sz w:val="17"/>
                <w:szCs w:val="17"/>
              </w:rPr>
              <w:t xml:space="preserve"> galima atmesti</w:t>
            </w:r>
            <w:r>
              <w:rPr>
                <w:bCs/>
                <w:iCs/>
                <w:sz w:val="17"/>
                <w:szCs w:val="17"/>
              </w:rPr>
              <w:t xml:space="preserve"> ir ekspertų vertinimus laikyti panašiais.</w:t>
            </w:r>
          </w:p>
        </w:tc>
      </w:tr>
    </w:tbl>
    <w:p w:rsidR="00051438" w:rsidRPr="00A77604" w:rsidRDefault="00051438" w:rsidP="00051438">
      <w:pPr>
        <w:rPr>
          <w:sz w:val="20"/>
        </w:rPr>
      </w:pPr>
      <w:r w:rsidRPr="00A77604">
        <w:rPr>
          <w:b/>
          <w:sz w:val="20"/>
        </w:rPr>
        <w:t>Šaltinis</w:t>
      </w:r>
      <w:r w:rsidRPr="00A77604">
        <w:rPr>
          <w:sz w:val="20"/>
        </w:rPr>
        <w:t>: sudaryta šio darbo autorės</w:t>
      </w:r>
      <w:r>
        <w:rPr>
          <w:sz w:val="20"/>
        </w:rPr>
        <w:t>, remiantis ekspertų vertinimais</w:t>
      </w:r>
    </w:p>
    <w:p w:rsidR="00051438" w:rsidRDefault="00051438" w:rsidP="00051438">
      <w:pPr>
        <w:spacing w:after="0"/>
      </w:pPr>
      <w:r>
        <w:t xml:space="preserve">Iš </w:t>
      </w:r>
      <w:r w:rsidRPr="00C02D25">
        <w:t>ekonominių veiksnių</w:t>
      </w:r>
      <w:r w:rsidRPr="00A77604">
        <w:t xml:space="preserve"> </w:t>
      </w:r>
      <w:r>
        <w:t xml:space="preserve">ekspertai iškart nurodė pagrindinius </w:t>
      </w:r>
      <w:r w:rsidRPr="00C02D25">
        <w:t>veiksnius,</w:t>
      </w:r>
      <w:r>
        <w:t xml:space="preserve"> kurie turėtų lemti sprendimo pajamas kaupti iš socialinės apsaugos lėšų priėmimą, t. y. </w:t>
      </w:r>
      <w:r w:rsidRPr="00F332AC">
        <w:rPr>
          <w:i/>
        </w:rPr>
        <w:t>skurdo „spąstus“</w:t>
      </w:r>
      <w:r>
        <w:rPr>
          <w:i/>
        </w:rPr>
        <w:t xml:space="preserve"> (c</w:t>
      </w:r>
      <w:r>
        <w:rPr>
          <w:i/>
          <w:vertAlign w:val="subscript"/>
        </w:rPr>
        <w:t>4</w:t>
      </w:r>
      <w:r>
        <w:rPr>
          <w:i/>
        </w:rPr>
        <w:t>)</w:t>
      </w:r>
      <w:r w:rsidRPr="00F332AC">
        <w:rPr>
          <w:i/>
        </w:rPr>
        <w:t xml:space="preserve"> </w:t>
      </w:r>
      <w:r>
        <w:t xml:space="preserve">ir </w:t>
      </w:r>
      <w:r w:rsidRPr="00F332AC">
        <w:rPr>
          <w:i/>
        </w:rPr>
        <w:t>užimtumo pokyčius</w:t>
      </w:r>
      <w:r>
        <w:rPr>
          <w:i/>
        </w:rPr>
        <w:t xml:space="preserve"> (c</w:t>
      </w:r>
      <w:r>
        <w:rPr>
          <w:i/>
          <w:vertAlign w:val="subscript"/>
        </w:rPr>
        <w:t>1</w:t>
      </w:r>
      <w:r>
        <w:rPr>
          <w:i/>
        </w:rPr>
        <w:t>)</w:t>
      </w:r>
      <w:r>
        <w:t xml:space="preserve">. Geriausiai buvo vertinami </w:t>
      </w:r>
      <w:r w:rsidRPr="005900C7">
        <w:rPr>
          <w:i/>
        </w:rPr>
        <w:t>mokesčių našta</w:t>
      </w:r>
      <w:r>
        <w:rPr>
          <w:i/>
        </w:rPr>
        <w:t xml:space="preserve"> (c</w:t>
      </w:r>
      <w:r>
        <w:rPr>
          <w:i/>
          <w:vertAlign w:val="subscript"/>
        </w:rPr>
        <w:t>3</w:t>
      </w:r>
      <w:r>
        <w:rPr>
          <w:i/>
        </w:rPr>
        <w:t>)</w:t>
      </w:r>
      <w:r>
        <w:t xml:space="preserve"> ir </w:t>
      </w:r>
      <w:r w:rsidRPr="005900C7">
        <w:rPr>
          <w:i/>
        </w:rPr>
        <w:t>šešėlinė ekonomika</w:t>
      </w:r>
      <w:r>
        <w:rPr>
          <w:i/>
        </w:rPr>
        <w:t xml:space="preserve"> (c</w:t>
      </w:r>
      <w:r>
        <w:rPr>
          <w:i/>
          <w:vertAlign w:val="subscript"/>
        </w:rPr>
        <w:t>2</w:t>
      </w:r>
      <w:r>
        <w:rPr>
          <w:i/>
        </w:rPr>
        <w:t>)</w:t>
      </w:r>
      <w:r>
        <w:t>, todėl juos būtų galima priskirti</w:t>
      </w:r>
      <w:r>
        <w:rPr>
          <w:b/>
          <w:i/>
        </w:rPr>
        <w:t xml:space="preserve"> </w:t>
      </w:r>
      <w:r w:rsidRPr="00DC2123">
        <w:t xml:space="preserve">mažiausiai </w:t>
      </w:r>
      <w:r>
        <w:t>sprendimus įtakojantiems motyvams. Mūsų manymu, taip buvo vertinama dėl to, jog mokesčių našta daugiau lemia mokesčių nesumokėjimą nei poreikio tapti tautos „išlaikytiniu“ tenkinimą, o šešėlinė ekonomika labiau veikia įmonių savininkų neteisėtų lūkesčių realizavimą nei žmonių gerovės didinimą.</w:t>
      </w:r>
    </w:p>
    <w:p w:rsidR="00051438" w:rsidRPr="009F4804" w:rsidRDefault="00051438" w:rsidP="00051438">
      <w:pPr>
        <w:pStyle w:val="Caption"/>
        <w:rPr>
          <w:b w:val="0"/>
        </w:rPr>
      </w:pPr>
      <w:r w:rsidRPr="00C5032D">
        <w:t>4 lentelė.</w:t>
      </w:r>
      <w:r>
        <w:t xml:space="preserve"> </w:t>
      </w:r>
      <w:r w:rsidRPr="009F4804">
        <w:t>Teisinių-politinių veiksnių</w:t>
      </w:r>
      <w:r w:rsidRPr="009F4804">
        <w:rPr>
          <w:color w:val="0070C0"/>
        </w:rPr>
        <w:t xml:space="preserve"> </w:t>
      </w:r>
      <w:r w:rsidRPr="009F4804">
        <w:t>įtaka: konkordancijos koeficientų skaičiavimas</w:t>
      </w:r>
    </w:p>
    <w:tbl>
      <w:tblPr>
        <w:tblStyle w:val="TableGrid"/>
        <w:tblW w:w="1036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2088"/>
        <w:gridCol w:w="2750"/>
        <w:gridCol w:w="2750"/>
        <w:gridCol w:w="2780"/>
      </w:tblGrid>
      <w:tr w:rsidR="00051438" w:rsidRPr="009D1AC8" w:rsidTr="00051438">
        <w:tc>
          <w:tcPr>
            <w:tcW w:w="2088" w:type="dxa"/>
            <w:tcBorders>
              <w:top w:val="single" w:sz="12" w:space="0" w:color="auto"/>
              <w:bottom w:val="single" w:sz="12" w:space="0" w:color="auto"/>
              <w:right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i/>
                <w:sz w:val="17"/>
                <w:szCs w:val="17"/>
              </w:rPr>
            </w:pPr>
          </w:p>
        </w:tc>
        <w:tc>
          <w:tcPr>
            <w:tcW w:w="27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b/>
                <w:i/>
                <w:sz w:val="17"/>
                <w:szCs w:val="17"/>
              </w:rPr>
            </w:pPr>
            <w:r w:rsidRPr="009D1AC8">
              <w:rPr>
                <w:b/>
                <w:i/>
                <w:sz w:val="17"/>
                <w:szCs w:val="17"/>
              </w:rPr>
              <w:t xml:space="preserve"> </w:t>
            </w:r>
            <w:r>
              <w:rPr>
                <w:b/>
                <w:i/>
                <w:sz w:val="17"/>
                <w:szCs w:val="17"/>
              </w:rPr>
              <w:t>d</w:t>
            </w:r>
            <w:r w:rsidRPr="009D1AC8">
              <w:rPr>
                <w:b/>
                <w:i/>
                <w:sz w:val="17"/>
                <w:szCs w:val="17"/>
                <w:vertAlign w:val="subscript"/>
              </w:rPr>
              <w:t>1</w:t>
            </w:r>
          </w:p>
        </w:tc>
        <w:tc>
          <w:tcPr>
            <w:tcW w:w="27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b/>
                <w:i/>
                <w:sz w:val="17"/>
                <w:szCs w:val="17"/>
              </w:rPr>
            </w:pPr>
            <w:r w:rsidRPr="009D1AC8">
              <w:rPr>
                <w:b/>
                <w:i/>
                <w:sz w:val="17"/>
                <w:szCs w:val="17"/>
              </w:rPr>
              <w:t xml:space="preserve"> </w:t>
            </w:r>
            <w:r>
              <w:rPr>
                <w:b/>
                <w:i/>
                <w:sz w:val="17"/>
                <w:szCs w:val="17"/>
              </w:rPr>
              <w:t>d</w:t>
            </w:r>
            <w:r w:rsidRPr="009D1AC8">
              <w:rPr>
                <w:b/>
                <w:i/>
                <w:sz w:val="17"/>
                <w:szCs w:val="17"/>
                <w:vertAlign w:val="subscript"/>
              </w:rPr>
              <w:t>2</w:t>
            </w:r>
          </w:p>
        </w:tc>
        <w:tc>
          <w:tcPr>
            <w:tcW w:w="2780" w:type="dxa"/>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b/>
                <w:i/>
                <w:sz w:val="17"/>
                <w:szCs w:val="17"/>
              </w:rPr>
            </w:pPr>
            <w:r w:rsidRPr="009D1AC8">
              <w:rPr>
                <w:b/>
                <w:i/>
                <w:sz w:val="17"/>
                <w:szCs w:val="17"/>
              </w:rPr>
              <w:t xml:space="preserve"> </w:t>
            </w:r>
            <w:r>
              <w:rPr>
                <w:b/>
                <w:i/>
                <w:sz w:val="17"/>
                <w:szCs w:val="17"/>
              </w:rPr>
              <w:t>d</w:t>
            </w:r>
            <w:r w:rsidRPr="009D1AC8">
              <w:rPr>
                <w:b/>
                <w:i/>
                <w:sz w:val="17"/>
                <w:szCs w:val="17"/>
                <w:vertAlign w:val="subscript"/>
              </w:rPr>
              <w:t>3</w:t>
            </w:r>
          </w:p>
        </w:tc>
      </w:tr>
      <w:tr w:rsidR="00051438" w:rsidRPr="009D1AC8" w:rsidTr="00051438">
        <w:tc>
          <w:tcPr>
            <w:tcW w:w="2088" w:type="dxa"/>
            <w:tcBorders>
              <w:top w:val="single" w:sz="12" w:space="0" w:color="auto"/>
              <w:bottom w:val="single" w:sz="2" w:space="0" w:color="auto"/>
              <w:right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b/>
                <w:i/>
                <w:sz w:val="17"/>
                <w:szCs w:val="17"/>
                <w:vertAlign w:val="subscript"/>
              </w:rPr>
            </w:pPr>
            <w:r w:rsidRPr="009D1AC8">
              <w:rPr>
                <w:b/>
                <w:i/>
                <w:sz w:val="17"/>
                <w:szCs w:val="17"/>
              </w:rPr>
              <w:t>m</w:t>
            </w:r>
            <w:r w:rsidRPr="009D1AC8">
              <w:rPr>
                <w:b/>
                <w:i/>
                <w:sz w:val="17"/>
                <w:szCs w:val="17"/>
                <w:vertAlign w:val="subscript"/>
              </w:rPr>
              <w:t>1</w:t>
            </w:r>
          </w:p>
        </w:tc>
        <w:tc>
          <w:tcPr>
            <w:tcW w:w="2750" w:type="dxa"/>
            <w:tcBorders>
              <w:top w:val="single" w:sz="12" w:space="0" w:color="auto"/>
              <w:left w:val="single" w:sz="12" w:space="0" w:color="auto"/>
              <w:bottom w:val="single" w:sz="2" w:space="0" w:color="auto"/>
              <w:righ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1</w:t>
            </w:r>
          </w:p>
        </w:tc>
        <w:tc>
          <w:tcPr>
            <w:tcW w:w="2750" w:type="dxa"/>
            <w:tcBorders>
              <w:top w:val="single" w:sz="12" w:space="0" w:color="auto"/>
              <w:left w:val="single" w:sz="12" w:space="0" w:color="auto"/>
              <w:bottom w:val="single" w:sz="2" w:space="0" w:color="auto"/>
              <w:righ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3</w:t>
            </w:r>
          </w:p>
        </w:tc>
        <w:tc>
          <w:tcPr>
            <w:tcW w:w="2780" w:type="dxa"/>
            <w:tcBorders>
              <w:top w:val="single" w:sz="12" w:space="0" w:color="auto"/>
              <w:left w:val="single" w:sz="12" w:space="0" w:color="auto"/>
              <w:bottom w:val="single" w:sz="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2</w:t>
            </w:r>
          </w:p>
        </w:tc>
      </w:tr>
      <w:tr w:rsidR="00051438" w:rsidRPr="009D1AC8" w:rsidTr="00051438">
        <w:tc>
          <w:tcPr>
            <w:tcW w:w="2088" w:type="dxa"/>
            <w:tcBorders>
              <w:top w:val="single" w:sz="2" w:space="0" w:color="auto"/>
              <w:right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b/>
                <w:i/>
                <w:sz w:val="17"/>
                <w:szCs w:val="17"/>
                <w:vertAlign w:val="subscript"/>
              </w:rPr>
            </w:pPr>
            <w:r w:rsidRPr="009D1AC8">
              <w:rPr>
                <w:b/>
                <w:i/>
                <w:sz w:val="17"/>
                <w:szCs w:val="17"/>
              </w:rPr>
              <w:t>m</w:t>
            </w:r>
            <w:r w:rsidRPr="009D1AC8">
              <w:rPr>
                <w:b/>
                <w:i/>
                <w:sz w:val="17"/>
                <w:szCs w:val="17"/>
                <w:vertAlign w:val="subscript"/>
              </w:rPr>
              <w:t>2</w:t>
            </w:r>
          </w:p>
        </w:tc>
        <w:tc>
          <w:tcPr>
            <w:tcW w:w="2750" w:type="dxa"/>
            <w:tcBorders>
              <w:top w:val="single" w:sz="2" w:space="0" w:color="auto"/>
              <w:left w:val="single" w:sz="12" w:space="0" w:color="auto"/>
              <w:righ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1</w:t>
            </w:r>
          </w:p>
        </w:tc>
        <w:tc>
          <w:tcPr>
            <w:tcW w:w="2750" w:type="dxa"/>
            <w:tcBorders>
              <w:top w:val="single" w:sz="2" w:space="0" w:color="auto"/>
              <w:left w:val="single" w:sz="12" w:space="0" w:color="auto"/>
              <w:righ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2</w:t>
            </w:r>
          </w:p>
        </w:tc>
        <w:tc>
          <w:tcPr>
            <w:tcW w:w="2780" w:type="dxa"/>
            <w:tcBorders>
              <w:top w:val="single" w:sz="2" w:space="0" w:color="auto"/>
              <w:lef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3</w:t>
            </w:r>
          </w:p>
        </w:tc>
      </w:tr>
      <w:tr w:rsidR="00051438" w:rsidRPr="009D1AC8" w:rsidTr="00051438">
        <w:tc>
          <w:tcPr>
            <w:tcW w:w="2088" w:type="dxa"/>
            <w:tcBorders>
              <w:right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b/>
                <w:i/>
                <w:sz w:val="17"/>
                <w:szCs w:val="17"/>
                <w:vertAlign w:val="subscript"/>
              </w:rPr>
            </w:pPr>
            <w:r w:rsidRPr="009D1AC8">
              <w:rPr>
                <w:b/>
                <w:i/>
                <w:sz w:val="17"/>
                <w:szCs w:val="17"/>
              </w:rPr>
              <w:t>m</w:t>
            </w:r>
            <w:r w:rsidRPr="009D1AC8">
              <w:rPr>
                <w:b/>
                <w:i/>
                <w:sz w:val="17"/>
                <w:szCs w:val="17"/>
                <w:vertAlign w:val="subscript"/>
              </w:rPr>
              <w:t>3</w:t>
            </w:r>
          </w:p>
        </w:tc>
        <w:tc>
          <w:tcPr>
            <w:tcW w:w="2750" w:type="dxa"/>
            <w:tcBorders>
              <w:left w:val="single" w:sz="12" w:space="0" w:color="auto"/>
              <w:righ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1</w:t>
            </w:r>
          </w:p>
        </w:tc>
        <w:tc>
          <w:tcPr>
            <w:tcW w:w="2750" w:type="dxa"/>
            <w:tcBorders>
              <w:left w:val="single" w:sz="12" w:space="0" w:color="auto"/>
              <w:righ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2</w:t>
            </w:r>
          </w:p>
        </w:tc>
        <w:tc>
          <w:tcPr>
            <w:tcW w:w="2780" w:type="dxa"/>
            <w:tcBorders>
              <w:lef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3</w:t>
            </w:r>
          </w:p>
        </w:tc>
      </w:tr>
      <w:tr w:rsidR="00051438" w:rsidRPr="009D1AC8" w:rsidTr="00051438">
        <w:tc>
          <w:tcPr>
            <w:tcW w:w="2088" w:type="dxa"/>
            <w:tcBorders>
              <w:right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b/>
                <w:i/>
                <w:sz w:val="17"/>
                <w:szCs w:val="17"/>
                <w:vertAlign w:val="subscript"/>
              </w:rPr>
            </w:pPr>
            <w:r w:rsidRPr="009D1AC8">
              <w:rPr>
                <w:b/>
                <w:i/>
                <w:sz w:val="17"/>
                <w:szCs w:val="17"/>
              </w:rPr>
              <w:t>m</w:t>
            </w:r>
            <w:r w:rsidRPr="009D1AC8">
              <w:rPr>
                <w:b/>
                <w:i/>
                <w:sz w:val="17"/>
                <w:szCs w:val="17"/>
                <w:vertAlign w:val="subscript"/>
              </w:rPr>
              <w:t>4</w:t>
            </w:r>
          </w:p>
        </w:tc>
        <w:tc>
          <w:tcPr>
            <w:tcW w:w="2750" w:type="dxa"/>
            <w:tcBorders>
              <w:left w:val="single" w:sz="12" w:space="0" w:color="auto"/>
              <w:righ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1</w:t>
            </w:r>
          </w:p>
        </w:tc>
        <w:tc>
          <w:tcPr>
            <w:tcW w:w="2750" w:type="dxa"/>
            <w:tcBorders>
              <w:left w:val="single" w:sz="12" w:space="0" w:color="auto"/>
              <w:righ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2</w:t>
            </w:r>
          </w:p>
        </w:tc>
        <w:tc>
          <w:tcPr>
            <w:tcW w:w="2780" w:type="dxa"/>
            <w:tcBorders>
              <w:lef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3</w:t>
            </w:r>
          </w:p>
        </w:tc>
      </w:tr>
      <w:tr w:rsidR="00051438" w:rsidRPr="009D1AC8" w:rsidTr="00051438">
        <w:tc>
          <w:tcPr>
            <w:tcW w:w="2088" w:type="dxa"/>
            <w:tcBorders>
              <w:right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b/>
                <w:i/>
                <w:sz w:val="17"/>
                <w:szCs w:val="17"/>
                <w:vertAlign w:val="subscript"/>
              </w:rPr>
            </w:pPr>
            <w:r w:rsidRPr="009D1AC8">
              <w:rPr>
                <w:b/>
                <w:i/>
                <w:sz w:val="17"/>
                <w:szCs w:val="17"/>
              </w:rPr>
              <w:t>m</w:t>
            </w:r>
            <w:r w:rsidRPr="009D1AC8">
              <w:rPr>
                <w:b/>
                <w:i/>
                <w:sz w:val="17"/>
                <w:szCs w:val="17"/>
                <w:vertAlign w:val="subscript"/>
              </w:rPr>
              <w:t>5</w:t>
            </w:r>
          </w:p>
        </w:tc>
        <w:tc>
          <w:tcPr>
            <w:tcW w:w="2750" w:type="dxa"/>
            <w:tcBorders>
              <w:left w:val="single" w:sz="12" w:space="0" w:color="auto"/>
              <w:righ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2</w:t>
            </w:r>
          </w:p>
        </w:tc>
        <w:tc>
          <w:tcPr>
            <w:tcW w:w="2750" w:type="dxa"/>
            <w:tcBorders>
              <w:left w:val="single" w:sz="12" w:space="0" w:color="auto"/>
              <w:righ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3</w:t>
            </w:r>
          </w:p>
        </w:tc>
        <w:tc>
          <w:tcPr>
            <w:tcW w:w="2780" w:type="dxa"/>
            <w:tcBorders>
              <w:lef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1</w:t>
            </w:r>
          </w:p>
        </w:tc>
      </w:tr>
      <w:tr w:rsidR="00051438" w:rsidRPr="009D1AC8" w:rsidTr="00051438">
        <w:tc>
          <w:tcPr>
            <w:tcW w:w="2088" w:type="dxa"/>
            <w:tcBorders>
              <w:right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b/>
                <w:i/>
                <w:sz w:val="17"/>
                <w:szCs w:val="17"/>
                <w:vertAlign w:val="subscript"/>
              </w:rPr>
            </w:pPr>
            <w:r w:rsidRPr="009D1AC8">
              <w:rPr>
                <w:b/>
                <w:i/>
                <w:sz w:val="17"/>
                <w:szCs w:val="17"/>
              </w:rPr>
              <w:t>m</w:t>
            </w:r>
            <w:r w:rsidRPr="009D1AC8">
              <w:rPr>
                <w:b/>
                <w:i/>
                <w:sz w:val="17"/>
                <w:szCs w:val="17"/>
                <w:vertAlign w:val="subscript"/>
              </w:rPr>
              <w:t>6</w:t>
            </w:r>
          </w:p>
        </w:tc>
        <w:tc>
          <w:tcPr>
            <w:tcW w:w="2750" w:type="dxa"/>
            <w:tcBorders>
              <w:left w:val="single" w:sz="12" w:space="0" w:color="auto"/>
              <w:righ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2</w:t>
            </w:r>
          </w:p>
        </w:tc>
        <w:tc>
          <w:tcPr>
            <w:tcW w:w="2750" w:type="dxa"/>
            <w:tcBorders>
              <w:left w:val="single" w:sz="12" w:space="0" w:color="auto"/>
              <w:righ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1</w:t>
            </w:r>
          </w:p>
        </w:tc>
        <w:tc>
          <w:tcPr>
            <w:tcW w:w="2780" w:type="dxa"/>
            <w:tcBorders>
              <w:lef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3</w:t>
            </w:r>
          </w:p>
        </w:tc>
      </w:tr>
      <w:tr w:rsidR="00051438" w:rsidRPr="009D1AC8" w:rsidTr="00051438">
        <w:tc>
          <w:tcPr>
            <w:tcW w:w="2088" w:type="dxa"/>
            <w:tcBorders>
              <w:bottom w:val="single" w:sz="2" w:space="0" w:color="auto"/>
              <w:right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b/>
                <w:i/>
                <w:sz w:val="17"/>
                <w:szCs w:val="17"/>
                <w:vertAlign w:val="subscript"/>
              </w:rPr>
            </w:pPr>
            <w:r w:rsidRPr="009D1AC8">
              <w:rPr>
                <w:b/>
                <w:i/>
                <w:sz w:val="17"/>
                <w:szCs w:val="17"/>
              </w:rPr>
              <w:t>m</w:t>
            </w:r>
            <w:r w:rsidRPr="009D1AC8">
              <w:rPr>
                <w:b/>
                <w:i/>
                <w:sz w:val="17"/>
                <w:szCs w:val="17"/>
                <w:vertAlign w:val="subscript"/>
              </w:rPr>
              <w:t>7</w:t>
            </w:r>
          </w:p>
        </w:tc>
        <w:tc>
          <w:tcPr>
            <w:tcW w:w="2750" w:type="dxa"/>
            <w:tcBorders>
              <w:left w:val="single" w:sz="12" w:space="0" w:color="auto"/>
              <w:bottom w:val="single" w:sz="2" w:space="0" w:color="auto"/>
              <w:righ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2</w:t>
            </w:r>
          </w:p>
        </w:tc>
        <w:tc>
          <w:tcPr>
            <w:tcW w:w="2750" w:type="dxa"/>
            <w:tcBorders>
              <w:left w:val="single" w:sz="12" w:space="0" w:color="auto"/>
              <w:bottom w:val="single" w:sz="2" w:space="0" w:color="auto"/>
              <w:righ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1</w:t>
            </w:r>
          </w:p>
        </w:tc>
        <w:tc>
          <w:tcPr>
            <w:tcW w:w="2780" w:type="dxa"/>
            <w:tcBorders>
              <w:left w:val="single" w:sz="12" w:space="0" w:color="auto"/>
              <w:bottom w:val="single" w:sz="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3</w:t>
            </w:r>
          </w:p>
        </w:tc>
      </w:tr>
      <w:tr w:rsidR="00051438" w:rsidRPr="009D1AC8" w:rsidTr="00051438">
        <w:tc>
          <w:tcPr>
            <w:tcW w:w="2088" w:type="dxa"/>
            <w:tcBorders>
              <w:bottom w:val="single" w:sz="2" w:space="0" w:color="auto"/>
              <w:right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b/>
                <w:i/>
                <w:sz w:val="17"/>
                <w:szCs w:val="17"/>
                <w:vertAlign w:val="subscript"/>
              </w:rPr>
            </w:pPr>
            <w:r w:rsidRPr="009D1AC8">
              <w:rPr>
                <w:b/>
                <w:i/>
                <w:sz w:val="17"/>
                <w:szCs w:val="17"/>
              </w:rPr>
              <w:t>m</w:t>
            </w:r>
            <w:r w:rsidRPr="009D1AC8">
              <w:rPr>
                <w:b/>
                <w:i/>
                <w:sz w:val="17"/>
                <w:szCs w:val="17"/>
                <w:vertAlign w:val="subscript"/>
              </w:rPr>
              <w:t>8</w:t>
            </w:r>
          </w:p>
        </w:tc>
        <w:tc>
          <w:tcPr>
            <w:tcW w:w="2750" w:type="dxa"/>
            <w:tcBorders>
              <w:left w:val="single" w:sz="12" w:space="0" w:color="auto"/>
              <w:bottom w:val="single" w:sz="2" w:space="0" w:color="auto"/>
              <w:righ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2</w:t>
            </w:r>
          </w:p>
        </w:tc>
        <w:tc>
          <w:tcPr>
            <w:tcW w:w="2750" w:type="dxa"/>
            <w:tcBorders>
              <w:left w:val="single" w:sz="12" w:space="0" w:color="auto"/>
              <w:bottom w:val="single" w:sz="2" w:space="0" w:color="auto"/>
              <w:righ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1</w:t>
            </w:r>
          </w:p>
        </w:tc>
        <w:tc>
          <w:tcPr>
            <w:tcW w:w="2780" w:type="dxa"/>
            <w:tcBorders>
              <w:left w:val="single" w:sz="12" w:space="0" w:color="auto"/>
              <w:bottom w:val="single" w:sz="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3</w:t>
            </w:r>
          </w:p>
        </w:tc>
      </w:tr>
      <w:tr w:rsidR="00051438" w:rsidRPr="009D1AC8" w:rsidTr="00051438">
        <w:tc>
          <w:tcPr>
            <w:tcW w:w="2088" w:type="dxa"/>
            <w:tcBorders>
              <w:bottom w:val="single" w:sz="2" w:space="0" w:color="auto"/>
              <w:right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b/>
                <w:i/>
                <w:sz w:val="17"/>
                <w:szCs w:val="17"/>
                <w:vertAlign w:val="subscript"/>
              </w:rPr>
            </w:pPr>
            <w:r w:rsidRPr="009D1AC8">
              <w:rPr>
                <w:b/>
                <w:i/>
                <w:sz w:val="17"/>
                <w:szCs w:val="17"/>
              </w:rPr>
              <w:t>m</w:t>
            </w:r>
            <w:r w:rsidRPr="009D1AC8">
              <w:rPr>
                <w:b/>
                <w:i/>
                <w:sz w:val="17"/>
                <w:szCs w:val="17"/>
                <w:vertAlign w:val="subscript"/>
              </w:rPr>
              <w:t>9</w:t>
            </w:r>
          </w:p>
        </w:tc>
        <w:tc>
          <w:tcPr>
            <w:tcW w:w="2750" w:type="dxa"/>
            <w:tcBorders>
              <w:left w:val="single" w:sz="12" w:space="0" w:color="auto"/>
              <w:bottom w:val="single" w:sz="2" w:space="0" w:color="auto"/>
              <w:righ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1</w:t>
            </w:r>
          </w:p>
        </w:tc>
        <w:tc>
          <w:tcPr>
            <w:tcW w:w="2750" w:type="dxa"/>
            <w:tcBorders>
              <w:left w:val="single" w:sz="12" w:space="0" w:color="auto"/>
              <w:bottom w:val="single" w:sz="2" w:space="0" w:color="auto"/>
              <w:righ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3</w:t>
            </w:r>
          </w:p>
        </w:tc>
        <w:tc>
          <w:tcPr>
            <w:tcW w:w="2780" w:type="dxa"/>
            <w:tcBorders>
              <w:left w:val="single" w:sz="12" w:space="0" w:color="auto"/>
              <w:bottom w:val="single" w:sz="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2</w:t>
            </w:r>
          </w:p>
        </w:tc>
      </w:tr>
      <w:tr w:rsidR="00051438" w:rsidRPr="009D1AC8" w:rsidTr="00051438">
        <w:tc>
          <w:tcPr>
            <w:tcW w:w="2088" w:type="dxa"/>
            <w:tcBorders>
              <w:top w:val="single" w:sz="2" w:space="0" w:color="auto"/>
              <w:bottom w:val="single" w:sz="12" w:space="0" w:color="auto"/>
              <w:right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b/>
                <w:i/>
                <w:sz w:val="17"/>
                <w:szCs w:val="17"/>
                <w:vertAlign w:val="subscript"/>
              </w:rPr>
            </w:pPr>
            <w:r w:rsidRPr="009D1AC8">
              <w:rPr>
                <w:b/>
                <w:i/>
                <w:sz w:val="17"/>
                <w:szCs w:val="17"/>
              </w:rPr>
              <w:t>m</w:t>
            </w:r>
            <w:r w:rsidRPr="009D1AC8">
              <w:rPr>
                <w:b/>
                <w:i/>
                <w:sz w:val="17"/>
                <w:szCs w:val="17"/>
                <w:vertAlign w:val="subscript"/>
              </w:rPr>
              <w:t>10</w:t>
            </w:r>
          </w:p>
        </w:tc>
        <w:tc>
          <w:tcPr>
            <w:tcW w:w="2750" w:type="dxa"/>
            <w:tcBorders>
              <w:top w:val="single" w:sz="2" w:space="0" w:color="auto"/>
              <w:left w:val="single" w:sz="12" w:space="0" w:color="auto"/>
              <w:bottom w:val="single" w:sz="12" w:space="0" w:color="auto"/>
              <w:righ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2</w:t>
            </w:r>
          </w:p>
        </w:tc>
        <w:tc>
          <w:tcPr>
            <w:tcW w:w="2750" w:type="dxa"/>
            <w:tcBorders>
              <w:top w:val="single" w:sz="2" w:space="0" w:color="auto"/>
              <w:left w:val="single" w:sz="12" w:space="0" w:color="auto"/>
              <w:bottom w:val="single" w:sz="12" w:space="0" w:color="auto"/>
              <w:right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1</w:t>
            </w:r>
          </w:p>
        </w:tc>
        <w:tc>
          <w:tcPr>
            <w:tcW w:w="2780" w:type="dxa"/>
            <w:tcBorders>
              <w:top w:val="single" w:sz="2" w:space="0" w:color="auto"/>
              <w:left w:val="single" w:sz="12" w:space="0" w:color="auto"/>
              <w:bottom w:val="single" w:sz="12" w:space="0" w:color="auto"/>
            </w:tcBorders>
            <w:shd w:val="clear" w:color="auto" w:fill="FBD4B4" w:themeFill="accent6" w:themeFillTint="66"/>
            <w:vAlign w:val="center"/>
          </w:tcPr>
          <w:p w:rsidR="00051438" w:rsidRPr="009D1AC8" w:rsidRDefault="00051438" w:rsidP="00051438">
            <w:pPr>
              <w:spacing w:after="0" w:line="240" w:lineRule="auto"/>
              <w:ind w:firstLine="0"/>
              <w:jc w:val="center"/>
              <w:rPr>
                <w:sz w:val="17"/>
                <w:szCs w:val="17"/>
              </w:rPr>
            </w:pPr>
            <w:r w:rsidRPr="009D1AC8">
              <w:rPr>
                <w:sz w:val="17"/>
                <w:szCs w:val="17"/>
              </w:rPr>
              <w:t>3</w:t>
            </w:r>
          </w:p>
        </w:tc>
      </w:tr>
      <w:tr w:rsidR="00051438" w:rsidRPr="009D1AC8" w:rsidTr="00051438">
        <w:tc>
          <w:tcPr>
            <w:tcW w:w="2088" w:type="dxa"/>
            <w:tcBorders>
              <w:top w:val="single" w:sz="12" w:space="0" w:color="auto"/>
              <w:bottom w:val="single" w:sz="12" w:space="0" w:color="auto"/>
              <w:right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b/>
                <w:i/>
                <w:color w:val="0070C0"/>
                <w:sz w:val="17"/>
                <w:szCs w:val="17"/>
              </w:rPr>
            </w:pPr>
            <w:r w:rsidRPr="009D1AC8">
              <w:rPr>
                <w:b/>
                <w:i/>
                <w:sz w:val="17"/>
                <w:szCs w:val="17"/>
              </w:rPr>
              <w:t>Rangų suma</w:t>
            </w:r>
          </w:p>
        </w:tc>
        <w:tc>
          <w:tcPr>
            <w:tcW w:w="2750" w:type="dxa"/>
            <w:tcBorders>
              <w:top w:val="single" w:sz="12" w:space="0" w:color="auto"/>
              <w:left w:val="single" w:sz="12" w:space="0" w:color="auto"/>
              <w:bottom w:val="single" w:sz="12" w:space="0" w:color="auto"/>
              <w:right w:val="single" w:sz="12" w:space="0" w:color="auto"/>
            </w:tcBorders>
            <w:shd w:val="clear" w:color="auto" w:fill="auto"/>
            <w:vAlign w:val="center"/>
          </w:tcPr>
          <w:p w:rsidR="00051438" w:rsidRPr="009D1AC8" w:rsidRDefault="00051438" w:rsidP="00051438">
            <w:pPr>
              <w:spacing w:after="0" w:line="240" w:lineRule="auto"/>
              <w:ind w:firstLine="0"/>
              <w:jc w:val="center"/>
              <w:rPr>
                <w:b/>
                <w:sz w:val="17"/>
                <w:szCs w:val="17"/>
              </w:rPr>
            </w:pPr>
            <w:r w:rsidRPr="009D1AC8">
              <w:rPr>
                <w:b/>
                <w:sz w:val="17"/>
                <w:szCs w:val="17"/>
              </w:rPr>
              <w:t>15</w:t>
            </w:r>
          </w:p>
        </w:tc>
        <w:tc>
          <w:tcPr>
            <w:tcW w:w="27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b/>
                <w:sz w:val="17"/>
                <w:szCs w:val="17"/>
              </w:rPr>
            </w:pPr>
            <w:r w:rsidRPr="009D1AC8">
              <w:rPr>
                <w:b/>
                <w:sz w:val="17"/>
                <w:szCs w:val="17"/>
              </w:rPr>
              <w:t>19</w:t>
            </w:r>
          </w:p>
        </w:tc>
        <w:tc>
          <w:tcPr>
            <w:tcW w:w="2780" w:type="dxa"/>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b/>
                <w:sz w:val="17"/>
                <w:szCs w:val="17"/>
              </w:rPr>
            </w:pPr>
            <w:r w:rsidRPr="009D1AC8">
              <w:rPr>
                <w:b/>
                <w:sz w:val="17"/>
                <w:szCs w:val="17"/>
              </w:rPr>
              <w:t>26</w:t>
            </w:r>
          </w:p>
        </w:tc>
      </w:tr>
      <w:tr w:rsidR="00051438" w:rsidRPr="009D1AC8" w:rsidTr="00051438">
        <w:tc>
          <w:tcPr>
            <w:tcW w:w="2088" w:type="dxa"/>
            <w:tcBorders>
              <w:top w:val="single" w:sz="12" w:space="0" w:color="auto"/>
              <w:bottom w:val="single" w:sz="12" w:space="0" w:color="auto"/>
              <w:right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b/>
                <w:i/>
                <w:sz w:val="17"/>
                <w:szCs w:val="17"/>
              </w:rPr>
            </w:pPr>
            <w:r w:rsidRPr="009D1AC8">
              <w:rPr>
                <w:b/>
                <w:i/>
                <w:sz w:val="17"/>
                <w:szCs w:val="17"/>
              </w:rPr>
              <w:t>Rangų sumų vidurkis a</w:t>
            </w:r>
          </w:p>
        </w:tc>
        <w:tc>
          <w:tcPr>
            <w:tcW w:w="27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b/>
                <w:sz w:val="17"/>
                <w:szCs w:val="17"/>
              </w:rPr>
            </w:pPr>
            <w:r w:rsidRPr="009D1AC8">
              <w:rPr>
                <w:b/>
                <w:sz w:val="17"/>
                <w:szCs w:val="17"/>
              </w:rPr>
              <w:t>20</w:t>
            </w:r>
          </w:p>
        </w:tc>
        <w:tc>
          <w:tcPr>
            <w:tcW w:w="27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9D1AC8" w:rsidRDefault="00051438" w:rsidP="00051438">
            <w:pPr>
              <w:spacing w:line="240" w:lineRule="auto"/>
              <w:ind w:firstLine="0"/>
              <w:jc w:val="center"/>
              <w:rPr>
                <w:b/>
                <w:sz w:val="17"/>
                <w:szCs w:val="17"/>
              </w:rPr>
            </w:pPr>
            <w:r w:rsidRPr="009D1AC8">
              <w:rPr>
                <w:b/>
                <w:sz w:val="17"/>
                <w:szCs w:val="17"/>
              </w:rPr>
              <w:t>20</w:t>
            </w:r>
          </w:p>
        </w:tc>
        <w:tc>
          <w:tcPr>
            <w:tcW w:w="2780" w:type="dxa"/>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9D1AC8" w:rsidRDefault="00051438" w:rsidP="00051438">
            <w:pPr>
              <w:spacing w:line="240" w:lineRule="auto"/>
              <w:ind w:firstLine="0"/>
              <w:jc w:val="center"/>
              <w:rPr>
                <w:b/>
                <w:sz w:val="17"/>
                <w:szCs w:val="17"/>
              </w:rPr>
            </w:pPr>
            <w:r w:rsidRPr="009D1AC8">
              <w:rPr>
                <w:b/>
                <w:sz w:val="17"/>
                <w:szCs w:val="17"/>
              </w:rPr>
              <w:t>20</w:t>
            </w:r>
          </w:p>
        </w:tc>
      </w:tr>
      <w:tr w:rsidR="00051438" w:rsidRPr="009D1AC8" w:rsidTr="00051438">
        <w:tc>
          <w:tcPr>
            <w:tcW w:w="2088" w:type="dxa"/>
            <w:tcBorders>
              <w:top w:val="single" w:sz="12" w:space="0" w:color="auto"/>
              <w:bottom w:val="single" w:sz="12" w:space="0" w:color="auto"/>
              <w:right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b/>
                <w:i/>
                <w:sz w:val="17"/>
                <w:szCs w:val="17"/>
              </w:rPr>
            </w:pPr>
            <w:r w:rsidRPr="009D1AC8">
              <w:rPr>
                <w:b/>
                <w:i/>
                <w:sz w:val="17"/>
                <w:szCs w:val="17"/>
              </w:rPr>
              <w:t>Nuokrypio kvadratas</w:t>
            </w:r>
          </w:p>
        </w:tc>
        <w:tc>
          <w:tcPr>
            <w:tcW w:w="27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9D1AC8" w:rsidRDefault="00051438" w:rsidP="00051438">
            <w:pPr>
              <w:spacing w:after="0" w:line="240" w:lineRule="auto"/>
              <w:ind w:firstLine="0"/>
              <w:jc w:val="center"/>
              <w:rPr>
                <w:b/>
                <w:sz w:val="17"/>
                <w:szCs w:val="17"/>
              </w:rPr>
            </w:pPr>
            <w:r w:rsidRPr="009D1AC8">
              <w:rPr>
                <w:b/>
                <w:sz w:val="17"/>
                <w:szCs w:val="17"/>
              </w:rPr>
              <w:t>25</w:t>
            </w:r>
          </w:p>
        </w:tc>
        <w:tc>
          <w:tcPr>
            <w:tcW w:w="27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51438" w:rsidRPr="009D1AC8" w:rsidRDefault="00051438" w:rsidP="00051438">
            <w:pPr>
              <w:spacing w:line="240" w:lineRule="auto"/>
              <w:ind w:firstLine="0"/>
              <w:jc w:val="center"/>
              <w:rPr>
                <w:b/>
                <w:sz w:val="17"/>
                <w:szCs w:val="17"/>
              </w:rPr>
            </w:pPr>
            <w:r w:rsidRPr="009D1AC8">
              <w:rPr>
                <w:b/>
                <w:sz w:val="17"/>
                <w:szCs w:val="17"/>
              </w:rPr>
              <w:t>1</w:t>
            </w:r>
          </w:p>
        </w:tc>
        <w:tc>
          <w:tcPr>
            <w:tcW w:w="2780" w:type="dxa"/>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9D1AC8" w:rsidRDefault="00051438" w:rsidP="00051438">
            <w:pPr>
              <w:spacing w:line="240" w:lineRule="auto"/>
              <w:ind w:firstLine="0"/>
              <w:jc w:val="center"/>
              <w:rPr>
                <w:b/>
                <w:sz w:val="17"/>
                <w:szCs w:val="17"/>
              </w:rPr>
            </w:pPr>
            <w:r w:rsidRPr="009D1AC8">
              <w:rPr>
                <w:b/>
                <w:sz w:val="17"/>
                <w:szCs w:val="17"/>
              </w:rPr>
              <w:t>36</w:t>
            </w:r>
          </w:p>
        </w:tc>
      </w:tr>
      <w:tr w:rsidR="00051438" w:rsidRPr="009D1AC8" w:rsidTr="00051438">
        <w:tc>
          <w:tcPr>
            <w:tcW w:w="7588" w:type="dxa"/>
            <w:gridSpan w:val="3"/>
            <w:tcBorders>
              <w:top w:val="single" w:sz="12" w:space="0" w:color="auto"/>
              <w:left w:val="nil"/>
              <w:bottom w:val="nil"/>
              <w:right w:val="single" w:sz="12" w:space="0" w:color="auto"/>
            </w:tcBorders>
            <w:shd w:val="clear" w:color="auto" w:fill="auto"/>
            <w:vAlign w:val="center"/>
          </w:tcPr>
          <w:p w:rsidR="00051438" w:rsidRPr="009D1AC8" w:rsidRDefault="00051438" w:rsidP="00051438">
            <w:pPr>
              <w:spacing w:line="240" w:lineRule="auto"/>
              <w:ind w:firstLine="0"/>
              <w:jc w:val="center"/>
              <w:rPr>
                <w:b/>
                <w:sz w:val="17"/>
                <w:szCs w:val="17"/>
              </w:rPr>
            </w:pPr>
          </w:p>
        </w:tc>
        <w:tc>
          <w:tcPr>
            <w:tcW w:w="2780" w:type="dxa"/>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9D1AC8" w:rsidRDefault="00051438" w:rsidP="00051438">
            <w:pPr>
              <w:spacing w:line="240" w:lineRule="auto"/>
              <w:ind w:firstLine="0"/>
              <w:jc w:val="center"/>
              <w:rPr>
                <w:b/>
                <w:sz w:val="17"/>
                <w:szCs w:val="17"/>
              </w:rPr>
            </w:pPr>
            <w:r w:rsidRPr="009D1AC8">
              <w:rPr>
                <w:b/>
                <w:i/>
                <w:position w:val="-10"/>
                <w:sz w:val="17"/>
                <w:szCs w:val="17"/>
              </w:rPr>
              <w:t>S</w:t>
            </w:r>
            <w:r w:rsidRPr="009D1AC8">
              <w:rPr>
                <w:b/>
                <w:i/>
                <w:position w:val="-10"/>
                <w:sz w:val="17"/>
                <w:szCs w:val="17"/>
                <w:vertAlign w:val="superscript"/>
              </w:rPr>
              <w:t>2</w:t>
            </w:r>
            <w:r w:rsidRPr="009D1AC8">
              <w:rPr>
                <w:b/>
                <w:i/>
                <w:position w:val="-10"/>
                <w:sz w:val="17"/>
                <w:szCs w:val="17"/>
              </w:rPr>
              <w:t> = 62; W = 0,31</w:t>
            </w:r>
          </w:p>
        </w:tc>
      </w:tr>
      <w:tr w:rsidR="00051438" w:rsidRPr="009D1AC8" w:rsidTr="00051438">
        <w:tc>
          <w:tcPr>
            <w:tcW w:w="10368" w:type="dxa"/>
            <w:gridSpan w:val="4"/>
            <w:tcBorders>
              <w:top w:val="nil"/>
              <w:left w:val="nil"/>
              <w:bottom w:val="single" w:sz="12" w:space="0" w:color="auto"/>
              <w:right w:val="nil"/>
            </w:tcBorders>
            <w:shd w:val="clear" w:color="auto" w:fill="auto"/>
            <w:vAlign w:val="center"/>
          </w:tcPr>
          <w:p w:rsidR="00051438" w:rsidRPr="009D1AC8" w:rsidRDefault="00051438" w:rsidP="00051438">
            <w:pPr>
              <w:spacing w:line="240" w:lineRule="auto"/>
              <w:ind w:firstLine="0"/>
              <w:jc w:val="center"/>
              <w:rPr>
                <w:position w:val="-10"/>
                <w:sz w:val="6"/>
                <w:szCs w:val="6"/>
              </w:rPr>
            </w:pPr>
          </w:p>
        </w:tc>
      </w:tr>
      <w:tr w:rsidR="00051438" w:rsidRPr="009D1AC8" w:rsidTr="00051438">
        <w:tc>
          <w:tcPr>
            <w:tcW w:w="10368" w:type="dxa"/>
            <w:gridSpan w:val="4"/>
            <w:tcBorders>
              <w:top w:val="single" w:sz="12" w:space="0" w:color="auto"/>
              <w:left w:val="single" w:sz="12" w:space="0" w:color="auto"/>
              <w:bottom w:val="single" w:sz="12" w:space="0" w:color="auto"/>
            </w:tcBorders>
            <w:shd w:val="clear" w:color="auto" w:fill="D9D9D9" w:themeFill="background1" w:themeFillShade="D9"/>
            <w:vAlign w:val="center"/>
          </w:tcPr>
          <w:p w:rsidR="00051438" w:rsidRPr="009D1AC8" w:rsidRDefault="00051438" w:rsidP="00051438">
            <w:pPr>
              <w:spacing w:line="240" w:lineRule="auto"/>
              <w:ind w:firstLine="547"/>
              <w:rPr>
                <w:bCs/>
                <w:iCs/>
                <w:sz w:val="17"/>
                <w:szCs w:val="17"/>
              </w:rPr>
            </w:pPr>
            <w:r w:rsidRPr="009D1AC8">
              <w:rPr>
                <w:bCs/>
                <w:i/>
                <w:iCs/>
                <w:sz w:val="17"/>
                <w:szCs w:val="17"/>
              </w:rPr>
              <w:t>Konkordancijos koeficiento reikšmingumas</w:t>
            </w:r>
            <w:r w:rsidRPr="009D1AC8">
              <w:rPr>
                <w:bCs/>
                <w:iCs/>
                <w:sz w:val="17"/>
                <w:szCs w:val="17"/>
              </w:rPr>
              <w:t xml:space="preserve">: </w:t>
            </w:r>
            <w:r w:rsidRPr="009D1AC8">
              <w:rPr>
                <w:rFonts w:eastAsiaTheme="minorHAnsi"/>
                <w:bCs/>
                <w:iCs/>
                <w:position w:val="-10"/>
                <w:sz w:val="17"/>
                <w:szCs w:val="17"/>
                <w:lang w:eastAsia="en-US"/>
              </w:rPr>
              <w:object w:dxaOrig="2260" w:dyaOrig="340">
                <v:shape id="_x0000_i1041" type="#_x0000_t75" style="width:112.5pt;height:17.25pt" o:ole="">
                  <v:imagedata r:id="rId43" o:title=""/>
                </v:shape>
                <o:OLEObject Type="Embed" ProgID="Equation.3" ShapeID="_x0000_i1041" DrawAspect="Content" ObjectID="_1419701014" r:id="rId44"/>
              </w:object>
            </w:r>
            <w:r w:rsidRPr="009D1AC8">
              <w:rPr>
                <w:bCs/>
                <w:iCs/>
                <w:sz w:val="17"/>
                <w:szCs w:val="17"/>
              </w:rPr>
              <w:t xml:space="preserve">. Kadangi </w:t>
            </w:r>
            <w:r w:rsidRPr="009D1AC8">
              <w:rPr>
                <w:rFonts w:eastAsiaTheme="minorHAnsi"/>
                <w:bCs/>
                <w:i/>
                <w:iCs/>
                <w:position w:val="-10"/>
                <w:sz w:val="17"/>
                <w:szCs w:val="17"/>
                <w:lang w:eastAsia="en-US"/>
              </w:rPr>
              <w:object w:dxaOrig="940" w:dyaOrig="340">
                <v:shape id="_x0000_i1042" type="#_x0000_t75" style="width:47.25pt;height:17.25pt" o:ole="">
                  <v:imagedata r:id="rId45" o:title=""/>
                </v:shape>
                <o:OLEObject Type="Embed" ProgID="Equation.3" ShapeID="_x0000_i1042" DrawAspect="Content" ObjectID="_1419701015" r:id="rId46"/>
              </w:object>
            </w:r>
            <w:r w:rsidRPr="009D1AC8">
              <w:rPr>
                <w:bCs/>
                <w:iCs/>
                <w:sz w:val="17"/>
                <w:szCs w:val="17"/>
              </w:rPr>
              <w:t xml:space="preserve"> </w:t>
            </w:r>
            <w:r w:rsidRPr="009D1AC8">
              <w:rPr>
                <w:bCs/>
                <w:i/>
                <w:iCs/>
                <w:sz w:val="17"/>
                <w:szCs w:val="17"/>
              </w:rPr>
              <w:t>(esant laisvės laipsnių skaičiui – 2; reikšmingumo lygmeniui – 0,05)</w:t>
            </w:r>
            <w:r w:rsidRPr="009D1AC8">
              <w:rPr>
                <w:bCs/>
                <w:iCs/>
                <w:sz w:val="17"/>
                <w:szCs w:val="17"/>
              </w:rPr>
              <w:t xml:space="preserve">, sąlyga </w:t>
            </w:r>
            <w:r w:rsidRPr="009D1AC8">
              <w:rPr>
                <w:rFonts w:eastAsiaTheme="minorHAnsi"/>
                <w:position w:val="-10"/>
                <w:sz w:val="17"/>
                <w:szCs w:val="17"/>
                <w:lang w:eastAsia="en-US"/>
              </w:rPr>
              <w:object w:dxaOrig="840" w:dyaOrig="340">
                <v:shape id="_x0000_i1043" type="#_x0000_t75" style="width:42.75pt;height:17.25pt" o:ole="">
                  <v:imagedata r:id="rId31" o:title=""/>
                </v:shape>
                <o:OLEObject Type="Embed" ProgID="Equation.3" ShapeID="_x0000_i1043" DrawAspect="Content" ObjectID="_1419701016" r:id="rId47"/>
              </w:object>
            </w:r>
            <w:r w:rsidRPr="009D1AC8">
              <w:rPr>
                <w:position w:val="-12"/>
                <w:sz w:val="17"/>
                <w:szCs w:val="17"/>
              </w:rPr>
              <w:t xml:space="preserve"> </w:t>
            </w:r>
            <w:r w:rsidRPr="009D1AC8">
              <w:rPr>
                <w:bCs/>
                <w:iCs/>
                <w:sz w:val="17"/>
                <w:szCs w:val="17"/>
              </w:rPr>
              <w:t xml:space="preserve">yra patenkinama, todėl hipotezę </w:t>
            </w:r>
            <w:r w:rsidRPr="009D1AC8">
              <w:rPr>
                <w:bCs/>
                <w:i/>
                <w:iCs/>
                <w:sz w:val="17"/>
                <w:szCs w:val="17"/>
              </w:rPr>
              <w:t>H</w:t>
            </w:r>
            <w:r w:rsidRPr="009D1AC8">
              <w:rPr>
                <w:bCs/>
                <w:i/>
                <w:iCs/>
                <w:sz w:val="17"/>
                <w:szCs w:val="17"/>
                <w:vertAlign w:val="subscript"/>
              </w:rPr>
              <w:t>0</w:t>
            </w:r>
            <w:r w:rsidRPr="009D1AC8">
              <w:rPr>
                <w:bCs/>
                <w:iCs/>
                <w:sz w:val="17"/>
                <w:szCs w:val="17"/>
              </w:rPr>
              <w:t xml:space="preserve"> galima atmesti</w:t>
            </w:r>
            <w:r>
              <w:rPr>
                <w:bCs/>
                <w:iCs/>
                <w:sz w:val="17"/>
                <w:szCs w:val="17"/>
              </w:rPr>
              <w:t xml:space="preserve"> ir ekspertų vertinimus laikyti panašiais.</w:t>
            </w:r>
          </w:p>
        </w:tc>
      </w:tr>
    </w:tbl>
    <w:p w:rsidR="00051438" w:rsidRPr="00FB5238" w:rsidRDefault="00051438" w:rsidP="00051438">
      <w:pPr>
        <w:rPr>
          <w:sz w:val="20"/>
        </w:rPr>
      </w:pPr>
      <w:r w:rsidRPr="00FB5238">
        <w:rPr>
          <w:b/>
          <w:sz w:val="20"/>
        </w:rPr>
        <w:t>Šaltinis</w:t>
      </w:r>
      <w:r w:rsidRPr="00FB5238">
        <w:rPr>
          <w:sz w:val="20"/>
        </w:rPr>
        <w:t>: sudaryta šio darbo autorės</w:t>
      </w:r>
      <w:r>
        <w:rPr>
          <w:sz w:val="20"/>
        </w:rPr>
        <w:t>, remiantis ekspertų vertinimais</w:t>
      </w:r>
    </w:p>
    <w:p w:rsidR="00051438" w:rsidRPr="007B399A" w:rsidRDefault="00051438" w:rsidP="00051438">
      <w:r>
        <w:t xml:space="preserve">Ekspertai iš teisinių-politinių veiksnių prie </w:t>
      </w:r>
      <w:r w:rsidRPr="00DC610A">
        <w:t>labiausiai veikiančių</w:t>
      </w:r>
      <w:r>
        <w:t xml:space="preserve"> individų finansinę elgseną priskyrė </w:t>
      </w:r>
      <w:r w:rsidRPr="0058370C">
        <w:rPr>
          <w:i/>
        </w:rPr>
        <w:t>socialinės apsaugos sistemos „įvaizdį“ (d</w:t>
      </w:r>
      <w:r w:rsidRPr="0058370C">
        <w:rPr>
          <w:i/>
          <w:vertAlign w:val="subscript"/>
        </w:rPr>
        <w:t>1</w:t>
      </w:r>
      <w:r w:rsidRPr="0058370C">
        <w:rPr>
          <w:i/>
        </w:rPr>
        <w:t>)</w:t>
      </w:r>
      <w:r>
        <w:t xml:space="preserve">, kuris buvo pripažintas kaip neskatinantis atsakomybės, o prie mažiausiai skatinančių rinktis valstybės išteklius – </w:t>
      </w:r>
      <w:r>
        <w:rPr>
          <w:i/>
        </w:rPr>
        <w:t>solidarumo stoka (d</w:t>
      </w:r>
      <w:r>
        <w:rPr>
          <w:i/>
          <w:vertAlign w:val="subscript"/>
        </w:rPr>
        <w:t>3</w:t>
      </w:r>
      <w:r>
        <w:rPr>
          <w:i/>
        </w:rPr>
        <w:t>)</w:t>
      </w:r>
      <w:r>
        <w:t>. Ekspertų teigimu, priimant tokį sprendimą, nemąstoma apie tai, ar elgiamasi solidariai – tiesiog naudojamasi tuo, kas „teisėtai“ priklauso.</w:t>
      </w:r>
    </w:p>
    <w:p w:rsidR="007E2C4D" w:rsidRPr="005D69C7" w:rsidRDefault="007E2C4D" w:rsidP="007E2C4D">
      <w:pPr>
        <w:spacing w:before="100" w:after="100" w:line="240" w:lineRule="auto"/>
        <w:ind w:firstLine="0"/>
        <w:jc w:val="center"/>
        <w:rPr>
          <w:b/>
        </w:rPr>
      </w:pPr>
      <w:r>
        <w:rPr>
          <w:b/>
        </w:rPr>
        <w:lastRenderedPageBreak/>
        <w:t>SVERTINIŲ BALŲ</w:t>
      </w:r>
      <w:r w:rsidRPr="005D69C7">
        <w:rPr>
          <w:b/>
        </w:rPr>
        <w:t xml:space="preserve"> SKAIČIAVIMAS</w:t>
      </w:r>
      <w:r>
        <w:rPr>
          <w:b/>
        </w:rPr>
        <w:t xml:space="preserve"> IR FINANSINĖS ELGSENOS NUSTATYMAS </w:t>
      </w:r>
    </w:p>
    <w:p w:rsidR="007E2C4D" w:rsidRPr="00DC2DE5" w:rsidRDefault="007E2C4D" w:rsidP="007E2C4D">
      <w:pPr>
        <w:pStyle w:val="Caption"/>
        <w:rPr>
          <w:szCs w:val="24"/>
          <w:lang w:val="en-US"/>
        </w:rPr>
      </w:pPr>
      <w:r w:rsidRPr="007759AE">
        <w:t>1 lentelė.</w:t>
      </w:r>
      <w:r>
        <w:t xml:space="preserve"> </w:t>
      </w:r>
      <w:r w:rsidRPr="00413176">
        <w:t>Bedarbių ir socialinės paramos gavėjų finansinė elgsena</w:t>
      </w:r>
    </w:p>
    <w:tbl>
      <w:tblPr>
        <w:tblStyle w:val="TableGrid"/>
        <w:tblW w:w="10293"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tblPr>
      <w:tblGrid>
        <w:gridCol w:w="914"/>
        <w:gridCol w:w="490"/>
        <w:gridCol w:w="490"/>
        <w:gridCol w:w="490"/>
        <w:gridCol w:w="490"/>
        <w:gridCol w:w="490"/>
        <w:gridCol w:w="490"/>
        <w:gridCol w:w="490"/>
        <w:gridCol w:w="490"/>
        <w:gridCol w:w="490"/>
        <w:gridCol w:w="490"/>
        <w:gridCol w:w="490"/>
        <w:gridCol w:w="648"/>
        <w:gridCol w:w="1008"/>
        <w:gridCol w:w="1008"/>
        <w:gridCol w:w="1325"/>
      </w:tblGrid>
      <w:tr w:rsidR="007E2C4D" w:rsidRPr="002945A6" w:rsidTr="007E2C4D">
        <w:trPr>
          <w:trHeight w:val="218"/>
        </w:trPr>
        <w:tc>
          <w:tcPr>
            <w:tcW w:w="914" w:type="dxa"/>
            <w:vMerge w:val="restart"/>
            <w:tcBorders>
              <w:top w:val="single" w:sz="12" w:space="0" w:color="auto"/>
              <w:right w:val="single" w:sz="12" w:space="0" w:color="auto"/>
            </w:tcBorders>
            <w:shd w:val="clear" w:color="auto" w:fill="D9D9D9" w:themeFill="background1" w:themeFillShade="D9"/>
            <w:vAlign w:val="center"/>
          </w:tcPr>
          <w:p w:rsidR="007E2C4D" w:rsidRPr="002945A6" w:rsidRDefault="007E2C4D" w:rsidP="007E2C4D">
            <w:pPr>
              <w:spacing w:after="0" w:line="240" w:lineRule="auto"/>
              <w:ind w:firstLine="0"/>
              <w:jc w:val="center"/>
              <w:rPr>
                <w:b/>
                <w:i/>
                <w:sz w:val="17"/>
                <w:szCs w:val="17"/>
              </w:rPr>
            </w:pPr>
            <w:r w:rsidRPr="002945A6">
              <w:rPr>
                <w:b/>
                <w:i/>
                <w:sz w:val="17"/>
                <w:szCs w:val="17"/>
              </w:rPr>
              <w:t>- A -</w:t>
            </w:r>
          </w:p>
        </w:tc>
        <w:tc>
          <w:tcPr>
            <w:tcW w:w="490" w:type="dxa"/>
            <w:vMerge w:val="restart"/>
            <w:tcBorders>
              <w:top w:val="single" w:sz="12" w:space="0" w:color="auto"/>
              <w:left w:val="single" w:sz="12" w:space="0" w:color="auto"/>
            </w:tcBorders>
            <w:shd w:val="clear" w:color="auto" w:fill="D9D9D9" w:themeFill="background1" w:themeFillShade="D9"/>
            <w:vAlign w:val="center"/>
          </w:tcPr>
          <w:p w:rsidR="007E2C4D" w:rsidRPr="002945A6" w:rsidRDefault="007E2C4D" w:rsidP="007E2C4D">
            <w:pPr>
              <w:spacing w:after="0" w:line="240" w:lineRule="auto"/>
              <w:ind w:firstLine="0"/>
              <w:jc w:val="center"/>
              <w:rPr>
                <w:b/>
                <w:i/>
                <w:sz w:val="17"/>
                <w:szCs w:val="17"/>
              </w:rPr>
            </w:pPr>
            <w:r w:rsidRPr="002945A6">
              <w:rPr>
                <w:b/>
                <w:i/>
                <w:sz w:val="17"/>
                <w:szCs w:val="17"/>
              </w:rPr>
              <w:t>K</w:t>
            </w:r>
          </w:p>
        </w:tc>
        <w:tc>
          <w:tcPr>
            <w:tcW w:w="4900" w:type="dxa"/>
            <w:gridSpan w:val="10"/>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945A6" w:rsidRDefault="007E2C4D" w:rsidP="007E2C4D">
            <w:pPr>
              <w:spacing w:after="0" w:line="240" w:lineRule="auto"/>
              <w:ind w:firstLine="0"/>
              <w:jc w:val="center"/>
              <w:rPr>
                <w:b/>
                <w:i/>
                <w:sz w:val="17"/>
                <w:szCs w:val="17"/>
              </w:rPr>
            </w:pPr>
            <w:r w:rsidRPr="002945A6">
              <w:rPr>
                <w:b/>
                <w:i/>
                <w:sz w:val="17"/>
                <w:szCs w:val="17"/>
              </w:rPr>
              <w:t>Ekspertų vertinimai</w:t>
            </w:r>
          </w:p>
        </w:tc>
        <w:tc>
          <w:tcPr>
            <w:tcW w:w="648" w:type="dxa"/>
            <w:vMerge w:val="restart"/>
            <w:tcBorders>
              <w:top w:val="single" w:sz="12" w:space="0" w:color="auto"/>
              <w:left w:val="single" w:sz="12" w:space="0" w:color="auto"/>
            </w:tcBorders>
            <w:shd w:val="clear" w:color="auto" w:fill="D9D9D9" w:themeFill="background1" w:themeFillShade="D9"/>
            <w:vAlign w:val="center"/>
          </w:tcPr>
          <w:p w:rsidR="007E2C4D" w:rsidRPr="002945A6" w:rsidRDefault="007E2C4D" w:rsidP="007E2C4D">
            <w:pPr>
              <w:spacing w:after="0" w:line="240" w:lineRule="auto"/>
              <w:ind w:firstLine="0"/>
              <w:jc w:val="center"/>
              <w:rPr>
                <w:b/>
                <w:i/>
                <w:sz w:val="17"/>
                <w:szCs w:val="17"/>
              </w:rPr>
            </w:pPr>
            <w:proofErr w:type="spellStart"/>
            <w:r w:rsidRPr="002945A6">
              <w:rPr>
                <w:b/>
                <w:i/>
                <w:sz w:val="17"/>
                <w:szCs w:val="17"/>
              </w:rPr>
              <w:t>M</w:t>
            </w:r>
            <w:r>
              <w:rPr>
                <w:b/>
                <w:i/>
                <w:sz w:val="17"/>
                <w:szCs w:val="17"/>
              </w:rPr>
              <w:t>o</w:t>
            </w:r>
            <w:proofErr w:type="spellEnd"/>
          </w:p>
        </w:tc>
        <w:tc>
          <w:tcPr>
            <w:tcW w:w="1008" w:type="dxa"/>
            <w:vMerge w:val="restart"/>
            <w:tcBorders>
              <w:top w:val="single" w:sz="12" w:space="0" w:color="auto"/>
              <w:left w:val="single" w:sz="2" w:space="0" w:color="auto"/>
              <w:right w:val="single" w:sz="12" w:space="0" w:color="auto"/>
            </w:tcBorders>
            <w:shd w:val="clear" w:color="auto" w:fill="D9D9D9" w:themeFill="background1" w:themeFillShade="D9"/>
            <w:vAlign w:val="center"/>
          </w:tcPr>
          <w:p w:rsidR="007E2C4D" w:rsidRPr="002945A6" w:rsidRDefault="007E2C4D" w:rsidP="007E2C4D">
            <w:pPr>
              <w:spacing w:after="0" w:line="240" w:lineRule="auto"/>
              <w:ind w:firstLine="0"/>
              <w:jc w:val="center"/>
              <w:rPr>
                <w:b/>
                <w:i/>
                <w:color w:val="00B050"/>
                <w:sz w:val="17"/>
                <w:szCs w:val="17"/>
              </w:rPr>
            </w:pPr>
            <w:r w:rsidRPr="002945A6">
              <w:rPr>
                <w:b/>
                <w:i/>
                <w:color w:val="00B050"/>
                <w:sz w:val="17"/>
                <w:szCs w:val="17"/>
              </w:rPr>
              <w:t>Svertinis balas</w:t>
            </w:r>
          </w:p>
        </w:tc>
        <w:tc>
          <w:tcPr>
            <w:tcW w:w="1008" w:type="dxa"/>
            <w:vMerge w:val="restart"/>
            <w:tcBorders>
              <w:top w:val="single" w:sz="12" w:space="0" w:color="auto"/>
              <w:left w:val="single" w:sz="12" w:space="0" w:color="auto"/>
            </w:tcBorders>
            <w:shd w:val="clear" w:color="auto" w:fill="D9D9D9" w:themeFill="background1" w:themeFillShade="D9"/>
            <w:vAlign w:val="center"/>
          </w:tcPr>
          <w:p w:rsidR="007E2C4D" w:rsidRPr="002945A6" w:rsidRDefault="007E2C4D" w:rsidP="007E2C4D">
            <w:pPr>
              <w:spacing w:after="0" w:line="240" w:lineRule="auto"/>
              <w:ind w:firstLine="0"/>
              <w:jc w:val="center"/>
              <w:rPr>
                <w:b/>
                <w:i/>
                <w:color w:val="0070C0"/>
                <w:sz w:val="17"/>
                <w:szCs w:val="17"/>
              </w:rPr>
            </w:pPr>
            <w:r w:rsidRPr="002945A6">
              <w:rPr>
                <w:b/>
                <w:i/>
                <w:color w:val="FF0000"/>
                <w:sz w:val="17"/>
                <w:szCs w:val="17"/>
              </w:rPr>
              <w:t>Apklausos rezultatai</w:t>
            </w:r>
          </w:p>
        </w:tc>
        <w:tc>
          <w:tcPr>
            <w:tcW w:w="1325" w:type="dxa"/>
            <w:vMerge w:val="restart"/>
            <w:tcBorders>
              <w:top w:val="single" w:sz="12" w:space="0" w:color="auto"/>
              <w:left w:val="single" w:sz="12" w:space="0" w:color="auto"/>
            </w:tcBorders>
            <w:shd w:val="clear" w:color="auto" w:fill="D9D9D9" w:themeFill="background1" w:themeFillShade="D9"/>
            <w:vAlign w:val="center"/>
          </w:tcPr>
          <w:p w:rsidR="007E2C4D" w:rsidRPr="002945A6" w:rsidRDefault="007E2C4D" w:rsidP="007E2C4D">
            <w:pPr>
              <w:spacing w:after="0" w:line="240" w:lineRule="auto"/>
              <w:ind w:firstLine="0"/>
              <w:jc w:val="center"/>
              <w:rPr>
                <w:b/>
                <w:i/>
                <w:color w:val="0070C0"/>
                <w:sz w:val="17"/>
                <w:szCs w:val="17"/>
              </w:rPr>
            </w:pPr>
            <w:r w:rsidRPr="002945A6">
              <w:rPr>
                <w:b/>
                <w:i/>
                <w:color w:val="0070C0"/>
                <w:sz w:val="17"/>
                <w:szCs w:val="17"/>
              </w:rPr>
              <w:t>Pageidautina reikšmė</w:t>
            </w:r>
          </w:p>
        </w:tc>
      </w:tr>
      <w:tr w:rsidR="007E2C4D" w:rsidRPr="008144D7" w:rsidTr="007E2C4D">
        <w:trPr>
          <w:trHeight w:val="50"/>
        </w:trPr>
        <w:tc>
          <w:tcPr>
            <w:tcW w:w="914" w:type="dxa"/>
            <w:vMerge/>
            <w:tcBorders>
              <w:bottom w:val="single" w:sz="12" w:space="0" w:color="auto"/>
              <w:right w:val="single" w:sz="12" w:space="0" w:color="auto"/>
            </w:tcBorders>
            <w:shd w:val="clear" w:color="auto" w:fill="D9D9D9" w:themeFill="background1" w:themeFillShade="D9"/>
            <w:vAlign w:val="center"/>
          </w:tcPr>
          <w:p w:rsidR="007E2C4D" w:rsidRPr="008144D7" w:rsidRDefault="007E2C4D" w:rsidP="007E2C4D">
            <w:pPr>
              <w:spacing w:after="0" w:line="240" w:lineRule="auto"/>
              <w:ind w:firstLine="0"/>
              <w:jc w:val="center"/>
              <w:rPr>
                <w:b/>
                <w:i/>
                <w:sz w:val="18"/>
                <w:szCs w:val="18"/>
              </w:rPr>
            </w:pPr>
          </w:p>
        </w:tc>
        <w:tc>
          <w:tcPr>
            <w:tcW w:w="490" w:type="dxa"/>
            <w:vMerge/>
            <w:tcBorders>
              <w:left w:val="single" w:sz="12" w:space="0" w:color="auto"/>
              <w:bottom w:val="single" w:sz="12" w:space="0" w:color="auto"/>
            </w:tcBorders>
            <w:shd w:val="clear" w:color="auto" w:fill="D9D9D9" w:themeFill="background1" w:themeFillShade="D9"/>
            <w:vAlign w:val="center"/>
          </w:tcPr>
          <w:p w:rsidR="007E2C4D" w:rsidRPr="008144D7" w:rsidRDefault="007E2C4D" w:rsidP="007E2C4D">
            <w:pPr>
              <w:spacing w:after="0" w:line="240" w:lineRule="auto"/>
              <w:ind w:firstLine="0"/>
              <w:jc w:val="center"/>
              <w:rPr>
                <w:b/>
                <w:i/>
                <w:sz w:val="18"/>
                <w:szCs w:val="18"/>
              </w:rPr>
            </w:pP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8"/>
                <w:szCs w:val="18"/>
                <w:vertAlign w:val="subscript"/>
              </w:rPr>
            </w:pPr>
            <w:r w:rsidRPr="002070A1">
              <w:rPr>
                <w:b/>
                <w:i/>
                <w:sz w:val="18"/>
                <w:szCs w:val="18"/>
              </w:rPr>
              <w:t>m</w:t>
            </w:r>
            <w:r w:rsidRPr="002070A1">
              <w:rPr>
                <w:b/>
                <w:i/>
                <w:sz w:val="18"/>
                <w:szCs w:val="18"/>
                <w:vertAlign w:val="subscript"/>
              </w:rPr>
              <w:t>1</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8"/>
                <w:szCs w:val="18"/>
                <w:vertAlign w:val="subscript"/>
              </w:rPr>
            </w:pPr>
            <w:r w:rsidRPr="002070A1">
              <w:rPr>
                <w:b/>
                <w:i/>
                <w:sz w:val="18"/>
                <w:szCs w:val="18"/>
              </w:rPr>
              <w:t>m</w:t>
            </w:r>
            <w:r w:rsidRPr="002070A1">
              <w:rPr>
                <w:b/>
                <w:i/>
                <w:sz w:val="18"/>
                <w:szCs w:val="18"/>
                <w:vertAlign w:val="subscript"/>
              </w:rPr>
              <w:t>2</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8"/>
                <w:szCs w:val="18"/>
                <w:vertAlign w:val="subscript"/>
              </w:rPr>
            </w:pPr>
            <w:r w:rsidRPr="002070A1">
              <w:rPr>
                <w:b/>
                <w:i/>
                <w:sz w:val="18"/>
                <w:szCs w:val="18"/>
              </w:rPr>
              <w:t>m</w:t>
            </w:r>
            <w:r w:rsidRPr="002070A1">
              <w:rPr>
                <w:b/>
                <w:i/>
                <w:sz w:val="18"/>
                <w:szCs w:val="18"/>
                <w:vertAlign w:val="subscript"/>
              </w:rPr>
              <w:t>3</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8"/>
                <w:szCs w:val="18"/>
                <w:vertAlign w:val="subscript"/>
              </w:rPr>
            </w:pPr>
            <w:r w:rsidRPr="002070A1">
              <w:rPr>
                <w:b/>
                <w:i/>
                <w:sz w:val="18"/>
                <w:szCs w:val="18"/>
              </w:rPr>
              <w:t>m</w:t>
            </w:r>
            <w:r w:rsidRPr="002070A1">
              <w:rPr>
                <w:b/>
                <w:i/>
                <w:sz w:val="18"/>
                <w:szCs w:val="18"/>
                <w:vertAlign w:val="subscript"/>
              </w:rPr>
              <w:t>4</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8"/>
                <w:szCs w:val="18"/>
                <w:vertAlign w:val="subscript"/>
              </w:rPr>
            </w:pPr>
            <w:r w:rsidRPr="002070A1">
              <w:rPr>
                <w:b/>
                <w:i/>
                <w:sz w:val="18"/>
                <w:szCs w:val="18"/>
              </w:rPr>
              <w:t>m</w:t>
            </w:r>
            <w:r w:rsidRPr="002070A1">
              <w:rPr>
                <w:b/>
                <w:i/>
                <w:sz w:val="18"/>
                <w:szCs w:val="18"/>
                <w:vertAlign w:val="subscript"/>
              </w:rPr>
              <w:t>5</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8"/>
                <w:szCs w:val="18"/>
                <w:vertAlign w:val="subscript"/>
              </w:rPr>
            </w:pPr>
            <w:r w:rsidRPr="002070A1">
              <w:rPr>
                <w:b/>
                <w:i/>
                <w:sz w:val="18"/>
                <w:szCs w:val="18"/>
              </w:rPr>
              <w:t>m</w:t>
            </w:r>
            <w:r w:rsidRPr="002070A1">
              <w:rPr>
                <w:b/>
                <w:i/>
                <w:sz w:val="18"/>
                <w:szCs w:val="18"/>
                <w:vertAlign w:val="subscript"/>
              </w:rPr>
              <w:t>6</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8"/>
                <w:szCs w:val="18"/>
                <w:vertAlign w:val="subscript"/>
              </w:rPr>
            </w:pPr>
            <w:r w:rsidRPr="002070A1">
              <w:rPr>
                <w:b/>
                <w:i/>
                <w:sz w:val="18"/>
                <w:szCs w:val="18"/>
              </w:rPr>
              <w:t>m</w:t>
            </w:r>
            <w:r w:rsidRPr="002070A1">
              <w:rPr>
                <w:b/>
                <w:i/>
                <w:sz w:val="18"/>
                <w:szCs w:val="18"/>
                <w:vertAlign w:val="subscript"/>
              </w:rPr>
              <w:t>7</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8"/>
                <w:szCs w:val="18"/>
                <w:vertAlign w:val="subscript"/>
              </w:rPr>
            </w:pPr>
            <w:r w:rsidRPr="002070A1">
              <w:rPr>
                <w:b/>
                <w:i/>
                <w:sz w:val="18"/>
                <w:szCs w:val="18"/>
              </w:rPr>
              <w:t>m</w:t>
            </w:r>
            <w:r w:rsidRPr="002070A1">
              <w:rPr>
                <w:b/>
                <w:i/>
                <w:sz w:val="18"/>
                <w:szCs w:val="18"/>
                <w:vertAlign w:val="subscript"/>
              </w:rPr>
              <w:t>8</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8"/>
                <w:szCs w:val="18"/>
                <w:vertAlign w:val="subscript"/>
              </w:rPr>
            </w:pPr>
            <w:r w:rsidRPr="002070A1">
              <w:rPr>
                <w:b/>
                <w:i/>
                <w:sz w:val="18"/>
                <w:szCs w:val="18"/>
              </w:rPr>
              <w:t>m</w:t>
            </w:r>
            <w:r w:rsidRPr="002070A1">
              <w:rPr>
                <w:b/>
                <w:i/>
                <w:sz w:val="18"/>
                <w:szCs w:val="18"/>
                <w:vertAlign w:val="subscript"/>
              </w:rPr>
              <w:t>9</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8"/>
                <w:szCs w:val="18"/>
                <w:vertAlign w:val="subscript"/>
              </w:rPr>
            </w:pPr>
            <w:r w:rsidRPr="002070A1">
              <w:rPr>
                <w:b/>
                <w:i/>
                <w:sz w:val="18"/>
                <w:szCs w:val="18"/>
              </w:rPr>
              <w:t>m</w:t>
            </w:r>
            <w:r w:rsidRPr="002070A1">
              <w:rPr>
                <w:b/>
                <w:i/>
                <w:sz w:val="18"/>
                <w:szCs w:val="18"/>
                <w:vertAlign w:val="subscript"/>
              </w:rPr>
              <w:t>10</w:t>
            </w:r>
          </w:p>
        </w:tc>
        <w:tc>
          <w:tcPr>
            <w:tcW w:w="648" w:type="dxa"/>
            <w:vMerge/>
            <w:tcBorders>
              <w:left w:val="single" w:sz="12" w:space="0" w:color="auto"/>
              <w:bottom w:val="single" w:sz="12" w:space="0" w:color="auto"/>
            </w:tcBorders>
            <w:shd w:val="clear" w:color="auto" w:fill="D9D9D9" w:themeFill="background1" w:themeFillShade="D9"/>
            <w:vAlign w:val="center"/>
          </w:tcPr>
          <w:p w:rsidR="007E2C4D" w:rsidRPr="008144D7" w:rsidRDefault="007E2C4D" w:rsidP="007E2C4D">
            <w:pPr>
              <w:spacing w:after="0" w:line="240" w:lineRule="auto"/>
              <w:ind w:firstLine="0"/>
              <w:jc w:val="center"/>
              <w:rPr>
                <w:b/>
                <w:i/>
                <w:sz w:val="18"/>
                <w:szCs w:val="18"/>
              </w:rPr>
            </w:pPr>
          </w:p>
        </w:tc>
        <w:tc>
          <w:tcPr>
            <w:tcW w:w="1008" w:type="dxa"/>
            <w:vMerge/>
            <w:tcBorders>
              <w:left w:val="single" w:sz="2" w:space="0" w:color="auto"/>
              <w:bottom w:val="single" w:sz="12" w:space="0" w:color="auto"/>
              <w:right w:val="single" w:sz="12" w:space="0" w:color="auto"/>
            </w:tcBorders>
            <w:shd w:val="clear" w:color="auto" w:fill="D9D9D9" w:themeFill="background1" w:themeFillShade="D9"/>
          </w:tcPr>
          <w:p w:rsidR="007E2C4D" w:rsidRPr="008144D7" w:rsidRDefault="007E2C4D" w:rsidP="007E2C4D">
            <w:pPr>
              <w:spacing w:after="0" w:line="240" w:lineRule="auto"/>
              <w:ind w:firstLine="0"/>
              <w:jc w:val="center"/>
              <w:rPr>
                <w:b/>
                <w:i/>
                <w:color w:val="0070C0"/>
                <w:sz w:val="18"/>
                <w:szCs w:val="18"/>
              </w:rPr>
            </w:pPr>
          </w:p>
        </w:tc>
        <w:tc>
          <w:tcPr>
            <w:tcW w:w="1008" w:type="dxa"/>
            <w:vMerge/>
            <w:tcBorders>
              <w:left w:val="single" w:sz="12" w:space="0" w:color="auto"/>
              <w:bottom w:val="single" w:sz="12" w:space="0" w:color="auto"/>
            </w:tcBorders>
            <w:shd w:val="clear" w:color="auto" w:fill="D9D9D9" w:themeFill="background1" w:themeFillShade="D9"/>
            <w:vAlign w:val="center"/>
          </w:tcPr>
          <w:p w:rsidR="007E2C4D" w:rsidRPr="008144D7" w:rsidRDefault="007E2C4D" w:rsidP="007E2C4D">
            <w:pPr>
              <w:spacing w:after="0" w:line="240" w:lineRule="auto"/>
              <w:ind w:firstLine="0"/>
              <w:jc w:val="center"/>
              <w:rPr>
                <w:b/>
                <w:i/>
                <w:color w:val="0070C0"/>
                <w:sz w:val="18"/>
                <w:szCs w:val="18"/>
              </w:rPr>
            </w:pPr>
          </w:p>
        </w:tc>
        <w:tc>
          <w:tcPr>
            <w:tcW w:w="1325" w:type="dxa"/>
            <w:vMerge/>
            <w:tcBorders>
              <w:left w:val="single" w:sz="12" w:space="0" w:color="auto"/>
              <w:bottom w:val="single" w:sz="12" w:space="0" w:color="auto"/>
            </w:tcBorders>
            <w:shd w:val="clear" w:color="auto" w:fill="D9D9D9" w:themeFill="background1" w:themeFillShade="D9"/>
          </w:tcPr>
          <w:p w:rsidR="007E2C4D" w:rsidRPr="008144D7" w:rsidRDefault="007E2C4D" w:rsidP="007E2C4D">
            <w:pPr>
              <w:spacing w:after="0" w:line="240" w:lineRule="auto"/>
              <w:ind w:firstLine="0"/>
              <w:jc w:val="center"/>
              <w:rPr>
                <w:b/>
                <w:i/>
                <w:color w:val="0070C0"/>
                <w:sz w:val="18"/>
                <w:szCs w:val="18"/>
              </w:rPr>
            </w:pPr>
          </w:p>
        </w:tc>
      </w:tr>
      <w:tr w:rsidR="007E2C4D" w:rsidRPr="008144D7" w:rsidTr="007E2C4D">
        <w:tc>
          <w:tcPr>
            <w:tcW w:w="914" w:type="dxa"/>
            <w:tcBorders>
              <w:top w:val="single" w:sz="1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b/>
                <w:i/>
                <w:sz w:val="18"/>
                <w:szCs w:val="18"/>
              </w:rPr>
            </w:pPr>
            <w:r w:rsidRPr="008144D7">
              <w:rPr>
                <w:b/>
                <w:i/>
                <w:sz w:val="18"/>
                <w:szCs w:val="18"/>
              </w:rPr>
              <w:t>a</w:t>
            </w:r>
            <w:r w:rsidRPr="008144D7">
              <w:rPr>
                <w:b/>
                <w:i/>
                <w:sz w:val="18"/>
                <w:szCs w:val="18"/>
                <w:vertAlign w:val="subscript"/>
              </w:rPr>
              <w:t>1</w:t>
            </w:r>
          </w:p>
        </w:tc>
        <w:tc>
          <w:tcPr>
            <w:tcW w:w="490" w:type="dxa"/>
            <w:tcBorders>
              <w:top w:val="single" w:sz="1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1,5</w:t>
            </w:r>
          </w:p>
        </w:tc>
        <w:tc>
          <w:tcPr>
            <w:tcW w:w="490"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1</w:t>
            </w:r>
          </w:p>
        </w:tc>
        <w:tc>
          <w:tcPr>
            <w:tcW w:w="490"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1</w:t>
            </w:r>
          </w:p>
        </w:tc>
        <w:tc>
          <w:tcPr>
            <w:tcW w:w="490"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1</w:t>
            </w:r>
          </w:p>
        </w:tc>
        <w:tc>
          <w:tcPr>
            <w:tcW w:w="490"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4</w:t>
            </w:r>
          </w:p>
        </w:tc>
        <w:tc>
          <w:tcPr>
            <w:tcW w:w="490"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1</w:t>
            </w:r>
          </w:p>
        </w:tc>
        <w:tc>
          <w:tcPr>
            <w:tcW w:w="648" w:type="dxa"/>
            <w:tcBorders>
              <w:top w:val="single" w:sz="12" w:space="0" w:color="auto"/>
              <w:left w:val="single" w:sz="12" w:space="0" w:color="auto"/>
              <w:bottom w:val="single" w:sz="2" w:space="0" w:color="auto"/>
            </w:tcBorders>
            <w:shd w:val="clear" w:color="auto" w:fill="D9D9D9" w:themeFill="background1" w:themeFillShade="D9"/>
          </w:tcPr>
          <w:p w:rsidR="007E2C4D" w:rsidRPr="008144D7" w:rsidRDefault="007E2C4D" w:rsidP="007E2C4D">
            <w:pPr>
              <w:spacing w:after="0" w:line="240" w:lineRule="auto"/>
              <w:ind w:firstLine="0"/>
              <w:jc w:val="center"/>
              <w:rPr>
                <w:b/>
                <w:sz w:val="18"/>
                <w:szCs w:val="18"/>
              </w:rPr>
            </w:pPr>
            <w:r w:rsidRPr="008144D7">
              <w:rPr>
                <w:b/>
                <w:sz w:val="18"/>
                <w:szCs w:val="18"/>
              </w:rPr>
              <w:t>1</w:t>
            </w:r>
          </w:p>
        </w:tc>
        <w:tc>
          <w:tcPr>
            <w:tcW w:w="1008" w:type="dxa"/>
            <w:tcBorders>
              <w:top w:val="single" w:sz="1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b/>
                <w:sz w:val="18"/>
                <w:szCs w:val="18"/>
              </w:rPr>
            </w:pPr>
            <w:r w:rsidRPr="008144D7">
              <w:rPr>
                <w:b/>
                <w:sz w:val="18"/>
                <w:szCs w:val="18"/>
              </w:rPr>
              <w:t>1,5</w:t>
            </w:r>
          </w:p>
        </w:tc>
        <w:tc>
          <w:tcPr>
            <w:tcW w:w="1008" w:type="dxa"/>
            <w:tcBorders>
              <w:top w:val="single" w:sz="12" w:space="0" w:color="auto"/>
              <w:left w:val="single" w:sz="12" w:space="0" w:color="auto"/>
              <w:bottom w:val="single" w:sz="2" w:space="0" w:color="auto"/>
            </w:tcBorders>
            <w:shd w:val="clear" w:color="auto" w:fill="B8CCE4" w:themeFill="accent1" w:themeFillTint="66"/>
          </w:tcPr>
          <w:p w:rsidR="007E2C4D" w:rsidRPr="00EF2795" w:rsidRDefault="007E2C4D" w:rsidP="007E2C4D">
            <w:pPr>
              <w:spacing w:after="0" w:line="240" w:lineRule="auto"/>
              <w:ind w:firstLine="0"/>
              <w:jc w:val="center"/>
              <w:rPr>
                <w:b/>
                <w:sz w:val="18"/>
                <w:szCs w:val="18"/>
              </w:rPr>
            </w:pPr>
            <w:r w:rsidRPr="00EF2795">
              <w:rPr>
                <w:b/>
                <w:sz w:val="18"/>
                <w:szCs w:val="18"/>
              </w:rPr>
              <w:t>1,5</w:t>
            </w:r>
          </w:p>
        </w:tc>
        <w:tc>
          <w:tcPr>
            <w:tcW w:w="1325" w:type="dxa"/>
            <w:tcBorders>
              <w:top w:val="single" w:sz="12" w:space="0" w:color="auto"/>
              <w:left w:val="single" w:sz="12" w:space="0" w:color="auto"/>
              <w:bottom w:val="single" w:sz="2" w:space="0" w:color="auto"/>
            </w:tcBorders>
            <w:shd w:val="clear" w:color="auto" w:fill="B8CCE4" w:themeFill="accent1" w:themeFillTint="66"/>
          </w:tcPr>
          <w:p w:rsidR="007E2C4D" w:rsidRPr="008144D7" w:rsidRDefault="007E2C4D" w:rsidP="007E2C4D">
            <w:pPr>
              <w:spacing w:after="0" w:line="240" w:lineRule="auto"/>
              <w:ind w:firstLine="0"/>
              <w:jc w:val="center"/>
              <w:rPr>
                <w:b/>
                <w:sz w:val="18"/>
                <w:szCs w:val="18"/>
              </w:rPr>
            </w:pPr>
            <w:r w:rsidRPr="008144D7">
              <w:rPr>
                <w:b/>
                <w:sz w:val="18"/>
                <w:szCs w:val="18"/>
              </w:rPr>
              <w:t>7,5</w:t>
            </w:r>
          </w:p>
        </w:tc>
      </w:tr>
      <w:tr w:rsidR="007E2C4D" w:rsidRPr="008144D7" w:rsidTr="007E2C4D">
        <w:tc>
          <w:tcPr>
            <w:tcW w:w="914" w:type="dxa"/>
            <w:tcBorders>
              <w:top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b/>
                <w:i/>
                <w:sz w:val="18"/>
                <w:szCs w:val="18"/>
              </w:rPr>
            </w:pPr>
            <w:r w:rsidRPr="008144D7">
              <w:rPr>
                <w:b/>
                <w:i/>
                <w:sz w:val="18"/>
                <w:szCs w:val="18"/>
              </w:rPr>
              <w:t>a</w:t>
            </w:r>
            <w:r w:rsidRPr="008144D7">
              <w:rPr>
                <w:b/>
                <w:i/>
                <w:sz w:val="18"/>
                <w:szCs w:val="18"/>
                <w:vertAlign w:val="subscript"/>
              </w:rPr>
              <w:t>2</w:t>
            </w:r>
          </w:p>
        </w:tc>
        <w:tc>
          <w:tcPr>
            <w:tcW w:w="490" w:type="dxa"/>
            <w:tcBorders>
              <w:top w:val="single" w:sz="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1,5</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648" w:type="dxa"/>
            <w:tcBorders>
              <w:top w:val="single" w:sz="2" w:space="0" w:color="auto"/>
              <w:left w:val="single" w:sz="12" w:space="0" w:color="auto"/>
              <w:bottom w:val="single" w:sz="2" w:space="0" w:color="auto"/>
            </w:tcBorders>
            <w:shd w:val="clear" w:color="auto" w:fill="D9D9D9" w:themeFill="background1" w:themeFillShade="D9"/>
          </w:tcPr>
          <w:p w:rsidR="007E2C4D" w:rsidRPr="008144D7" w:rsidRDefault="007E2C4D" w:rsidP="007E2C4D">
            <w:pPr>
              <w:spacing w:after="0" w:line="240" w:lineRule="auto"/>
              <w:ind w:firstLine="0"/>
              <w:jc w:val="center"/>
              <w:rPr>
                <w:b/>
                <w:sz w:val="18"/>
                <w:szCs w:val="18"/>
              </w:rPr>
            </w:pPr>
            <w:r w:rsidRPr="008144D7">
              <w:rPr>
                <w:b/>
                <w:sz w:val="18"/>
                <w:szCs w:val="18"/>
              </w:rPr>
              <w:t>1</w:t>
            </w:r>
          </w:p>
        </w:tc>
        <w:tc>
          <w:tcPr>
            <w:tcW w:w="1008"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b/>
                <w:sz w:val="18"/>
                <w:szCs w:val="18"/>
              </w:rPr>
            </w:pPr>
            <w:r w:rsidRPr="008144D7">
              <w:rPr>
                <w:b/>
                <w:sz w:val="18"/>
                <w:szCs w:val="18"/>
              </w:rPr>
              <w:t>1,5</w:t>
            </w:r>
          </w:p>
        </w:tc>
        <w:tc>
          <w:tcPr>
            <w:tcW w:w="1008" w:type="dxa"/>
            <w:tcBorders>
              <w:top w:val="single" w:sz="2" w:space="0" w:color="auto"/>
              <w:left w:val="single" w:sz="12" w:space="0" w:color="auto"/>
              <w:bottom w:val="single" w:sz="2" w:space="0" w:color="auto"/>
            </w:tcBorders>
            <w:shd w:val="clear" w:color="auto" w:fill="B8CCE4" w:themeFill="accent1" w:themeFillTint="66"/>
          </w:tcPr>
          <w:p w:rsidR="007E2C4D" w:rsidRPr="00EF2795" w:rsidRDefault="007E2C4D" w:rsidP="007E2C4D">
            <w:pPr>
              <w:spacing w:after="0" w:line="240" w:lineRule="auto"/>
              <w:ind w:firstLine="0"/>
              <w:jc w:val="center"/>
              <w:rPr>
                <w:b/>
                <w:sz w:val="18"/>
                <w:szCs w:val="18"/>
              </w:rPr>
            </w:pPr>
            <w:r w:rsidRPr="00EF2795">
              <w:rPr>
                <w:b/>
                <w:sz w:val="18"/>
                <w:szCs w:val="18"/>
              </w:rPr>
              <w:t>1,5</w:t>
            </w:r>
          </w:p>
        </w:tc>
        <w:tc>
          <w:tcPr>
            <w:tcW w:w="1325" w:type="dxa"/>
            <w:tcBorders>
              <w:top w:val="single" w:sz="2" w:space="0" w:color="auto"/>
              <w:left w:val="single" w:sz="12" w:space="0" w:color="auto"/>
              <w:bottom w:val="single" w:sz="2" w:space="0" w:color="auto"/>
            </w:tcBorders>
            <w:shd w:val="clear" w:color="auto" w:fill="B8CCE4" w:themeFill="accent1" w:themeFillTint="66"/>
          </w:tcPr>
          <w:p w:rsidR="007E2C4D" w:rsidRPr="008144D7" w:rsidRDefault="007E2C4D" w:rsidP="007E2C4D">
            <w:pPr>
              <w:spacing w:after="0" w:line="240" w:lineRule="auto"/>
              <w:ind w:firstLine="0"/>
              <w:jc w:val="center"/>
              <w:rPr>
                <w:b/>
                <w:sz w:val="18"/>
                <w:szCs w:val="18"/>
              </w:rPr>
            </w:pPr>
            <w:r w:rsidRPr="008144D7">
              <w:rPr>
                <w:b/>
                <w:sz w:val="18"/>
                <w:szCs w:val="18"/>
              </w:rPr>
              <w:t>6,0</w:t>
            </w:r>
          </w:p>
        </w:tc>
      </w:tr>
      <w:tr w:rsidR="007E2C4D" w:rsidRPr="008144D7" w:rsidTr="007E2C4D">
        <w:tc>
          <w:tcPr>
            <w:tcW w:w="914" w:type="dxa"/>
            <w:tcBorders>
              <w:top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b/>
                <w:i/>
                <w:sz w:val="18"/>
                <w:szCs w:val="18"/>
              </w:rPr>
            </w:pPr>
            <w:r w:rsidRPr="008144D7">
              <w:rPr>
                <w:b/>
                <w:i/>
                <w:sz w:val="18"/>
                <w:szCs w:val="18"/>
              </w:rPr>
              <w:t>a</w:t>
            </w:r>
            <w:r w:rsidRPr="008144D7">
              <w:rPr>
                <w:b/>
                <w:i/>
                <w:sz w:val="18"/>
                <w:szCs w:val="18"/>
                <w:vertAlign w:val="subscript"/>
              </w:rPr>
              <w:t>3</w:t>
            </w:r>
          </w:p>
        </w:tc>
        <w:tc>
          <w:tcPr>
            <w:tcW w:w="490" w:type="dxa"/>
            <w:tcBorders>
              <w:top w:val="single" w:sz="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1,5</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648" w:type="dxa"/>
            <w:tcBorders>
              <w:top w:val="single" w:sz="2" w:space="0" w:color="auto"/>
              <w:left w:val="single" w:sz="12" w:space="0" w:color="auto"/>
              <w:bottom w:val="single" w:sz="2" w:space="0" w:color="auto"/>
            </w:tcBorders>
            <w:shd w:val="clear" w:color="auto" w:fill="D9D9D9" w:themeFill="background1" w:themeFillShade="D9"/>
          </w:tcPr>
          <w:p w:rsidR="007E2C4D" w:rsidRPr="008144D7" w:rsidRDefault="007E2C4D" w:rsidP="007E2C4D">
            <w:pPr>
              <w:spacing w:after="0" w:line="240" w:lineRule="auto"/>
              <w:ind w:firstLine="0"/>
              <w:jc w:val="center"/>
              <w:rPr>
                <w:b/>
                <w:sz w:val="18"/>
                <w:szCs w:val="18"/>
              </w:rPr>
            </w:pPr>
            <w:r w:rsidRPr="008144D7">
              <w:rPr>
                <w:b/>
                <w:sz w:val="18"/>
                <w:szCs w:val="18"/>
              </w:rPr>
              <w:t>3</w:t>
            </w:r>
          </w:p>
        </w:tc>
        <w:tc>
          <w:tcPr>
            <w:tcW w:w="1008"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b/>
                <w:sz w:val="18"/>
                <w:szCs w:val="18"/>
              </w:rPr>
            </w:pPr>
            <w:r w:rsidRPr="008144D7">
              <w:rPr>
                <w:b/>
                <w:sz w:val="18"/>
                <w:szCs w:val="18"/>
              </w:rPr>
              <w:t>4,5</w:t>
            </w:r>
          </w:p>
        </w:tc>
        <w:tc>
          <w:tcPr>
            <w:tcW w:w="1008" w:type="dxa"/>
            <w:tcBorders>
              <w:top w:val="single" w:sz="2" w:space="0" w:color="auto"/>
              <w:left w:val="single" w:sz="12" w:space="0" w:color="auto"/>
              <w:bottom w:val="single" w:sz="2" w:space="0" w:color="auto"/>
            </w:tcBorders>
            <w:shd w:val="clear" w:color="auto" w:fill="B8CCE4" w:themeFill="accent1" w:themeFillTint="66"/>
          </w:tcPr>
          <w:p w:rsidR="007E2C4D" w:rsidRPr="00EF2795" w:rsidRDefault="007E2C4D" w:rsidP="007E2C4D">
            <w:pPr>
              <w:spacing w:after="0" w:line="240" w:lineRule="auto"/>
              <w:ind w:firstLine="0"/>
              <w:jc w:val="center"/>
              <w:rPr>
                <w:b/>
                <w:sz w:val="18"/>
                <w:szCs w:val="18"/>
              </w:rPr>
            </w:pPr>
            <w:r w:rsidRPr="00EF2795">
              <w:rPr>
                <w:b/>
                <w:sz w:val="18"/>
                <w:szCs w:val="18"/>
              </w:rPr>
              <w:t>1,5</w:t>
            </w:r>
          </w:p>
        </w:tc>
        <w:tc>
          <w:tcPr>
            <w:tcW w:w="1325" w:type="dxa"/>
            <w:tcBorders>
              <w:top w:val="single" w:sz="2" w:space="0" w:color="auto"/>
              <w:left w:val="single" w:sz="12" w:space="0" w:color="auto"/>
              <w:bottom w:val="single" w:sz="2" w:space="0" w:color="auto"/>
            </w:tcBorders>
            <w:shd w:val="clear" w:color="auto" w:fill="B8CCE4" w:themeFill="accent1" w:themeFillTint="66"/>
          </w:tcPr>
          <w:p w:rsidR="007E2C4D" w:rsidRPr="008144D7" w:rsidRDefault="007E2C4D" w:rsidP="007E2C4D">
            <w:pPr>
              <w:spacing w:after="0" w:line="240" w:lineRule="auto"/>
              <w:ind w:firstLine="0"/>
              <w:jc w:val="center"/>
              <w:rPr>
                <w:b/>
                <w:sz w:val="18"/>
                <w:szCs w:val="18"/>
              </w:rPr>
            </w:pPr>
            <w:r w:rsidRPr="008144D7">
              <w:rPr>
                <w:b/>
                <w:sz w:val="18"/>
                <w:szCs w:val="18"/>
              </w:rPr>
              <w:t>6,0</w:t>
            </w:r>
          </w:p>
        </w:tc>
      </w:tr>
      <w:tr w:rsidR="007E2C4D" w:rsidRPr="008144D7" w:rsidTr="007E2C4D">
        <w:tc>
          <w:tcPr>
            <w:tcW w:w="914" w:type="dxa"/>
            <w:tcBorders>
              <w:top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b/>
                <w:i/>
                <w:sz w:val="18"/>
                <w:szCs w:val="18"/>
              </w:rPr>
            </w:pPr>
            <w:r w:rsidRPr="008144D7">
              <w:rPr>
                <w:b/>
                <w:i/>
                <w:sz w:val="18"/>
                <w:szCs w:val="18"/>
              </w:rPr>
              <w:t>a</w:t>
            </w:r>
            <w:r w:rsidRPr="008144D7">
              <w:rPr>
                <w:b/>
                <w:i/>
                <w:sz w:val="18"/>
                <w:szCs w:val="18"/>
                <w:vertAlign w:val="subscript"/>
              </w:rPr>
              <w:t>4</w:t>
            </w:r>
          </w:p>
        </w:tc>
        <w:tc>
          <w:tcPr>
            <w:tcW w:w="490" w:type="dxa"/>
            <w:tcBorders>
              <w:top w:val="single" w:sz="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1,5</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1</w:t>
            </w:r>
          </w:p>
        </w:tc>
        <w:tc>
          <w:tcPr>
            <w:tcW w:w="648" w:type="dxa"/>
            <w:tcBorders>
              <w:top w:val="single" w:sz="2" w:space="0" w:color="auto"/>
              <w:left w:val="single" w:sz="12" w:space="0" w:color="auto"/>
              <w:bottom w:val="single" w:sz="2" w:space="0" w:color="auto"/>
            </w:tcBorders>
            <w:shd w:val="clear" w:color="auto" w:fill="D9D9D9" w:themeFill="background1" w:themeFillShade="D9"/>
          </w:tcPr>
          <w:p w:rsidR="007E2C4D" w:rsidRPr="008144D7" w:rsidRDefault="007E2C4D" w:rsidP="007E2C4D">
            <w:pPr>
              <w:spacing w:after="0" w:line="240" w:lineRule="auto"/>
              <w:ind w:firstLine="0"/>
              <w:jc w:val="center"/>
              <w:rPr>
                <w:b/>
                <w:sz w:val="18"/>
                <w:szCs w:val="18"/>
              </w:rPr>
            </w:pPr>
            <w:r w:rsidRPr="008144D7">
              <w:rPr>
                <w:b/>
                <w:sz w:val="18"/>
                <w:szCs w:val="18"/>
              </w:rPr>
              <w:t>2</w:t>
            </w:r>
          </w:p>
        </w:tc>
        <w:tc>
          <w:tcPr>
            <w:tcW w:w="1008"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b/>
                <w:sz w:val="18"/>
                <w:szCs w:val="18"/>
              </w:rPr>
            </w:pPr>
            <w:r w:rsidRPr="008144D7">
              <w:rPr>
                <w:b/>
                <w:sz w:val="18"/>
                <w:szCs w:val="18"/>
              </w:rPr>
              <w:t>3,0</w:t>
            </w:r>
          </w:p>
        </w:tc>
        <w:tc>
          <w:tcPr>
            <w:tcW w:w="1008" w:type="dxa"/>
            <w:tcBorders>
              <w:top w:val="single" w:sz="2" w:space="0" w:color="auto"/>
              <w:left w:val="single" w:sz="12" w:space="0" w:color="auto"/>
              <w:bottom w:val="single" w:sz="2" w:space="0" w:color="auto"/>
            </w:tcBorders>
            <w:shd w:val="clear" w:color="auto" w:fill="B8CCE4" w:themeFill="accent1" w:themeFillTint="66"/>
          </w:tcPr>
          <w:p w:rsidR="007E2C4D" w:rsidRPr="00EF2795" w:rsidRDefault="007E2C4D" w:rsidP="007E2C4D">
            <w:pPr>
              <w:spacing w:after="0" w:line="240" w:lineRule="auto"/>
              <w:ind w:firstLine="0"/>
              <w:jc w:val="center"/>
              <w:rPr>
                <w:b/>
                <w:sz w:val="18"/>
                <w:szCs w:val="18"/>
              </w:rPr>
            </w:pPr>
            <w:r w:rsidRPr="00EF2795">
              <w:rPr>
                <w:b/>
                <w:sz w:val="18"/>
                <w:szCs w:val="18"/>
              </w:rPr>
              <w:t>4,5</w:t>
            </w:r>
          </w:p>
        </w:tc>
        <w:tc>
          <w:tcPr>
            <w:tcW w:w="1325" w:type="dxa"/>
            <w:tcBorders>
              <w:top w:val="single" w:sz="2" w:space="0" w:color="auto"/>
              <w:left w:val="single" w:sz="12" w:space="0" w:color="auto"/>
              <w:bottom w:val="single" w:sz="2" w:space="0" w:color="auto"/>
            </w:tcBorders>
            <w:shd w:val="clear" w:color="auto" w:fill="B8CCE4" w:themeFill="accent1" w:themeFillTint="66"/>
          </w:tcPr>
          <w:p w:rsidR="007E2C4D" w:rsidRPr="008144D7" w:rsidRDefault="007E2C4D" w:rsidP="007E2C4D">
            <w:pPr>
              <w:spacing w:after="0" w:line="240" w:lineRule="auto"/>
              <w:ind w:firstLine="0"/>
              <w:jc w:val="center"/>
              <w:rPr>
                <w:b/>
                <w:sz w:val="18"/>
                <w:szCs w:val="18"/>
              </w:rPr>
            </w:pPr>
            <w:r w:rsidRPr="008144D7">
              <w:rPr>
                <w:b/>
                <w:sz w:val="18"/>
                <w:szCs w:val="18"/>
              </w:rPr>
              <w:t>7,5</w:t>
            </w:r>
          </w:p>
        </w:tc>
      </w:tr>
      <w:tr w:rsidR="007E2C4D" w:rsidRPr="008144D7" w:rsidTr="007E2C4D">
        <w:tc>
          <w:tcPr>
            <w:tcW w:w="914" w:type="dxa"/>
            <w:tcBorders>
              <w:top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b/>
                <w:i/>
                <w:sz w:val="18"/>
                <w:szCs w:val="18"/>
              </w:rPr>
            </w:pPr>
            <w:r w:rsidRPr="008144D7">
              <w:rPr>
                <w:b/>
                <w:i/>
                <w:sz w:val="18"/>
                <w:szCs w:val="18"/>
              </w:rPr>
              <w:t>a</w:t>
            </w:r>
            <w:r w:rsidRPr="008144D7">
              <w:rPr>
                <w:b/>
                <w:i/>
                <w:sz w:val="18"/>
                <w:szCs w:val="18"/>
                <w:vertAlign w:val="subscript"/>
              </w:rPr>
              <w:t>5</w:t>
            </w:r>
          </w:p>
        </w:tc>
        <w:tc>
          <w:tcPr>
            <w:tcW w:w="490" w:type="dxa"/>
            <w:tcBorders>
              <w:top w:val="single" w:sz="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1,5</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648" w:type="dxa"/>
            <w:tcBorders>
              <w:top w:val="single" w:sz="2" w:space="0" w:color="auto"/>
              <w:left w:val="single" w:sz="12" w:space="0" w:color="auto"/>
              <w:bottom w:val="single" w:sz="2" w:space="0" w:color="auto"/>
            </w:tcBorders>
            <w:shd w:val="clear" w:color="auto" w:fill="D9D9D9" w:themeFill="background1" w:themeFillShade="D9"/>
          </w:tcPr>
          <w:p w:rsidR="007E2C4D" w:rsidRPr="008144D7" w:rsidRDefault="007E2C4D" w:rsidP="007E2C4D">
            <w:pPr>
              <w:spacing w:after="0" w:line="240" w:lineRule="auto"/>
              <w:ind w:firstLine="0"/>
              <w:jc w:val="center"/>
              <w:rPr>
                <w:b/>
                <w:sz w:val="18"/>
                <w:szCs w:val="18"/>
              </w:rPr>
            </w:pPr>
            <w:r w:rsidRPr="008144D7">
              <w:rPr>
                <w:b/>
                <w:sz w:val="18"/>
                <w:szCs w:val="18"/>
              </w:rPr>
              <w:t>2</w:t>
            </w:r>
          </w:p>
        </w:tc>
        <w:tc>
          <w:tcPr>
            <w:tcW w:w="1008"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b/>
                <w:sz w:val="18"/>
                <w:szCs w:val="18"/>
              </w:rPr>
            </w:pPr>
            <w:r w:rsidRPr="008144D7">
              <w:rPr>
                <w:b/>
                <w:sz w:val="18"/>
                <w:szCs w:val="18"/>
              </w:rPr>
              <w:t>3,0</w:t>
            </w:r>
          </w:p>
        </w:tc>
        <w:tc>
          <w:tcPr>
            <w:tcW w:w="1008" w:type="dxa"/>
            <w:tcBorders>
              <w:top w:val="single" w:sz="2" w:space="0" w:color="auto"/>
              <w:left w:val="single" w:sz="12" w:space="0" w:color="auto"/>
              <w:bottom w:val="single" w:sz="2" w:space="0" w:color="auto"/>
            </w:tcBorders>
            <w:shd w:val="clear" w:color="auto" w:fill="B8CCE4" w:themeFill="accent1" w:themeFillTint="66"/>
          </w:tcPr>
          <w:p w:rsidR="007E2C4D" w:rsidRPr="00EF2795" w:rsidRDefault="007E2C4D" w:rsidP="007E2C4D">
            <w:pPr>
              <w:spacing w:after="0" w:line="240" w:lineRule="auto"/>
              <w:ind w:firstLine="0"/>
              <w:jc w:val="center"/>
              <w:rPr>
                <w:b/>
                <w:sz w:val="18"/>
                <w:szCs w:val="18"/>
              </w:rPr>
            </w:pPr>
            <w:r w:rsidRPr="00EF2795">
              <w:rPr>
                <w:b/>
                <w:sz w:val="18"/>
                <w:szCs w:val="18"/>
              </w:rPr>
              <w:t>6,0</w:t>
            </w:r>
          </w:p>
        </w:tc>
        <w:tc>
          <w:tcPr>
            <w:tcW w:w="1325" w:type="dxa"/>
            <w:tcBorders>
              <w:top w:val="single" w:sz="2" w:space="0" w:color="auto"/>
              <w:left w:val="single" w:sz="12" w:space="0" w:color="auto"/>
              <w:bottom w:val="single" w:sz="2" w:space="0" w:color="auto"/>
            </w:tcBorders>
            <w:shd w:val="clear" w:color="auto" w:fill="B8CCE4" w:themeFill="accent1" w:themeFillTint="66"/>
          </w:tcPr>
          <w:p w:rsidR="007E2C4D" w:rsidRPr="008144D7" w:rsidRDefault="007E2C4D" w:rsidP="007E2C4D">
            <w:pPr>
              <w:spacing w:after="0" w:line="240" w:lineRule="auto"/>
              <w:ind w:firstLine="0"/>
              <w:jc w:val="center"/>
              <w:rPr>
                <w:b/>
                <w:sz w:val="18"/>
                <w:szCs w:val="18"/>
              </w:rPr>
            </w:pPr>
            <w:r w:rsidRPr="008144D7">
              <w:rPr>
                <w:b/>
                <w:sz w:val="18"/>
                <w:szCs w:val="18"/>
              </w:rPr>
              <w:t>6,0</w:t>
            </w:r>
          </w:p>
        </w:tc>
      </w:tr>
      <w:tr w:rsidR="007E2C4D" w:rsidRPr="008144D7" w:rsidTr="007E2C4D">
        <w:tc>
          <w:tcPr>
            <w:tcW w:w="914" w:type="dxa"/>
            <w:tcBorders>
              <w:top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b/>
                <w:i/>
                <w:sz w:val="18"/>
                <w:szCs w:val="18"/>
              </w:rPr>
            </w:pPr>
            <w:r w:rsidRPr="008144D7">
              <w:rPr>
                <w:b/>
                <w:i/>
                <w:sz w:val="18"/>
                <w:szCs w:val="18"/>
              </w:rPr>
              <w:t>a</w:t>
            </w:r>
            <w:r w:rsidRPr="008144D7">
              <w:rPr>
                <w:b/>
                <w:i/>
                <w:sz w:val="18"/>
                <w:szCs w:val="18"/>
                <w:vertAlign w:val="subscript"/>
              </w:rPr>
              <w:t>6</w:t>
            </w:r>
          </w:p>
        </w:tc>
        <w:tc>
          <w:tcPr>
            <w:tcW w:w="490" w:type="dxa"/>
            <w:tcBorders>
              <w:top w:val="single" w:sz="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2,0</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1</w:t>
            </w:r>
          </w:p>
        </w:tc>
        <w:tc>
          <w:tcPr>
            <w:tcW w:w="648" w:type="dxa"/>
            <w:tcBorders>
              <w:top w:val="single" w:sz="2" w:space="0" w:color="auto"/>
              <w:left w:val="single" w:sz="12" w:space="0" w:color="auto"/>
              <w:bottom w:val="single" w:sz="2" w:space="0" w:color="auto"/>
            </w:tcBorders>
            <w:shd w:val="clear" w:color="auto" w:fill="D9D9D9" w:themeFill="background1" w:themeFillShade="D9"/>
          </w:tcPr>
          <w:p w:rsidR="007E2C4D" w:rsidRPr="008144D7" w:rsidRDefault="007E2C4D" w:rsidP="007E2C4D">
            <w:pPr>
              <w:spacing w:after="0" w:line="240" w:lineRule="auto"/>
              <w:ind w:firstLine="0"/>
              <w:jc w:val="center"/>
              <w:rPr>
                <w:b/>
                <w:sz w:val="18"/>
                <w:szCs w:val="18"/>
              </w:rPr>
            </w:pPr>
            <w:r w:rsidRPr="008144D7">
              <w:rPr>
                <w:b/>
                <w:sz w:val="18"/>
                <w:szCs w:val="18"/>
              </w:rPr>
              <w:t>1</w:t>
            </w:r>
          </w:p>
        </w:tc>
        <w:tc>
          <w:tcPr>
            <w:tcW w:w="1008"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b/>
                <w:sz w:val="18"/>
                <w:szCs w:val="18"/>
              </w:rPr>
            </w:pPr>
            <w:r w:rsidRPr="008144D7">
              <w:rPr>
                <w:b/>
                <w:sz w:val="18"/>
                <w:szCs w:val="18"/>
              </w:rPr>
              <w:t>2,0</w:t>
            </w:r>
          </w:p>
        </w:tc>
        <w:tc>
          <w:tcPr>
            <w:tcW w:w="1008" w:type="dxa"/>
            <w:tcBorders>
              <w:top w:val="single" w:sz="2" w:space="0" w:color="auto"/>
              <w:left w:val="single" w:sz="12" w:space="0" w:color="auto"/>
              <w:bottom w:val="single" w:sz="2" w:space="0" w:color="auto"/>
            </w:tcBorders>
            <w:shd w:val="clear" w:color="auto" w:fill="B8CCE4" w:themeFill="accent1" w:themeFillTint="66"/>
          </w:tcPr>
          <w:p w:rsidR="007E2C4D" w:rsidRPr="00EF2795" w:rsidRDefault="007E2C4D" w:rsidP="007E2C4D">
            <w:pPr>
              <w:spacing w:after="0" w:line="240" w:lineRule="auto"/>
              <w:ind w:firstLine="0"/>
              <w:jc w:val="center"/>
              <w:rPr>
                <w:b/>
                <w:sz w:val="18"/>
                <w:szCs w:val="18"/>
              </w:rPr>
            </w:pPr>
            <w:r w:rsidRPr="00EF2795">
              <w:rPr>
                <w:b/>
                <w:sz w:val="18"/>
                <w:szCs w:val="18"/>
              </w:rPr>
              <w:t>6,0</w:t>
            </w:r>
          </w:p>
        </w:tc>
        <w:tc>
          <w:tcPr>
            <w:tcW w:w="1325" w:type="dxa"/>
            <w:tcBorders>
              <w:top w:val="single" w:sz="2" w:space="0" w:color="auto"/>
              <w:left w:val="single" w:sz="12" w:space="0" w:color="auto"/>
              <w:bottom w:val="single" w:sz="2" w:space="0" w:color="auto"/>
            </w:tcBorders>
            <w:shd w:val="clear" w:color="auto" w:fill="B8CCE4" w:themeFill="accent1" w:themeFillTint="66"/>
          </w:tcPr>
          <w:p w:rsidR="007E2C4D" w:rsidRPr="008144D7" w:rsidRDefault="007E2C4D" w:rsidP="007E2C4D">
            <w:pPr>
              <w:spacing w:after="0" w:line="240" w:lineRule="auto"/>
              <w:ind w:firstLine="0"/>
              <w:jc w:val="center"/>
              <w:rPr>
                <w:b/>
                <w:sz w:val="18"/>
                <w:szCs w:val="18"/>
              </w:rPr>
            </w:pPr>
            <w:r w:rsidRPr="008144D7">
              <w:rPr>
                <w:b/>
                <w:sz w:val="18"/>
                <w:szCs w:val="18"/>
              </w:rPr>
              <w:t>8,0</w:t>
            </w:r>
          </w:p>
        </w:tc>
      </w:tr>
      <w:tr w:rsidR="007E2C4D" w:rsidRPr="008144D7" w:rsidTr="007E2C4D">
        <w:tc>
          <w:tcPr>
            <w:tcW w:w="914" w:type="dxa"/>
            <w:tcBorders>
              <w:top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b/>
                <w:i/>
                <w:sz w:val="18"/>
                <w:szCs w:val="18"/>
              </w:rPr>
            </w:pPr>
            <w:r w:rsidRPr="008144D7">
              <w:rPr>
                <w:b/>
                <w:i/>
                <w:sz w:val="18"/>
                <w:szCs w:val="18"/>
              </w:rPr>
              <w:t>a</w:t>
            </w:r>
            <w:r w:rsidRPr="008144D7">
              <w:rPr>
                <w:b/>
                <w:i/>
                <w:sz w:val="18"/>
                <w:szCs w:val="18"/>
                <w:vertAlign w:val="subscript"/>
              </w:rPr>
              <w:t>7</w:t>
            </w:r>
          </w:p>
        </w:tc>
        <w:tc>
          <w:tcPr>
            <w:tcW w:w="490" w:type="dxa"/>
            <w:tcBorders>
              <w:top w:val="single" w:sz="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1,5</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4</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4</w:t>
            </w:r>
          </w:p>
        </w:tc>
        <w:tc>
          <w:tcPr>
            <w:tcW w:w="648" w:type="dxa"/>
            <w:tcBorders>
              <w:top w:val="single" w:sz="2" w:space="0" w:color="auto"/>
              <w:left w:val="single" w:sz="12" w:space="0" w:color="auto"/>
              <w:bottom w:val="single" w:sz="2" w:space="0" w:color="auto"/>
            </w:tcBorders>
            <w:shd w:val="clear" w:color="auto" w:fill="D9D9D9" w:themeFill="background1" w:themeFillShade="D9"/>
          </w:tcPr>
          <w:p w:rsidR="007E2C4D" w:rsidRPr="008144D7" w:rsidRDefault="007E2C4D" w:rsidP="007E2C4D">
            <w:pPr>
              <w:spacing w:after="0" w:line="240" w:lineRule="auto"/>
              <w:ind w:firstLine="0"/>
              <w:jc w:val="center"/>
              <w:rPr>
                <w:b/>
                <w:sz w:val="18"/>
                <w:szCs w:val="18"/>
              </w:rPr>
            </w:pPr>
            <w:r w:rsidRPr="008144D7">
              <w:rPr>
                <w:b/>
                <w:sz w:val="18"/>
                <w:szCs w:val="18"/>
              </w:rPr>
              <w:t>3</w:t>
            </w:r>
          </w:p>
        </w:tc>
        <w:tc>
          <w:tcPr>
            <w:tcW w:w="1008"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b/>
                <w:sz w:val="18"/>
                <w:szCs w:val="18"/>
              </w:rPr>
            </w:pPr>
            <w:r w:rsidRPr="008144D7">
              <w:rPr>
                <w:b/>
                <w:sz w:val="18"/>
                <w:szCs w:val="18"/>
              </w:rPr>
              <w:t>4,5</w:t>
            </w:r>
          </w:p>
        </w:tc>
        <w:tc>
          <w:tcPr>
            <w:tcW w:w="1008" w:type="dxa"/>
            <w:tcBorders>
              <w:top w:val="single" w:sz="2" w:space="0" w:color="auto"/>
              <w:left w:val="single" w:sz="12" w:space="0" w:color="auto"/>
              <w:bottom w:val="single" w:sz="2" w:space="0" w:color="auto"/>
            </w:tcBorders>
            <w:shd w:val="clear" w:color="auto" w:fill="B8CCE4" w:themeFill="accent1" w:themeFillTint="66"/>
          </w:tcPr>
          <w:p w:rsidR="007E2C4D" w:rsidRPr="00EF2795" w:rsidRDefault="007E2C4D" w:rsidP="007E2C4D">
            <w:pPr>
              <w:spacing w:after="0" w:line="240" w:lineRule="auto"/>
              <w:ind w:firstLine="0"/>
              <w:jc w:val="center"/>
              <w:rPr>
                <w:b/>
                <w:sz w:val="18"/>
                <w:szCs w:val="18"/>
              </w:rPr>
            </w:pPr>
            <w:r w:rsidRPr="00EF2795">
              <w:rPr>
                <w:b/>
                <w:sz w:val="18"/>
                <w:szCs w:val="18"/>
              </w:rPr>
              <w:t>4,5</w:t>
            </w:r>
          </w:p>
        </w:tc>
        <w:tc>
          <w:tcPr>
            <w:tcW w:w="1325" w:type="dxa"/>
            <w:tcBorders>
              <w:top w:val="single" w:sz="2" w:space="0" w:color="auto"/>
              <w:left w:val="single" w:sz="12" w:space="0" w:color="auto"/>
              <w:bottom w:val="single" w:sz="2" w:space="0" w:color="auto"/>
            </w:tcBorders>
            <w:shd w:val="clear" w:color="auto" w:fill="B8CCE4" w:themeFill="accent1" w:themeFillTint="66"/>
          </w:tcPr>
          <w:p w:rsidR="007E2C4D" w:rsidRPr="008144D7" w:rsidRDefault="007E2C4D" w:rsidP="007E2C4D">
            <w:pPr>
              <w:spacing w:after="0" w:line="240" w:lineRule="auto"/>
              <w:ind w:firstLine="0"/>
              <w:jc w:val="center"/>
              <w:rPr>
                <w:b/>
                <w:sz w:val="18"/>
                <w:szCs w:val="18"/>
              </w:rPr>
            </w:pPr>
            <w:r w:rsidRPr="008144D7">
              <w:rPr>
                <w:b/>
                <w:sz w:val="18"/>
                <w:szCs w:val="18"/>
              </w:rPr>
              <w:t>6,0</w:t>
            </w:r>
          </w:p>
        </w:tc>
      </w:tr>
      <w:tr w:rsidR="007E2C4D" w:rsidRPr="008144D7" w:rsidTr="007E2C4D">
        <w:tc>
          <w:tcPr>
            <w:tcW w:w="914" w:type="dxa"/>
            <w:tcBorders>
              <w:top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b/>
                <w:i/>
                <w:sz w:val="18"/>
                <w:szCs w:val="18"/>
              </w:rPr>
            </w:pPr>
            <w:r w:rsidRPr="008144D7">
              <w:rPr>
                <w:b/>
                <w:i/>
                <w:sz w:val="18"/>
                <w:szCs w:val="18"/>
              </w:rPr>
              <w:t>a</w:t>
            </w:r>
            <w:r w:rsidRPr="008144D7">
              <w:rPr>
                <w:b/>
                <w:i/>
                <w:sz w:val="18"/>
                <w:szCs w:val="18"/>
                <w:vertAlign w:val="subscript"/>
              </w:rPr>
              <w:t>8</w:t>
            </w:r>
          </w:p>
        </w:tc>
        <w:tc>
          <w:tcPr>
            <w:tcW w:w="490" w:type="dxa"/>
            <w:tcBorders>
              <w:top w:val="single" w:sz="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1,0</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1</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648" w:type="dxa"/>
            <w:tcBorders>
              <w:top w:val="single" w:sz="2" w:space="0" w:color="auto"/>
              <w:left w:val="single" w:sz="12" w:space="0" w:color="auto"/>
              <w:bottom w:val="single" w:sz="2" w:space="0" w:color="auto"/>
            </w:tcBorders>
            <w:shd w:val="clear" w:color="auto" w:fill="D9D9D9" w:themeFill="background1" w:themeFillShade="D9"/>
          </w:tcPr>
          <w:p w:rsidR="007E2C4D" w:rsidRPr="008144D7" w:rsidRDefault="007E2C4D" w:rsidP="007E2C4D">
            <w:pPr>
              <w:spacing w:after="0" w:line="240" w:lineRule="auto"/>
              <w:ind w:firstLine="0"/>
              <w:jc w:val="center"/>
              <w:rPr>
                <w:b/>
                <w:sz w:val="18"/>
                <w:szCs w:val="18"/>
              </w:rPr>
            </w:pPr>
            <w:r w:rsidRPr="008144D7">
              <w:rPr>
                <w:b/>
                <w:sz w:val="18"/>
                <w:szCs w:val="18"/>
              </w:rPr>
              <w:t>3</w:t>
            </w:r>
          </w:p>
        </w:tc>
        <w:tc>
          <w:tcPr>
            <w:tcW w:w="1008" w:type="dxa"/>
            <w:tcBorders>
              <w:top w:val="single" w:sz="2" w:space="0" w:color="auto"/>
              <w:left w:val="single" w:sz="2" w:space="0" w:color="auto"/>
              <w:bottom w:val="single" w:sz="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b/>
                <w:sz w:val="18"/>
                <w:szCs w:val="18"/>
              </w:rPr>
            </w:pPr>
            <w:r>
              <w:rPr>
                <w:b/>
                <w:sz w:val="18"/>
                <w:szCs w:val="18"/>
              </w:rPr>
              <w:t>3,0</w:t>
            </w:r>
          </w:p>
        </w:tc>
        <w:tc>
          <w:tcPr>
            <w:tcW w:w="1008" w:type="dxa"/>
            <w:tcBorders>
              <w:top w:val="single" w:sz="2" w:space="0" w:color="auto"/>
              <w:left w:val="single" w:sz="12" w:space="0" w:color="auto"/>
              <w:bottom w:val="single" w:sz="2" w:space="0" w:color="auto"/>
            </w:tcBorders>
            <w:shd w:val="clear" w:color="auto" w:fill="B8CCE4" w:themeFill="accent1" w:themeFillTint="66"/>
          </w:tcPr>
          <w:p w:rsidR="007E2C4D" w:rsidRPr="00EF2795" w:rsidRDefault="007E2C4D" w:rsidP="007E2C4D">
            <w:pPr>
              <w:spacing w:after="0" w:line="240" w:lineRule="auto"/>
              <w:ind w:firstLine="0"/>
              <w:jc w:val="center"/>
              <w:rPr>
                <w:b/>
                <w:sz w:val="18"/>
                <w:szCs w:val="18"/>
              </w:rPr>
            </w:pPr>
            <w:r w:rsidRPr="00EF2795">
              <w:rPr>
                <w:b/>
                <w:sz w:val="18"/>
                <w:szCs w:val="18"/>
              </w:rPr>
              <w:t>3,0</w:t>
            </w:r>
          </w:p>
        </w:tc>
        <w:tc>
          <w:tcPr>
            <w:tcW w:w="1325" w:type="dxa"/>
            <w:tcBorders>
              <w:top w:val="single" w:sz="2" w:space="0" w:color="auto"/>
              <w:left w:val="single" w:sz="12" w:space="0" w:color="auto"/>
              <w:bottom w:val="single" w:sz="2" w:space="0" w:color="auto"/>
            </w:tcBorders>
            <w:shd w:val="clear" w:color="auto" w:fill="B8CCE4" w:themeFill="accent1" w:themeFillTint="66"/>
          </w:tcPr>
          <w:p w:rsidR="007E2C4D" w:rsidRPr="008144D7" w:rsidRDefault="007E2C4D" w:rsidP="007E2C4D">
            <w:pPr>
              <w:spacing w:after="0" w:line="240" w:lineRule="auto"/>
              <w:ind w:firstLine="0"/>
              <w:jc w:val="center"/>
              <w:rPr>
                <w:b/>
                <w:sz w:val="18"/>
                <w:szCs w:val="18"/>
              </w:rPr>
            </w:pPr>
            <w:r w:rsidRPr="008144D7">
              <w:rPr>
                <w:b/>
                <w:sz w:val="18"/>
                <w:szCs w:val="18"/>
              </w:rPr>
              <w:t>5,0</w:t>
            </w:r>
          </w:p>
        </w:tc>
      </w:tr>
      <w:tr w:rsidR="007E2C4D" w:rsidRPr="008144D7" w:rsidTr="007E2C4D">
        <w:tc>
          <w:tcPr>
            <w:tcW w:w="914" w:type="dxa"/>
            <w:tcBorders>
              <w:top w:val="single" w:sz="2" w:space="0" w:color="auto"/>
              <w:bottom w:val="single" w:sz="1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b/>
                <w:i/>
                <w:sz w:val="18"/>
                <w:szCs w:val="18"/>
              </w:rPr>
            </w:pPr>
            <w:r w:rsidRPr="008144D7">
              <w:rPr>
                <w:b/>
                <w:i/>
                <w:sz w:val="18"/>
                <w:szCs w:val="18"/>
              </w:rPr>
              <w:t>a</w:t>
            </w:r>
            <w:r w:rsidRPr="008144D7">
              <w:rPr>
                <w:b/>
                <w:i/>
                <w:sz w:val="18"/>
                <w:szCs w:val="18"/>
                <w:vertAlign w:val="subscript"/>
              </w:rPr>
              <w:t>9</w:t>
            </w:r>
          </w:p>
        </w:tc>
        <w:tc>
          <w:tcPr>
            <w:tcW w:w="490" w:type="dxa"/>
            <w:tcBorders>
              <w:top w:val="single" w:sz="2" w:space="0" w:color="auto"/>
              <w:left w:val="single" w:sz="12" w:space="0" w:color="auto"/>
              <w:bottom w:val="single" w:sz="1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1,5</w:t>
            </w:r>
          </w:p>
        </w:tc>
        <w:tc>
          <w:tcPr>
            <w:tcW w:w="490"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1</w:t>
            </w:r>
          </w:p>
        </w:tc>
        <w:tc>
          <w:tcPr>
            <w:tcW w:w="490"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1</w:t>
            </w:r>
          </w:p>
        </w:tc>
        <w:tc>
          <w:tcPr>
            <w:tcW w:w="490"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3</w:t>
            </w:r>
          </w:p>
        </w:tc>
        <w:tc>
          <w:tcPr>
            <w:tcW w:w="490"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490"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sz w:val="18"/>
                <w:szCs w:val="18"/>
              </w:rPr>
            </w:pPr>
            <w:r w:rsidRPr="008144D7">
              <w:rPr>
                <w:sz w:val="18"/>
                <w:szCs w:val="18"/>
              </w:rPr>
              <w:t>2</w:t>
            </w:r>
          </w:p>
        </w:tc>
        <w:tc>
          <w:tcPr>
            <w:tcW w:w="648" w:type="dxa"/>
            <w:tcBorders>
              <w:top w:val="single" w:sz="2" w:space="0" w:color="auto"/>
              <w:left w:val="single" w:sz="12" w:space="0" w:color="auto"/>
              <w:bottom w:val="single" w:sz="12" w:space="0" w:color="auto"/>
            </w:tcBorders>
            <w:shd w:val="clear" w:color="auto" w:fill="D9D9D9" w:themeFill="background1" w:themeFillShade="D9"/>
          </w:tcPr>
          <w:p w:rsidR="007E2C4D" w:rsidRPr="008144D7" w:rsidRDefault="007E2C4D" w:rsidP="007E2C4D">
            <w:pPr>
              <w:spacing w:after="0" w:line="240" w:lineRule="auto"/>
              <w:ind w:firstLine="0"/>
              <w:jc w:val="center"/>
              <w:rPr>
                <w:b/>
                <w:sz w:val="18"/>
                <w:szCs w:val="18"/>
              </w:rPr>
            </w:pPr>
            <w:r w:rsidRPr="008144D7">
              <w:rPr>
                <w:b/>
                <w:sz w:val="18"/>
                <w:szCs w:val="18"/>
              </w:rPr>
              <w:t>2</w:t>
            </w:r>
          </w:p>
        </w:tc>
        <w:tc>
          <w:tcPr>
            <w:tcW w:w="1008" w:type="dxa"/>
            <w:tcBorders>
              <w:top w:val="single" w:sz="2" w:space="0" w:color="auto"/>
              <w:left w:val="single" w:sz="2" w:space="0" w:color="auto"/>
              <w:bottom w:val="single" w:sz="12" w:space="0" w:color="auto"/>
              <w:right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b/>
                <w:sz w:val="18"/>
                <w:szCs w:val="18"/>
              </w:rPr>
            </w:pPr>
            <w:r w:rsidRPr="008144D7">
              <w:rPr>
                <w:b/>
                <w:sz w:val="18"/>
                <w:szCs w:val="18"/>
              </w:rPr>
              <w:t>3,0</w:t>
            </w:r>
          </w:p>
        </w:tc>
        <w:tc>
          <w:tcPr>
            <w:tcW w:w="1008" w:type="dxa"/>
            <w:tcBorders>
              <w:top w:val="single" w:sz="2" w:space="0" w:color="auto"/>
              <w:left w:val="single" w:sz="12" w:space="0" w:color="auto"/>
              <w:bottom w:val="single" w:sz="12" w:space="0" w:color="auto"/>
            </w:tcBorders>
            <w:shd w:val="clear" w:color="auto" w:fill="B8CCE4" w:themeFill="accent1" w:themeFillTint="66"/>
          </w:tcPr>
          <w:p w:rsidR="007E2C4D" w:rsidRPr="00EF2795" w:rsidRDefault="007E2C4D" w:rsidP="007E2C4D">
            <w:pPr>
              <w:spacing w:after="0" w:line="240" w:lineRule="auto"/>
              <w:ind w:firstLine="0"/>
              <w:jc w:val="center"/>
              <w:rPr>
                <w:b/>
                <w:sz w:val="18"/>
                <w:szCs w:val="18"/>
              </w:rPr>
            </w:pPr>
            <w:r>
              <w:rPr>
                <w:b/>
                <w:sz w:val="18"/>
                <w:szCs w:val="18"/>
              </w:rPr>
              <w:t>3,0</w:t>
            </w:r>
          </w:p>
        </w:tc>
        <w:tc>
          <w:tcPr>
            <w:tcW w:w="1325" w:type="dxa"/>
            <w:tcBorders>
              <w:top w:val="single" w:sz="2" w:space="0" w:color="auto"/>
              <w:left w:val="single" w:sz="12" w:space="0" w:color="auto"/>
              <w:bottom w:val="single" w:sz="12" w:space="0" w:color="auto"/>
            </w:tcBorders>
            <w:shd w:val="clear" w:color="auto" w:fill="B8CCE4" w:themeFill="accent1" w:themeFillTint="66"/>
          </w:tcPr>
          <w:p w:rsidR="007E2C4D" w:rsidRPr="008144D7" w:rsidRDefault="007E2C4D" w:rsidP="007E2C4D">
            <w:pPr>
              <w:spacing w:after="0" w:line="240" w:lineRule="auto"/>
              <w:ind w:firstLine="0"/>
              <w:jc w:val="center"/>
              <w:rPr>
                <w:b/>
                <w:sz w:val="18"/>
                <w:szCs w:val="18"/>
              </w:rPr>
            </w:pPr>
            <w:r w:rsidRPr="008144D7">
              <w:rPr>
                <w:b/>
                <w:sz w:val="18"/>
                <w:szCs w:val="18"/>
              </w:rPr>
              <w:t>6,0</w:t>
            </w:r>
          </w:p>
        </w:tc>
      </w:tr>
      <w:tr w:rsidR="007E2C4D" w:rsidRPr="002070A1" w:rsidTr="007E2C4D">
        <w:tc>
          <w:tcPr>
            <w:tcW w:w="914" w:type="dxa"/>
            <w:tcBorders>
              <w:top w:val="single" w:sz="12" w:space="0" w:color="auto"/>
              <w:bottom w:val="single" w:sz="12" w:space="0" w:color="auto"/>
              <w:right w:val="single" w:sz="12" w:space="0" w:color="auto"/>
            </w:tcBorders>
            <w:shd w:val="clear" w:color="auto" w:fill="D9D9D9" w:themeFill="background1" w:themeFillShade="D9"/>
          </w:tcPr>
          <w:p w:rsidR="007E2C4D" w:rsidRPr="002070A1" w:rsidRDefault="007E2C4D" w:rsidP="007E2C4D">
            <w:pPr>
              <w:spacing w:after="0" w:line="240" w:lineRule="auto"/>
              <w:ind w:firstLine="0"/>
              <w:jc w:val="right"/>
              <w:rPr>
                <w:b/>
                <w:i/>
                <w:sz w:val="17"/>
                <w:szCs w:val="17"/>
              </w:rPr>
            </w:pPr>
            <w:r w:rsidRPr="002070A1">
              <w:rPr>
                <w:b/>
                <w:i/>
                <w:sz w:val="17"/>
                <w:szCs w:val="17"/>
              </w:rPr>
              <w:t>SUMA:</w:t>
            </w:r>
          </w:p>
        </w:tc>
        <w:tc>
          <w:tcPr>
            <w:tcW w:w="490" w:type="dxa"/>
            <w:tcBorders>
              <w:top w:val="single" w:sz="12" w:space="0" w:color="auto"/>
              <w:left w:val="single" w:sz="12" w:space="0" w:color="auto"/>
              <w:bottom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7"/>
                <w:szCs w:val="17"/>
              </w:rPr>
            </w:pPr>
            <w:r w:rsidRPr="002070A1">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7"/>
                <w:szCs w:val="17"/>
              </w:rPr>
            </w:pPr>
            <w:r w:rsidRPr="002070A1">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7"/>
                <w:szCs w:val="17"/>
              </w:rPr>
            </w:pPr>
            <w:r w:rsidRPr="002070A1">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7"/>
                <w:szCs w:val="17"/>
              </w:rPr>
            </w:pPr>
            <w:r w:rsidRPr="002070A1">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7"/>
                <w:szCs w:val="17"/>
              </w:rPr>
            </w:pPr>
            <w:r w:rsidRPr="002070A1">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7"/>
                <w:szCs w:val="17"/>
              </w:rPr>
            </w:pPr>
            <w:r w:rsidRPr="002070A1">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7"/>
                <w:szCs w:val="17"/>
              </w:rPr>
            </w:pPr>
            <w:r w:rsidRPr="002070A1">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7"/>
                <w:szCs w:val="17"/>
              </w:rPr>
            </w:pPr>
            <w:r w:rsidRPr="002070A1">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7"/>
                <w:szCs w:val="17"/>
              </w:rPr>
            </w:pPr>
            <w:r w:rsidRPr="002070A1">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7"/>
                <w:szCs w:val="17"/>
              </w:rPr>
            </w:pPr>
            <w:r w:rsidRPr="002070A1">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i/>
                <w:sz w:val="17"/>
                <w:szCs w:val="17"/>
              </w:rPr>
            </w:pPr>
            <w:r w:rsidRPr="002070A1">
              <w:rPr>
                <w:b/>
                <w:i/>
                <w:sz w:val="17"/>
                <w:szCs w:val="17"/>
              </w:rPr>
              <w:t>-</w:t>
            </w:r>
          </w:p>
        </w:tc>
        <w:tc>
          <w:tcPr>
            <w:tcW w:w="648" w:type="dxa"/>
            <w:tcBorders>
              <w:top w:val="single" w:sz="12" w:space="0" w:color="auto"/>
              <w:left w:val="single" w:sz="12" w:space="0" w:color="auto"/>
              <w:bottom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sz w:val="17"/>
                <w:szCs w:val="17"/>
              </w:rPr>
            </w:pPr>
            <w:r>
              <w:rPr>
                <w:b/>
                <w:sz w:val="17"/>
                <w:szCs w:val="17"/>
              </w:rPr>
              <w:t>18</w:t>
            </w:r>
          </w:p>
        </w:tc>
        <w:tc>
          <w:tcPr>
            <w:tcW w:w="1008"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color w:val="00B050"/>
                <w:sz w:val="17"/>
                <w:szCs w:val="17"/>
              </w:rPr>
            </w:pPr>
            <w:r>
              <w:rPr>
                <w:b/>
                <w:color w:val="00B050"/>
                <w:sz w:val="17"/>
                <w:szCs w:val="17"/>
              </w:rPr>
              <w:t>26</w:t>
            </w:r>
          </w:p>
        </w:tc>
        <w:tc>
          <w:tcPr>
            <w:tcW w:w="1008" w:type="dxa"/>
            <w:tcBorders>
              <w:top w:val="single" w:sz="12" w:space="0" w:color="auto"/>
              <w:left w:val="single" w:sz="12" w:space="0" w:color="auto"/>
              <w:bottom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color w:val="FF0000"/>
                <w:sz w:val="17"/>
                <w:szCs w:val="17"/>
              </w:rPr>
            </w:pPr>
            <w:r>
              <w:rPr>
                <w:b/>
                <w:color w:val="FF0000"/>
                <w:sz w:val="17"/>
                <w:szCs w:val="17"/>
              </w:rPr>
              <w:t>31,5</w:t>
            </w:r>
          </w:p>
        </w:tc>
        <w:tc>
          <w:tcPr>
            <w:tcW w:w="1325" w:type="dxa"/>
            <w:tcBorders>
              <w:top w:val="single" w:sz="12" w:space="0" w:color="auto"/>
              <w:left w:val="single" w:sz="12" w:space="0" w:color="auto"/>
              <w:bottom w:val="single" w:sz="12" w:space="0" w:color="auto"/>
            </w:tcBorders>
            <w:shd w:val="clear" w:color="auto" w:fill="D9D9D9" w:themeFill="background1" w:themeFillShade="D9"/>
            <w:vAlign w:val="center"/>
          </w:tcPr>
          <w:p w:rsidR="007E2C4D" w:rsidRPr="002070A1" w:rsidRDefault="007E2C4D" w:rsidP="007E2C4D">
            <w:pPr>
              <w:spacing w:after="0" w:line="240" w:lineRule="auto"/>
              <w:ind w:firstLine="0"/>
              <w:jc w:val="center"/>
              <w:rPr>
                <w:b/>
                <w:color w:val="0070C0"/>
                <w:sz w:val="17"/>
                <w:szCs w:val="17"/>
              </w:rPr>
            </w:pPr>
            <w:r>
              <w:rPr>
                <w:b/>
                <w:color w:val="0070C0"/>
                <w:sz w:val="17"/>
                <w:szCs w:val="17"/>
              </w:rPr>
              <w:t>58,0</w:t>
            </w:r>
          </w:p>
        </w:tc>
      </w:tr>
      <w:tr w:rsidR="007E2C4D" w:rsidRPr="00B3621F" w:rsidTr="007E2C4D">
        <w:tc>
          <w:tcPr>
            <w:tcW w:w="10293" w:type="dxa"/>
            <w:gridSpan w:val="16"/>
            <w:tcBorders>
              <w:top w:val="single" w:sz="12" w:space="0" w:color="auto"/>
              <w:bottom w:val="single" w:sz="12" w:space="0" w:color="auto"/>
            </w:tcBorders>
            <w:shd w:val="clear" w:color="auto" w:fill="auto"/>
          </w:tcPr>
          <w:p w:rsidR="007E2C4D" w:rsidRPr="00B3621F" w:rsidRDefault="007E2C4D" w:rsidP="007E2C4D">
            <w:pPr>
              <w:spacing w:after="0" w:line="240" w:lineRule="auto"/>
              <w:ind w:firstLine="0"/>
              <w:jc w:val="center"/>
              <w:rPr>
                <w:color w:val="0070C0"/>
                <w:sz w:val="6"/>
                <w:szCs w:val="6"/>
              </w:rPr>
            </w:pPr>
          </w:p>
        </w:tc>
      </w:tr>
      <w:tr w:rsidR="007E2C4D" w:rsidRPr="0037262D" w:rsidTr="007E2C4D">
        <w:trPr>
          <w:trHeight w:val="218"/>
        </w:trPr>
        <w:tc>
          <w:tcPr>
            <w:tcW w:w="914" w:type="dxa"/>
            <w:vMerge w:val="restart"/>
            <w:tcBorders>
              <w:top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 B -</w:t>
            </w:r>
          </w:p>
        </w:tc>
        <w:tc>
          <w:tcPr>
            <w:tcW w:w="490" w:type="dxa"/>
            <w:vMerge w:val="restart"/>
            <w:tcBorders>
              <w:top w:val="single" w:sz="12" w:space="0" w:color="auto"/>
              <w:lef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K</w:t>
            </w:r>
          </w:p>
        </w:tc>
        <w:tc>
          <w:tcPr>
            <w:tcW w:w="4900" w:type="dxa"/>
            <w:gridSpan w:val="10"/>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Ekspertų vertinimai</w:t>
            </w:r>
          </w:p>
        </w:tc>
        <w:tc>
          <w:tcPr>
            <w:tcW w:w="648" w:type="dxa"/>
            <w:vMerge w:val="restart"/>
            <w:tcBorders>
              <w:top w:val="single" w:sz="12" w:space="0" w:color="auto"/>
              <w:lef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proofErr w:type="spellStart"/>
            <w:r w:rsidRPr="0037262D">
              <w:rPr>
                <w:b/>
                <w:i/>
                <w:sz w:val="17"/>
                <w:szCs w:val="17"/>
              </w:rPr>
              <w:t>M</w:t>
            </w:r>
            <w:r>
              <w:rPr>
                <w:b/>
                <w:i/>
                <w:sz w:val="17"/>
                <w:szCs w:val="17"/>
              </w:rPr>
              <w:t>o</w:t>
            </w:r>
            <w:proofErr w:type="spellEnd"/>
          </w:p>
        </w:tc>
        <w:tc>
          <w:tcPr>
            <w:tcW w:w="1008" w:type="dxa"/>
            <w:vMerge w:val="restart"/>
            <w:tcBorders>
              <w:top w:val="single" w:sz="12" w:space="0" w:color="auto"/>
              <w:left w:val="single" w:sz="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color w:val="00B050"/>
                <w:sz w:val="17"/>
                <w:szCs w:val="17"/>
              </w:rPr>
            </w:pPr>
            <w:r w:rsidRPr="0037262D">
              <w:rPr>
                <w:b/>
                <w:i/>
                <w:color w:val="00B050"/>
                <w:sz w:val="17"/>
                <w:szCs w:val="17"/>
              </w:rPr>
              <w:t>Svertinis balas</w:t>
            </w:r>
          </w:p>
        </w:tc>
        <w:tc>
          <w:tcPr>
            <w:tcW w:w="1008" w:type="dxa"/>
            <w:vMerge w:val="restart"/>
            <w:tcBorders>
              <w:top w:val="single" w:sz="12" w:space="0" w:color="auto"/>
              <w:lef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color w:val="0070C0"/>
                <w:sz w:val="17"/>
                <w:szCs w:val="17"/>
              </w:rPr>
            </w:pPr>
            <w:r w:rsidRPr="0037262D">
              <w:rPr>
                <w:b/>
                <w:i/>
                <w:color w:val="FF0000"/>
                <w:sz w:val="17"/>
                <w:szCs w:val="17"/>
              </w:rPr>
              <w:t>Apklausos rezultatai</w:t>
            </w:r>
          </w:p>
        </w:tc>
        <w:tc>
          <w:tcPr>
            <w:tcW w:w="1325" w:type="dxa"/>
            <w:vMerge w:val="restart"/>
            <w:tcBorders>
              <w:top w:val="single" w:sz="12" w:space="0" w:color="auto"/>
              <w:lef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color w:val="8C3A8E"/>
                <w:sz w:val="17"/>
                <w:szCs w:val="17"/>
              </w:rPr>
            </w:pPr>
            <w:r w:rsidRPr="0037262D">
              <w:rPr>
                <w:b/>
                <w:i/>
                <w:color w:val="8C3A8E"/>
                <w:sz w:val="17"/>
                <w:szCs w:val="17"/>
              </w:rPr>
              <w:t>Pageidautina reikšmė</w:t>
            </w:r>
          </w:p>
        </w:tc>
      </w:tr>
      <w:tr w:rsidR="007E2C4D" w:rsidRPr="0037262D" w:rsidTr="007E2C4D">
        <w:trPr>
          <w:trHeight w:val="50"/>
        </w:trPr>
        <w:tc>
          <w:tcPr>
            <w:tcW w:w="914" w:type="dxa"/>
            <w:vMerge/>
            <w:tcBorders>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rPr>
            </w:pPr>
          </w:p>
        </w:tc>
        <w:tc>
          <w:tcPr>
            <w:tcW w:w="490" w:type="dxa"/>
            <w:vMerge/>
            <w:tcBorders>
              <w:left w:val="single" w:sz="12" w:space="0" w:color="auto"/>
              <w:bottom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rPr>
            </w:pP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vertAlign w:val="subscript"/>
              </w:rPr>
            </w:pPr>
            <w:r w:rsidRPr="0037262D">
              <w:rPr>
                <w:b/>
                <w:i/>
                <w:sz w:val="18"/>
                <w:szCs w:val="18"/>
              </w:rPr>
              <w:t>m</w:t>
            </w:r>
            <w:r w:rsidRPr="0037262D">
              <w:rPr>
                <w:b/>
                <w:i/>
                <w:sz w:val="18"/>
                <w:szCs w:val="18"/>
                <w:vertAlign w:val="subscript"/>
              </w:rPr>
              <w:t>1</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vertAlign w:val="subscript"/>
              </w:rPr>
            </w:pPr>
            <w:r w:rsidRPr="0037262D">
              <w:rPr>
                <w:b/>
                <w:i/>
                <w:sz w:val="18"/>
                <w:szCs w:val="18"/>
              </w:rPr>
              <w:t>m</w:t>
            </w:r>
            <w:r w:rsidRPr="0037262D">
              <w:rPr>
                <w:b/>
                <w:i/>
                <w:sz w:val="18"/>
                <w:szCs w:val="18"/>
                <w:vertAlign w:val="subscript"/>
              </w:rPr>
              <w:t>2</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vertAlign w:val="subscript"/>
              </w:rPr>
            </w:pPr>
            <w:r w:rsidRPr="0037262D">
              <w:rPr>
                <w:b/>
                <w:i/>
                <w:sz w:val="18"/>
                <w:szCs w:val="18"/>
              </w:rPr>
              <w:t>m</w:t>
            </w:r>
            <w:r w:rsidRPr="0037262D">
              <w:rPr>
                <w:b/>
                <w:i/>
                <w:sz w:val="18"/>
                <w:szCs w:val="18"/>
                <w:vertAlign w:val="subscript"/>
              </w:rPr>
              <w:t>3</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vertAlign w:val="subscript"/>
              </w:rPr>
            </w:pPr>
            <w:r w:rsidRPr="0037262D">
              <w:rPr>
                <w:b/>
                <w:i/>
                <w:sz w:val="18"/>
                <w:szCs w:val="18"/>
              </w:rPr>
              <w:t>m</w:t>
            </w:r>
            <w:r w:rsidRPr="0037262D">
              <w:rPr>
                <w:b/>
                <w:i/>
                <w:sz w:val="18"/>
                <w:szCs w:val="18"/>
                <w:vertAlign w:val="subscript"/>
              </w:rPr>
              <w:t>4</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vertAlign w:val="subscript"/>
              </w:rPr>
            </w:pPr>
            <w:r w:rsidRPr="0037262D">
              <w:rPr>
                <w:b/>
                <w:i/>
                <w:sz w:val="18"/>
                <w:szCs w:val="18"/>
              </w:rPr>
              <w:t>m</w:t>
            </w:r>
            <w:r w:rsidRPr="0037262D">
              <w:rPr>
                <w:b/>
                <w:i/>
                <w:sz w:val="18"/>
                <w:szCs w:val="18"/>
                <w:vertAlign w:val="subscript"/>
              </w:rPr>
              <w:t>5</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vertAlign w:val="subscript"/>
              </w:rPr>
            </w:pPr>
            <w:r w:rsidRPr="0037262D">
              <w:rPr>
                <w:b/>
                <w:i/>
                <w:sz w:val="18"/>
                <w:szCs w:val="18"/>
              </w:rPr>
              <w:t>m</w:t>
            </w:r>
            <w:r w:rsidRPr="0037262D">
              <w:rPr>
                <w:b/>
                <w:i/>
                <w:sz w:val="18"/>
                <w:szCs w:val="18"/>
                <w:vertAlign w:val="subscript"/>
              </w:rPr>
              <w:t>6</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vertAlign w:val="subscript"/>
              </w:rPr>
            </w:pPr>
            <w:r w:rsidRPr="0037262D">
              <w:rPr>
                <w:b/>
                <w:i/>
                <w:sz w:val="18"/>
                <w:szCs w:val="18"/>
              </w:rPr>
              <w:t>m</w:t>
            </w:r>
            <w:r w:rsidRPr="0037262D">
              <w:rPr>
                <w:b/>
                <w:i/>
                <w:sz w:val="18"/>
                <w:szCs w:val="18"/>
                <w:vertAlign w:val="subscript"/>
              </w:rPr>
              <w:t>7</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vertAlign w:val="subscript"/>
              </w:rPr>
            </w:pPr>
            <w:r w:rsidRPr="0037262D">
              <w:rPr>
                <w:b/>
                <w:i/>
                <w:sz w:val="18"/>
                <w:szCs w:val="18"/>
              </w:rPr>
              <w:t>m</w:t>
            </w:r>
            <w:r w:rsidRPr="0037262D">
              <w:rPr>
                <w:b/>
                <w:i/>
                <w:sz w:val="18"/>
                <w:szCs w:val="18"/>
                <w:vertAlign w:val="subscript"/>
              </w:rPr>
              <w:t>8</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vertAlign w:val="subscript"/>
              </w:rPr>
            </w:pPr>
            <w:r w:rsidRPr="0037262D">
              <w:rPr>
                <w:b/>
                <w:i/>
                <w:sz w:val="18"/>
                <w:szCs w:val="18"/>
              </w:rPr>
              <w:t>m</w:t>
            </w:r>
            <w:r w:rsidRPr="0037262D">
              <w:rPr>
                <w:b/>
                <w:i/>
                <w:sz w:val="18"/>
                <w:szCs w:val="18"/>
                <w:vertAlign w:val="subscript"/>
              </w:rPr>
              <w:t>9</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vertAlign w:val="subscript"/>
              </w:rPr>
            </w:pPr>
            <w:r w:rsidRPr="0037262D">
              <w:rPr>
                <w:b/>
                <w:i/>
                <w:sz w:val="18"/>
                <w:szCs w:val="18"/>
              </w:rPr>
              <w:t>m</w:t>
            </w:r>
            <w:r w:rsidRPr="0037262D">
              <w:rPr>
                <w:b/>
                <w:i/>
                <w:sz w:val="18"/>
                <w:szCs w:val="18"/>
                <w:vertAlign w:val="subscript"/>
              </w:rPr>
              <w:t>10</w:t>
            </w:r>
          </w:p>
        </w:tc>
        <w:tc>
          <w:tcPr>
            <w:tcW w:w="648" w:type="dxa"/>
            <w:vMerge/>
            <w:tcBorders>
              <w:left w:val="single" w:sz="12" w:space="0" w:color="auto"/>
              <w:bottom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rPr>
            </w:pPr>
          </w:p>
        </w:tc>
        <w:tc>
          <w:tcPr>
            <w:tcW w:w="1008" w:type="dxa"/>
            <w:vMerge/>
            <w:tcBorders>
              <w:left w:val="single" w:sz="2" w:space="0" w:color="auto"/>
              <w:bottom w:val="single" w:sz="12" w:space="0" w:color="auto"/>
              <w:right w:val="single" w:sz="12" w:space="0" w:color="auto"/>
            </w:tcBorders>
            <w:shd w:val="clear" w:color="auto" w:fill="D9D9D9" w:themeFill="background1" w:themeFillShade="D9"/>
          </w:tcPr>
          <w:p w:rsidR="007E2C4D" w:rsidRPr="0037262D" w:rsidRDefault="007E2C4D" w:rsidP="007E2C4D">
            <w:pPr>
              <w:spacing w:after="0" w:line="240" w:lineRule="auto"/>
              <w:ind w:firstLine="0"/>
              <w:jc w:val="center"/>
              <w:rPr>
                <w:b/>
                <w:i/>
                <w:color w:val="0070C0"/>
                <w:sz w:val="18"/>
                <w:szCs w:val="18"/>
              </w:rPr>
            </w:pPr>
          </w:p>
        </w:tc>
        <w:tc>
          <w:tcPr>
            <w:tcW w:w="1008" w:type="dxa"/>
            <w:vMerge/>
            <w:tcBorders>
              <w:left w:val="single" w:sz="12" w:space="0" w:color="auto"/>
              <w:bottom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color w:val="0070C0"/>
                <w:sz w:val="18"/>
                <w:szCs w:val="18"/>
              </w:rPr>
            </w:pPr>
          </w:p>
        </w:tc>
        <w:tc>
          <w:tcPr>
            <w:tcW w:w="1325" w:type="dxa"/>
            <w:vMerge/>
            <w:tcBorders>
              <w:left w:val="single" w:sz="12" w:space="0" w:color="auto"/>
              <w:bottom w:val="single" w:sz="12" w:space="0" w:color="auto"/>
            </w:tcBorders>
            <w:shd w:val="clear" w:color="auto" w:fill="D9D9D9" w:themeFill="background1" w:themeFillShade="D9"/>
          </w:tcPr>
          <w:p w:rsidR="007E2C4D" w:rsidRPr="0037262D" w:rsidRDefault="007E2C4D" w:rsidP="007E2C4D">
            <w:pPr>
              <w:spacing w:after="0" w:line="240" w:lineRule="auto"/>
              <w:ind w:firstLine="0"/>
              <w:jc w:val="center"/>
              <w:rPr>
                <w:b/>
                <w:i/>
                <w:color w:val="0070C0"/>
                <w:sz w:val="18"/>
                <w:szCs w:val="18"/>
              </w:rPr>
            </w:pPr>
          </w:p>
        </w:tc>
      </w:tr>
      <w:tr w:rsidR="007E2C4D" w:rsidRPr="0037262D" w:rsidTr="007E2C4D">
        <w:tc>
          <w:tcPr>
            <w:tcW w:w="914" w:type="dxa"/>
            <w:tcBorders>
              <w:top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b/>
                <w:i/>
                <w:sz w:val="18"/>
                <w:szCs w:val="18"/>
              </w:rPr>
            </w:pPr>
            <w:r w:rsidRPr="0037262D">
              <w:rPr>
                <w:b/>
                <w:i/>
                <w:sz w:val="18"/>
                <w:szCs w:val="18"/>
              </w:rPr>
              <w:t>b</w:t>
            </w:r>
            <w:r w:rsidRPr="0037262D">
              <w:rPr>
                <w:b/>
                <w:i/>
                <w:sz w:val="18"/>
                <w:szCs w:val="18"/>
                <w:vertAlign w:val="subscript"/>
              </w:rPr>
              <w:t>1</w:t>
            </w:r>
          </w:p>
        </w:tc>
        <w:tc>
          <w:tcPr>
            <w:tcW w:w="490" w:type="dxa"/>
            <w:tcBorders>
              <w:top w:val="single" w:sz="1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2,0</w:t>
            </w:r>
          </w:p>
        </w:tc>
        <w:tc>
          <w:tcPr>
            <w:tcW w:w="490" w:type="dxa"/>
            <w:tcBorders>
              <w:top w:val="single" w:sz="12" w:space="0" w:color="auto"/>
              <w:left w:val="single" w:sz="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1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1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1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1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1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1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1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1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1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648" w:type="dxa"/>
            <w:tcBorders>
              <w:top w:val="single" w:sz="12" w:space="0" w:color="auto"/>
              <w:left w:val="single" w:sz="12" w:space="0" w:color="auto"/>
              <w:bottom w:val="single" w:sz="2" w:space="0" w:color="auto"/>
            </w:tcBorders>
            <w:shd w:val="clear" w:color="auto" w:fill="D9D9D9" w:themeFill="background1" w:themeFillShade="D9"/>
          </w:tcPr>
          <w:p w:rsidR="007E2C4D" w:rsidRPr="0037262D" w:rsidRDefault="007E2C4D" w:rsidP="007E2C4D">
            <w:pPr>
              <w:spacing w:after="0" w:line="240" w:lineRule="auto"/>
              <w:ind w:firstLine="0"/>
              <w:jc w:val="center"/>
              <w:rPr>
                <w:b/>
                <w:sz w:val="18"/>
                <w:szCs w:val="18"/>
              </w:rPr>
            </w:pPr>
            <w:r w:rsidRPr="0037262D">
              <w:rPr>
                <w:b/>
                <w:sz w:val="18"/>
                <w:szCs w:val="18"/>
              </w:rPr>
              <w:t>1</w:t>
            </w:r>
          </w:p>
        </w:tc>
        <w:tc>
          <w:tcPr>
            <w:tcW w:w="1008" w:type="dxa"/>
            <w:tcBorders>
              <w:top w:val="single" w:sz="12" w:space="0" w:color="auto"/>
              <w:left w:val="single" w:sz="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b/>
                <w:sz w:val="18"/>
                <w:szCs w:val="18"/>
              </w:rPr>
            </w:pPr>
            <w:r w:rsidRPr="0037262D">
              <w:rPr>
                <w:b/>
                <w:sz w:val="18"/>
                <w:szCs w:val="18"/>
              </w:rPr>
              <w:t>2,0</w:t>
            </w:r>
          </w:p>
        </w:tc>
        <w:tc>
          <w:tcPr>
            <w:tcW w:w="1008" w:type="dxa"/>
            <w:tcBorders>
              <w:top w:val="single" w:sz="12" w:space="0" w:color="auto"/>
              <w:left w:val="single" w:sz="12" w:space="0" w:color="auto"/>
              <w:bottom w:val="single" w:sz="2" w:space="0" w:color="auto"/>
            </w:tcBorders>
            <w:shd w:val="clear" w:color="auto" w:fill="CCC0D9" w:themeFill="accent4" w:themeFillTint="66"/>
          </w:tcPr>
          <w:p w:rsidR="007E2C4D" w:rsidRPr="00EA5907" w:rsidRDefault="007E2C4D" w:rsidP="007E2C4D">
            <w:pPr>
              <w:spacing w:after="0" w:line="240" w:lineRule="auto"/>
              <w:ind w:firstLine="0"/>
              <w:jc w:val="center"/>
              <w:rPr>
                <w:b/>
                <w:sz w:val="18"/>
                <w:szCs w:val="18"/>
              </w:rPr>
            </w:pPr>
            <w:r w:rsidRPr="00EA5907">
              <w:rPr>
                <w:b/>
                <w:sz w:val="18"/>
                <w:szCs w:val="18"/>
              </w:rPr>
              <w:t>4,0</w:t>
            </w:r>
          </w:p>
        </w:tc>
        <w:tc>
          <w:tcPr>
            <w:tcW w:w="1325" w:type="dxa"/>
            <w:tcBorders>
              <w:top w:val="single" w:sz="12" w:space="0" w:color="auto"/>
              <w:left w:val="single" w:sz="12" w:space="0" w:color="auto"/>
              <w:bottom w:val="single" w:sz="2" w:space="0" w:color="auto"/>
            </w:tcBorders>
            <w:shd w:val="clear" w:color="auto" w:fill="CCC0D9" w:themeFill="accent4" w:themeFillTint="66"/>
          </w:tcPr>
          <w:p w:rsidR="007E2C4D" w:rsidRPr="0037262D" w:rsidRDefault="007E2C4D" w:rsidP="007E2C4D">
            <w:pPr>
              <w:spacing w:after="0" w:line="240" w:lineRule="auto"/>
              <w:ind w:firstLine="0"/>
              <w:jc w:val="center"/>
              <w:rPr>
                <w:b/>
                <w:sz w:val="18"/>
                <w:szCs w:val="18"/>
              </w:rPr>
            </w:pPr>
            <w:r w:rsidRPr="0037262D">
              <w:rPr>
                <w:b/>
                <w:sz w:val="18"/>
                <w:szCs w:val="18"/>
              </w:rPr>
              <w:t>4,0</w:t>
            </w:r>
          </w:p>
        </w:tc>
      </w:tr>
      <w:tr w:rsidR="007E2C4D" w:rsidRPr="0037262D" w:rsidTr="007E2C4D">
        <w:tc>
          <w:tcPr>
            <w:tcW w:w="914" w:type="dxa"/>
            <w:tcBorders>
              <w:top w:val="single" w:sz="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b/>
                <w:i/>
                <w:sz w:val="18"/>
                <w:szCs w:val="18"/>
              </w:rPr>
            </w:pPr>
            <w:r w:rsidRPr="0037262D">
              <w:rPr>
                <w:b/>
                <w:i/>
                <w:sz w:val="18"/>
                <w:szCs w:val="18"/>
              </w:rPr>
              <w:t>b</w:t>
            </w:r>
            <w:r w:rsidRPr="0037262D">
              <w:rPr>
                <w:b/>
                <w:i/>
                <w:sz w:val="18"/>
                <w:szCs w:val="18"/>
                <w:vertAlign w:val="subscript"/>
              </w:rPr>
              <w:t>2</w:t>
            </w:r>
          </w:p>
        </w:tc>
        <w:tc>
          <w:tcPr>
            <w:tcW w:w="490" w:type="dxa"/>
            <w:tcBorders>
              <w:top w:val="single" w:sz="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1,5</w:t>
            </w:r>
          </w:p>
        </w:tc>
        <w:tc>
          <w:tcPr>
            <w:tcW w:w="490" w:type="dxa"/>
            <w:tcBorders>
              <w:top w:val="single" w:sz="2" w:space="0" w:color="auto"/>
              <w:left w:val="single" w:sz="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4</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648" w:type="dxa"/>
            <w:tcBorders>
              <w:top w:val="single" w:sz="2" w:space="0" w:color="auto"/>
              <w:left w:val="single" w:sz="12" w:space="0" w:color="auto"/>
              <w:bottom w:val="single" w:sz="2" w:space="0" w:color="auto"/>
            </w:tcBorders>
            <w:shd w:val="clear" w:color="auto" w:fill="D9D9D9" w:themeFill="background1" w:themeFillShade="D9"/>
          </w:tcPr>
          <w:p w:rsidR="007E2C4D" w:rsidRPr="0037262D" w:rsidRDefault="007E2C4D" w:rsidP="007E2C4D">
            <w:pPr>
              <w:spacing w:after="0" w:line="240" w:lineRule="auto"/>
              <w:ind w:firstLine="0"/>
              <w:jc w:val="center"/>
              <w:rPr>
                <w:b/>
                <w:sz w:val="18"/>
                <w:szCs w:val="18"/>
              </w:rPr>
            </w:pPr>
            <w:r w:rsidRPr="0037262D">
              <w:rPr>
                <w:b/>
                <w:sz w:val="18"/>
                <w:szCs w:val="18"/>
              </w:rPr>
              <w:t>2</w:t>
            </w:r>
          </w:p>
        </w:tc>
        <w:tc>
          <w:tcPr>
            <w:tcW w:w="1008" w:type="dxa"/>
            <w:tcBorders>
              <w:top w:val="single" w:sz="2" w:space="0" w:color="auto"/>
              <w:left w:val="single" w:sz="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b/>
                <w:sz w:val="18"/>
                <w:szCs w:val="18"/>
              </w:rPr>
            </w:pPr>
            <w:r w:rsidRPr="0037262D">
              <w:rPr>
                <w:b/>
                <w:sz w:val="18"/>
                <w:szCs w:val="18"/>
              </w:rPr>
              <w:t>3,0</w:t>
            </w:r>
          </w:p>
        </w:tc>
        <w:tc>
          <w:tcPr>
            <w:tcW w:w="1008" w:type="dxa"/>
            <w:tcBorders>
              <w:top w:val="single" w:sz="2" w:space="0" w:color="auto"/>
              <w:left w:val="single" w:sz="12" w:space="0" w:color="auto"/>
              <w:bottom w:val="single" w:sz="2" w:space="0" w:color="auto"/>
            </w:tcBorders>
            <w:shd w:val="clear" w:color="auto" w:fill="CCC0D9" w:themeFill="accent4" w:themeFillTint="66"/>
          </w:tcPr>
          <w:p w:rsidR="007E2C4D" w:rsidRPr="00EA5907" w:rsidRDefault="007E2C4D" w:rsidP="007E2C4D">
            <w:pPr>
              <w:spacing w:after="0" w:line="240" w:lineRule="auto"/>
              <w:ind w:firstLine="0"/>
              <w:jc w:val="center"/>
              <w:rPr>
                <w:b/>
                <w:sz w:val="18"/>
                <w:szCs w:val="18"/>
              </w:rPr>
            </w:pPr>
            <w:r w:rsidRPr="00EA5907">
              <w:rPr>
                <w:b/>
                <w:sz w:val="18"/>
                <w:szCs w:val="18"/>
              </w:rPr>
              <w:t>3,0</w:t>
            </w:r>
          </w:p>
        </w:tc>
        <w:tc>
          <w:tcPr>
            <w:tcW w:w="1325" w:type="dxa"/>
            <w:tcBorders>
              <w:top w:val="single" w:sz="2" w:space="0" w:color="auto"/>
              <w:left w:val="single" w:sz="12" w:space="0" w:color="auto"/>
              <w:bottom w:val="single" w:sz="2" w:space="0" w:color="auto"/>
            </w:tcBorders>
            <w:shd w:val="clear" w:color="auto" w:fill="CCC0D9" w:themeFill="accent4" w:themeFillTint="66"/>
          </w:tcPr>
          <w:p w:rsidR="007E2C4D" w:rsidRPr="0037262D" w:rsidRDefault="007E2C4D" w:rsidP="007E2C4D">
            <w:pPr>
              <w:spacing w:after="0" w:line="240" w:lineRule="auto"/>
              <w:ind w:firstLine="0"/>
              <w:jc w:val="center"/>
              <w:rPr>
                <w:b/>
                <w:sz w:val="18"/>
                <w:szCs w:val="18"/>
              </w:rPr>
            </w:pPr>
            <w:r w:rsidRPr="0037262D">
              <w:rPr>
                <w:b/>
                <w:sz w:val="18"/>
                <w:szCs w:val="18"/>
              </w:rPr>
              <w:t>4,5</w:t>
            </w:r>
          </w:p>
        </w:tc>
      </w:tr>
      <w:tr w:rsidR="007E2C4D" w:rsidRPr="0037262D" w:rsidTr="007E2C4D">
        <w:tc>
          <w:tcPr>
            <w:tcW w:w="914" w:type="dxa"/>
            <w:tcBorders>
              <w:top w:val="single" w:sz="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b/>
                <w:i/>
                <w:sz w:val="18"/>
                <w:szCs w:val="18"/>
              </w:rPr>
            </w:pPr>
            <w:r w:rsidRPr="0037262D">
              <w:rPr>
                <w:b/>
                <w:i/>
                <w:sz w:val="18"/>
                <w:szCs w:val="18"/>
              </w:rPr>
              <w:t>b</w:t>
            </w:r>
            <w:r w:rsidRPr="0037262D">
              <w:rPr>
                <w:b/>
                <w:i/>
                <w:sz w:val="18"/>
                <w:szCs w:val="18"/>
                <w:vertAlign w:val="subscript"/>
              </w:rPr>
              <w:t>3</w:t>
            </w:r>
          </w:p>
        </w:tc>
        <w:tc>
          <w:tcPr>
            <w:tcW w:w="490" w:type="dxa"/>
            <w:tcBorders>
              <w:top w:val="single" w:sz="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1,5</w:t>
            </w:r>
          </w:p>
        </w:tc>
        <w:tc>
          <w:tcPr>
            <w:tcW w:w="490" w:type="dxa"/>
            <w:tcBorders>
              <w:top w:val="single" w:sz="2" w:space="0" w:color="auto"/>
              <w:left w:val="single" w:sz="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4</w:t>
            </w:r>
          </w:p>
        </w:tc>
        <w:tc>
          <w:tcPr>
            <w:tcW w:w="648" w:type="dxa"/>
            <w:tcBorders>
              <w:top w:val="single" w:sz="2" w:space="0" w:color="auto"/>
              <w:left w:val="single" w:sz="12" w:space="0" w:color="auto"/>
              <w:bottom w:val="single" w:sz="2" w:space="0" w:color="auto"/>
            </w:tcBorders>
            <w:shd w:val="clear" w:color="auto" w:fill="D9D9D9" w:themeFill="background1" w:themeFillShade="D9"/>
          </w:tcPr>
          <w:p w:rsidR="007E2C4D" w:rsidRPr="0037262D" w:rsidRDefault="007E2C4D" w:rsidP="007E2C4D">
            <w:pPr>
              <w:spacing w:after="0" w:line="240" w:lineRule="auto"/>
              <w:ind w:firstLine="0"/>
              <w:jc w:val="center"/>
              <w:rPr>
                <w:b/>
                <w:sz w:val="18"/>
                <w:szCs w:val="18"/>
              </w:rPr>
            </w:pPr>
            <w:r w:rsidRPr="0037262D">
              <w:rPr>
                <w:b/>
                <w:sz w:val="18"/>
                <w:szCs w:val="18"/>
              </w:rPr>
              <w:t>2</w:t>
            </w:r>
          </w:p>
        </w:tc>
        <w:tc>
          <w:tcPr>
            <w:tcW w:w="1008" w:type="dxa"/>
            <w:tcBorders>
              <w:top w:val="single" w:sz="2" w:space="0" w:color="auto"/>
              <w:left w:val="single" w:sz="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b/>
                <w:sz w:val="18"/>
                <w:szCs w:val="18"/>
              </w:rPr>
            </w:pPr>
            <w:r w:rsidRPr="0037262D">
              <w:rPr>
                <w:b/>
                <w:sz w:val="18"/>
                <w:szCs w:val="18"/>
              </w:rPr>
              <w:t>3,0</w:t>
            </w:r>
          </w:p>
        </w:tc>
        <w:tc>
          <w:tcPr>
            <w:tcW w:w="1008" w:type="dxa"/>
            <w:tcBorders>
              <w:top w:val="single" w:sz="2" w:space="0" w:color="auto"/>
              <w:left w:val="single" w:sz="12" w:space="0" w:color="auto"/>
              <w:bottom w:val="single" w:sz="2" w:space="0" w:color="auto"/>
            </w:tcBorders>
            <w:shd w:val="clear" w:color="auto" w:fill="CCC0D9" w:themeFill="accent4" w:themeFillTint="66"/>
          </w:tcPr>
          <w:p w:rsidR="007E2C4D" w:rsidRPr="00EA5907" w:rsidRDefault="007E2C4D" w:rsidP="007E2C4D">
            <w:pPr>
              <w:spacing w:after="0" w:line="240" w:lineRule="auto"/>
              <w:ind w:firstLine="0"/>
              <w:jc w:val="center"/>
              <w:rPr>
                <w:b/>
                <w:sz w:val="18"/>
                <w:szCs w:val="18"/>
              </w:rPr>
            </w:pPr>
            <w:r w:rsidRPr="00EA5907">
              <w:rPr>
                <w:b/>
                <w:sz w:val="18"/>
                <w:szCs w:val="18"/>
              </w:rPr>
              <w:t>4,5</w:t>
            </w:r>
          </w:p>
        </w:tc>
        <w:tc>
          <w:tcPr>
            <w:tcW w:w="1325" w:type="dxa"/>
            <w:tcBorders>
              <w:top w:val="single" w:sz="2" w:space="0" w:color="auto"/>
              <w:left w:val="single" w:sz="12" w:space="0" w:color="auto"/>
              <w:bottom w:val="single" w:sz="2" w:space="0" w:color="auto"/>
            </w:tcBorders>
            <w:shd w:val="clear" w:color="auto" w:fill="CCC0D9" w:themeFill="accent4" w:themeFillTint="66"/>
          </w:tcPr>
          <w:p w:rsidR="007E2C4D" w:rsidRPr="0037262D" w:rsidRDefault="007E2C4D" w:rsidP="007E2C4D">
            <w:pPr>
              <w:spacing w:after="0" w:line="240" w:lineRule="auto"/>
              <w:ind w:firstLine="0"/>
              <w:jc w:val="center"/>
              <w:rPr>
                <w:b/>
                <w:sz w:val="18"/>
                <w:szCs w:val="18"/>
              </w:rPr>
            </w:pPr>
            <w:r w:rsidRPr="0037262D">
              <w:rPr>
                <w:b/>
                <w:sz w:val="18"/>
                <w:szCs w:val="18"/>
              </w:rPr>
              <w:t>4,5</w:t>
            </w:r>
          </w:p>
        </w:tc>
      </w:tr>
      <w:tr w:rsidR="007E2C4D" w:rsidRPr="0037262D" w:rsidTr="007E2C4D">
        <w:tc>
          <w:tcPr>
            <w:tcW w:w="914" w:type="dxa"/>
            <w:tcBorders>
              <w:top w:val="single" w:sz="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b/>
                <w:i/>
                <w:sz w:val="18"/>
                <w:szCs w:val="18"/>
              </w:rPr>
            </w:pPr>
            <w:r w:rsidRPr="0037262D">
              <w:rPr>
                <w:b/>
                <w:i/>
                <w:sz w:val="18"/>
                <w:szCs w:val="18"/>
              </w:rPr>
              <w:t>b</w:t>
            </w:r>
            <w:r w:rsidRPr="0037262D">
              <w:rPr>
                <w:b/>
                <w:i/>
                <w:sz w:val="18"/>
                <w:szCs w:val="18"/>
                <w:vertAlign w:val="subscript"/>
              </w:rPr>
              <w:t>4</w:t>
            </w:r>
          </w:p>
        </w:tc>
        <w:tc>
          <w:tcPr>
            <w:tcW w:w="490" w:type="dxa"/>
            <w:tcBorders>
              <w:top w:val="single" w:sz="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1,5</w:t>
            </w:r>
          </w:p>
        </w:tc>
        <w:tc>
          <w:tcPr>
            <w:tcW w:w="490" w:type="dxa"/>
            <w:tcBorders>
              <w:top w:val="single" w:sz="2" w:space="0" w:color="auto"/>
              <w:left w:val="single" w:sz="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4</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648" w:type="dxa"/>
            <w:tcBorders>
              <w:top w:val="single" w:sz="2" w:space="0" w:color="auto"/>
              <w:left w:val="single" w:sz="12" w:space="0" w:color="auto"/>
              <w:bottom w:val="single" w:sz="2" w:space="0" w:color="auto"/>
            </w:tcBorders>
            <w:shd w:val="clear" w:color="auto" w:fill="D9D9D9" w:themeFill="background1" w:themeFillShade="D9"/>
          </w:tcPr>
          <w:p w:rsidR="007E2C4D" w:rsidRPr="0037262D" w:rsidRDefault="007E2C4D" w:rsidP="007E2C4D">
            <w:pPr>
              <w:spacing w:after="0" w:line="240" w:lineRule="auto"/>
              <w:ind w:firstLine="0"/>
              <w:jc w:val="center"/>
              <w:rPr>
                <w:b/>
                <w:sz w:val="18"/>
                <w:szCs w:val="18"/>
              </w:rPr>
            </w:pPr>
            <w:r w:rsidRPr="0037262D">
              <w:rPr>
                <w:b/>
                <w:sz w:val="18"/>
                <w:szCs w:val="18"/>
              </w:rPr>
              <w:t>2</w:t>
            </w:r>
          </w:p>
        </w:tc>
        <w:tc>
          <w:tcPr>
            <w:tcW w:w="1008" w:type="dxa"/>
            <w:tcBorders>
              <w:top w:val="single" w:sz="2" w:space="0" w:color="auto"/>
              <w:left w:val="single" w:sz="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b/>
                <w:sz w:val="18"/>
                <w:szCs w:val="18"/>
              </w:rPr>
            </w:pPr>
            <w:r w:rsidRPr="0037262D">
              <w:rPr>
                <w:b/>
                <w:sz w:val="18"/>
                <w:szCs w:val="18"/>
              </w:rPr>
              <w:t>3,0</w:t>
            </w:r>
          </w:p>
        </w:tc>
        <w:tc>
          <w:tcPr>
            <w:tcW w:w="1008" w:type="dxa"/>
            <w:tcBorders>
              <w:top w:val="single" w:sz="2" w:space="0" w:color="auto"/>
              <w:left w:val="single" w:sz="12" w:space="0" w:color="auto"/>
              <w:bottom w:val="single" w:sz="2" w:space="0" w:color="auto"/>
            </w:tcBorders>
            <w:shd w:val="clear" w:color="auto" w:fill="CCC0D9" w:themeFill="accent4" w:themeFillTint="66"/>
          </w:tcPr>
          <w:p w:rsidR="007E2C4D" w:rsidRPr="00EA5907" w:rsidRDefault="007E2C4D" w:rsidP="007E2C4D">
            <w:pPr>
              <w:spacing w:after="0" w:line="240" w:lineRule="auto"/>
              <w:ind w:firstLine="0"/>
              <w:jc w:val="center"/>
              <w:rPr>
                <w:b/>
                <w:sz w:val="18"/>
                <w:szCs w:val="18"/>
              </w:rPr>
            </w:pPr>
            <w:r w:rsidRPr="00EA5907">
              <w:rPr>
                <w:b/>
                <w:sz w:val="18"/>
                <w:szCs w:val="18"/>
              </w:rPr>
              <w:t>3,0</w:t>
            </w:r>
          </w:p>
        </w:tc>
        <w:tc>
          <w:tcPr>
            <w:tcW w:w="1325" w:type="dxa"/>
            <w:tcBorders>
              <w:top w:val="single" w:sz="2" w:space="0" w:color="auto"/>
              <w:left w:val="single" w:sz="12" w:space="0" w:color="auto"/>
              <w:bottom w:val="single" w:sz="2" w:space="0" w:color="auto"/>
            </w:tcBorders>
            <w:shd w:val="clear" w:color="auto" w:fill="CCC0D9" w:themeFill="accent4" w:themeFillTint="66"/>
          </w:tcPr>
          <w:p w:rsidR="007E2C4D" w:rsidRPr="0037262D" w:rsidRDefault="007E2C4D" w:rsidP="007E2C4D">
            <w:pPr>
              <w:spacing w:after="0" w:line="240" w:lineRule="auto"/>
              <w:ind w:firstLine="0"/>
              <w:jc w:val="center"/>
              <w:rPr>
                <w:b/>
                <w:sz w:val="18"/>
                <w:szCs w:val="18"/>
              </w:rPr>
            </w:pPr>
            <w:r w:rsidRPr="0037262D">
              <w:rPr>
                <w:b/>
                <w:sz w:val="18"/>
                <w:szCs w:val="18"/>
              </w:rPr>
              <w:t>4,5</w:t>
            </w:r>
          </w:p>
        </w:tc>
      </w:tr>
      <w:tr w:rsidR="007E2C4D" w:rsidRPr="0037262D" w:rsidTr="007E2C4D">
        <w:tc>
          <w:tcPr>
            <w:tcW w:w="914" w:type="dxa"/>
            <w:tcBorders>
              <w:top w:val="single" w:sz="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b/>
                <w:i/>
                <w:sz w:val="18"/>
                <w:szCs w:val="18"/>
              </w:rPr>
            </w:pPr>
            <w:r w:rsidRPr="0037262D">
              <w:rPr>
                <w:b/>
                <w:i/>
                <w:sz w:val="18"/>
                <w:szCs w:val="18"/>
              </w:rPr>
              <w:t>b</w:t>
            </w:r>
            <w:r w:rsidRPr="0037262D">
              <w:rPr>
                <w:b/>
                <w:i/>
                <w:sz w:val="18"/>
                <w:szCs w:val="18"/>
                <w:vertAlign w:val="subscript"/>
              </w:rPr>
              <w:t>5</w:t>
            </w:r>
          </w:p>
        </w:tc>
        <w:tc>
          <w:tcPr>
            <w:tcW w:w="490" w:type="dxa"/>
            <w:tcBorders>
              <w:top w:val="single" w:sz="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1,5</w:t>
            </w:r>
          </w:p>
        </w:tc>
        <w:tc>
          <w:tcPr>
            <w:tcW w:w="490" w:type="dxa"/>
            <w:tcBorders>
              <w:top w:val="single" w:sz="2" w:space="0" w:color="auto"/>
              <w:left w:val="single" w:sz="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4</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4</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648" w:type="dxa"/>
            <w:tcBorders>
              <w:top w:val="single" w:sz="2" w:space="0" w:color="auto"/>
              <w:left w:val="single" w:sz="12" w:space="0" w:color="auto"/>
              <w:bottom w:val="single" w:sz="2" w:space="0" w:color="auto"/>
            </w:tcBorders>
            <w:shd w:val="clear" w:color="auto" w:fill="D9D9D9" w:themeFill="background1" w:themeFillShade="D9"/>
          </w:tcPr>
          <w:p w:rsidR="007E2C4D" w:rsidRPr="0037262D" w:rsidRDefault="007E2C4D" w:rsidP="007E2C4D">
            <w:pPr>
              <w:spacing w:after="0" w:line="240" w:lineRule="auto"/>
              <w:ind w:firstLine="0"/>
              <w:jc w:val="center"/>
              <w:rPr>
                <w:b/>
                <w:sz w:val="18"/>
                <w:szCs w:val="18"/>
              </w:rPr>
            </w:pPr>
            <w:r w:rsidRPr="0037262D">
              <w:rPr>
                <w:b/>
                <w:sz w:val="18"/>
                <w:szCs w:val="18"/>
              </w:rPr>
              <w:t>2</w:t>
            </w:r>
          </w:p>
        </w:tc>
        <w:tc>
          <w:tcPr>
            <w:tcW w:w="1008" w:type="dxa"/>
            <w:tcBorders>
              <w:top w:val="single" w:sz="2" w:space="0" w:color="auto"/>
              <w:left w:val="single" w:sz="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b/>
                <w:sz w:val="18"/>
                <w:szCs w:val="18"/>
              </w:rPr>
            </w:pPr>
            <w:r w:rsidRPr="0037262D">
              <w:rPr>
                <w:b/>
                <w:sz w:val="18"/>
                <w:szCs w:val="18"/>
              </w:rPr>
              <w:t>3,0</w:t>
            </w:r>
          </w:p>
        </w:tc>
        <w:tc>
          <w:tcPr>
            <w:tcW w:w="1008" w:type="dxa"/>
            <w:tcBorders>
              <w:top w:val="single" w:sz="2" w:space="0" w:color="auto"/>
              <w:left w:val="single" w:sz="12" w:space="0" w:color="auto"/>
              <w:bottom w:val="single" w:sz="2" w:space="0" w:color="auto"/>
            </w:tcBorders>
            <w:shd w:val="clear" w:color="auto" w:fill="CCC0D9" w:themeFill="accent4" w:themeFillTint="66"/>
          </w:tcPr>
          <w:p w:rsidR="007E2C4D" w:rsidRPr="00EA5907" w:rsidRDefault="007E2C4D" w:rsidP="007E2C4D">
            <w:pPr>
              <w:spacing w:after="0" w:line="240" w:lineRule="auto"/>
              <w:ind w:firstLine="0"/>
              <w:jc w:val="center"/>
              <w:rPr>
                <w:b/>
                <w:sz w:val="18"/>
                <w:szCs w:val="18"/>
              </w:rPr>
            </w:pPr>
            <w:r w:rsidRPr="00EA5907">
              <w:rPr>
                <w:b/>
                <w:sz w:val="18"/>
                <w:szCs w:val="18"/>
              </w:rPr>
              <w:t>6,0</w:t>
            </w:r>
          </w:p>
        </w:tc>
        <w:tc>
          <w:tcPr>
            <w:tcW w:w="1325" w:type="dxa"/>
            <w:tcBorders>
              <w:top w:val="single" w:sz="2" w:space="0" w:color="auto"/>
              <w:left w:val="single" w:sz="12" w:space="0" w:color="auto"/>
              <w:bottom w:val="single" w:sz="2" w:space="0" w:color="auto"/>
            </w:tcBorders>
            <w:shd w:val="clear" w:color="auto" w:fill="CCC0D9" w:themeFill="accent4" w:themeFillTint="66"/>
          </w:tcPr>
          <w:p w:rsidR="007E2C4D" w:rsidRPr="0037262D" w:rsidRDefault="007E2C4D" w:rsidP="007E2C4D">
            <w:pPr>
              <w:spacing w:after="0" w:line="240" w:lineRule="auto"/>
              <w:ind w:firstLine="0"/>
              <w:jc w:val="center"/>
              <w:rPr>
                <w:b/>
                <w:sz w:val="18"/>
                <w:szCs w:val="18"/>
              </w:rPr>
            </w:pPr>
            <w:r w:rsidRPr="0037262D">
              <w:rPr>
                <w:b/>
                <w:sz w:val="18"/>
                <w:szCs w:val="18"/>
              </w:rPr>
              <w:t>6,0</w:t>
            </w:r>
          </w:p>
        </w:tc>
      </w:tr>
      <w:tr w:rsidR="007E2C4D" w:rsidRPr="0037262D" w:rsidTr="007E2C4D">
        <w:tc>
          <w:tcPr>
            <w:tcW w:w="914" w:type="dxa"/>
            <w:tcBorders>
              <w:top w:val="single" w:sz="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b/>
                <w:i/>
                <w:sz w:val="18"/>
                <w:szCs w:val="18"/>
              </w:rPr>
            </w:pPr>
            <w:r w:rsidRPr="0037262D">
              <w:rPr>
                <w:b/>
                <w:i/>
                <w:sz w:val="18"/>
                <w:szCs w:val="18"/>
              </w:rPr>
              <w:t>b</w:t>
            </w:r>
            <w:r w:rsidRPr="0037262D">
              <w:rPr>
                <w:b/>
                <w:i/>
                <w:sz w:val="18"/>
                <w:szCs w:val="18"/>
                <w:vertAlign w:val="subscript"/>
              </w:rPr>
              <w:t>6</w:t>
            </w:r>
          </w:p>
        </w:tc>
        <w:tc>
          <w:tcPr>
            <w:tcW w:w="490" w:type="dxa"/>
            <w:tcBorders>
              <w:top w:val="single" w:sz="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1,5</w:t>
            </w:r>
          </w:p>
        </w:tc>
        <w:tc>
          <w:tcPr>
            <w:tcW w:w="490" w:type="dxa"/>
            <w:tcBorders>
              <w:top w:val="single" w:sz="2" w:space="0" w:color="auto"/>
              <w:left w:val="single" w:sz="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648" w:type="dxa"/>
            <w:tcBorders>
              <w:top w:val="single" w:sz="2" w:space="0" w:color="auto"/>
              <w:left w:val="single" w:sz="12" w:space="0" w:color="auto"/>
              <w:bottom w:val="single" w:sz="2" w:space="0" w:color="auto"/>
            </w:tcBorders>
            <w:shd w:val="clear" w:color="auto" w:fill="D9D9D9" w:themeFill="background1" w:themeFillShade="D9"/>
          </w:tcPr>
          <w:p w:rsidR="007E2C4D" w:rsidRPr="0037262D" w:rsidRDefault="007E2C4D" w:rsidP="007E2C4D">
            <w:pPr>
              <w:spacing w:after="0" w:line="240" w:lineRule="auto"/>
              <w:ind w:firstLine="0"/>
              <w:jc w:val="center"/>
              <w:rPr>
                <w:b/>
                <w:sz w:val="18"/>
                <w:szCs w:val="18"/>
              </w:rPr>
            </w:pPr>
            <w:r w:rsidRPr="0037262D">
              <w:rPr>
                <w:b/>
                <w:sz w:val="18"/>
                <w:szCs w:val="18"/>
              </w:rPr>
              <w:t>2</w:t>
            </w:r>
          </w:p>
        </w:tc>
        <w:tc>
          <w:tcPr>
            <w:tcW w:w="1008" w:type="dxa"/>
            <w:tcBorders>
              <w:top w:val="single" w:sz="2" w:space="0" w:color="auto"/>
              <w:left w:val="single" w:sz="2" w:space="0" w:color="auto"/>
              <w:bottom w:val="single" w:sz="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b/>
                <w:sz w:val="18"/>
                <w:szCs w:val="18"/>
              </w:rPr>
            </w:pPr>
            <w:r w:rsidRPr="0037262D">
              <w:rPr>
                <w:b/>
                <w:sz w:val="18"/>
                <w:szCs w:val="18"/>
              </w:rPr>
              <w:t>3,0</w:t>
            </w:r>
          </w:p>
        </w:tc>
        <w:tc>
          <w:tcPr>
            <w:tcW w:w="1008" w:type="dxa"/>
            <w:tcBorders>
              <w:top w:val="single" w:sz="2" w:space="0" w:color="auto"/>
              <w:left w:val="single" w:sz="12" w:space="0" w:color="auto"/>
              <w:bottom w:val="single" w:sz="2" w:space="0" w:color="auto"/>
            </w:tcBorders>
            <w:shd w:val="clear" w:color="auto" w:fill="CCC0D9" w:themeFill="accent4" w:themeFillTint="66"/>
          </w:tcPr>
          <w:p w:rsidR="007E2C4D" w:rsidRPr="00EA5907" w:rsidRDefault="007E2C4D" w:rsidP="007E2C4D">
            <w:pPr>
              <w:spacing w:after="0" w:line="240" w:lineRule="auto"/>
              <w:ind w:firstLine="0"/>
              <w:jc w:val="center"/>
              <w:rPr>
                <w:b/>
                <w:sz w:val="18"/>
                <w:szCs w:val="18"/>
              </w:rPr>
            </w:pPr>
            <w:r w:rsidRPr="00EA5907">
              <w:rPr>
                <w:b/>
                <w:sz w:val="18"/>
                <w:szCs w:val="18"/>
              </w:rPr>
              <w:t>4,5</w:t>
            </w:r>
          </w:p>
        </w:tc>
        <w:tc>
          <w:tcPr>
            <w:tcW w:w="1325" w:type="dxa"/>
            <w:tcBorders>
              <w:top w:val="single" w:sz="2" w:space="0" w:color="auto"/>
              <w:left w:val="single" w:sz="12" w:space="0" w:color="auto"/>
              <w:bottom w:val="single" w:sz="2" w:space="0" w:color="auto"/>
            </w:tcBorders>
            <w:shd w:val="clear" w:color="auto" w:fill="CCC0D9" w:themeFill="accent4" w:themeFillTint="66"/>
          </w:tcPr>
          <w:p w:rsidR="007E2C4D" w:rsidRPr="0037262D" w:rsidRDefault="007E2C4D" w:rsidP="007E2C4D">
            <w:pPr>
              <w:spacing w:after="0" w:line="240" w:lineRule="auto"/>
              <w:ind w:firstLine="0"/>
              <w:jc w:val="center"/>
              <w:rPr>
                <w:b/>
                <w:sz w:val="18"/>
                <w:szCs w:val="18"/>
              </w:rPr>
            </w:pPr>
            <w:r w:rsidRPr="0037262D">
              <w:rPr>
                <w:b/>
                <w:sz w:val="18"/>
                <w:szCs w:val="18"/>
              </w:rPr>
              <w:t>7,5</w:t>
            </w:r>
          </w:p>
        </w:tc>
      </w:tr>
      <w:tr w:rsidR="007E2C4D" w:rsidRPr="0037262D" w:rsidTr="007E2C4D">
        <w:tc>
          <w:tcPr>
            <w:tcW w:w="914" w:type="dxa"/>
            <w:tcBorders>
              <w:top w:val="single" w:sz="2" w:space="0" w:color="auto"/>
              <w:bottom w:val="single" w:sz="1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b/>
                <w:i/>
                <w:sz w:val="18"/>
                <w:szCs w:val="18"/>
              </w:rPr>
            </w:pPr>
            <w:r w:rsidRPr="0037262D">
              <w:rPr>
                <w:b/>
                <w:i/>
                <w:sz w:val="18"/>
                <w:szCs w:val="18"/>
              </w:rPr>
              <w:t>b</w:t>
            </w:r>
            <w:r w:rsidRPr="0037262D">
              <w:rPr>
                <w:b/>
                <w:i/>
                <w:sz w:val="18"/>
                <w:szCs w:val="18"/>
                <w:vertAlign w:val="subscript"/>
              </w:rPr>
              <w:t>7</w:t>
            </w:r>
          </w:p>
        </w:tc>
        <w:tc>
          <w:tcPr>
            <w:tcW w:w="490" w:type="dxa"/>
            <w:tcBorders>
              <w:top w:val="single" w:sz="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1,0</w:t>
            </w:r>
          </w:p>
        </w:tc>
        <w:tc>
          <w:tcPr>
            <w:tcW w:w="490" w:type="dxa"/>
            <w:tcBorders>
              <w:top w:val="single" w:sz="2" w:space="0" w:color="auto"/>
              <w:left w:val="single" w:sz="2" w:space="0" w:color="auto"/>
              <w:bottom w:val="single" w:sz="1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4</w:t>
            </w:r>
          </w:p>
        </w:tc>
        <w:tc>
          <w:tcPr>
            <w:tcW w:w="490"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4</w:t>
            </w:r>
          </w:p>
        </w:tc>
        <w:tc>
          <w:tcPr>
            <w:tcW w:w="490"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4</w:t>
            </w:r>
          </w:p>
        </w:tc>
        <w:tc>
          <w:tcPr>
            <w:tcW w:w="490"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2" w:space="0" w:color="auto"/>
              <w:left w:val="single" w:sz="12" w:space="0" w:color="auto"/>
              <w:bottom w:val="single" w:sz="1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648" w:type="dxa"/>
            <w:tcBorders>
              <w:top w:val="single" w:sz="2" w:space="0" w:color="auto"/>
              <w:left w:val="single" w:sz="12" w:space="0" w:color="auto"/>
              <w:bottom w:val="single" w:sz="2" w:space="0" w:color="auto"/>
            </w:tcBorders>
            <w:shd w:val="clear" w:color="auto" w:fill="D9D9D9" w:themeFill="background1" w:themeFillShade="D9"/>
          </w:tcPr>
          <w:p w:rsidR="007E2C4D" w:rsidRPr="0037262D" w:rsidRDefault="007E2C4D" w:rsidP="007E2C4D">
            <w:pPr>
              <w:spacing w:after="0" w:line="240" w:lineRule="auto"/>
              <w:ind w:firstLine="0"/>
              <w:jc w:val="center"/>
              <w:rPr>
                <w:b/>
                <w:sz w:val="18"/>
                <w:szCs w:val="18"/>
              </w:rPr>
            </w:pPr>
            <w:r w:rsidRPr="0037262D">
              <w:rPr>
                <w:b/>
                <w:sz w:val="18"/>
                <w:szCs w:val="18"/>
              </w:rPr>
              <w:t>3</w:t>
            </w:r>
          </w:p>
        </w:tc>
        <w:tc>
          <w:tcPr>
            <w:tcW w:w="1008" w:type="dxa"/>
            <w:tcBorders>
              <w:top w:val="single" w:sz="2" w:space="0" w:color="auto"/>
              <w:left w:val="single" w:sz="2" w:space="0" w:color="auto"/>
              <w:bottom w:val="single" w:sz="12" w:space="0" w:color="auto"/>
              <w:right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b/>
                <w:sz w:val="18"/>
                <w:szCs w:val="18"/>
              </w:rPr>
            </w:pPr>
            <w:r w:rsidRPr="0037262D">
              <w:rPr>
                <w:b/>
                <w:sz w:val="18"/>
                <w:szCs w:val="18"/>
              </w:rPr>
              <w:t>3,0</w:t>
            </w:r>
          </w:p>
        </w:tc>
        <w:tc>
          <w:tcPr>
            <w:tcW w:w="1008" w:type="dxa"/>
            <w:tcBorders>
              <w:top w:val="single" w:sz="2" w:space="0" w:color="auto"/>
              <w:left w:val="single" w:sz="12" w:space="0" w:color="auto"/>
              <w:bottom w:val="single" w:sz="12" w:space="0" w:color="auto"/>
            </w:tcBorders>
            <w:shd w:val="clear" w:color="auto" w:fill="CCC0D9" w:themeFill="accent4" w:themeFillTint="66"/>
          </w:tcPr>
          <w:p w:rsidR="007E2C4D" w:rsidRPr="00EA5907" w:rsidRDefault="007E2C4D" w:rsidP="007E2C4D">
            <w:pPr>
              <w:spacing w:after="0" w:line="240" w:lineRule="auto"/>
              <w:ind w:firstLine="0"/>
              <w:jc w:val="center"/>
              <w:rPr>
                <w:b/>
                <w:sz w:val="18"/>
                <w:szCs w:val="18"/>
              </w:rPr>
            </w:pPr>
            <w:r w:rsidRPr="00EA5907">
              <w:rPr>
                <w:b/>
                <w:sz w:val="18"/>
                <w:szCs w:val="18"/>
              </w:rPr>
              <w:t>4,0</w:t>
            </w:r>
          </w:p>
        </w:tc>
        <w:tc>
          <w:tcPr>
            <w:tcW w:w="1325" w:type="dxa"/>
            <w:tcBorders>
              <w:top w:val="single" w:sz="2" w:space="0" w:color="auto"/>
              <w:left w:val="single" w:sz="12" w:space="0" w:color="auto"/>
              <w:bottom w:val="single" w:sz="12" w:space="0" w:color="auto"/>
            </w:tcBorders>
            <w:shd w:val="clear" w:color="auto" w:fill="CCC0D9" w:themeFill="accent4" w:themeFillTint="66"/>
          </w:tcPr>
          <w:p w:rsidR="007E2C4D" w:rsidRPr="0037262D" w:rsidRDefault="007E2C4D" w:rsidP="007E2C4D">
            <w:pPr>
              <w:spacing w:after="0" w:line="240" w:lineRule="auto"/>
              <w:ind w:firstLine="0"/>
              <w:jc w:val="center"/>
              <w:rPr>
                <w:b/>
                <w:sz w:val="18"/>
                <w:szCs w:val="18"/>
              </w:rPr>
            </w:pPr>
            <w:r w:rsidRPr="0037262D">
              <w:rPr>
                <w:b/>
                <w:sz w:val="18"/>
                <w:szCs w:val="18"/>
              </w:rPr>
              <w:t>5,0</w:t>
            </w:r>
          </w:p>
        </w:tc>
      </w:tr>
      <w:tr w:rsidR="007E2C4D" w:rsidRPr="0037262D" w:rsidTr="007E2C4D">
        <w:tc>
          <w:tcPr>
            <w:tcW w:w="914" w:type="dxa"/>
            <w:tcBorders>
              <w:top w:val="single" w:sz="12" w:space="0" w:color="auto"/>
              <w:bottom w:val="single" w:sz="12" w:space="0" w:color="auto"/>
              <w:right w:val="single" w:sz="12" w:space="0" w:color="auto"/>
            </w:tcBorders>
            <w:shd w:val="clear" w:color="auto" w:fill="D9D9D9" w:themeFill="background1" w:themeFillShade="D9"/>
          </w:tcPr>
          <w:p w:rsidR="007E2C4D" w:rsidRPr="0037262D" w:rsidRDefault="007E2C4D" w:rsidP="007E2C4D">
            <w:pPr>
              <w:spacing w:after="0" w:line="240" w:lineRule="auto"/>
              <w:ind w:firstLine="0"/>
              <w:jc w:val="right"/>
              <w:rPr>
                <w:b/>
                <w:i/>
                <w:sz w:val="17"/>
                <w:szCs w:val="17"/>
              </w:rPr>
            </w:pPr>
            <w:r w:rsidRPr="0037262D">
              <w:rPr>
                <w:b/>
                <w:i/>
                <w:sz w:val="17"/>
                <w:szCs w:val="17"/>
              </w:rPr>
              <w:t>SUMA:</w:t>
            </w:r>
          </w:p>
        </w:tc>
        <w:tc>
          <w:tcPr>
            <w:tcW w:w="490" w:type="dxa"/>
            <w:tcBorders>
              <w:top w:val="single" w:sz="12" w:space="0" w:color="auto"/>
              <w:left w:val="single" w:sz="12" w:space="0" w:color="auto"/>
              <w:bottom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7E2C4D" w:rsidRPr="0037262D" w:rsidRDefault="007E2C4D" w:rsidP="007E2C4D">
            <w:pPr>
              <w:spacing w:after="0" w:line="240" w:lineRule="auto"/>
              <w:ind w:firstLine="0"/>
              <w:jc w:val="center"/>
              <w:rPr>
                <w:b/>
                <w:sz w:val="17"/>
                <w:szCs w:val="17"/>
              </w:rPr>
            </w:pPr>
            <w:r w:rsidRPr="0037262D">
              <w:rPr>
                <w:b/>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w:t>
            </w:r>
          </w:p>
        </w:tc>
        <w:tc>
          <w:tcPr>
            <w:tcW w:w="648" w:type="dxa"/>
            <w:tcBorders>
              <w:top w:val="single" w:sz="12" w:space="0" w:color="auto"/>
              <w:left w:val="single" w:sz="12" w:space="0" w:color="auto"/>
              <w:bottom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sz w:val="17"/>
                <w:szCs w:val="17"/>
              </w:rPr>
            </w:pPr>
            <w:r w:rsidRPr="0037262D">
              <w:rPr>
                <w:b/>
                <w:sz w:val="17"/>
                <w:szCs w:val="17"/>
              </w:rPr>
              <w:t>14</w:t>
            </w:r>
          </w:p>
        </w:tc>
        <w:tc>
          <w:tcPr>
            <w:tcW w:w="1008"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color w:val="00B050"/>
                <w:sz w:val="17"/>
                <w:szCs w:val="17"/>
              </w:rPr>
            </w:pPr>
            <w:r>
              <w:rPr>
                <w:b/>
                <w:color w:val="00B050"/>
                <w:sz w:val="17"/>
                <w:szCs w:val="17"/>
              </w:rPr>
              <w:t>20,0</w:t>
            </w:r>
          </w:p>
        </w:tc>
        <w:tc>
          <w:tcPr>
            <w:tcW w:w="1008" w:type="dxa"/>
            <w:tcBorders>
              <w:top w:val="single" w:sz="12" w:space="0" w:color="auto"/>
              <w:left w:val="single" w:sz="12" w:space="0" w:color="auto"/>
              <w:bottom w:val="single" w:sz="12" w:space="0" w:color="auto"/>
            </w:tcBorders>
            <w:shd w:val="clear" w:color="auto" w:fill="D9D9D9" w:themeFill="background1" w:themeFillShade="D9"/>
          </w:tcPr>
          <w:p w:rsidR="007E2C4D" w:rsidRPr="007C6F36" w:rsidRDefault="007E2C4D" w:rsidP="007E2C4D">
            <w:pPr>
              <w:spacing w:after="0" w:line="240" w:lineRule="auto"/>
              <w:ind w:firstLine="0"/>
              <w:jc w:val="center"/>
              <w:rPr>
                <w:b/>
                <w:color w:val="FF0000"/>
                <w:sz w:val="17"/>
                <w:szCs w:val="17"/>
              </w:rPr>
            </w:pPr>
            <w:r>
              <w:rPr>
                <w:b/>
                <w:color w:val="FF0000"/>
                <w:sz w:val="17"/>
                <w:szCs w:val="17"/>
              </w:rPr>
              <w:t xml:space="preserve"> 29,0</w:t>
            </w:r>
          </w:p>
        </w:tc>
        <w:tc>
          <w:tcPr>
            <w:tcW w:w="1325" w:type="dxa"/>
            <w:tcBorders>
              <w:top w:val="single" w:sz="12" w:space="0" w:color="auto"/>
              <w:left w:val="single" w:sz="12" w:space="0" w:color="auto"/>
              <w:bottom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color w:val="8C3A8E"/>
                <w:sz w:val="17"/>
                <w:szCs w:val="17"/>
              </w:rPr>
            </w:pPr>
            <w:r>
              <w:rPr>
                <w:b/>
                <w:color w:val="8C3A8E"/>
                <w:sz w:val="17"/>
                <w:szCs w:val="17"/>
              </w:rPr>
              <w:t>36,0</w:t>
            </w:r>
          </w:p>
        </w:tc>
      </w:tr>
      <w:tr w:rsidR="007E2C4D" w:rsidRPr="00B3621F" w:rsidTr="007E2C4D">
        <w:tc>
          <w:tcPr>
            <w:tcW w:w="10293" w:type="dxa"/>
            <w:gridSpan w:val="16"/>
            <w:tcBorders>
              <w:top w:val="single" w:sz="12" w:space="0" w:color="auto"/>
              <w:bottom w:val="single" w:sz="12" w:space="0" w:color="auto"/>
            </w:tcBorders>
            <w:shd w:val="clear" w:color="auto" w:fill="auto"/>
          </w:tcPr>
          <w:p w:rsidR="007E2C4D" w:rsidRPr="00B3621F" w:rsidRDefault="007E2C4D" w:rsidP="007E2C4D">
            <w:pPr>
              <w:spacing w:after="0" w:line="240" w:lineRule="auto"/>
              <w:ind w:firstLine="0"/>
              <w:jc w:val="center"/>
              <w:rPr>
                <w:color w:val="0070C0"/>
                <w:sz w:val="6"/>
                <w:szCs w:val="6"/>
              </w:rPr>
            </w:pPr>
          </w:p>
        </w:tc>
      </w:tr>
      <w:tr w:rsidR="007E2C4D" w:rsidRPr="0037262D" w:rsidTr="007E2C4D">
        <w:trPr>
          <w:trHeight w:val="218"/>
        </w:trPr>
        <w:tc>
          <w:tcPr>
            <w:tcW w:w="914" w:type="dxa"/>
            <w:vMerge w:val="restart"/>
            <w:tcBorders>
              <w:top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 C -</w:t>
            </w:r>
          </w:p>
        </w:tc>
        <w:tc>
          <w:tcPr>
            <w:tcW w:w="490" w:type="dxa"/>
            <w:vMerge w:val="restart"/>
            <w:tcBorders>
              <w:top w:val="single" w:sz="12" w:space="0" w:color="auto"/>
              <w:lef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K</w:t>
            </w:r>
          </w:p>
        </w:tc>
        <w:tc>
          <w:tcPr>
            <w:tcW w:w="4900" w:type="dxa"/>
            <w:gridSpan w:val="10"/>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Ekspertų vertinimai</w:t>
            </w:r>
          </w:p>
        </w:tc>
        <w:tc>
          <w:tcPr>
            <w:tcW w:w="648" w:type="dxa"/>
            <w:vMerge w:val="restart"/>
            <w:tcBorders>
              <w:top w:val="single" w:sz="12" w:space="0" w:color="auto"/>
              <w:lef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proofErr w:type="spellStart"/>
            <w:r w:rsidRPr="0037262D">
              <w:rPr>
                <w:b/>
                <w:i/>
                <w:sz w:val="17"/>
                <w:szCs w:val="17"/>
              </w:rPr>
              <w:t>M</w:t>
            </w:r>
            <w:r>
              <w:rPr>
                <w:b/>
                <w:i/>
                <w:sz w:val="17"/>
                <w:szCs w:val="17"/>
              </w:rPr>
              <w:t>o</w:t>
            </w:r>
            <w:proofErr w:type="spellEnd"/>
          </w:p>
        </w:tc>
        <w:tc>
          <w:tcPr>
            <w:tcW w:w="1008" w:type="dxa"/>
            <w:vMerge w:val="restart"/>
            <w:tcBorders>
              <w:top w:val="single" w:sz="12" w:space="0" w:color="auto"/>
              <w:left w:val="single" w:sz="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color w:val="00B050"/>
                <w:sz w:val="17"/>
                <w:szCs w:val="17"/>
              </w:rPr>
            </w:pPr>
            <w:r w:rsidRPr="0037262D">
              <w:rPr>
                <w:b/>
                <w:i/>
                <w:color w:val="00B050"/>
                <w:sz w:val="17"/>
                <w:szCs w:val="17"/>
              </w:rPr>
              <w:t>Svertinis balas</w:t>
            </w:r>
          </w:p>
        </w:tc>
        <w:tc>
          <w:tcPr>
            <w:tcW w:w="1008" w:type="dxa"/>
            <w:vMerge w:val="restart"/>
            <w:tcBorders>
              <w:top w:val="single" w:sz="12" w:space="0" w:color="auto"/>
              <w:lef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color w:val="0070C0"/>
                <w:sz w:val="17"/>
                <w:szCs w:val="17"/>
              </w:rPr>
            </w:pPr>
            <w:r w:rsidRPr="0037262D">
              <w:rPr>
                <w:b/>
                <w:i/>
                <w:color w:val="FF0000"/>
                <w:sz w:val="17"/>
                <w:szCs w:val="17"/>
              </w:rPr>
              <w:t>Apklausos rezultatai</w:t>
            </w:r>
          </w:p>
        </w:tc>
        <w:tc>
          <w:tcPr>
            <w:tcW w:w="1325" w:type="dxa"/>
            <w:vMerge w:val="restart"/>
            <w:tcBorders>
              <w:top w:val="single" w:sz="12" w:space="0" w:color="auto"/>
              <w:lef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color w:val="8C3A8E"/>
                <w:sz w:val="17"/>
                <w:szCs w:val="17"/>
              </w:rPr>
            </w:pPr>
            <w:r w:rsidRPr="0037262D">
              <w:rPr>
                <w:b/>
                <w:i/>
                <w:color w:val="943634" w:themeColor="accent2" w:themeShade="BF"/>
                <w:sz w:val="17"/>
                <w:szCs w:val="17"/>
              </w:rPr>
              <w:t>Pageidautina reikšmė</w:t>
            </w:r>
          </w:p>
        </w:tc>
      </w:tr>
      <w:tr w:rsidR="007E2C4D" w:rsidRPr="0037262D" w:rsidTr="007E2C4D">
        <w:trPr>
          <w:trHeight w:val="50"/>
        </w:trPr>
        <w:tc>
          <w:tcPr>
            <w:tcW w:w="914" w:type="dxa"/>
            <w:vMerge/>
            <w:tcBorders>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rPr>
            </w:pPr>
          </w:p>
        </w:tc>
        <w:tc>
          <w:tcPr>
            <w:tcW w:w="490" w:type="dxa"/>
            <w:vMerge/>
            <w:tcBorders>
              <w:left w:val="single" w:sz="12" w:space="0" w:color="auto"/>
              <w:bottom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rPr>
            </w:pP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vertAlign w:val="subscript"/>
              </w:rPr>
            </w:pPr>
            <w:r w:rsidRPr="0037262D">
              <w:rPr>
                <w:b/>
                <w:i/>
                <w:sz w:val="18"/>
                <w:szCs w:val="18"/>
              </w:rPr>
              <w:t>m</w:t>
            </w:r>
            <w:r w:rsidRPr="0037262D">
              <w:rPr>
                <w:b/>
                <w:i/>
                <w:sz w:val="18"/>
                <w:szCs w:val="18"/>
                <w:vertAlign w:val="subscript"/>
              </w:rPr>
              <w:t>1</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vertAlign w:val="subscript"/>
              </w:rPr>
            </w:pPr>
            <w:r w:rsidRPr="0037262D">
              <w:rPr>
                <w:b/>
                <w:i/>
                <w:sz w:val="18"/>
                <w:szCs w:val="18"/>
              </w:rPr>
              <w:t>m</w:t>
            </w:r>
            <w:r w:rsidRPr="0037262D">
              <w:rPr>
                <w:b/>
                <w:i/>
                <w:sz w:val="18"/>
                <w:szCs w:val="18"/>
                <w:vertAlign w:val="subscript"/>
              </w:rPr>
              <w:t>2</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vertAlign w:val="subscript"/>
              </w:rPr>
            </w:pPr>
            <w:r w:rsidRPr="0037262D">
              <w:rPr>
                <w:b/>
                <w:i/>
                <w:sz w:val="18"/>
                <w:szCs w:val="18"/>
              </w:rPr>
              <w:t>m</w:t>
            </w:r>
            <w:r w:rsidRPr="0037262D">
              <w:rPr>
                <w:b/>
                <w:i/>
                <w:sz w:val="18"/>
                <w:szCs w:val="18"/>
                <w:vertAlign w:val="subscript"/>
              </w:rPr>
              <w:t>3</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vertAlign w:val="subscript"/>
              </w:rPr>
            </w:pPr>
            <w:r w:rsidRPr="0037262D">
              <w:rPr>
                <w:b/>
                <w:i/>
                <w:sz w:val="18"/>
                <w:szCs w:val="18"/>
              </w:rPr>
              <w:t>m</w:t>
            </w:r>
            <w:r w:rsidRPr="0037262D">
              <w:rPr>
                <w:b/>
                <w:i/>
                <w:sz w:val="18"/>
                <w:szCs w:val="18"/>
                <w:vertAlign w:val="subscript"/>
              </w:rPr>
              <w:t>4</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vertAlign w:val="subscript"/>
              </w:rPr>
            </w:pPr>
            <w:r w:rsidRPr="0037262D">
              <w:rPr>
                <w:b/>
                <w:i/>
                <w:sz w:val="18"/>
                <w:szCs w:val="18"/>
              </w:rPr>
              <w:t>m</w:t>
            </w:r>
            <w:r w:rsidRPr="0037262D">
              <w:rPr>
                <w:b/>
                <w:i/>
                <w:sz w:val="18"/>
                <w:szCs w:val="18"/>
                <w:vertAlign w:val="subscript"/>
              </w:rPr>
              <w:t>5</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vertAlign w:val="subscript"/>
              </w:rPr>
            </w:pPr>
            <w:r w:rsidRPr="0037262D">
              <w:rPr>
                <w:b/>
                <w:i/>
                <w:sz w:val="18"/>
                <w:szCs w:val="18"/>
              </w:rPr>
              <w:t>m</w:t>
            </w:r>
            <w:r w:rsidRPr="0037262D">
              <w:rPr>
                <w:b/>
                <w:i/>
                <w:sz w:val="18"/>
                <w:szCs w:val="18"/>
                <w:vertAlign w:val="subscript"/>
              </w:rPr>
              <w:t>6</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vertAlign w:val="subscript"/>
              </w:rPr>
            </w:pPr>
            <w:r w:rsidRPr="0037262D">
              <w:rPr>
                <w:b/>
                <w:i/>
                <w:sz w:val="18"/>
                <w:szCs w:val="18"/>
              </w:rPr>
              <w:t>m</w:t>
            </w:r>
            <w:r w:rsidRPr="0037262D">
              <w:rPr>
                <w:b/>
                <w:i/>
                <w:sz w:val="18"/>
                <w:szCs w:val="18"/>
                <w:vertAlign w:val="subscript"/>
              </w:rPr>
              <w:t>7</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vertAlign w:val="subscript"/>
              </w:rPr>
            </w:pPr>
            <w:r w:rsidRPr="0037262D">
              <w:rPr>
                <w:b/>
                <w:i/>
                <w:sz w:val="18"/>
                <w:szCs w:val="18"/>
              </w:rPr>
              <w:t>m</w:t>
            </w:r>
            <w:r w:rsidRPr="0037262D">
              <w:rPr>
                <w:b/>
                <w:i/>
                <w:sz w:val="18"/>
                <w:szCs w:val="18"/>
                <w:vertAlign w:val="subscript"/>
              </w:rPr>
              <w:t>8</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vertAlign w:val="subscript"/>
              </w:rPr>
            </w:pPr>
            <w:r w:rsidRPr="0037262D">
              <w:rPr>
                <w:b/>
                <w:i/>
                <w:sz w:val="18"/>
                <w:szCs w:val="18"/>
              </w:rPr>
              <w:t>m</w:t>
            </w:r>
            <w:r w:rsidRPr="0037262D">
              <w:rPr>
                <w:b/>
                <w:i/>
                <w:sz w:val="18"/>
                <w:szCs w:val="18"/>
                <w:vertAlign w:val="subscript"/>
              </w:rPr>
              <w:t>9</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vertAlign w:val="subscript"/>
              </w:rPr>
            </w:pPr>
            <w:r w:rsidRPr="0037262D">
              <w:rPr>
                <w:b/>
                <w:i/>
                <w:sz w:val="18"/>
                <w:szCs w:val="18"/>
              </w:rPr>
              <w:t>m</w:t>
            </w:r>
            <w:r w:rsidRPr="0037262D">
              <w:rPr>
                <w:b/>
                <w:i/>
                <w:sz w:val="18"/>
                <w:szCs w:val="18"/>
                <w:vertAlign w:val="subscript"/>
              </w:rPr>
              <w:t>10</w:t>
            </w:r>
          </w:p>
        </w:tc>
        <w:tc>
          <w:tcPr>
            <w:tcW w:w="648" w:type="dxa"/>
            <w:vMerge/>
            <w:tcBorders>
              <w:left w:val="single" w:sz="12" w:space="0" w:color="auto"/>
              <w:bottom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8"/>
                <w:szCs w:val="18"/>
              </w:rPr>
            </w:pPr>
          </w:p>
        </w:tc>
        <w:tc>
          <w:tcPr>
            <w:tcW w:w="1008" w:type="dxa"/>
            <w:vMerge/>
            <w:tcBorders>
              <w:left w:val="single" w:sz="2" w:space="0" w:color="auto"/>
              <w:bottom w:val="single" w:sz="12" w:space="0" w:color="auto"/>
              <w:right w:val="single" w:sz="12" w:space="0" w:color="auto"/>
            </w:tcBorders>
            <w:shd w:val="clear" w:color="auto" w:fill="D9D9D9" w:themeFill="background1" w:themeFillShade="D9"/>
          </w:tcPr>
          <w:p w:rsidR="007E2C4D" w:rsidRPr="0037262D" w:rsidRDefault="007E2C4D" w:rsidP="007E2C4D">
            <w:pPr>
              <w:spacing w:after="0" w:line="240" w:lineRule="auto"/>
              <w:ind w:firstLine="0"/>
              <w:jc w:val="center"/>
              <w:rPr>
                <w:b/>
                <w:i/>
                <w:color w:val="0070C0"/>
                <w:sz w:val="18"/>
                <w:szCs w:val="18"/>
              </w:rPr>
            </w:pPr>
          </w:p>
        </w:tc>
        <w:tc>
          <w:tcPr>
            <w:tcW w:w="1008" w:type="dxa"/>
            <w:vMerge/>
            <w:tcBorders>
              <w:left w:val="single" w:sz="12" w:space="0" w:color="auto"/>
              <w:bottom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color w:val="0070C0"/>
                <w:sz w:val="18"/>
                <w:szCs w:val="18"/>
              </w:rPr>
            </w:pPr>
          </w:p>
        </w:tc>
        <w:tc>
          <w:tcPr>
            <w:tcW w:w="1325" w:type="dxa"/>
            <w:vMerge/>
            <w:tcBorders>
              <w:left w:val="single" w:sz="12" w:space="0" w:color="auto"/>
              <w:bottom w:val="single" w:sz="12" w:space="0" w:color="auto"/>
            </w:tcBorders>
            <w:shd w:val="clear" w:color="auto" w:fill="D9D9D9" w:themeFill="background1" w:themeFillShade="D9"/>
          </w:tcPr>
          <w:p w:rsidR="007E2C4D" w:rsidRPr="0037262D" w:rsidRDefault="007E2C4D" w:rsidP="007E2C4D">
            <w:pPr>
              <w:spacing w:after="0" w:line="240" w:lineRule="auto"/>
              <w:ind w:firstLine="0"/>
              <w:jc w:val="center"/>
              <w:rPr>
                <w:b/>
                <w:i/>
                <w:color w:val="0070C0"/>
                <w:sz w:val="18"/>
                <w:szCs w:val="18"/>
              </w:rPr>
            </w:pPr>
          </w:p>
        </w:tc>
      </w:tr>
      <w:tr w:rsidR="007E2C4D" w:rsidRPr="0037262D" w:rsidTr="007E2C4D">
        <w:tc>
          <w:tcPr>
            <w:tcW w:w="914" w:type="dxa"/>
            <w:tcBorders>
              <w:top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b/>
                <w:i/>
                <w:sz w:val="18"/>
                <w:szCs w:val="18"/>
              </w:rPr>
            </w:pPr>
            <w:r w:rsidRPr="0037262D">
              <w:rPr>
                <w:b/>
                <w:i/>
                <w:sz w:val="18"/>
                <w:szCs w:val="18"/>
              </w:rPr>
              <w:t>c</w:t>
            </w:r>
            <w:r w:rsidRPr="0037262D">
              <w:rPr>
                <w:b/>
                <w:i/>
                <w:sz w:val="18"/>
                <w:szCs w:val="18"/>
                <w:vertAlign w:val="subscript"/>
              </w:rPr>
              <w:t>1</w:t>
            </w:r>
          </w:p>
        </w:tc>
        <w:tc>
          <w:tcPr>
            <w:tcW w:w="490" w:type="dxa"/>
            <w:tcBorders>
              <w:top w:val="single" w:sz="1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2,0</w:t>
            </w:r>
          </w:p>
        </w:tc>
        <w:tc>
          <w:tcPr>
            <w:tcW w:w="490" w:type="dxa"/>
            <w:tcBorders>
              <w:top w:val="single" w:sz="12" w:space="0" w:color="auto"/>
              <w:left w:val="single" w:sz="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1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1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1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1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1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1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1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1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1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648" w:type="dxa"/>
            <w:tcBorders>
              <w:top w:val="single" w:sz="12" w:space="0" w:color="auto"/>
              <w:left w:val="single" w:sz="12" w:space="0" w:color="auto"/>
              <w:bottom w:val="single" w:sz="2" w:space="0" w:color="auto"/>
            </w:tcBorders>
            <w:shd w:val="clear" w:color="auto" w:fill="D9D9D9" w:themeFill="background1" w:themeFillShade="D9"/>
          </w:tcPr>
          <w:p w:rsidR="007E2C4D" w:rsidRPr="0037262D" w:rsidRDefault="007E2C4D" w:rsidP="007E2C4D">
            <w:pPr>
              <w:spacing w:after="0" w:line="240" w:lineRule="auto"/>
              <w:ind w:firstLine="0"/>
              <w:jc w:val="center"/>
              <w:rPr>
                <w:b/>
                <w:sz w:val="18"/>
                <w:szCs w:val="18"/>
              </w:rPr>
            </w:pPr>
            <w:r w:rsidRPr="0037262D">
              <w:rPr>
                <w:b/>
                <w:sz w:val="18"/>
                <w:szCs w:val="18"/>
              </w:rPr>
              <w:t>1</w:t>
            </w:r>
          </w:p>
        </w:tc>
        <w:tc>
          <w:tcPr>
            <w:tcW w:w="1008" w:type="dxa"/>
            <w:tcBorders>
              <w:top w:val="single" w:sz="12" w:space="0" w:color="auto"/>
              <w:left w:val="single" w:sz="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b/>
                <w:sz w:val="18"/>
                <w:szCs w:val="18"/>
              </w:rPr>
            </w:pPr>
            <w:r w:rsidRPr="0037262D">
              <w:rPr>
                <w:b/>
                <w:sz w:val="18"/>
                <w:szCs w:val="18"/>
              </w:rPr>
              <w:t>2,0</w:t>
            </w:r>
          </w:p>
        </w:tc>
        <w:tc>
          <w:tcPr>
            <w:tcW w:w="1008" w:type="dxa"/>
            <w:tcBorders>
              <w:top w:val="single" w:sz="12" w:space="0" w:color="auto"/>
              <w:left w:val="single" w:sz="12" w:space="0" w:color="auto"/>
              <w:bottom w:val="single" w:sz="2" w:space="0" w:color="auto"/>
            </w:tcBorders>
            <w:shd w:val="clear" w:color="auto" w:fill="E5B8B7" w:themeFill="accent2" w:themeFillTint="66"/>
          </w:tcPr>
          <w:p w:rsidR="007E2C4D" w:rsidRPr="00EA5907" w:rsidRDefault="007E2C4D" w:rsidP="007E2C4D">
            <w:pPr>
              <w:spacing w:after="0" w:line="240" w:lineRule="auto"/>
              <w:ind w:firstLine="0"/>
              <w:jc w:val="center"/>
              <w:rPr>
                <w:b/>
                <w:sz w:val="18"/>
                <w:szCs w:val="18"/>
              </w:rPr>
            </w:pPr>
            <w:r w:rsidRPr="00EA5907">
              <w:rPr>
                <w:b/>
                <w:sz w:val="18"/>
                <w:szCs w:val="18"/>
              </w:rPr>
              <w:t>4,0</w:t>
            </w:r>
          </w:p>
        </w:tc>
        <w:tc>
          <w:tcPr>
            <w:tcW w:w="1325" w:type="dxa"/>
            <w:tcBorders>
              <w:top w:val="single" w:sz="12" w:space="0" w:color="auto"/>
              <w:left w:val="single" w:sz="12" w:space="0" w:color="auto"/>
              <w:bottom w:val="single" w:sz="2" w:space="0" w:color="auto"/>
            </w:tcBorders>
            <w:shd w:val="clear" w:color="auto" w:fill="E5B8B7" w:themeFill="accent2" w:themeFillTint="66"/>
          </w:tcPr>
          <w:p w:rsidR="007E2C4D" w:rsidRPr="0037262D" w:rsidRDefault="007E2C4D" w:rsidP="007E2C4D">
            <w:pPr>
              <w:spacing w:after="0" w:line="240" w:lineRule="auto"/>
              <w:ind w:firstLine="0"/>
              <w:jc w:val="center"/>
              <w:rPr>
                <w:b/>
                <w:sz w:val="18"/>
                <w:szCs w:val="18"/>
              </w:rPr>
            </w:pPr>
            <w:r w:rsidRPr="0037262D">
              <w:rPr>
                <w:b/>
                <w:sz w:val="18"/>
                <w:szCs w:val="18"/>
              </w:rPr>
              <w:t>6,0</w:t>
            </w:r>
          </w:p>
        </w:tc>
      </w:tr>
      <w:tr w:rsidR="007E2C4D" w:rsidRPr="0037262D" w:rsidTr="007E2C4D">
        <w:tc>
          <w:tcPr>
            <w:tcW w:w="914" w:type="dxa"/>
            <w:tcBorders>
              <w:top w:val="single" w:sz="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b/>
                <w:i/>
                <w:sz w:val="18"/>
                <w:szCs w:val="18"/>
              </w:rPr>
            </w:pPr>
            <w:r w:rsidRPr="0037262D">
              <w:rPr>
                <w:b/>
                <w:i/>
                <w:sz w:val="18"/>
                <w:szCs w:val="18"/>
              </w:rPr>
              <w:t>c</w:t>
            </w:r>
            <w:r w:rsidRPr="0037262D">
              <w:rPr>
                <w:b/>
                <w:i/>
                <w:sz w:val="18"/>
                <w:szCs w:val="18"/>
                <w:vertAlign w:val="subscript"/>
              </w:rPr>
              <w:t>2</w:t>
            </w:r>
          </w:p>
        </w:tc>
        <w:tc>
          <w:tcPr>
            <w:tcW w:w="490" w:type="dxa"/>
            <w:tcBorders>
              <w:top w:val="single" w:sz="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1,5</w:t>
            </w:r>
          </w:p>
        </w:tc>
        <w:tc>
          <w:tcPr>
            <w:tcW w:w="490" w:type="dxa"/>
            <w:tcBorders>
              <w:top w:val="single" w:sz="2" w:space="0" w:color="auto"/>
              <w:left w:val="single" w:sz="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648" w:type="dxa"/>
            <w:tcBorders>
              <w:top w:val="single" w:sz="2" w:space="0" w:color="auto"/>
              <w:left w:val="single" w:sz="12" w:space="0" w:color="auto"/>
              <w:bottom w:val="single" w:sz="2" w:space="0" w:color="auto"/>
            </w:tcBorders>
            <w:shd w:val="clear" w:color="auto" w:fill="D9D9D9" w:themeFill="background1" w:themeFillShade="D9"/>
          </w:tcPr>
          <w:p w:rsidR="007E2C4D" w:rsidRPr="0037262D" w:rsidRDefault="007E2C4D" w:rsidP="007E2C4D">
            <w:pPr>
              <w:spacing w:after="0" w:line="240" w:lineRule="auto"/>
              <w:ind w:firstLine="0"/>
              <w:jc w:val="center"/>
              <w:rPr>
                <w:b/>
                <w:sz w:val="18"/>
                <w:szCs w:val="18"/>
              </w:rPr>
            </w:pPr>
            <w:r w:rsidRPr="0037262D">
              <w:rPr>
                <w:b/>
                <w:sz w:val="18"/>
                <w:szCs w:val="18"/>
              </w:rPr>
              <w:t>2</w:t>
            </w:r>
          </w:p>
        </w:tc>
        <w:tc>
          <w:tcPr>
            <w:tcW w:w="1008" w:type="dxa"/>
            <w:tcBorders>
              <w:top w:val="single" w:sz="2" w:space="0" w:color="auto"/>
              <w:left w:val="single" w:sz="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b/>
                <w:sz w:val="18"/>
                <w:szCs w:val="18"/>
              </w:rPr>
            </w:pPr>
            <w:r w:rsidRPr="0037262D">
              <w:rPr>
                <w:b/>
                <w:sz w:val="18"/>
                <w:szCs w:val="18"/>
              </w:rPr>
              <w:t>3,0</w:t>
            </w:r>
          </w:p>
        </w:tc>
        <w:tc>
          <w:tcPr>
            <w:tcW w:w="1008" w:type="dxa"/>
            <w:tcBorders>
              <w:top w:val="single" w:sz="2" w:space="0" w:color="auto"/>
              <w:left w:val="single" w:sz="12" w:space="0" w:color="auto"/>
              <w:bottom w:val="single" w:sz="2" w:space="0" w:color="auto"/>
            </w:tcBorders>
            <w:shd w:val="clear" w:color="auto" w:fill="E5B8B7" w:themeFill="accent2" w:themeFillTint="66"/>
          </w:tcPr>
          <w:p w:rsidR="007E2C4D" w:rsidRPr="00EA5907" w:rsidRDefault="007E2C4D" w:rsidP="007E2C4D">
            <w:pPr>
              <w:spacing w:after="0" w:line="240" w:lineRule="auto"/>
              <w:ind w:firstLine="0"/>
              <w:jc w:val="center"/>
              <w:rPr>
                <w:b/>
                <w:sz w:val="18"/>
                <w:szCs w:val="18"/>
              </w:rPr>
            </w:pPr>
            <w:r w:rsidRPr="00EA5907">
              <w:rPr>
                <w:b/>
                <w:sz w:val="18"/>
                <w:szCs w:val="18"/>
              </w:rPr>
              <w:t>3,0</w:t>
            </w:r>
          </w:p>
        </w:tc>
        <w:tc>
          <w:tcPr>
            <w:tcW w:w="1325" w:type="dxa"/>
            <w:tcBorders>
              <w:top w:val="single" w:sz="2" w:space="0" w:color="auto"/>
              <w:left w:val="single" w:sz="12" w:space="0" w:color="auto"/>
              <w:bottom w:val="single" w:sz="2" w:space="0" w:color="auto"/>
            </w:tcBorders>
            <w:shd w:val="clear" w:color="auto" w:fill="E5B8B7" w:themeFill="accent2" w:themeFillTint="66"/>
          </w:tcPr>
          <w:p w:rsidR="007E2C4D" w:rsidRPr="0037262D" w:rsidRDefault="007E2C4D" w:rsidP="007E2C4D">
            <w:pPr>
              <w:spacing w:after="0" w:line="240" w:lineRule="auto"/>
              <w:ind w:firstLine="0"/>
              <w:jc w:val="center"/>
              <w:rPr>
                <w:b/>
                <w:sz w:val="18"/>
                <w:szCs w:val="18"/>
              </w:rPr>
            </w:pPr>
            <w:r w:rsidRPr="0037262D">
              <w:rPr>
                <w:b/>
                <w:sz w:val="18"/>
                <w:szCs w:val="18"/>
              </w:rPr>
              <w:t>7,5</w:t>
            </w:r>
          </w:p>
        </w:tc>
      </w:tr>
      <w:tr w:rsidR="007E2C4D" w:rsidRPr="0037262D" w:rsidTr="007E2C4D">
        <w:tc>
          <w:tcPr>
            <w:tcW w:w="914" w:type="dxa"/>
            <w:tcBorders>
              <w:top w:val="single" w:sz="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b/>
                <w:i/>
                <w:sz w:val="18"/>
                <w:szCs w:val="18"/>
              </w:rPr>
            </w:pPr>
            <w:r w:rsidRPr="0037262D">
              <w:rPr>
                <w:b/>
                <w:i/>
                <w:sz w:val="18"/>
                <w:szCs w:val="18"/>
              </w:rPr>
              <w:t>c</w:t>
            </w:r>
            <w:r w:rsidRPr="0037262D">
              <w:rPr>
                <w:b/>
                <w:i/>
                <w:sz w:val="18"/>
                <w:szCs w:val="18"/>
                <w:vertAlign w:val="subscript"/>
              </w:rPr>
              <w:t>3</w:t>
            </w:r>
          </w:p>
        </w:tc>
        <w:tc>
          <w:tcPr>
            <w:tcW w:w="490" w:type="dxa"/>
            <w:tcBorders>
              <w:top w:val="single" w:sz="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1,5</w:t>
            </w:r>
          </w:p>
        </w:tc>
        <w:tc>
          <w:tcPr>
            <w:tcW w:w="490" w:type="dxa"/>
            <w:tcBorders>
              <w:top w:val="single" w:sz="2" w:space="0" w:color="auto"/>
              <w:left w:val="single" w:sz="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648" w:type="dxa"/>
            <w:tcBorders>
              <w:top w:val="single" w:sz="2" w:space="0" w:color="auto"/>
              <w:left w:val="single" w:sz="12" w:space="0" w:color="auto"/>
              <w:bottom w:val="single" w:sz="2" w:space="0" w:color="auto"/>
            </w:tcBorders>
            <w:shd w:val="clear" w:color="auto" w:fill="D9D9D9" w:themeFill="background1" w:themeFillShade="D9"/>
          </w:tcPr>
          <w:p w:rsidR="007E2C4D" w:rsidRPr="0037262D" w:rsidRDefault="007E2C4D" w:rsidP="007E2C4D">
            <w:pPr>
              <w:spacing w:after="0" w:line="240" w:lineRule="auto"/>
              <w:ind w:firstLine="0"/>
              <w:jc w:val="center"/>
              <w:rPr>
                <w:b/>
                <w:sz w:val="18"/>
                <w:szCs w:val="18"/>
              </w:rPr>
            </w:pPr>
            <w:r w:rsidRPr="0037262D">
              <w:rPr>
                <w:b/>
                <w:sz w:val="18"/>
                <w:szCs w:val="18"/>
              </w:rPr>
              <w:t>2</w:t>
            </w:r>
          </w:p>
        </w:tc>
        <w:tc>
          <w:tcPr>
            <w:tcW w:w="1008" w:type="dxa"/>
            <w:tcBorders>
              <w:top w:val="single" w:sz="2" w:space="0" w:color="auto"/>
              <w:left w:val="single" w:sz="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b/>
                <w:sz w:val="18"/>
                <w:szCs w:val="18"/>
              </w:rPr>
            </w:pPr>
            <w:r w:rsidRPr="0037262D">
              <w:rPr>
                <w:b/>
                <w:sz w:val="18"/>
                <w:szCs w:val="18"/>
              </w:rPr>
              <w:t>3,0</w:t>
            </w:r>
          </w:p>
        </w:tc>
        <w:tc>
          <w:tcPr>
            <w:tcW w:w="1008" w:type="dxa"/>
            <w:tcBorders>
              <w:top w:val="single" w:sz="2" w:space="0" w:color="auto"/>
              <w:left w:val="single" w:sz="12" w:space="0" w:color="auto"/>
              <w:bottom w:val="single" w:sz="2" w:space="0" w:color="auto"/>
            </w:tcBorders>
            <w:shd w:val="clear" w:color="auto" w:fill="E5B8B7" w:themeFill="accent2" w:themeFillTint="66"/>
          </w:tcPr>
          <w:p w:rsidR="007E2C4D" w:rsidRPr="00EA5907" w:rsidRDefault="007E2C4D" w:rsidP="007E2C4D">
            <w:pPr>
              <w:spacing w:after="0" w:line="240" w:lineRule="auto"/>
              <w:ind w:firstLine="0"/>
              <w:jc w:val="center"/>
              <w:rPr>
                <w:b/>
                <w:sz w:val="18"/>
                <w:szCs w:val="18"/>
              </w:rPr>
            </w:pPr>
            <w:r w:rsidRPr="00EA5907">
              <w:rPr>
                <w:b/>
                <w:sz w:val="18"/>
                <w:szCs w:val="18"/>
              </w:rPr>
              <w:t>3,0</w:t>
            </w:r>
          </w:p>
        </w:tc>
        <w:tc>
          <w:tcPr>
            <w:tcW w:w="1325" w:type="dxa"/>
            <w:tcBorders>
              <w:top w:val="single" w:sz="2" w:space="0" w:color="auto"/>
              <w:left w:val="single" w:sz="12" w:space="0" w:color="auto"/>
              <w:bottom w:val="single" w:sz="2" w:space="0" w:color="auto"/>
            </w:tcBorders>
            <w:shd w:val="clear" w:color="auto" w:fill="E5B8B7" w:themeFill="accent2" w:themeFillTint="66"/>
          </w:tcPr>
          <w:p w:rsidR="007E2C4D" w:rsidRPr="0037262D" w:rsidRDefault="007E2C4D" w:rsidP="007E2C4D">
            <w:pPr>
              <w:spacing w:after="0" w:line="240" w:lineRule="auto"/>
              <w:ind w:firstLine="0"/>
              <w:jc w:val="center"/>
              <w:rPr>
                <w:b/>
                <w:sz w:val="18"/>
                <w:szCs w:val="18"/>
              </w:rPr>
            </w:pPr>
            <w:r w:rsidRPr="0037262D">
              <w:rPr>
                <w:b/>
                <w:sz w:val="18"/>
                <w:szCs w:val="18"/>
              </w:rPr>
              <w:t>6,0</w:t>
            </w:r>
          </w:p>
        </w:tc>
      </w:tr>
      <w:tr w:rsidR="007E2C4D" w:rsidRPr="0037262D" w:rsidTr="007E2C4D">
        <w:tc>
          <w:tcPr>
            <w:tcW w:w="914" w:type="dxa"/>
            <w:tcBorders>
              <w:top w:val="single" w:sz="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b/>
                <w:i/>
                <w:sz w:val="18"/>
                <w:szCs w:val="18"/>
              </w:rPr>
            </w:pPr>
            <w:r w:rsidRPr="0037262D">
              <w:rPr>
                <w:b/>
                <w:i/>
                <w:sz w:val="18"/>
                <w:szCs w:val="18"/>
              </w:rPr>
              <w:t>c</w:t>
            </w:r>
            <w:r w:rsidRPr="0037262D">
              <w:rPr>
                <w:b/>
                <w:i/>
                <w:sz w:val="18"/>
                <w:szCs w:val="18"/>
                <w:vertAlign w:val="subscript"/>
              </w:rPr>
              <w:t>4</w:t>
            </w:r>
          </w:p>
        </w:tc>
        <w:tc>
          <w:tcPr>
            <w:tcW w:w="490" w:type="dxa"/>
            <w:tcBorders>
              <w:top w:val="single" w:sz="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1,5</w:t>
            </w:r>
          </w:p>
        </w:tc>
        <w:tc>
          <w:tcPr>
            <w:tcW w:w="490" w:type="dxa"/>
            <w:tcBorders>
              <w:top w:val="single" w:sz="2" w:space="0" w:color="auto"/>
              <w:left w:val="single" w:sz="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648" w:type="dxa"/>
            <w:tcBorders>
              <w:top w:val="single" w:sz="2" w:space="0" w:color="auto"/>
              <w:left w:val="single" w:sz="12" w:space="0" w:color="auto"/>
              <w:bottom w:val="single" w:sz="2" w:space="0" w:color="auto"/>
            </w:tcBorders>
            <w:shd w:val="clear" w:color="auto" w:fill="D9D9D9" w:themeFill="background1" w:themeFillShade="D9"/>
          </w:tcPr>
          <w:p w:rsidR="007E2C4D" w:rsidRPr="0037262D" w:rsidRDefault="007E2C4D" w:rsidP="007E2C4D">
            <w:pPr>
              <w:spacing w:after="0" w:line="240" w:lineRule="auto"/>
              <w:ind w:firstLine="0"/>
              <w:jc w:val="center"/>
              <w:rPr>
                <w:b/>
                <w:sz w:val="18"/>
                <w:szCs w:val="18"/>
              </w:rPr>
            </w:pPr>
            <w:r w:rsidRPr="0037262D">
              <w:rPr>
                <w:b/>
                <w:sz w:val="18"/>
                <w:szCs w:val="18"/>
              </w:rPr>
              <w:t>1</w:t>
            </w:r>
          </w:p>
        </w:tc>
        <w:tc>
          <w:tcPr>
            <w:tcW w:w="1008" w:type="dxa"/>
            <w:tcBorders>
              <w:top w:val="single" w:sz="2" w:space="0" w:color="auto"/>
              <w:left w:val="single" w:sz="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b/>
                <w:sz w:val="18"/>
                <w:szCs w:val="18"/>
              </w:rPr>
            </w:pPr>
            <w:r w:rsidRPr="0037262D">
              <w:rPr>
                <w:b/>
                <w:sz w:val="18"/>
                <w:szCs w:val="18"/>
              </w:rPr>
              <w:t>1,5</w:t>
            </w:r>
          </w:p>
        </w:tc>
        <w:tc>
          <w:tcPr>
            <w:tcW w:w="1008" w:type="dxa"/>
            <w:tcBorders>
              <w:top w:val="single" w:sz="2" w:space="0" w:color="auto"/>
              <w:left w:val="single" w:sz="12" w:space="0" w:color="auto"/>
              <w:bottom w:val="single" w:sz="2" w:space="0" w:color="auto"/>
            </w:tcBorders>
            <w:shd w:val="clear" w:color="auto" w:fill="E5B8B7" w:themeFill="accent2" w:themeFillTint="66"/>
          </w:tcPr>
          <w:p w:rsidR="007E2C4D" w:rsidRPr="00EA5907" w:rsidRDefault="007E2C4D" w:rsidP="007E2C4D">
            <w:pPr>
              <w:spacing w:after="0" w:line="240" w:lineRule="auto"/>
              <w:ind w:firstLine="0"/>
              <w:jc w:val="center"/>
              <w:rPr>
                <w:b/>
                <w:sz w:val="18"/>
                <w:szCs w:val="18"/>
              </w:rPr>
            </w:pPr>
            <w:r w:rsidRPr="00EA5907">
              <w:rPr>
                <w:b/>
                <w:sz w:val="18"/>
                <w:szCs w:val="18"/>
              </w:rPr>
              <w:t>3,0</w:t>
            </w:r>
          </w:p>
        </w:tc>
        <w:tc>
          <w:tcPr>
            <w:tcW w:w="1325" w:type="dxa"/>
            <w:tcBorders>
              <w:top w:val="single" w:sz="2" w:space="0" w:color="auto"/>
              <w:left w:val="single" w:sz="12" w:space="0" w:color="auto"/>
              <w:bottom w:val="single" w:sz="2" w:space="0" w:color="auto"/>
            </w:tcBorders>
            <w:shd w:val="clear" w:color="auto" w:fill="E5B8B7" w:themeFill="accent2" w:themeFillTint="66"/>
          </w:tcPr>
          <w:p w:rsidR="007E2C4D" w:rsidRPr="0037262D" w:rsidRDefault="007E2C4D" w:rsidP="007E2C4D">
            <w:pPr>
              <w:spacing w:after="0" w:line="240" w:lineRule="auto"/>
              <w:ind w:firstLine="0"/>
              <w:jc w:val="center"/>
              <w:rPr>
                <w:b/>
                <w:sz w:val="18"/>
                <w:szCs w:val="18"/>
              </w:rPr>
            </w:pPr>
            <w:r w:rsidRPr="0037262D">
              <w:rPr>
                <w:b/>
                <w:sz w:val="18"/>
                <w:szCs w:val="18"/>
              </w:rPr>
              <w:t>4,5</w:t>
            </w:r>
          </w:p>
        </w:tc>
      </w:tr>
      <w:tr w:rsidR="007E2C4D" w:rsidRPr="0037262D" w:rsidTr="007E2C4D">
        <w:tc>
          <w:tcPr>
            <w:tcW w:w="914" w:type="dxa"/>
            <w:tcBorders>
              <w:top w:val="single" w:sz="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b/>
                <w:i/>
                <w:sz w:val="18"/>
                <w:szCs w:val="18"/>
              </w:rPr>
            </w:pPr>
            <w:r w:rsidRPr="0037262D">
              <w:rPr>
                <w:b/>
                <w:i/>
                <w:sz w:val="18"/>
                <w:szCs w:val="18"/>
              </w:rPr>
              <w:t>c</w:t>
            </w:r>
            <w:r w:rsidRPr="0037262D">
              <w:rPr>
                <w:b/>
                <w:i/>
                <w:sz w:val="18"/>
                <w:szCs w:val="18"/>
                <w:vertAlign w:val="subscript"/>
              </w:rPr>
              <w:t>5</w:t>
            </w:r>
          </w:p>
        </w:tc>
        <w:tc>
          <w:tcPr>
            <w:tcW w:w="490" w:type="dxa"/>
            <w:tcBorders>
              <w:top w:val="single" w:sz="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2,0</w:t>
            </w:r>
          </w:p>
        </w:tc>
        <w:tc>
          <w:tcPr>
            <w:tcW w:w="490" w:type="dxa"/>
            <w:tcBorders>
              <w:top w:val="single" w:sz="2" w:space="0" w:color="auto"/>
              <w:left w:val="single" w:sz="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3</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1</w:t>
            </w:r>
          </w:p>
        </w:tc>
        <w:tc>
          <w:tcPr>
            <w:tcW w:w="490" w:type="dxa"/>
            <w:tcBorders>
              <w:top w:val="single" w:sz="2" w:space="0" w:color="auto"/>
              <w:left w:val="single" w:sz="1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sz w:val="18"/>
                <w:szCs w:val="18"/>
              </w:rPr>
            </w:pPr>
            <w:r w:rsidRPr="0037262D">
              <w:rPr>
                <w:sz w:val="18"/>
                <w:szCs w:val="18"/>
              </w:rPr>
              <w:t>2</w:t>
            </w:r>
          </w:p>
        </w:tc>
        <w:tc>
          <w:tcPr>
            <w:tcW w:w="648" w:type="dxa"/>
            <w:tcBorders>
              <w:top w:val="single" w:sz="2" w:space="0" w:color="auto"/>
              <w:left w:val="single" w:sz="12" w:space="0" w:color="auto"/>
              <w:bottom w:val="single" w:sz="2" w:space="0" w:color="auto"/>
            </w:tcBorders>
            <w:shd w:val="clear" w:color="auto" w:fill="D9D9D9" w:themeFill="background1" w:themeFillShade="D9"/>
          </w:tcPr>
          <w:p w:rsidR="007E2C4D" w:rsidRPr="0037262D" w:rsidRDefault="007E2C4D" w:rsidP="007E2C4D">
            <w:pPr>
              <w:spacing w:after="0" w:line="240" w:lineRule="auto"/>
              <w:ind w:firstLine="0"/>
              <w:jc w:val="center"/>
              <w:rPr>
                <w:b/>
                <w:sz w:val="18"/>
                <w:szCs w:val="18"/>
              </w:rPr>
            </w:pPr>
            <w:r w:rsidRPr="0037262D">
              <w:rPr>
                <w:b/>
                <w:sz w:val="18"/>
                <w:szCs w:val="18"/>
              </w:rPr>
              <w:t>2</w:t>
            </w:r>
          </w:p>
        </w:tc>
        <w:tc>
          <w:tcPr>
            <w:tcW w:w="1008" w:type="dxa"/>
            <w:tcBorders>
              <w:top w:val="single" w:sz="2" w:space="0" w:color="auto"/>
              <w:left w:val="single" w:sz="2" w:space="0" w:color="auto"/>
              <w:bottom w:val="single" w:sz="2" w:space="0" w:color="auto"/>
              <w:right w:val="single" w:sz="12" w:space="0" w:color="auto"/>
            </w:tcBorders>
            <w:shd w:val="clear" w:color="auto" w:fill="E5B8B7" w:themeFill="accent2" w:themeFillTint="66"/>
          </w:tcPr>
          <w:p w:rsidR="007E2C4D" w:rsidRPr="0037262D" w:rsidRDefault="007E2C4D" w:rsidP="007E2C4D">
            <w:pPr>
              <w:spacing w:after="0" w:line="240" w:lineRule="auto"/>
              <w:ind w:firstLine="0"/>
              <w:jc w:val="center"/>
              <w:rPr>
                <w:b/>
                <w:sz w:val="18"/>
                <w:szCs w:val="18"/>
              </w:rPr>
            </w:pPr>
            <w:r w:rsidRPr="0037262D">
              <w:rPr>
                <w:b/>
                <w:sz w:val="18"/>
                <w:szCs w:val="18"/>
              </w:rPr>
              <w:t>4,0</w:t>
            </w:r>
          </w:p>
        </w:tc>
        <w:tc>
          <w:tcPr>
            <w:tcW w:w="1008" w:type="dxa"/>
            <w:tcBorders>
              <w:top w:val="single" w:sz="2" w:space="0" w:color="auto"/>
              <w:left w:val="single" w:sz="12" w:space="0" w:color="auto"/>
              <w:bottom w:val="single" w:sz="2" w:space="0" w:color="auto"/>
            </w:tcBorders>
            <w:shd w:val="clear" w:color="auto" w:fill="E5B8B7" w:themeFill="accent2" w:themeFillTint="66"/>
          </w:tcPr>
          <w:p w:rsidR="007E2C4D" w:rsidRPr="00EA5907" w:rsidRDefault="007E2C4D" w:rsidP="007E2C4D">
            <w:pPr>
              <w:spacing w:after="0" w:line="240" w:lineRule="auto"/>
              <w:ind w:firstLine="0"/>
              <w:jc w:val="center"/>
              <w:rPr>
                <w:b/>
                <w:sz w:val="18"/>
                <w:szCs w:val="18"/>
              </w:rPr>
            </w:pPr>
            <w:r w:rsidRPr="00EA5907">
              <w:rPr>
                <w:b/>
                <w:sz w:val="18"/>
                <w:szCs w:val="18"/>
              </w:rPr>
              <w:t>6,0</w:t>
            </w:r>
          </w:p>
        </w:tc>
        <w:tc>
          <w:tcPr>
            <w:tcW w:w="1325" w:type="dxa"/>
            <w:tcBorders>
              <w:top w:val="single" w:sz="2" w:space="0" w:color="auto"/>
              <w:left w:val="single" w:sz="12" w:space="0" w:color="auto"/>
              <w:bottom w:val="single" w:sz="2" w:space="0" w:color="auto"/>
            </w:tcBorders>
            <w:shd w:val="clear" w:color="auto" w:fill="E5B8B7" w:themeFill="accent2" w:themeFillTint="66"/>
          </w:tcPr>
          <w:p w:rsidR="007E2C4D" w:rsidRPr="0037262D" w:rsidRDefault="007E2C4D" w:rsidP="007E2C4D">
            <w:pPr>
              <w:spacing w:after="0" w:line="240" w:lineRule="auto"/>
              <w:ind w:firstLine="0"/>
              <w:jc w:val="center"/>
              <w:rPr>
                <w:b/>
                <w:sz w:val="18"/>
                <w:szCs w:val="18"/>
              </w:rPr>
            </w:pPr>
            <w:r w:rsidRPr="0037262D">
              <w:rPr>
                <w:b/>
                <w:sz w:val="18"/>
                <w:szCs w:val="18"/>
              </w:rPr>
              <w:t>10,0</w:t>
            </w:r>
          </w:p>
        </w:tc>
      </w:tr>
      <w:tr w:rsidR="007E2C4D" w:rsidRPr="0037262D" w:rsidTr="007E2C4D">
        <w:tc>
          <w:tcPr>
            <w:tcW w:w="914" w:type="dxa"/>
            <w:tcBorders>
              <w:top w:val="single" w:sz="12" w:space="0" w:color="auto"/>
              <w:bottom w:val="single" w:sz="12" w:space="0" w:color="auto"/>
              <w:right w:val="single" w:sz="12" w:space="0" w:color="auto"/>
            </w:tcBorders>
            <w:shd w:val="clear" w:color="auto" w:fill="D9D9D9" w:themeFill="background1" w:themeFillShade="D9"/>
          </w:tcPr>
          <w:p w:rsidR="007E2C4D" w:rsidRPr="0037262D" w:rsidRDefault="007E2C4D" w:rsidP="007E2C4D">
            <w:pPr>
              <w:spacing w:after="0" w:line="240" w:lineRule="auto"/>
              <w:ind w:firstLine="0"/>
              <w:jc w:val="right"/>
              <w:rPr>
                <w:b/>
                <w:i/>
                <w:sz w:val="17"/>
                <w:szCs w:val="17"/>
              </w:rPr>
            </w:pPr>
            <w:r w:rsidRPr="0037262D">
              <w:rPr>
                <w:b/>
                <w:i/>
                <w:sz w:val="17"/>
                <w:szCs w:val="17"/>
              </w:rPr>
              <w:t>SUMA:</w:t>
            </w:r>
          </w:p>
        </w:tc>
        <w:tc>
          <w:tcPr>
            <w:tcW w:w="490" w:type="dxa"/>
            <w:tcBorders>
              <w:top w:val="single" w:sz="12" w:space="0" w:color="auto"/>
              <w:left w:val="single" w:sz="12" w:space="0" w:color="auto"/>
              <w:bottom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7E2C4D" w:rsidRPr="0037262D" w:rsidRDefault="007E2C4D" w:rsidP="007E2C4D">
            <w:pPr>
              <w:spacing w:after="0" w:line="240" w:lineRule="auto"/>
              <w:ind w:firstLine="0"/>
              <w:jc w:val="center"/>
              <w:rPr>
                <w:b/>
                <w:sz w:val="17"/>
                <w:szCs w:val="17"/>
              </w:rPr>
            </w:pPr>
            <w:r w:rsidRPr="0037262D">
              <w:rPr>
                <w:b/>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i/>
                <w:sz w:val="17"/>
                <w:szCs w:val="17"/>
              </w:rPr>
            </w:pPr>
            <w:r w:rsidRPr="0037262D">
              <w:rPr>
                <w:b/>
                <w:i/>
                <w:sz w:val="17"/>
                <w:szCs w:val="17"/>
              </w:rPr>
              <w:t>-</w:t>
            </w:r>
          </w:p>
        </w:tc>
        <w:tc>
          <w:tcPr>
            <w:tcW w:w="648" w:type="dxa"/>
            <w:tcBorders>
              <w:top w:val="single" w:sz="12" w:space="0" w:color="auto"/>
              <w:left w:val="single" w:sz="12" w:space="0" w:color="auto"/>
              <w:bottom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sz w:val="17"/>
                <w:szCs w:val="17"/>
              </w:rPr>
            </w:pPr>
            <w:r w:rsidRPr="0037262D">
              <w:rPr>
                <w:b/>
                <w:sz w:val="17"/>
                <w:szCs w:val="17"/>
              </w:rPr>
              <w:t>8</w:t>
            </w:r>
          </w:p>
        </w:tc>
        <w:tc>
          <w:tcPr>
            <w:tcW w:w="1008"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color w:val="00B050"/>
                <w:sz w:val="17"/>
                <w:szCs w:val="17"/>
              </w:rPr>
            </w:pPr>
            <w:r>
              <w:rPr>
                <w:b/>
                <w:color w:val="00B050"/>
                <w:sz w:val="17"/>
                <w:szCs w:val="17"/>
              </w:rPr>
              <w:t>13,5</w:t>
            </w:r>
          </w:p>
        </w:tc>
        <w:tc>
          <w:tcPr>
            <w:tcW w:w="1008" w:type="dxa"/>
            <w:tcBorders>
              <w:top w:val="single" w:sz="12" w:space="0" w:color="auto"/>
              <w:left w:val="single" w:sz="12" w:space="0" w:color="auto"/>
              <w:bottom w:val="single" w:sz="12" w:space="0" w:color="auto"/>
            </w:tcBorders>
            <w:shd w:val="clear" w:color="auto" w:fill="D9D9D9" w:themeFill="background1" w:themeFillShade="D9"/>
          </w:tcPr>
          <w:p w:rsidR="007E2C4D" w:rsidRPr="00CD3A6C" w:rsidRDefault="007E2C4D" w:rsidP="007E2C4D">
            <w:pPr>
              <w:spacing w:after="0" w:line="240" w:lineRule="auto"/>
              <w:ind w:firstLine="0"/>
              <w:jc w:val="center"/>
              <w:rPr>
                <w:b/>
                <w:color w:val="FF0000"/>
                <w:sz w:val="17"/>
                <w:szCs w:val="17"/>
              </w:rPr>
            </w:pPr>
            <w:r w:rsidRPr="00CD3A6C">
              <w:rPr>
                <w:b/>
                <w:color w:val="FF0000"/>
                <w:sz w:val="17"/>
                <w:szCs w:val="17"/>
              </w:rPr>
              <w:t xml:space="preserve">  19</w:t>
            </w:r>
            <w:r>
              <w:rPr>
                <w:b/>
                <w:color w:val="FF0000"/>
                <w:sz w:val="17"/>
                <w:szCs w:val="17"/>
              </w:rPr>
              <w:t>,0</w:t>
            </w:r>
          </w:p>
        </w:tc>
        <w:tc>
          <w:tcPr>
            <w:tcW w:w="1325" w:type="dxa"/>
            <w:tcBorders>
              <w:top w:val="single" w:sz="12" w:space="0" w:color="auto"/>
              <w:left w:val="single" w:sz="12" w:space="0" w:color="auto"/>
              <w:bottom w:val="single" w:sz="12" w:space="0" w:color="auto"/>
            </w:tcBorders>
            <w:shd w:val="clear" w:color="auto" w:fill="D9D9D9" w:themeFill="background1" w:themeFillShade="D9"/>
            <w:vAlign w:val="center"/>
          </w:tcPr>
          <w:p w:rsidR="007E2C4D" w:rsidRPr="0037262D" w:rsidRDefault="007E2C4D" w:rsidP="007E2C4D">
            <w:pPr>
              <w:spacing w:after="0" w:line="240" w:lineRule="auto"/>
              <w:ind w:firstLine="0"/>
              <w:jc w:val="center"/>
              <w:rPr>
                <w:b/>
                <w:color w:val="8C3A8E"/>
                <w:sz w:val="17"/>
                <w:szCs w:val="17"/>
              </w:rPr>
            </w:pPr>
            <w:r w:rsidRPr="0037262D">
              <w:rPr>
                <w:b/>
                <w:color w:val="943634" w:themeColor="accent2" w:themeShade="BF"/>
                <w:sz w:val="17"/>
                <w:szCs w:val="17"/>
              </w:rPr>
              <w:t>34</w:t>
            </w:r>
            <w:r>
              <w:rPr>
                <w:b/>
                <w:color w:val="943634" w:themeColor="accent2" w:themeShade="BF"/>
                <w:sz w:val="17"/>
                <w:szCs w:val="17"/>
              </w:rPr>
              <w:t>,0</w:t>
            </w:r>
          </w:p>
        </w:tc>
      </w:tr>
      <w:tr w:rsidR="007E2C4D" w:rsidRPr="00B3621F" w:rsidTr="007E2C4D">
        <w:tc>
          <w:tcPr>
            <w:tcW w:w="10293" w:type="dxa"/>
            <w:gridSpan w:val="16"/>
            <w:tcBorders>
              <w:top w:val="single" w:sz="12" w:space="0" w:color="auto"/>
              <w:bottom w:val="single" w:sz="12" w:space="0" w:color="auto"/>
            </w:tcBorders>
            <w:shd w:val="clear" w:color="auto" w:fill="auto"/>
          </w:tcPr>
          <w:p w:rsidR="007E2C4D" w:rsidRPr="00B3621F" w:rsidRDefault="007E2C4D" w:rsidP="007E2C4D">
            <w:pPr>
              <w:spacing w:after="0" w:line="240" w:lineRule="auto"/>
              <w:ind w:firstLine="0"/>
              <w:jc w:val="center"/>
              <w:rPr>
                <w:color w:val="0070C0"/>
                <w:sz w:val="6"/>
                <w:szCs w:val="6"/>
              </w:rPr>
            </w:pPr>
          </w:p>
        </w:tc>
      </w:tr>
      <w:tr w:rsidR="007E2C4D" w:rsidRPr="004C360A" w:rsidTr="007E2C4D">
        <w:trPr>
          <w:trHeight w:val="218"/>
        </w:trPr>
        <w:tc>
          <w:tcPr>
            <w:tcW w:w="914" w:type="dxa"/>
            <w:vMerge w:val="restart"/>
            <w:tcBorders>
              <w:top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7"/>
                <w:szCs w:val="17"/>
              </w:rPr>
            </w:pPr>
            <w:r w:rsidRPr="004C360A">
              <w:rPr>
                <w:b/>
                <w:i/>
                <w:sz w:val="17"/>
                <w:szCs w:val="17"/>
              </w:rPr>
              <w:t>- D -</w:t>
            </w:r>
          </w:p>
        </w:tc>
        <w:tc>
          <w:tcPr>
            <w:tcW w:w="490" w:type="dxa"/>
            <w:vMerge w:val="restart"/>
            <w:tcBorders>
              <w:top w:val="single" w:sz="12" w:space="0" w:color="auto"/>
              <w:lef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7"/>
                <w:szCs w:val="17"/>
              </w:rPr>
            </w:pPr>
            <w:r w:rsidRPr="004C360A">
              <w:rPr>
                <w:b/>
                <w:i/>
                <w:sz w:val="17"/>
                <w:szCs w:val="17"/>
              </w:rPr>
              <w:t>K</w:t>
            </w:r>
          </w:p>
        </w:tc>
        <w:tc>
          <w:tcPr>
            <w:tcW w:w="4900" w:type="dxa"/>
            <w:gridSpan w:val="10"/>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7"/>
                <w:szCs w:val="17"/>
              </w:rPr>
            </w:pPr>
            <w:r w:rsidRPr="004C360A">
              <w:rPr>
                <w:b/>
                <w:i/>
                <w:sz w:val="17"/>
                <w:szCs w:val="17"/>
              </w:rPr>
              <w:t>Ekspertų vertinimai</w:t>
            </w:r>
          </w:p>
        </w:tc>
        <w:tc>
          <w:tcPr>
            <w:tcW w:w="648" w:type="dxa"/>
            <w:vMerge w:val="restart"/>
            <w:tcBorders>
              <w:top w:val="single" w:sz="12" w:space="0" w:color="auto"/>
              <w:lef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7"/>
                <w:szCs w:val="17"/>
              </w:rPr>
            </w:pPr>
            <w:proofErr w:type="spellStart"/>
            <w:r w:rsidRPr="004C360A">
              <w:rPr>
                <w:b/>
                <w:i/>
                <w:sz w:val="17"/>
                <w:szCs w:val="17"/>
              </w:rPr>
              <w:t>M</w:t>
            </w:r>
            <w:r>
              <w:rPr>
                <w:b/>
                <w:i/>
                <w:sz w:val="17"/>
                <w:szCs w:val="17"/>
              </w:rPr>
              <w:t>o</w:t>
            </w:r>
            <w:proofErr w:type="spellEnd"/>
          </w:p>
        </w:tc>
        <w:tc>
          <w:tcPr>
            <w:tcW w:w="1008" w:type="dxa"/>
            <w:vMerge w:val="restart"/>
            <w:tcBorders>
              <w:top w:val="single" w:sz="12" w:space="0" w:color="auto"/>
              <w:left w:val="single" w:sz="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color w:val="00B050"/>
                <w:sz w:val="17"/>
                <w:szCs w:val="17"/>
              </w:rPr>
            </w:pPr>
            <w:r w:rsidRPr="004C360A">
              <w:rPr>
                <w:b/>
                <w:i/>
                <w:color w:val="00B050"/>
                <w:sz w:val="17"/>
                <w:szCs w:val="17"/>
              </w:rPr>
              <w:t>Svertinis balas</w:t>
            </w:r>
          </w:p>
        </w:tc>
        <w:tc>
          <w:tcPr>
            <w:tcW w:w="1008" w:type="dxa"/>
            <w:vMerge w:val="restart"/>
            <w:tcBorders>
              <w:top w:val="single" w:sz="12" w:space="0" w:color="auto"/>
              <w:lef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color w:val="0070C0"/>
                <w:sz w:val="17"/>
                <w:szCs w:val="17"/>
              </w:rPr>
            </w:pPr>
            <w:r w:rsidRPr="004C360A">
              <w:rPr>
                <w:b/>
                <w:i/>
                <w:color w:val="FF0000"/>
                <w:sz w:val="17"/>
                <w:szCs w:val="17"/>
              </w:rPr>
              <w:t>Apklausos rezultatai</w:t>
            </w:r>
          </w:p>
        </w:tc>
        <w:tc>
          <w:tcPr>
            <w:tcW w:w="1325" w:type="dxa"/>
            <w:vMerge w:val="restart"/>
            <w:tcBorders>
              <w:top w:val="single" w:sz="12" w:space="0" w:color="auto"/>
              <w:lef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color w:val="8C3A8E"/>
                <w:sz w:val="17"/>
                <w:szCs w:val="17"/>
              </w:rPr>
            </w:pPr>
            <w:r w:rsidRPr="004C360A">
              <w:rPr>
                <w:b/>
                <w:i/>
                <w:color w:val="E36C0A" w:themeColor="accent6" w:themeShade="BF"/>
                <w:sz w:val="17"/>
                <w:szCs w:val="17"/>
              </w:rPr>
              <w:t>Pageidautina reikšmė</w:t>
            </w:r>
          </w:p>
        </w:tc>
      </w:tr>
      <w:tr w:rsidR="007E2C4D" w:rsidRPr="004C360A" w:rsidTr="007E2C4D">
        <w:trPr>
          <w:trHeight w:val="50"/>
        </w:trPr>
        <w:tc>
          <w:tcPr>
            <w:tcW w:w="914" w:type="dxa"/>
            <w:vMerge/>
            <w:tcBorders>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8"/>
                <w:szCs w:val="18"/>
              </w:rPr>
            </w:pPr>
          </w:p>
        </w:tc>
        <w:tc>
          <w:tcPr>
            <w:tcW w:w="490" w:type="dxa"/>
            <w:vMerge/>
            <w:tcBorders>
              <w:left w:val="single" w:sz="12" w:space="0" w:color="auto"/>
              <w:bottom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8"/>
                <w:szCs w:val="18"/>
              </w:rPr>
            </w:pP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8"/>
                <w:szCs w:val="18"/>
                <w:vertAlign w:val="subscript"/>
              </w:rPr>
            </w:pPr>
            <w:r w:rsidRPr="004C360A">
              <w:rPr>
                <w:b/>
                <w:i/>
                <w:sz w:val="18"/>
                <w:szCs w:val="18"/>
              </w:rPr>
              <w:t>m</w:t>
            </w:r>
            <w:r w:rsidRPr="004C360A">
              <w:rPr>
                <w:b/>
                <w:i/>
                <w:sz w:val="18"/>
                <w:szCs w:val="18"/>
                <w:vertAlign w:val="subscript"/>
              </w:rPr>
              <w:t>1</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8"/>
                <w:szCs w:val="18"/>
                <w:vertAlign w:val="subscript"/>
              </w:rPr>
            </w:pPr>
            <w:r w:rsidRPr="004C360A">
              <w:rPr>
                <w:b/>
                <w:i/>
                <w:sz w:val="18"/>
                <w:szCs w:val="18"/>
              </w:rPr>
              <w:t>m</w:t>
            </w:r>
            <w:r w:rsidRPr="004C360A">
              <w:rPr>
                <w:b/>
                <w:i/>
                <w:sz w:val="18"/>
                <w:szCs w:val="18"/>
                <w:vertAlign w:val="subscript"/>
              </w:rPr>
              <w:t>2</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8"/>
                <w:szCs w:val="18"/>
                <w:vertAlign w:val="subscript"/>
              </w:rPr>
            </w:pPr>
            <w:r w:rsidRPr="004C360A">
              <w:rPr>
                <w:b/>
                <w:i/>
                <w:sz w:val="18"/>
                <w:szCs w:val="18"/>
              </w:rPr>
              <w:t>m</w:t>
            </w:r>
            <w:r w:rsidRPr="004C360A">
              <w:rPr>
                <w:b/>
                <w:i/>
                <w:sz w:val="18"/>
                <w:szCs w:val="18"/>
                <w:vertAlign w:val="subscript"/>
              </w:rPr>
              <w:t>3</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8"/>
                <w:szCs w:val="18"/>
                <w:vertAlign w:val="subscript"/>
              </w:rPr>
            </w:pPr>
            <w:r w:rsidRPr="004C360A">
              <w:rPr>
                <w:b/>
                <w:i/>
                <w:sz w:val="18"/>
                <w:szCs w:val="18"/>
              </w:rPr>
              <w:t>m</w:t>
            </w:r>
            <w:r w:rsidRPr="004C360A">
              <w:rPr>
                <w:b/>
                <w:i/>
                <w:sz w:val="18"/>
                <w:szCs w:val="18"/>
                <w:vertAlign w:val="subscript"/>
              </w:rPr>
              <w:t>4</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8"/>
                <w:szCs w:val="18"/>
                <w:vertAlign w:val="subscript"/>
              </w:rPr>
            </w:pPr>
            <w:r w:rsidRPr="004C360A">
              <w:rPr>
                <w:b/>
                <w:i/>
                <w:sz w:val="18"/>
                <w:szCs w:val="18"/>
              </w:rPr>
              <w:t>m</w:t>
            </w:r>
            <w:r w:rsidRPr="004C360A">
              <w:rPr>
                <w:b/>
                <w:i/>
                <w:sz w:val="18"/>
                <w:szCs w:val="18"/>
                <w:vertAlign w:val="subscript"/>
              </w:rPr>
              <w:t>5</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8"/>
                <w:szCs w:val="18"/>
                <w:vertAlign w:val="subscript"/>
              </w:rPr>
            </w:pPr>
            <w:r w:rsidRPr="004C360A">
              <w:rPr>
                <w:b/>
                <w:i/>
                <w:sz w:val="18"/>
                <w:szCs w:val="18"/>
              </w:rPr>
              <w:t>m</w:t>
            </w:r>
            <w:r w:rsidRPr="004C360A">
              <w:rPr>
                <w:b/>
                <w:i/>
                <w:sz w:val="18"/>
                <w:szCs w:val="18"/>
                <w:vertAlign w:val="subscript"/>
              </w:rPr>
              <w:t>6</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8"/>
                <w:szCs w:val="18"/>
                <w:vertAlign w:val="subscript"/>
              </w:rPr>
            </w:pPr>
            <w:r w:rsidRPr="004C360A">
              <w:rPr>
                <w:b/>
                <w:i/>
                <w:sz w:val="18"/>
                <w:szCs w:val="18"/>
              </w:rPr>
              <w:t>m</w:t>
            </w:r>
            <w:r w:rsidRPr="004C360A">
              <w:rPr>
                <w:b/>
                <w:i/>
                <w:sz w:val="18"/>
                <w:szCs w:val="18"/>
                <w:vertAlign w:val="subscript"/>
              </w:rPr>
              <w:t>7</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8"/>
                <w:szCs w:val="18"/>
                <w:vertAlign w:val="subscript"/>
              </w:rPr>
            </w:pPr>
            <w:r w:rsidRPr="004C360A">
              <w:rPr>
                <w:b/>
                <w:i/>
                <w:sz w:val="18"/>
                <w:szCs w:val="18"/>
              </w:rPr>
              <w:t>m</w:t>
            </w:r>
            <w:r w:rsidRPr="004C360A">
              <w:rPr>
                <w:b/>
                <w:i/>
                <w:sz w:val="18"/>
                <w:szCs w:val="18"/>
                <w:vertAlign w:val="subscript"/>
              </w:rPr>
              <w:t>8</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8"/>
                <w:szCs w:val="18"/>
                <w:vertAlign w:val="subscript"/>
              </w:rPr>
            </w:pPr>
            <w:r w:rsidRPr="004C360A">
              <w:rPr>
                <w:b/>
                <w:i/>
                <w:sz w:val="18"/>
                <w:szCs w:val="18"/>
              </w:rPr>
              <w:t>m</w:t>
            </w:r>
            <w:r w:rsidRPr="004C360A">
              <w:rPr>
                <w:b/>
                <w:i/>
                <w:sz w:val="18"/>
                <w:szCs w:val="18"/>
                <w:vertAlign w:val="subscript"/>
              </w:rPr>
              <w:t>9</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8"/>
                <w:szCs w:val="18"/>
                <w:vertAlign w:val="subscript"/>
              </w:rPr>
            </w:pPr>
            <w:r w:rsidRPr="004C360A">
              <w:rPr>
                <w:b/>
                <w:i/>
                <w:sz w:val="18"/>
                <w:szCs w:val="18"/>
              </w:rPr>
              <w:t>m</w:t>
            </w:r>
            <w:r w:rsidRPr="004C360A">
              <w:rPr>
                <w:b/>
                <w:i/>
                <w:sz w:val="18"/>
                <w:szCs w:val="18"/>
                <w:vertAlign w:val="subscript"/>
              </w:rPr>
              <w:t>10</w:t>
            </w:r>
          </w:p>
        </w:tc>
        <w:tc>
          <w:tcPr>
            <w:tcW w:w="648" w:type="dxa"/>
            <w:vMerge/>
            <w:tcBorders>
              <w:left w:val="single" w:sz="12" w:space="0" w:color="auto"/>
              <w:bottom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8"/>
                <w:szCs w:val="18"/>
              </w:rPr>
            </w:pPr>
          </w:p>
        </w:tc>
        <w:tc>
          <w:tcPr>
            <w:tcW w:w="1008" w:type="dxa"/>
            <w:vMerge/>
            <w:tcBorders>
              <w:left w:val="single" w:sz="2" w:space="0" w:color="auto"/>
              <w:bottom w:val="single" w:sz="12" w:space="0" w:color="auto"/>
              <w:right w:val="single" w:sz="12" w:space="0" w:color="auto"/>
            </w:tcBorders>
            <w:shd w:val="clear" w:color="auto" w:fill="D9D9D9" w:themeFill="background1" w:themeFillShade="D9"/>
          </w:tcPr>
          <w:p w:rsidR="007E2C4D" w:rsidRPr="004C360A" w:rsidRDefault="007E2C4D" w:rsidP="007E2C4D">
            <w:pPr>
              <w:spacing w:after="0" w:line="240" w:lineRule="auto"/>
              <w:ind w:firstLine="0"/>
              <w:jc w:val="center"/>
              <w:rPr>
                <w:b/>
                <w:i/>
                <w:color w:val="0070C0"/>
                <w:sz w:val="18"/>
                <w:szCs w:val="18"/>
              </w:rPr>
            </w:pPr>
          </w:p>
        </w:tc>
        <w:tc>
          <w:tcPr>
            <w:tcW w:w="1008" w:type="dxa"/>
            <w:vMerge/>
            <w:tcBorders>
              <w:left w:val="single" w:sz="12" w:space="0" w:color="auto"/>
              <w:bottom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color w:val="0070C0"/>
                <w:sz w:val="18"/>
                <w:szCs w:val="18"/>
              </w:rPr>
            </w:pPr>
          </w:p>
        </w:tc>
        <w:tc>
          <w:tcPr>
            <w:tcW w:w="1325" w:type="dxa"/>
            <w:vMerge/>
            <w:tcBorders>
              <w:left w:val="single" w:sz="12" w:space="0" w:color="auto"/>
              <w:bottom w:val="single" w:sz="12" w:space="0" w:color="auto"/>
            </w:tcBorders>
            <w:shd w:val="clear" w:color="auto" w:fill="D9D9D9" w:themeFill="background1" w:themeFillShade="D9"/>
          </w:tcPr>
          <w:p w:rsidR="007E2C4D" w:rsidRPr="004C360A" w:rsidRDefault="007E2C4D" w:rsidP="007E2C4D">
            <w:pPr>
              <w:spacing w:after="0" w:line="240" w:lineRule="auto"/>
              <w:ind w:firstLine="0"/>
              <w:jc w:val="center"/>
              <w:rPr>
                <w:b/>
                <w:i/>
                <w:color w:val="0070C0"/>
                <w:sz w:val="18"/>
                <w:szCs w:val="18"/>
              </w:rPr>
            </w:pPr>
          </w:p>
        </w:tc>
      </w:tr>
      <w:tr w:rsidR="007E2C4D" w:rsidRPr="004C360A" w:rsidTr="007E2C4D">
        <w:tc>
          <w:tcPr>
            <w:tcW w:w="914" w:type="dxa"/>
            <w:tcBorders>
              <w:top w:val="single" w:sz="1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b/>
                <w:i/>
                <w:sz w:val="18"/>
                <w:szCs w:val="18"/>
              </w:rPr>
            </w:pPr>
            <w:r w:rsidRPr="004C360A">
              <w:rPr>
                <w:b/>
                <w:i/>
                <w:sz w:val="18"/>
                <w:szCs w:val="18"/>
              </w:rPr>
              <w:t>d</w:t>
            </w:r>
            <w:r w:rsidRPr="004C360A">
              <w:rPr>
                <w:b/>
                <w:i/>
                <w:sz w:val="18"/>
                <w:szCs w:val="18"/>
                <w:vertAlign w:val="subscript"/>
              </w:rPr>
              <w:t>1</w:t>
            </w:r>
          </w:p>
        </w:tc>
        <w:tc>
          <w:tcPr>
            <w:tcW w:w="490" w:type="dxa"/>
            <w:tcBorders>
              <w:top w:val="single" w:sz="1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2,0</w:t>
            </w:r>
          </w:p>
        </w:tc>
        <w:tc>
          <w:tcPr>
            <w:tcW w:w="490" w:type="dxa"/>
            <w:tcBorders>
              <w:top w:val="single" w:sz="12" w:space="0" w:color="auto"/>
              <w:left w:val="single" w:sz="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2</w:t>
            </w:r>
          </w:p>
        </w:tc>
        <w:tc>
          <w:tcPr>
            <w:tcW w:w="490" w:type="dxa"/>
            <w:tcBorders>
              <w:top w:val="single" w:sz="12" w:space="0" w:color="auto"/>
              <w:left w:val="single" w:sz="1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1</w:t>
            </w:r>
          </w:p>
        </w:tc>
        <w:tc>
          <w:tcPr>
            <w:tcW w:w="490" w:type="dxa"/>
            <w:tcBorders>
              <w:top w:val="single" w:sz="12" w:space="0" w:color="auto"/>
              <w:left w:val="single" w:sz="1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1</w:t>
            </w:r>
          </w:p>
        </w:tc>
        <w:tc>
          <w:tcPr>
            <w:tcW w:w="490" w:type="dxa"/>
            <w:tcBorders>
              <w:top w:val="single" w:sz="12" w:space="0" w:color="auto"/>
              <w:left w:val="single" w:sz="1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3</w:t>
            </w:r>
          </w:p>
        </w:tc>
        <w:tc>
          <w:tcPr>
            <w:tcW w:w="490" w:type="dxa"/>
            <w:tcBorders>
              <w:top w:val="single" w:sz="12" w:space="0" w:color="auto"/>
              <w:left w:val="single" w:sz="1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2</w:t>
            </w:r>
          </w:p>
        </w:tc>
        <w:tc>
          <w:tcPr>
            <w:tcW w:w="490" w:type="dxa"/>
            <w:tcBorders>
              <w:top w:val="single" w:sz="12" w:space="0" w:color="auto"/>
              <w:left w:val="single" w:sz="1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3</w:t>
            </w:r>
          </w:p>
        </w:tc>
        <w:tc>
          <w:tcPr>
            <w:tcW w:w="490" w:type="dxa"/>
            <w:tcBorders>
              <w:top w:val="single" w:sz="12" w:space="0" w:color="auto"/>
              <w:left w:val="single" w:sz="1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1</w:t>
            </w:r>
          </w:p>
        </w:tc>
        <w:tc>
          <w:tcPr>
            <w:tcW w:w="490" w:type="dxa"/>
            <w:tcBorders>
              <w:top w:val="single" w:sz="12" w:space="0" w:color="auto"/>
              <w:left w:val="single" w:sz="1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2</w:t>
            </w:r>
          </w:p>
        </w:tc>
        <w:tc>
          <w:tcPr>
            <w:tcW w:w="490" w:type="dxa"/>
            <w:tcBorders>
              <w:top w:val="single" w:sz="12" w:space="0" w:color="auto"/>
              <w:left w:val="single" w:sz="1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1</w:t>
            </w:r>
          </w:p>
        </w:tc>
        <w:tc>
          <w:tcPr>
            <w:tcW w:w="490" w:type="dxa"/>
            <w:tcBorders>
              <w:top w:val="single" w:sz="12" w:space="0" w:color="auto"/>
              <w:left w:val="single" w:sz="1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3</w:t>
            </w:r>
          </w:p>
        </w:tc>
        <w:tc>
          <w:tcPr>
            <w:tcW w:w="648" w:type="dxa"/>
            <w:tcBorders>
              <w:top w:val="single" w:sz="12" w:space="0" w:color="auto"/>
              <w:left w:val="single" w:sz="12" w:space="0" w:color="auto"/>
              <w:bottom w:val="single" w:sz="2" w:space="0" w:color="auto"/>
            </w:tcBorders>
            <w:shd w:val="clear" w:color="auto" w:fill="D9D9D9" w:themeFill="background1" w:themeFillShade="D9"/>
          </w:tcPr>
          <w:p w:rsidR="007E2C4D" w:rsidRPr="004C360A" w:rsidRDefault="007E2C4D" w:rsidP="007E2C4D">
            <w:pPr>
              <w:spacing w:after="0" w:line="240" w:lineRule="auto"/>
              <w:ind w:firstLine="0"/>
              <w:jc w:val="center"/>
              <w:rPr>
                <w:b/>
                <w:sz w:val="18"/>
                <w:szCs w:val="18"/>
              </w:rPr>
            </w:pPr>
            <w:r w:rsidRPr="004C360A">
              <w:rPr>
                <w:b/>
                <w:sz w:val="18"/>
                <w:szCs w:val="18"/>
              </w:rPr>
              <w:t>1</w:t>
            </w:r>
          </w:p>
        </w:tc>
        <w:tc>
          <w:tcPr>
            <w:tcW w:w="1008" w:type="dxa"/>
            <w:tcBorders>
              <w:top w:val="single" w:sz="12" w:space="0" w:color="auto"/>
              <w:left w:val="single" w:sz="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b/>
                <w:sz w:val="18"/>
                <w:szCs w:val="18"/>
              </w:rPr>
            </w:pPr>
            <w:r w:rsidRPr="004C360A">
              <w:rPr>
                <w:b/>
                <w:sz w:val="18"/>
                <w:szCs w:val="18"/>
              </w:rPr>
              <w:t>2,0</w:t>
            </w:r>
          </w:p>
        </w:tc>
        <w:tc>
          <w:tcPr>
            <w:tcW w:w="1008" w:type="dxa"/>
            <w:tcBorders>
              <w:top w:val="single" w:sz="12" w:space="0" w:color="auto"/>
              <w:left w:val="single" w:sz="12" w:space="0" w:color="auto"/>
              <w:bottom w:val="single" w:sz="2" w:space="0" w:color="auto"/>
            </w:tcBorders>
            <w:shd w:val="clear" w:color="auto" w:fill="FBD4B4" w:themeFill="accent6" w:themeFillTint="66"/>
          </w:tcPr>
          <w:p w:rsidR="007E2C4D" w:rsidRPr="00EA5907" w:rsidRDefault="007E2C4D" w:rsidP="007E2C4D">
            <w:pPr>
              <w:spacing w:after="0" w:line="240" w:lineRule="auto"/>
              <w:ind w:firstLine="0"/>
              <w:jc w:val="center"/>
              <w:rPr>
                <w:b/>
                <w:sz w:val="18"/>
                <w:szCs w:val="18"/>
              </w:rPr>
            </w:pPr>
            <w:r w:rsidRPr="00EA5907">
              <w:rPr>
                <w:b/>
                <w:sz w:val="18"/>
                <w:szCs w:val="18"/>
              </w:rPr>
              <w:t>6,0</w:t>
            </w:r>
          </w:p>
        </w:tc>
        <w:tc>
          <w:tcPr>
            <w:tcW w:w="1325" w:type="dxa"/>
            <w:tcBorders>
              <w:top w:val="single" w:sz="12" w:space="0" w:color="auto"/>
              <w:left w:val="single" w:sz="12" w:space="0" w:color="auto"/>
              <w:bottom w:val="single" w:sz="2" w:space="0" w:color="auto"/>
            </w:tcBorders>
            <w:shd w:val="clear" w:color="auto" w:fill="FBD4B4" w:themeFill="accent6" w:themeFillTint="66"/>
          </w:tcPr>
          <w:p w:rsidR="007E2C4D" w:rsidRPr="004C360A" w:rsidRDefault="007E2C4D" w:rsidP="007E2C4D">
            <w:pPr>
              <w:spacing w:after="0" w:line="240" w:lineRule="auto"/>
              <w:ind w:firstLine="0"/>
              <w:jc w:val="center"/>
              <w:rPr>
                <w:b/>
                <w:sz w:val="18"/>
                <w:szCs w:val="18"/>
              </w:rPr>
            </w:pPr>
            <w:r w:rsidRPr="004C360A">
              <w:rPr>
                <w:b/>
                <w:sz w:val="18"/>
                <w:szCs w:val="18"/>
              </w:rPr>
              <w:t>6,0</w:t>
            </w:r>
          </w:p>
        </w:tc>
      </w:tr>
      <w:tr w:rsidR="007E2C4D" w:rsidRPr="004C360A" w:rsidTr="007E2C4D">
        <w:tc>
          <w:tcPr>
            <w:tcW w:w="914" w:type="dxa"/>
            <w:tcBorders>
              <w:top w:val="single" w:sz="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b/>
                <w:i/>
                <w:sz w:val="18"/>
                <w:szCs w:val="18"/>
              </w:rPr>
            </w:pPr>
            <w:r w:rsidRPr="004C360A">
              <w:rPr>
                <w:b/>
                <w:i/>
                <w:sz w:val="18"/>
                <w:szCs w:val="18"/>
              </w:rPr>
              <w:t>d</w:t>
            </w:r>
            <w:r w:rsidRPr="004C360A">
              <w:rPr>
                <w:b/>
                <w:i/>
                <w:sz w:val="18"/>
                <w:szCs w:val="18"/>
                <w:vertAlign w:val="subscript"/>
              </w:rPr>
              <w:t>2</w:t>
            </w:r>
          </w:p>
        </w:tc>
        <w:tc>
          <w:tcPr>
            <w:tcW w:w="490" w:type="dxa"/>
            <w:tcBorders>
              <w:top w:val="single" w:sz="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2,0</w:t>
            </w:r>
          </w:p>
        </w:tc>
        <w:tc>
          <w:tcPr>
            <w:tcW w:w="490" w:type="dxa"/>
            <w:tcBorders>
              <w:top w:val="single" w:sz="2" w:space="0" w:color="auto"/>
              <w:left w:val="single" w:sz="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1</w:t>
            </w:r>
          </w:p>
        </w:tc>
        <w:tc>
          <w:tcPr>
            <w:tcW w:w="490"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1</w:t>
            </w:r>
          </w:p>
        </w:tc>
        <w:tc>
          <w:tcPr>
            <w:tcW w:w="490"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3</w:t>
            </w:r>
          </w:p>
        </w:tc>
        <w:tc>
          <w:tcPr>
            <w:tcW w:w="490"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1</w:t>
            </w:r>
          </w:p>
        </w:tc>
        <w:tc>
          <w:tcPr>
            <w:tcW w:w="490"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1</w:t>
            </w:r>
          </w:p>
        </w:tc>
        <w:tc>
          <w:tcPr>
            <w:tcW w:w="490"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2</w:t>
            </w:r>
          </w:p>
        </w:tc>
        <w:tc>
          <w:tcPr>
            <w:tcW w:w="490" w:type="dxa"/>
            <w:tcBorders>
              <w:top w:val="single" w:sz="2" w:space="0" w:color="auto"/>
              <w:left w:val="single" w:sz="1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2</w:t>
            </w:r>
          </w:p>
        </w:tc>
        <w:tc>
          <w:tcPr>
            <w:tcW w:w="648" w:type="dxa"/>
            <w:tcBorders>
              <w:top w:val="single" w:sz="2" w:space="0" w:color="auto"/>
              <w:left w:val="single" w:sz="12" w:space="0" w:color="auto"/>
              <w:bottom w:val="single" w:sz="2" w:space="0" w:color="auto"/>
            </w:tcBorders>
            <w:shd w:val="clear" w:color="auto" w:fill="D9D9D9" w:themeFill="background1" w:themeFillShade="D9"/>
          </w:tcPr>
          <w:p w:rsidR="007E2C4D" w:rsidRPr="004C360A" w:rsidRDefault="007E2C4D" w:rsidP="007E2C4D">
            <w:pPr>
              <w:spacing w:after="0" w:line="240" w:lineRule="auto"/>
              <w:ind w:firstLine="0"/>
              <w:jc w:val="center"/>
              <w:rPr>
                <w:b/>
                <w:sz w:val="18"/>
                <w:szCs w:val="18"/>
              </w:rPr>
            </w:pPr>
            <w:r w:rsidRPr="004C360A">
              <w:rPr>
                <w:b/>
                <w:sz w:val="18"/>
                <w:szCs w:val="18"/>
              </w:rPr>
              <w:t>2</w:t>
            </w:r>
          </w:p>
        </w:tc>
        <w:tc>
          <w:tcPr>
            <w:tcW w:w="1008" w:type="dxa"/>
            <w:tcBorders>
              <w:top w:val="single" w:sz="2" w:space="0" w:color="auto"/>
              <w:left w:val="single" w:sz="2" w:space="0" w:color="auto"/>
              <w:bottom w:val="single" w:sz="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b/>
                <w:sz w:val="18"/>
                <w:szCs w:val="18"/>
              </w:rPr>
            </w:pPr>
            <w:r w:rsidRPr="004C360A">
              <w:rPr>
                <w:b/>
                <w:sz w:val="18"/>
                <w:szCs w:val="18"/>
              </w:rPr>
              <w:t>4,0</w:t>
            </w:r>
          </w:p>
        </w:tc>
        <w:tc>
          <w:tcPr>
            <w:tcW w:w="1008" w:type="dxa"/>
            <w:tcBorders>
              <w:top w:val="single" w:sz="2" w:space="0" w:color="auto"/>
              <w:left w:val="single" w:sz="12" w:space="0" w:color="auto"/>
              <w:bottom w:val="single" w:sz="2" w:space="0" w:color="auto"/>
            </w:tcBorders>
            <w:shd w:val="clear" w:color="auto" w:fill="FBD4B4" w:themeFill="accent6" w:themeFillTint="66"/>
          </w:tcPr>
          <w:p w:rsidR="007E2C4D" w:rsidRPr="00EA5907" w:rsidRDefault="007E2C4D" w:rsidP="007E2C4D">
            <w:pPr>
              <w:spacing w:after="0" w:line="240" w:lineRule="auto"/>
              <w:ind w:firstLine="0"/>
              <w:jc w:val="center"/>
              <w:rPr>
                <w:b/>
                <w:sz w:val="18"/>
                <w:szCs w:val="18"/>
              </w:rPr>
            </w:pPr>
            <w:r w:rsidRPr="00EA5907">
              <w:rPr>
                <w:b/>
                <w:sz w:val="18"/>
                <w:szCs w:val="18"/>
              </w:rPr>
              <w:t>6,0</w:t>
            </w:r>
          </w:p>
        </w:tc>
        <w:tc>
          <w:tcPr>
            <w:tcW w:w="1325" w:type="dxa"/>
            <w:tcBorders>
              <w:top w:val="single" w:sz="2" w:space="0" w:color="auto"/>
              <w:left w:val="single" w:sz="12" w:space="0" w:color="auto"/>
              <w:bottom w:val="single" w:sz="2" w:space="0" w:color="auto"/>
            </w:tcBorders>
            <w:shd w:val="clear" w:color="auto" w:fill="FBD4B4" w:themeFill="accent6" w:themeFillTint="66"/>
          </w:tcPr>
          <w:p w:rsidR="007E2C4D" w:rsidRPr="004C360A" w:rsidRDefault="007E2C4D" w:rsidP="007E2C4D">
            <w:pPr>
              <w:spacing w:after="0" w:line="240" w:lineRule="auto"/>
              <w:ind w:firstLine="0"/>
              <w:jc w:val="center"/>
              <w:rPr>
                <w:b/>
                <w:sz w:val="18"/>
                <w:szCs w:val="18"/>
              </w:rPr>
            </w:pPr>
            <w:r w:rsidRPr="004C360A">
              <w:rPr>
                <w:b/>
                <w:sz w:val="18"/>
                <w:szCs w:val="18"/>
              </w:rPr>
              <w:t>8,0</w:t>
            </w:r>
          </w:p>
        </w:tc>
      </w:tr>
      <w:tr w:rsidR="007E2C4D" w:rsidRPr="004C360A" w:rsidTr="007E2C4D">
        <w:tc>
          <w:tcPr>
            <w:tcW w:w="914" w:type="dxa"/>
            <w:tcBorders>
              <w:top w:val="single" w:sz="2" w:space="0" w:color="auto"/>
              <w:bottom w:val="single" w:sz="1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b/>
                <w:i/>
                <w:sz w:val="18"/>
                <w:szCs w:val="18"/>
              </w:rPr>
            </w:pPr>
            <w:r w:rsidRPr="004C360A">
              <w:rPr>
                <w:b/>
                <w:i/>
                <w:sz w:val="18"/>
                <w:szCs w:val="18"/>
              </w:rPr>
              <w:t>d</w:t>
            </w:r>
            <w:r w:rsidRPr="004C360A">
              <w:rPr>
                <w:b/>
                <w:i/>
                <w:sz w:val="18"/>
                <w:szCs w:val="18"/>
                <w:vertAlign w:val="subscript"/>
              </w:rPr>
              <w:t>3</w:t>
            </w:r>
          </w:p>
        </w:tc>
        <w:tc>
          <w:tcPr>
            <w:tcW w:w="490" w:type="dxa"/>
            <w:tcBorders>
              <w:top w:val="single" w:sz="2" w:space="0" w:color="auto"/>
              <w:left w:val="single" w:sz="12" w:space="0" w:color="auto"/>
              <w:bottom w:val="single" w:sz="2" w:space="0" w:color="auto"/>
            </w:tcBorders>
            <w:shd w:val="clear" w:color="auto" w:fill="D9D9D9" w:themeFill="background1" w:themeFillShade="D9"/>
          </w:tcPr>
          <w:p w:rsidR="007E2C4D" w:rsidRPr="00750074" w:rsidRDefault="007E2C4D" w:rsidP="007E2C4D">
            <w:pPr>
              <w:spacing w:after="0" w:line="240" w:lineRule="auto"/>
              <w:ind w:firstLine="0"/>
              <w:jc w:val="center"/>
              <w:rPr>
                <w:b/>
                <w:sz w:val="18"/>
                <w:szCs w:val="18"/>
              </w:rPr>
            </w:pPr>
            <w:r w:rsidRPr="00750074">
              <w:rPr>
                <w:b/>
                <w:sz w:val="18"/>
                <w:szCs w:val="18"/>
              </w:rPr>
              <w:t>1,5</w:t>
            </w:r>
          </w:p>
        </w:tc>
        <w:tc>
          <w:tcPr>
            <w:tcW w:w="490" w:type="dxa"/>
            <w:tcBorders>
              <w:top w:val="single" w:sz="2" w:space="0" w:color="auto"/>
              <w:left w:val="single" w:sz="2" w:space="0" w:color="auto"/>
              <w:bottom w:val="single" w:sz="1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1</w:t>
            </w:r>
          </w:p>
        </w:tc>
        <w:tc>
          <w:tcPr>
            <w:tcW w:w="490" w:type="dxa"/>
            <w:tcBorders>
              <w:top w:val="single" w:sz="2" w:space="0" w:color="auto"/>
              <w:left w:val="single" w:sz="12" w:space="0" w:color="auto"/>
              <w:bottom w:val="single" w:sz="1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2</w:t>
            </w:r>
          </w:p>
        </w:tc>
        <w:tc>
          <w:tcPr>
            <w:tcW w:w="490" w:type="dxa"/>
            <w:tcBorders>
              <w:top w:val="single" w:sz="2" w:space="0" w:color="auto"/>
              <w:left w:val="single" w:sz="12" w:space="0" w:color="auto"/>
              <w:bottom w:val="single" w:sz="1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1</w:t>
            </w:r>
          </w:p>
        </w:tc>
        <w:tc>
          <w:tcPr>
            <w:tcW w:w="490" w:type="dxa"/>
            <w:tcBorders>
              <w:top w:val="single" w:sz="2" w:space="0" w:color="auto"/>
              <w:left w:val="single" w:sz="12" w:space="0" w:color="auto"/>
              <w:bottom w:val="single" w:sz="1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3</w:t>
            </w:r>
          </w:p>
        </w:tc>
        <w:tc>
          <w:tcPr>
            <w:tcW w:w="490" w:type="dxa"/>
            <w:tcBorders>
              <w:top w:val="single" w:sz="2" w:space="0" w:color="auto"/>
              <w:left w:val="single" w:sz="12" w:space="0" w:color="auto"/>
              <w:bottom w:val="single" w:sz="1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3</w:t>
            </w:r>
          </w:p>
        </w:tc>
        <w:tc>
          <w:tcPr>
            <w:tcW w:w="490" w:type="dxa"/>
            <w:tcBorders>
              <w:top w:val="single" w:sz="2" w:space="0" w:color="auto"/>
              <w:left w:val="single" w:sz="12" w:space="0" w:color="auto"/>
              <w:bottom w:val="single" w:sz="1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2</w:t>
            </w:r>
          </w:p>
        </w:tc>
        <w:tc>
          <w:tcPr>
            <w:tcW w:w="490" w:type="dxa"/>
            <w:tcBorders>
              <w:top w:val="single" w:sz="2" w:space="0" w:color="auto"/>
              <w:left w:val="single" w:sz="12" w:space="0" w:color="auto"/>
              <w:bottom w:val="single" w:sz="1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1</w:t>
            </w:r>
          </w:p>
        </w:tc>
        <w:tc>
          <w:tcPr>
            <w:tcW w:w="490" w:type="dxa"/>
            <w:tcBorders>
              <w:top w:val="single" w:sz="2" w:space="0" w:color="auto"/>
              <w:left w:val="single" w:sz="12" w:space="0" w:color="auto"/>
              <w:bottom w:val="single" w:sz="1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2</w:t>
            </w:r>
          </w:p>
        </w:tc>
        <w:tc>
          <w:tcPr>
            <w:tcW w:w="490" w:type="dxa"/>
            <w:tcBorders>
              <w:top w:val="single" w:sz="2" w:space="0" w:color="auto"/>
              <w:left w:val="single" w:sz="12" w:space="0" w:color="auto"/>
              <w:bottom w:val="single" w:sz="1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3</w:t>
            </w:r>
          </w:p>
        </w:tc>
        <w:tc>
          <w:tcPr>
            <w:tcW w:w="490" w:type="dxa"/>
            <w:tcBorders>
              <w:top w:val="single" w:sz="2" w:space="0" w:color="auto"/>
              <w:left w:val="single" w:sz="12" w:space="0" w:color="auto"/>
              <w:bottom w:val="single" w:sz="1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sz w:val="18"/>
                <w:szCs w:val="18"/>
              </w:rPr>
            </w:pPr>
            <w:r w:rsidRPr="004C360A">
              <w:rPr>
                <w:sz w:val="18"/>
                <w:szCs w:val="18"/>
              </w:rPr>
              <w:t>2</w:t>
            </w:r>
          </w:p>
        </w:tc>
        <w:tc>
          <w:tcPr>
            <w:tcW w:w="648" w:type="dxa"/>
            <w:tcBorders>
              <w:top w:val="single" w:sz="2" w:space="0" w:color="auto"/>
              <w:left w:val="single" w:sz="12" w:space="0" w:color="auto"/>
              <w:bottom w:val="single" w:sz="2" w:space="0" w:color="auto"/>
            </w:tcBorders>
            <w:shd w:val="clear" w:color="auto" w:fill="D9D9D9" w:themeFill="background1" w:themeFillShade="D9"/>
          </w:tcPr>
          <w:p w:rsidR="007E2C4D" w:rsidRPr="004C360A" w:rsidRDefault="007E2C4D" w:rsidP="007E2C4D">
            <w:pPr>
              <w:spacing w:after="0" w:line="240" w:lineRule="auto"/>
              <w:ind w:firstLine="0"/>
              <w:jc w:val="center"/>
              <w:rPr>
                <w:b/>
                <w:sz w:val="18"/>
                <w:szCs w:val="18"/>
              </w:rPr>
            </w:pPr>
            <w:r w:rsidRPr="004C360A">
              <w:rPr>
                <w:b/>
                <w:sz w:val="18"/>
                <w:szCs w:val="18"/>
              </w:rPr>
              <w:t>2</w:t>
            </w:r>
          </w:p>
        </w:tc>
        <w:tc>
          <w:tcPr>
            <w:tcW w:w="1008" w:type="dxa"/>
            <w:tcBorders>
              <w:top w:val="single" w:sz="2" w:space="0" w:color="auto"/>
              <w:left w:val="single" w:sz="2" w:space="0" w:color="auto"/>
              <w:bottom w:val="single" w:sz="12" w:space="0" w:color="auto"/>
              <w:right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b/>
                <w:sz w:val="18"/>
                <w:szCs w:val="18"/>
              </w:rPr>
            </w:pPr>
            <w:r w:rsidRPr="004C360A">
              <w:rPr>
                <w:b/>
                <w:sz w:val="18"/>
                <w:szCs w:val="18"/>
              </w:rPr>
              <w:t>3,0</w:t>
            </w:r>
          </w:p>
        </w:tc>
        <w:tc>
          <w:tcPr>
            <w:tcW w:w="1008" w:type="dxa"/>
            <w:tcBorders>
              <w:top w:val="single" w:sz="2" w:space="0" w:color="auto"/>
              <w:left w:val="single" w:sz="12" w:space="0" w:color="auto"/>
              <w:bottom w:val="single" w:sz="12" w:space="0" w:color="auto"/>
            </w:tcBorders>
            <w:shd w:val="clear" w:color="auto" w:fill="FBD4B4" w:themeFill="accent6" w:themeFillTint="66"/>
          </w:tcPr>
          <w:p w:rsidR="007E2C4D" w:rsidRPr="00EA5907" w:rsidRDefault="007E2C4D" w:rsidP="007E2C4D">
            <w:pPr>
              <w:spacing w:after="0" w:line="240" w:lineRule="auto"/>
              <w:ind w:firstLine="0"/>
              <w:jc w:val="center"/>
              <w:rPr>
                <w:b/>
                <w:sz w:val="18"/>
                <w:szCs w:val="18"/>
              </w:rPr>
            </w:pPr>
            <w:r w:rsidRPr="00EA5907">
              <w:rPr>
                <w:b/>
                <w:sz w:val="18"/>
                <w:szCs w:val="18"/>
              </w:rPr>
              <w:t>3,0</w:t>
            </w:r>
          </w:p>
        </w:tc>
        <w:tc>
          <w:tcPr>
            <w:tcW w:w="1325" w:type="dxa"/>
            <w:tcBorders>
              <w:top w:val="single" w:sz="2" w:space="0" w:color="auto"/>
              <w:left w:val="single" w:sz="12" w:space="0" w:color="auto"/>
              <w:bottom w:val="single" w:sz="12" w:space="0" w:color="auto"/>
            </w:tcBorders>
            <w:shd w:val="clear" w:color="auto" w:fill="FBD4B4" w:themeFill="accent6" w:themeFillTint="66"/>
          </w:tcPr>
          <w:p w:rsidR="007E2C4D" w:rsidRPr="004C360A" w:rsidRDefault="007E2C4D" w:rsidP="007E2C4D">
            <w:pPr>
              <w:spacing w:after="0" w:line="240" w:lineRule="auto"/>
              <w:ind w:firstLine="0"/>
              <w:jc w:val="center"/>
              <w:rPr>
                <w:b/>
                <w:sz w:val="18"/>
                <w:szCs w:val="18"/>
              </w:rPr>
            </w:pPr>
            <w:r w:rsidRPr="004C360A">
              <w:rPr>
                <w:b/>
                <w:sz w:val="18"/>
                <w:szCs w:val="18"/>
              </w:rPr>
              <w:t>6,0</w:t>
            </w:r>
          </w:p>
        </w:tc>
      </w:tr>
      <w:tr w:rsidR="007E2C4D" w:rsidRPr="004C360A" w:rsidTr="007E2C4D">
        <w:trPr>
          <w:trHeight w:val="50"/>
        </w:trPr>
        <w:tc>
          <w:tcPr>
            <w:tcW w:w="914" w:type="dxa"/>
            <w:tcBorders>
              <w:top w:val="single" w:sz="12" w:space="0" w:color="auto"/>
              <w:bottom w:val="single" w:sz="12" w:space="0" w:color="auto"/>
              <w:right w:val="single" w:sz="12" w:space="0" w:color="auto"/>
            </w:tcBorders>
            <w:shd w:val="clear" w:color="auto" w:fill="D9D9D9" w:themeFill="background1" w:themeFillShade="D9"/>
          </w:tcPr>
          <w:p w:rsidR="007E2C4D" w:rsidRPr="004C360A" w:rsidRDefault="007E2C4D" w:rsidP="007E2C4D">
            <w:pPr>
              <w:spacing w:after="0" w:line="240" w:lineRule="auto"/>
              <w:ind w:firstLine="0"/>
              <w:jc w:val="right"/>
              <w:rPr>
                <w:b/>
                <w:i/>
                <w:sz w:val="17"/>
                <w:szCs w:val="17"/>
              </w:rPr>
            </w:pPr>
            <w:r w:rsidRPr="004C360A">
              <w:rPr>
                <w:b/>
                <w:i/>
                <w:sz w:val="17"/>
                <w:szCs w:val="17"/>
              </w:rPr>
              <w:t>SUMA:</w:t>
            </w:r>
          </w:p>
        </w:tc>
        <w:tc>
          <w:tcPr>
            <w:tcW w:w="490" w:type="dxa"/>
            <w:tcBorders>
              <w:top w:val="single" w:sz="12" w:space="0" w:color="auto"/>
              <w:left w:val="single" w:sz="12" w:space="0" w:color="auto"/>
              <w:bottom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7"/>
                <w:szCs w:val="17"/>
              </w:rPr>
            </w:pPr>
            <w:r w:rsidRPr="004C360A">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7"/>
                <w:szCs w:val="17"/>
              </w:rPr>
            </w:pPr>
            <w:r w:rsidRPr="004C360A">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7"/>
                <w:szCs w:val="17"/>
              </w:rPr>
            </w:pPr>
            <w:r w:rsidRPr="004C360A">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7"/>
                <w:szCs w:val="17"/>
              </w:rPr>
            </w:pPr>
            <w:r w:rsidRPr="004C360A">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7"/>
                <w:szCs w:val="17"/>
              </w:rPr>
            </w:pPr>
            <w:r w:rsidRPr="004C360A">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7E2C4D" w:rsidRPr="004C360A" w:rsidRDefault="007E2C4D" w:rsidP="007E2C4D">
            <w:pPr>
              <w:spacing w:after="0" w:line="240" w:lineRule="auto"/>
              <w:ind w:firstLine="0"/>
              <w:jc w:val="center"/>
              <w:rPr>
                <w:b/>
                <w:sz w:val="17"/>
                <w:szCs w:val="17"/>
              </w:rPr>
            </w:pPr>
            <w:r w:rsidRPr="004C360A">
              <w:rPr>
                <w:b/>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7"/>
                <w:szCs w:val="17"/>
              </w:rPr>
            </w:pPr>
            <w:r w:rsidRPr="004C360A">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7"/>
                <w:szCs w:val="17"/>
              </w:rPr>
            </w:pPr>
            <w:r w:rsidRPr="004C360A">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7"/>
                <w:szCs w:val="17"/>
              </w:rPr>
            </w:pPr>
            <w:r w:rsidRPr="004C360A">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7"/>
                <w:szCs w:val="17"/>
              </w:rPr>
            </w:pPr>
            <w:r w:rsidRPr="004C360A">
              <w:rPr>
                <w:b/>
                <w:i/>
                <w:sz w:val="17"/>
                <w:szCs w:val="17"/>
              </w:rPr>
              <w:t>-</w:t>
            </w:r>
          </w:p>
        </w:tc>
        <w:tc>
          <w:tcPr>
            <w:tcW w:w="49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i/>
                <w:sz w:val="17"/>
                <w:szCs w:val="17"/>
              </w:rPr>
            </w:pPr>
            <w:r w:rsidRPr="004C360A">
              <w:rPr>
                <w:b/>
                <w:i/>
                <w:sz w:val="17"/>
                <w:szCs w:val="17"/>
              </w:rPr>
              <w:t>-</w:t>
            </w:r>
          </w:p>
        </w:tc>
        <w:tc>
          <w:tcPr>
            <w:tcW w:w="648" w:type="dxa"/>
            <w:tcBorders>
              <w:top w:val="single" w:sz="12" w:space="0" w:color="auto"/>
              <w:left w:val="single" w:sz="12" w:space="0" w:color="auto"/>
              <w:bottom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sz w:val="17"/>
                <w:szCs w:val="17"/>
              </w:rPr>
            </w:pPr>
            <w:r w:rsidRPr="004C360A">
              <w:rPr>
                <w:b/>
                <w:sz w:val="17"/>
                <w:szCs w:val="17"/>
              </w:rPr>
              <w:t>5</w:t>
            </w:r>
          </w:p>
        </w:tc>
        <w:tc>
          <w:tcPr>
            <w:tcW w:w="1008"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color w:val="00B050"/>
                <w:sz w:val="17"/>
                <w:szCs w:val="17"/>
              </w:rPr>
            </w:pPr>
            <w:r>
              <w:rPr>
                <w:b/>
                <w:color w:val="00B050"/>
                <w:sz w:val="17"/>
                <w:szCs w:val="17"/>
              </w:rPr>
              <w:t>9,0</w:t>
            </w:r>
          </w:p>
        </w:tc>
        <w:tc>
          <w:tcPr>
            <w:tcW w:w="1008" w:type="dxa"/>
            <w:tcBorders>
              <w:top w:val="single" w:sz="12" w:space="0" w:color="auto"/>
              <w:left w:val="single" w:sz="12" w:space="0" w:color="auto"/>
              <w:bottom w:val="single" w:sz="12" w:space="0" w:color="auto"/>
            </w:tcBorders>
            <w:shd w:val="clear" w:color="auto" w:fill="D9D9D9" w:themeFill="background1" w:themeFillShade="D9"/>
          </w:tcPr>
          <w:p w:rsidR="007E2C4D" w:rsidRPr="00E93665" w:rsidRDefault="007E2C4D" w:rsidP="007E2C4D">
            <w:pPr>
              <w:spacing w:after="0" w:line="240" w:lineRule="auto"/>
              <w:ind w:firstLine="0"/>
              <w:jc w:val="center"/>
              <w:rPr>
                <w:b/>
                <w:color w:val="FF0000"/>
                <w:sz w:val="17"/>
                <w:szCs w:val="17"/>
              </w:rPr>
            </w:pPr>
            <w:r>
              <w:rPr>
                <w:b/>
                <w:color w:val="FF0000"/>
                <w:sz w:val="17"/>
                <w:szCs w:val="17"/>
              </w:rPr>
              <w:t>15,0</w:t>
            </w:r>
          </w:p>
        </w:tc>
        <w:tc>
          <w:tcPr>
            <w:tcW w:w="1325" w:type="dxa"/>
            <w:tcBorders>
              <w:top w:val="single" w:sz="12" w:space="0" w:color="auto"/>
              <w:left w:val="single" w:sz="12" w:space="0" w:color="auto"/>
              <w:bottom w:val="single" w:sz="12" w:space="0" w:color="auto"/>
            </w:tcBorders>
            <w:shd w:val="clear" w:color="auto" w:fill="D9D9D9" w:themeFill="background1" w:themeFillShade="D9"/>
            <w:vAlign w:val="center"/>
          </w:tcPr>
          <w:p w:rsidR="007E2C4D" w:rsidRPr="004C360A" w:rsidRDefault="007E2C4D" w:rsidP="007E2C4D">
            <w:pPr>
              <w:spacing w:after="0" w:line="240" w:lineRule="auto"/>
              <w:ind w:firstLine="0"/>
              <w:jc w:val="center"/>
              <w:rPr>
                <w:b/>
                <w:color w:val="8C3A8E"/>
                <w:sz w:val="17"/>
                <w:szCs w:val="17"/>
              </w:rPr>
            </w:pPr>
            <w:r w:rsidRPr="004C360A">
              <w:rPr>
                <w:b/>
                <w:color w:val="E36C0A" w:themeColor="accent6" w:themeShade="BF"/>
                <w:sz w:val="17"/>
                <w:szCs w:val="17"/>
              </w:rPr>
              <w:t>20</w:t>
            </w:r>
            <w:r>
              <w:rPr>
                <w:b/>
                <w:color w:val="E36C0A" w:themeColor="accent6" w:themeShade="BF"/>
                <w:sz w:val="17"/>
                <w:szCs w:val="17"/>
              </w:rPr>
              <w:t>,0</w:t>
            </w:r>
          </w:p>
        </w:tc>
      </w:tr>
      <w:tr w:rsidR="007E2C4D" w:rsidRPr="00B3621F" w:rsidTr="007E2C4D">
        <w:tc>
          <w:tcPr>
            <w:tcW w:w="10293" w:type="dxa"/>
            <w:gridSpan w:val="16"/>
            <w:tcBorders>
              <w:top w:val="single" w:sz="12" w:space="0" w:color="auto"/>
              <w:bottom w:val="single" w:sz="12" w:space="0" w:color="auto"/>
            </w:tcBorders>
            <w:shd w:val="clear" w:color="auto" w:fill="auto"/>
          </w:tcPr>
          <w:p w:rsidR="007E2C4D" w:rsidRPr="00B3621F" w:rsidRDefault="007E2C4D" w:rsidP="007E2C4D">
            <w:pPr>
              <w:spacing w:after="0" w:line="240" w:lineRule="auto"/>
              <w:ind w:firstLine="0"/>
              <w:jc w:val="center"/>
              <w:rPr>
                <w:color w:val="0070C0"/>
                <w:sz w:val="6"/>
                <w:szCs w:val="6"/>
              </w:rPr>
            </w:pPr>
          </w:p>
        </w:tc>
      </w:tr>
      <w:tr w:rsidR="007E2C4D" w:rsidRPr="00A04C78" w:rsidTr="007E2C4D">
        <w:trPr>
          <w:trHeight w:val="114"/>
        </w:trPr>
        <w:tc>
          <w:tcPr>
            <w:tcW w:w="6304" w:type="dxa"/>
            <w:gridSpan w:val="12"/>
            <w:tcBorders>
              <w:top w:val="single" w:sz="12" w:space="0" w:color="auto"/>
              <w:bottom w:val="single" w:sz="12" w:space="0" w:color="auto"/>
              <w:right w:val="single" w:sz="12" w:space="0" w:color="auto"/>
            </w:tcBorders>
            <w:shd w:val="clear" w:color="auto" w:fill="D9D9D9" w:themeFill="background1" w:themeFillShade="D9"/>
          </w:tcPr>
          <w:p w:rsidR="007E2C4D" w:rsidRPr="00A04C78" w:rsidRDefault="007E2C4D" w:rsidP="007E2C4D">
            <w:pPr>
              <w:spacing w:after="0" w:line="240" w:lineRule="auto"/>
              <w:ind w:firstLine="0"/>
              <w:jc w:val="right"/>
              <w:rPr>
                <w:b/>
                <w:i/>
                <w:sz w:val="20"/>
              </w:rPr>
            </w:pPr>
            <w:r w:rsidRPr="00A04C78">
              <w:rPr>
                <w:b/>
                <w:i/>
                <w:sz w:val="20"/>
              </w:rPr>
              <w:t>FINANSINĖ ELGSENA:</w:t>
            </w:r>
          </w:p>
        </w:tc>
        <w:tc>
          <w:tcPr>
            <w:tcW w:w="648" w:type="dxa"/>
            <w:tcBorders>
              <w:top w:val="single" w:sz="12" w:space="0" w:color="auto"/>
              <w:left w:val="single" w:sz="12" w:space="0" w:color="auto"/>
              <w:bottom w:val="single" w:sz="12" w:space="0" w:color="auto"/>
            </w:tcBorders>
            <w:shd w:val="clear" w:color="auto" w:fill="D9D9D9" w:themeFill="background1" w:themeFillShade="D9"/>
            <w:vAlign w:val="center"/>
          </w:tcPr>
          <w:p w:rsidR="007E2C4D" w:rsidRPr="00A04C78" w:rsidRDefault="007E2C4D" w:rsidP="007E2C4D">
            <w:pPr>
              <w:spacing w:after="0" w:line="240" w:lineRule="auto"/>
              <w:ind w:firstLine="0"/>
              <w:jc w:val="center"/>
              <w:rPr>
                <w:b/>
                <w:sz w:val="20"/>
              </w:rPr>
            </w:pPr>
            <w:r w:rsidRPr="00A04C78">
              <w:rPr>
                <w:b/>
                <w:sz w:val="20"/>
              </w:rPr>
              <w:t>-</w:t>
            </w:r>
          </w:p>
        </w:tc>
        <w:tc>
          <w:tcPr>
            <w:tcW w:w="1008"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7E2C4D" w:rsidRPr="00A04C78" w:rsidRDefault="007E2C4D" w:rsidP="007E2C4D">
            <w:pPr>
              <w:spacing w:after="0" w:line="240" w:lineRule="auto"/>
              <w:ind w:firstLine="0"/>
              <w:jc w:val="center"/>
              <w:rPr>
                <w:b/>
                <w:sz w:val="20"/>
              </w:rPr>
            </w:pPr>
            <w:r>
              <w:rPr>
                <w:b/>
                <w:sz w:val="20"/>
              </w:rPr>
              <w:t>68</w:t>
            </w:r>
            <w:r w:rsidRPr="00A04C78">
              <w:rPr>
                <w:b/>
                <w:sz w:val="20"/>
              </w:rPr>
              <w:t>,</w:t>
            </w:r>
            <w:r>
              <w:rPr>
                <w:b/>
                <w:sz w:val="20"/>
              </w:rPr>
              <w:t>5</w:t>
            </w:r>
          </w:p>
        </w:tc>
        <w:tc>
          <w:tcPr>
            <w:tcW w:w="1008" w:type="dxa"/>
            <w:tcBorders>
              <w:top w:val="single" w:sz="12" w:space="0" w:color="auto"/>
              <w:left w:val="single" w:sz="12" w:space="0" w:color="auto"/>
              <w:bottom w:val="single" w:sz="12" w:space="0" w:color="auto"/>
            </w:tcBorders>
            <w:shd w:val="clear" w:color="auto" w:fill="D9D9D9" w:themeFill="background1" w:themeFillShade="D9"/>
          </w:tcPr>
          <w:p w:rsidR="007E2C4D" w:rsidRPr="00A04C78" w:rsidRDefault="007E2C4D" w:rsidP="007E2C4D">
            <w:pPr>
              <w:spacing w:after="0" w:line="240" w:lineRule="auto"/>
              <w:ind w:firstLine="0"/>
              <w:jc w:val="center"/>
              <w:rPr>
                <w:b/>
                <w:sz w:val="20"/>
              </w:rPr>
            </w:pPr>
            <w:r w:rsidRPr="00A04C78">
              <w:rPr>
                <w:b/>
                <w:sz w:val="20"/>
              </w:rPr>
              <w:t>94,5</w:t>
            </w:r>
          </w:p>
        </w:tc>
        <w:tc>
          <w:tcPr>
            <w:tcW w:w="1325" w:type="dxa"/>
            <w:tcBorders>
              <w:top w:val="single" w:sz="12" w:space="0" w:color="auto"/>
              <w:left w:val="single" w:sz="12" w:space="0" w:color="auto"/>
              <w:bottom w:val="single" w:sz="12" w:space="0" w:color="auto"/>
            </w:tcBorders>
            <w:shd w:val="clear" w:color="auto" w:fill="D9D9D9" w:themeFill="background1" w:themeFillShade="D9"/>
            <w:vAlign w:val="center"/>
          </w:tcPr>
          <w:p w:rsidR="007E2C4D" w:rsidRPr="00A04C78" w:rsidRDefault="007E2C4D" w:rsidP="007E2C4D">
            <w:pPr>
              <w:spacing w:after="0" w:line="240" w:lineRule="auto"/>
              <w:ind w:firstLine="0"/>
              <w:jc w:val="center"/>
              <w:rPr>
                <w:b/>
                <w:sz w:val="20"/>
              </w:rPr>
            </w:pPr>
            <w:r w:rsidRPr="00A04C78">
              <w:rPr>
                <w:b/>
                <w:sz w:val="20"/>
              </w:rPr>
              <w:t>148,0</w:t>
            </w:r>
          </w:p>
        </w:tc>
      </w:tr>
    </w:tbl>
    <w:p w:rsidR="007E2C4D" w:rsidRDefault="007E2C4D" w:rsidP="007E2C4D">
      <w:pPr>
        <w:spacing w:after="20"/>
        <w:rPr>
          <w:sz w:val="20"/>
        </w:rPr>
      </w:pPr>
      <w:r w:rsidRPr="00EF2795">
        <w:rPr>
          <w:b/>
          <w:sz w:val="20"/>
        </w:rPr>
        <w:t>Šaltinis</w:t>
      </w:r>
      <w:r w:rsidRPr="00EF2795">
        <w:rPr>
          <w:sz w:val="20"/>
        </w:rPr>
        <w:t>: sudaryta šio darbo autorės</w:t>
      </w:r>
      <w:r>
        <w:rPr>
          <w:sz w:val="20"/>
        </w:rPr>
        <w:t>, remiantis apklausos rezultatais</w:t>
      </w:r>
    </w:p>
    <w:p w:rsidR="007E2C4D" w:rsidRDefault="007E2C4D" w:rsidP="007E2C4D">
      <w:r>
        <w:t>Apskaičiavus ir susu</w:t>
      </w:r>
      <w:r w:rsidR="00102BFE">
        <w:t>mavus visų keturių veiksnių grup</w:t>
      </w:r>
      <w:r>
        <w:t xml:space="preserve">ių svertinius balus, paaiškėjo, jog bedarbių bei socialinės paramos gavėjų finansinė elgsena (68,5 balo) racionaliai elgsenai (148 balai) prilygo 46 proc., kas atskleidžia, jog didžioji dauguma socialinių išmokų gavėjų demonstravo </w:t>
      </w:r>
      <w:r>
        <w:rPr>
          <w:i/>
        </w:rPr>
        <w:t xml:space="preserve">netinkamą </w:t>
      </w:r>
      <w:r>
        <w:t>finansinę elgseną.</w:t>
      </w:r>
    </w:p>
    <w:p w:rsidR="007E2C4D" w:rsidRPr="00B544E8" w:rsidRDefault="007E2C4D" w:rsidP="007E2C4D">
      <w:r>
        <w:t xml:space="preserve">Nagrinėjant atskirų veiksnių vertinimus, tampa akivaizdu, jog prie neracionalios elgsenos atsiradimo labiausiai prisideda ekonominiai veiksniai, tokie kaip </w:t>
      </w:r>
      <w:r w:rsidRPr="00194317">
        <w:rPr>
          <w:i/>
        </w:rPr>
        <w:t>išmokos mokėjimo trukmė (c</w:t>
      </w:r>
      <w:r w:rsidRPr="00194317">
        <w:rPr>
          <w:i/>
          <w:vertAlign w:val="subscript"/>
        </w:rPr>
        <w:t>5</w:t>
      </w:r>
      <w:r w:rsidRPr="00194317">
        <w:rPr>
          <w:i/>
        </w:rPr>
        <w:t>)</w:t>
      </w:r>
      <w:r>
        <w:t xml:space="preserve">, </w:t>
      </w:r>
      <w:r w:rsidRPr="00194317">
        <w:rPr>
          <w:i/>
        </w:rPr>
        <w:t>šešėlinė ekonomika (c</w:t>
      </w:r>
      <w:r w:rsidRPr="00194317">
        <w:rPr>
          <w:i/>
          <w:vertAlign w:val="subscript"/>
        </w:rPr>
        <w:t>2</w:t>
      </w:r>
      <w:r w:rsidRPr="00194317">
        <w:rPr>
          <w:i/>
        </w:rPr>
        <w:t>)</w:t>
      </w:r>
      <w:r>
        <w:t xml:space="preserve"> ar </w:t>
      </w:r>
      <w:r w:rsidRPr="00A656A5">
        <w:rPr>
          <w:i/>
        </w:rPr>
        <w:t>neigiami užimtumo pokyčiai (c</w:t>
      </w:r>
      <w:r w:rsidRPr="00A656A5">
        <w:rPr>
          <w:i/>
          <w:vertAlign w:val="subscript"/>
        </w:rPr>
        <w:t>1</w:t>
      </w:r>
      <w:r w:rsidRPr="00A656A5">
        <w:rPr>
          <w:i/>
        </w:rPr>
        <w:t>)</w:t>
      </w:r>
      <w:r>
        <w:t xml:space="preserve">, kurių svertinis balas optimaliai elgsenai prilygo viso labo 40 proc. Kadangi šie veiksniai socialinių išmokų gavėjų taip pat buvo pripažinti kaip darantys didelę įtaką elgsenai, galima teigti, jog ekonominiai veiksniai </w:t>
      </w:r>
      <w:r w:rsidRPr="0020740A">
        <w:rPr>
          <w:i/>
        </w:rPr>
        <w:t>sudaro sąlygas</w:t>
      </w:r>
      <w:r>
        <w:t xml:space="preserve"> priimti netinkamus sprendimus, bet pačią elgseną lemia </w:t>
      </w:r>
      <w:r w:rsidRPr="00C44B51">
        <w:rPr>
          <w:i/>
        </w:rPr>
        <w:t>metalinės sąskaitos (a</w:t>
      </w:r>
      <w:r w:rsidRPr="00C44B51">
        <w:rPr>
          <w:i/>
          <w:vertAlign w:val="subscript"/>
        </w:rPr>
        <w:t>1</w:t>
      </w:r>
      <w:r w:rsidRPr="00C44B51">
        <w:rPr>
          <w:i/>
        </w:rPr>
        <w:t>)</w:t>
      </w:r>
      <w:r>
        <w:rPr>
          <w:i/>
        </w:rPr>
        <w:t>, motyvacijos stoka (a</w:t>
      </w:r>
      <w:r>
        <w:rPr>
          <w:i/>
          <w:vertAlign w:val="subscript"/>
        </w:rPr>
        <w:t>6</w:t>
      </w:r>
      <w:r>
        <w:rPr>
          <w:i/>
        </w:rPr>
        <w:t>)</w:t>
      </w:r>
      <w:r>
        <w:t xml:space="preserve">, </w:t>
      </w:r>
      <w:r w:rsidRPr="00C44B51">
        <w:rPr>
          <w:i/>
        </w:rPr>
        <w:t xml:space="preserve">naudos </w:t>
      </w:r>
      <w:r>
        <w:rPr>
          <w:i/>
        </w:rPr>
        <w:t xml:space="preserve">vaikymasis </w:t>
      </w:r>
      <w:r w:rsidRPr="00C44B51">
        <w:rPr>
          <w:i/>
        </w:rPr>
        <w:t>(b</w:t>
      </w:r>
      <w:r w:rsidRPr="00C44B51">
        <w:rPr>
          <w:i/>
          <w:vertAlign w:val="subscript"/>
        </w:rPr>
        <w:t>6</w:t>
      </w:r>
      <w:r w:rsidRPr="00C44B51">
        <w:rPr>
          <w:i/>
        </w:rPr>
        <w:t>)</w:t>
      </w:r>
      <w:r>
        <w:t xml:space="preserve"> bei </w:t>
      </w:r>
      <w:r w:rsidRPr="00C44B51">
        <w:rPr>
          <w:i/>
        </w:rPr>
        <w:t>įstatymų spragos (d</w:t>
      </w:r>
      <w:r w:rsidRPr="00C44B51">
        <w:rPr>
          <w:i/>
          <w:vertAlign w:val="subscript"/>
        </w:rPr>
        <w:t>2</w:t>
      </w:r>
      <w:r w:rsidRPr="00C44B51">
        <w:rPr>
          <w:i/>
        </w:rPr>
        <w:t>)</w:t>
      </w:r>
      <w:r>
        <w:t>.</w:t>
      </w:r>
    </w:p>
    <w:p w:rsidR="009876CF" w:rsidRDefault="009876CF" w:rsidP="00F6568D">
      <w:pPr>
        <w:sectPr w:rsidR="009876CF" w:rsidSect="00E969CD">
          <w:headerReference w:type="default" r:id="rId48"/>
          <w:pgSz w:w="12240" w:h="15840"/>
          <w:pgMar w:top="1134" w:right="567" w:bottom="1134" w:left="1418" w:header="720" w:footer="720" w:gutter="0"/>
          <w:cols w:space="720"/>
          <w:docGrid w:linePitch="360"/>
        </w:sectPr>
      </w:pPr>
    </w:p>
    <w:p w:rsidR="00CB7129" w:rsidRPr="002C701E" w:rsidRDefault="00CB7129" w:rsidP="005B630E">
      <w:pPr>
        <w:pStyle w:val="Caption"/>
        <w:spacing w:after="0"/>
      </w:pPr>
      <w:r w:rsidRPr="00BA70A8">
        <w:lastRenderedPageBreak/>
        <w:t>1 lentelė.</w:t>
      </w:r>
      <w:r>
        <w:t xml:space="preserve"> </w:t>
      </w:r>
      <w:r w:rsidRPr="00B60F45">
        <w:t>Finansinės ribos tarp nedarbo draudimo išmokas užsidirbančių ir socialinę pašalpą gaunančių žmonių nustatymas</w:t>
      </w:r>
    </w:p>
    <w:tbl>
      <w:tblPr>
        <w:tblW w:w="13297"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tblPr>
      <w:tblGrid>
        <w:gridCol w:w="366"/>
        <w:gridCol w:w="1884"/>
        <w:gridCol w:w="1051"/>
        <w:gridCol w:w="813"/>
        <w:gridCol w:w="813"/>
        <w:gridCol w:w="815"/>
        <w:gridCol w:w="934"/>
        <w:gridCol w:w="933"/>
        <w:gridCol w:w="667"/>
        <w:gridCol w:w="667"/>
        <w:gridCol w:w="667"/>
        <w:gridCol w:w="821"/>
        <w:gridCol w:w="908"/>
        <w:gridCol w:w="979"/>
        <w:gridCol w:w="979"/>
      </w:tblGrid>
      <w:tr w:rsidR="00CB7129" w:rsidRPr="005B630E" w:rsidTr="00B9279E">
        <w:trPr>
          <w:trHeight w:val="280"/>
        </w:trPr>
        <w:tc>
          <w:tcPr>
            <w:tcW w:w="366" w:type="dxa"/>
            <w:tcBorders>
              <w:top w:val="single" w:sz="12" w:space="0" w:color="auto"/>
              <w:bottom w:val="single" w:sz="12" w:space="0" w:color="auto"/>
            </w:tcBorders>
            <w:shd w:val="clear" w:color="auto" w:fill="D9D9D9" w:themeFill="background1" w:themeFillShade="D9"/>
          </w:tcPr>
          <w:p w:rsidR="00CB7129" w:rsidRPr="005B630E" w:rsidRDefault="00CB7129" w:rsidP="005B630E">
            <w:pPr>
              <w:widowControl/>
              <w:spacing w:after="0" w:line="240" w:lineRule="auto"/>
              <w:ind w:firstLine="0"/>
              <w:jc w:val="center"/>
              <w:rPr>
                <w:rFonts w:eastAsia="Times New Roman"/>
                <w:b/>
                <w:bCs/>
                <w:sz w:val="13"/>
                <w:szCs w:val="13"/>
              </w:rPr>
            </w:pPr>
          </w:p>
        </w:tc>
        <w:tc>
          <w:tcPr>
            <w:tcW w:w="1884" w:type="dxa"/>
            <w:tcBorders>
              <w:top w:val="single" w:sz="12" w:space="0" w:color="auto"/>
              <w:bottom w:val="single" w:sz="12" w:space="0" w:color="auto"/>
            </w:tcBorders>
            <w:shd w:val="clear" w:color="auto" w:fill="D9D9D9" w:themeFill="background1" w:themeFillShade="D9"/>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Šeimos tipas (</w:t>
            </w:r>
            <w:r w:rsidRPr="005B630E">
              <w:rPr>
                <w:rFonts w:eastAsia="Times New Roman"/>
                <w:b/>
                <w:bCs/>
                <w:sz w:val="13"/>
                <w:szCs w:val="13"/>
                <w:u w:val="single"/>
              </w:rPr>
              <w:t>visi neaktyvūs</w:t>
            </w:r>
            <w:r w:rsidRPr="005B630E">
              <w:rPr>
                <w:rFonts w:eastAsia="Times New Roman"/>
                <w:b/>
                <w:bCs/>
                <w:sz w:val="13"/>
                <w:szCs w:val="13"/>
              </w:rPr>
              <w:t>)</w:t>
            </w:r>
          </w:p>
        </w:tc>
        <w:tc>
          <w:tcPr>
            <w:tcW w:w="1051" w:type="dxa"/>
            <w:tcBorders>
              <w:top w:val="single" w:sz="12" w:space="0" w:color="auto"/>
              <w:bottom w:val="single" w:sz="12" w:space="0" w:color="auto"/>
            </w:tcBorders>
            <w:shd w:val="clear" w:color="auto" w:fill="D9D9D9" w:themeFill="background1" w:themeFillShade="D9"/>
            <w:vAlign w:val="center"/>
            <w:hideMark/>
          </w:tcPr>
          <w:p w:rsidR="00CB7129" w:rsidRPr="005B630E" w:rsidRDefault="00CB7129" w:rsidP="005B630E">
            <w:pPr>
              <w:widowControl/>
              <w:spacing w:after="0" w:line="240" w:lineRule="auto"/>
              <w:ind w:firstLine="0"/>
              <w:jc w:val="center"/>
              <w:rPr>
                <w:rFonts w:eastAsia="Times New Roman"/>
                <w:b/>
                <w:sz w:val="13"/>
                <w:szCs w:val="13"/>
              </w:rPr>
            </w:pPr>
            <w:r w:rsidRPr="005B630E">
              <w:rPr>
                <w:rFonts w:eastAsia="Times New Roman"/>
                <w:b/>
                <w:sz w:val="13"/>
                <w:szCs w:val="13"/>
              </w:rPr>
              <w:t>Darbo pajamos</w:t>
            </w:r>
          </w:p>
        </w:tc>
        <w:tc>
          <w:tcPr>
            <w:tcW w:w="813" w:type="dxa"/>
            <w:tcBorders>
              <w:top w:val="single" w:sz="12" w:space="0" w:color="auto"/>
              <w:bottom w:val="single" w:sz="12" w:space="0" w:color="auto"/>
            </w:tcBorders>
            <w:shd w:val="clear" w:color="auto" w:fill="D9D9D9" w:themeFill="background1" w:themeFillShade="D9"/>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NPD / PNPD</w:t>
            </w:r>
          </w:p>
        </w:tc>
        <w:tc>
          <w:tcPr>
            <w:tcW w:w="813" w:type="dxa"/>
            <w:tcBorders>
              <w:top w:val="single" w:sz="12" w:space="0" w:color="auto"/>
              <w:bottom w:val="single" w:sz="12" w:space="0" w:color="auto"/>
            </w:tcBorders>
            <w:shd w:val="clear" w:color="auto" w:fill="D9D9D9" w:themeFill="background1" w:themeFillShade="D9"/>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GPM</w:t>
            </w:r>
          </w:p>
        </w:tc>
        <w:tc>
          <w:tcPr>
            <w:tcW w:w="815" w:type="dxa"/>
            <w:tcBorders>
              <w:top w:val="single" w:sz="12" w:space="0" w:color="auto"/>
              <w:bottom w:val="single" w:sz="12" w:space="0" w:color="auto"/>
            </w:tcBorders>
            <w:shd w:val="clear" w:color="auto" w:fill="D9D9D9" w:themeFill="background1" w:themeFillShade="D9"/>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SD įmokos</w:t>
            </w:r>
          </w:p>
        </w:tc>
        <w:tc>
          <w:tcPr>
            <w:tcW w:w="934" w:type="dxa"/>
            <w:tcBorders>
              <w:top w:val="single" w:sz="12" w:space="0" w:color="auto"/>
              <w:bottom w:val="single" w:sz="12" w:space="0" w:color="auto"/>
            </w:tcBorders>
            <w:shd w:val="clear" w:color="auto" w:fill="D9D9D9" w:themeFill="background1" w:themeFillShade="D9"/>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NETO pajamos</w:t>
            </w:r>
          </w:p>
        </w:tc>
        <w:tc>
          <w:tcPr>
            <w:tcW w:w="933" w:type="dxa"/>
            <w:tcBorders>
              <w:top w:val="single" w:sz="12" w:space="0" w:color="auto"/>
              <w:bottom w:val="single" w:sz="12" w:space="0" w:color="auto"/>
            </w:tcBorders>
            <w:shd w:val="clear" w:color="auto" w:fill="D9D9D9" w:themeFill="background1" w:themeFillShade="D9"/>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NDI / SP</w:t>
            </w:r>
          </w:p>
        </w:tc>
        <w:tc>
          <w:tcPr>
            <w:tcW w:w="667" w:type="dxa"/>
            <w:tcBorders>
              <w:top w:val="single" w:sz="12" w:space="0" w:color="auto"/>
              <w:bottom w:val="single" w:sz="12" w:space="0" w:color="auto"/>
            </w:tcBorders>
            <w:shd w:val="clear" w:color="auto" w:fill="D9D9D9" w:themeFill="background1" w:themeFillShade="D9"/>
            <w:vAlign w:val="center"/>
            <w:hideMark/>
          </w:tcPr>
          <w:p w:rsidR="00CB7129" w:rsidRPr="005B630E" w:rsidRDefault="00CB7129" w:rsidP="005B630E">
            <w:pPr>
              <w:widowControl/>
              <w:spacing w:after="0" w:line="240" w:lineRule="auto"/>
              <w:ind w:firstLine="0"/>
              <w:jc w:val="center"/>
              <w:rPr>
                <w:rFonts w:eastAsia="Times New Roman"/>
                <w:b/>
                <w:bCs/>
                <w:sz w:val="13"/>
                <w:szCs w:val="13"/>
                <w:vertAlign w:val="subscript"/>
              </w:rPr>
            </w:pPr>
            <w:r w:rsidRPr="005B630E">
              <w:rPr>
                <w:rFonts w:eastAsia="Times New Roman"/>
                <w:b/>
                <w:bCs/>
                <w:sz w:val="13"/>
                <w:szCs w:val="13"/>
              </w:rPr>
              <w:t>Komp</w:t>
            </w:r>
            <w:r w:rsidRPr="005B630E">
              <w:rPr>
                <w:rFonts w:eastAsia="Times New Roman"/>
                <w:b/>
                <w:bCs/>
                <w:sz w:val="13"/>
                <w:szCs w:val="13"/>
                <w:vertAlign w:val="subscript"/>
              </w:rPr>
              <w:t>1</w:t>
            </w:r>
          </w:p>
        </w:tc>
        <w:tc>
          <w:tcPr>
            <w:tcW w:w="667" w:type="dxa"/>
            <w:tcBorders>
              <w:top w:val="single" w:sz="12" w:space="0" w:color="auto"/>
              <w:bottom w:val="single" w:sz="12" w:space="0" w:color="auto"/>
            </w:tcBorders>
            <w:shd w:val="clear" w:color="auto" w:fill="D9D9D9" w:themeFill="background1" w:themeFillShade="D9"/>
            <w:vAlign w:val="center"/>
            <w:hideMark/>
          </w:tcPr>
          <w:p w:rsidR="00CB7129" w:rsidRPr="005B630E" w:rsidRDefault="00CB7129" w:rsidP="005B630E">
            <w:pPr>
              <w:widowControl/>
              <w:spacing w:after="0" w:line="240" w:lineRule="auto"/>
              <w:ind w:firstLine="0"/>
              <w:jc w:val="center"/>
              <w:rPr>
                <w:rFonts w:eastAsia="Times New Roman"/>
                <w:b/>
                <w:bCs/>
                <w:sz w:val="13"/>
                <w:szCs w:val="13"/>
                <w:vertAlign w:val="subscript"/>
              </w:rPr>
            </w:pPr>
            <w:r w:rsidRPr="005B630E">
              <w:rPr>
                <w:rFonts w:eastAsia="Times New Roman"/>
                <w:b/>
                <w:bCs/>
                <w:sz w:val="13"/>
                <w:szCs w:val="13"/>
              </w:rPr>
              <w:t>Komp</w:t>
            </w:r>
            <w:r w:rsidRPr="005B630E">
              <w:rPr>
                <w:rFonts w:eastAsia="Times New Roman"/>
                <w:b/>
                <w:bCs/>
                <w:sz w:val="13"/>
                <w:szCs w:val="13"/>
                <w:vertAlign w:val="subscript"/>
              </w:rPr>
              <w:t>2</w:t>
            </w:r>
          </w:p>
        </w:tc>
        <w:tc>
          <w:tcPr>
            <w:tcW w:w="667" w:type="dxa"/>
            <w:tcBorders>
              <w:top w:val="single" w:sz="12" w:space="0" w:color="auto"/>
              <w:bottom w:val="single" w:sz="12" w:space="0" w:color="auto"/>
            </w:tcBorders>
            <w:shd w:val="clear" w:color="auto" w:fill="D9D9D9" w:themeFill="background1" w:themeFillShade="D9"/>
            <w:vAlign w:val="center"/>
            <w:hideMark/>
          </w:tcPr>
          <w:p w:rsidR="00CB7129" w:rsidRPr="005B630E" w:rsidRDefault="00CB7129" w:rsidP="005B630E">
            <w:pPr>
              <w:widowControl/>
              <w:spacing w:after="0" w:line="240" w:lineRule="auto"/>
              <w:ind w:firstLine="0"/>
              <w:jc w:val="center"/>
              <w:rPr>
                <w:rFonts w:eastAsia="Times New Roman"/>
                <w:b/>
                <w:bCs/>
                <w:sz w:val="13"/>
                <w:szCs w:val="13"/>
                <w:vertAlign w:val="subscript"/>
              </w:rPr>
            </w:pPr>
            <w:r w:rsidRPr="005B630E">
              <w:rPr>
                <w:rFonts w:eastAsia="Times New Roman"/>
                <w:b/>
                <w:bCs/>
                <w:sz w:val="13"/>
                <w:szCs w:val="13"/>
              </w:rPr>
              <w:t>Komp</w:t>
            </w:r>
            <w:r w:rsidRPr="005B630E">
              <w:rPr>
                <w:rFonts w:eastAsia="Times New Roman"/>
                <w:b/>
                <w:bCs/>
                <w:sz w:val="13"/>
                <w:szCs w:val="13"/>
                <w:vertAlign w:val="subscript"/>
              </w:rPr>
              <w:t>3</w:t>
            </w:r>
          </w:p>
        </w:tc>
        <w:tc>
          <w:tcPr>
            <w:tcW w:w="821" w:type="dxa"/>
            <w:tcBorders>
              <w:top w:val="single" w:sz="12" w:space="0" w:color="auto"/>
              <w:bottom w:val="single" w:sz="12" w:space="0" w:color="auto"/>
            </w:tcBorders>
            <w:shd w:val="clear" w:color="auto" w:fill="D9D9D9" w:themeFill="background1" w:themeFillShade="D9"/>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Parama vaikams</w:t>
            </w:r>
          </w:p>
        </w:tc>
        <w:tc>
          <w:tcPr>
            <w:tcW w:w="908" w:type="dxa"/>
            <w:tcBorders>
              <w:top w:val="single" w:sz="12" w:space="0" w:color="auto"/>
              <w:bottom w:val="single" w:sz="12" w:space="0" w:color="auto"/>
            </w:tcBorders>
            <w:shd w:val="clear" w:color="auto" w:fill="D9D9D9" w:themeFill="background1" w:themeFillShade="D9"/>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Išlaikymas</w:t>
            </w:r>
          </w:p>
        </w:tc>
        <w:tc>
          <w:tcPr>
            <w:tcW w:w="979" w:type="dxa"/>
            <w:tcBorders>
              <w:top w:val="single" w:sz="12" w:space="0" w:color="auto"/>
              <w:bottom w:val="single" w:sz="12" w:space="0" w:color="auto"/>
            </w:tcBorders>
            <w:shd w:val="clear" w:color="auto" w:fill="D9D9D9" w:themeFill="background1" w:themeFillShade="D9"/>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GEROVĖ:</w:t>
            </w:r>
          </w:p>
        </w:tc>
        <w:tc>
          <w:tcPr>
            <w:tcW w:w="979" w:type="dxa"/>
            <w:tcBorders>
              <w:top w:val="single" w:sz="12" w:space="0" w:color="auto"/>
              <w:bottom w:val="single" w:sz="12" w:space="0" w:color="auto"/>
            </w:tcBorders>
            <w:shd w:val="clear" w:color="auto" w:fill="D9D9D9" w:themeFill="background1" w:themeFillShade="D9"/>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Vienam asmeniui:</w:t>
            </w:r>
          </w:p>
        </w:tc>
      </w:tr>
      <w:tr w:rsidR="00CB7129" w:rsidRPr="005B630E" w:rsidTr="00CB7129">
        <w:trPr>
          <w:trHeight w:val="195"/>
        </w:trPr>
        <w:tc>
          <w:tcPr>
            <w:tcW w:w="366" w:type="dxa"/>
            <w:vMerge w:val="restart"/>
            <w:tcBorders>
              <w:top w:val="single" w:sz="1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r w:rsidRPr="005B630E">
              <w:rPr>
                <w:rFonts w:eastAsia="Times New Roman"/>
                <w:b/>
                <w:sz w:val="13"/>
                <w:szCs w:val="13"/>
              </w:rPr>
              <w:t>1</w:t>
            </w:r>
          </w:p>
        </w:tc>
        <w:tc>
          <w:tcPr>
            <w:tcW w:w="1884"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1 B (350 Lt)</w:t>
            </w:r>
          </w:p>
        </w:tc>
        <w:tc>
          <w:tcPr>
            <w:tcW w:w="1051"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5"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4"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3"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350 / 0</w:t>
            </w:r>
          </w:p>
        </w:tc>
        <w:tc>
          <w:tcPr>
            <w:tcW w:w="667"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495</w:t>
            </w:r>
          </w:p>
        </w:tc>
        <w:tc>
          <w:tcPr>
            <w:tcW w:w="667"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14</w:t>
            </w:r>
          </w:p>
        </w:tc>
        <w:tc>
          <w:tcPr>
            <w:tcW w:w="667"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w:t>
            </w:r>
          </w:p>
        </w:tc>
        <w:tc>
          <w:tcPr>
            <w:tcW w:w="821"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08"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863</w:t>
            </w:r>
          </w:p>
        </w:tc>
        <w:tc>
          <w:tcPr>
            <w:tcW w:w="979"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863</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1 B (567 Lt)</w:t>
            </w:r>
          </w:p>
        </w:tc>
        <w:tc>
          <w:tcPr>
            <w:tcW w:w="1051"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5"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4"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3"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567 / 0</w:t>
            </w:r>
          </w:p>
        </w:tc>
        <w:tc>
          <w:tcPr>
            <w:tcW w:w="667"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452</w:t>
            </w:r>
          </w:p>
        </w:tc>
        <w:tc>
          <w:tcPr>
            <w:tcW w:w="667"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w:t>
            </w:r>
          </w:p>
        </w:tc>
        <w:tc>
          <w:tcPr>
            <w:tcW w:w="667"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21"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08"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1 023</w:t>
            </w:r>
          </w:p>
        </w:tc>
        <w:tc>
          <w:tcPr>
            <w:tcW w:w="979"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1 023</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left"/>
              <w:rPr>
                <w:rFonts w:eastAsia="Times New Roman"/>
                <w:color w:val="0070C0"/>
                <w:sz w:val="13"/>
                <w:szCs w:val="13"/>
              </w:rPr>
            </w:pPr>
            <w:r w:rsidRPr="005B630E">
              <w:rPr>
                <w:rFonts w:eastAsia="Times New Roman"/>
                <w:color w:val="0070C0"/>
                <w:sz w:val="13"/>
                <w:szCs w:val="13"/>
              </w:rPr>
              <w:t>1 B (650 Lt)</w:t>
            </w:r>
          </w:p>
        </w:tc>
        <w:tc>
          <w:tcPr>
            <w:tcW w:w="1051"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w:t>
            </w:r>
          </w:p>
        </w:tc>
        <w:tc>
          <w:tcPr>
            <w:tcW w:w="813"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w:t>
            </w:r>
          </w:p>
        </w:tc>
        <w:tc>
          <w:tcPr>
            <w:tcW w:w="813"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w:t>
            </w:r>
          </w:p>
        </w:tc>
        <w:tc>
          <w:tcPr>
            <w:tcW w:w="815"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w:t>
            </w:r>
          </w:p>
        </w:tc>
        <w:tc>
          <w:tcPr>
            <w:tcW w:w="934"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w:t>
            </w:r>
          </w:p>
        </w:tc>
        <w:tc>
          <w:tcPr>
            <w:tcW w:w="933"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650 / 0</w:t>
            </w:r>
          </w:p>
        </w:tc>
        <w:tc>
          <w:tcPr>
            <w:tcW w:w="667"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435</w:t>
            </w:r>
          </w:p>
        </w:tc>
        <w:tc>
          <w:tcPr>
            <w:tcW w:w="667"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w:t>
            </w:r>
          </w:p>
        </w:tc>
        <w:tc>
          <w:tcPr>
            <w:tcW w:w="667"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w:t>
            </w:r>
          </w:p>
        </w:tc>
        <w:tc>
          <w:tcPr>
            <w:tcW w:w="821"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w:t>
            </w:r>
          </w:p>
        </w:tc>
        <w:tc>
          <w:tcPr>
            <w:tcW w:w="908"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w:t>
            </w:r>
          </w:p>
        </w:tc>
        <w:tc>
          <w:tcPr>
            <w:tcW w:w="979"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b/>
                <w:bCs/>
                <w:color w:val="0070C0"/>
                <w:sz w:val="13"/>
                <w:szCs w:val="13"/>
              </w:rPr>
            </w:pPr>
            <w:r w:rsidRPr="005B630E">
              <w:rPr>
                <w:rFonts w:eastAsia="Times New Roman"/>
                <w:b/>
                <w:bCs/>
                <w:color w:val="0070C0"/>
                <w:sz w:val="13"/>
                <w:szCs w:val="13"/>
              </w:rPr>
              <w:t>1 085</w:t>
            </w:r>
          </w:p>
        </w:tc>
        <w:tc>
          <w:tcPr>
            <w:tcW w:w="979"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b/>
                <w:bCs/>
                <w:color w:val="0070C0"/>
                <w:sz w:val="13"/>
                <w:szCs w:val="13"/>
              </w:rPr>
            </w:pPr>
            <w:r w:rsidRPr="005B630E">
              <w:rPr>
                <w:rFonts w:eastAsia="Times New Roman"/>
                <w:b/>
                <w:bCs/>
                <w:color w:val="0070C0"/>
                <w:sz w:val="13"/>
                <w:szCs w:val="13"/>
              </w:rPr>
              <w:t>1 085</w:t>
            </w:r>
          </w:p>
        </w:tc>
      </w:tr>
      <w:tr w:rsidR="00CB7129" w:rsidRPr="005B630E" w:rsidTr="00CB7129">
        <w:trPr>
          <w:trHeight w:val="195"/>
        </w:trPr>
        <w:tc>
          <w:tcPr>
            <w:tcW w:w="366" w:type="dxa"/>
            <w:vMerge/>
            <w:tcBorders>
              <w:top w:val="single" w:sz="2" w:space="0" w:color="auto"/>
              <w:bottom w:val="single" w:sz="1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1 N</w:t>
            </w:r>
          </w:p>
        </w:tc>
        <w:tc>
          <w:tcPr>
            <w:tcW w:w="1051"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5"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4"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3"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0 / 350</w:t>
            </w:r>
          </w:p>
        </w:tc>
        <w:tc>
          <w:tcPr>
            <w:tcW w:w="667"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495</w:t>
            </w:r>
          </w:p>
        </w:tc>
        <w:tc>
          <w:tcPr>
            <w:tcW w:w="667"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14</w:t>
            </w:r>
          </w:p>
        </w:tc>
        <w:tc>
          <w:tcPr>
            <w:tcW w:w="667"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w:t>
            </w:r>
          </w:p>
        </w:tc>
        <w:tc>
          <w:tcPr>
            <w:tcW w:w="821"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08"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863</w:t>
            </w:r>
          </w:p>
        </w:tc>
        <w:tc>
          <w:tcPr>
            <w:tcW w:w="979"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863</w:t>
            </w:r>
          </w:p>
        </w:tc>
      </w:tr>
      <w:tr w:rsidR="00CB7129" w:rsidRPr="005B630E" w:rsidTr="00CB7129">
        <w:trPr>
          <w:trHeight w:val="195"/>
        </w:trPr>
        <w:tc>
          <w:tcPr>
            <w:tcW w:w="366" w:type="dxa"/>
            <w:vMerge w:val="restart"/>
            <w:tcBorders>
              <w:top w:val="single" w:sz="1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r w:rsidRPr="005B630E">
              <w:rPr>
                <w:rFonts w:eastAsia="Times New Roman"/>
                <w:b/>
                <w:sz w:val="13"/>
                <w:szCs w:val="13"/>
              </w:rPr>
              <w:t>2</w:t>
            </w:r>
          </w:p>
        </w:tc>
        <w:tc>
          <w:tcPr>
            <w:tcW w:w="1884" w:type="dxa"/>
            <w:tcBorders>
              <w:top w:val="single" w:sz="1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2 B (567 Lt; 567 Lt)</w:t>
            </w:r>
          </w:p>
        </w:tc>
        <w:tc>
          <w:tcPr>
            <w:tcW w:w="1051" w:type="dxa"/>
            <w:tcBorders>
              <w:top w:val="single" w:sz="1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1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1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5" w:type="dxa"/>
            <w:tcBorders>
              <w:top w:val="single" w:sz="1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4" w:type="dxa"/>
            <w:tcBorders>
              <w:top w:val="single" w:sz="1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3" w:type="dxa"/>
            <w:tcBorders>
              <w:top w:val="single" w:sz="1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1 134 / 0</w:t>
            </w:r>
          </w:p>
        </w:tc>
        <w:tc>
          <w:tcPr>
            <w:tcW w:w="667" w:type="dxa"/>
            <w:tcBorders>
              <w:top w:val="single" w:sz="1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408</w:t>
            </w:r>
          </w:p>
        </w:tc>
        <w:tc>
          <w:tcPr>
            <w:tcW w:w="667" w:type="dxa"/>
            <w:tcBorders>
              <w:top w:val="single" w:sz="1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tcBorders>
              <w:top w:val="single" w:sz="1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21" w:type="dxa"/>
            <w:tcBorders>
              <w:top w:val="single" w:sz="1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08" w:type="dxa"/>
            <w:tcBorders>
              <w:top w:val="single" w:sz="1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tcBorders>
              <w:top w:val="single" w:sz="1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1 542</w:t>
            </w:r>
          </w:p>
        </w:tc>
        <w:tc>
          <w:tcPr>
            <w:tcW w:w="979" w:type="dxa"/>
            <w:tcBorders>
              <w:top w:val="single" w:sz="1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771</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left"/>
              <w:rPr>
                <w:rFonts w:eastAsia="Times New Roman"/>
                <w:color w:val="5F497A" w:themeColor="accent4" w:themeShade="BF"/>
                <w:sz w:val="13"/>
                <w:szCs w:val="13"/>
              </w:rPr>
            </w:pPr>
            <w:r w:rsidRPr="005B630E">
              <w:rPr>
                <w:rFonts w:eastAsia="Times New Roman"/>
                <w:color w:val="5F497A" w:themeColor="accent4" w:themeShade="BF"/>
                <w:sz w:val="13"/>
                <w:szCs w:val="13"/>
              </w:rPr>
              <w:t>2 B (650 Lt; 650 Lt)</w:t>
            </w:r>
          </w:p>
        </w:tc>
        <w:tc>
          <w:tcPr>
            <w:tcW w:w="1051"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w:t>
            </w:r>
          </w:p>
        </w:tc>
        <w:tc>
          <w:tcPr>
            <w:tcW w:w="813"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w:t>
            </w:r>
          </w:p>
        </w:tc>
        <w:tc>
          <w:tcPr>
            <w:tcW w:w="813"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w:t>
            </w:r>
          </w:p>
        </w:tc>
        <w:tc>
          <w:tcPr>
            <w:tcW w:w="815"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w:t>
            </w:r>
          </w:p>
        </w:tc>
        <w:tc>
          <w:tcPr>
            <w:tcW w:w="934"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w:t>
            </w:r>
          </w:p>
        </w:tc>
        <w:tc>
          <w:tcPr>
            <w:tcW w:w="933"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1 300 / 0</w:t>
            </w:r>
          </w:p>
        </w:tc>
        <w:tc>
          <w:tcPr>
            <w:tcW w:w="667"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375</w:t>
            </w:r>
          </w:p>
        </w:tc>
        <w:tc>
          <w:tcPr>
            <w:tcW w:w="667"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w:t>
            </w:r>
          </w:p>
        </w:tc>
        <w:tc>
          <w:tcPr>
            <w:tcW w:w="667"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w:t>
            </w:r>
          </w:p>
        </w:tc>
        <w:tc>
          <w:tcPr>
            <w:tcW w:w="821"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w:t>
            </w:r>
          </w:p>
        </w:tc>
        <w:tc>
          <w:tcPr>
            <w:tcW w:w="908"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w:t>
            </w:r>
          </w:p>
        </w:tc>
        <w:tc>
          <w:tcPr>
            <w:tcW w:w="979"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b/>
                <w:bCs/>
                <w:color w:val="5F497A" w:themeColor="accent4" w:themeShade="BF"/>
                <w:sz w:val="13"/>
                <w:szCs w:val="13"/>
              </w:rPr>
            </w:pPr>
            <w:r w:rsidRPr="005B630E">
              <w:rPr>
                <w:rFonts w:eastAsia="Times New Roman"/>
                <w:b/>
                <w:bCs/>
                <w:color w:val="5F497A" w:themeColor="accent4" w:themeShade="BF"/>
                <w:sz w:val="13"/>
                <w:szCs w:val="13"/>
              </w:rPr>
              <w:t>1 675</w:t>
            </w:r>
          </w:p>
        </w:tc>
        <w:tc>
          <w:tcPr>
            <w:tcW w:w="979"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b/>
                <w:bCs/>
                <w:color w:val="5F497A" w:themeColor="accent4" w:themeShade="BF"/>
                <w:sz w:val="13"/>
                <w:szCs w:val="13"/>
              </w:rPr>
            </w:pPr>
            <w:r w:rsidRPr="005B630E">
              <w:rPr>
                <w:rFonts w:eastAsia="Times New Roman"/>
                <w:b/>
                <w:bCs/>
                <w:color w:val="5F497A" w:themeColor="accent4" w:themeShade="BF"/>
                <w:sz w:val="13"/>
                <w:szCs w:val="13"/>
              </w:rPr>
              <w:t>838</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2 N</w:t>
            </w:r>
          </w:p>
        </w:tc>
        <w:tc>
          <w:tcPr>
            <w:tcW w:w="1051"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5"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4"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3"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0 / 630</w:t>
            </w:r>
          </w:p>
        </w:tc>
        <w:tc>
          <w:tcPr>
            <w:tcW w:w="667"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495</w:t>
            </w:r>
          </w:p>
        </w:tc>
        <w:tc>
          <w:tcPr>
            <w:tcW w:w="667"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21</w:t>
            </w:r>
          </w:p>
        </w:tc>
        <w:tc>
          <w:tcPr>
            <w:tcW w:w="667"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5</w:t>
            </w:r>
          </w:p>
        </w:tc>
        <w:tc>
          <w:tcPr>
            <w:tcW w:w="821"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08"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1 151</w:t>
            </w:r>
          </w:p>
        </w:tc>
        <w:tc>
          <w:tcPr>
            <w:tcW w:w="979"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576</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1 B + 1 V (567 Lt)</w:t>
            </w:r>
          </w:p>
        </w:tc>
        <w:tc>
          <w:tcPr>
            <w:tcW w:w="1051"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5"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4"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3"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567 / 0</w:t>
            </w:r>
          </w:p>
        </w:tc>
        <w:tc>
          <w:tcPr>
            <w:tcW w:w="667"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495</w:t>
            </w:r>
          </w:p>
        </w:tc>
        <w:tc>
          <w:tcPr>
            <w:tcW w:w="667"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18</w:t>
            </w:r>
          </w:p>
        </w:tc>
        <w:tc>
          <w:tcPr>
            <w:tcW w:w="667"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w:t>
            </w:r>
          </w:p>
        </w:tc>
        <w:tc>
          <w:tcPr>
            <w:tcW w:w="821"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93</w:t>
            </w:r>
          </w:p>
        </w:tc>
        <w:tc>
          <w:tcPr>
            <w:tcW w:w="908"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130</w:t>
            </w:r>
          </w:p>
        </w:tc>
        <w:tc>
          <w:tcPr>
            <w:tcW w:w="979"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1 307</w:t>
            </w:r>
          </w:p>
        </w:tc>
        <w:tc>
          <w:tcPr>
            <w:tcW w:w="979"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654</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left"/>
              <w:rPr>
                <w:rFonts w:eastAsia="Times New Roman"/>
                <w:color w:val="943634" w:themeColor="accent2" w:themeShade="BF"/>
                <w:sz w:val="13"/>
                <w:szCs w:val="13"/>
              </w:rPr>
            </w:pPr>
            <w:r w:rsidRPr="005B630E">
              <w:rPr>
                <w:rFonts w:eastAsia="Times New Roman"/>
                <w:color w:val="943634" w:themeColor="accent2" w:themeShade="BF"/>
                <w:sz w:val="13"/>
                <w:szCs w:val="13"/>
              </w:rPr>
              <w:t>1 B + 1 V (650 Lt)</w:t>
            </w:r>
          </w:p>
        </w:tc>
        <w:tc>
          <w:tcPr>
            <w:tcW w:w="1051"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w:t>
            </w:r>
          </w:p>
        </w:tc>
        <w:tc>
          <w:tcPr>
            <w:tcW w:w="813"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w:t>
            </w:r>
          </w:p>
        </w:tc>
        <w:tc>
          <w:tcPr>
            <w:tcW w:w="813"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w:t>
            </w:r>
          </w:p>
        </w:tc>
        <w:tc>
          <w:tcPr>
            <w:tcW w:w="815"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w:t>
            </w:r>
          </w:p>
        </w:tc>
        <w:tc>
          <w:tcPr>
            <w:tcW w:w="934"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w:t>
            </w:r>
          </w:p>
        </w:tc>
        <w:tc>
          <w:tcPr>
            <w:tcW w:w="933"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650 / 0</w:t>
            </w:r>
          </w:p>
        </w:tc>
        <w:tc>
          <w:tcPr>
            <w:tcW w:w="667"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479</w:t>
            </w:r>
          </w:p>
        </w:tc>
        <w:tc>
          <w:tcPr>
            <w:tcW w:w="667"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14</w:t>
            </w:r>
          </w:p>
        </w:tc>
        <w:tc>
          <w:tcPr>
            <w:tcW w:w="667"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2</w:t>
            </w:r>
          </w:p>
        </w:tc>
        <w:tc>
          <w:tcPr>
            <w:tcW w:w="821"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93</w:t>
            </w:r>
          </w:p>
        </w:tc>
        <w:tc>
          <w:tcPr>
            <w:tcW w:w="908"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130</w:t>
            </w:r>
          </w:p>
        </w:tc>
        <w:tc>
          <w:tcPr>
            <w:tcW w:w="979"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b/>
                <w:bCs/>
                <w:color w:val="943634" w:themeColor="accent2" w:themeShade="BF"/>
                <w:sz w:val="13"/>
                <w:szCs w:val="13"/>
              </w:rPr>
            </w:pPr>
            <w:r w:rsidRPr="005B630E">
              <w:rPr>
                <w:rFonts w:eastAsia="Times New Roman"/>
                <w:b/>
                <w:bCs/>
                <w:color w:val="943634" w:themeColor="accent2" w:themeShade="BF"/>
                <w:sz w:val="13"/>
                <w:szCs w:val="13"/>
              </w:rPr>
              <w:t>1 368</w:t>
            </w:r>
          </w:p>
        </w:tc>
        <w:tc>
          <w:tcPr>
            <w:tcW w:w="979"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b/>
                <w:bCs/>
                <w:color w:val="943634" w:themeColor="accent2" w:themeShade="BF"/>
                <w:sz w:val="13"/>
                <w:szCs w:val="13"/>
              </w:rPr>
            </w:pPr>
            <w:r w:rsidRPr="005B630E">
              <w:rPr>
                <w:rFonts w:eastAsia="Times New Roman"/>
                <w:b/>
                <w:bCs/>
                <w:color w:val="943634" w:themeColor="accent2" w:themeShade="BF"/>
                <w:sz w:val="13"/>
                <w:szCs w:val="13"/>
              </w:rPr>
              <w:t>684</w:t>
            </w:r>
          </w:p>
        </w:tc>
      </w:tr>
      <w:tr w:rsidR="00CB7129" w:rsidRPr="005B630E" w:rsidTr="00CB7129">
        <w:trPr>
          <w:trHeight w:val="195"/>
        </w:trPr>
        <w:tc>
          <w:tcPr>
            <w:tcW w:w="366" w:type="dxa"/>
            <w:vMerge/>
            <w:tcBorders>
              <w:top w:val="single" w:sz="2" w:space="0" w:color="auto"/>
              <w:bottom w:val="single" w:sz="1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1 N + 1 V</w:t>
            </w:r>
          </w:p>
        </w:tc>
        <w:tc>
          <w:tcPr>
            <w:tcW w:w="1051"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5"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4"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3"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0 / 513</w:t>
            </w:r>
          </w:p>
        </w:tc>
        <w:tc>
          <w:tcPr>
            <w:tcW w:w="667"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495</w:t>
            </w:r>
          </w:p>
        </w:tc>
        <w:tc>
          <w:tcPr>
            <w:tcW w:w="667"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21</w:t>
            </w:r>
          </w:p>
        </w:tc>
        <w:tc>
          <w:tcPr>
            <w:tcW w:w="667"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5</w:t>
            </w:r>
          </w:p>
        </w:tc>
        <w:tc>
          <w:tcPr>
            <w:tcW w:w="821"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93</w:t>
            </w:r>
          </w:p>
        </w:tc>
        <w:tc>
          <w:tcPr>
            <w:tcW w:w="908"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130</w:t>
            </w:r>
          </w:p>
        </w:tc>
        <w:tc>
          <w:tcPr>
            <w:tcW w:w="979"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1 257</w:t>
            </w:r>
          </w:p>
        </w:tc>
        <w:tc>
          <w:tcPr>
            <w:tcW w:w="979"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629</w:t>
            </w:r>
          </w:p>
        </w:tc>
      </w:tr>
      <w:tr w:rsidR="00CB7129" w:rsidRPr="005B630E" w:rsidTr="00CB7129">
        <w:trPr>
          <w:trHeight w:val="195"/>
        </w:trPr>
        <w:tc>
          <w:tcPr>
            <w:tcW w:w="366" w:type="dxa"/>
            <w:vMerge w:val="restart"/>
            <w:tcBorders>
              <w:top w:val="single" w:sz="1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r w:rsidRPr="005B630E">
              <w:rPr>
                <w:rFonts w:eastAsia="Times New Roman"/>
                <w:b/>
                <w:sz w:val="13"/>
                <w:szCs w:val="13"/>
              </w:rPr>
              <w:t>3</w:t>
            </w:r>
          </w:p>
        </w:tc>
        <w:tc>
          <w:tcPr>
            <w:tcW w:w="1884" w:type="dxa"/>
            <w:tcBorders>
              <w:top w:val="single" w:sz="1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2 B + 1 V (567 Lt; 567 Lt)</w:t>
            </w:r>
          </w:p>
        </w:tc>
        <w:tc>
          <w:tcPr>
            <w:tcW w:w="1051" w:type="dxa"/>
            <w:tcBorders>
              <w:top w:val="single" w:sz="1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1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1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5" w:type="dxa"/>
            <w:tcBorders>
              <w:top w:val="single" w:sz="1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4" w:type="dxa"/>
            <w:tcBorders>
              <w:top w:val="single" w:sz="1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3" w:type="dxa"/>
            <w:tcBorders>
              <w:top w:val="single" w:sz="1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1 134 / 0</w:t>
            </w:r>
          </w:p>
        </w:tc>
        <w:tc>
          <w:tcPr>
            <w:tcW w:w="667" w:type="dxa"/>
            <w:tcBorders>
              <w:top w:val="single" w:sz="1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478</w:t>
            </w:r>
          </w:p>
        </w:tc>
        <w:tc>
          <w:tcPr>
            <w:tcW w:w="667" w:type="dxa"/>
            <w:tcBorders>
              <w:top w:val="single" w:sz="1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7</w:t>
            </w:r>
          </w:p>
        </w:tc>
        <w:tc>
          <w:tcPr>
            <w:tcW w:w="667" w:type="dxa"/>
            <w:tcBorders>
              <w:top w:val="single" w:sz="1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21" w:type="dxa"/>
            <w:tcBorders>
              <w:top w:val="single" w:sz="1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93</w:t>
            </w:r>
          </w:p>
        </w:tc>
        <w:tc>
          <w:tcPr>
            <w:tcW w:w="908" w:type="dxa"/>
            <w:tcBorders>
              <w:top w:val="single" w:sz="1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tcBorders>
              <w:top w:val="single" w:sz="1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1 712</w:t>
            </w:r>
          </w:p>
        </w:tc>
        <w:tc>
          <w:tcPr>
            <w:tcW w:w="979" w:type="dxa"/>
            <w:tcBorders>
              <w:top w:val="single" w:sz="1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571</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left"/>
              <w:rPr>
                <w:rFonts w:eastAsia="Times New Roman"/>
                <w:color w:val="E36C0A" w:themeColor="accent6" w:themeShade="BF"/>
                <w:sz w:val="13"/>
                <w:szCs w:val="13"/>
              </w:rPr>
            </w:pPr>
            <w:r w:rsidRPr="005B630E">
              <w:rPr>
                <w:rFonts w:eastAsia="Times New Roman"/>
                <w:color w:val="E36C0A" w:themeColor="accent6" w:themeShade="BF"/>
                <w:sz w:val="13"/>
                <w:szCs w:val="13"/>
              </w:rPr>
              <w:t>2 B + 1 V (650 Lt; 650 Lt)</w:t>
            </w:r>
          </w:p>
        </w:tc>
        <w:tc>
          <w:tcPr>
            <w:tcW w:w="1051"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w:t>
            </w:r>
          </w:p>
        </w:tc>
        <w:tc>
          <w:tcPr>
            <w:tcW w:w="813"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w:t>
            </w:r>
          </w:p>
        </w:tc>
        <w:tc>
          <w:tcPr>
            <w:tcW w:w="813"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w:t>
            </w:r>
          </w:p>
        </w:tc>
        <w:tc>
          <w:tcPr>
            <w:tcW w:w="815"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w:t>
            </w:r>
          </w:p>
        </w:tc>
        <w:tc>
          <w:tcPr>
            <w:tcW w:w="934"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w:t>
            </w:r>
          </w:p>
        </w:tc>
        <w:tc>
          <w:tcPr>
            <w:tcW w:w="933"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1 300 / 0</w:t>
            </w:r>
          </w:p>
        </w:tc>
        <w:tc>
          <w:tcPr>
            <w:tcW w:w="667"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445</w:t>
            </w:r>
          </w:p>
        </w:tc>
        <w:tc>
          <w:tcPr>
            <w:tcW w:w="667"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w:t>
            </w:r>
          </w:p>
        </w:tc>
        <w:tc>
          <w:tcPr>
            <w:tcW w:w="667"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w:t>
            </w:r>
          </w:p>
        </w:tc>
        <w:tc>
          <w:tcPr>
            <w:tcW w:w="821"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93</w:t>
            </w:r>
          </w:p>
        </w:tc>
        <w:tc>
          <w:tcPr>
            <w:tcW w:w="908"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w:t>
            </w:r>
          </w:p>
        </w:tc>
        <w:tc>
          <w:tcPr>
            <w:tcW w:w="979"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b/>
                <w:bCs/>
                <w:color w:val="E36C0A" w:themeColor="accent6" w:themeShade="BF"/>
                <w:sz w:val="13"/>
                <w:szCs w:val="13"/>
              </w:rPr>
            </w:pPr>
            <w:r w:rsidRPr="005B630E">
              <w:rPr>
                <w:rFonts w:eastAsia="Times New Roman"/>
                <w:b/>
                <w:bCs/>
                <w:color w:val="E36C0A" w:themeColor="accent6" w:themeShade="BF"/>
                <w:sz w:val="13"/>
                <w:szCs w:val="13"/>
              </w:rPr>
              <w:t>1 838</w:t>
            </w:r>
          </w:p>
        </w:tc>
        <w:tc>
          <w:tcPr>
            <w:tcW w:w="979"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b/>
                <w:bCs/>
                <w:color w:val="E36C0A" w:themeColor="accent6" w:themeShade="BF"/>
                <w:sz w:val="13"/>
                <w:szCs w:val="13"/>
              </w:rPr>
            </w:pPr>
            <w:r w:rsidRPr="005B630E">
              <w:rPr>
                <w:rFonts w:eastAsia="Times New Roman"/>
                <w:b/>
                <w:bCs/>
                <w:color w:val="E36C0A" w:themeColor="accent6" w:themeShade="BF"/>
                <w:sz w:val="13"/>
                <w:szCs w:val="13"/>
              </w:rPr>
              <w:t>613</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2 N + 1 V</w:t>
            </w:r>
          </w:p>
        </w:tc>
        <w:tc>
          <w:tcPr>
            <w:tcW w:w="1051"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5"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4"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3"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0 / 875</w:t>
            </w:r>
          </w:p>
        </w:tc>
        <w:tc>
          <w:tcPr>
            <w:tcW w:w="667"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495</w:t>
            </w:r>
          </w:p>
        </w:tc>
        <w:tc>
          <w:tcPr>
            <w:tcW w:w="667"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20</w:t>
            </w:r>
          </w:p>
        </w:tc>
        <w:tc>
          <w:tcPr>
            <w:tcW w:w="667"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w:t>
            </w:r>
          </w:p>
        </w:tc>
        <w:tc>
          <w:tcPr>
            <w:tcW w:w="821"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93</w:t>
            </w:r>
          </w:p>
        </w:tc>
        <w:tc>
          <w:tcPr>
            <w:tcW w:w="908"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1 487</w:t>
            </w:r>
          </w:p>
        </w:tc>
        <w:tc>
          <w:tcPr>
            <w:tcW w:w="979" w:type="dxa"/>
            <w:tcBorders>
              <w:top w:val="single" w:sz="2" w:space="0" w:color="auto"/>
              <w:bottom w:val="single" w:sz="2" w:space="0" w:color="auto"/>
            </w:tcBorders>
            <w:shd w:val="clear" w:color="auto" w:fill="FBD4B4" w:themeFill="accent6"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496</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1 B + 2 V (567 Lt)</w:t>
            </w:r>
          </w:p>
        </w:tc>
        <w:tc>
          <w:tcPr>
            <w:tcW w:w="1051"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5"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4"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3"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567 / 185</w:t>
            </w:r>
          </w:p>
        </w:tc>
        <w:tc>
          <w:tcPr>
            <w:tcW w:w="667"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495</w:t>
            </w:r>
          </w:p>
        </w:tc>
        <w:tc>
          <w:tcPr>
            <w:tcW w:w="667"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13</w:t>
            </w:r>
          </w:p>
        </w:tc>
        <w:tc>
          <w:tcPr>
            <w:tcW w:w="667"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2</w:t>
            </w:r>
          </w:p>
        </w:tc>
        <w:tc>
          <w:tcPr>
            <w:tcW w:w="821"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186</w:t>
            </w:r>
          </w:p>
        </w:tc>
        <w:tc>
          <w:tcPr>
            <w:tcW w:w="908"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260</w:t>
            </w:r>
          </w:p>
        </w:tc>
        <w:tc>
          <w:tcPr>
            <w:tcW w:w="979"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1 708</w:t>
            </w:r>
          </w:p>
        </w:tc>
        <w:tc>
          <w:tcPr>
            <w:tcW w:w="979"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569</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left"/>
              <w:rPr>
                <w:rFonts w:eastAsia="Times New Roman"/>
                <w:color w:val="76923C" w:themeColor="accent3" w:themeShade="BF"/>
                <w:sz w:val="13"/>
                <w:szCs w:val="13"/>
              </w:rPr>
            </w:pPr>
            <w:r w:rsidRPr="005B630E">
              <w:rPr>
                <w:rFonts w:eastAsia="Times New Roman"/>
                <w:color w:val="76923C" w:themeColor="accent3" w:themeShade="BF"/>
                <w:sz w:val="13"/>
                <w:szCs w:val="13"/>
              </w:rPr>
              <w:t>1 B + 2 V (650 Lt)</w:t>
            </w:r>
          </w:p>
        </w:tc>
        <w:tc>
          <w:tcPr>
            <w:tcW w:w="1051"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w:t>
            </w:r>
          </w:p>
        </w:tc>
        <w:tc>
          <w:tcPr>
            <w:tcW w:w="813"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w:t>
            </w:r>
          </w:p>
        </w:tc>
        <w:tc>
          <w:tcPr>
            <w:tcW w:w="813"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w:t>
            </w:r>
          </w:p>
        </w:tc>
        <w:tc>
          <w:tcPr>
            <w:tcW w:w="815"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w:t>
            </w:r>
          </w:p>
        </w:tc>
        <w:tc>
          <w:tcPr>
            <w:tcW w:w="934"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w:t>
            </w:r>
          </w:p>
        </w:tc>
        <w:tc>
          <w:tcPr>
            <w:tcW w:w="933"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650 / 118</w:t>
            </w:r>
          </w:p>
        </w:tc>
        <w:tc>
          <w:tcPr>
            <w:tcW w:w="667"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495</w:t>
            </w:r>
          </w:p>
        </w:tc>
        <w:tc>
          <w:tcPr>
            <w:tcW w:w="667"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13</w:t>
            </w:r>
          </w:p>
        </w:tc>
        <w:tc>
          <w:tcPr>
            <w:tcW w:w="667"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w:t>
            </w:r>
          </w:p>
        </w:tc>
        <w:tc>
          <w:tcPr>
            <w:tcW w:w="821"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186</w:t>
            </w:r>
          </w:p>
        </w:tc>
        <w:tc>
          <w:tcPr>
            <w:tcW w:w="908"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260</w:t>
            </w:r>
          </w:p>
        </w:tc>
        <w:tc>
          <w:tcPr>
            <w:tcW w:w="979"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b/>
                <w:bCs/>
                <w:color w:val="76923C" w:themeColor="accent3" w:themeShade="BF"/>
                <w:sz w:val="13"/>
                <w:szCs w:val="13"/>
              </w:rPr>
            </w:pPr>
            <w:r w:rsidRPr="005B630E">
              <w:rPr>
                <w:rFonts w:eastAsia="Times New Roman"/>
                <w:b/>
                <w:bCs/>
                <w:color w:val="76923C" w:themeColor="accent3" w:themeShade="BF"/>
                <w:sz w:val="13"/>
                <w:szCs w:val="13"/>
              </w:rPr>
              <w:t>1 722</w:t>
            </w:r>
          </w:p>
        </w:tc>
        <w:tc>
          <w:tcPr>
            <w:tcW w:w="979"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b/>
                <w:bCs/>
                <w:color w:val="76923C" w:themeColor="accent3" w:themeShade="BF"/>
                <w:sz w:val="13"/>
                <w:szCs w:val="13"/>
              </w:rPr>
            </w:pPr>
            <w:r w:rsidRPr="005B630E">
              <w:rPr>
                <w:rFonts w:eastAsia="Times New Roman"/>
                <w:b/>
                <w:bCs/>
                <w:color w:val="76923C" w:themeColor="accent3" w:themeShade="BF"/>
                <w:sz w:val="13"/>
                <w:szCs w:val="13"/>
              </w:rPr>
              <w:t>574</w:t>
            </w:r>
          </w:p>
        </w:tc>
      </w:tr>
      <w:tr w:rsidR="00CB7129" w:rsidRPr="005B630E" w:rsidTr="00CB7129">
        <w:trPr>
          <w:trHeight w:val="195"/>
        </w:trPr>
        <w:tc>
          <w:tcPr>
            <w:tcW w:w="366" w:type="dxa"/>
            <w:vMerge/>
            <w:tcBorders>
              <w:top w:val="single" w:sz="2" w:space="0" w:color="auto"/>
              <w:bottom w:val="single" w:sz="1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1 N + 2 V</w:t>
            </w:r>
          </w:p>
        </w:tc>
        <w:tc>
          <w:tcPr>
            <w:tcW w:w="1051"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5"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4"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3"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0 / 657</w:t>
            </w:r>
          </w:p>
        </w:tc>
        <w:tc>
          <w:tcPr>
            <w:tcW w:w="667"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495</w:t>
            </w:r>
          </w:p>
        </w:tc>
        <w:tc>
          <w:tcPr>
            <w:tcW w:w="667"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18</w:t>
            </w:r>
          </w:p>
        </w:tc>
        <w:tc>
          <w:tcPr>
            <w:tcW w:w="667"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w:t>
            </w:r>
          </w:p>
        </w:tc>
        <w:tc>
          <w:tcPr>
            <w:tcW w:w="821"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186</w:t>
            </w:r>
          </w:p>
        </w:tc>
        <w:tc>
          <w:tcPr>
            <w:tcW w:w="908"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260</w:t>
            </w:r>
          </w:p>
        </w:tc>
        <w:tc>
          <w:tcPr>
            <w:tcW w:w="979"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1 620</w:t>
            </w:r>
          </w:p>
        </w:tc>
        <w:tc>
          <w:tcPr>
            <w:tcW w:w="979"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540</w:t>
            </w:r>
          </w:p>
        </w:tc>
      </w:tr>
      <w:tr w:rsidR="00CB7129" w:rsidRPr="005B630E" w:rsidTr="00CB7129">
        <w:trPr>
          <w:trHeight w:val="195"/>
        </w:trPr>
        <w:tc>
          <w:tcPr>
            <w:tcW w:w="366" w:type="dxa"/>
            <w:vMerge w:val="restart"/>
            <w:tcBorders>
              <w:top w:val="single" w:sz="1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r w:rsidRPr="005B630E">
              <w:rPr>
                <w:rFonts w:eastAsia="Times New Roman"/>
                <w:b/>
                <w:sz w:val="13"/>
                <w:szCs w:val="13"/>
              </w:rPr>
              <w:t>4</w:t>
            </w:r>
          </w:p>
        </w:tc>
        <w:tc>
          <w:tcPr>
            <w:tcW w:w="1884" w:type="dxa"/>
            <w:tcBorders>
              <w:top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2 B + 2 V (567 Lt; 567 Lt)</w:t>
            </w:r>
          </w:p>
        </w:tc>
        <w:tc>
          <w:tcPr>
            <w:tcW w:w="1051" w:type="dxa"/>
            <w:tcBorders>
              <w:top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top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5" w:type="dxa"/>
            <w:tcBorders>
              <w:top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4" w:type="dxa"/>
            <w:tcBorders>
              <w:top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3" w:type="dxa"/>
            <w:tcBorders>
              <w:top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1 134 / 211</w:t>
            </w:r>
          </w:p>
        </w:tc>
        <w:tc>
          <w:tcPr>
            <w:tcW w:w="667" w:type="dxa"/>
            <w:tcBorders>
              <w:top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495</w:t>
            </w:r>
          </w:p>
        </w:tc>
        <w:tc>
          <w:tcPr>
            <w:tcW w:w="667" w:type="dxa"/>
            <w:tcBorders>
              <w:top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7</w:t>
            </w:r>
          </w:p>
        </w:tc>
        <w:tc>
          <w:tcPr>
            <w:tcW w:w="667" w:type="dxa"/>
            <w:tcBorders>
              <w:top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21" w:type="dxa"/>
            <w:tcBorders>
              <w:top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186</w:t>
            </w:r>
          </w:p>
        </w:tc>
        <w:tc>
          <w:tcPr>
            <w:tcW w:w="908" w:type="dxa"/>
            <w:tcBorders>
              <w:top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tcBorders>
              <w:top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2 033</w:t>
            </w:r>
          </w:p>
        </w:tc>
        <w:tc>
          <w:tcPr>
            <w:tcW w:w="979" w:type="dxa"/>
            <w:tcBorders>
              <w:top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508</w:t>
            </w:r>
          </w:p>
        </w:tc>
      </w:tr>
      <w:tr w:rsidR="00CB7129" w:rsidRPr="005B630E" w:rsidTr="00CB7129">
        <w:trPr>
          <w:trHeight w:val="195"/>
        </w:trPr>
        <w:tc>
          <w:tcPr>
            <w:tcW w:w="366" w:type="dxa"/>
            <w:vMerge/>
            <w:shd w:val="clear" w:color="auto" w:fill="D9D9D9" w:themeFill="background1" w:themeFillShade="D9"/>
          </w:tcPr>
          <w:p w:rsidR="00CB7129" w:rsidRPr="005B630E" w:rsidRDefault="00CB7129" w:rsidP="005B630E">
            <w:pPr>
              <w:widowControl/>
              <w:spacing w:after="0" w:line="240" w:lineRule="auto"/>
              <w:ind w:firstLine="0"/>
              <w:jc w:val="left"/>
              <w:rPr>
                <w:rFonts w:eastAsia="Times New Roman"/>
                <w:b/>
                <w:sz w:val="13"/>
                <w:szCs w:val="13"/>
              </w:rPr>
            </w:pPr>
          </w:p>
        </w:tc>
        <w:tc>
          <w:tcPr>
            <w:tcW w:w="1884" w:type="dxa"/>
            <w:shd w:val="clear" w:color="auto" w:fill="B6DDE8" w:themeFill="accent5" w:themeFillTint="66"/>
            <w:noWrap/>
            <w:vAlign w:val="bottom"/>
            <w:hideMark/>
          </w:tcPr>
          <w:p w:rsidR="00CB7129" w:rsidRPr="005B630E" w:rsidRDefault="00CB7129" w:rsidP="005B630E">
            <w:pPr>
              <w:widowControl/>
              <w:spacing w:after="0" w:line="240" w:lineRule="auto"/>
              <w:ind w:firstLine="0"/>
              <w:jc w:val="left"/>
              <w:rPr>
                <w:rFonts w:eastAsia="Times New Roman"/>
                <w:color w:val="31849B" w:themeColor="accent5" w:themeShade="BF"/>
                <w:sz w:val="13"/>
                <w:szCs w:val="13"/>
              </w:rPr>
            </w:pPr>
            <w:r w:rsidRPr="005B630E">
              <w:rPr>
                <w:rFonts w:eastAsia="Times New Roman"/>
                <w:color w:val="31849B" w:themeColor="accent5" w:themeShade="BF"/>
                <w:sz w:val="13"/>
                <w:szCs w:val="13"/>
              </w:rPr>
              <w:t>2 B + 2 V (650 Lt; 650 Lt)</w:t>
            </w:r>
          </w:p>
        </w:tc>
        <w:tc>
          <w:tcPr>
            <w:tcW w:w="1051" w:type="dxa"/>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w:t>
            </w:r>
          </w:p>
        </w:tc>
        <w:tc>
          <w:tcPr>
            <w:tcW w:w="813" w:type="dxa"/>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w:t>
            </w:r>
          </w:p>
        </w:tc>
        <w:tc>
          <w:tcPr>
            <w:tcW w:w="813" w:type="dxa"/>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w:t>
            </w:r>
          </w:p>
        </w:tc>
        <w:tc>
          <w:tcPr>
            <w:tcW w:w="815" w:type="dxa"/>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w:t>
            </w:r>
          </w:p>
        </w:tc>
        <w:tc>
          <w:tcPr>
            <w:tcW w:w="934" w:type="dxa"/>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w:t>
            </w:r>
          </w:p>
        </w:tc>
        <w:tc>
          <w:tcPr>
            <w:tcW w:w="933" w:type="dxa"/>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1 300 / 80</w:t>
            </w:r>
          </w:p>
        </w:tc>
        <w:tc>
          <w:tcPr>
            <w:tcW w:w="667" w:type="dxa"/>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495</w:t>
            </w:r>
          </w:p>
        </w:tc>
        <w:tc>
          <w:tcPr>
            <w:tcW w:w="667" w:type="dxa"/>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5</w:t>
            </w:r>
          </w:p>
        </w:tc>
        <w:tc>
          <w:tcPr>
            <w:tcW w:w="667" w:type="dxa"/>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w:t>
            </w:r>
          </w:p>
        </w:tc>
        <w:tc>
          <w:tcPr>
            <w:tcW w:w="821" w:type="dxa"/>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186</w:t>
            </w:r>
          </w:p>
        </w:tc>
        <w:tc>
          <w:tcPr>
            <w:tcW w:w="908" w:type="dxa"/>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w:t>
            </w:r>
          </w:p>
        </w:tc>
        <w:tc>
          <w:tcPr>
            <w:tcW w:w="979" w:type="dxa"/>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b/>
                <w:bCs/>
                <w:color w:val="31849B" w:themeColor="accent5" w:themeShade="BF"/>
                <w:sz w:val="13"/>
                <w:szCs w:val="13"/>
              </w:rPr>
            </w:pPr>
            <w:r w:rsidRPr="005B630E">
              <w:rPr>
                <w:rFonts w:eastAsia="Times New Roman"/>
                <w:b/>
                <w:bCs/>
                <w:color w:val="31849B" w:themeColor="accent5" w:themeShade="BF"/>
                <w:sz w:val="13"/>
                <w:szCs w:val="13"/>
              </w:rPr>
              <w:t>2 066</w:t>
            </w:r>
          </w:p>
        </w:tc>
        <w:tc>
          <w:tcPr>
            <w:tcW w:w="979" w:type="dxa"/>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b/>
                <w:bCs/>
                <w:color w:val="31849B" w:themeColor="accent5" w:themeShade="BF"/>
                <w:sz w:val="13"/>
                <w:szCs w:val="13"/>
              </w:rPr>
            </w:pPr>
            <w:r w:rsidRPr="005B630E">
              <w:rPr>
                <w:rFonts w:eastAsia="Times New Roman"/>
                <w:b/>
                <w:bCs/>
                <w:color w:val="31849B" w:themeColor="accent5" w:themeShade="BF"/>
                <w:sz w:val="13"/>
                <w:szCs w:val="13"/>
              </w:rPr>
              <w:t>517</w:t>
            </w:r>
          </w:p>
        </w:tc>
      </w:tr>
      <w:tr w:rsidR="00CB7129" w:rsidRPr="005B630E" w:rsidTr="00CB7129">
        <w:trPr>
          <w:trHeight w:val="195"/>
        </w:trPr>
        <w:tc>
          <w:tcPr>
            <w:tcW w:w="366" w:type="dxa"/>
            <w:vMerge/>
            <w:tcBorders>
              <w:bottom w:val="single" w:sz="12" w:space="0" w:color="auto"/>
            </w:tcBorders>
            <w:shd w:val="clear" w:color="auto" w:fill="D9D9D9" w:themeFill="background1" w:themeFillShade="D9"/>
          </w:tcPr>
          <w:p w:rsidR="00CB7129" w:rsidRPr="005B630E" w:rsidRDefault="00CB7129" w:rsidP="005B630E">
            <w:pPr>
              <w:widowControl/>
              <w:spacing w:after="0" w:line="240" w:lineRule="auto"/>
              <w:ind w:firstLine="0"/>
              <w:jc w:val="left"/>
              <w:rPr>
                <w:rFonts w:eastAsia="Times New Roman"/>
                <w:b/>
                <w:sz w:val="13"/>
                <w:szCs w:val="13"/>
              </w:rPr>
            </w:pPr>
          </w:p>
        </w:tc>
        <w:tc>
          <w:tcPr>
            <w:tcW w:w="1884" w:type="dxa"/>
            <w:tcBorders>
              <w:bottom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2 N + 2 V</w:t>
            </w:r>
          </w:p>
        </w:tc>
        <w:tc>
          <w:tcPr>
            <w:tcW w:w="1051" w:type="dxa"/>
            <w:tcBorders>
              <w:bottom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bottom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3" w:type="dxa"/>
            <w:tcBorders>
              <w:bottom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15" w:type="dxa"/>
            <w:tcBorders>
              <w:bottom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4" w:type="dxa"/>
            <w:tcBorders>
              <w:bottom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33" w:type="dxa"/>
            <w:tcBorders>
              <w:bottom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0 / 1 120</w:t>
            </w:r>
          </w:p>
        </w:tc>
        <w:tc>
          <w:tcPr>
            <w:tcW w:w="667" w:type="dxa"/>
            <w:tcBorders>
              <w:bottom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495</w:t>
            </w:r>
          </w:p>
        </w:tc>
        <w:tc>
          <w:tcPr>
            <w:tcW w:w="667" w:type="dxa"/>
            <w:tcBorders>
              <w:bottom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18</w:t>
            </w:r>
          </w:p>
        </w:tc>
        <w:tc>
          <w:tcPr>
            <w:tcW w:w="667" w:type="dxa"/>
            <w:tcBorders>
              <w:bottom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w:t>
            </w:r>
          </w:p>
        </w:tc>
        <w:tc>
          <w:tcPr>
            <w:tcW w:w="821" w:type="dxa"/>
            <w:tcBorders>
              <w:bottom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186</w:t>
            </w:r>
          </w:p>
        </w:tc>
        <w:tc>
          <w:tcPr>
            <w:tcW w:w="908" w:type="dxa"/>
            <w:tcBorders>
              <w:bottom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tcBorders>
              <w:bottom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1 823</w:t>
            </w:r>
          </w:p>
        </w:tc>
        <w:tc>
          <w:tcPr>
            <w:tcW w:w="979" w:type="dxa"/>
            <w:tcBorders>
              <w:bottom w:val="single" w:sz="12" w:space="0" w:color="auto"/>
            </w:tcBorders>
            <w:shd w:val="clear" w:color="auto" w:fill="B6DDE8" w:themeFill="accent5"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456</w:t>
            </w:r>
          </w:p>
        </w:tc>
      </w:tr>
      <w:tr w:rsidR="00CB7129" w:rsidRPr="005B630E" w:rsidTr="00B9279E">
        <w:trPr>
          <w:trHeight w:val="190"/>
        </w:trPr>
        <w:tc>
          <w:tcPr>
            <w:tcW w:w="366" w:type="dxa"/>
            <w:tcBorders>
              <w:top w:val="single" w:sz="12" w:space="0" w:color="auto"/>
              <w:bottom w:val="single" w:sz="1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12" w:space="0" w:color="auto"/>
              <w:bottom w:val="single" w:sz="12" w:space="0" w:color="auto"/>
            </w:tcBorders>
            <w:shd w:val="clear" w:color="auto" w:fill="D9D9D9" w:themeFill="background1" w:themeFillShade="D9"/>
            <w:noWrap/>
            <w:vAlign w:val="center"/>
            <w:hideMark/>
          </w:tcPr>
          <w:p w:rsidR="00CB7129" w:rsidRPr="005B630E" w:rsidRDefault="00CB7129" w:rsidP="005B630E">
            <w:pPr>
              <w:widowControl/>
              <w:spacing w:after="0" w:line="240" w:lineRule="auto"/>
              <w:ind w:firstLine="0"/>
              <w:jc w:val="center"/>
              <w:rPr>
                <w:rFonts w:eastAsia="Times New Roman"/>
                <w:b/>
                <w:sz w:val="13"/>
                <w:szCs w:val="13"/>
              </w:rPr>
            </w:pPr>
            <w:r w:rsidRPr="005B630E">
              <w:rPr>
                <w:rFonts w:eastAsia="Times New Roman"/>
                <w:b/>
                <w:sz w:val="13"/>
                <w:szCs w:val="13"/>
              </w:rPr>
              <w:t>Šeimos tipas (</w:t>
            </w:r>
            <w:r w:rsidRPr="005B630E">
              <w:rPr>
                <w:rFonts w:eastAsia="Times New Roman"/>
                <w:b/>
                <w:sz w:val="13"/>
                <w:szCs w:val="13"/>
                <w:u w:val="single"/>
              </w:rPr>
              <w:t>aktyvūs abu</w:t>
            </w:r>
            <w:r w:rsidRPr="005B630E">
              <w:rPr>
                <w:rFonts w:eastAsia="Times New Roman"/>
                <w:b/>
                <w:sz w:val="13"/>
                <w:szCs w:val="13"/>
              </w:rPr>
              <w:t>)</w:t>
            </w:r>
          </w:p>
        </w:tc>
        <w:tc>
          <w:tcPr>
            <w:tcW w:w="1051" w:type="dxa"/>
            <w:tcBorders>
              <w:top w:val="single" w:sz="12" w:space="0" w:color="auto"/>
              <w:bottom w:val="single" w:sz="12" w:space="0" w:color="auto"/>
            </w:tcBorders>
            <w:shd w:val="clear" w:color="auto" w:fill="D9D9D9" w:themeFill="background1" w:themeFillShade="D9"/>
            <w:noWrap/>
            <w:vAlign w:val="center"/>
            <w:hideMark/>
          </w:tcPr>
          <w:p w:rsidR="00CB7129" w:rsidRPr="005B630E" w:rsidRDefault="00CB7129" w:rsidP="005B630E">
            <w:pPr>
              <w:widowControl/>
              <w:spacing w:after="0" w:line="240" w:lineRule="auto"/>
              <w:ind w:firstLine="0"/>
              <w:jc w:val="center"/>
              <w:rPr>
                <w:rFonts w:eastAsia="Times New Roman"/>
                <w:b/>
                <w:sz w:val="13"/>
                <w:szCs w:val="13"/>
              </w:rPr>
            </w:pPr>
            <w:r w:rsidRPr="005B630E">
              <w:rPr>
                <w:rFonts w:eastAsia="Times New Roman"/>
                <w:b/>
                <w:sz w:val="13"/>
                <w:szCs w:val="13"/>
              </w:rPr>
              <w:t>Darbo pajamos</w:t>
            </w:r>
          </w:p>
        </w:tc>
        <w:tc>
          <w:tcPr>
            <w:tcW w:w="813" w:type="dxa"/>
            <w:tcBorders>
              <w:top w:val="single" w:sz="12" w:space="0" w:color="auto"/>
              <w:bottom w:val="single" w:sz="12" w:space="0" w:color="auto"/>
            </w:tcBorders>
            <w:shd w:val="clear" w:color="auto" w:fill="D9D9D9" w:themeFill="background1" w:themeFillShade="D9"/>
            <w:noWrap/>
            <w:vAlign w:val="center"/>
            <w:hideMark/>
          </w:tcPr>
          <w:p w:rsidR="00CB7129" w:rsidRPr="005B630E" w:rsidRDefault="00CB7129" w:rsidP="005B630E">
            <w:pPr>
              <w:widowControl/>
              <w:spacing w:after="0" w:line="240" w:lineRule="auto"/>
              <w:ind w:firstLine="0"/>
              <w:jc w:val="center"/>
              <w:rPr>
                <w:rFonts w:eastAsia="Times New Roman"/>
                <w:b/>
                <w:sz w:val="13"/>
                <w:szCs w:val="13"/>
              </w:rPr>
            </w:pPr>
            <w:r w:rsidRPr="005B630E">
              <w:rPr>
                <w:rFonts w:eastAsia="Times New Roman"/>
                <w:b/>
                <w:sz w:val="13"/>
                <w:szCs w:val="13"/>
              </w:rPr>
              <w:t>NPD / PNPD</w:t>
            </w:r>
          </w:p>
        </w:tc>
        <w:tc>
          <w:tcPr>
            <w:tcW w:w="813" w:type="dxa"/>
            <w:tcBorders>
              <w:top w:val="single" w:sz="12" w:space="0" w:color="auto"/>
              <w:bottom w:val="single" w:sz="12" w:space="0" w:color="auto"/>
            </w:tcBorders>
            <w:shd w:val="clear" w:color="auto" w:fill="D9D9D9" w:themeFill="background1" w:themeFillShade="D9"/>
            <w:noWrap/>
            <w:vAlign w:val="center"/>
            <w:hideMark/>
          </w:tcPr>
          <w:p w:rsidR="00CB7129" w:rsidRPr="005B630E" w:rsidRDefault="00CB7129" w:rsidP="005B630E">
            <w:pPr>
              <w:widowControl/>
              <w:spacing w:after="0" w:line="240" w:lineRule="auto"/>
              <w:ind w:firstLine="0"/>
              <w:jc w:val="center"/>
              <w:rPr>
                <w:rFonts w:eastAsia="Times New Roman"/>
                <w:b/>
                <w:sz w:val="13"/>
                <w:szCs w:val="13"/>
              </w:rPr>
            </w:pPr>
            <w:r w:rsidRPr="005B630E">
              <w:rPr>
                <w:rFonts w:eastAsia="Times New Roman"/>
                <w:b/>
                <w:sz w:val="13"/>
                <w:szCs w:val="13"/>
              </w:rPr>
              <w:t>GPM</w:t>
            </w:r>
          </w:p>
        </w:tc>
        <w:tc>
          <w:tcPr>
            <w:tcW w:w="815" w:type="dxa"/>
            <w:tcBorders>
              <w:top w:val="single" w:sz="12" w:space="0" w:color="auto"/>
              <w:bottom w:val="single" w:sz="12" w:space="0" w:color="auto"/>
            </w:tcBorders>
            <w:shd w:val="clear" w:color="auto" w:fill="D9D9D9" w:themeFill="background1" w:themeFillShade="D9"/>
            <w:noWrap/>
            <w:vAlign w:val="center"/>
            <w:hideMark/>
          </w:tcPr>
          <w:p w:rsidR="00CB7129" w:rsidRPr="005B630E" w:rsidRDefault="00CB7129" w:rsidP="005B630E">
            <w:pPr>
              <w:widowControl/>
              <w:spacing w:after="0" w:line="240" w:lineRule="auto"/>
              <w:ind w:firstLine="0"/>
              <w:jc w:val="center"/>
              <w:rPr>
                <w:rFonts w:eastAsia="Times New Roman"/>
                <w:b/>
                <w:sz w:val="13"/>
                <w:szCs w:val="13"/>
              </w:rPr>
            </w:pPr>
            <w:r w:rsidRPr="005B630E">
              <w:rPr>
                <w:rFonts w:eastAsia="Times New Roman"/>
                <w:b/>
                <w:sz w:val="13"/>
                <w:szCs w:val="13"/>
              </w:rPr>
              <w:t>SD įmokos</w:t>
            </w:r>
          </w:p>
        </w:tc>
        <w:tc>
          <w:tcPr>
            <w:tcW w:w="934" w:type="dxa"/>
            <w:tcBorders>
              <w:top w:val="single" w:sz="12" w:space="0" w:color="auto"/>
              <w:bottom w:val="single" w:sz="12" w:space="0" w:color="auto"/>
            </w:tcBorders>
            <w:shd w:val="clear" w:color="auto" w:fill="D9D9D9" w:themeFill="background1" w:themeFillShade="D9"/>
            <w:noWrap/>
            <w:vAlign w:val="center"/>
            <w:hideMark/>
          </w:tcPr>
          <w:p w:rsidR="00CB7129" w:rsidRPr="005B630E" w:rsidRDefault="00CB7129" w:rsidP="005B630E">
            <w:pPr>
              <w:widowControl/>
              <w:spacing w:after="0" w:line="240" w:lineRule="auto"/>
              <w:ind w:firstLine="0"/>
              <w:jc w:val="center"/>
              <w:rPr>
                <w:rFonts w:eastAsia="Times New Roman"/>
                <w:b/>
                <w:sz w:val="13"/>
                <w:szCs w:val="13"/>
              </w:rPr>
            </w:pPr>
            <w:r w:rsidRPr="005B630E">
              <w:rPr>
                <w:rFonts w:eastAsia="Times New Roman"/>
                <w:b/>
                <w:sz w:val="13"/>
                <w:szCs w:val="13"/>
              </w:rPr>
              <w:t>NETO pajamos</w:t>
            </w:r>
          </w:p>
        </w:tc>
        <w:tc>
          <w:tcPr>
            <w:tcW w:w="933" w:type="dxa"/>
            <w:tcBorders>
              <w:top w:val="single" w:sz="12" w:space="0" w:color="auto"/>
              <w:bottom w:val="single" w:sz="12" w:space="0" w:color="auto"/>
            </w:tcBorders>
            <w:shd w:val="clear" w:color="auto" w:fill="D9D9D9" w:themeFill="background1" w:themeFillShade="D9"/>
            <w:noWrap/>
            <w:vAlign w:val="center"/>
            <w:hideMark/>
          </w:tcPr>
          <w:p w:rsidR="00CB7129" w:rsidRPr="005B630E" w:rsidRDefault="00CB7129" w:rsidP="005B630E">
            <w:pPr>
              <w:widowControl/>
              <w:spacing w:after="0" w:line="240" w:lineRule="auto"/>
              <w:ind w:firstLine="0"/>
              <w:jc w:val="center"/>
              <w:rPr>
                <w:rFonts w:eastAsia="Times New Roman"/>
                <w:b/>
                <w:sz w:val="13"/>
                <w:szCs w:val="13"/>
              </w:rPr>
            </w:pPr>
            <w:r w:rsidRPr="005B630E">
              <w:rPr>
                <w:rFonts w:eastAsia="Times New Roman"/>
                <w:b/>
                <w:sz w:val="13"/>
                <w:szCs w:val="13"/>
              </w:rPr>
              <w:t>NDI / SP</w:t>
            </w:r>
          </w:p>
        </w:tc>
        <w:tc>
          <w:tcPr>
            <w:tcW w:w="667" w:type="dxa"/>
            <w:tcBorders>
              <w:top w:val="single" w:sz="12" w:space="0" w:color="auto"/>
              <w:bottom w:val="single" w:sz="12" w:space="0" w:color="auto"/>
            </w:tcBorders>
            <w:shd w:val="clear" w:color="auto" w:fill="D9D9D9" w:themeFill="background1" w:themeFillShade="D9"/>
            <w:noWrap/>
            <w:vAlign w:val="center"/>
            <w:hideMark/>
          </w:tcPr>
          <w:p w:rsidR="00CB7129" w:rsidRPr="005B630E" w:rsidRDefault="00CB7129" w:rsidP="005B630E">
            <w:pPr>
              <w:widowControl/>
              <w:spacing w:after="0" w:line="240" w:lineRule="auto"/>
              <w:ind w:firstLine="0"/>
              <w:jc w:val="center"/>
              <w:rPr>
                <w:rFonts w:eastAsia="Times New Roman"/>
                <w:b/>
                <w:bCs/>
                <w:sz w:val="13"/>
                <w:szCs w:val="13"/>
                <w:vertAlign w:val="subscript"/>
              </w:rPr>
            </w:pPr>
            <w:r w:rsidRPr="005B630E">
              <w:rPr>
                <w:rFonts w:eastAsia="Times New Roman"/>
                <w:b/>
                <w:bCs/>
                <w:sz w:val="13"/>
                <w:szCs w:val="13"/>
              </w:rPr>
              <w:t>Komp</w:t>
            </w:r>
            <w:r w:rsidRPr="005B630E">
              <w:rPr>
                <w:rFonts w:eastAsia="Times New Roman"/>
                <w:b/>
                <w:bCs/>
                <w:sz w:val="13"/>
                <w:szCs w:val="13"/>
                <w:vertAlign w:val="subscript"/>
              </w:rPr>
              <w:t>1</w:t>
            </w:r>
          </w:p>
        </w:tc>
        <w:tc>
          <w:tcPr>
            <w:tcW w:w="667" w:type="dxa"/>
            <w:tcBorders>
              <w:top w:val="single" w:sz="12" w:space="0" w:color="auto"/>
              <w:bottom w:val="single" w:sz="12" w:space="0" w:color="auto"/>
            </w:tcBorders>
            <w:shd w:val="clear" w:color="auto" w:fill="D9D9D9" w:themeFill="background1" w:themeFillShade="D9"/>
            <w:noWrap/>
            <w:vAlign w:val="center"/>
            <w:hideMark/>
          </w:tcPr>
          <w:p w:rsidR="00CB7129" w:rsidRPr="005B630E" w:rsidRDefault="00CB7129" w:rsidP="005B630E">
            <w:pPr>
              <w:widowControl/>
              <w:spacing w:after="0" w:line="240" w:lineRule="auto"/>
              <w:ind w:firstLine="0"/>
              <w:jc w:val="center"/>
              <w:rPr>
                <w:rFonts w:eastAsia="Times New Roman"/>
                <w:b/>
                <w:bCs/>
                <w:sz w:val="13"/>
                <w:szCs w:val="13"/>
                <w:vertAlign w:val="subscript"/>
              </w:rPr>
            </w:pPr>
            <w:r w:rsidRPr="005B630E">
              <w:rPr>
                <w:rFonts w:eastAsia="Times New Roman"/>
                <w:b/>
                <w:bCs/>
                <w:sz w:val="13"/>
                <w:szCs w:val="13"/>
              </w:rPr>
              <w:t>Komp</w:t>
            </w:r>
            <w:r w:rsidRPr="005B630E">
              <w:rPr>
                <w:rFonts w:eastAsia="Times New Roman"/>
                <w:b/>
                <w:bCs/>
                <w:sz w:val="13"/>
                <w:szCs w:val="13"/>
                <w:vertAlign w:val="subscript"/>
              </w:rPr>
              <w:t>2</w:t>
            </w:r>
          </w:p>
        </w:tc>
        <w:tc>
          <w:tcPr>
            <w:tcW w:w="667" w:type="dxa"/>
            <w:tcBorders>
              <w:top w:val="single" w:sz="12" w:space="0" w:color="auto"/>
              <w:bottom w:val="single" w:sz="12" w:space="0" w:color="auto"/>
            </w:tcBorders>
            <w:shd w:val="clear" w:color="auto" w:fill="D9D9D9" w:themeFill="background1" w:themeFillShade="D9"/>
            <w:noWrap/>
            <w:vAlign w:val="center"/>
            <w:hideMark/>
          </w:tcPr>
          <w:p w:rsidR="00CB7129" w:rsidRPr="005B630E" w:rsidRDefault="00CB7129" w:rsidP="005B630E">
            <w:pPr>
              <w:widowControl/>
              <w:spacing w:after="0" w:line="240" w:lineRule="auto"/>
              <w:ind w:firstLine="0"/>
              <w:jc w:val="center"/>
              <w:rPr>
                <w:rFonts w:eastAsia="Times New Roman"/>
                <w:b/>
                <w:bCs/>
                <w:sz w:val="13"/>
                <w:szCs w:val="13"/>
                <w:vertAlign w:val="subscript"/>
              </w:rPr>
            </w:pPr>
            <w:r w:rsidRPr="005B630E">
              <w:rPr>
                <w:rFonts w:eastAsia="Times New Roman"/>
                <w:b/>
                <w:bCs/>
                <w:sz w:val="13"/>
                <w:szCs w:val="13"/>
              </w:rPr>
              <w:t>Komp</w:t>
            </w:r>
            <w:r w:rsidRPr="005B630E">
              <w:rPr>
                <w:rFonts w:eastAsia="Times New Roman"/>
                <w:b/>
                <w:bCs/>
                <w:sz w:val="13"/>
                <w:szCs w:val="13"/>
                <w:vertAlign w:val="subscript"/>
              </w:rPr>
              <w:t>3</w:t>
            </w:r>
          </w:p>
        </w:tc>
        <w:tc>
          <w:tcPr>
            <w:tcW w:w="821" w:type="dxa"/>
            <w:tcBorders>
              <w:top w:val="single" w:sz="12" w:space="0" w:color="auto"/>
              <w:bottom w:val="single" w:sz="12" w:space="0" w:color="auto"/>
            </w:tcBorders>
            <w:shd w:val="clear" w:color="auto" w:fill="D9D9D9" w:themeFill="background1" w:themeFillShade="D9"/>
            <w:noWrap/>
            <w:vAlign w:val="center"/>
            <w:hideMark/>
          </w:tcPr>
          <w:p w:rsidR="00CB7129" w:rsidRPr="005B630E" w:rsidRDefault="00CB7129" w:rsidP="005B630E">
            <w:pPr>
              <w:widowControl/>
              <w:spacing w:after="0" w:line="240" w:lineRule="auto"/>
              <w:ind w:firstLine="0"/>
              <w:jc w:val="center"/>
              <w:rPr>
                <w:rFonts w:eastAsia="Times New Roman"/>
                <w:b/>
                <w:sz w:val="13"/>
                <w:szCs w:val="13"/>
              </w:rPr>
            </w:pPr>
            <w:r w:rsidRPr="005B630E">
              <w:rPr>
                <w:rFonts w:eastAsia="Times New Roman"/>
                <w:b/>
                <w:sz w:val="13"/>
                <w:szCs w:val="13"/>
              </w:rPr>
              <w:t>Parama vaikams</w:t>
            </w:r>
          </w:p>
        </w:tc>
        <w:tc>
          <w:tcPr>
            <w:tcW w:w="908" w:type="dxa"/>
            <w:tcBorders>
              <w:top w:val="single" w:sz="12" w:space="0" w:color="auto"/>
              <w:bottom w:val="single" w:sz="12" w:space="0" w:color="auto"/>
            </w:tcBorders>
            <w:shd w:val="clear" w:color="auto" w:fill="D9D9D9" w:themeFill="background1" w:themeFillShade="D9"/>
            <w:noWrap/>
            <w:vAlign w:val="center"/>
            <w:hideMark/>
          </w:tcPr>
          <w:p w:rsidR="00CB7129" w:rsidRPr="005B630E" w:rsidRDefault="00CB7129" w:rsidP="005B630E">
            <w:pPr>
              <w:widowControl/>
              <w:spacing w:after="0" w:line="240" w:lineRule="auto"/>
              <w:ind w:firstLine="0"/>
              <w:jc w:val="center"/>
              <w:rPr>
                <w:rFonts w:eastAsia="Times New Roman"/>
                <w:b/>
                <w:sz w:val="13"/>
                <w:szCs w:val="13"/>
              </w:rPr>
            </w:pPr>
            <w:r w:rsidRPr="005B630E">
              <w:rPr>
                <w:rFonts w:eastAsia="Times New Roman"/>
                <w:b/>
                <w:sz w:val="13"/>
                <w:szCs w:val="13"/>
              </w:rPr>
              <w:t>Išlaikymas</w:t>
            </w:r>
          </w:p>
        </w:tc>
        <w:tc>
          <w:tcPr>
            <w:tcW w:w="979" w:type="dxa"/>
            <w:tcBorders>
              <w:top w:val="single" w:sz="12" w:space="0" w:color="auto"/>
              <w:bottom w:val="single" w:sz="12" w:space="0" w:color="auto"/>
            </w:tcBorders>
            <w:shd w:val="clear" w:color="auto" w:fill="D9D9D9" w:themeFill="background1" w:themeFillShade="D9"/>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GEROVĖ:</w:t>
            </w:r>
          </w:p>
        </w:tc>
        <w:tc>
          <w:tcPr>
            <w:tcW w:w="979" w:type="dxa"/>
            <w:tcBorders>
              <w:top w:val="single" w:sz="12" w:space="0" w:color="auto"/>
              <w:bottom w:val="single" w:sz="12" w:space="0" w:color="auto"/>
            </w:tcBorders>
            <w:shd w:val="clear" w:color="auto" w:fill="D9D9D9" w:themeFill="background1" w:themeFillShade="D9"/>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Vienam asmeniui:</w:t>
            </w:r>
          </w:p>
        </w:tc>
      </w:tr>
      <w:tr w:rsidR="00CB7129" w:rsidRPr="005B630E" w:rsidTr="00CB7129">
        <w:trPr>
          <w:trHeight w:val="195"/>
        </w:trPr>
        <w:tc>
          <w:tcPr>
            <w:tcW w:w="366" w:type="dxa"/>
            <w:vMerge w:val="restart"/>
            <w:tcBorders>
              <w:top w:val="single" w:sz="1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r w:rsidRPr="005B630E">
              <w:rPr>
                <w:rFonts w:eastAsia="Times New Roman"/>
                <w:b/>
                <w:sz w:val="13"/>
                <w:szCs w:val="13"/>
              </w:rPr>
              <w:t>1</w:t>
            </w:r>
          </w:p>
        </w:tc>
        <w:tc>
          <w:tcPr>
            <w:tcW w:w="1884"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lang w:val="en-US"/>
              </w:rPr>
            </w:pPr>
            <w:r w:rsidRPr="005B630E">
              <w:rPr>
                <w:rFonts w:eastAsia="Times New Roman"/>
                <w:sz w:val="13"/>
                <w:szCs w:val="13"/>
              </w:rPr>
              <w:t>1 D, 75 %</w:t>
            </w:r>
          </w:p>
        </w:tc>
        <w:tc>
          <w:tcPr>
            <w:tcW w:w="1051"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570</w:t>
            </w:r>
          </w:p>
        </w:tc>
        <w:tc>
          <w:tcPr>
            <w:tcW w:w="813"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470 / 0</w:t>
            </w:r>
          </w:p>
        </w:tc>
        <w:tc>
          <w:tcPr>
            <w:tcW w:w="813"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15</w:t>
            </w:r>
          </w:p>
        </w:tc>
        <w:tc>
          <w:tcPr>
            <w:tcW w:w="815"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51</w:t>
            </w:r>
          </w:p>
        </w:tc>
        <w:tc>
          <w:tcPr>
            <w:tcW w:w="934"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504</w:t>
            </w:r>
          </w:p>
        </w:tc>
        <w:tc>
          <w:tcPr>
            <w:tcW w:w="933"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464</w:t>
            </w:r>
          </w:p>
        </w:tc>
        <w:tc>
          <w:tcPr>
            <w:tcW w:w="667"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7</w:t>
            </w:r>
          </w:p>
        </w:tc>
        <w:tc>
          <w:tcPr>
            <w:tcW w:w="667"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21"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08"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975</w:t>
            </w:r>
          </w:p>
        </w:tc>
        <w:tc>
          <w:tcPr>
            <w:tcW w:w="979" w:type="dxa"/>
            <w:tcBorders>
              <w:top w:val="single" w:sz="1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975</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1 D, 100 %</w:t>
            </w:r>
          </w:p>
        </w:tc>
        <w:tc>
          <w:tcPr>
            <w:tcW w:w="1051"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850</w:t>
            </w:r>
          </w:p>
        </w:tc>
        <w:tc>
          <w:tcPr>
            <w:tcW w:w="813"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460 / 0</w:t>
            </w:r>
          </w:p>
        </w:tc>
        <w:tc>
          <w:tcPr>
            <w:tcW w:w="813"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59</w:t>
            </w:r>
          </w:p>
        </w:tc>
        <w:tc>
          <w:tcPr>
            <w:tcW w:w="815"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77</w:t>
            </w:r>
          </w:p>
        </w:tc>
        <w:tc>
          <w:tcPr>
            <w:tcW w:w="934"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714</w:t>
            </w:r>
          </w:p>
        </w:tc>
        <w:tc>
          <w:tcPr>
            <w:tcW w:w="933"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422</w:t>
            </w:r>
          </w:p>
        </w:tc>
        <w:tc>
          <w:tcPr>
            <w:tcW w:w="667"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21"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08"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1 136</w:t>
            </w:r>
          </w:p>
        </w:tc>
        <w:tc>
          <w:tcPr>
            <w:tcW w:w="979"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1 136</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1 D, 100 %</w:t>
            </w:r>
          </w:p>
        </w:tc>
        <w:tc>
          <w:tcPr>
            <w:tcW w:w="1051"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1 100</w:t>
            </w:r>
          </w:p>
        </w:tc>
        <w:tc>
          <w:tcPr>
            <w:tcW w:w="813"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410 / 0</w:t>
            </w:r>
          </w:p>
        </w:tc>
        <w:tc>
          <w:tcPr>
            <w:tcW w:w="813"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104</w:t>
            </w:r>
          </w:p>
        </w:tc>
        <w:tc>
          <w:tcPr>
            <w:tcW w:w="815"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99</w:t>
            </w:r>
          </w:p>
        </w:tc>
        <w:tc>
          <w:tcPr>
            <w:tcW w:w="934"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897</w:t>
            </w:r>
          </w:p>
        </w:tc>
        <w:tc>
          <w:tcPr>
            <w:tcW w:w="933"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386</w:t>
            </w:r>
          </w:p>
        </w:tc>
        <w:tc>
          <w:tcPr>
            <w:tcW w:w="667"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21"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08"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1 283</w:t>
            </w:r>
          </w:p>
        </w:tc>
        <w:tc>
          <w:tcPr>
            <w:tcW w:w="979" w:type="dxa"/>
            <w:tcBorders>
              <w:top w:val="single" w:sz="2" w:space="0" w:color="auto"/>
              <w:bottom w:val="single" w:sz="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1 283</w:t>
            </w:r>
          </w:p>
        </w:tc>
      </w:tr>
      <w:tr w:rsidR="00CB7129" w:rsidRPr="005B630E" w:rsidTr="00CB7129">
        <w:trPr>
          <w:trHeight w:val="195"/>
        </w:trPr>
        <w:tc>
          <w:tcPr>
            <w:tcW w:w="366" w:type="dxa"/>
            <w:vMerge/>
            <w:tcBorders>
              <w:top w:val="single" w:sz="2" w:space="0" w:color="auto"/>
              <w:bottom w:val="single" w:sz="1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left"/>
              <w:rPr>
                <w:rFonts w:eastAsia="Times New Roman"/>
                <w:color w:val="0070C0"/>
                <w:sz w:val="13"/>
                <w:szCs w:val="13"/>
              </w:rPr>
            </w:pPr>
            <w:r w:rsidRPr="005B630E">
              <w:rPr>
                <w:rFonts w:eastAsia="Times New Roman"/>
                <w:color w:val="0070C0"/>
                <w:sz w:val="13"/>
                <w:szCs w:val="13"/>
              </w:rPr>
              <w:t>1 D, 100 %</w:t>
            </w:r>
          </w:p>
        </w:tc>
        <w:tc>
          <w:tcPr>
            <w:tcW w:w="1051"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1 700</w:t>
            </w:r>
          </w:p>
        </w:tc>
        <w:tc>
          <w:tcPr>
            <w:tcW w:w="813"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290 / 0</w:t>
            </w:r>
          </w:p>
        </w:tc>
        <w:tc>
          <w:tcPr>
            <w:tcW w:w="813"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212</w:t>
            </w:r>
          </w:p>
        </w:tc>
        <w:tc>
          <w:tcPr>
            <w:tcW w:w="815"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153</w:t>
            </w:r>
          </w:p>
        </w:tc>
        <w:tc>
          <w:tcPr>
            <w:tcW w:w="934"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1 335</w:t>
            </w:r>
          </w:p>
        </w:tc>
        <w:tc>
          <w:tcPr>
            <w:tcW w:w="933"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w:t>
            </w:r>
          </w:p>
        </w:tc>
        <w:tc>
          <w:tcPr>
            <w:tcW w:w="667"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298</w:t>
            </w:r>
          </w:p>
        </w:tc>
        <w:tc>
          <w:tcPr>
            <w:tcW w:w="667"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w:t>
            </w:r>
          </w:p>
        </w:tc>
        <w:tc>
          <w:tcPr>
            <w:tcW w:w="667"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w:t>
            </w:r>
          </w:p>
        </w:tc>
        <w:tc>
          <w:tcPr>
            <w:tcW w:w="821"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w:t>
            </w:r>
          </w:p>
        </w:tc>
        <w:tc>
          <w:tcPr>
            <w:tcW w:w="908"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color w:val="0070C0"/>
                <w:sz w:val="13"/>
                <w:szCs w:val="13"/>
              </w:rPr>
            </w:pPr>
            <w:r w:rsidRPr="005B630E">
              <w:rPr>
                <w:rFonts w:eastAsia="Times New Roman"/>
                <w:color w:val="0070C0"/>
                <w:sz w:val="13"/>
                <w:szCs w:val="13"/>
              </w:rPr>
              <w:t>-</w:t>
            </w:r>
          </w:p>
        </w:tc>
        <w:tc>
          <w:tcPr>
            <w:tcW w:w="979"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b/>
                <w:bCs/>
                <w:color w:val="0070C0"/>
                <w:sz w:val="13"/>
                <w:szCs w:val="13"/>
              </w:rPr>
            </w:pPr>
            <w:r w:rsidRPr="005B630E">
              <w:rPr>
                <w:rFonts w:eastAsia="Times New Roman"/>
                <w:b/>
                <w:bCs/>
                <w:color w:val="0070C0"/>
                <w:sz w:val="13"/>
                <w:szCs w:val="13"/>
              </w:rPr>
              <w:t>1 633</w:t>
            </w:r>
          </w:p>
        </w:tc>
        <w:tc>
          <w:tcPr>
            <w:tcW w:w="979" w:type="dxa"/>
            <w:tcBorders>
              <w:top w:val="single" w:sz="2" w:space="0" w:color="auto"/>
              <w:bottom w:val="single" w:sz="12" w:space="0" w:color="auto"/>
            </w:tcBorders>
            <w:shd w:val="clear" w:color="auto" w:fill="B8CCE4" w:themeFill="accent1" w:themeFillTint="66"/>
            <w:noWrap/>
            <w:vAlign w:val="bottom"/>
            <w:hideMark/>
          </w:tcPr>
          <w:p w:rsidR="00CB7129" w:rsidRPr="005B630E" w:rsidRDefault="00CB7129" w:rsidP="005B630E">
            <w:pPr>
              <w:widowControl/>
              <w:spacing w:after="0" w:line="240" w:lineRule="auto"/>
              <w:ind w:firstLine="0"/>
              <w:jc w:val="center"/>
              <w:rPr>
                <w:rFonts w:eastAsia="Times New Roman"/>
                <w:b/>
                <w:bCs/>
                <w:color w:val="0070C0"/>
                <w:sz w:val="13"/>
                <w:szCs w:val="13"/>
              </w:rPr>
            </w:pPr>
            <w:r w:rsidRPr="005B630E">
              <w:rPr>
                <w:rFonts w:eastAsia="Times New Roman"/>
                <w:b/>
                <w:bCs/>
                <w:color w:val="0070C0"/>
                <w:sz w:val="13"/>
                <w:szCs w:val="13"/>
              </w:rPr>
              <w:t>1 633</w:t>
            </w:r>
          </w:p>
        </w:tc>
      </w:tr>
      <w:tr w:rsidR="00CB7129" w:rsidRPr="005B630E" w:rsidTr="00CB7129">
        <w:trPr>
          <w:trHeight w:val="195"/>
        </w:trPr>
        <w:tc>
          <w:tcPr>
            <w:tcW w:w="366" w:type="dxa"/>
            <w:vMerge w:val="restart"/>
            <w:tcBorders>
              <w:top w:val="single" w:sz="1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r w:rsidRPr="005B630E">
              <w:rPr>
                <w:rFonts w:eastAsia="Times New Roman"/>
                <w:b/>
                <w:sz w:val="13"/>
                <w:szCs w:val="13"/>
              </w:rPr>
              <w:t>2</w:t>
            </w:r>
          </w:p>
        </w:tc>
        <w:tc>
          <w:tcPr>
            <w:tcW w:w="1884" w:type="dxa"/>
            <w:tcBorders>
              <w:top w:val="single" w:sz="1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left"/>
              <w:rPr>
                <w:rFonts w:eastAsia="Times New Roman"/>
                <w:sz w:val="13"/>
                <w:szCs w:val="13"/>
                <w:lang w:val="en-US"/>
              </w:rPr>
            </w:pPr>
            <w:r w:rsidRPr="005B630E">
              <w:rPr>
                <w:rFonts w:eastAsia="Times New Roman"/>
                <w:sz w:val="13"/>
                <w:szCs w:val="13"/>
              </w:rPr>
              <w:t>2 D, 75 %</w:t>
            </w:r>
          </w:p>
        </w:tc>
        <w:tc>
          <w:tcPr>
            <w:tcW w:w="1051" w:type="dxa"/>
            <w:tcBorders>
              <w:top w:val="single" w:sz="1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570 + 570</w:t>
            </w:r>
          </w:p>
        </w:tc>
        <w:tc>
          <w:tcPr>
            <w:tcW w:w="813" w:type="dxa"/>
            <w:tcBorders>
              <w:top w:val="single" w:sz="1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470 / 0</w:t>
            </w:r>
          </w:p>
        </w:tc>
        <w:tc>
          <w:tcPr>
            <w:tcW w:w="813" w:type="dxa"/>
            <w:tcBorders>
              <w:top w:val="single" w:sz="1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30</w:t>
            </w:r>
          </w:p>
        </w:tc>
        <w:tc>
          <w:tcPr>
            <w:tcW w:w="815" w:type="dxa"/>
            <w:tcBorders>
              <w:top w:val="single" w:sz="1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102</w:t>
            </w:r>
          </w:p>
        </w:tc>
        <w:tc>
          <w:tcPr>
            <w:tcW w:w="934" w:type="dxa"/>
            <w:tcBorders>
              <w:top w:val="single" w:sz="1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1 008</w:t>
            </w:r>
          </w:p>
        </w:tc>
        <w:tc>
          <w:tcPr>
            <w:tcW w:w="933" w:type="dxa"/>
            <w:tcBorders>
              <w:top w:val="single" w:sz="1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tcBorders>
              <w:top w:val="single" w:sz="1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433</w:t>
            </w:r>
          </w:p>
        </w:tc>
        <w:tc>
          <w:tcPr>
            <w:tcW w:w="667" w:type="dxa"/>
            <w:tcBorders>
              <w:top w:val="single" w:sz="1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3</w:t>
            </w:r>
          </w:p>
        </w:tc>
        <w:tc>
          <w:tcPr>
            <w:tcW w:w="667" w:type="dxa"/>
            <w:tcBorders>
              <w:top w:val="single" w:sz="1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21" w:type="dxa"/>
            <w:tcBorders>
              <w:top w:val="single" w:sz="1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08" w:type="dxa"/>
            <w:tcBorders>
              <w:top w:val="single" w:sz="1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tcBorders>
              <w:top w:val="single" w:sz="1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1 444</w:t>
            </w:r>
          </w:p>
        </w:tc>
        <w:tc>
          <w:tcPr>
            <w:tcW w:w="979" w:type="dxa"/>
            <w:tcBorders>
              <w:top w:val="single" w:sz="1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722</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2 D, 100 %</w:t>
            </w:r>
          </w:p>
        </w:tc>
        <w:tc>
          <w:tcPr>
            <w:tcW w:w="1051"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850 + 850</w:t>
            </w:r>
          </w:p>
        </w:tc>
        <w:tc>
          <w:tcPr>
            <w:tcW w:w="813"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460 / 0</w:t>
            </w:r>
          </w:p>
        </w:tc>
        <w:tc>
          <w:tcPr>
            <w:tcW w:w="813"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118</w:t>
            </w:r>
          </w:p>
        </w:tc>
        <w:tc>
          <w:tcPr>
            <w:tcW w:w="815"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154</w:t>
            </w:r>
          </w:p>
        </w:tc>
        <w:tc>
          <w:tcPr>
            <w:tcW w:w="934"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1 428</w:t>
            </w:r>
          </w:p>
        </w:tc>
        <w:tc>
          <w:tcPr>
            <w:tcW w:w="933"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349</w:t>
            </w:r>
          </w:p>
        </w:tc>
        <w:tc>
          <w:tcPr>
            <w:tcW w:w="667"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21"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08"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1 777</w:t>
            </w:r>
          </w:p>
        </w:tc>
        <w:tc>
          <w:tcPr>
            <w:tcW w:w="979"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889</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2 D, 100 %</w:t>
            </w:r>
          </w:p>
        </w:tc>
        <w:tc>
          <w:tcPr>
            <w:tcW w:w="1051"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1 100 + 1 100</w:t>
            </w:r>
          </w:p>
        </w:tc>
        <w:tc>
          <w:tcPr>
            <w:tcW w:w="813"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410 / 0</w:t>
            </w:r>
          </w:p>
        </w:tc>
        <w:tc>
          <w:tcPr>
            <w:tcW w:w="813"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208</w:t>
            </w:r>
          </w:p>
        </w:tc>
        <w:tc>
          <w:tcPr>
            <w:tcW w:w="815"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198</w:t>
            </w:r>
          </w:p>
        </w:tc>
        <w:tc>
          <w:tcPr>
            <w:tcW w:w="934"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1 794</w:t>
            </w:r>
          </w:p>
        </w:tc>
        <w:tc>
          <w:tcPr>
            <w:tcW w:w="933"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276</w:t>
            </w:r>
          </w:p>
        </w:tc>
        <w:tc>
          <w:tcPr>
            <w:tcW w:w="667"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21"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08"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2 070</w:t>
            </w:r>
          </w:p>
        </w:tc>
        <w:tc>
          <w:tcPr>
            <w:tcW w:w="979" w:type="dxa"/>
            <w:tcBorders>
              <w:top w:val="single" w:sz="2" w:space="0" w:color="auto"/>
              <w:bottom w:val="single" w:sz="2" w:space="0" w:color="auto"/>
            </w:tcBorders>
            <w:shd w:val="clear" w:color="auto" w:fill="CCC0D9" w:themeFill="accent4" w:themeFillTint="66"/>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1 035</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left"/>
              <w:rPr>
                <w:rFonts w:eastAsia="Times New Roman"/>
                <w:color w:val="5F497A" w:themeColor="accent4" w:themeShade="BF"/>
                <w:sz w:val="13"/>
                <w:szCs w:val="13"/>
              </w:rPr>
            </w:pPr>
            <w:r w:rsidRPr="005B630E">
              <w:rPr>
                <w:rFonts w:eastAsia="Times New Roman"/>
                <w:color w:val="5F497A" w:themeColor="accent4" w:themeShade="BF"/>
                <w:sz w:val="13"/>
                <w:szCs w:val="13"/>
              </w:rPr>
              <w:t>2 D, 100 %</w:t>
            </w:r>
          </w:p>
        </w:tc>
        <w:tc>
          <w:tcPr>
            <w:tcW w:w="1051"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1 700 + 1 700</w:t>
            </w:r>
          </w:p>
        </w:tc>
        <w:tc>
          <w:tcPr>
            <w:tcW w:w="813"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290 / 0</w:t>
            </w:r>
          </w:p>
        </w:tc>
        <w:tc>
          <w:tcPr>
            <w:tcW w:w="813"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424</w:t>
            </w:r>
          </w:p>
        </w:tc>
        <w:tc>
          <w:tcPr>
            <w:tcW w:w="815"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306</w:t>
            </w:r>
          </w:p>
        </w:tc>
        <w:tc>
          <w:tcPr>
            <w:tcW w:w="934"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2 670</w:t>
            </w:r>
          </w:p>
        </w:tc>
        <w:tc>
          <w:tcPr>
            <w:tcW w:w="933"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w:t>
            </w:r>
          </w:p>
        </w:tc>
        <w:tc>
          <w:tcPr>
            <w:tcW w:w="667"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101</w:t>
            </w:r>
          </w:p>
        </w:tc>
        <w:tc>
          <w:tcPr>
            <w:tcW w:w="667"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w:t>
            </w:r>
          </w:p>
        </w:tc>
        <w:tc>
          <w:tcPr>
            <w:tcW w:w="667"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w:t>
            </w:r>
          </w:p>
        </w:tc>
        <w:tc>
          <w:tcPr>
            <w:tcW w:w="821"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w:t>
            </w:r>
          </w:p>
        </w:tc>
        <w:tc>
          <w:tcPr>
            <w:tcW w:w="908"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color w:val="5F497A" w:themeColor="accent4" w:themeShade="BF"/>
                <w:sz w:val="13"/>
                <w:szCs w:val="13"/>
              </w:rPr>
            </w:pPr>
            <w:r w:rsidRPr="005B630E">
              <w:rPr>
                <w:rFonts w:eastAsia="Times New Roman"/>
                <w:color w:val="5F497A" w:themeColor="accent4" w:themeShade="BF"/>
                <w:sz w:val="13"/>
                <w:szCs w:val="13"/>
              </w:rPr>
              <w:t>-</w:t>
            </w:r>
          </w:p>
        </w:tc>
        <w:tc>
          <w:tcPr>
            <w:tcW w:w="979"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b/>
                <w:bCs/>
                <w:color w:val="5F497A" w:themeColor="accent4" w:themeShade="BF"/>
                <w:sz w:val="13"/>
                <w:szCs w:val="13"/>
              </w:rPr>
            </w:pPr>
            <w:r w:rsidRPr="005B630E">
              <w:rPr>
                <w:rFonts w:eastAsia="Times New Roman"/>
                <w:b/>
                <w:bCs/>
                <w:color w:val="5F497A" w:themeColor="accent4" w:themeShade="BF"/>
                <w:sz w:val="13"/>
                <w:szCs w:val="13"/>
              </w:rPr>
              <w:t>2 771</w:t>
            </w:r>
          </w:p>
        </w:tc>
        <w:tc>
          <w:tcPr>
            <w:tcW w:w="979" w:type="dxa"/>
            <w:tcBorders>
              <w:top w:val="single" w:sz="2" w:space="0" w:color="auto"/>
              <w:bottom w:val="single" w:sz="2" w:space="0" w:color="auto"/>
            </w:tcBorders>
            <w:shd w:val="clear" w:color="auto" w:fill="CCC0D9" w:themeFill="accent4" w:themeFillTint="66"/>
            <w:noWrap/>
            <w:vAlign w:val="bottom"/>
            <w:hideMark/>
          </w:tcPr>
          <w:p w:rsidR="00CB7129" w:rsidRPr="005B630E" w:rsidRDefault="00CB7129" w:rsidP="005B630E">
            <w:pPr>
              <w:widowControl/>
              <w:spacing w:after="0" w:line="240" w:lineRule="auto"/>
              <w:ind w:firstLine="0"/>
              <w:jc w:val="center"/>
              <w:rPr>
                <w:rFonts w:eastAsia="Times New Roman"/>
                <w:b/>
                <w:bCs/>
                <w:color w:val="5F497A" w:themeColor="accent4" w:themeShade="BF"/>
                <w:sz w:val="13"/>
                <w:szCs w:val="13"/>
              </w:rPr>
            </w:pPr>
            <w:r w:rsidRPr="005B630E">
              <w:rPr>
                <w:rFonts w:eastAsia="Times New Roman"/>
                <w:b/>
                <w:bCs/>
                <w:color w:val="5F497A" w:themeColor="accent4" w:themeShade="BF"/>
                <w:sz w:val="13"/>
                <w:szCs w:val="13"/>
              </w:rPr>
              <w:t>1 389</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1 D + 1 V, 75 %</w:t>
            </w:r>
          </w:p>
        </w:tc>
        <w:tc>
          <w:tcPr>
            <w:tcW w:w="1051"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570</w:t>
            </w:r>
          </w:p>
        </w:tc>
        <w:tc>
          <w:tcPr>
            <w:tcW w:w="813"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470 / 100</w:t>
            </w:r>
          </w:p>
        </w:tc>
        <w:tc>
          <w:tcPr>
            <w:tcW w:w="813"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0</w:t>
            </w:r>
          </w:p>
        </w:tc>
        <w:tc>
          <w:tcPr>
            <w:tcW w:w="815"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51</w:t>
            </w:r>
          </w:p>
        </w:tc>
        <w:tc>
          <w:tcPr>
            <w:tcW w:w="934"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519</w:t>
            </w:r>
          </w:p>
        </w:tc>
        <w:tc>
          <w:tcPr>
            <w:tcW w:w="933"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0 / 45</w:t>
            </w:r>
          </w:p>
        </w:tc>
        <w:tc>
          <w:tcPr>
            <w:tcW w:w="667"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495</w:t>
            </w:r>
          </w:p>
        </w:tc>
        <w:tc>
          <w:tcPr>
            <w:tcW w:w="667"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18</w:t>
            </w:r>
          </w:p>
        </w:tc>
        <w:tc>
          <w:tcPr>
            <w:tcW w:w="667"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w:t>
            </w:r>
          </w:p>
        </w:tc>
        <w:tc>
          <w:tcPr>
            <w:tcW w:w="821"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93</w:t>
            </w:r>
          </w:p>
        </w:tc>
        <w:tc>
          <w:tcPr>
            <w:tcW w:w="908"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130</w:t>
            </w:r>
          </w:p>
        </w:tc>
        <w:tc>
          <w:tcPr>
            <w:tcW w:w="979"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1 304</w:t>
            </w:r>
          </w:p>
        </w:tc>
        <w:tc>
          <w:tcPr>
            <w:tcW w:w="979"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652</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1 D + 1 V, 100 %</w:t>
            </w:r>
          </w:p>
        </w:tc>
        <w:tc>
          <w:tcPr>
            <w:tcW w:w="1051"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850</w:t>
            </w:r>
          </w:p>
        </w:tc>
        <w:tc>
          <w:tcPr>
            <w:tcW w:w="813"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460 / 100</w:t>
            </w:r>
          </w:p>
        </w:tc>
        <w:tc>
          <w:tcPr>
            <w:tcW w:w="813"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44</w:t>
            </w:r>
          </w:p>
        </w:tc>
        <w:tc>
          <w:tcPr>
            <w:tcW w:w="815"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77</w:t>
            </w:r>
          </w:p>
        </w:tc>
        <w:tc>
          <w:tcPr>
            <w:tcW w:w="934"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729</w:t>
            </w:r>
          </w:p>
        </w:tc>
        <w:tc>
          <w:tcPr>
            <w:tcW w:w="933"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463</w:t>
            </w:r>
          </w:p>
        </w:tc>
        <w:tc>
          <w:tcPr>
            <w:tcW w:w="667"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10</w:t>
            </w:r>
          </w:p>
        </w:tc>
        <w:tc>
          <w:tcPr>
            <w:tcW w:w="667"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21"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93</w:t>
            </w:r>
          </w:p>
        </w:tc>
        <w:tc>
          <w:tcPr>
            <w:tcW w:w="908"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130</w:t>
            </w:r>
          </w:p>
        </w:tc>
        <w:tc>
          <w:tcPr>
            <w:tcW w:w="979"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1 425</w:t>
            </w:r>
          </w:p>
        </w:tc>
        <w:tc>
          <w:tcPr>
            <w:tcW w:w="979"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713</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1 D + 1 V, 100 %</w:t>
            </w:r>
          </w:p>
        </w:tc>
        <w:tc>
          <w:tcPr>
            <w:tcW w:w="1051"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1 100</w:t>
            </w:r>
          </w:p>
        </w:tc>
        <w:tc>
          <w:tcPr>
            <w:tcW w:w="813"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410 / 100</w:t>
            </w:r>
          </w:p>
        </w:tc>
        <w:tc>
          <w:tcPr>
            <w:tcW w:w="813"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89</w:t>
            </w:r>
          </w:p>
        </w:tc>
        <w:tc>
          <w:tcPr>
            <w:tcW w:w="815"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99</w:t>
            </w:r>
          </w:p>
        </w:tc>
        <w:tc>
          <w:tcPr>
            <w:tcW w:w="934"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912</w:t>
            </w:r>
          </w:p>
        </w:tc>
        <w:tc>
          <w:tcPr>
            <w:tcW w:w="933"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427</w:t>
            </w:r>
          </w:p>
        </w:tc>
        <w:tc>
          <w:tcPr>
            <w:tcW w:w="667"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21"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93</w:t>
            </w:r>
          </w:p>
        </w:tc>
        <w:tc>
          <w:tcPr>
            <w:tcW w:w="908"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130</w:t>
            </w:r>
          </w:p>
        </w:tc>
        <w:tc>
          <w:tcPr>
            <w:tcW w:w="979"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1 562</w:t>
            </w:r>
          </w:p>
        </w:tc>
        <w:tc>
          <w:tcPr>
            <w:tcW w:w="979" w:type="dxa"/>
            <w:tcBorders>
              <w:top w:val="single" w:sz="2" w:space="0" w:color="auto"/>
              <w:bottom w:val="single" w:sz="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781</w:t>
            </w:r>
          </w:p>
        </w:tc>
      </w:tr>
      <w:tr w:rsidR="00CB7129" w:rsidRPr="005B630E" w:rsidTr="00CB7129">
        <w:trPr>
          <w:trHeight w:val="195"/>
        </w:trPr>
        <w:tc>
          <w:tcPr>
            <w:tcW w:w="366" w:type="dxa"/>
            <w:vMerge/>
            <w:tcBorders>
              <w:top w:val="single" w:sz="2" w:space="0" w:color="auto"/>
              <w:bottom w:val="single" w:sz="1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left"/>
              <w:rPr>
                <w:rFonts w:eastAsia="Times New Roman"/>
                <w:color w:val="943634" w:themeColor="accent2" w:themeShade="BF"/>
                <w:sz w:val="13"/>
                <w:szCs w:val="13"/>
              </w:rPr>
            </w:pPr>
            <w:r w:rsidRPr="005B630E">
              <w:rPr>
                <w:rFonts w:eastAsia="Times New Roman"/>
                <w:color w:val="943634" w:themeColor="accent2" w:themeShade="BF"/>
                <w:sz w:val="13"/>
                <w:szCs w:val="13"/>
              </w:rPr>
              <w:t>1 D + 1 V, 100 %</w:t>
            </w:r>
          </w:p>
        </w:tc>
        <w:tc>
          <w:tcPr>
            <w:tcW w:w="1051"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1 700</w:t>
            </w:r>
          </w:p>
        </w:tc>
        <w:tc>
          <w:tcPr>
            <w:tcW w:w="813"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290 / 100</w:t>
            </w:r>
          </w:p>
        </w:tc>
        <w:tc>
          <w:tcPr>
            <w:tcW w:w="813"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197</w:t>
            </w:r>
          </w:p>
        </w:tc>
        <w:tc>
          <w:tcPr>
            <w:tcW w:w="815"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153</w:t>
            </w:r>
          </w:p>
        </w:tc>
        <w:tc>
          <w:tcPr>
            <w:tcW w:w="934"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1 350</w:t>
            </w:r>
          </w:p>
        </w:tc>
        <w:tc>
          <w:tcPr>
            <w:tcW w:w="933"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w:t>
            </w:r>
          </w:p>
        </w:tc>
        <w:tc>
          <w:tcPr>
            <w:tcW w:w="667"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339</w:t>
            </w:r>
          </w:p>
        </w:tc>
        <w:tc>
          <w:tcPr>
            <w:tcW w:w="667"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w:t>
            </w:r>
          </w:p>
        </w:tc>
        <w:tc>
          <w:tcPr>
            <w:tcW w:w="667"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w:t>
            </w:r>
          </w:p>
        </w:tc>
        <w:tc>
          <w:tcPr>
            <w:tcW w:w="821"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w:t>
            </w:r>
          </w:p>
        </w:tc>
        <w:tc>
          <w:tcPr>
            <w:tcW w:w="908"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color w:val="943634" w:themeColor="accent2" w:themeShade="BF"/>
                <w:sz w:val="13"/>
                <w:szCs w:val="13"/>
              </w:rPr>
            </w:pPr>
            <w:r w:rsidRPr="005B630E">
              <w:rPr>
                <w:rFonts w:eastAsia="Times New Roman"/>
                <w:color w:val="943634" w:themeColor="accent2" w:themeShade="BF"/>
                <w:sz w:val="13"/>
                <w:szCs w:val="13"/>
              </w:rPr>
              <w:t>130</w:t>
            </w:r>
          </w:p>
        </w:tc>
        <w:tc>
          <w:tcPr>
            <w:tcW w:w="979"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b/>
                <w:bCs/>
                <w:color w:val="943634" w:themeColor="accent2" w:themeShade="BF"/>
                <w:sz w:val="13"/>
                <w:szCs w:val="13"/>
              </w:rPr>
            </w:pPr>
            <w:r w:rsidRPr="005B630E">
              <w:rPr>
                <w:rFonts w:eastAsia="Times New Roman"/>
                <w:b/>
                <w:bCs/>
                <w:color w:val="943634" w:themeColor="accent2" w:themeShade="BF"/>
                <w:sz w:val="13"/>
                <w:szCs w:val="13"/>
              </w:rPr>
              <w:t>1 819</w:t>
            </w:r>
          </w:p>
        </w:tc>
        <w:tc>
          <w:tcPr>
            <w:tcW w:w="979" w:type="dxa"/>
            <w:tcBorders>
              <w:top w:val="single" w:sz="2" w:space="0" w:color="auto"/>
              <w:bottom w:val="single" w:sz="12" w:space="0" w:color="auto"/>
            </w:tcBorders>
            <w:shd w:val="clear" w:color="auto" w:fill="E5B8B7" w:themeFill="accent2" w:themeFillTint="66"/>
            <w:noWrap/>
            <w:vAlign w:val="bottom"/>
            <w:hideMark/>
          </w:tcPr>
          <w:p w:rsidR="00CB7129" w:rsidRPr="005B630E" w:rsidRDefault="00CB7129" w:rsidP="005B630E">
            <w:pPr>
              <w:widowControl/>
              <w:spacing w:after="0" w:line="240" w:lineRule="auto"/>
              <w:ind w:firstLine="0"/>
              <w:jc w:val="center"/>
              <w:rPr>
                <w:rFonts w:eastAsia="Times New Roman"/>
                <w:b/>
                <w:bCs/>
                <w:color w:val="943634" w:themeColor="accent2" w:themeShade="BF"/>
                <w:sz w:val="13"/>
                <w:szCs w:val="13"/>
              </w:rPr>
            </w:pPr>
            <w:r w:rsidRPr="005B630E">
              <w:rPr>
                <w:rFonts w:eastAsia="Times New Roman"/>
                <w:b/>
                <w:bCs/>
                <w:color w:val="943634" w:themeColor="accent2" w:themeShade="BF"/>
                <w:sz w:val="13"/>
                <w:szCs w:val="13"/>
              </w:rPr>
              <w:t>910</w:t>
            </w:r>
          </w:p>
        </w:tc>
      </w:tr>
      <w:tr w:rsidR="00CB7129" w:rsidRPr="005B630E" w:rsidTr="00CB7129">
        <w:trPr>
          <w:trHeight w:val="195"/>
        </w:trPr>
        <w:tc>
          <w:tcPr>
            <w:tcW w:w="366" w:type="dxa"/>
            <w:vMerge w:val="restart"/>
            <w:tcBorders>
              <w:top w:val="single" w:sz="1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r w:rsidRPr="005B630E">
              <w:rPr>
                <w:rFonts w:eastAsia="Times New Roman"/>
                <w:b/>
                <w:sz w:val="13"/>
                <w:szCs w:val="13"/>
              </w:rPr>
              <w:t>3</w:t>
            </w:r>
          </w:p>
        </w:tc>
        <w:tc>
          <w:tcPr>
            <w:tcW w:w="1884" w:type="dxa"/>
            <w:tcBorders>
              <w:top w:val="single" w:sz="1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left"/>
              <w:rPr>
                <w:rFonts w:eastAsia="Times New Roman"/>
                <w:sz w:val="13"/>
                <w:szCs w:val="13"/>
                <w:lang w:val="en-US"/>
              </w:rPr>
            </w:pPr>
            <w:r w:rsidRPr="005B630E">
              <w:rPr>
                <w:rFonts w:eastAsia="Times New Roman"/>
                <w:sz w:val="13"/>
                <w:szCs w:val="13"/>
              </w:rPr>
              <w:t>2 D + 1 V, 75 %</w:t>
            </w:r>
          </w:p>
        </w:tc>
        <w:tc>
          <w:tcPr>
            <w:tcW w:w="1051" w:type="dxa"/>
            <w:tcBorders>
              <w:top w:val="single" w:sz="1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570 + 570</w:t>
            </w:r>
          </w:p>
        </w:tc>
        <w:tc>
          <w:tcPr>
            <w:tcW w:w="813" w:type="dxa"/>
            <w:tcBorders>
              <w:top w:val="single" w:sz="1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470 / 100</w:t>
            </w:r>
          </w:p>
        </w:tc>
        <w:tc>
          <w:tcPr>
            <w:tcW w:w="813" w:type="dxa"/>
            <w:tcBorders>
              <w:top w:val="single" w:sz="1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15</w:t>
            </w:r>
          </w:p>
        </w:tc>
        <w:tc>
          <w:tcPr>
            <w:tcW w:w="815" w:type="dxa"/>
            <w:tcBorders>
              <w:top w:val="single" w:sz="1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102</w:t>
            </w:r>
          </w:p>
        </w:tc>
        <w:tc>
          <w:tcPr>
            <w:tcW w:w="934" w:type="dxa"/>
            <w:tcBorders>
              <w:top w:val="single" w:sz="1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1 023</w:t>
            </w:r>
          </w:p>
        </w:tc>
        <w:tc>
          <w:tcPr>
            <w:tcW w:w="933" w:type="dxa"/>
            <w:tcBorders>
              <w:top w:val="single" w:sz="1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0 / 22</w:t>
            </w:r>
          </w:p>
        </w:tc>
        <w:tc>
          <w:tcPr>
            <w:tcW w:w="667" w:type="dxa"/>
            <w:tcBorders>
              <w:top w:val="single" w:sz="1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495</w:t>
            </w:r>
          </w:p>
        </w:tc>
        <w:tc>
          <w:tcPr>
            <w:tcW w:w="667" w:type="dxa"/>
            <w:tcBorders>
              <w:top w:val="single" w:sz="1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12</w:t>
            </w:r>
          </w:p>
        </w:tc>
        <w:tc>
          <w:tcPr>
            <w:tcW w:w="667" w:type="dxa"/>
            <w:tcBorders>
              <w:top w:val="single" w:sz="1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21" w:type="dxa"/>
            <w:tcBorders>
              <w:top w:val="single" w:sz="1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93</w:t>
            </w:r>
          </w:p>
        </w:tc>
        <w:tc>
          <w:tcPr>
            <w:tcW w:w="908" w:type="dxa"/>
            <w:tcBorders>
              <w:top w:val="single" w:sz="1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tcBorders>
              <w:top w:val="single" w:sz="1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1 645</w:t>
            </w:r>
          </w:p>
        </w:tc>
        <w:tc>
          <w:tcPr>
            <w:tcW w:w="979" w:type="dxa"/>
            <w:tcBorders>
              <w:top w:val="single" w:sz="1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548</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2 D + 1 V, 100 %</w:t>
            </w:r>
          </w:p>
        </w:tc>
        <w:tc>
          <w:tcPr>
            <w:tcW w:w="1051"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850 + 850</w:t>
            </w:r>
          </w:p>
        </w:tc>
        <w:tc>
          <w:tcPr>
            <w:tcW w:w="813"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460 / 100</w:t>
            </w:r>
          </w:p>
        </w:tc>
        <w:tc>
          <w:tcPr>
            <w:tcW w:w="813"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103</w:t>
            </w:r>
          </w:p>
        </w:tc>
        <w:tc>
          <w:tcPr>
            <w:tcW w:w="815"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154</w:t>
            </w:r>
          </w:p>
        </w:tc>
        <w:tc>
          <w:tcPr>
            <w:tcW w:w="934"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1 443</w:t>
            </w:r>
          </w:p>
        </w:tc>
        <w:tc>
          <w:tcPr>
            <w:tcW w:w="933"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416</w:t>
            </w:r>
          </w:p>
        </w:tc>
        <w:tc>
          <w:tcPr>
            <w:tcW w:w="667"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21"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93</w:t>
            </w:r>
          </w:p>
        </w:tc>
        <w:tc>
          <w:tcPr>
            <w:tcW w:w="908"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1 952</w:t>
            </w:r>
          </w:p>
        </w:tc>
        <w:tc>
          <w:tcPr>
            <w:tcW w:w="979"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651</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2 D + 1 V, 100 %</w:t>
            </w:r>
          </w:p>
        </w:tc>
        <w:tc>
          <w:tcPr>
            <w:tcW w:w="1051"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1 100 + 1 100</w:t>
            </w:r>
          </w:p>
        </w:tc>
        <w:tc>
          <w:tcPr>
            <w:tcW w:w="813"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410 / 100</w:t>
            </w:r>
          </w:p>
        </w:tc>
        <w:tc>
          <w:tcPr>
            <w:tcW w:w="813"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193</w:t>
            </w:r>
          </w:p>
        </w:tc>
        <w:tc>
          <w:tcPr>
            <w:tcW w:w="815"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198</w:t>
            </w:r>
          </w:p>
        </w:tc>
        <w:tc>
          <w:tcPr>
            <w:tcW w:w="934"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1 809</w:t>
            </w:r>
          </w:p>
        </w:tc>
        <w:tc>
          <w:tcPr>
            <w:tcW w:w="933"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343</w:t>
            </w:r>
          </w:p>
        </w:tc>
        <w:tc>
          <w:tcPr>
            <w:tcW w:w="667"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21"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08"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2 152</w:t>
            </w:r>
          </w:p>
        </w:tc>
        <w:tc>
          <w:tcPr>
            <w:tcW w:w="979"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717</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left"/>
              <w:rPr>
                <w:rFonts w:eastAsia="Times New Roman"/>
                <w:color w:val="E36C0A" w:themeColor="accent6" w:themeShade="BF"/>
                <w:sz w:val="13"/>
                <w:szCs w:val="13"/>
              </w:rPr>
            </w:pPr>
            <w:r w:rsidRPr="005B630E">
              <w:rPr>
                <w:rFonts w:eastAsia="Times New Roman"/>
                <w:color w:val="E36C0A" w:themeColor="accent6" w:themeShade="BF"/>
                <w:sz w:val="13"/>
                <w:szCs w:val="13"/>
              </w:rPr>
              <w:t>2 D + 1 V, 100 %</w:t>
            </w:r>
          </w:p>
        </w:tc>
        <w:tc>
          <w:tcPr>
            <w:tcW w:w="1051"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1 700 + 1 700</w:t>
            </w:r>
          </w:p>
        </w:tc>
        <w:tc>
          <w:tcPr>
            <w:tcW w:w="813"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290 / 100</w:t>
            </w:r>
          </w:p>
        </w:tc>
        <w:tc>
          <w:tcPr>
            <w:tcW w:w="813"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409</w:t>
            </w:r>
          </w:p>
        </w:tc>
        <w:tc>
          <w:tcPr>
            <w:tcW w:w="815"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306</w:t>
            </w:r>
          </w:p>
        </w:tc>
        <w:tc>
          <w:tcPr>
            <w:tcW w:w="934"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2 685</w:t>
            </w:r>
          </w:p>
        </w:tc>
        <w:tc>
          <w:tcPr>
            <w:tcW w:w="933"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w:t>
            </w:r>
          </w:p>
        </w:tc>
        <w:tc>
          <w:tcPr>
            <w:tcW w:w="667"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168</w:t>
            </w:r>
          </w:p>
        </w:tc>
        <w:tc>
          <w:tcPr>
            <w:tcW w:w="667"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w:t>
            </w:r>
          </w:p>
        </w:tc>
        <w:tc>
          <w:tcPr>
            <w:tcW w:w="667"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w:t>
            </w:r>
          </w:p>
        </w:tc>
        <w:tc>
          <w:tcPr>
            <w:tcW w:w="821"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w:t>
            </w:r>
          </w:p>
        </w:tc>
        <w:tc>
          <w:tcPr>
            <w:tcW w:w="908"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color w:val="E36C0A" w:themeColor="accent6" w:themeShade="BF"/>
                <w:sz w:val="13"/>
                <w:szCs w:val="13"/>
              </w:rPr>
            </w:pPr>
            <w:r w:rsidRPr="005B630E">
              <w:rPr>
                <w:rFonts w:eastAsia="Times New Roman"/>
                <w:color w:val="E36C0A" w:themeColor="accent6" w:themeShade="BF"/>
                <w:sz w:val="13"/>
                <w:szCs w:val="13"/>
              </w:rPr>
              <w:t>-</w:t>
            </w:r>
          </w:p>
        </w:tc>
        <w:tc>
          <w:tcPr>
            <w:tcW w:w="979"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b/>
                <w:bCs/>
                <w:color w:val="E36C0A" w:themeColor="accent6" w:themeShade="BF"/>
                <w:sz w:val="13"/>
                <w:szCs w:val="13"/>
              </w:rPr>
            </w:pPr>
            <w:r w:rsidRPr="005B630E">
              <w:rPr>
                <w:rFonts w:eastAsia="Times New Roman"/>
                <w:b/>
                <w:bCs/>
                <w:color w:val="E36C0A" w:themeColor="accent6" w:themeShade="BF"/>
                <w:sz w:val="13"/>
                <w:szCs w:val="13"/>
              </w:rPr>
              <w:t>2 853</w:t>
            </w:r>
          </w:p>
        </w:tc>
        <w:tc>
          <w:tcPr>
            <w:tcW w:w="979" w:type="dxa"/>
            <w:tcBorders>
              <w:top w:val="single" w:sz="2" w:space="0" w:color="auto"/>
              <w:bottom w:val="single" w:sz="2" w:space="0" w:color="auto"/>
            </w:tcBorders>
            <w:shd w:val="clear" w:color="auto" w:fill="FBD4B4" w:themeFill="accent6" w:themeFillTint="66"/>
            <w:noWrap/>
            <w:vAlign w:val="center"/>
            <w:hideMark/>
          </w:tcPr>
          <w:p w:rsidR="00CB7129" w:rsidRPr="005B630E" w:rsidRDefault="00CB7129" w:rsidP="005B630E">
            <w:pPr>
              <w:widowControl/>
              <w:spacing w:after="0" w:line="240" w:lineRule="auto"/>
              <w:ind w:firstLine="0"/>
              <w:jc w:val="center"/>
              <w:rPr>
                <w:rFonts w:eastAsia="Times New Roman"/>
                <w:b/>
                <w:bCs/>
                <w:color w:val="E36C0A" w:themeColor="accent6" w:themeShade="BF"/>
                <w:sz w:val="13"/>
                <w:szCs w:val="13"/>
              </w:rPr>
            </w:pPr>
            <w:r w:rsidRPr="005B630E">
              <w:rPr>
                <w:rFonts w:eastAsia="Times New Roman"/>
                <w:b/>
                <w:bCs/>
                <w:color w:val="E36C0A" w:themeColor="accent6" w:themeShade="BF"/>
                <w:sz w:val="13"/>
                <w:szCs w:val="13"/>
              </w:rPr>
              <w:t>951</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1 D + 2 V, 75 %</w:t>
            </w:r>
          </w:p>
        </w:tc>
        <w:tc>
          <w:tcPr>
            <w:tcW w:w="1051"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570</w:t>
            </w:r>
          </w:p>
        </w:tc>
        <w:tc>
          <w:tcPr>
            <w:tcW w:w="813"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470 / 300</w:t>
            </w:r>
          </w:p>
        </w:tc>
        <w:tc>
          <w:tcPr>
            <w:tcW w:w="813"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0</w:t>
            </w:r>
          </w:p>
        </w:tc>
        <w:tc>
          <w:tcPr>
            <w:tcW w:w="815"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51</w:t>
            </w:r>
          </w:p>
        </w:tc>
        <w:tc>
          <w:tcPr>
            <w:tcW w:w="934"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519</w:t>
            </w:r>
          </w:p>
        </w:tc>
        <w:tc>
          <w:tcPr>
            <w:tcW w:w="933"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0 / 225</w:t>
            </w:r>
          </w:p>
        </w:tc>
        <w:tc>
          <w:tcPr>
            <w:tcW w:w="667"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495</w:t>
            </w:r>
          </w:p>
        </w:tc>
        <w:tc>
          <w:tcPr>
            <w:tcW w:w="667"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14</w:t>
            </w:r>
          </w:p>
        </w:tc>
        <w:tc>
          <w:tcPr>
            <w:tcW w:w="667"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2</w:t>
            </w:r>
          </w:p>
        </w:tc>
        <w:tc>
          <w:tcPr>
            <w:tcW w:w="821"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186</w:t>
            </w:r>
          </w:p>
        </w:tc>
        <w:tc>
          <w:tcPr>
            <w:tcW w:w="908"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260</w:t>
            </w:r>
          </w:p>
        </w:tc>
        <w:tc>
          <w:tcPr>
            <w:tcW w:w="979"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1 701</w:t>
            </w:r>
          </w:p>
        </w:tc>
        <w:tc>
          <w:tcPr>
            <w:tcW w:w="979"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567</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1 D + 2 V, 100 %</w:t>
            </w:r>
          </w:p>
        </w:tc>
        <w:tc>
          <w:tcPr>
            <w:tcW w:w="1051"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850</w:t>
            </w:r>
          </w:p>
        </w:tc>
        <w:tc>
          <w:tcPr>
            <w:tcW w:w="813"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460 / 300</w:t>
            </w:r>
          </w:p>
        </w:tc>
        <w:tc>
          <w:tcPr>
            <w:tcW w:w="813"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14</w:t>
            </w:r>
          </w:p>
        </w:tc>
        <w:tc>
          <w:tcPr>
            <w:tcW w:w="815"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77</w:t>
            </w:r>
          </w:p>
        </w:tc>
        <w:tc>
          <w:tcPr>
            <w:tcW w:w="934"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759</w:t>
            </w:r>
          </w:p>
        </w:tc>
        <w:tc>
          <w:tcPr>
            <w:tcW w:w="933"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0 / 25</w:t>
            </w:r>
          </w:p>
        </w:tc>
        <w:tc>
          <w:tcPr>
            <w:tcW w:w="667"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495</w:t>
            </w:r>
          </w:p>
        </w:tc>
        <w:tc>
          <w:tcPr>
            <w:tcW w:w="667"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12</w:t>
            </w:r>
          </w:p>
        </w:tc>
        <w:tc>
          <w:tcPr>
            <w:tcW w:w="667"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21"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186</w:t>
            </w:r>
          </w:p>
        </w:tc>
        <w:tc>
          <w:tcPr>
            <w:tcW w:w="908"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260</w:t>
            </w:r>
          </w:p>
        </w:tc>
        <w:tc>
          <w:tcPr>
            <w:tcW w:w="979"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1 737</w:t>
            </w:r>
          </w:p>
        </w:tc>
        <w:tc>
          <w:tcPr>
            <w:tcW w:w="979"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579</w:t>
            </w:r>
          </w:p>
        </w:tc>
      </w:tr>
      <w:tr w:rsidR="00CB7129" w:rsidRPr="005B630E" w:rsidTr="00CB7129">
        <w:trPr>
          <w:trHeight w:val="195"/>
        </w:trPr>
        <w:tc>
          <w:tcPr>
            <w:tcW w:w="366" w:type="dxa"/>
            <w:vMerge/>
            <w:tcBorders>
              <w:top w:val="single" w:sz="2" w:space="0" w:color="auto"/>
              <w:bottom w:val="single" w:sz="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1 D + 2 V, 100 %</w:t>
            </w:r>
          </w:p>
        </w:tc>
        <w:tc>
          <w:tcPr>
            <w:tcW w:w="1051"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1 100</w:t>
            </w:r>
          </w:p>
        </w:tc>
        <w:tc>
          <w:tcPr>
            <w:tcW w:w="813"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410 / 300</w:t>
            </w:r>
          </w:p>
        </w:tc>
        <w:tc>
          <w:tcPr>
            <w:tcW w:w="813"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59</w:t>
            </w:r>
          </w:p>
        </w:tc>
        <w:tc>
          <w:tcPr>
            <w:tcW w:w="815"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99</w:t>
            </w:r>
          </w:p>
        </w:tc>
        <w:tc>
          <w:tcPr>
            <w:tcW w:w="934"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942</w:t>
            </w:r>
          </w:p>
        </w:tc>
        <w:tc>
          <w:tcPr>
            <w:tcW w:w="933"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465</w:t>
            </w:r>
          </w:p>
        </w:tc>
        <w:tc>
          <w:tcPr>
            <w:tcW w:w="667"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w:t>
            </w:r>
          </w:p>
        </w:tc>
        <w:tc>
          <w:tcPr>
            <w:tcW w:w="667"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21"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186</w:t>
            </w:r>
          </w:p>
        </w:tc>
        <w:tc>
          <w:tcPr>
            <w:tcW w:w="908"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260</w:t>
            </w:r>
          </w:p>
        </w:tc>
        <w:tc>
          <w:tcPr>
            <w:tcW w:w="979"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1 857</w:t>
            </w:r>
          </w:p>
        </w:tc>
        <w:tc>
          <w:tcPr>
            <w:tcW w:w="979" w:type="dxa"/>
            <w:tcBorders>
              <w:top w:val="single" w:sz="2" w:space="0" w:color="auto"/>
              <w:bottom w:val="single" w:sz="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619</w:t>
            </w:r>
          </w:p>
        </w:tc>
      </w:tr>
      <w:tr w:rsidR="00CB7129" w:rsidRPr="005B630E" w:rsidTr="00CB7129">
        <w:trPr>
          <w:trHeight w:val="195"/>
        </w:trPr>
        <w:tc>
          <w:tcPr>
            <w:tcW w:w="366" w:type="dxa"/>
            <w:vMerge/>
            <w:tcBorders>
              <w:top w:val="single" w:sz="2" w:space="0" w:color="auto"/>
              <w:bottom w:val="single" w:sz="1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p>
        </w:tc>
        <w:tc>
          <w:tcPr>
            <w:tcW w:w="1884"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left"/>
              <w:rPr>
                <w:rFonts w:eastAsia="Times New Roman"/>
                <w:color w:val="76923C" w:themeColor="accent3" w:themeShade="BF"/>
                <w:sz w:val="13"/>
                <w:szCs w:val="13"/>
              </w:rPr>
            </w:pPr>
            <w:r w:rsidRPr="005B630E">
              <w:rPr>
                <w:rFonts w:eastAsia="Times New Roman"/>
                <w:color w:val="76923C" w:themeColor="accent3" w:themeShade="BF"/>
                <w:sz w:val="13"/>
                <w:szCs w:val="13"/>
              </w:rPr>
              <w:t>1 D + 2 V, 100 %</w:t>
            </w:r>
          </w:p>
        </w:tc>
        <w:tc>
          <w:tcPr>
            <w:tcW w:w="1051"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1 700</w:t>
            </w:r>
          </w:p>
        </w:tc>
        <w:tc>
          <w:tcPr>
            <w:tcW w:w="813"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290 / 300</w:t>
            </w:r>
          </w:p>
        </w:tc>
        <w:tc>
          <w:tcPr>
            <w:tcW w:w="813"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167</w:t>
            </w:r>
          </w:p>
        </w:tc>
        <w:tc>
          <w:tcPr>
            <w:tcW w:w="815"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153</w:t>
            </w:r>
          </w:p>
        </w:tc>
        <w:tc>
          <w:tcPr>
            <w:tcW w:w="934"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1 380</w:t>
            </w:r>
          </w:p>
        </w:tc>
        <w:tc>
          <w:tcPr>
            <w:tcW w:w="933"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w:t>
            </w:r>
          </w:p>
        </w:tc>
        <w:tc>
          <w:tcPr>
            <w:tcW w:w="667"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377</w:t>
            </w:r>
          </w:p>
        </w:tc>
        <w:tc>
          <w:tcPr>
            <w:tcW w:w="667"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w:t>
            </w:r>
          </w:p>
        </w:tc>
        <w:tc>
          <w:tcPr>
            <w:tcW w:w="667"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w:t>
            </w:r>
          </w:p>
        </w:tc>
        <w:tc>
          <w:tcPr>
            <w:tcW w:w="821"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w:t>
            </w:r>
          </w:p>
        </w:tc>
        <w:tc>
          <w:tcPr>
            <w:tcW w:w="908"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color w:val="76923C" w:themeColor="accent3" w:themeShade="BF"/>
                <w:sz w:val="13"/>
                <w:szCs w:val="13"/>
              </w:rPr>
            </w:pPr>
            <w:r w:rsidRPr="005B630E">
              <w:rPr>
                <w:rFonts w:eastAsia="Times New Roman"/>
                <w:color w:val="76923C" w:themeColor="accent3" w:themeShade="BF"/>
                <w:sz w:val="13"/>
                <w:szCs w:val="13"/>
              </w:rPr>
              <w:t>260</w:t>
            </w:r>
          </w:p>
        </w:tc>
        <w:tc>
          <w:tcPr>
            <w:tcW w:w="979"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b/>
                <w:bCs/>
                <w:color w:val="76923C" w:themeColor="accent3" w:themeShade="BF"/>
                <w:sz w:val="13"/>
                <w:szCs w:val="13"/>
              </w:rPr>
            </w:pPr>
            <w:r w:rsidRPr="005B630E">
              <w:rPr>
                <w:rFonts w:eastAsia="Times New Roman"/>
                <w:b/>
                <w:bCs/>
                <w:color w:val="76923C" w:themeColor="accent3" w:themeShade="BF"/>
                <w:sz w:val="13"/>
                <w:szCs w:val="13"/>
              </w:rPr>
              <w:t>2 017</w:t>
            </w:r>
          </w:p>
        </w:tc>
        <w:tc>
          <w:tcPr>
            <w:tcW w:w="979" w:type="dxa"/>
            <w:tcBorders>
              <w:top w:val="single" w:sz="2" w:space="0" w:color="auto"/>
              <w:bottom w:val="single" w:sz="12" w:space="0" w:color="auto"/>
            </w:tcBorders>
            <w:shd w:val="clear" w:color="auto" w:fill="D6E3BC" w:themeFill="accent3" w:themeFillTint="66"/>
            <w:noWrap/>
            <w:vAlign w:val="bottom"/>
            <w:hideMark/>
          </w:tcPr>
          <w:p w:rsidR="00CB7129" w:rsidRPr="005B630E" w:rsidRDefault="00CB7129" w:rsidP="005B630E">
            <w:pPr>
              <w:widowControl/>
              <w:spacing w:after="0" w:line="240" w:lineRule="auto"/>
              <w:ind w:firstLine="0"/>
              <w:jc w:val="center"/>
              <w:rPr>
                <w:rFonts w:eastAsia="Times New Roman"/>
                <w:b/>
                <w:bCs/>
                <w:color w:val="76923C" w:themeColor="accent3" w:themeShade="BF"/>
                <w:sz w:val="13"/>
                <w:szCs w:val="13"/>
              </w:rPr>
            </w:pPr>
            <w:r w:rsidRPr="005B630E">
              <w:rPr>
                <w:rFonts w:eastAsia="Times New Roman"/>
                <w:b/>
                <w:bCs/>
                <w:color w:val="76923C" w:themeColor="accent3" w:themeShade="BF"/>
                <w:sz w:val="13"/>
                <w:szCs w:val="13"/>
              </w:rPr>
              <w:t>672</w:t>
            </w:r>
          </w:p>
        </w:tc>
      </w:tr>
      <w:tr w:rsidR="00CB7129" w:rsidRPr="005B630E" w:rsidTr="00CB7129">
        <w:trPr>
          <w:trHeight w:val="195"/>
        </w:trPr>
        <w:tc>
          <w:tcPr>
            <w:tcW w:w="366" w:type="dxa"/>
            <w:vMerge w:val="restart"/>
            <w:tcBorders>
              <w:top w:val="single" w:sz="12" w:space="0" w:color="auto"/>
            </w:tcBorders>
            <w:shd w:val="clear" w:color="auto" w:fill="D9D9D9" w:themeFill="background1" w:themeFillShade="D9"/>
            <w:vAlign w:val="center"/>
          </w:tcPr>
          <w:p w:rsidR="00CB7129" w:rsidRPr="005B630E" w:rsidRDefault="00CB7129" w:rsidP="005B630E">
            <w:pPr>
              <w:widowControl/>
              <w:spacing w:after="0" w:line="240" w:lineRule="auto"/>
              <w:ind w:firstLine="0"/>
              <w:jc w:val="center"/>
              <w:rPr>
                <w:rFonts w:eastAsia="Times New Roman"/>
                <w:b/>
                <w:sz w:val="13"/>
                <w:szCs w:val="13"/>
              </w:rPr>
            </w:pPr>
            <w:r w:rsidRPr="005B630E">
              <w:rPr>
                <w:rFonts w:eastAsia="Times New Roman"/>
                <w:b/>
                <w:sz w:val="13"/>
                <w:szCs w:val="13"/>
              </w:rPr>
              <w:t>4</w:t>
            </w:r>
          </w:p>
        </w:tc>
        <w:tc>
          <w:tcPr>
            <w:tcW w:w="1884" w:type="dxa"/>
            <w:tcBorders>
              <w:top w:val="single" w:sz="12" w:space="0" w:color="auto"/>
            </w:tcBorders>
            <w:shd w:val="clear" w:color="auto" w:fill="B6DDE8" w:themeFill="accent5" w:themeFillTint="66"/>
            <w:noWrap/>
            <w:vAlign w:val="center"/>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2 D + 2 V, 75 %</w:t>
            </w:r>
          </w:p>
        </w:tc>
        <w:tc>
          <w:tcPr>
            <w:tcW w:w="1051" w:type="dxa"/>
            <w:tcBorders>
              <w:top w:val="single" w:sz="12" w:space="0" w:color="auto"/>
            </w:tcBorders>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570 + 570</w:t>
            </w:r>
          </w:p>
        </w:tc>
        <w:tc>
          <w:tcPr>
            <w:tcW w:w="813" w:type="dxa"/>
            <w:tcBorders>
              <w:top w:val="single" w:sz="12" w:space="0" w:color="auto"/>
            </w:tcBorders>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470 / 300</w:t>
            </w:r>
          </w:p>
        </w:tc>
        <w:tc>
          <w:tcPr>
            <w:tcW w:w="813" w:type="dxa"/>
            <w:tcBorders>
              <w:top w:val="single" w:sz="12" w:space="0" w:color="auto"/>
            </w:tcBorders>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15</w:t>
            </w:r>
          </w:p>
        </w:tc>
        <w:tc>
          <w:tcPr>
            <w:tcW w:w="815" w:type="dxa"/>
            <w:tcBorders>
              <w:top w:val="single" w:sz="12" w:space="0" w:color="auto"/>
            </w:tcBorders>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102</w:t>
            </w:r>
          </w:p>
        </w:tc>
        <w:tc>
          <w:tcPr>
            <w:tcW w:w="934" w:type="dxa"/>
            <w:tcBorders>
              <w:top w:val="single" w:sz="12" w:space="0" w:color="auto"/>
            </w:tcBorders>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1 023</w:t>
            </w:r>
          </w:p>
        </w:tc>
        <w:tc>
          <w:tcPr>
            <w:tcW w:w="933" w:type="dxa"/>
            <w:tcBorders>
              <w:top w:val="single" w:sz="12" w:space="0" w:color="auto"/>
            </w:tcBorders>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0 / 301</w:t>
            </w:r>
          </w:p>
        </w:tc>
        <w:tc>
          <w:tcPr>
            <w:tcW w:w="667" w:type="dxa"/>
            <w:tcBorders>
              <w:top w:val="single" w:sz="12" w:space="0" w:color="auto"/>
            </w:tcBorders>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495</w:t>
            </w:r>
          </w:p>
        </w:tc>
        <w:tc>
          <w:tcPr>
            <w:tcW w:w="667" w:type="dxa"/>
            <w:tcBorders>
              <w:top w:val="single" w:sz="12" w:space="0" w:color="auto"/>
            </w:tcBorders>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8</w:t>
            </w:r>
          </w:p>
        </w:tc>
        <w:tc>
          <w:tcPr>
            <w:tcW w:w="667" w:type="dxa"/>
            <w:tcBorders>
              <w:top w:val="single" w:sz="12" w:space="0" w:color="auto"/>
            </w:tcBorders>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21" w:type="dxa"/>
            <w:tcBorders>
              <w:top w:val="single" w:sz="12" w:space="0" w:color="auto"/>
            </w:tcBorders>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186</w:t>
            </w:r>
          </w:p>
        </w:tc>
        <w:tc>
          <w:tcPr>
            <w:tcW w:w="908" w:type="dxa"/>
            <w:tcBorders>
              <w:top w:val="single" w:sz="12" w:space="0" w:color="auto"/>
            </w:tcBorders>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tcBorders>
              <w:top w:val="single" w:sz="12" w:space="0" w:color="auto"/>
            </w:tcBorders>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2 013</w:t>
            </w:r>
          </w:p>
        </w:tc>
        <w:tc>
          <w:tcPr>
            <w:tcW w:w="979" w:type="dxa"/>
            <w:tcBorders>
              <w:top w:val="single" w:sz="12" w:space="0" w:color="auto"/>
            </w:tcBorders>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503</w:t>
            </w:r>
          </w:p>
        </w:tc>
      </w:tr>
      <w:tr w:rsidR="00CB7129" w:rsidRPr="005B630E" w:rsidTr="00CB7129">
        <w:trPr>
          <w:trHeight w:val="195"/>
        </w:trPr>
        <w:tc>
          <w:tcPr>
            <w:tcW w:w="366" w:type="dxa"/>
            <w:vMerge/>
            <w:shd w:val="clear" w:color="auto" w:fill="D9D9D9" w:themeFill="background1" w:themeFillShade="D9"/>
          </w:tcPr>
          <w:p w:rsidR="00CB7129" w:rsidRPr="005B630E" w:rsidRDefault="00CB7129" w:rsidP="005B630E">
            <w:pPr>
              <w:widowControl/>
              <w:spacing w:after="0" w:line="240" w:lineRule="auto"/>
              <w:ind w:firstLine="0"/>
              <w:jc w:val="left"/>
              <w:rPr>
                <w:rFonts w:eastAsia="Times New Roman"/>
                <w:b/>
                <w:sz w:val="13"/>
                <w:szCs w:val="13"/>
              </w:rPr>
            </w:pPr>
          </w:p>
        </w:tc>
        <w:tc>
          <w:tcPr>
            <w:tcW w:w="1884"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2 D + 2 V, 100 %</w:t>
            </w:r>
          </w:p>
        </w:tc>
        <w:tc>
          <w:tcPr>
            <w:tcW w:w="1051"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850 + 850</w:t>
            </w:r>
          </w:p>
        </w:tc>
        <w:tc>
          <w:tcPr>
            <w:tcW w:w="813"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460 / 300</w:t>
            </w:r>
          </w:p>
        </w:tc>
        <w:tc>
          <w:tcPr>
            <w:tcW w:w="813"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73</w:t>
            </w:r>
          </w:p>
        </w:tc>
        <w:tc>
          <w:tcPr>
            <w:tcW w:w="815"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154</w:t>
            </w:r>
          </w:p>
        </w:tc>
        <w:tc>
          <w:tcPr>
            <w:tcW w:w="934"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1 473</w:t>
            </w:r>
          </w:p>
        </w:tc>
        <w:tc>
          <w:tcPr>
            <w:tcW w:w="933"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480</w:t>
            </w:r>
          </w:p>
        </w:tc>
        <w:tc>
          <w:tcPr>
            <w:tcW w:w="667"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21"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186</w:t>
            </w:r>
          </w:p>
        </w:tc>
        <w:tc>
          <w:tcPr>
            <w:tcW w:w="908"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2 139</w:t>
            </w:r>
          </w:p>
        </w:tc>
        <w:tc>
          <w:tcPr>
            <w:tcW w:w="979"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535</w:t>
            </w:r>
          </w:p>
        </w:tc>
      </w:tr>
      <w:tr w:rsidR="00CB7129" w:rsidRPr="005B630E" w:rsidTr="00CB7129">
        <w:trPr>
          <w:trHeight w:val="195"/>
        </w:trPr>
        <w:tc>
          <w:tcPr>
            <w:tcW w:w="366" w:type="dxa"/>
            <w:vMerge/>
            <w:shd w:val="clear" w:color="auto" w:fill="D9D9D9" w:themeFill="background1" w:themeFillShade="D9"/>
          </w:tcPr>
          <w:p w:rsidR="00CB7129" w:rsidRPr="005B630E" w:rsidRDefault="00CB7129" w:rsidP="005B630E">
            <w:pPr>
              <w:widowControl/>
              <w:spacing w:after="0" w:line="240" w:lineRule="auto"/>
              <w:ind w:firstLine="0"/>
              <w:jc w:val="left"/>
              <w:rPr>
                <w:rFonts w:eastAsia="Times New Roman"/>
                <w:b/>
                <w:sz w:val="13"/>
                <w:szCs w:val="13"/>
              </w:rPr>
            </w:pPr>
          </w:p>
        </w:tc>
        <w:tc>
          <w:tcPr>
            <w:tcW w:w="1884"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left"/>
              <w:rPr>
                <w:rFonts w:eastAsia="Times New Roman"/>
                <w:sz w:val="13"/>
                <w:szCs w:val="13"/>
              </w:rPr>
            </w:pPr>
            <w:r w:rsidRPr="005B630E">
              <w:rPr>
                <w:rFonts w:eastAsia="Times New Roman"/>
                <w:sz w:val="13"/>
                <w:szCs w:val="13"/>
              </w:rPr>
              <w:t>2 D + 2 V, 100 %</w:t>
            </w:r>
          </w:p>
        </w:tc>
        <w:tc>
          <w:tcPr>
            <w:tcW w:w="1051"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1 100 + 1 100</w:t>
            </w:r>
          </w:p>
        </w:tc>
        <w:tc>
          <w:tcPr>
            <w:tcW w:w="813"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410 / 300</w:t>
            </w:r>
          </w:p>
        </w:tc>
        <w:tc>
          <w:tcPr>
            <w:tcW w:w="813"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163</w:t>
            </w:r>
          </w:p>
        </w:tc>
        <w:tc>
          <w:tcPr>
            <w:tcW w:w="815"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198</w:t>
            </w:r>
          </w:p>
        </w:tc>
        <w:tc>
          <w:tcPr>
            <w:tcW w:w="934"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1 839</w:t>
            </w:r>
          </w:p>
        </w:tc>
        <w:tc>
          <w:tcPr>
            <w:tcW w:w="933"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407</w:t>
            </w:r>
          </w:p>
        </w:tc>
        <w:tc>
          <w:tcPr>
            <w:tcW w:w="667"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667"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821"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186</w:t>
            </w:r>
          </w:p>
        </w:tc>
        <w:tc>
          <w:tcPr>
            <w:tcW w:w="908"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sz w:val="13"/>
                <w:szCs w:val="13"/>
              </w:rPr>
            </w:pPr>
            <w:r w:rsidRPr="005B630E">
              <w:rPr>
                <w:rFonts w:eastAsia="Times New Roman"/>
                <w:sz w:val="13"/>
                <w:szCs w:val="13"/>
              </w:rPr>
              <w:t>-</w:t>
            </w:r>
          </w:p>
        </w:tc>
        <w:tc>
          <w:tcPr>
            <w:tcW w:w="979"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2 432</w:t>
            </w:r>
          </w:p>
        </w:tc>
        <w:tc>
          <w:tcPr>
            <w:tcW w:w="979"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b/>
                <w:bCs/>
                <w:sz w:val="13"/>
                <w:szCs w:val="13"/>
              </w:rPr>
            </w:pPr>
            <w:r w:rsidRPr="005B630E">
              <w:rPr>
                <w:rFonts w:eastAsia="Times New Roman"/>
                <w:b/>
                <w:bCs/>
                <w:sz w:val="13"/>
                <w:szCs w:val="13"/>
              </w:rPr>
              <w:t>608</w:t>
            </w:r>
          </w:p>
        </w:tc>
      </w:tr>
      <w:tr w:rsidR="00CB7129" w:rsidRPr="005B630E" w:rsidTr="00CB7129">
        <w:trPr>
          <w:trHeight w:val="195"/>
        </w:trPr>
        <w:tc>
          <w:tcPr>
            <w:tcW w:w="366" w:type="dxa"/>
            <w:vMerge/>
            <w:shd w:val="clear" w:color="auto" w:fill="D9D9D9" w:themeFill="background1" w:themeFillShade="D9"/>
          </w:tcPr>
          <w:p w:rsidR="00CB7129" w:rsidRPr="005B630E" w:rsidRDefault="00CB7129" w:rsidP="005B630E">
            <w:pPr>
              <w:widowControl/>
              <w:spacing w:after="0" w:line="240" w:lineRule="auto"/>
              <w:ind w:firstLine="0"/>
              <w:jc w:val="left"/>
              <w:rPr>
                <w:rFonts w:eastAsia="Times New Roman"/>
                <w:b/>
                <w:sz w:val="13"/>
                <w:szCs w:val="13"/>
              </w:rPr>
            </w:pPr>
          </w:p>
        </w:tc>
        <w:tc>
          <w:tcPr>
            <w:tcW w:w="1884"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left"/>
              <w:rPr>
                <w:rFonts w:eastAsia="Times New Roman"/>
                <w:color w:val="31849B" w:themeColor="accent5" w:themeShade="BF"/>
                <w:sz w:val="13"/>
                <w:szCs w:val="13"/>
              </w:rPr>
            </w:pPr>
            <w:r w:rsidRPr="005B630E">
              <w:rPr>
                <w:rFonts w:eastAsia="Times New Roman"/>
                <w:color w:val="31849B" w:themeColor="accent5" w:themeShade="BF"/>
                <w:sz w:val="13"/>
                <w:szCs w:val="13"/>
              </w:rPr>
              <w:t>2 D + 2 V, 100 %</w:t>
            </w:r>
          </w:p>
        </w:tc>
        <w:tc>
          <w:tcPr>
            <w:tcW w:w="1051"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1 700 + 1700</w:t>
            </w:r>
          </w:p>
        </w:tc>
        <w:tc>
          <w:tcPr>
            <w:tcW w:w="813"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290 / 300</w:t>
            </w:r>
          </w:p>
        </w:tc>
        <w:tc>
          <w:tcPr>
            <w:tcW w:w="813"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379</w:t>
            </w:r>
          </w:p>
        </w:tc>
        <w:tc>
          <w:tcPr>
            <w:tcW w:w="815"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306</w:t>
            </w:r>
          </w:p>
        </w:tc>
        <w:tc>
          <w:tcPr>
            <w:tcW w:w="934"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2 715</w:t>
            </w:r>
          </w:p>
        </w:tc>
        <w:tc>
          <w:tcPr>
            <w:tcW w:w="933"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w:t>
            </w:r>
          </w:p>
        </w:tc>
        <w:tc>
          <w:tcPr>
            <w:tcW w:w="667"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232</w:t>
            </w:r>
          </w:p>
        </w:tc>
        <w:tc>
          <w:tcPr>
            <w:tcW w:w="667"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w:t>
            </w:r>
          </w:p>
        </w:tc>
        <w:tc>
          <w:tcPr>
            <w:tcW w:w="667"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w:t>
            </w:r>
          </w:p>
        </w:tc>
        <w:tc>
          <w:tcPr>
            <w:tcW w:w="821"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w:t>
            </w:r>
          </w:p>
        </w:tc>
        <w:tc>
          <w:tcPr>
            <w:tcW w:w="908"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color w:val="31849B" w:themeColor="accent5" w:themeShade="BF"/>
                <w:sz w:val="13"/>
                <w:szCs w:val="13"/>
              </w:rPr>
            </w:pPr>
            <w:r w:rsidRPr="005B630E">
              <w:rPr>
                <w:rFonts w:eastAsia="Times New Roman"/>
                <w:color w:val="31849B" w:themeColor="accent5" w:themeShade="BF"/>
                <w:sz w:val="13"/>
                <w:szCs w:val="13"/>
              </w:rPr>
              <w:t>-</w:t>
            </w:r>
          </w:p>
        </w:tc>
        <w:tc>
          <w:tcPr>
            <w:tcW w:w="979"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b/>
                <w:bCs/>
                <w:color w:val="31849B" w:themeColor="accent5" w:themeShade="BF"/>
                <w:sz w:val="13"/>
                <w:szCs w:val="13"/>
              </w:rPr>
            </w:pPr>
            <w:r w:rsidRPr="005B630E">
              <w:rPr>
                <w:rFonts w:eastAsia="Times New Roman"/>
                <w:b/>
                <w:bCs/>
                <w:color w:val="31849B" w:themeColor="accent5" w:themeShade="BF"/>
                <w:sz w:val="13"/>
                <w:szCs w:val="13"/>
              </w:rPr>
              <w:t>2 947</w:t>
            </w:r>
          </w:p>
        </w:tc>
        <w:tc>
          <w:tcPr>
            <w:tcW w:w="979" w:type="dxa"/>
            <w:shd w:val="clear" w:color="auto" w:fill="B6DDE8" w:themeFill="accent5" w:themeFillTint="66"/>
            <w:noWrap/>
            <w:vAlign w:val="center"/>
            <w:hideMark/>
          </w:tcPr>
          <w:p w:rsidR="00CB7129" w:rsidRPr="005B630E" w:rsidRDefault="00CB7129" w:rsidP="005B630E">
            <w:pPr>
              <w:widowControl/>
              <w:spacing w:after="0" w:line="240" w:lineRule="auto"/>
              <w:ind w:firstLine="0"/>
              <w:jc w:val="center"/>
              <w:rPr>
                <w:rFonts w:eastAsia="Times New Roman"/>
                <w:b/>
                <w:bCs/>
                <w:color w:val="31849B" w:themeColor="accent5" w:themeShade="BF"/>
                <w:sz w:val="13"/>
                <w:szCs w:val="13"/>
              </w:rPr>
            </w:pPr>
            <w:r w:rsidRPr="005B630E">
              <w:rPr>
                <w:rFonts w:eastAsia="Times New Roman"/>
                <w:b/>
                <w:bCs/>
                <w:color w:val="31849B" w:themeColor="accent5" w:themeShade="BF"/>
                <w:sz w:val="13"/>
                <w:szCs w:val="13"/>
              </w:rPr>
              <w:t>737</w:t>
            </w:r>
          </w:p>
        </w:tc>
      </w:tr>
    </w:tbl>
    <w:p w:rsidR="00CB7129" w:rsidRDefault="00CB7129" w:rsidP="00CB7129">
      <w:pPr>
        <w:rPr>
          <w:sz w:val="20"/>
        </w:rPr>
      </w:pPr>
      <w:r w:rsidRPr="00216FD2">
        <w:rPr>
          <w:b/>
          <w:sz w:val="20"/>
        </w:rPr>
        <w:t>Šaltinis</w:t>
      </w:r>
      <w:r w:rsidRPr="00216FD2">
        <w:rPr>
          <w:sz w:val="20"/>
        </w:rPr>
        <w:t>: sudaryta šio darbo autorės</w:t>
      </w:r>
    </w:p>
    <w:p w:rsidR="00DC1D6A" w:rsidRDefault="00DC1D6A" w:rsidP="00F6568D">
      <w:pPr>
        <w:sectPr w:rsidR="00DC1D6A" w:rsidSect="00345C4E">
          <w:pgSz w:w="15840" w:h="12240" w:orient="landscape"/>
          <w:pgMar w:top="1191" w:right="1138" w:bottom="403" w:left="1138" w:header="720" w:footer="720" w:gutter="0"/>
          <w:cols w:space="720"/>
          <w:docGrid w:linePitch="360"/>
        </w:sectPr>
      </w:pPr>
    </w:p>
    <w:p w:rsidR="00510801" w:rsidRDefault="00510801" w:rsidP="00510801">
      <w:pPr>
        <w:ind w:firstLine="0"/>
        <w:jc w:val="center"/>
        <w:rPr>
          <w:b/>
        </w:rPr>
      </w:pPr>
      <w:r>
        <w:rPr>
          <w:b/>
        </w:rPr>
        <w:lastRenderedPageBreak/>
        <w:t>ATLIKTŲ SKAIČIAVIMŲ PAAIŠKINIMAS</w:t>
      </w:r>
    </w:p>
    <w:p w:rsidR="00510801" w:rsidRDefault="00510801" w:rsidP="00510801">
      <w:r>
        <w:t xml:space="preserve">Siekiant išsiaiškinti, kokia šiuo metu yra </w:t>
      </w:r>
      <w:r w:rsidRPr="009B2490">
        <w:t>finansinė riba</w:t>
      </w:r>
      <w:r>
        <w:t xml:space="preserve"> tarp tų individų, kurie dirbdami įgyja teisę į nedarbo draudimo išmoką, ir tų žmonių, kurie gyvena tik iš socialinių pašalpų, buvo apskaičiuoti </w:t>
      </w:r>
      <w:r w:rsidRPr="00BD53F5">
        <w:rPr>
          <w:i/>
        </w:rPr>
        <w:t>finansinę gerovę</w:t>
      </w:r>
      <w:r>
        <w:t xml:space="preserve"> atspindintys rodikliai, kurie parodo, kokią naudą žmogus gauna dirbdamas ir kokią – nedirbdamas. Taip pat palyginimui pateikiami tų gyventojų, kurie yra aktyvūs, finansinę gerovę atspindintys rodikliai.</w:t>
      </w:r>
    </w:p>
    <w:p w:rsidR="00510801" w:rsidRDefault="00510801" w:rsidP="00510801">
      <w:r w:rsidRPr="00C30D76">
        <w:rPr>
          <w:b/>
          <w:i/>
        </w:rPr>
        <w:t>Socialinės pašalpos dydžiui</w:t>
      </w:r>
      <w:r w:rsidRPr="00B936BA">
        <w:rPr>
          <w:b/>
          <w:i/>
        </w:rPr>
        <w:t xml:space="preserve"> (SP) </w:t>
      </w:r>
      <w:r>
        <w:t>apskaičiuoti, buvo naudojama ši formulė (kai šeimoje 4 asmenys):</w:t>
      </w:r>
    </w:p>
    <w:p w:rsidR="00510801" w:rsidRPr="001F309E" w:rsidRDefault="00510801" w:rsidP="00510801">
      <w:pPr>
        <w:ind w:firstLine="0"/>
        <w:rPr>
          <w:sz w:val="23"/>
          <w:szCs w:val="23"/>
        </w:rPr>
      </w:pPr>
      <m:oMathPara>
        <m:oMathParaPr>
          <m:jc m:val="right"/>
        </m:oMathParaPr>
        <m:oMath>
          <m:r>
            <w:rPr>
              <w:rFonts w:ascii="Cambria Math" w:hAnsi="Cambria Math"/>
              <w:sz w:val="23"/>
              <w:szCs w:val="23"/>
            </w:rPr>
            <m:t>SP=</m:t>
          </m:r>
          <m:d>
            <m:dPr>
              <m:ctrlPr>
                <w:rPr>
                  <w:rFonts w:ascii="Cambria Math" w:hAnsi="Cambria Math"/>
                  <w:i/>
                  <w:sz w:val="23"/>
                  <w:szCs w:val="23"/>
                </w:rPr>
              </m:ctrlPr>
            </m:dPr>
            <m:e>
              <m:r>
                <w:rPr>
                  <w:rFonts w:ascii="Cambria Math" w:hAnsi="Cambria Math"/>
                  <w:sz w:val="23"/>
                  <w:szCs w:val="23"/>
                </w:rPr>
                <m:t>VRP-</m:t>
              </m:r>
              <m:f>
                <m:fPr>
                  <m:ctrlPr>
                    <w:rPr>
                      <w:rFonts w:ascii="Cambria Math" w:hAnsi="Cambria Math"/>
                      <w:i/>
                      <w:sz w:val="23"/>
                      <w:szCs w:val="23"/>
                    </w:rPr>
                  </m:ctrlPr>
                </m:fPr>
                <m:num>
                  <m:r>
                    <w:rPr>
                      <w:rFonts w:ascii="Cambria Math" w:hAnsi="Cambria Math"/>
                      <w:sz w:val="23"/>
                      <w:szCs w:val="23"/>
                    </w:rPr>
                    <m:t>BGAP</m:t>
                  </m:r>
                </m:num>
                <m:den>
                  <m:r>
                    <w:rPr>
                      <w:rFonts w:ascii="Cambria Math" w:hAnsi="Cambria Math"/>
                      <w:sz w:val="23"/>
                      <w:szCs w:val="23"/>
                    </w:rPr>
                    <m:t>BGA</m:t>
                  </m:r>
                </m:den>
              </m:f>
            </m:e>
          </m:d>
          <m:r>
            <w:rPr>
              <w:rFonts w:ascii="Cambria Math" w:hAnsi="Cambria Math"/>
              <w:sz w:val="23"/>
              <w:szCs w:val="23"/>
            </w:rPr>
            <m:t>×1+</m:t>
          </m:r>
          <m:d>
            <m:dPr>
              <m:ctrlPr>
                <w:rPr>
                  <w:rFonts w:ascii="Cambria Math" w:hAnsi="Cambria Math"/>
                  <w:i/>
                  <w:sz w:val="23"/>
                  <w:szCs w:val="23"/>
                </w:rPr>
              </m:ctrlPr>
            </m:dPr>
            <m:e>
              <m:r>
                <w:rPr>
                  <w:rFonts w:ascii="Cambria Math" w:hAnsi="Cambria Math"/>
                  <w:sz w:val="23"/>
                  <w:szCs w:val="23"/>
                </w:rPr>
                <m:t>VRP-</m:t>
              </m:r>
              <m:f>
                <m:fPr>
                  <m:ctrlPr>
                    <w:rPr>
                      <w:rFonts w:ascii="Cambria Math" w:hAnsi="Cambria Math"/>
                      <w:i/>
                      <w:sz w:val="23"/>
                      <w:szCs w:val="23"/>
                    </w:rPr>
                  </m:ctrlPr>
                </m:fPr>
                <m:num>
                  <m:r>
                    <w:rPr>
                      <w:rFonts w:ascii="Cambria Math" w:hAnsi="Cambria Math"/>
                      <w:sz w:val="23"/>
                      <w:szCs w:val="23"/>
                    </w:rPr>
                    <m:t>BGAP</m:t>
                  </m:r>
                </m:num>
                <m:den>
                  <m:r>
                    <w:rPr>
                      <w:rFonts w:ascii="Cambria Math" w:hAnsi="Cambria Math"/>
                      <w:sz w:val="23"/>
                      <w:szCs w:val="23"/>
                    </w:rPr>
                    <m:t>BGA</m:t>
                  </m:r>
                </m:den>
              </m:f>
            </m:e>
          </m:d>
          <m:r>
            <w:rPr>
              <w:rFonts w:ascii="Cambria Math" w:hAnsi="Cambria Math"/>
              <w:sz w:val="23"/>
              <w:szCs w:val="23"/>
            </w:rPr>
            <m:t>×0,8+</m:t>
          </m:r>
          <m:d>
            <m:dPr>
              <m:ctrlPr>
                <w:rPr>
                  <w:rFonts w:ascii="Cambria Math" w:hAnsi="Cambria Math"/>
                  <w:i/>
                  <w:sz w:val="23"/>
                  <w:szCs w:val="23"/>
                </w:rPr>
              </m:ctrlPr>
            </m:dPr>
            <m:e>
              <m:r>
                <w:rPr>
                  <w:rFonts w:ascii="Cambria Math" w:hAnsi="Cambria Math"/>
                  <w:sz w:val="23"/>
                  <w:szCs w:val="23"/>
                </w:rPr>
                <m:t>VRP-</m:t>
              </m:r>
              <m:f>
                <m:fPr>
                  <m:ctrlPr>
                    <w:rPr>
                      <w:rFonts w:ascii="Cambria Math" w:hAnsi="Cambria Math"/>
                      <w:i/>
                      <w:sz w:val="23"/>
                      <w:szCs w:val="23"/>
                    </w:rPr>
                  </m:ctrlPr>
                </m:fPr>
                <m:num>
                  <m:r>
                    <w:rPr>
                      <w:rFonts w:ascii="Cambria Math" w:hAnsi="Cambria Math"/>
                      <w:sz w:val="23"/>
                      <w:szCs w:val="23"/>
                    </w:rPr>
                    <m:t>BGAP</m:t>
                  </m:r>
                </m:num>
                <m:den>
                  <m:r>
                    <w:rPr>
                      <w:rFonts w:ascii="Cambria Math" w:hAnsi="Cambria Math"/>
                      <w:sz w:val="23"/>
                      <w:szCs w:val="23"/>
                    </w:rPr>
                    <m:t>BGA</m:t>
                  </m:r>
                </m:den>
              </m:f>
            </m:e>
          </m:d>
          <m:r>
            <w:rPr>
              <w:rFonts w:ascii="Cambria Math" w:hAnsi="Cambria Math"/>
              <w:sz w:val="23"/>
              <w:szCs w:val="23"/>
            </w:rPr>
            <m:t>×0,7+</m:t>
          </m:r>
          <m:d>
            <m:dPr>
              <m:ctrlPr>
                <w:rPr>
                  <w:rFonts w:ascii="Cambria Math" w:hAnsi="Cambria Math"/>
                  <w:i/>
                  <w:sz w:val="23"/>
                  <w:szCs w:val="23"/>
                </w:rPr>
              </m:ctrlPr>
            </m:dPr>
            <m:e>
              <m:r>
                <w:rPr>
                  <w:rFonts w:ascii="Cambria Math" w:hAnsi="Cambria Math"/>
                  <w:sz w:val="23"/>
                  <w:szCs w:val="23"/>
                </w:rPr>
                <m:t>VRP-</m:t>
              </m:r>
              <m:f>
                <m:fPr>
                  <m:ctrlPr>
                    <w:rPr>
                      <w:rFonts w:ascii="Cambria Math" w:hAnsi="Cambria Math"/>
                      <w:i/>
                      <w:sz w:val="23"/>
                      <w:szCs w:val="23"/>
                    </w:rPr>
                  </m:ctrlPr>
                </m:fPr>
                <m:num>
                  <m:r>
                    <w:rPr>
                      <w:rFonts w:ascii="Cambria Math" w:hAnsi="Cambria Math"/>
                      <w:sz w:val="23"/>
                      <w:szCs w:val="23"/>
                    </w:rPr>
                    <m:t>BGAP</m:t>
                  </m:r>
                </m:num>
                <m:den>
                  <m:r>
                    <w:rPr>
                      <w:rFonts w:ascii="Cambria Math" w:hAnsi="Cambria Math"/>
                      <w:sz w:val="23"/>
                      <w:szCs w:val="23"/>
                    </w:rPr>
                    <m:t>BGA</m:t>
                  </m:r>
                </m:den>
              </m:f>
            </m:e>
          </m:d>
          <m:r>
            <w:rPr>
              <w:rFonts w:ascii="Cambria Math" w:hAnsi="Cambria Math"/>
              <w:sz w:val="23"/>
              <w:szCs w:val="23"/>
            </w:rPr>
            <m:t>×0,7;    (1)</m:t>
          </m:r>
        </m:oMath>
      </m:oMathPara>
    </w:p>
    <w:p w:rsidR="00510801" w:rsidRDefault="00510801" w:rsidP="00510801">
      <w:r>
        <w:t xml:space="preserve">čia: </w:t>
      </w:r>
      <w:r w:rsidRPr="00E757D4">
        <w:rPr>
          <w:i/>
        </w:rPr>
        <w:t>VRP</w:t>
      </w:r>
      <w:r>
        <w:t xml:space="preserve"> – valstybės remiamos pajamos (šiuo metu, 350 Lt</w:t>
      </w:r>
      <w:r>
        <w:rPr>
          <w:rStyle w:val="FootnoteReference"/>
        </w:rPr>
        <w:footnoteReference w:id="31"/>
      </w:r>
      <w:r>
        <w:t xml:space="preserve">); </w:t>
      </w:r>
      <w:r w:rsidRPr="00E757D4">
        <w:rPr>
          <w:i/>
        </w:rPr>
        <w:t>BG</w:t>
      </w:r>
      <w:r>
        <w:rPr>
          <w:i/>
        </w:rPr>
        <w:t>A</w:t>
      </w:r>
      <w:r w:rsidRPr="00E757D4">
        <w:rPr>
          <w:i/>
        </w:rPr>
        <w:t>P</w:t>
      </w:r>
      <w:r>
        <w:t xml:space="preserve"> – bendrai gyvenančių asmenų pajamos (Lt) (</w:t>
      </w:r>
      <w:r w:rsidRPr="005D1379">
        <w:rPr>
          <w:u w:val="single"/>
        </w:rPr>
        <w:t>neįtraukiant socialinės paramos vaikams</w:t>
      </w:r>
      <w:r>
        <w:t xml:space="preserve">); </w:t>
      </w:r>
      <w:r w:rsidRPr="00B07AEA">
        <w:rPr>
          <w:i/>
        </w:rPr>
        <w:t>BG</w:t>
      </w:r>
      <w:r>
        <w:rPr>
          <w:i/>
        </w:rPr>
        <w:t>A</w:t>
      </w:r>
      <w:r>
        <w:t xml:space="preserve"> – bendrai gyvenančių asmenų skaičius.</w:t>
      </w:r>
    </w:p>
    <w:p w:rsidR="00510801" w:rsidRDefault="00510801" w:rsidP="00510801">
      <w:r>
        <w:t xml:space="preserve">Derėtų akcentuoti, jog </w:t>
      </w:r>
      <w:r w:rsidRPr="008E69E7">
        <w:t xml:space="preserve">socialinė </w:t>
      </w:r>
      <w:r w:rsidRPr="00AB5C99">
        <w:rPr>
          <w:b/>
          <w:i/>
        </w:rPr>
        <w:t>parama</w:t>
      </w:r>
      <w:r>
        <w:t xml:space="preserve"> </w:t>
      </w:r>
      <w:r w:rsidRPr="005D1379">
        <w:rPr>
          <w:b/>
          <w:i/>
        </w:rPr>
        <w:t>vaikams</w:t>
      </w:r>
      <w:r>
        <w:t xml:space="preserve"> yra teikiama, kuomet vidutinės pajamos vienam iš bendrai gyvenančių asmenų per mėnesį yra mažesnės</w:t>
      </w:r>
      <w:r>
        <w:rPr>
          <w:rStyle w:val="FootnoteReference"/>
        </w:rPr>
        <w:footnoteReference w:id="32"/>
      </w:r>
      <w:r>
        <w:t xml:space="preserve"> kaip 1,5 VRP, t. y. 525 Lt. Tenkinant šią sąlygą, vieno mokinio reikmėms įsigyti skiriama 120 proc. Bazinės socialinės išmokos (BSI) dydžio</w:t>
      </w:r>
      <w:r>
        <w:rPr>
          <w:rStyle w:val="FootnoteReference"/>
        </w:rPr>
        <w:footnoteReference w:id="33"/>
      </w:r>
      <w:r>
        <w:t xml:space="preserve"> suma (šiuo metu, 156 Lt per metus</w:t>
      </w:r>
      <w:r>
        <w:rPr>
          <w:rStyle w:val="FootnoteReference"/>
        </w:rPr>
        <w:footnoteReference w:id="34"/>
      </w:r>
      <w:r>
        <w:t>, t. y., 13 Lt per mėnesį); nemokamam maitinimui vienai dienai skiriama 1-7 proc. BSI dydžio</w:t>
      </w:r>
      <w:r>
        <w:rPr>
          <w:rStyle w:val="FootnoteReference"/>
        </w:rPr>
        <w:footnoteReference w:id="35"/>
      </w:r>
      <w:r>
        <w:t xml:space="preserve"> suma, t. y. 1,3-9,1 Lt (skaičiavimuose buvo naudojama: 4 Lt </w:t>
      </w:r>
      <w:r w:rsidRPr="007A7097">
        <w:rPr>
          <w:i/>
        </w:rPr>
        <w:t>kart</w:t>
      </w:r>
      <w:r>
        <w:t xml:space="preserve"> 20 dienų </w:t>
      </w:r>
      <w:r w:rsidRPr="005E3A12">
        <w:rPr>
          <w:i/>
        </w:rPr>
        <w:t>lygu</w:t>
      </w:r>
      <w:r>
        <w:t xml:space="preserve"> 80 Lt).</w:t>
      </w:r>
    </w:p>
    <w:p w:rsidR="00510801" w:rsidRDefault="00510801" w:rsidP="00510801">
      <w:r>
        <w:rPr>
          <w:b/>
          <w:i/>
        </w:rPr>
        <w:t>Kompensacijoms</w:t>
      </w:r>
      <w:r w:rsidRPr="00207434">
        <w:rPr>
          <w:b/>
          <w:i/>
        </w:rPr>
        <w:t xml:space="preserve"> </w:t>
      </w:r>
      <w:r w:rsidRPr="00E44C44">
        <w:t xml:space="preserve">už </w:t>
      </w:r>
      <w:r w:rsidRPr="00E44C44">
        <w:rPr>
          <w:i/>
        </w:rPr>
        <w:t>būsto šildymo,</w:t>
      </w:r>
      <w:r>
        <w:t xml:space="preserve"> </w:t>
      </w:r>
      <w:r w:rsidRPr="00E44C44">
        <w:rPr>
          <w:i/>
        </w:rPr>
        <w:t>karšto vandens</w:t>
      </w:r>
      <w:r>
        <w:t xml:space="preserve"> ir </w:t>
      </w:r>
      <w:r w:rsidRPr="00E13699">
        <w:rPr>
          <w:i/>
        </w:rPr>
        <w:t>geriamojo vandens išlaidas</w:t>
      </w:r>
      <w:r>
        <w:t xml:space="preserve"> apskaičiuoti buvo reikalingi papildomi duomenys, tad skaičiuojant buvo daromos tokios </w:t>
      </w:r>
      <w:r w:rsidRPr="00E13699">
        <w:rPr>
          <w:b/>
          <w:i/>
        </w:rPr>
        <w:t>prielaidos</w:t>
      </w:r>
      <w:r>
        <w:t xml:space="preserve"> ir parinkti tokie </w:t>
      </w:r>
      <w:r w:rsidRPr="005C77A3">
        <w:rPr>
          <w:b/>
          <w:i/>
        </w:rPr>
        <w:t>dydžiai</w:t>
      </w:r>
      <w:r>
        <w:t>:</w:t>
      </w:r>
    </w:p>
    <w:p w:rsidR="00510801" w:rsidRDefault="00510801" w:rsidP="00510801">
      <w:pPr>
        <w:pStyle w:val="ListParagraph"/>
        <w:numPr>
          <w:ilvl w:val="0"/>
          <w:numId w:val="46"/>
        </w:numPr>
        <w:ind w:left="900"/>
      </w:pPr>
      <w:r>
        <w:t xml:space="preserve">visų namų ūkių nuosavybės teise turimo turto vertė </w:t>
      </w:r>
      <w:r w:rsidRPr="005B5627">
        <w:rPr>
          <w:b/>
          <w:i/>
        </w:rPr>
        <w:t>neviršija turto vertės normatyvo</w:t>
      </w:r>
      <w:r>
        <w:t>;</w:t>
      </w:r>
    </w:p>
    <w:p w:rsidR="00510801" w:rsidRDefault="00510801" w:rsidP="00510801">
      <w:pPr>
        <w:pStyle w:val="ListParagraph"/>
        <w:numPr>
          <w:ilvl w:val="0"/>
          <w:numId w:val="46"/>
        </w:numPr>
        <w:ind w:left="900"/>
      </w:pPr>
      <w:r>
        <w:t xml:space="preserve">visi namų ūkiai, nepriklausomai nuo jų dydžio, gyvena </w:t>
      </w:r>
      <w:r w:rsidRPr="009B2490">
        <w:rPr>
          <w:b/>
          <w:i/>
        </w:rPr>
        <w:t>2 kambarių (45 m</w:t>
      </w:r>
      <w:r w:rsidRPr="009B2490">
        <w:rPr>
          <w:b/>
          <w:i/>
          <w:vertAlign w:val="superscript"/>
        </w:rPr>
        <w:t>2</w:t>
      </w:r>
      <w:r w:rsidRPr="009B2490">
        <w:rPr>
          <w:b/>
          <w:i/>
        </w:rPr>
        <w:t>) bute</w:t>
      </w:r>
      <w:r>
        <w:t>;</w:t>
      </w:r>
    </w:p>
    <w:p w:rsidR="00510801" w:rsidRDefault="00510801" w:rsidP="00510801">
      <w:pPr>
        <w:pStyle w:val="ListParagraph"/>
        <w:numPr>
          <w:ilvl w:val="0"/>
          <w:numId w:val="46"/>
        </w:numPr>
        <w:ind w:left="900"/>
      </w:pPr>
      <w:r w:rsidRPr="00F475DA">
        <w:rPr>
          <w:b/>
          <w:i/>
        </w:rPr>
        <w:t xml:space="preserve">vidutinės šildymo </w:t>
      </w:r>
      <w:r w:rsidRPr="003F7A56">
        <w:rPr>
          <w:b/>
          <w:i/>
        </w:rPr>
        <w:t>išlaidos</w:t>
      </w:r>
      <w:r>
        <w:t xml:space="preserve"> </w:t>
      </w:r>
      <w:r w:rsidRPr="003F7A56">
        <w:t>siekia</w:t>
      </w:r>
      <w:r>
        <w:t xml:space="preserve"> 11 Lt / m</w:t>
      </w:r>
      <w:r>
        <w:rPr>
          <w:vertAlign w:val="superscript"/>
        </w:rPr>
        <w:t>2</w:t>
      </w:r>
      <w:r>
        <w:t xml:space="preserve"> (skaičiuota, remiantis </w:t>
      </w:r>
      <w:r w:rsidRPr="005C77A3">
        <w:rPr>
          <w:i/>
        </w:rPr>
        <w:t>daugiau</w:t>
      </w:r>
      <w:r>
        <w:t xml:space="preserve"> šilumos suvartojančių namų </w:t>
      </w:r>
      <w:r w:rsidRPr="0037750F">
        <w:rPr>
          <w:i/>
        </w:rPr>
        <w:t>vidutinėmis</w:t>
      </w:r>
      <w:r>
        <w:t xml:space="preserve"> (spalio-balandžio mėn.) kainomis Vilniaus mieste</w:t>
      </w:r>
      <w:r>
        <w:rPr>
          <w:rStyle w:val="FootnoteReference"/>
        </w:rPr>
        <w:footnoteReference w:id="36"/>
      </w:r>
      <w:r>
        <w:t>);</w:t>
      </w:r>
    </w:p>
    <w:p w:rsidR="00510801" w:rsidRDefault="00510801" w:rsidP="00510801">
      <w:pPr>
        <w:pStyle w:val="ListParagraph"/>
        <w:numPr>
          <w:ilvl w:val="0"/>
          <w:numId w:val="46"/>
        </w:numPr>
        <w:ind w:left="900"/>
      </w:pPr>
      <w:r>
        <w:t xml:space="preserve">siekdami gauti karšto ir geriamojo vandens kompensacijas, visi namų ūkiai </w:t>
      </w:r>
      <w:r w:rsidRPr="00E13699">
        <w:rPr>
          <w:b/>
          <w:i/>
        </w:rPr>
        <w:t>tenkina</w:t>
      </w:r>
      <w:r>
        <w:t xml:space="preserve"> </w:t>
      </w:r>
      <w:r w:rsidRPr="00E13699">
        <w:rPr>
          <w:b/>
          <w:i/>
        </w:rPr>
        <w:t>normatyvus</w:t>
      </w:r>
      <w:r>
        <w:t>:</w:t>
      </w:r>
    </w:p>
    <w:p w:rsidR="00510801" w:rsidRDefault="00510801" w:rsidP="00510801">
      <w:pPr>
        <w:pStyle w:val="ListParagraph"/>
        <w:numPr>
          <w:ilvl w:val="0"/>
          <w:numId w:val="47"/>
        </w:numPr>
        <w:ind w:left="1170" w:hanging="277"/>
      </w:pPr>
      <w:r w:rsidRPr="00F73093">
        <w:rPr>
          <w:i/>
        </w:rPr>
        <w:t>karštas vanduo</w:t>
      </w:r>
      <w:r>
        <w:t>: 1,5 m</w:t>
      </w:r>
      <w:r>
        <w:rPr>
          <w:vertAlign w:val="superscript"/>
        </w:rPr>
        <w:t>3</w:t>
      </w:r>
      <w:r>
        <w:t xml:space="preserve"> pirmam; 1,0 m</w:t>
      </w:r>
      <w:r>
        <w:rPr>
          <w:vertAlign w:val="superscript"/>
        </w:rPr>
        <w:t>3</w:t>
      </w:r>
      <w:r w:rsidRPr="00CF762B">
        <w:t xml:space="preserve"> </w:t>
      </w:r>
      <w:r>
        <w:t>antram; 0,5 m</w:t>
      </w:r>
      <w:r>
        <w:rPr>
          <w:vertAlign w:val="superscript"/>
        </w:rPr>
        <w:t>3</w:t>
      </w:r>
      <w:r>
        <w:t xml:space="preserve"> trečiam ir paskesniems asmenims;</w:t>
      </w:r>
    </w:p>
    <w:p w:rsidR="00510801" w:rsidRDefault="00510801" w:rsidP="00510801">
      <w:pPr>
        <w:pStyle w:val="ListParagraph"/>
        <w:numPr>
          <w:ilvl w:val="0"/>
          <w:numId w:val="47"/>
        </w:numPr>
        <w:ind w:left="1170" w:hanging="277"/>
      </w:pPr>
      <w:r w:rsidRPr="00F73093">
        <w:rPr>
          <w:i/>
        </w:rPr>
        <w:t>geriamasis vanduo</w:t>
      </w:r>
      <w:r>
        <w:t>: 2,0 m</w:t>
      </w:r>
      <w:r>
        <w:rPr>
          <w:vertAlign w:val="superscript"/>
        </w:rPr>
        <w:t>3</w:t>
      </w:r>
      <w:r>
        <w:t xml:space="preserve"> pirmam; 1,5 m</w:t>
      </w:r>
      <w:r>
        <w:rPr>
          <w:vertAlign w:val="superscript"/>
        </w:rPr>
        <w:t>3</w:t>
      </w:r>
      <w:r w:rsidRPr="00CF762B">
        <w:t xml:space="preserve"> </w:t>
      </w:r>
      <w:r>
        <w:t>antram; 1,0 m</w:t>
      </w:r>
      <w:r>
        <w:rPr>
          <w:vertAlign w:val="superscript"/>
        </w:rPr>
        <w:t>3</w:t>
      </w:r>
      <w:r>
        <w:t xml:space="preserve"> trečiam ir paskesniems asmenims.</w:t>
      </w:r>
    </w:p>
    <w:p w:rsidR="00510801" w:rsidRDefault="00510801" w:rsidP="00510801">
      <w:pPr>
        <w:pStyle w:val="ListParagraph"/>
        <w:numPr>
          <w:ilvl w:val="0"/>
          <w:numId w:val="46"/>
        </w:numPr>
        <w:ind w:left="900"/>
      </w:pPr>
      <w:r w:rsidRPr="00C14892">
        <w:rPr>
          <w:b/>
          <w:i/>
        </w:rPr>
        <w:t>karšto vandens kaina</w:t>
      </w:r>
      <w:r>
        <w:rPr>
          <w:rStyle w:val="FootnoteReference"/>
        </w:rPr>
        <w:footnoteReference w:id="37"/>
      </w:r>
      <w:r>
        <w:t xml:space="preserve"> siekia 21,2 Lt / m</w:t>
      </w:r>
      <w:r>
        <w:rPr>
          <w:vertAlign w:val="superscript"/>
        </w:rPr>
        <w:t>3</w:t>
      </w:r>
      <w:r>
        <w:t xml:space="preserve">; o </w:t>
      </w:r>
      <w:r>
        <w:rPr>
          <w:b/>
          <w:i/>
        </w:rPr>
        <w:t>geriamojo</w:t>
      </w:r>
      <w:r w:rsidRPr="00C14892">
        <w:rPr>
          <w:b/>
          <w:i/>
        </w:rPr>
        <w:t xml:space="preserve"> vandens</w:t>
      </w:r>
      <w:r>
        <w:rPr>
          <w:b/>
          <w:i/>
        </w:rPr>
        <w:t xml:space="preserve"> kaina </w:t>
      </w:r>
      <w:r>
        <w:t>– 4,37 Lt / m</w:t>
      </w:r>
      <w:r>
        <w:rPr>
          <w:vertAlign w:val="superscript"/>
        </w:rPr>
        <w:t>3</w:t>
      </w:r>
      <w:r>
        <w:t xml:space="preserve"> </w:t>
      </w:r>
      <w:r w:rsidRPr="00237BC7">
        <w:rPr>
          <w:i/>
        </w:rPr>
        <w:t>plius</w:t>
      </w:r>
      <w:r>
        <w:t xml:space="preserve"> 2,37 Lt / mėn. abonementinis mokestis, mokamas, kai vandens skaitiklis priklauso vartotojui</w:t>
      </w:r>
      <w:r>
        <w:rPr>
          <w:rStyle w:val="FootnoteReference"/>
        </w:rPr>
        <w:footnoteReference w:id="38"/>
      </w:r>
      <w:r>
        <w:t>;</w:t>
      </w:r>
    </w:p>
    <w:p w:rsidR="00510801" w:rsidRDefault="00510801" w:rsidP="00510801">
      <w:pPr>
        <w:pStyle w:val="ListParagraph"/>
        <w:numPr>
          <w:ilvl w:val="0"/>
          <w:numId w:val="46"/>
        </w:numPr>
        <w:ind w:left="900"/>
      </w:pPr>
      <w:r w:rsidRPr="005824DA">
        <w:rPr>
          <w:b/>
          <w:i/>
        </w:rPr>
        <w:t>kompensuojamos išlaidos (</w:t>
      </w:r>
      <w:r>
        <w:rPr>
          <w:b/>
          <w:i/>
        </w:rPr>
        <w:t>karšto v.</w:t>
      </w:r>
      <w:r w:rsidRPr="005824DA">
        <w:rPr>
          <w:b/>
          <w:i/>
        </w:rPr>
        <w:t>)</w:t>
      </w:r>
      <w:r>
        <w:t>: 32; 53; 64; 74 Lt, priklausomai nuo šeimos dydžio;</w:t>
      </w:r>
    </w:p>
    <w:p w:rsidR="00510801" w:rsidRDefault="00510801" w:rsidP="00510801">
      <w:pPr>
        <w:pStyle w:val="ListParagraph"/>
        <w:numPr>
          <w:ilvl w:val="0"/>
          <w:numId w:val="46"/>
        </w:numPr>
        <w:ind w:left="900"/>
      </w:pPr>
      <w:r w:rsidRPr="00097AE8">
        <w:rPr>
          <w:b/>
          <w:i/>
        </w:rPr>
        <w:t>kompensuoj</w:t>
      </w:r>
      <w:r>
        <w:rPr>
          <w:b/>
          <w:i/>
        </w:rPr>
        <w:t>amos išlaidos (geriamojo v.</w:t>
      </w:r>
      <w:r w:rsidRPr="00097AE8">
        <w:rPr>
          <w:b/>
          <w:i/>
        </w:rPr>
        <w:t>)</w:t>
      </w:r>
      <w:r>
        <w:t>: 11; 18; 22; 26 Lt, priklausomai nuo šeimos dydžio.</w:t>
      </w:r>
    </w:p>
    <w:p w:rsidR="00510801" w:rsidRDefault="00510801" w:rsidP="00510801">
      <w:pPr>
        <w:spacing w:after="120" w:line="240" w:lineRule="auto"/>
        <w:contextualSpacing w:val="0"/>
      </w:pPr>
      <w:r w:rsidRPr="00EB150A">
        <w:rPr>
          <w:b/>
          <w:i/>
        </w:rPr>
        <w:lastRenderedPageBreak/>
        <w:t xml:space="preserve">Kompensacijoms už būsto šildymo </w:t>
      </w:r>
      <w:r w:rsidRPr="00996DBB">
        <w:rPr>
          <w:b/>
          <w:i/>
        </w:rPr>
        <w:t>išlaidas (Komp</w:t>
      </w:r>
      <w:r w:rsidRPr="00996DBB">
        <w:rPr>
          <w:b/>
          <w:i/>
          <w:vertAlign w:val="subscript"/>
        </w:rPr>
        <w:t>1</w:t>
      </w:r>
      <w:r w:rsidRPr="00996DBB">
        <w:rPr>
          <w:b/>
          <w:i/>
        </w:rPr>
        <w:t>)</w:t>
      </w:r>
      <w:r>
        <w:t xml:space="preserve"> apskaičiuoti buvo naudojama ši formulė:</w:t>
      </w:r>
    </w:p>
    <w:p w:rsidR="00510801" w:rsidRPr="001F309E" w:rsidRDefault="00D84BC4" w:rsidP="00510801">
      <w:pPr>
        <w:spacing w:after="0"/>
        <w:rPr>
          <w:sz w:val="23"/>
          <w:szCs w:val="23"/>
        </w:rPr>
      </w:pPr>
      <m:oMathPara>
        <m:oMathParaPr>
          <m:jc m:val="right"/>
        </m:oMathParaPr>
        <m:oMath>
          <m:sSub>
            <m:sSubPr>
              <m:ctrlPr>
                <w:rPr>
                  <w:rFonts w:ascii="Cambria Math" w:hAnsi="Cambria Math"/>
                  <w:i/>
                  <w:sz w:val="23"/>
                  <w:szCs w:val="23"/>
                </w:rPr>
              </m:ctrlPr>
            </m:sSubPr>
            <m:e>
              <m:r>
                <w:rPr>
                  <w:rFonts w:ascii="Cambria Math" w:hAnsi="Cambria Math"/>
                  <w:sz w:val="23"/>
                  <w:szCs w:val="23"/>
                </w:rPr>
                <m:t>Komp</m:t>
              </m:r>
            </m:e>
            <m:sub>
              <m:r>
                <w:rPr>
                  <w:rFonts w:ascii="Cambria Math" w:hAnsi="Cambria Math"/>
                  <w:sz w:val="23"/>
                  <w:szCs w:val="23"/>
                </w:rPr>
                <m:t>1</m:t>
              </m:r>
            </m:sub>
          </m:sSub>
          <m:r>
            <w:rPr>
              <w:rFonts w:ascii="Cambria Math" w:hAnsi="Cambria Math"/>
              <w:sz w:val="23"/>
              <w:szCs w:val="23"/>
            </w:rPr>
            <m:t>=495-</m:t>
          </m:r>
          <m:d>
            <m:dPr>
              <m:ctrlPr>
                <w:rPr>
                  <w:rFonts w:ascii="Cambria Math" w:hAnsi="Cambria Math"/>
                  <w:i/>
                  <w:sz w:val="23"/>
                  <w:szCs w:val="23"/>
                </w:rPr>
              </m:ctrlPr>
            </m:dPr>
            <m:e>
              <m:r>
                <w:rPr>
                  <w:rFonts w:ascii="Cambria Math" w:hAnsi="Cambria Math"/>
                  <w:sz w:val="23"/>
                  <w:szCs w:val="23"/>
                </w:rPr>
                <m:t>BGAP-VRP×BGA</m:t>
              </m:r>
            </m:e>
          </m:d>
          <m:r>
            <w:rPr>
              <w:rFonts w:ascii="Cambria Math" w:hAnsi="Cambria Math"/>
              <w:sz w:val="23"/>
              <w:szCs w:val="23"/>
            </w:rPr>
            <m:t>×0,2;                                                 (2)</m:t>
          </m:r>
        </m:oMath>
      </m:oMathPara>
    </w:p>
    <w:p w:rsidR="00510801" w:rsidRPr="006F4140" w:rsidRDefault="00510801" w:rsidP="00510801">
      <w:r>
        <w:t xml:space="preserve">čia: </w:t>
      </w:r>
      <w:r w:rsidRPr="00B93783">
        <w:rPr>
          <w:i/>
        </w:rPr>
        <w:t>495</w:t>
      </w:r>
      <w:r>
        <w:t xml:space="preserve"> – būsto šildymo išlaidos (Lt) (45 m</w:t>
      </w:r>
      <w:r>
        <w:rPr>
          <w:vertAlign w:val="superscript"/>
        </w:rPr>
        <w:t>2</w:t>
      </w:r>
      <w:r>
        <w:t xml:space="preserve"> × 11 Lt / m</w:t>
      </w:r>
      <w:r>
        <w:rPr>
          <w:vertAlign w:val="superscript"/>
        </w:rPr>
        <w:t>2</w:t>
      </w:r>
      <w:r>
        <w:t>).</w:t>
      </w:r>
    </w:p>
    <w:p w:rsidR="00510801" w:rsidRDefault="00510801" w:rsidP="00510801">
      <w:r w:rsidRPr="00996DBB">
        <w:rPr>
          <w:b/>
          <w:i/>
        </w:rPr>
        <w:t>Kompensacijoms už karšto vandens išlaidas (Komp</w:t>
      </w:r>
      <w:r w:rsidRPr="00996DBB">
        <w:rPr>
          <w:b/>
          <w:i/>
          <w:vertAlign w:val="subscript"/>
        </w:rPr>
        <w:t>2</w:t>
      </w:r>
      <w:r w:rsidRPr="00996DBB">
        <w:rPr>
          <w:b/>
          <w:i/>
        </w:rPr>
        <w:t>)</w:t>
      </w:r>
      <w:r>
        <w:t xml:space="preserve"> apskaičiuoti buvo naudojama ši formulė:</w:t>
      </w:r>
    </w:p>
    <w:p w:rsidR="00510801" w:rsidRPr="001F309E" w:rsidRDefault="00D84BC4" w:rsidP="00510801">
      <w:pPr>
        <w:rPr>
          <w:sz w:val="23"/>
          <w:szCs w:val="23"/>
        </w:rPr>
      </w:pPr>
      <m:oMathPara>
        <m:oMathParaPr>
          <m:jc m:val="right"/>
        </m:oMathParaPr>
        <m:oMath>
          <m:sSub>
            <m:sSubPr>
              <m:ctrlPr>
                <w:rPr>
                  <w:rFonts w:ascii="Cambria Math" w:hAnsi="Cambria Math"/>
                  <w:i/>
                  <w:sz w:val="23"/>
                  <w:szCs w:val="23"/>
                </w:rPr>
              </m:ctrlPr>
            </m:sSubPr>
            <m:e>
              <m:r>
                <w:rPr>
                  <w:rFonts w:ascii="Cambria Math" w:hAnsi="Cambria Math"/>
                  <w:sz w:val="23"/>
                  <w:szCs w:val="23"/>
                </w:rPr>
                <m:t>Komp</m:t>
              </m:r>
            </m:e>
            <m:sub>
              <m:r>
                <w:rPr>
                  <w:rFonts w:ascii="Cambria Math" w:hAnsi="Cambria Math"/>
                  <w:sz w:val="23"/>
                  <w:szCs w:val="23"/>
                </w:rPr>
                <m:t>2</m:t>
              </m:r>
            </m:sub>
          </m:sSub>
          <m:r>
            <w:rPr>
              <w:rFonts w:ascii="Cambria Math" w:hAnsi="Cambria Math"/>
              <w:sz w:val="23"/>
              <w:szCs w:val="23"/>
            </w:rPr>
            <m:t>=21,2×</m:t>
          </m:r>
          <m:sSub>
            <m:sSubPr>
              <m:ctrlPr>
                <w:rPr>
                  <w:rFonts w:ascii="Cambria Math" w:hAnsi="Cambria Math"/>
                  <w:i/>
                  <w:sz w:val="23"/>
                  <w:szCs w:val="23"/>
                </w:rPr>
              </m:ctrlPr>
            </m:sSubPr>
            <m:e>
              <m:r>
                <w:rPr>
                  <w:rFonts w:ascii="Cambria Math" w:hAnsi="Cambria Math"/>
                  <w:sz w:val="23"/>
                  <w:szCs w:val="23"/>
                </w:rPr>
                <m:t>v</m:t>
              </m:r>
            </m:e>
            <m:sub>
              <m:r>
                <w:rPr>
                  <w:rFonts w:ascii="Cambria Math" w:hAnsi="Cambria Math"/>
                  <w:sz w:val="23"/>
                  <w:szCs w:val="23"/>
                </w:rPr>
                <m:t>k</m:t>
              </m:r>
            </m:sub>
          </m:sSub>
          <m:r>
            <w:rPr>
              <w:rFonts w:ascii="Cambria Math" w:hAnsi="Cambria Math"/>
              <w:sz w:val="23"/>
              <w:szCs w:val="23"/>
            </w:rPr>
            <m:t>-BGAP×0,05;                                                            (3)</m:t>
          </m:r>
        </m:oMath>
      </m:oMathPara>
    </w:p>
    <w:p w:rsidR="00510801" w:rsidRPr="00D75609" w:rsidRDefault="00510801" w:rsidP="00510801">
      <w:r>
        <w:t xml:space="preserve">čia: </w:t>
      </w:r>
      <m:oMath>
        <m:sSub>
          <m:sSubPr>
            <m:ctrlPr>
              <w:rPr>
                <w:rFonts w:ascii="Cambria Math" w:hAnsi="Cambria Math"/>
                <w:i/>
              </w:rPr>
            </m:ctrlPr>
          </m:sSubPr>
          <m:e>
            <m:r>
              <w:rPr>
                <w:rFonts w:ascii="Cambria Math" w:hAnsi="Cambria Math"/>
              </w:rPr>
              <m:t>v</m:t>
            </m:r>
          </m:e>
          <m:sub>
            <m:r>
              <w:rPr>
                <w:rFonts w:ascii="Cambria Math" w:hAnsi="Cambria Math"/>
              </w:rPr>
              <m:t>k</m:t>
            </m:r>
          </m:sub>
        </m:sSub>
      </m:oMath>
      <w:r>
        <w:rPr>
          <w:rFonts w:eastAsiaTheme="minorEastAsia"/>
        </w:rPr>
        <w:t> </w:t>
      </w:r>
      <w:r>
        <w:t>– sunaudoto karšto vandens kiekis (m</w:t>
      </w:r>
      <w:r>
        <w:rPr>
          <w:vertAlign w:val="superscript"/>
        </w:rPr>
        <w:t>3</w:t>
      </w:r>
      <w:r>
        <w:t>).</w:t>
      </w:r>
    </w:p>
    <w:p w:rsidR="00510801" w:rsidRDefault="00510801" w:rsidP="00510801">
      <w:r>
        <w:rPr>
          <w:b/>
          <w:i/>
        </w:rPr>
        <w:t>Kompensacijoms už geriamojo</w:t>
      </w:r>
      <w:r w:rsidRPr="00996DBB">
        <w:rPr>
          <w:b/>
          <w:i/>
        </w:rPr>
        <w:t xml:space="preserve"> vandens išlaidas (Komp</w:t>
      </w:r>
      <w:r>
        <w:rPr>
          <w:b/>
          <w:i/>
          <w:vertAlign w:val="subscript"/>
        </w:rPr>
        <w:t>3</w:t>
      </w:r>
      <w:r w:rsidRPr="00996DBB">
        <w:rPr>
          <w:b/>
          <w:i/>
        </w:rPr>
        <w:t>)</w:t>
      </w:r>
      <w:r>
        <w:t xml:space="preserve"> apskaičiuoti buvo naudojama ši formulė:</w:t>
      </w:r>
    </w:p>
    <w:p w:rsidR="00510801" w:rsidRPr="001F309E" w:rsidRDefault="00D84BC4" w:rsidP="00510801">
      <w:pPr>
        <w:rPr>
          <w:sz w:val="23"/>
          <w:szCs w:val="23"/>
        </w:rPr>
      </w:pPr>
      <m:oMathPara>
        <m:oMathParaPr>
          <m:jc m:val="right"/>
        </m:oMathParaPr>
        <m:oMath>
          <m:sSub>
            <m:sSubPr>
              <m:ctrlPr>
                <w:rPr>
                  <w:rFonts w:ascii="Cambria Math" w:hAnsi="Cambria Math"/>
                  <w:i/>
                  <w:sz w:val="23"/>
                  <w:szCs w:val="23"/>
                </w:rPr>
              </m:ctrlPr>
            </m:sSubPr>
            <m:e>
              <m:r>
                <w:rPr>
                  <w:rFonts w:ascii="Cambria Math" w:hAnsi="Cambria Math"/>
                  <w:sz w:val="23"/>
                  <w:szCs w:val="23"/>
                </w:rPr>
                <m:t>Komp</m:t>
              </m:r>
            </m:e>
            <m:sub>
              <m:r>
                <w:rPr>
                  <w:rFonts w:ascii="Cambria Math" w:hAnsi="Cambria Math"/>
                  <w:sz w:val="23"/>
                  <w:szCs w:val="23"/>
                </w:rPr>
                <m:t>3</m:t>
              </m:r>
            </m:sub>
          </m:sSub>
          <m:r>
            <w:rPr>
              <w:rFonts w:ascii="Cambria Math" w:hAnsi="Cambria Math"/>
              <w:sz w:val="23"/>
              <w:szCs w:val="23"/>
            </w:rPr>
            <m:t>=</m:t>
          </m:r>
          <m:d>
            <m:dPr>
              <m:ctrlPr>
                <w:rPr>
                  <w:rFonts w:ascii="Cambria Math" w:hAnsi="Cambria Math"/>
                  <w:i/>
                  <w:sz w:val="23"/>
                  <w:szCs w:val="23"/>
                </w:rPr>
              </m:ctrlPr>
            </m:dPr>
            <m:e>
              <m:r>
                <w:rPr>
                  <w:rFonts w:ascii="Cambria Math" w:hAnsi="Cambria Math"/>
                  <w:sz w:val="23"/>
                  <w:szCs w:val="23"/>
                </w:rPr>
                <m:t>4,37×</m:t>
              </m:r>
              <m:sSub>
                <m:sSubPr>
                  <m:ctrlPr>
                    <w:rPr>
                      <w:rFonts w:ascii="Cambria Math" w:hAnsi="Cambria Math"/>
                      <w:i/>
                      <w:sz w:val="23"/>
                      <w:szCs w:val="23"/>
                    </w:rPr>
                  </m:ctrlPr>
                </m:sSubPr>
                <m:e>
                  <m:r>
                    <w:rPr>
                      <w:rFonts w:ascii="Cambria Math" w:hAnsi="Cambria Math"/>
                      <w:sz w:val="23"/>
                      <w:szCs w:val="23"/>
                    </w:rPr>
                    <m:t>v</m:t>
                  </m:r>
                </m:e>
                <m:sub>
                  <m:r>
                    <w:rPr>
                      <w:rFonts w:ascii="Cambria Math" w:hAnsi="Cambria Math"/>
                      <w:sz w:val="23"/>
                      <w:szCs w:val="23"/>
                    </w:rPr>
                    <m:t>g</m:t>
                  </m:r>
                </m:sub>
              </m:sSub>
            </m:e>
          </m:d>
          <m:r>
            <w:rPr>
              <w:rFonts w:ascii="Cambria Math" w:hAnsi="Cambria Math"/>
              <w:sz w:val="23"/>
              <w:szCs w:val="23"/>
            </w:rPr>
            <m:t>+2,37-BGAP×0,02;                                                  (4)</m:t>
          </m:r>
        </m:oMath>
      </m:oMathPara>
    </w:p>
    <w:p w:rsidR="00510801" w:rsidRPr="00D604EB" w:rsidRDefault="00510801" w:rsidP="00510801">
      <w:r w:rsidRPr="00D604EB">
        <w:t xml:space="preserve">čia: </w:t>
      </w:r>
      <m:oMath>
        <m:sSub>
          <m:sSubPr>
            <m:ctrlPr>
              <w:rPr>
                <w:rFonts w:ascii="Cambria Math" w:hAnsi="Cambria Math"/>
              </w:rPr>
            </m:ctrlPr>
          </m:sSubPr>
          <m:e>
            <m:r>
              <w:rPr>
                <w:rFonts w:ascii="Cambria Math" w:hAnsi="Cambria Math"/>
              </w:rPr>
              <m:t>v</m:t>
            </m:r>
          </m:e>
          <m:sub>
            <m:r>
              <w:rPr>
                <w:rFonts w:ascii="Cambria Math" w:hAnsi="Cambria Math"/>
              </w:rPr>
              <m:t>g</m:t>
            </m:r>
          </m:sub>
        </m:sSub>
      </m:oMath>
      <w:r w:rsidRPr="00D604EB">
        <w:t xml:space="preserve"> – sunaudoto geriamojo vandens kiekis (m</w:t>
      </w:r>
      <w:r w:rsidRPr="00097AE8">
        <w:rPr>
          <w:vertAlign w:val="superscript"/>
        </w:rPr>
        <w:t>3</w:t>
      </w:r>
      <w:r w:rsidRPr="00D604EB">
        <w:t>).</w:t>
      </w:r>
    </w:p>
    <w:p w:rsidR="00510801" w:rsidRDefault="00510801" w:rsidP="00510801">
      <w:r w:rsidRPr="00D64466">
        <w:rPr>
          <w:b/>
          <w:i/>
          <w:u w:val="single"/>
        </w:rPr>
        <w:t>Pastaba</w:t>
      </w:r>
      <w:r>
        <w:t>: derėtų pastebėti, kad, skaičiuojant socialinės pašalpos dydį, suma, neviršijanti 5 Lt, būdavo ignoruojama. Tas pat pasakytina ir apie kompensacijas: jei suma neviršydavo 1 Lt, ji nebūdavo pripažinta.</w:t>
      </w:r>
    </w:p>
    <w:p w:rsidR="00510801" w:rsidRDefault="00510801" w:rsidP="00510801">
      <w:r w:rsidRPr="00932A43">
        <w:rPr>
          <w:b/>
          <w:i/>
        </w:rPr>
        <w:t>Finansinės gerovės rodikliui</w:t>
      </w:r>
      <w:r>
        <w:rPr>
          <w:b/>
          <w:i/>
        </w:rPr>
        <w:t xml:space="preserve"> (GEROVĖ)</w:t>
      </w:r>
      <w:r>
        <w:t xml:space="preserve"> apskaičiuoti buvo naudojama ši formulė:</w:t>
      </w:r>
    </w:p>
    <w:p w:rsidR="00510801" w:rsidRPr="001F309E" w:rsidRDefault="00510801" w:rsidP="00510801">
      <w:pPr>
        <w:rPr>
          <w:sz w:val="23"/>
          <w:szCs w:val="23"/>
        </w:rPr>
      </w:pPr>
      <m:oMathPara>
        <m:oMathParaPr>
          <m:jc m:val="right"/>
        </m:oMathParaPr>
        <m:oMath>
          <m:r>
            <m:rPr>
              <m:sty m:val="bi"/>
            </m:rPr>
            <w:rPr>
              <w:rFonts w:ascii="Cambria Math" w:hAnsi="Cambria Math"/>
              <w:sz w:val="23"/>
              <w:szCs w:val="23"/>
            </w:rPr>
            <m:t>GEROVE</m:t>
          </m:r>
          <m:r>
            <m:rPr>
              <m:sty m:val="p"/>
            </m:rPr>
            <w:rPr>
              <w:rFonts w:ascii="Cambria Math" w:hAnsi="Cambria Math"/>
              <w:sz w:val="23"/>
              <w:szCs w:val="23"/>
            </w:rPr>
            <m:t>=</m:t>
          </m:r>
          <m:r>
            <w:rPr>
              <w:rFonts w:ascii="Cambria Math" w:hAnsi="Cambria Math"/>
              <w:sz w:val="23"/>
              <w:szCs w:val="23"/>
            </w:rPr>
            <m:t>NETO</m:t>
          </m:r>
          <m:r>
            <m:rPr>
              <m:sty m:val="p"/>
            </m:rPr>
            <w:rPr>
              <w:rFonts w:ascii="Cambria Math" w:hAnsi="Cambria Math"/>
              <w:sz w:val="23"/>
              <w:szCs w:val="23"/>
            </w:rPr>
            <m:t xml:space="preserve"> </m:t>
          </m:r>
          <m:r>
            <w:rPr>
              <w:rFonts w:ascii="Cambria Math" w:hAnsi="Cambria Math"/>
              <w:sz w:val="23"/>
              <w:szCs w:val="23"/>
            </w:rPr>
            <m:t>pajamos</m:t>
          </m:r>
          <m:r>
            <m:rPr>
              <m:sty m:val="p"/>
            </m:rPr>
            <w:rPr>
              <w:rFonts w:ascii="Cambria Math" w:hAnsi="Cambria Math"/>
              <w:sz w:val="23"/>
              <w:szCs w:val="23"/>
            </w:rPr>
            <m:t>+</m:t>
          </m:r>
          <m:r>
            <w:rPr>
              <w:rFonts w:ascii="Cambria Math" w:hAnsi="Cambria Math"/>
              <w:sz w:val="23"/>
              <w:szCs w:val="23"/>
            </w:rPr>
            <m:t>SP</m:t>
          </m:r>
          <m:r>
            <m:rPr>
              <m:sty m:val="p"/>
            </m:rPr>
            <w:rPr>
              <w:rFonts w:ascii="Cambria Math" w:hAnsi="Cambria Math"/>
              <w:sz w:val="23"/>
              <w:szCs w:val="23"/>
            </w:rPr>
            <m:t>+</m:t>
          </m:r>
          <m:sSub>
            <m:sSubPr>
              <m:ctrlPr>
                <w:rPr>
                  <w:rFonts w:ascii="Cambria Math" w:hAnsi="Cambria Math"/>
                  <w:sz w:val="23"/>
                  <w:szCs w:val="23"/>
                </w:rPr>
              </m:ctrlPr>
            </m:sSubPr>
            <m:e>
              <m:r>
                <w:rPr>
                  <w:rFonts w:ascii="Cambria Math" w:hAnsi="Cambria Math"/>
                  <w:sz w:val="23"/>
                  <w:szCs w:val="23"/>
                </w:rPr>
                <m:t>Komp</m:t>
              </m:r>
            </m:e>
            <m:sub>
              <m:r>
                <m:rPr>
                  <m:sty m:val="p"/>
                </m:rPr>
                <w:rPr>
                  <w:rFonts w:ascii="Cambria Math" w:hAnsi="Cambria Math"/>
                  <w:sz w:val="23"/>
                  <w:szCs w:val="23"/>
                </w:rPr>
                <m:t>1</m:t>
              </m:r>
            </m:sub>
          </m:sSub>
          <m:r>
            <m:rPr>
              <m:sty m:val="p"/>
            </m:rPr>
            <w:rPr>
              <w:rFonts w:ascii="Cambria Math" w:hAnsi="Cambria Math"/>
              <w:sz w:val="23"/>
              <w:szCs w:val="23"/>
            </w:rPr>
            <m:t>+</m:t>
          </m:r>
          <m:sSub>
            <m:sSubPr>
              <m:ctrlPr>
                <w:rPr>
                  <w:rFonts w:ascii="Cambria Math" w:hAnsi="Cambria Math"/>
                  <w:sz w:val="23"/>
                  <w:szCs w:val="23"/>
                </w:rPr>
              </m:ctrlPr>
            </m:sSubPr>
            <m:e>
              <m:r>
                <w:rPr>
                  <w:rFonts w:ascii="Cambria Math" w:hAnsi="Cambria Math"/>
                  <w:sz w:val="23"/>
                  <w:szCs w:val="23"/>
                </w:rPr>
                <m:t>Komp</m:t>
              </m:r>
            </m:e>
            <m:sub>
              <m:r>
                <m:rPr>
                  <m:sty m:val="p"/>
                </m:rPr>
                <w:rPr>
                  <w:rFonts w:ascii="Cambria Math" w:hAnsi="Cambria Math"/>
                  <w:sz w:val="23"/>
                  <w:szCs w:val="23"/>
                </w:rPr>
                <m:t>2</m:t>
              </m:r>
            </m:sub>
          </m:sSub>
          <m:r>
            <m:rPr>
              <m:sty m:val="p"/>
            </m:rPr>
            <w:rPr>
              <w:rFonts w:ascii="Cambria Math" w:hAnsi="Cambria Math"/>
              <w:sz w:val="23"/>
              <w:szCs w:val="23"/>
            </w:rPr>
            <m:t>+</m:t>
          </m:r>
          <m:sSub>
            <m:sSubPr>
              <m:ctrlPr>
                <w:rPr>
                  <w:rFonts w:ascii="Cambria Math" w:hAnsi="Cambria Math"/>
                  <w:sz w:val="23"/>
                  <w:szCs w:val="23"/>
                </w:rPr>
              </m:ctrlPr>
            </m:sSubPr>
            <m:e>
              <m:r>
                <w:rPr>
                  <w:rFonts w:ascii="Cambria Math" w:hAnsi="Cambria Math"/>
                  <w:sz w:val="23"/>
                  <w:szCs w:val="23"/>
                </w:rPr>
                <m:t>Komp</m:t>
              </m:r>
            </m:e>
            <m:sub>
              <m:r>
                <m:rPr>
                  <m:sty m:val="p"/>
                </m:rPr>
                <w:rPr>
                  <w:rFonts w:ascii="Cambria Math" w:hAnsi="Cambria Math"/>
                  <w:sz w:val="23"/>
                  <w:szCs w:val="23"/>
                </w:rPr>
                <m:t>3</m:t>
              </m:r>
            </m:sub>
          </m:sSub>
          <m:r>
            <m:rPr>
              <m:sty m:val="p"/>
            </m:rPr>
            <w:rPr>
              <w:rFonts w:ascii="Cambria Math" w:hAnsi="Cambria Math"/>
              <w:sz w:val="23"/>
              <w:szCs w:val="23"/>
            </w:rPr>
            <m:t>+</m:t>
          </m:r>
          <m:r>
            <w:rPr>
              <w:rFonts w:ascii="Cambria Math" w:hAnsi="Cambria Math"/>
              <w:sz w:val="23"/>
              <w:szCs w:val="23"/>
            </w:rPr>
            <m:t>Parama</m:t>
          </m:r>
          <m:r>
            <m:rPr>
              <m:sty m:val="p"/>
            </m:rPr>
            <w:rPr>
              <w:rFonts w:ascii="Cambria Math" w:hAnsi="Cambria Math"/>
              <w:sz w:val="23"/>
              <w:szCs w:val="23"/>
            </w:rPr>
            <m:t>+</m:t>
          </m:r>
          <m:r>
            <w:rPr>
              <w:rFonts w:ascii="Cambria Math" w:hAnsi="Cambria Math"/>
              <w:sz w:val="23"/>
              <w:szCs w:val="23"/>
            </w:rPr>
            <m:t>I</m:t>
          </m:r>
          <m:r>
            <m:rPr>
              <m:sty m:val="p"/>
            </m:rPr>
            <w:rPr>
              <w:rFonts w:ascii="Cambria Math" w:hAnsi="Cambria Math"/>
              <w:sz w:val="23"/>
              <w:szCs w:val="23"/>
            </w:rPr>
            <m:t>š</m:t>
          </m:r>
          <m:r>
            <w:rPr>
              <w:rFonts w:ascii="Cambria Math" w:hAnsi="Cambria Math"/>
              <w:sz w:val="23"/>
              <w:szCs w:val="23"/>
            </w:rPr>
            <m:t>laikymas</m:t>
          </m:r>
          <m:r>
            <m:rPr>
              <m:sty m:val="p"/>
            </m:rPr>
            <w:rPr>
              <w:rFonts w:ascii="Cambria Math" w:hAnsi="Cambria Math"/>
              <w:sz w:val="23"/>
              <w:szCs w:val="23"/>
            </w:rPr>
            <m:t xml:space="preserve">;      </m:t>
          </m:r>
          <m:d>
            <m:dPr>
              <m:ctrlPr>
                <w:rPr>
                  <w:rFonts w:ascii="Cambria Math" w:hAnsi="Cambria Math"/>
                  <w:sz w:val="23"/>
                  <w:szCs w:val="23"/>
                </w:rPr>
              </m:ctrlPr>
            </m:dPr>
            <m:e>
              <m:r>
                <m:rPr>
                  <m:sty m:val="p"/>
                </m:rPr>
                <w:rPr>
                  <w:rFonts w:ascii="Cambria Math" w:hAnsi="Cambria Math"/>
                  <w:sz w:val="23"/>
                  <w:szCs w:val="23"/>
                </w:rPr>
                <m:t>5</m:t>
              </m:r>
            </m:e>
          </m:d>
        </m:oMath>
      </m:oMathPara>
    </w:p>
    <w:p w:rsidR="00510801" w:rsidRPr="003352F1" w:rsidRDefault="00510801" w:rsidP="00510801">
      <w:pPr>
        <w:rPr>
          <w:rFonts w:eastAsiaTheme="minorEastAsia"/>
          <w:szCs w:val="24"/>
        </w:rPr>
      </w:pPr>
      <w:r>
        <w:rPr>
          <w:rFonts w:eastAsiaTheme="minorEastAsia"/>
          <w:szCs w:val="24"/>
        </w:rPr>
        <w:t xml:space="preserve">čia: </w:t>
      </w:r>
      <w:r w:rsidRPr="00B53FAE">
        <w:rPr>
          <w:rFonts w:eastAsiaTheme="minorEastAsia"/>
          <w:i/>
          <w:szCs w:val="24"/>
        </w:rPr>
        <w:t>NETO pajamos</w:t>
      </w:r>
      <w:r>
        <w:rPr>
          <w:rFonts w:eastAsiaTheme="minorEastAsia"/>
          <w:szCs w:val="24"/>
        </w:rPr>
        <w:t xml:space="preserve"> – darbo veiklos pajamos po mokesčių apmokėjimo (Lt) (tais atvejais, kai namų ūkis neturėjo darbo pajamų, tačiau gavo nedarbo draudimo išmokas (NDI), į skaičiavimus buvo traukiama NDI); </w:t>
      </w:r>
      <w:r w:rsidRPr="008E69E7">
        <w:rPr>
          <w:rFonts w:eastAsiaTheme="minorEastAsia"/>
          <w:i/>
          <w:szCs w:val="24"/>
        </w:rPr>
        <w:t>Išlaikymas</w:t>
      </w:r>
      <w:r>
        <w:rPr>
          <w:rFonts w:eastAsiaTheme="minorEastAsia"/>
          <w:szCs w:val="24"/>
        </w:rPr>
        <w:t xml:space="preserve"> – teismo priteista suma vaikų išlaikymui (naudota 1 BSI vaikui išlaikyti, t. y. 130 Lt).</w:t>
      </w:r>
    </w:p>
    <w:p w:rsidR="00510801" w:rsidRDefault="00510801" w:rsidP="00510801">
      <w:pPr>
        <w:spacing w:after="100" w:line="240" w:lineRule="auto"/>
        <w:ind w:firstLine="0"/>
        <w:contextualSpacing w:val="0"/>
        <w:jc w:val="center"/>
        <w:rPr>
          <w:b/>
        </w:rPr>
      </w:pPr>
      <w:r w:rsidRPr="00CD22A6">
        <w:rPr>
          <w:b/>
        </w:rPr>
        <w:t>ATLIKTŲ SKAIČIAVIMŲ APIBENDRINIMAS</w:t>
      </w:r>
    </w:p>
    <w:p w:rsidR="00510801" w:rsidRDefault="00510801" w:rsidP="00510801">
      <w:r>
        <w:t xml:space="preserve">Atlikti skaičiavimai leido suprasti, jog </w:t>
      </w:r>
      <w:r w:rsidRPr="0089339D">
        <w:rPr>
          <w:b/>
          <w:i/>
        </w:rPr>
        <w:t xml:space="preserve">nedarbo draudimo išmokų mokėjimo tvarka yra palankesnė mažesnes pajamas </w:t>
      </w:r>
      <w:r>
        <w:rPr>
          <w:b/>
          <w:i/>
        </w:rPr>
        <w:t xml:space="preserve">uždirbusiems </w:t>
      </w:r>
      <w:r w:rsidRPr="0089339D">
        <w:rPr>
          <w:b/>
          <w:i/>
        </w:rPr>
        <w:t>žmonėms</w:t>
      </w:r>
      <w:r>
        <w:t>, kadangi, jiems gaunant nedarbo draudimo išmokas kartu su socialine parama (o kai kuriais atvejais ir socialine pašalpa), gerovė tampa beveik tokio paties dydžio kaip ir dirbant. Tuo tarpu daugiau (praeityje) uždirbę asmenys (</w:t>
      </w:r>
      <w:r w:rsidRPr="004E455E">
        <w:rPr>
          <w:u w:val="single"/>
        </w:rPr>
        <w:t>pavyzdžiui, 1 700 Lt</w:t>
      </w:r>
      <w:r>
        <w:t xml:space="preserve">), užklupus nedarbui, yra apsaugomi nepakankamai, nes jų finansinė gerovė sumažėja vidutiniškai 30 proc. Derėtų pastebėti, jog namų ūkiai, susidedantys iš dviejų suaugusiųjų (2 B), nuo nedarbo ir nedidelių NDI nukenčia labiausiai (netenka apie 40 proc. gerovės, lyginant su prieš tai turėta), o geriausiai apsaugomi yra vieniši asmenys su dviem vaikais (1 B + 2 V), kurių gerovė </w:t>
      </w:r>
      <w:r w:rsidR="006C023A">
        <w:t>apytiksliai sumažėja tik 15</w:t>
      </w:r>
      <w:r>
        <w:t> proc. Tokiam skirtumui įtakos turi tai, jog be pašalpų šio tipo namų ūkiai dar gauna socialinę paramą vaikams (kuri į bendrai gyvenančių asmenų pajamas nėra įskaitoma) bei vieno iš tėvų (teismo priteistą) išlaikymą, – kas ir padidina finansinę gerovę.</w:t>
      </w:r>
    </w:p>
    <w:p w:rsidR="00510801" w:rsidRPr="00F101EF" w:rsidRDefault="00510801" w:rsidP="00510801">
      <w:r>
        <w:t xml:space="preserve">Taip pat reikėtų akcentuoti, jog </w:t>
      </w:r>
      <w:r w:rsidRPr="00F101EF">
        <w:rPr>
          <w:b/>
          <w:i/>
        </w:rPr>
        <w:t>riba, skirianti bedarbius nuo skurdžiausiai gyvenančių asmenų, nėra didelė</w:t>
      </w:r>
      <w:r>
        <w:t xml:space="preserve">, nes </w:t>
      </w:r>
      <w:r w:rsidRPr="00F668A7">
        <w:rPr>
          <w:i/>
        </w:rPr>
        <w:t>vieniši tėvai, auginantys po vieną vaiką</w:t>
      </w:r>
      <w:r>
        <w:t xml:space="preserve"> (rausvasis lentelės blokas) ir </w:t>
      </w:r>
      <w:r w:rsidRPr="00F668A7">
        <w:rPr>
          <w:i/>
        </w:rPr>
        <w:t>vieniši tėvai, turintys po du vaikus</w:t>
      </w:r>
      <w:r>
        <w:t xml:space="preserve"> (žalsvasis lentelės blokas), iš socialinės apsaugos gali gauti beveik tokią pačią naudą kaip ir neseniai dirbę vieniši tėvai su vaikais. Tas pat pasakytina ir apie keturių asmenų šeimas (žydrasis lentelės blokas): niekur nedirbę du vaikus turintys asmenys (2 N + 2 V) gali patirti 1 823 Lt finansinę gerovę, t. y. net 88 proc. dydžio gerovę tų žmonių (2 B + 2 V), kurie savo darbu patys ją užsitarnavo (2 066 Lt).</w:t>
      </w:r>
    </w:p>
    <w:p w:rsidR="00510801" w:rsidRDefault="00510801" w:rsidP="00F6568D">
      <w:pPr>
        <w:sectPr w:rsidR="00510801" w:rsidSect="00510801">
          <w:pgSz w:w="12240" w:h="15840"/>
          <w:pgMar w:top="1134" w:right="567" w:bottom="1134" w:left="1418" w:header="720" w:footer="720" w:gutter="0"/>
          <w:cols w:space="720"/>
          <w:docGrid w:linePitch="360"/>
        </w:sectPr>
      </w:pPr>
    </w:p>
    <w:p w:rsidR="00510801" w:rsidRPr="00BC5919" w:rsidRDefault="00510801" w:rsidP="00510801">
      <w:pPr>
        <w:pStyle w:val="Caption"/>
      </w:pPr>
      <w:r w:rsidRPr="00E35DC9">
        <w:lastRenderedPageBreak/>
        <w:t>1 lentelė.</w:t>
      </w:r>
      <w:r>
        <w:t xml:space="preserve"> </w:t>
      </w:r>
      <w:r w:rsidRPr="00051AF9">
        <w:t>Finansinė gerovė, tenkanti šeimoms, kuriose dirba vienas arba du suaugę asmenys</w:t>
      </w:r>
    </w:p>
    <w:tbl>
      <w:tblPr>
        <w:tblW w:w="13312"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tblPr>
      <w:tblGrid>
        <w:gridCol w:w="400"/>
        <w:gridCol w:w="1850"/>
        <w:gridCol w:w="1051"/>
        <w:gridCol w:w="824"/>
        <w:gridCol w:w="824"/>
        <w:gridCol w:w="826"/>
        <w:gridCol w:w="946"/>
        <w:gridCol w:w="945"/>
        <w:gridCol w:w="667"/>
        <w:gridCol w:w="667"/>
        <w:gridCol w:w="667"/>
        <w:gridCol w:w="833"/>
        <w:gridCol w:w="920"/>
        <w:gridCol w:w="946"/>
        <w:gridCol w:w="946"/>
      </w:tblGrid>
      <w:tr w:rsidR="00510801" w:rsidRPr="009F6960" w:rsidTr="00510801">
        <w:trPr>
          <w:trHeight w:val="195"/>
        </w:trPr>
        <w:tc>
          <w:tcPr>
            <w:tcW w:w="400" w:type="dxa"/>
            <w:tcBorders>
              <w:top w:val="single" w:sz="12" w:space="0" w:color="auto"/>
              <w:bottom w:val="single" w:sz="1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p>
        </w:tc>
        <w:tc>
          <w:tcPr>
            <w:tcW w:w="1850" w:type="dxa"/>
            <w:tcBorders>
              <w:top w:val="single" w:sz="12" w:space="0" w:color="auto"/>
              <w:bottom w:val="single" w:sz="12" w:space="0" w:color="auto"/>
            </w:tcBorders>
            <w:shd w:val="clear" w:color="auto" w:fill="D9D9D9" w:themeFill="background1" w:themeFillShade="D9"/>
            <w:noWrap/>
            <w:vAlign w:val="center"/>
            <w:hideMark/>
          </w:tcPr>
          <w:p w:rsidR="00510801" w:rsidRPr="009F6960" w:rsidRDefault="00510801" w:rsidP="00510801">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Šeimos tipas (</w:t>
            </w:r>
            <w:r w:rsidRPr="009F6960">
              <w:rPr>
                <w:rFonts w:eastAsia="Times New Roman"/>
                <w:b/>
                <w:sz w:val="15"/>
                <w:szCs w:val="15"/>
                <w:u w:val="single"/>
              </w:rPr>
              <w:t>aktyvus vienas</w:t>
            </w:r>
            <w:r w:rsidRPr="009F6960">
              <w:rPr>
                <w:rFonts w:eastAsia="Times New Roman"/>
                <w:b/>
                <w:sz w:val="15"/>
                <w:szCs w:val="15"/>
              </w:rPr>
              <w:t>)</w:t>
            </w:r>
          </w:p>
        </w:tc>
        <w:tc>
          <w:tcPr>
            <w:tcW w:w="1051" w:type="dxa"/>
            <w:tcBorders>
              <w:top w:val="single" w:sz="12" w:space="0" w:color="auto"/>
              <w:bottom w:val="single" w:sz="12" w:space="0" w:color="auto"/>
            </w:tcBorders>
            <w:shd w:val="clear" w:color="auto" w:fill="D9D9D9" w:themeFill="background1" w:themeFillShade="D9"/>
            <w:noWrap/>
            <w:vAlign w:val="center"/>
            <w:hideMark/>
          </w:tcPr>
          <w:p w:rsidR="00510801" w:rsidRPr="009F6960" w:rsidRDefault="00510801" w:rsidP="00510801">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Darbo pajamos</w:t>
            </w:r>
          </w:p>
        </w:tc>
        <w:tc>
          <w:tcPr>
            <w:tcW w:w="824" w:type="dxa"/>
            <w:tcBorders>
              <w:top w:val="single" w:sz="12" w:space="0" w:color="auto"/>
              <w:bottom w:val="single" w:sz="12" w:space="0" w:color="auto"/>
            </w:tcBorders>
            <w:shd w:val="clear" w:color="auto" w:fill="D9D9D9" w:themeFill="background1" w:themeFillShade="D9"/>
            <w:noWrap/>
            <w:vAlign w:val="center"/>
            <w:hideMark/>
          </w:tcPr>
          <w:p w:rsidR="00510801" w:rsidRPr="009F6960" w:rsidRDefault="00510801" w:rsidP="00510801">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NPD / PNPD</w:t>
            </w:r>
          </w:p>
        </w:tc>
        <w:tc>
          <w:tcPr>
            <w:tcW w:w="824" w:type="dxa"/>
            <w:tcBorders>
              <w:top w:val="single" w:sz="12" w:space="0" w:color="auto"/>
              <w:bottom w:val="single" w:sz="12" w:space="0" w:color="auto"/>
            </w:tcBorders>
            <w:shd w:val="clear" w:color="auto" w:fill="D9D9D9" w:themeFill="background1" w:themeFillShade="D9"/>
            <w:noWrap/>
            <w:vAlign w:val="center"/>
            <w:hideMark/>
          </w:tcPr>
          <w:p w:rsidR="00510801" w:rsidRPr="009F6960" w:rsidRDefault="00510801" w:rsidP="00510801">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GPM</w:t>
            </w:r>
          </w:p>
        </w:tc>
        <w:tc>
          <w:tcPr>
            <w:tcW w:w="826" w:type="dxa"/>
            <w:tcBorders>
              <w:top w:val="single" w:sz="12" w:space="0" w:color="auto"/>
              <w:bottom w:val="single" w:sz="12" w:space="0" w:color="auto"/>
            </w:tcBorders>
            <w:shd w:val="clear" w:color="auto" w:fill="D9D9D9" w:themeFill="background1" w:themeFillShade="D9"/>
            <w:noWrap/>
            <w:vAlign w:val="center"/>
            <w:hideMark/>
          </w:tcPr>
          <w:p w:rsidR="00510801" w:rsidRPr="009F6960" w:rsidRDefault="00510801" w:rsidP="00510801">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SD įmokos</w:t>
            </w:r>
          </w:p>
        </w:tc>
        <w:tc>
          <w:tcPr>
            <w:tcW w:w="946" w:type="dxa"/>
            <w:tcBorders>
              <w:top w:val="single" w:sz="12" w:space="0" w:color="auto"/>
              <w:bottom w:val="single" w:sz="12" w:space="0" w:color="auto"/>
            </w:tcBorders>
            <w:shd w:val="clear" w:color="auto" w:fill="D9D9D9" w:themeFill="background1" w:themeFillShade="D9"/>
            <w:noWrap/>
            <w:vAlign w:val="center"/>
            <w:hideMark/>
          </w:tcPr>
          <w:p w:rsidR="00510801" w:rsidRPr="009F6960" w:rsidRDefault="00510801" w:rsidP="00510801">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NETO pajamos</w:t>
            </w:r>
          </w:p>
        </w:tc>
        <w:tc>
          <w:tcPr>
            <w:tcW w:w="945" w:type="dxa"/>
            <w:tcBorders>
              <w:top w:val="single" w:sz="12" w:space="0" w:color="auto"/>
              <w:bottom w:val="single" w:sz="12" w:space="0" w:color="auto"/>
            </w:tcBorders>
            <w:shd w:val="clear" w:color="auto" w:fill="D9D9D9" w:themeFill="background1" w:themeFillShade="D9"/>
            <w:noWrap/>
            <w:vAlign w:val="center"/>
            <w:hideMark/>
          </w:tcPr>
          <w:p w:rsidR="00510801" w:rsidRPr="009F6960" w:rsidRDefault="00510801" w:rsidP="00510801">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NDI / SP</w:t>
            </w:r>
          </w:p>
        </w:tc>
        <w:tc>
          <w:tcPr>
            <w:tcW w:w="667" w:type="dxa"/>
            <w:tcBorders>
              <w:top w:val="single" w:sz="12" w:space="0" w:color="auto"/>
              <w:bottom w:val="single" w:sz="12" w:space="0" w:color="auto"/>
            </w:tcBorders>
            <w:shd w:val="clear" w:color="auto" w:fill="D9D9D9" w:themeFill="background1" w:themeFillShade="D9"/>
            <w:noWrap/>
            <w:vAlign w:val="center"/>
            <w:hideMark/>
          </w:tcPr>
          <w:p w:rsidR="00510801" w:rsidRPr="00D35015" w:rsidRDefault="00510801" w:rsidP="00510801">
            <w:pPr>
              <w:widowControl/>
              <w:spacing w:after="0" w:line="240" w:lineRule="auto"/>
              <w:ind w:firstLine="0"/>
              <w:contextualSpacing w:val="0"/>
              <w:jc w:val="center"/>
              <w:rPr>
                <w:rFonts w:eastAsia="Times New Roman"/>
                <w:b/>
                <w:sz w:val="15"/>
                <w:szCs w:val="15"/>
                <w:vertAlign w:val="subscript"/>
              </w:rPr>
            </w:pPr>
            <w:r w:rsidRPr="009F6960">
              <w:rPr>
                <w:rFonts w:eastAsia="Times New Roman"/>
                <w:b/>
                <w:sz w:val="15"/>
                <w:szCs w:val="15"/>
              </w:rPr>
              <w:t>Kom</w:t>
            </w:r>
            <w:r>
              <w:rPr>
                <w:rFonts w:eastAsia="Times New Roman"/>
                <w:b/>
                <w:sz w:val="15"/>
                <w:szCs w:val="15"/>
              </w:rPr>
              <w:t>p</w:t>
            </w:r>
            <w:r>
              <w:rPr>
                <w:rFonts w:eastAsia="Times New Roman"/>
                <w:b/>
                <w:sz w:val="15"/>
                <w:szCs w:val="15"/>
                <w:vertAlign w:val="subscript"/>
              </w:rPr>
              <w:t>1</w:t>
            </w:r>
          </w:p>
        </w:tc>
        <w:tc>
          <w:tcPr>
            <w:tcW w:w="667" w:type="dxa"/>
            <w:tcBorders>
              <w:top w:val="single" w:sz="12" w:space="0" w:color="auto"/>
              <w:bottom w:val="single" w:sz="12" w:space="0" w:color="auto"/>
            </w:tcBorders>
            <w:shd w:val="clear" w:color="auto" w:fill="D9D9D9" w:themeFill="background1" w:themeFillShade="D9"/>
            <w:noWrap/>
            <w:vAlign w:val="center"/>
            <w:hideMark/>
          </w:tcPr>
          <w:p w:rsidR="00510801" w:rsidRPr="00D35015" w:rsidRDefault="00510801" w:rsidP="00510801">
            <w:pPr>
              <w:widowControl/>
              <w:spacing w:after="0" w:line="240" w:lineRule="auto"/>
              <w:ind w:firstLine="0"/>
              <w:contextualSpacing w:val="0"/>
              <w:jc w:val="center"/>
              <w:rPr>
                <w:rFonts w:eastAsia="Times New Roman"/>
                <w:b/>
                <w:sz w:val="15"/>
                <w:szCs w:val="15"/>
                <w:vertAlign w:val="subscript"/>
              </w:rPr>
            </w:pPr>
            <w:r w:rsidRPr="009F6960">
              <w:rPr>
                <w:rFonts w:eastAsia="Times New Roman"/>
                <w:b/>
                <w:sz w:val="15"/>
                <w:szCs w:val="15"/>
              </w:rPr>
              <w:t>Komp</w:t>
            </w:r>
            <w:r>
              <w:rPr>
                <w:rFonts w:eastAsia="Times New Roman"/>
                <w:b/>
                <w:sz w:val="15"/>
                <w:szCs w:val="15"/>
                <w:vertAlign w:val="subscript"/>
              </w:rPr>
              <w:t>2</w:t>
            </w:r>
          </w:p>
        </w:tc>
        <w:tc>
          <w:tcPr>
            <w:tcW w:w="667" w:type="dxa"/>
            <w:tcBorders>
              <w:top w:val="single" w:sz="12" w:space="0" w:color="auto"/>
              <w:bottom w:val="single" w:sz="12" w:space="0" w:color="auto"/>
            </w:tcBorders>
            <w:shd w:val="clear" w:color="auto" w:fill="D9D9D9" w:themeFill="background1" w:themeFillShade="D9"/>
            <w:noWrap/>
            <w:vAlign w:val="center"/>
            <w:hideMark/>
          </w:tcPr>
          <w:p w:rsidR="00510801" w:rsidRPr="00D35015" w:rsidRDefault="00510801" w:rsidP="00510801">
            <w:pPr>
              <w:widowControl/>
              <w:spacing w:after="0" w:line="240" w:lineRule="auto"/>
              <w:ind w:firstLine="0"/>
              <w:contextualSpacing w:val="0"/>
              <w:jc w:val="center"/>
              <w:rPr>
                <w:rFonts w:eastAsia="Times New Roman"/>
                <w:b/>
                <w:sz w:val="15"/>
                <w:szCs w:val="15"/>
                <w:vertAlign w:val="subscript"/>
              </w:rPr>
            </w:pPr>
            <w:r w:rsidRPr="009F6960">
              <w:rPr>
                <w:rFonts w:eastAsia="Times New Roman"/>
                <w:b/>
                <w:sz w:val="15"/>
                <w:szCs w:val="15"/>
              </w:rPr>
              <w:t>Komp</w:t>
            </w:r>
            <w:r>
              <w:rPr>
                <w:rFonts w:eastAsia="Times New Roman"/>
                <w:b/>
                <w:sz w:val="15"/>
                <w:szCs w:val="15"/>
                <w:vertAlign w:val="subscript"/>
              </w:rPr>
              <w:t>3</w:t>
            </w:r>
          </w:p>
        </w:tc>
        <w:tc>
          <w:tcPr>
            <w:tcW w:w="833" w:type="dxa"/>
            <w:tcBorders>
              <w:top w:val="single" w:sz="12" w:space="0" w:color="auto"/>
              <w:bottom w:val="single" w:sz="12" w:space="0" w:color="auto"/>
            </w:tcBorders>
            <w:shd w:val="clear" w:color="auto" w:fill="D9D9D9" w:themeFill="background1" w:themeFillShade="D9"/>
            <w:noWrap/>
            <w:vAlign w:val="center"/>
            <w:hideMark/>
          </w:tcPr>
          <w:p w:rsidR="00510801" w:rsidRPr="009F6960" w:rsidRDefault="00510801" w:rsidP="00510801">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Parama vaikams</w:t>
            </w:r>
          </w:p>
        </w:tc>
        <w:tc>
          <w:tcPr>
            <w:tcW w:w="920" w:type="dxa"/>
            <w:tcBorders>
              <w:top w:val="single" w:sz="12" w:space="0" w:color="auto"/>
              <w:bottom w:val="single" w:sz="12" w:space="0" w:color="auto"/>
            </w:tcBorders>
            <w:shd w:val="clear" w:color="auto" w:fill="D9D9D9" w:themeFill="background1" w:themeFillShade="D9"/>
            <w:noWrap/>
            <w:vAlign w:val="center"/>
            <w:hideMark/>
          </w:tcPr>
          <w:p w:rsidR="00510801" w:rsidRPr="009F6960" w:rsidRDefault="00510801" w:rsidP="00510801">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Išlaikymas</w:t>
            </w:r>
          </w:p>
        </w:tc>
        <w:tc>
          <w:tcPr>
            <w:tcW w:w="946" w:type="dxa"/>
            <w:tcBorders>
              <w:top w:val="single" w:sz="12" w:space="0" w:color="auto"/>
              <w:bottom w:val="single" w:sz="12" w:space="0" w:color="auto"/>
            </w:tcBorders>
            <w:shd w:val="clear" w:color="auto" w:fill="D9D9D9" w:themeFill="background1" w:themeFillShade="D9"/>
            <w:noWrap/>
            <w:vAlign w:val="center"/>
            <w:hideMark/>
          </w:tcPr>
          <w:p w:rsidR="00510801" w:rsidRPr="00C04485" w:rsidRDefault="00510801" w:rsidP="00510801">
            <w:pPr>
              <w:widowControl/>
              <w:spacing w:after="0" w:line="240" w:lineRule="auto"/>
              <w:ind w:firstLine="0"/>
              <w:contextualSpacing w:val="0"/>
              <w:jc w:val="center"/>
              <w:rPr>
                <w:rFonts w:eastAsia="Times New Roman"/>
                <w:b/>
                <w:bCs/>
                <w:sz w:val="15"/>
                <w:szCs w:val="15"/>
              </w:rPr>
            </w:pPr>
            <w:r>
              <w:rPr>
                <w:rFonts w:eastAsia="Times New Roman"/>
                <w:b/>
                <w:bCs/>
                <w:sz w:val="15"/>
                <w:szCs w:val="15"/>
              </w:rPr>
              <w:t>GEROVĖ</w:t>
            </w:r>
            <w:r w:rsidRPr="00C04485">
              <w:rPr>
                <w:rFonts w:eastAsia="Times New Roman"/>
                <w:b/>
                <w:bCs/>
                <w:sz w:val="15"/>
                <w:szCs w:val="15"/>
              </w:rPr>
              <w:t>:</w:t>
            </w:r>
          </w:p>
        </w:tc>
        <w:tc>
          <w:tcPr>
            <w:tcW w:w="946" w:type="dxa"/>
            <w:tcBorders>
              <w:top w:val="single" w:sz="12" w:space="0" w:color="auto"/>
              <w:bottom w:val="single" w:sz="12" w:space="0" w:color="auto"/>
            </w:tcBorders>
            <w:shd w:val="clear" w:color="auto" w:fill="D9D9D9" w:themeFill="background1" w:themeFillShade="D9"/>
            <w:noWrap/>
            <w:vAlign w:val="center"/>
            <w:hideMark/>
          </w:tcPr>
          <w:p w:rsidR="00510801" w:rsidRPr="00C04485" w:rsidRDefault="00510801" w:rsidP="00510801">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Vienam asmeniui:</w:t>
            </w:r>
          </w:p>
        </w:tc>
      </w:tr>
      <w:tr w:rsidR="00510801" w:rsidRPr="00C04485" w:rsidTr="00510801">
        <w:trPr>
          <w:trHeight w:val="195"/>
        </w:trPr>
        <w:tc>
          <w:tcPr>
            <w:tcW w:w="400" w:type="dxa"/>
            <w:vMerge w:val="restart"/>
            <w:tcBorders>
              <w:top w:val="single" w:sz="12" w:space="0" w:color="auto"/>
              <w:bottom w:val="single" w:sz="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r w:rsidRPr="00BB5925">
              <w:rPr>
                <w:rFonts w:eastAsia="Times New Roman"/>
                <w:b/>
                <w:sz w:val="15"/>
                <w:szCs w:val="15"/>
              </w:rPr>
              <w:t>2</w:t>
            </w:r>
          </w:p>
        </w:tc>
        <w:tc>
          <w:tcPr>
            <w:tcW w:w="1850" w:type="dxa"/>
            <w:tcBorders>
              <w:top w:val="single" w:sz="1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left"/>
              <w:rPr>
                <w:rFonts w:eastAsia="Times New Roman"/>
                <w:sz w:val="15"/>
                <w:szCs w:val="15"/>
              </w:rPr>
            </w:pPr>
            <w:r w:rsidRPr="00C04485">
              <w:rPr>
                <w:rFonts w:eastAsia="Times New Roman"/>
                <w:sz w:val="15"/>
                <w:szCs w:val="15"/>
              </w:rPr>
              <w:t>1 D + 1 N, 75 %</w:t>
            </w:r>
          </w:p>
        </w:tc>
        <w:tc>
          <w:tcPr>
            <w:tcW w:w="1051" w:type="dxa"/>
            <w:tcBorders>
              <w:top w:val="single" w:sz="1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570</w:t>
            </w:r>
          </w:p>
        </w:tc>
        <w:tc>
          <w:tcPr>
            <w:tcW w:w="824" w:type="dxa"/>
            <w:tcBorders>
              <w:top w:val="single" w:sz="1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470</w:t>
            </w:r>
            <w:r>
              <w:rPr>
                <w:rFonts w:eastAsia="Times New Roman"/>
                <w:sz w:val="15"/>
                <w:szCs w:val="15"/>
              </w:rPr>
              <w:t xml:space="preserve"> / 0</w:t>
            </w:r>
          </w:p>
        </w:tc>
        <w:tc>
          <w:tcPr>
            <w:tcW w:w="824" w:type="dxa"/>
            <w:tcBorders>
              <w:top w:val="single" w:sz="1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15</w:t>
            </w:r>
          </w:p>
        </w:tc>
        <w:tc>
          <w:tcPr>
            <w:tcW w:w="826" w:type="dxa"/>
            <w:tcBorders>
              <w:top w:val="single" w:sz="1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51</w:t>
            </w:r>
          </w:p>
        </w:tc>
        <w:tc>
          <w:tcPr>
            <w:tcW w:w="946" w:type="dxa"/>
            <w:tcBorders>
              <w:top w:val="single" w:sz="1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504</w:t>
            </w:r>
          </w:p>
        </w:tc>
        <w:tc>
          <w:tcPr>
            <w:tcW w:w="945" w:type="dxa"/>
            <w:tcBorders>
              <w:top w:val="single" w:sz="1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0 / 176</w:t>
            </w:r>
          </w:p>
        </w:tc>
        <w:tc>
          <w:tcPr>
            <w:tcW w:w="667" w:type="dxa"/>
            <w:tcBorders>
              <w:top w:val="single" w:sz="1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495</w:t>
            </w:r>
          </w:p>
        </w:tc>
        <w:tc>
          <w:tcPr>
            <w:tcW w:w="667" w:type="dxa"/>
            <w:tcBorders>
              <w:top w:val="single" w:sz="1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19</w:t>
            </w:r>
          </w:p>
        </w:tc>
        <w:tc>
          <w:tcPr>
            <w:tcW w:w="667" w:type="dxa"/>
            <w:tcBorders>
              <w:top w:val="single" w:sz="1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4</w:t>
            </w:r>
          </w:p>
        </w:tc>
        <w:tc>
          <w:tcPr>
            <w:tcW w:w="833" w:type="dxa"/>
            <w:tcBorders>
              <w:top w:val="single" w:sz="1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920" w:type="dxa"/>
            <w:tcBorders>
              <w:top w:val="single" w:sz="1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946" w:type="dxa"/>
            <w:tcBorders>
              <w:top w:val="single" w:sz="1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1</w:t>
            </w:r>
            <w:r>
              <w:rPr>
                <w:rFonts w:eastAsia="Times New Roman"/>
                <w:b/>
                <w:bCs/>
                <w:sz w:val="15"/>
                <w:szCs w:val="15"/>
              </w:rPr>
              <w:t xml:space="preserve"> </w:t>
            </w:r>
            <w:r w:rsidRPr="00C04485">
              <w:rPr>
                <w:rFonts w:eastAsia="Times New Roman"/>
                <w:b/>
                <w:bCs/>
                <w:sz w:val="15"/>
                <w:szCs w:val="15"/>
              </w:rPr>
              <w:t>19</w:t>
            </w:r>
            <w:r>
              <w:rPr>
                <w:rFonts w:eastAsia="Times New Roman"/>
                <w:b/>
                <w:bCs/>
                <w:sz w:val="15"/>
                <w:szCs w:val="15"/>
              </w:rPr>
              <w:t>8</w:t>
            </w:r>
          </w:p>
        </w:tc>
        <w:tc>
          <w:tcPr>
            <w:tcW w:w="946" w:type="dxa"/>
            <w:tcBorders>
              <w:top w:val="single" w:sz="1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59</w:t>
            </w:r>
            <w:r>
              <w:rPr>
                <w:rFonts w:eastAsia="Times New Roman"/>
                <w:b/>
                <w:bCs/>
                <w:sz w:val="15"/>
                <w:szCs w:val="15"/>
              </w:rPr>
              <w:t>9</w:t>
            </w:r>
          </w:p>
        </w:tc>
      </w:tr>
      <w:tr w:rsidR="00510801" w:rsidRPr="00C04485" w:rsidTr="00510801">
        <w:trPr>
          <w:trHeight w:val="195"/>
        </w:trPr>
        <w:tc>
          <w:tcPr>
            <w:tcW w:w="400" w:type="dxa"/>
            <w:vMerge/>
            <w:tcBorders>
              <w:top w:val="single" w:sz="2" w:space="0" w:color="auto"/>
              <w:bottom w:val="single" w:sz="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p>
        </w:tc>
        <w:tc>
          <w:tcPr>
            <w:tcW w:w="1850"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left"/>
              <w:rPr>
                <w:rFonts w:eastAsia="Times New Roman"/>
                <w:sz w:val="15"/>
                <w:szCs w:val="15"/>
              </w:rPr>
            </w:pPr>
            <w:r w:rsidRPr="00C04485">
              <w:rPr>
                <w:rFonts w:eastAsia="Times New Roman"/>
                <w:sz w:val="15"/>
                <w:szCs w:val="15"/>
              </w:rPr>
              <w:t>1 D + 1 N, 100 %</w:t>
            </w:r>
          </w:p>
        </w:tc>
        <w:tc>
          <w:tcPr>
            <w:tcW w:w="1051"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850</w:t>
            </w:r>
          </w:p>
        </w:tc>
        <w:tc>
          <w:tcPr>
            <w:tcW w:w="824"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460</w:t>
            </w:r>
            <w:r>
              <w:rPr>
                <w:rFonts w:eastAsia="Times New Roman"/>
                <w:sz w:val="15"/>
                <w:szCs w:val="15"/>
              </w:rPr>
              <w:t xml:space="preserve"> / 0</w:t>
            </w:r>
          </w:p>
        </w:tc>
        <w:tc>
          <w:tcPr>
            <w:tcW w:w="824"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59</w:t>
            </w:r>
          </w:p>
        </w:tc>
        <w:tc>
          <w:tcPr>
            <w:tcW w:w="826"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77</w:t>
            </w:r>
          </w:p>
        </w:tc>
        <w:tc>
          <w:tcPr>
            <w:tcW w:w="946"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714</w:t>
            </w:r>
          </w:p>
        </w:tc>
        <w:tc>
          <w:tcPr>
            <w:tcW w:w="945"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667"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492</w:t>
            </w:r>
          </w:p>
        </w:tc>
        <w:tc>
          <w:tcPr>
            <w:tcW w:w="667"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17</w:t>
            </w:r>
          </w:p>
        </w:tc>
        <w:tc>
          <w:tcPr>
            <w:tcW w:w="667"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4</w:t>
            </w:r>
          </w:p>
        </w:tc>
        <w:tc>
          <w:tcPr>
            <w:tcW w:w="833"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920"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946"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1</w:t>
            </w:r>
            <w:r>
              <w:rPr>
                <w:rFonts w:eastAsia="Times New Roman"/>
                <w:b/>
                <w:bCs/>
                <w:sz w:val="15"/>
                <w:szCs w:val="15"/>
              </w:rPr>
              <w:t xml:space="preserve"> </w:t>
            </w:r>
            <w:r w:rsidRPr="00C04485">
              <w:rPr>
                <w:rFonts w:eastAsia="Times New Roman"/>
                <w:b/>
                <w:bCs/>
                <w:sz w:val="15"/>
                <w:szCs w:val="15"/>
              </w:rPr>
              <w:t>22</w:t>
            </w:r>
            <w:r>
              <w:rPr>
                <w:rFonts w:eastAsia="Times New Roman"/>
                <w:b/>
                <w:bCs/>
                <w:sz w:val="15"/>
                <w:szCs w:val="15"/>
              </w:rPr>
              <w:t>7</w:t>
            </w:r>
          </w:p>
        </w:tc>
        <w:tc>
          <w:tcPr>
            <w:tcW w:w="946"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61</w:t>
            </w:r>
            <w:r>
              <w:rPr>
                <w:rFonts w:eastAsia="Times New Roman"/>
                <w:b/>
                <w:bCs/>
                <w:sz w:val="15"/>
                <w:szCs w:val="15"/>
              </w:rPr>
              <w:t>4</w:t>
            </w:r>
          </w:p>
        </w:tc>
      </w:tr>
      <w:tr w:rsidR="00510801" w:rsidRPr="00C04485" w:rsidTr="00510801">
        <w:trPr>
          <w:trHeight w:val="195"/>
        </w:trPr>
        <w:tc>
          <w:tcPr>
            <w:tcW w:w="400" w:type="dxa"/>
            <w:vMerge/>
            <w:tcBorders>
              <w:top w:val="single" w:sz="2" w:space="0" w:color="auto"/>
              <w:bottom w:val="single" w:sz="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p>
        </w:tc>
        <w:tc>
          <w:tcPr>
            <w:tcW w:w="1850"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left"/>
              <w:rPr>
                <w:rFonts w:eastAsia="Times New Roman"/>
                <w:sz w:val="15"/>
                <w:szCs w:val="15"/>
              </w:rPr>
            </w:pPr>
            <w:r w:rsidRPr="00C04485">
              <w:rPr>
                <w:rFonts w:eastAsia="Times New Roman"/>
                <w:sz w:val="15"/>
                <w:szCs w:val="15"/>
              </w:rPr>
              <w:t>1 D + 1 N, 100 %</w:t>
            </w:r>
          </w:p>
        </w:tc>
        <w:tc>
          <w:tcPr>
            <w:tcW w:w="1051"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1</w:t>
            </w:r>
            <w:r>
              <w:rPr>
                <w:rFonts w:eastAsia="Times New Roman"/>
                <w:sz w:val="15"/>
                <w:szCs w:val="15"/>
              </w:rPr>
              <w:t> </w:t>
            </w:r>
            <w:r w:rsidRPr="00C04485">
              <w:rPr>
                <w:rFonts w:eastAsia="Times New Roman"/>
                <w:sz w:val="15"/>
                <w:szCs w:val="15"/>
              </w:rPr>
              <w:t>100</w:t>
            </w:r>
          </w:p>
        </w:tc>
        <w:tc>
          <w:tcPr>
            <w:tcW w:w="824"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410</w:t>
            </w:r>
            <w:r>
              <w:rPr>
                <w:rFonts w:eastAsia="Times New Roman"/>
                <w:sz w:val="15"/>
                <w:szCs w:val="15"/>
              </w:rPr>
              <w:t xml:space="preserve"> / 0</w:t>
            </w:r>
          </w:p>
        </w:tc>
        <w:tc>
          <w:tcPr>
            <w:tcW w:w="824"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104</w:t>
            </w:r>
          </w:p>
        </w:tc>
        <w:tc>
          <w:tcPr>
            <w:tcW w:w="826"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99</w:t>
            </w:r>
          </w:p>
        </w:tc>
        <w:tc>
          <w:tcPr>
            <w:tcW w:w="946"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897</w:t>
            </w:r>
          </w:p>
        </w:tc>
        <w:tc>
          <w:tcPr>
            <w:tcW w:w="945"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667"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456</w:t>
            </w:r>
          </w:p>
        </w:tc>
        <w:tc>
          <w:tcPr>
            <w:tcW w:w="667"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8</w:t>
            </w:r>
          </w:p>
        </w:tc>
        <w:tc>
          <w:tcPr>
            <w:tcW w:w="667"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833"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920"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946"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1</w:t>
            </w:r>
            <w:r>
              <w:rPr>
                <w:rFonts w:eastAsia="Times New Roman"/>
                <w:b/>
                <w:bCs/>
                <w:sz w:val="15"/>
                <w:szCs w:val="15"/>
              </w:rPr>
              <w:t xml:space="preserve"> </w:t>
            </w:r>
            <w:r w:rsidRPr="00C04485">
              <w:rPr>
                <w:rFonts w:eastAsia="Times New Roman"/>
                <w:b/>
                <w:bCs/>
                <w:sz w:val="15"/>
                <w:szCs w:val="15"/>
              </w:rPr>
              <w:t>3</w:t>
            </w:r>
            <w:r>
              <w:rPr>
                <w:rFonts w:eastAsia="Times New Roman"/>
                <w:b/>
                <w:bCs/>
                <w:sz w:val="15"/>
                <w:szCs w:val="15"/>
              </w:rPr>
              <w:t>61</w:t>
            </w:r>
          </w:p>
        </w:tc>
        <w:tc>
          <w:tcPr>
            <w:tcW w:w="946" w:type="dxa"/>
            <w:tcBorders>
              <w:top w:val="single" w:sz="2" w:space="0" w:color="auto"/>
              <w:bottom w:val="single" w:sz="2" w:space="0" w:color="auto"/>
            </w:tcBorders>
            <w:shd w:val="clear" w:color="auto" w:fill="CCC0D9" w:themeFill="accent4"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6</w:t>
            </w:r>
            <w:r>
              <w:rPr>
                <w:rFonts w:eastAsia="Times New Roman"/>
                <w:b/>
                <w:bCs/>
                <w:sz w:val="15"/>
                <w:szCs w:val="15"/>
              </w:rPr>
              <w:t>81</w:t>
            </w:r>
          </w:p>
        </w:tc>
      </w:tr>
      <w:tr w:rsidR="00510801" w:rsidRPr="00C04485" w:rsidTr="00510801">
        <w:trPr>
          <w:trHeight w:val="195"/>
        </w:trPr>
        <w:tc>
          <w:tcPr>
            <w:tcW w:w="400" w:type="dxa"/>
            <w:vMerge/>
            <w:tcBorders>
              <w:top w:val="single" w:sz="2" w:space="0" w:color="auto"/>
              <w:bottom w:val="single" w:sz="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p>
        </w:tc>
        <w:tc>
          <w:tcPr>
            <w:tcW w:w="1850"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left"/>
              <w:rPr>
                <w:rFonts w:eastAsia="Times New Roman"/>
                <w:sz w:val="15"/>
                <w:szCs w:val="15"/>
              </w:rPr>
            </w:pPr>
            <w:r>
              <w:rPr>
                <w:rFonts w:eastAsia="Times New Roman"/>
                <w:sz w:val="15"/>
                <w:szCs w:val="15"/>
              </w:rPr>
              <w:t>1 D + 1 V</w:t>
            </w:r>
            <w:r w:rsidRPr="00C04485">
              <w:rPr>
                <w:rFonts w:eastAsia="Times New Roman"/>
                <w:sz w:val="15"/>
                <w:szCs w:val="15"/>
              </w:rPr>
              <w:t>, 75 %</w:t>
            </w:r>
          </w:p>
        </w:tc>
        <w:tc>
          <w:tcPr>
            <w:tcW w:w="1051"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570</w:t>
            </w:r>
          </w:p>
        </w:tc>
        <w:tc>
          <w:tcPr>
            <w:tcW w:w="824"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470 / 100</w:t>
            </w:r>
          </w:p>
        </w:tc>
        <w:tc>
          <w:tcPr>
            <w:tcW w:w="824"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0</w:t>
            </w:r>
          </w:p>
        </w:tc>
        <w:tc>
          <w:tcPr>
            <w:tcW w:w="826"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51</w:t>
            </w:r>
          </w:p>
        </w:tc>
        <w:tc>
          <w:tcPr>
            <w:tcW w:w="946"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519</w:t>
            </w:r>
          </w:p>
        </w:tc>
        <w:tc>
          <w:tcPr>
            <w:tcW w:w="945"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0 / 45</w:t>
            </w:r>
          </w:p>
        </w:tc>
        <w:tc>
          <w:tcPr>
            <w:tcW w:w="667"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495</w:t>
            </w:r>
          </w:p>
        </w:tc>
        <w:tc>
          <w:tcPr>
            <w:tcW w:w="667"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18</w:t>
            </w:r>
          </w:p>
        </w:tc>
        <w:tc>
          <w:tcPr>
            <w:tcW w:w="667"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4</w:t>
            </w:r>
          </w:p>
        </w:tc>
        <w:tc>
          <w:tcPr>
            <w:tcW w:w="833"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93</w:t>
            </w:r>
          </w:p>
        </w:tc>
        <w:tc>
          <w:tcPr>
            <w:tcW w:w="920"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130</w:t>
            </w:r>
          </w:p>
        </w:tc>
        <w:tc>
          <w:tcPr>
            <w:tcW w:w="946"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1</w:t>
            </w:r>
            <w:r>
              <w:rPr>
                <w:rFonts w:eastAsia="Times New Roman"/>
                <w:b/>
                <w:bCs/>
                <w:sz w:val="15"/>
                <w:szCs w:val="15"/>
              </w:rPr>
              <w:t xml:space="preserve"> 304</w:t>
            </w:r>
          </w:p>
        </w:tc>
        <w:tc>
          <w:tcPr>
            <w:tcW w:w="946"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6</w:t>
            </w:r>
            <w:r>
              <w:rPr>
                <w:rFonts w:eastAsia="Times New Roman"/>
                <w:b/>
                <w:bCs/>
                <w:sz w:val="15"/>
                <w:szCs w:val="15"/>
              </w:rPr>
              <w:t>52</w:t>
            </w:r>
          </w:p>
        </w:tc>
      </w:tr>
      <w:tr w:rsidR="00510801" w:rsidRPr="00C04485" w:rsidTr="00510801">
        <w:trPr>
          <w:trHeight w:val="195"/>
        </w:trPr>
        <w:tc>
          <w:tcPr>
            <w:tcW w:w="400" w:type="dxa"/>
            <w:vMerge/>
            <w:tcBorders>
              <w:top w:val="single" w:sz="2" w:space="0" w:color="auto"/>
              <w:bottom w:val="single" w:sz="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p>
        </w:tc>
        <w:tc>
          <w:tcPr>
            <w:tcW w:w="1850"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left"/>
              <w:rPr>
                <w:rFonts w:eastAsia="Times New Roman"/>
                <w:sz w:val="15"/>
                <w:szCs w:val="15"/>
              </w:rPr>
            </w:pPr>
            <w:r>
              <w:rPr>
                <w:rFonts w:eastAsia="Times New Roman"/>
                <w:sz w:val="15"/>
                <w:szCs w:val="15"/>
              </w:rPr>
              <w:t>1 D + 1 V</w:t>
            </w:r>
            <w:r w:rsidRPr="00C04485">
              <w:rPr>
                <w:rFonts w:eastAsia="Times New Roman"/>
                <w:sz w:val="15"/>
                <w:szCs w:val="15"/>
              </w:rPr>
              <w:t>, 100 %</w:t>
            </w:r>
          </w:p>
        </w:tc>
        <w:tc>
          <w:tcPr>
            <w:tcW w:w="1051"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850</w:t>
            </w:r>
          </w:p>
        </w:tc>
        <w:tc>
          <w:tcPr>
            <w:tcW w:w="824"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460 / 100</w:t>
            </w:r>
          </w:p>
        </w:tc>
        <w:tc>
          <w:tcPr>
            <w:tcW w:w="824"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44</w:t>
            </w:r>
          </w:p>
        </w:tc>
        <w:tc>
          <w:tcPr>
            <w:tcW w:w="826"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77</w:t>
            </w:r>
          </w:p>
        </w:tc>
        <w:tc>
          <w:tcPr>
            <w:tcW w:w="946"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729</w:t>
            </w:r>
          </w:p>
        </w:tc>
        <w:tc>
          <w:tcPr>
            <w:tcW w:w="945"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667"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463</w:t>
            </w:r>
          </w:p>
        </w:tc>
        <w:tc>
          <w:tcPr>
            <w:tcW w:w="667"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10</w:t>
            </w:r>
          </w:p>
        </w:tc>
        <w:tc>
          <w:tcPr>
            <w:tcW w:w="667"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833"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93</w:t>
            </w:r>
          </w:p>
        </w:tc>
        <w:tc>
          <w:tcPr>
            <w:tcW w:w="920"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130</w:t>
            </w:r>
          </w:p>
        </w:tc>
        <w:tc>
          <w:tcPr>
            <w:tcW w:w="946"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1</w:t>
            </w:r>
            <w:r>
              <w:rPr>
                <w:rFonts w:eastAsia="Times New Roman"/>
                <w:b/>
                <w:bCs/>
                <w:sz w:val="15"/>
                <w:szCs w:val="15"/>
              </w:rPr>
              <w:t xml:space="preserve"> 425</w:t>
            </w:r>
          </w:p>
        </w:tc>
        <w:tc>
          <w:tcPr>
            <w:tcW w:w="946" w:type="dxa"/>
            <w:tcBorders>
              <w:top w:val="single" w:sz="2" w:space="0" w:color="auto"/>
              <w:bottom w:val="single" w:sz="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7</w:t>
            </w:r>
            <w:r>
              <w:rPr>
                <w:rFonts w:eastAsia="Times New Roman"/>
                <w:b/>
                <w:bCs/>
                <w:sz w:val="15"/>
                <w:szCs w:val="15"/>
              </w:rPr>
              <w:t>13</w:t>
            </w:r>
          </w:p>
        </w:tc>
      </w:tr>
      <w:tr w:rsidR="00510801" w:rsidRPr="00C04485" w:rsidTr="00510801">
        <w:trPr>
          <w:trHeight w:val="195"/>
        </w:trPr>
        <w:tc>
          <w:tcPr>
            <w:tcW w:w="400" w:type="dxa"/>
            <w:vMerge/>
            <w:tcBorders>
              <w:top w:val="single" w:sz="2" w:space="0" w:color="auto"/>
              <w:bottom w:val="single" w:sz="1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p>
        </w:tc>
        <w:tc>
          <w:tcPr>
            <w:tcW w:w="1850" w:type="dxa"/>
            <w:tcBorders>
              <w:top w:val="single" w:sz="2" w:space="0" w:color="auto"/>
              <w:bottom w:val="single" w:sz="1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left"/>
              <w:rPr>
                <w:rFonts w:eastAsia="Times New Roman"/>
                <w:sz w:val="15"/>
                <w:szCs w:val="15"/>
              </w:rPr>
            </w:pPr>
            <w:r>
              <w:rPr>
                <w:rFonts w:eastAsia="Times New Roman"/>
                <w:sz w:val="15"/>
                <w:szCs w:val="15"/>
              </w:rPr>
              <w:t>1 D + 1 V</w:t>
            </w:r>
            <w:r w:rsidRPr="00C04485">
              <w:rPr>
                <w:rFonts w:eastAsia="Times New Roman"/>
                <w:sz w:val="15"/>
                <w:szCs w:val="15"/>
              </w:rPr>
              <w:t>, 100 %</w:t>
            </w:r>
          </w:p>
        </w:tc>
        <w:tc>
          <w:tcPr>
            <w:tcW w:w="1051" w:type="dxa"/>
            <w:tcBorders>
              <w:top w:val="single" w:sz="2" w:space="0" w:color="auto"/>
              <w:bottom w:val="single" w:sz="1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1</w:t>
            </w:r>
            <w:r>
              <w:rPr>
                <w:rFonts w:eastAsia="Times New Roman"/>
                <w:sz w:val="15"/>
                <w:szCs w:val="15"/>
              </w:rPr>
              <w:t> </w:t>
            </w:r>
            <w:r w:rsidRPr="00C04485">
              <w:rPr>
                <w:rFonts w:eastAsia="Times New Roman"/>
                <w:sz w:val="15"/>
                <w:szCs w:val="15"/>
              </w:rPr>
              <w:t>100</w:t>
            </w:r>
          </w:p>
        </w:tc>
        <w:tc>
          <w:tcPr>
            <w:tcW w:w="824" w:type="dxa"/>
            <w:tcBorders>
              <w:top w:val="single" w:sz="2" w:space="0" w:color="auto"/>
              <w:bottom w:val="single" w:sz="1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410 / 100</w:t>
            </w:r>
          </w:p>
        </w:tc>
        <w:tc>
          <w:tcPr>
            <w:tcW w:w="824" w:type="dxa"/>
            <w:tcBorders>
              <w:top w:val="single" w:sz="2" w:space="0" w:color="auto"/>
              <w:bottom w:val="single" w:sz="1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89</w:t>
            </w:r>
          </w:p>
        </w:tc>
        <w:tc>
          <w:tcPr>
            <w:tcW w:w="826" w:type="dxa"/>
            <w:tcBorders>
              <w:top w:val="single" w:sz="2" w:space="0" w:color="auto"/>
              <w:bottom w:val="single" w:sz="1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99</w:t>
            </w:r>
          </w:p>
        </w:tc>
        <w:tc>
          <w:tcPr>
            <w:tcW w:w="946" w:type="dxa"/>
            <w:tcBorders>
              <w:top w:val="single" w:sz="2" w:space="0" w:color="auto"/>
              <w:bottom w:val="single" w:sz="1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912</w:t>
            </w:r>
          </w:p>
        </w:tc>
        <w:tc>
          <w:tcPr>
            <w:tcW w:w="945" w:type="dxa"/>
            <w:tcBorders>
              <w:top w:val="single" w:sz="2" w:space="0" w:color="auto"/>
              <w:bottom w:val="single" w:sz="1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667" w:type="dxa"/>
            <w:tcBorders>
              <w:top w:val="single" w:sz="2" w:space="0" w:color="auto"/>
              <w:bottom w:val="single" w:sz="1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427</w:t>
            </w:r>
          </w:p>
        </w:tc>
        <w:tc>
          <w:tcPr>
            <w:tcW w:w="667" w:type="dxa"/>
            <w:tcBorders>
              <w:top w:val="single" w:sz="2" w:space="0" w:color="auto"/>
              <w:bottom w:val="single" w:sz="1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667" w:type="dxa"/>
            <w:tcBorders>
              <w:top w:val="single" w:sz="2" w:space="0" w:color="auto"/>
              <w:bottom w:val="single" w:sz="1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833" w:type="dxa"/>
            <w:tcBorders>
              <w:top w:val="single" w:sz="2" w:space="0" w:color="auto"/>
              <w:bottom w:val="single" w:sz="1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93</w:t>
            </w:r>
          </w:p>
        </w:tc>
        <w:tc>
          <w:tcPr>
            <w:tcW w:w="920" w:type="dxa"/>
            <w:tcBorders>
              <w:top w:val="single" w:sz="2" w:space="0" w:color="auto"/>
              <w:bottom w:val="single" w:sz="1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130</w:t>
            </w:r>
          </w:p>
        </w:tc>
        <w:tc>
          <w:tcPr>
            <w:tcW w:w="946" w:type="dxa"/>
            <w:tcBorders>
              <w:top w:val="single" w:sz="2" w:space="0" w:color="auto"/>
              <w:bottom w:val="single" w:sz="1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1</w:t>
            </w:r>
            <w:r>
              <w:rPr>
                <w:rFonts w:eastAsia="Times New Roman"/>
                <w:b/>
                <w:bCs/>
                <w:sz w:val="15"/>
                <w:szCs w:val="15"/>
              </w:rPr>
              <w:t xml:space="preserve"> 562</w:t>
            </w:r>
          </w:p>
        </w:tc>
        <w:tc>
          <w:tcPr>
            <w:tcW w:w="946" w:type="dxa"/>
            <w:tcBorders>
              <w:top w:val="single" w:sz="2" w:space="0" w:color="auto"/>
              <w:bottom w:val="single" w:sz="12" w:space="0" w:color="auto"/>
            </w:tcBorders>
            <w:shd w:val="clear" w:color="auto" w:fill="E5B8B7" w:themeFill="accent2"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b/>
                <w:bCs/>
                <w:sz w:val="15"/>
                <w:szCs w:val="15"/>
              </w:rPr>
            </w:pPr>
            <w:r>
              <w:rPr>
                <w:rFonts w:eastAsia="Times New Roman"/>
                <w:b/>
                <w:bCs/>
                <w:sz w:val="15"/>
                <w:szCs w:val="15"/>
              </w:rPr>
              <w:t>781</w:t>
            </w:r>
          </w:p>
        </w:tc>
      </w:tr>
      <w:tr w:rsidR="00510801" w:rsidRPr="00C04485" w:rsidTr="00510801">
        <w:trPr>
          <w:trHeight w:val="195"/>
        </w:trPr>
        <w:tc>
          <w:tcPr>
            <w:tcW w:w="400" w:type="dxa"/>
            <w:vMerge w:val="restart"/>
            <w:tcBorders>
              <w:top w:val="single" w:sz="12" w:space="0" w:color="auto"/>
              <w:bottom w:val="single" w:sz="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r w:rsidRPr="00BB5925">
              <w:rPr>
                <w:rFonts w:eastAsia="Times New Roman"/>
                <w:b/>
                <w:sz w:val="15"/>
                <w:szCs w:val="15"/>
              </w:rPr>
              <w:t>3</w:t>
            </w:r>
          </w:p>
        </w:tc>
        <w:tc>
          <w:tcPr>
            <w:tcW w:w="1850" w:type="dxa"/>
            <w:tcBorders>
              <w:top w:val="single" w:sz="1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left"/>
              <w:rPr>
                <w:rFonts w:eastAsia="Times New Roman"/>
                <w:sz w:val="15"/>
                <w:szCs w:val="15"/>
              </w:rPr>
            </w:pPr>
            <w:r>
              <w:rPr>
                <w:rFonts w:eastAsia="Times New Roman"/>
                <w:sz w:val="15"/>
                <w:szCs w:val="15"/>
              </w:rPr>
              <w:t>1 D + 1 N + 1 V</w:t>
            </w:r>
            <w:r w:rsidRPr="00C04485">
              <w:rPr>
                <w:rFonts w:eastAsia="Times New Roman"/>
                <w:sz w:val="15"/>
                <w:szCs w:val="15"/>
              </w:rPr>
              <w:t>, 75 %</w:t>
            </w:r>
          </w:p>
        </w:tc>
        <w:tc>
          <w:tcPr>
            <w:tcW w:w="1051" w:type="dxa"/>
            <w:tcBorders>
              <w:top w:val="single" w:sz="1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570</w:t>
            </w:r>
          </w:p>
        </w:tc>
        <w:tc>
          <w:tcPr>
            <w:tcW w:w="824" w:type="dxa"/>
            <w:tcBorders>
              <w:top w:val="single" w:sz="1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470 / 100</w:t>
            </w:r>
          </w:p>
        </w:tc>
        <w:tc>
          <w:tcPr>
            <w:tcW w:w="824" w:type="dxa"/>
            <w:tcBorders>
              <w:top w:val="single" w:sz="1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0</w:t>
            </w:r>
          </w:p>
        </w:tc>
        <w:tc>
          <w:tcPr>
            <w:tcW w:w="826" w:type="dxa"/>
            <w:tcBorders>
              <w:top w:val="single" w:sz="1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51</w:t>
            </w:r>
          </w:p>
        </w:tc>
        <w:tc>
          <w:tcPr>
            <w:tcW w:w="946" w:type="dxa"/>
            <w:tcBorders>
              <w:top w:val="single" w:sz="1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519</w:t>
            </w:r>
          </w:p>
        </w:tc>
        <w:tc>
          <w:tcPr>
            <w:tcW w:w="945" w:type="dxa"/>
            <w:tcBorders>
              <w:top w:val="single" w:sz="1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0 / 443</w:t>
            </w:r>
          </w:p>
        </w:tc>
        <w:tc>
          <w:tcPr>
            <w:tcW w:w="667" w:type="dxa"/>
            <w:tcBorders>
              <w:top w:val="single" w:sz="1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495</w:t>
            </w:r>
          </w:p>
        </w:tc>
        <w:tc>
          <w:tcPr>
            <w:tcW w:w="667" w:type="dxa"/>
            <w:tcBorders>
              <w:top w:val="single" w:sz="1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16</w:t>
            </w:r>
          </w:p>
        </w:tc>
        <w:tc>
          <w:tcPr>
            <w:tcW w:w="667" w:type="dxa"/>
            <w:tcBorders>
              <w:top w:val="single" w:sz="1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3</w:t>
            </w:r>
          </w:p>
        </w:tc>
        <w:tc>
          <w:tcPr>
            <w:tcW w:w="833" w:type="dxa"/>
            <w:tcBorders>
              <w:top w:val="single" w:sz="1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93</w:t>
            </w:r>
          </w:p>
        </w:tc>
        <w:tc>
          <w:tcPr>
            <w:tcW w:w="920" w:type="dxa"/>
            <w:tcBorders>
              <w:top w:val="single" w:sz="1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946" w:type="dxa"/>
            <w:tcBorders>
              <w:top w:val="single" w:sz="1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1</w:t>
            </w:r>
            <w:r>
              <w:rPr>
                <w:rFonts w:eastAsia="Times New Roman"/>
                <w:b/>
                <w:bCs/>
                <w:sz w:val="15"/>
                <w:szCs w:val="15"/>
              </w:rPr>
              <w:t xml:space="preserve"> 569</w:t>
            </w:r>
          </w:p>
        </w:tc>
        <w:tc>
          <w:tcPr>
            <w:tcW w:w="946" w:type="dxa"/>
            <w:tcBorders>
              <w:top w:val="single" w:sz="1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5</w:t>
            </w:r>
            <w:r>
              <w:rPr>
                <w:rFonts w:eastAsia="Times New Roman"/>
                <w:b/>
                <w:bCs/>
                <w:sz w:val="15"/>
                <w:szCs w:val="15"/>
              </w:rPr>
              <w:t>23</w:t>
            </w:r>
          </w:p>
        </w:tc>
      </w:tr>
      <w:tr w:rsidR="00510801" w:rsidRPr="00C04485" w:rsidTr="00510801">
        <w:trPr>
          <w:trHeight w:val="195"/>
        </w:trPr>
        <w:tc>
          <w:tcPr>
            <w:tcW w:w="400" w:type="dxa"/>
            <w:vMerge/>
            <w:tcBorders>
              <w:top w:val="single" w:sz="2" w:space="0" w:color="auto"/>
              <w:bottom w:val="single" w:sz="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p>
        </w:tc>
        <w:tc>
          <w:tcPr>
            <w:tcW w:w="1850"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left"/>
              <w:rPr>
                <w:rFonts w:eastAsia="Times New Roman"/>
                <w:sz w:val="15"/>
                <w:szCs w:val="15"/>
              </w:rPr>
            </w:pPr>
            <w:r>
              <w:rPr>
                <w:rFonts w:eastAsia="Times New Roman"/>
                <w:sz w:val="15"/>
                <w:szCs w:val="15"/>
              </w:rPr>
              <w:t>1 D + 1 N + 1 V</w:t>
            </w:r>
            <w:r w:rsidRPr="00C04485">
              <w:rPr>
                <w:rFonts w:eastAsia="Times New Roman"/>
                <w:sz w:val="15"/>
                <w:szCs w:val="15"/>
              </w:rPr>
              <w:t>, 100 %</w:t>
            </w:r>
          </w:p>
        </w:tc>
        <w:tc>
          <w:tcPr>
            <w:tcW w:w="1051"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850</w:t>
            </w:r>
          </w:p>
        </w:tc>
        <w:tc>
          <w:tcPr>
            <w:tcW w:w="824"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460 / 100</w:t>
            </w:r>
          </w:p>
        </w:tc>
        <w:tc>
          <w:tcPr>
            <w:tcW w:w="824"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44</w:t>
            </w:r>
          </w:p>
        </w:tc>
        <w:tc>
          <w:tcPr>
            <w:tcW w:w="826"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77</w:t>
            </w:r>
          </w:p>
        </w:tc>
        <w:tc>
          <w:tcPr>
            <w:tcW w:w="946"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729</w:t>
            </w:r>
          </w:p>
        </w:tc>
        <w:tc>
          <w:tcPr>
            <w:tcW w:w="945"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0 / 268</w:t>
            </w:r>
          </w:p>
        </w:tc>
        <w:tc>
          <w:tcPr>
            <w:tcW w:w="667"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495</w:t>
            </w:r>
          </w:p>
        </w:tc>
        <w:tc>
          <w:tcPr>
            <w:tcW w:w="667"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14</w:t>
            </w:r>
          </w:p>
        </w:tc>
        <w:tc>
          <w:tcPr>
            <w:tcW w:w="667"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2</w:t>
            </w:r>
          </w:p>
        </w:tc>
        <w:tc>
          <w:tcPr>
            <w:tcW w:w="833"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93</w:t>
            </w:r>
          </w:p>
        </w:tc>
        <w:tc>
          <w:tcPr>
            <w:tcW w:w="920"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946"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1</w:t>
            </w:r>
            <w:r>
              <w:rPr>
                <w:rFonts w:eastAsia="Times New Roman"/>
                <w:b/>
                <w:bCs/>
                <w:sz w:val="15"/>
                <w:szCs w:val="15"/>
              </w:rPr>
              <w:t xml:space="preserve"> 601</w:t>
            </w:r>
          </w:p>
        </w:tc>
        <w:tc>
          <w:tcPr>
            <w:tcW w:w="946"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5</w:t>
            </w:r>
            <w:r>
              <w:rPr>
                <w:rFonts w:eastAsia="Times New Roman"/>
                <w:b/>
                <w:bCs/>
                <w:sz w:val="15"/>
                <w:szCs w:val="15"/>
              </w:rPr>
              <w:t>34</w:t>
            </w:r>
          </w:p>
        </w:tc>
      </w:tr>
      <w:tr w:rsidR="00510801" w:rsidRPr="00C04485" w:rsidTr="00510801">
        <w:trPr>
          <w:trHeight w:val="195"/>
        </w:trPr>
        <w:tc>
          <w:tcPr>
            <w:tcW w:w="400" w:type="dxa"/>
            <w:vMerge/>
            <w:tcBorders>
              <w:top w:val="single" w:sz="2" w:space="0" w:color="auto"/>
              <w:bottom w:val="single" w:sz="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p>
        </w:tc>
        <w:tc>
          <w:tcPr>
            <w:tcW w:w="1850"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left"/>
              <w:rPr>
                <w:rFonts w:eastAsia="Times New Roman"/>
                <w:sz w:val="15"/>
                <w:szCs w:val="15"/>
              </w:rPr>
            </w:pPr>
            <w:r>
              <w:rPr>
                <w:rFonts w:eastAsia="Times New Roman"/>
                <w:sz w:val="15"/>
                <w:szCs w:val="15"/>
              </w:rPr>
              <w:t>1 D + 1 N + 1 V</w:t>
            </w:r>
            <w:r w:rsidRPr="00C04485">
              <w:rPr>
                <w:rFonts w:eastAsia="Times New Roman"/>
                <w:sz w:val="15"/>
                <w:szCs w:val="15"/>
              </w:rPr>
              <w:t>, 100 %</w:t>
            </w:r>
          </w:p>
        </w:tc>
        <w:tc>
          <w:tcPr>
            <w:tcW w:w="1051"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1</w:t>
            </w:r>
            <w:r>
              <w:rPr>
                <w:rFonts w:eastAsia="Times New Roman"/>
                <w:sz w:val="15"/>
                <w:szCs w:val="15"/>
              </w:rPr>
              <w:t> </w:t>
            </w:r>
            <w:r w:rsidRPr="00C04485">
              <w:rPr>
                <w:rFonts w:eastAsia="Times New Roman"/>
                <w:sz w:val="15"/>
                <w:szCs w:val="15"/>
              </w:rPr>
              <w:t>100</w:t>
            </w:r>
          </w:p>
        </w:tc>
        <w:tc>
          <w:tcPr>
            <w:tcW w:w="824"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410 / 100</w:t>
            </w:r>
          </w:p>
        </w:tc>
        <w:tc>
          <w:tcPr>
            <w:tcW w:w="824"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89</w:t>
            </w:r>
          </w:p>
        </w:tc>
        <w:tc>
          <w:tcPr>
            <w:tcW w:w="826"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99</w:t>
            </w:r>
          </w:p>
        </w:tc>
        <w:tc>
          <w:tcPr>
            <w:tcW w:w="946"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912</w:t>
            </w:r>
          </w:p>
        </w:tc>
        <w:tc>
          <w:tcPr>
            <w:tcW w:w="945"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 xml:space="preserve">0 / </w:t>
            </w:r>
            <w:r w:rsidRPr="00C04485">
              <w:rPr>
                <w:rFonts w:eastAsia="Times New Roman"/>
                <w:sz w:val="15"/>
                <w:szCs w:val="15"/>
              </w:rPr>
              <w:t>115</w:t>
            </w:r>
          </w:p>
        </w:tc>
        <w:tc>
          <w:tcPr>
            <w:tcW w:w="667"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495</w:t>
            </w:r>
          </w:p>
        </w:tc>
        <w:tc>
          <w:tcPr>
            <w:tcW w:w="667"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1</w:t>
            </w:r>
            <w:r>
              <w:rPr>
                <w:rFonts w:eastAsia="Times New Roman"/>
                <w:sz w:val="15"/>
                <w:szCs w:val="15"/>
              </w:rPr>
              <w:t>3</w:t>
            </w:r>
          </w:p>
        </w:tc>
        <w:tc>
          <w:tcPr>
            <w:tcW w:w="667"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833"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93</w:t>
            </w:r>
          </w:p>
        </w:tc>
        <w:tc>
          <w:tcPr>
            <w:tcW w:w="920"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946"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1</w:t>
            </w:r>
            <w:r>
              <w:rPr>
                <w:rFonts w:eastAsia="Times New Roman"/>
                <w:b/>
                <w:bCs/>
                <w:sz w:val="15"/>
                <w:szCs w:val="15"/>
              </w:rPr>
              <w:t xml:space="preserve"> 628</w:t>
            </w:r>
          </w:p>
        </w:tc>
        <w:tc>
          <w:tcPr>
            <w:tcW w:w="946" w:type="dxa"/>
            <w:tcBorders>
              <w:top w:val="single" w:sz="2" w:space="0" w:color="auto"/>
              <w:bottom w:val="single" w:sz="2" w:space="0" w:color="auto"/>
            </w:tcBorders>
            <w:shd w:val="clear" w:color="auto" w:fill="FBD4B4" w:themeFill="accent6" w:themeFillTint="66"/>
            <w:noWrap/>
            <w:vAlign w:val="center"/>
            <w:hideMark/>
          </w:tcPr>
          <w:p w:rsidR="00510801" w:rsidRPr="00C04485" w:rsidRDefault="00510801" w:rsidP="00510801">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5</w:t>
            </w:r>
            <w:r>
              <w:rPr>
                <w:rFonts w:eastAsia="Times New Roman"/>
                <w:b/>
                <w:bCs/>
                <w:sz w:val="15"/>
                <w:szCs w:val="15"/>
              </w:rPr>
              <w:t>43</w:t>
            </w:r>
          </w:p>
        </w:tc>
      </w:tr>
      <w:tr w:rsidR="00510801" w:rsidRPr="00C04485" w:rsidTr="00510801">
        <w:trPr>
          <w:trHeight w:val="195"/>
        </w:trPr>
        <w:tc>
          <w:tcPr>
            <w:tcW w:w="400" w:type="dxa"/>
            <w:vMerge/>
            <w:tcBorders>
              <w:top w:val="single" w:sz="2" w:space="0" w:color="auto"/>
              <w:bottom w:val="single" w:sz="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p>
        </w:tc>
        <w:tc>
          <w:tcPr>
            <w:tcW w:w="1850" w:type="dxa"/>
            <w:tcBorders>
              <w:top w:val="single" w:sz="2" w:space="0" w:color="auto"/>
              <w:bottom w:val="single" w:sz="2" w:space="0" w:color="auto"/>
            </w:tcBorders>
            <w:shd w:val="clear" w:color="auto" w:fill="D6E3BC" w:themeFill="accent3" w:themeFillTint="66"/>
            <w:noWrap/>
            <w:vAlign w:val="center"/>
            <w:hideMark/>
          </w:tcPr>
          <w:p w:rsidR="00510801" w:rsidRPr="0049709E" w:rsidRDefault="00510801" w:rsidP="00510801">
            <w:pPr>
              <w:widowControl/>
              <w:spacing w:after="0" w:line="240" w:lineRule="auto"/>
              <w:ind w:firstLine="0"/>
              <w:contextualSpacing w:val="0"/>
              <w:jc w:val="left"/>
              <w:rPr>
                <w:rFonts w:eastAsia="Times New Roman"/>
                <w:color w:val="76923C" w:themeColor="accent3" w:themeShade="BF"/>
                <w:sz w:val="15"/>
                <w:szCs w:val="15"/>
              </w:rPr>
            </w:pPr>
            <w:r w:rsidRPr="0049709E">
              <w:rPr>
                <w:rFonts w:eastAsia="Times New Roman"/>
                <w:color w:val="76923C" w:themeColor="accent3" w:themeShade="BF"/>
                <w:sz w:val="15"/>
                <w:szCs w:val="15"/>
              </w:rPr>
              <w:t>1 D + 2 V, 75 %</w:t>
            </w:r>
          </w:p>
        </w:tc>
        <w:tc>
          <w:tcPr>
            <w:tcW w:w="1051"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570</w:t>
            </w:r>
          </w:p>
        </w:tc>
        <w:tc>
          <w:tcPr>
            <w:tcW w:w="824"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470 / 300</w:t>
            </w:r>
          </w:p>
        </w:tc>
        <w:tc>
          <w:tcPr>
            <w:tcW w:w="824"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0</w:t>
            </w:r>
          </w:p>
        </w:tc>
        <w:tc>
          <w:tcPr>
            <w:tcW w:w="826"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51</w:t>
            </w:r>
          </w:p>
        </w:tc>
        <w:tc>
          <w:tcPr>
            <w:tcW w:w="946"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519</w:t>
            </w:r>
          </w:p>
        </w:tc>
        <w:tc>
          <w:tcPr>
            <w:tcW w:w="945"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0 / 225</w:t>
            </w:r>
          </w:p>
        </w:tc>
        <w:tc>
          <w:tcPr>
            <w:tcW w:w="667"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495</w:t>
            </w:r>
          </w:p>
        </w:tc>
        <w:tc>
          <w:tcPr>
            <w:tcW w:w="667"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14</w:t>
            </w:r>
          </w:p>
        </w:tc>
        <w:tc>
          <w:tcPr>
            <w:tcW w:w="667"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2</w:t>
            </w:r>
          </w:p>
        </w:tc>
        <w:tc>
          <w:tcPr>
            <w:tcW w:w="833"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186</w:t>
            </w:r>
          </w:p>
        </w:tc>
        <w:tc>
          <w:tcPr>
            <w:tcW w:w="920"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260</w:t>
            </w:r>
          </w:p>
        </w:tc>
        <w:tc>
          <w:tcPr>
            <w:tcW w:w="946"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b/>
                <w:bCs/>
                <w:color w:val="76923C" w:themeColor="accent3" w:themeShade="BF"/>
                <w:sz w:val="15"/>
                <w:szCs w:val="15"/>
              </w:rPr>
            </w:pPr>
            <w:r w:rsidRPr="00553A51">
              <w:rPr>
                <w:rFonts w:eastAsia="Times New Roman"/>
                <w:b/>
                <w:bCs/>
                <w:color w:val="76923C" w:themeColor="accent3" w:themeShade="BF"/>
                <w:sz w:val="15"/>
                <w:szCs w:val="15"/>
              </w:rPr>
              <w:t>1 701</w:t>
            </w:r>
          </w:p>
        </w:tc>
        <w:tc>
          <w:tcPr>
            <w:tcW w:w="946"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b/>
                <w:bCs/>
                <w:color w:val="76923C" w:themeColor="accent3" w:themeShade="BF"/>
                <w:sz w:val="15"/>
                <w:szCs w:val="15"/>
              </w:rPr>
            </w:pPr>
            <w:r w:rsidRPr="00553A51">
              <w:rPr>
                <w:rFonts w:eastAsia="Times New Roman"/>
                <w:b/>
                <w:bCs/>
                <w:color w:val="76923C" w:themeColor="accent3" w:themeShade="BF"/>
                <w:sz w:val="15"/>
                <w:szCs w:val="15"/>
              </w:rPr>
              <w:t>567</w:t>
            </w:r>
          </w:p>
        </w:tc>
      </w:tr>
      <w:tr w:rsidR="00510801" w:rsidRPr="00C04485" w:rsidTr="00510801">
        <w:trPr>
          <w:trHeight w:val="195"/>
        </w:trPr>
        <w:tc>
          <w:tcPr>
            <w:tcW w:w="400" w:type="dxa"/>
            <w:vMerge/>
            <w:tcBorders>
              <w:top w:val="single" w:sz="2" w:space="0" w:color="auto"/>
              <w:bottom w:val="single" w:sz="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p>
        </w:tc>
        <w:tc>
          <w:tcPr>
            <w:tcW w:w="1850" w:type="dxa"/>
            <w:tcBorders>
              <w:top w:val="single" w:sz="2" w:space="0" w:color="auto"/>
              <w:bottom w:val="single" w:sz="2" w:space="0" w:color="auto"/>
            </w:tcBorders>
            <w:shd w:val="clear" w:color="auto" w:fill="D6E3BC" w:themeFill="accent3" w:themeFillTint="66"/>
            <w:noWrap/>
            <w:vAlign w:val="center"/>
            <w:hideMark/>
          </w:tcPr>
          <w:p w:rsidR="00510801" w:rsidRPr="0049709E" w:rsidRDefault="00510801" w:rsidP="00510801">
            <w:pPr>
              <w:widowControl/>
              <w:spacing w:after="0" w:line="240" w:lineRule="auto"/>
              <w:ind w:firstLine="0"/>
              <w:contextualSpacing w:val="0"/>
              <w:jc w:val="left"/>
              <w:rPr>
                <w:rFonts w:eastAsia="Times New Roman"/>
                <w:color w:val="76923C" w:themeColor="accent3" w:themeShade="BF"/>
                <w:sz w:val="15"/>
                <w:szCs w:val="15"/>
              </w:rPr>
            </w:pPr>
            <w:r w:rsidRPr="0049709E">
              <w:rPr>
                <w:rFonts w:eastAsia="Times New Roman"/>
                <w:color w:val="76923C" w:themeColor="accent3" w:themeShade="BF"/>
                <w:sz w:val="15"/>
                <w:szCs w:val="15"/>
              </w:rPr>
              <w:t>1 D + 2 V, 100 %</w:t>
            </w:r>
          </w:p>
        </w:tc>
        <w:tc>
          <w:tcPr>
            <w:tcW w:w="1051"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850</w:t>
            </w:r>
          </w:p>
        </w:tc>
        <w:tc>
          <w:tcPr>
            <w:tcW w:w="824"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460 / 300</w:t>
            </w:r>
          </w:p>
        </w:tc>
        <w:tc>
          <w:tcPr>
            <w:tcW w:w="824"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14</w:t>
            </w:r>
          </w:p>
        </w:tc>
        <w:tc>
          <w:tcPr>
            <w:tcW w:w="826"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77</w:t>
            </w:r>
          </w:p>
        </w:tc>
        <w:tc>
          <w:tcPr>
            <w:tcW w:w="946"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759</w:t>
            </w:r>
          </w:p>
        </w:tc>
        <w:tc>
          <w:tcPr>
            <w:tcW w:w="945"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0 / 25</w:t>
            </w:r>
          </w:p>
        </w:tc>
        <w:tc>
          <w:tcPr>
            <w:tcW w:w="667"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495</w:t>
            </w:r>
          </w:p>
        </w:tc>
        <w:tc>
          <w:tcPr>
            <w:tcW w:w="667"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12</w:t>
            </w:r>
          </w:p>
        </w:tc>
        <w:tc>
          <w:tcPr>
            <w:tcW w:w="667"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w:t>
            </w:r>
          </w:p>
        </w:tc>
        <w:tc>
          <w:tcPr>
            <w:tcW w:w="833"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186</w:t>
            </w:r>
          </w:p>
        </w:tc>
        <w:tc>
          <w:tcPr>
            <w:tcW w:w="920"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color w:val="76923C" w:themeColor="accent3" w:themeShade="BF"/>
                <w:sz w:val="15"/>
                <w:szCs w:val="15"/>
              </w:rPr>
            </w:pPr>
            <w:r w:rsidRPr="00553A51">
              <w:rPr>
                <w:rFonts w:eastAsia="Times New Roman"/>
                <w:color w:val="76923C" w:themeColor="accent3" w:themeShade="BF"/>
                <w:sz w:val="15"/>
                <w:szCs w:val="15"/>
              </w:rPr>
              <w:t>260</w:t>
            </w:r>
          </w:p>
        </w:tc>
        <w:tc>
          <w:tcPr>
            <w:tcW w:w="946"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b/>
                <w:bCs/>
                <w:color w:val="76923C" w:themeColor="accent3" w:themeShade="BF"/>
                <w:sz w:val="15"/>
                <w:szCs w:val="15"/>
              </w:rPr>
            </w:pPr>
            <w:r w:rsidRPr="00553A51">
              <w:rPr>
                <w:rFonts w:eastAsia="Times New Roman"/>
                <w:b/>
                <w:bCs/>
                <w:color w:val="76923C" w:themeColor="accent3" w:themeShade="BF"/>
                <w:sz w:val="15"/>
                <w:szCs w:val="15"/>
              </w:rPr>
              <w:t>1 737</w:t>
            </w:r>
          </w:p>
        </w:tc>
        <w:tc>
          <w:tcPr>
            <w:tcW w:w="946" w:type="dxa"/>
            <w:tcBorders>
              <w:top w:val="single" w:sz="2" w:space="0" w:color="auto"/>
              <w:bottom w:val="single" w:sz="2" w:space="0" w:color="auto"/>
            </w:tcBorders>
            <w:shd w:val="clear" w:color="auto" w:fill="D6E3BC" w:themeFill="accent3" w:themeFillTint="66"/>
            <w:noWrap/>
            <w:vAlign w:val="bottom"/>
            <w:hideMark/>
          </w:tcPr>
          <w:p w:rsidR="00510801" w:rsidRPr="00553A51" w:rsidRDefault="00510801" w:rsidP="00510801">
            <w:pPr>
              <w:widowControl/>
              <w:spacing w:after="0" w:line="240" w:lineRule="auto"/>
              <w:ind w:firstLine="0"/>
              <w:contextualSpacing w:val="0"/>
              <w:jc w:val="center"/>
              <w:rPr>
                <w:rFonts w:eastAsia="Times New Roman"/>
                <w:b/>
                <w:bCs/>
                <w:color w:val="76923C" w:themeColor="accent3" w:themeShade="BF"/>
                <w:sz w:val="15"/>
                <w:szCs w:val="15"/>
              </w:rPr>
            </w:pPr>
            <w:r w:rsidRPr="00553A51">
              <w:rPr>
                <w:rFonts w:eastAsia="Times New Roman"/>
                <w:b/>
                <w:bCs/>
                <w:color w:val="76923C" w:themeColor="accent3" w:themeShade="BF"/>
                <w:sz w:val="15"/>
                <w:szCs w:val="15"/>
              </w:rPr>
              <w:t>579</w:t>
            </w:r>
          </w:p>
        </w:tc>
      </w:tr>
      <w:tr w:rsidR="00510801" w:rsidRPr="00C04485" w:rsidTr="00510801">
        <w:trPr>
          <w:trHeight w:val="195"/>
        </w:trPr>
        <w:tc>
          <w:tcPr>
            <w:tcW w:w="400" w:type="dxa"/>
            <w:vMerge/>
            <w:tcBorders>
              <w:top w:val="single" w:sz="2" w:space="0" w:color="auto"/>
              <w:bottom w:val="single" w:sz="1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p>
        </w:tc>
        <w:tc>
          <w:tcPr>
            <w:tcW w:w="1850" w:type="dxa"/>
            <w:tcBorders>
              <w:top w:val="single" w:sz="2" w:space="0" w:color="auto"/>
              <w:bottom w:val="single" w:sz="12" w:space="0" w:color="auto"/>
            </w:tcBorders>
            <w:shd w:val="clear" w:color="auto" w:fill="D6E3BC" w:themeFill="accent3" w:themeFillTint="66"/>
            <w:noWrap/>
            <w:vAlign w:val="center"/>
            <w:hideMark/>
          </w:tcPr>
          <w:p w:rsidR="00510801" w:rsidRPr="00C04485" w:rsidRDefault="00510801" w:rsidP="00510801">
            <w:pPr>
              <w:widowControl/>
              <w:spacing w:after="0" w:line="240" w:lineRule="auto"/>
              <w:ind w:firstLine="0"/>
              <w:contextualSpacing w:val="0"/>
              <w:jc w:val="left"/>
              <w:rPr>
                <w:rFonts w:eastAsia="Times New Roman"/>
                <w:sz w:val="15"/>
                <w:szCs w:val="15"/>
              </w:rPr>
            </w:pPr>
            <w:r>
              <w:rPr>
                <w:rFonts w:eastAsia="Times New Roman"/>
                <w:sz w:val="15"/>
                <w:szCs w:val="15"/>
              </w:rPr>
              <w:t>1 D + 2 V</w:t>
            </w:r>
            <w:r w:rsidRPr="00C04485">
              <w:rPr>
                <w:rFonts w:eastAsia="Times New Roman"/>
                <w:sz w:val="15"/>
                <w:szCs w:val="15"/>
              </w:rPr>
              <w:t>, 100 %</w:t>
            </w:r>
          </w:p>
        </w:tc>
        <w:tc>
          <w:tcPr>
            <w:tcW w:w="1051" w:type="dxa"/>
            <w:tcBorders>
              <w:top w:val="single" w:sz="2" w:space="0" w:color="auto"/>
              <w:bottom w:val="single" w:sz="12" w:space="0" w:color="auto"/>
            </w:tcBorders>
            <w:shd w:val="clear" w:color="auto" w:fill="D6E3BC" w:themeFill="accent3" w:themeFillTint="66"/>
            <w:noWrap/>
            <w:vAlign w:val="bottom"/>
            <w:hideMark/>
          </w:tcPr>
          <w:p w:rsidR="00510801" w:rsidRPr="009F6960" w:rsidRDefault="00510801" w:rsidP="00510801">
            <w:pPr>
              <w:widowControl/>
              <w:spacing w:after="0" w:line="240" w:lineRule="auto"/>
              <w:ind w:firstLine="0"/>
              <w:contextualSpacing w:val="0"/>
              <w:jc w:val="center"/>
              <w:rPr>
                <w:rFonts w:eastAsia="Times New Roman"/>
                <w:sz w:val="15"/>
                <w:szCs w:val="15"/>
              </w:rPr>
            </w:pPr>
            <w:r w:rsidRPr="009F6960">
              <w:rPr>
                <w:rFonts w:eastAsia="Times New Roman"/>
                <w:sz w:val="15"/>
                <w:szCs w:val="15"/>
              </w:rPr>
              <w:t>1</w:t>
            </w:r>
            <w:r>
              <w:rPr>
                <w:rFonts w:eastAsia="Times New Roman"/>
                <w:sz w:val="15"/>
                <w:szCs w:val="15"/>
              </w:rPr>
              <w:t> </w:t>
            </w:r>
            <w:r w:rsidRPr="009F6960">
              <w:rPr>
                <w:rFonts w:eastAsia="Times New Roman"/>
                <w:sz w:val="15"/>
                <w:szCs w:val="15"/>
              </w:rPr>
              <w:t>100</w:t>
            </w:r>
          </w:p>
        </w:tc>
        <w:tc>
          <w:tcPr>
            <w:tcW w:w="824" w:type="dxa"/>
            <w:tcBorders>
              <w:top w:val="single" w:sz="2" w:space="0" w:color="auto"/>
              <w:bottom w:val="single" w:sz="12" w:space="0" w:color="auto"/>
            </w:tcBorders>
            <w:shd w:val="clear" w:color="auto" w:fill="D6E3BC" w:themeFill="accent3" w:themeFillTint="66"/>
            <w:noWrap/>
            <w:vAlign w:val="bottom"/>
            <w:hideMark/>
          </w:tcPr>
          <w:p w:rsidR="00510801" w:rsidRPr="009F6960" w:rsidRDefault="00510801" w:rsidP="00510801">
            <w:pPr>
              <w:widowControl/>
              <w:spacing w:after="0" w:line="240" w:lineRule="auto"/>
              <w:ind w:firstLine="0"/>
              <w:contextualSpacing w:val="0"/>
              <w:jc w:val="center"/>
              <w:rPr>
                <w:rFonts w:eastAsia="Times New Roman"/>
                <w:sz w:val="15"/>
                <w:szCs w:val="15"/>
              </w:rPr>
            </w:pPr>
            <w:r w:rsidRPr="009F6960">
              <w:rPr>
                <w:rFonts w:eastAsia="Times New Roman"/>
                <w:sz w:val="15"/>
                <w:szCs w:val="15"/>
              </w:rPr>
              <w:t>410 / 300</w:t>
            </w:r>
          </w:p>
        </w:tc>
        <w:tc>
          <w:tcPr>
            <w:tcW w:w="824" w:type="dxa"/>
            <w:tcBorders>
              <w:top w:val="single" w:sz="2" w:space="0" w:color="auto"/>
              <w:bottom w:val="single" w:sz="12" w:space="0" w:color="auto"/>
            </w:tcBorders>
            <w:shd w:val="clear" w:color="auto" w:fill="D6E3BC" w:themeFill="accent3" w:themeFillTint="66"/>
            <w:noWrap/>
            <w:vAlign w:val="bottom"/>
            <w:hideMark/>
          </w:tcPr>
          <w:p w:rsidR="00510801" w:rsidRPr="009F6960" w:rsidRDefault="00510801" w:rsidP="00510801">
            <w:pPr>
              <w:widowControl/>
              <w:spacing w:after="0" w:line="240" w:lineRule="auto"/>
              <w:ind w:firstLine="0"/>
              <w:contextualSpacing w:val="0"/>
              <w:jc w:val="center"/>
              <w:rPr>
                <w:rFonts w:eastAsia="Times New Roman"/>
                <w:sz w:val="15"/>
                <w:szCs w:val="15"/>
              </w:rPr>
            </w:pPr>
            <w:r w:rsidRPr="009F6960">
              <w:rPr>
                <w:rFonts w:eastAsia="Times New Roman"/>
                <w:sz w:val="15"/>
                <w:szCs w:val="15"/>
              </w:rPr>
              <w:t>59</w:t>
            </w:r>
          </w:p>
        </w:tc>
        <w:tc>
          <w:tcPr>
            <w:tcW w:w="826" w:type="dxa"/>
            <w:tcBorders>
              <w:top w:val="single" w:sz="2" w:space="0" w:color="auto"/>
              <w:bottom w:val="single" w:sz="12" w:space="0" w:color="auto"/>
            </w:tcBorders>
            <w:shd w:val="clear" w:color="auto" w:fill="D6E3BC" w:themeFill="accent3" w:themeFillTint="66"/>
            <w:noWrap/>
            <w:vAlign w:val="bottom"/>
            <w:hideMark/>
          </w:tcPr>
          <w:p w:rsidR="00510801" w:rsidRPr="009F6960" w:rsidRDefault="00510801" w:rsidP="00510801">
            <w:pPr>
              <w:widowControl/>
              <w:spacing w:after="0" w:line="240" w:lineRule="auto"/>
              <w:ind w:firstLine="0"/>
              <w:contextualSpacing w:val="0"/>
              <w:jc w:val="center"/>
              <w:rPr>
                <w:rFonts w:eastAsia="Times New Roman"/>
                <w:sz w:val="15"/>
                <w:szCs w:val="15"/>
              </w:rPr>
            </w:pPr>
            <w:r w:rsidRPr="009F6960">
              <w:rPr>
                <w:rFonts w:eastAsia="Times New Roman"/>
                <w:sz w:val="15"/>
                <w:szCs w:val="15"/>
              </w:rPr>
              <w:t>99</w:t>
            </w:r>
          </w:p>
        </w:tc>
        <w:tc>
          <w:tcPr>
            <w:tcW w:w="946" w:type="dxa"/>
            <w:tcBorders>
              <w:top w:val="single" w:sz="2" w:space="0" w:color="auto"/>
              <w:bottom w:val="single" w:sz="12" w:space="0" w:color="auto"/>
            </w:tcBorders>
            <w:shd w:val="clear" w:color="auto" w:fill="D6E3BC" w:themeFill="accent3" w:themeFillTint="66"/>
            <w:noWrap/>
            <w:vAlign w:val="bottom"/>
            <w:hideMark/>
          </w:tcPr>
          <w:p w:rsidR="00510801" w:rsidRPr="009F6960" w:rsidRDefault="00510801" w:rsidP="00510801">
            <w:pPr>
              <w:widowControl/>
              <w:spacing w:after="0" w:line="240" w:lineRule="auto"/>
              <w:ind w:firstLine="0"/>
              <w:contextualSpacing w:val="0"/>
              <w:jc w:val="center"/>
              <w:rPr>
                <w:rFonts w:eastAsia="Times New Roman"/>
                <w:sz w:val="15"/>
                <w:szCs w:val="15"/>
              </w:rPr>
            </w:pPr>
            <w:r w:rsidRPr="009F6960">
              <w:rPr>
                <w:rFonts w:eastAsia="Times New Roman"/>
                <w:sz w:val="15"/>
                <w:szCs w:val="15"/>
              </w:rPr>
              <w:t>942</w:t>
            </w:r>
          </w:p>
        </w:tc>
        <w:tc>
          <w:tcPr>
            <w:tcW w:w="945" w:type="dxa"/>
            <w:tcBorders>
              <w:top w:val="single" w:sz="2" w:space="0" w:color="auto"/>
              <w:bottom w:val="single" w:sz="12" w:space="0" w:color="auto"/>
            </w:tcBorders>
            <w:shd w:val="clear" w:color="auto" w:fill="D6E3BC" w:themeFill="accent3" w:themeFillTint="66"/>
            <w:noWrap/>
            <w:vAlign w:val="bottom"/>
            <w:hideMark/>
          </w:tcPr>
          <w:p w:rsidR="00510801" w:rsidRPr="009F6960" w:rsidRDefault="00510801" w:rsidP="00510801">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667" w:type="dxa"/>
            <w:tcBorders>
              <w:top w:val="single" w:sz="2" w:space="0" w:color="auto"/>
              <w:bottom w:val="single" w:sz="12" w:space="0" w:color="auto"/>
            </w:tcBorders>
            <w:shd w:val="clear" w:color="auto" w:fill="D6E3BC" w:themeFill="accent3" w:themeFillTint="66"/>
            <w:noWrap/>
            <w:vAlign w:val="bottom"/>
            <w:hideMark/>
          </w:tcPr>
          <w:p w:rsidR="00510801" w:rsidRPr="009F6960" w:rsidRDefault="00510801" w:rsidP="00510801">
            <w:pPr>
              <w:widowControl/>
              <w:spacing w:after="0" w:line="240" w:lineRule="auto"/>
              <w:ind w:firstLine="0"/>
              <w:contextualSpacing w:val="0"/>
              <w:jc w:val="center"/>
              <w:rPr>
                <w:rFonts w:eastAsia="Times New Roman"/>
                <w:sz w:val="15"/>
                <w:szCs w:val="15"/>
              </w:rPr>
            </w:pPr>
            <w:r w:rsidRPr="009F6960">
              <w:rPr>
                <w:rFonts w:eastAsia="Times New Roman"/>
                <w:sz w:val="15"/>
                <w:szCs w:val="15"/>
              </w:rPr>
              <w:t>465</w:t>
            </w:r>
          </w:p>
        </w:tc>
        <w:tc>
          <w:tcPr>
            <w:tcW w:w="667" w:type="dxa"/>
            <w:tcBorders>
              <w:top w:val="single" w:sz="2" w:space="0" w:color="auto"/>
              <w:bottom w:val="single" w:sz="12" w:space="0" w:color="auto"/>
            </w:tcBorders>
            <w:shd w:val="clear" w:color="auto" w:fill="D6E3BC" w:themeFill="accent3" w:themeFillTint="66"/>
            <w:noWrap/>
            <w:vAlign w:val="bottom"/>
            <w:hideMark/>
          </w:tcPr>
          <w:p w:rsidR="00510801" w:rsidRPr="009F6960" w:rsidRDefault="00510801" w:rsidP="00510801">
            <w:pPr>
              <w:widowControl/>
              <w:spacing w:after="0" w:line="240" w:lineRule="auto"/>
              <w:ind w:firstLine="0"/>
              <w:contextualSpacing w:val="0"/>
              <w:jc w:val="center"/>
              <w:rPr>
                <w:rFonts w:eastAsia="Times New Roman"/>
                <w:sz w:val="15"/>
                <w:szCs w:val="15"/>
              </w:rPr>
            </w:pPr>
            <w:r w:rsidRPr="009F6960">
              <w:rPr>
                <w:rFonts w:eastAsia="Times New Roman"/>
                <w:sz w:val="15"/>
                <w:szCs w:val="15"/>
              </w:rPr>
              <w:t>4</w:t>
            </w:r>
          </w:p>
        </w:tc>
        <w:tc>
          <w:tcPr>
            <w:tcW w:w="667" w:type="dxa"/>
            <w:tcBorders>
              <w:top w:val="single" w:sz="2" w:space="0" w:color="auto"/>
              <w:bottom w:val="single" w:sz="12" w:space="0" w:color="auto"/>
            </w:tcBorders>
            <w:shd w:val="clear" w:color="auto" w:fill="D6E3BC" w:themeFill="accent3" w:themeFillTint="66"/>
            <w:noWrap/>
            <w:vAlign w:val="bottom"/>
            <w:hideMark/>
          </w:tcPr>
          <w:p w:rsidR="00510801" w:rsidRPr="009F6960"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833" w:type="dxa"/>
            <w:tcBorders>
              <w:top w:val="single" w:sz="2" w:space="0" w:color="auto"/>
              <w:bottom w:val="single" w:sz="12" w:space="0" w:color="auto"/>
            </w:tcBorders>
            <w:shd w:val="clear" w:color="auto" w:fill="D6E3BC" w:themeFill="accent3" w:themeFillTint="66"/>
            <w:noWrap/>
            <w:vAlign w:val="bottom"/>
            <w:hideMark/>
          </w:tcPr>
          <w:p w:rsidR="00510801" w:rsidRPr="009F6960"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20" w:type="dxa"/>
            <w:tcBorders>
              <w:top w:val="single" w:sz="2" w:space="0" w:color="auto"/>
              <w:bottom w:val="single" w:sz="12" w:space="0" w:color="auto"/>
            </w:tcBorders>
            <w:shd w:val="clear" w:color="auto" w:fill="D6E3BC" w:themeFill="accent3" w:themeFillTint="66"/>
            <w:noWrap/>
            <w:vAlign w:val="bottom"/>
            <w:hideMark/>
          </w:tcPr>
          <w:p w:rsidR="00510801" w:rsidRPr="009F6960" w:rsidRDefault="00510801" w:rsidP="00510801">
            <w:pPr>
              <w:widowControl/>
              <w:spacing w:after="0" w:line="240" w:lineRule="auto"/>
              <w:ind w:firstLine="0"/>
              <w:contextualSpacing w:val="0"/>
              <w:jc w:val="center"/>
              <w:rPr>
                <w:rFonts w:eastAsia="Times New Roman"/>
                <w:sz w:val="15"/>
                <w:szCs w:val="15"/>
              </w:rPr>
            </w:pPr>
            <w:r w:rsidRPr="009F6960">
              <w:rPr>
                <w:rFonts w:eastAsia="Times New Roman"/>
                <w:sz w:val="15"/>
                <w:szCs w:val="15"/>
              </w:rPr>
              <w:t>260</w:t>
            </w:r>
          </w:p>
        </w:tc>
        <w:tc>
          <w:tcPr>
            <w:tcW w:w="946" w:type="dxa"/>
            <w:tcBorders>
              <w:top w:val="single" w:sz="2" w:space="0" w:color="auto"/>
              <w:bottom w:val="single" w:sz="12" w:space="0" w:color="auto"/>
            </w:tcBorders>
            <w:shd w:val="clear" w:color="auto" w:fill="D6E3BC" w:themeFill="accent3" w:themeFillTint="66"/>
            <w:noWrap/>
            <w:vAlign w:val="bottom"/>
            <w:hideMark/>
          </w:tcPr>
          <w:p w:rsidR="00510801" w:rsidRPr="009F6960" w:rsidRDefault="00510801" w:rsidP="00510801">
            <w:pPr>
              <w:widowControl/>
              <w:spacing w:after="0" w:line="240" w:lineRule="auto"/>
              <w:ind w:firstLine="0"/>
              <w:contextualSpacing w:val="0"/>
              <w:jc w:val="center"/>
              <w:rPr>
                <w:rFonts w:eastAsia="Times New Roman"/>
                <w:b/>
                <w:bCs/>
                <w:sz w:val="15"/>
                <w:szCs w:val="15"/>
              </w:rPr>
            </w:pPr>
            <w:r w:rsidRPr="009F6960">
              <w:rPr>
                <w:rFonts w:eastAsia="Times New Roman"/>
                <w:b/>
                <w:bCs/>
                <w:sz w:val="15"/>
                <w:szCs w:val="15"/>
              </w:rPr>
              <w:t>1</w:t>
            </w:r>
            <w:r>
              <w:rPr>
                <w:rFonts w:eastAsia="Times New Roman"/>
                <w:b/>
                <w:bCs/>
                <w:sz w:val="15"/>
                <w:szCs w:val="15"/>
              </w:rPr>
              <w:t xml:space="preserve"> 857</w:t>
            </w:r>
          </w:p>
        </w:tc>
        <w:tc>
          <w:tcPr>
            <w:tcW w:w="946" w:type="dxa"/>
            <w:tcBorders>
              <w:top w:val="single" w:sz="2" w:space="0" w:color="auto"/>
              <w:bottom w:val="single" w:sz="12" w:space="0" w:color="auto"/>
            </w:tcBorders>
            <w:shd w:val="clear" w:color="auto" w:fill="D6E3BC" w:themeFill="accent3" w:themeFillTint="66"/>
            <w:noWrap/>
            <w:vAlign w:val="bottom"/>
            <w:hideMark/>
          </w:tcPr>
          <w:p w:rsidR="00510801" w:rsidRPr="009F6960" w:rsidRDefault="00510801" w:rsidP="00510801">
            <w:pPr>
              <w:widowControl/>
              <w:spacing w:after="0" w:line="240" w:lineRule="auto"/>
              <w:ind w:firstLine="0"/>
              <w:contextualSpacing w:val="0"/>
              <w:jc w:val="center"/>
              <w:rPr>
                <w:rFonts w:eastAsia="Times New Roman"/>
                <w:b/>
                <w:bCs/>
                <w:sz w:val="15"/>
                <w:szCs w:val="15"/>
              </w:rPr>
            </w:pPr>
            <w:r>
              <w:rPr>
                <w:rFonts w:eastAsia="Times New Roman"/>
                <w:b/>
                <w:bCs/>
                <w:sz w:val="15"/>
                <w:szCs w:val="15"/>
              </w:rPr>
              <w:t>619</w:t>
            </w:r>
          </w:p>
        </w:tc>
      </w:tr>
      <w:tr w:rsidR="00510801" w:rsidRPr="00C04485" w:rsidTr="00510801">
        <w:trPr>
          <w:trHeight w:val="195"/>
        </w:trPr>
        <w:tc>
          <w:tcPr>
            <w:tcW w:w="400" w:type="dxa"/>
            <w:vMerge w:val="restart"/>
            <w:tcBorders>
              <w:top w:val="single" w:sz="1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r w:rsidRPr="00BB5925">
              <w:rPr>
                <w:rFonts w:eastAsia="Times New Roman"/>
                <w:b/>
                <w:sz w:val="15"/>
                <w:szCs w:val="15"/>
              </w:rPr>
              <w:t>4</w:t>
            </w:r>
          </w:p>
        </w:tc>
        <w:tc>
          <w:tcPr>
            <w:tcW w:w="1850" w:type="dxa"/>
            <w:tcBorders>
              <w:top w:val="single" w:sz="12" w:space="0" w:color="auto"/>
            </w:tcBorders>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left"/>
              <w:rPr>
                <w:rFonts w:eastAsia="Times New Roman"/>
                <w:color w:val="31849B" w:themeColor="accent5" w:themeShade="BF"/>
                <w:sz w:val="15"/>
                <w:szCs w:val="15"/>
              </w:rPr>
            </w:pPr>
            <w:r w:rsidRPr="0049709E">
              <w:rPr>
                <w:rFonts w:eastAsia="Times New Roman"/>
                <w:color w:val="31849B" w:themeColor="accent5" w:themeShade="BF"/>
                <w:sz w:val="15"/>
                <w:szCs w:val="15"/>
              </w:rPr>
              <w:t>1 D + 1 N + 2 V, 75 %</w:t>
            </w:r>
          </w:p>
        </w:tc>
        <w:tc>
          <w:tcPr>
            <w:tcW w:w="1051" w:type="dxa"/>
            <w:tcBorders>
              <w:top w:val="single" w:sz="12" w:space="0" w:color="auto"/>
            </w:tcBorders>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570</w:t>
            </w:r>
          </w:p>
        </w:tc>
        <w:tc>
          <w:tcPr>
            <w:tcW w:w="824" w:type="dxa"/>
            <w:tcBorders>
              <w:top w:val="single" w:sz="12" w:space="0" w:color="auto"/>
            </w:tcBorders>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470 / 300</w:t>
            </w:r>
          </w:p>
        </w:tc>
        <w:tc>
          <w:tcPr>
            <w:tcW w:w="824" w:type="dxa"/>
            <w:tcBorders>
              <w:top w:val="single" w:sz="12" w:space="0" w:color="auto"/>
            </w:tcBorders>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0</w:t>
            </w:r>
          </w:p>
        </w:tc>
        <w:tc>
          <w:tcPr>
            <w:tcW w:w="826" w:type="dxa"/>
            <w:tcBorders>
              <w:top w:val="single" w:sz="12" w:space="0" w:color="auto"/>
            </w:tcBorders>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51</w:t>
            </w:r>
          </w:p>
        </w:tc>
        <w:tc>
          <w:tcPr>
            <w:tcW w:w="946" w:type="dxa"/>
            <w:tcBorders>
              <w:top w:val="single" w:sz="12" w:space="0" w:color="auto"/>
            </w:tcBorders>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519</w:t>
            </w:r>
          </w:p>
        </w:tc>
        <w:tc>
          <w:tcPr>
            <w:tcW w:w="945" w:type="dxa"/>
            <w:tcBorders>
              <w:top w:val="single" w:sz="12" w:space="0" w:color="auto"/>
            </w:tcBorders>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0 / 704</w:t>
            </w:r>
          </w:p>
        </w:tc>
        <w:tc>
          <w:tcPr>
            <w:tcW w:w="667" w:type="dxa"/>
            <w:tcBorders>
              <w:top w:val="single" w:sz="12" w:space="0" w:color="auto"/>
            </w:tcBorders>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495</w:t>
            </w:r>
          </w:p>
        </w:tc>
        <w:tc>
          <w:tcPr>
            <w:tcW w:w="667" w:type="dxa"/>
            <w:tcBorders>
              <w:top w:val="single" w:sz="12" w:space="0" w:color="auto"/>
            </w:tcBorders>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13</w:t>
            </w:r>
          </w:p>
        </w:tc>
        <w:tc>
          <w:tcPr>
            <w:tcW w:w="667" w:type="dxa"/>
            <w:tcBorders>
              <w:top w:val="single" w:sz="12" w:space="0" w:color="auto"/>
            </w:tcBorders>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w:t>
            </w:r>
          </w:p>
        </w:tc>
        <w:tc>
          <w:tcPr>
            <w:tcW w:w="833" w:type="dxa"/>
            <w:tcBorders>
              <w:top w:val="single" w:sz="12" w:space="0" w:color="auto"/>
            </w:tcBorders>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186</w:t>
            </w:r>
          </w:p>
        </w:tc>
        <w:tc>
          <w:tcPr>
            <w:tcW w:w="920" w:type="dxa"/>
            <w:tcBorders>
              <w:top w:val="single" w:sz="12" w:space="0" w:color="auto"/>
            </w:tcBorders>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w:t>
            </w:r>
          </w:p>
        </w:tc>
        <w:tc>
          <w:tcPr>
            <w:tcW w:w="946" w:type="dxa"/>
            <w:tcBorders>
              <w:top w:val="single" w:sz="12" w:space="0" w:color="auto"/>
            </w:tcBorders>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b/>
                <w:bCs/>
                <w:color w:val="31849B" w:themeColor="accent5" w:themeShade="BF"/>
                <w:sz w:val="15"/>
                <w:szCs w:val="15"/>
              </w:rPr>
            </w:pPr>
            <w:r w:rsidRPr="0049709E">
              <w:rPr>
                <w:rFonts w:eastAsia="Times New Roman"/>
                <w:b/>
                <w:bCs/>
                <w:color w:val="31849B" w:themeColor="accent5" w:themeShade="BF"/>
                <w:sz w:val="15"/>
                <w:szCs w:val="15"/>
              </w:rPr>
              <w:t>1 917</w:t>
            </w:r>
          </w:p>
        </w:tc>
        <w:tc>
          <w:tcPr>
            <w:tcW w:w="946" w:type="dxa"/>
            <w:tcBorders>
              <w:top w:val="single" w:sz="12" w:space="0" w:color="auto"/>
            </w:tcBorders>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b/>
                <w:bCs/>
                <w:color w:val="31849B" w:themeColor="accent5" w:themeShade="BF"/>
                <w:sz w:val="15"/>
                <w:szCs w:val="15"/>
              </w:rPr>
            </w:pPr>
            <w:r w:rsidRPr="0049709E">
              <w:rPr>
                <w:rFonts w:eastAsia="Times New Roman"/>
                <w:b/>
                <w:bCs/>
                <w:color w:val="31849B" w:themeColor="accent5" w:themeShade="BF"/>
                <w:sz w:val="15"/>
                <w:szCs w:val="15"/>
              </w:rPr>
              <w:t>479</w:t>
            </w:r>
          </w:p>
        </w:tc>
      </w:tr>
      <w:tr w:rsidR="00510801" w:rsidRPr="00C04485" w:rsidTr="00510801">
        <w:trPr>
          <w:trHeight w:val="195"/>
        </w:trPr>
        <w:tc>
          <w:tcPr>
            <w:tcW w:w="400" w:type="dxa"/>
            <w:vMerge/>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p>
        </w:tc>
        <w:tc>
          <w:tcPr>
            <w:tcW w:w="1850" w:type="dxa"/>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left"/>
              <w:rPr>
                <w:rFonts w:eastAsia="Times New Roman"/>
                <w:color w:val="31849B" w:themeColor="accent5" w:themeShade="BF"/>
                <w:sz w:val="15"/>
                <w:szCs w:val="15"/>
              </w:rPr>
            </w:pPr>
            <w:r w:rsidRPr="0049709E">
              <w:rPr>
                <w:rFonts w:eastAsia="Times New Roman"/>
                <w:color w:val="31849B" w:themeColor="accent5" w:themeShade="BF"/>
                <w:sz w:val="15"/>
                <w:szCs w:val="15"/>
              </w:rPr>
              <w:t>1 D + 1 N + 2 V, 100 %</w:t>
            </w:r>
          </w:p>
        </w:tc>
        <w:tc>
          <w:tcPr>
            <w:tcW w:w="1051" w:type="dxa"/>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850</w:t>
            </w:r>
          </w:p>
        </w:tc>
        <w:tc>
          <w:tcPr>
            <w:tcW w:w="824" w:type="dxa"/>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460 / 300</w:t>
            </w:r>
          </w:p>
        </w:tc>
        <w:tc>
          <w:tcPr>
            <w:tcW w:w="824" w:type="dxa"/>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14</w:t>
            </w:r>
          </w:p>
        </w:tc>
        <w:tc>
          <w:tcPr>
            <w:tcW w:w="826" w:type="dxa"/>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77</w:t>
            </w:r>
          </w:p>
        </w:tc>
        <w:tc>
          <w:tcPr>
            <w:tcW w:w="946" w:type="dxa"/>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759</w:t>
            </w:r>
          </w:p>
        </w:tc>
        <w:tc>
          <w:tcPr>
            <w:tcW w:w="945" w:type="dxa"/>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0 / 512</w:t>
            </w:r>
          </w:p>
        </w:tc>
        <w:tc>
          <w:tcPr>
            <w:tcW w:w="667" w:type="dxa"/>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495</w:t>
            </w:r>
          </w:p>
        </w:tc>
        <w:tc>
          <w:tcPr>
            <w:tcW w:w="667" w:type="dxa"/>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1</w:t>
            </w:r>
            <w:r>
              <w:rPr>
                <w:rFonts w:eastAsia="Times New Roman"/>
                <w:color w:val="31849B" w:themeColor="accent5" w:themeShade="BF"/>
                <w:sz w:val="15"/>
                <w:szCs w:val="15"/>
              </w:rPr>
              <w:t>0</w:t>
            </w:r>
          </w:p>
        </w:tc>
        <w:tc>
          <w:tcPr>
            <w:tcW w:w="667" w:type="dxa"/>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w:t>
            </w:r>
          </w:p>
        </w:tc>
        <w:tc>
          <w:tcPr>
            <w:tcW w:w="833" w:type="dxa"/>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186</w:t>
            </w:r>
          </w:p>
        </w:tc>
        <w:tc>
          <w:tcPr>
            <w:tcW w:w="920" w:type="dxa"/>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color w:val="31849B" w:themeColor="accent5" w:themeShade="BF"/>
                <w:sz w:val="15"/>
                <w:szCs w:val="15"/>
              </w:rPr>
            </w:pPr>
            <w:r w:rsidRPr="0049709E">
              <w:rPr>
                <w:rFonts w:eastAsia="Times New Roman"/>
                <w:color w:val="31849B" w:themeColor="accent5" w:themeShade="BF"/>
                <w:sz w:val="15"/>
                <w:szCs w:val="15"/>
              </w:rPr>
              <w:t>-</w:t>
            </w:r>
          </w:p>
        </w:tc>
        <w:tc>
          <w:tcPr>
            <w:tcW w:w="946" w:type="dxa"/>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b/>
                <w:bCs/>
                <w:color w:val="31849B" w:themeColor="accent5" w:themeShade="BF"/>
                <w:sz w:val="15"/>
                <w:szCs w:val="15"/>
              </w:rPr>
            </w:pPr>
            <w:r w:rsidRPr="0049709E">
              <w:rPr>
                <w:rFonts w:eastAsia="Times New Roman"/>
                <w:b/>
                <w:bCs/>
                <w:color w:val="31849B" w:themeColor="accent5" w:themeShade="BF"/>
                <w:sz w:val="15"/>
                <w:szCs w:val="15"/>
              </w:rPr>
              <w:t>1 96</w:t>
            </w:r>
            <w:r>
              <w:rPr>
                <w:rFonts w:eastAsia="Times New Roman"/>
                <w:b/>
                <w:bCs/>
                <w:color w:val="31849B" w:themeColor="accent5" w:themeShade="BF"/>
                <w:sz w:val="15"/>
                <w:szCs w:val="15"/>
              </w:rPr>
              <w:t>2</w:t>
            </w:r>
          </w:p>
        </w:tc>
        <w:tc>
          <w:tcPr>
            <w:tcW w:w="946" w:type="dxa"/>
            <w:shd w:val="clear" w:color="auto" w:fill="B6DDE8" w:themeFill="accent5" w:themeFillTint="66"/>
            <w:noWrap/>
            <w:vAlign w:val="center"/>
            <w:hideMark/>
          </w:tcPr>
          <w:p w:rsidR="00510801" w:rsidRPr="0049709E" w:rsidRDefault="00510801" w:rsidP="00510801">
            <w:pPr>
              <w:widowControl/>
              <w:spacing w:after="0" w:line="240" w:lineRule="auto"/>
              <w:ind w:firstLine="0"/>
              <w:contextualSpacing w:val="0"/>
              <w:jc w:val="center"/>
              <w:rPr>
                <w:rFonts w:eastAsia="Times New Roman"/>
                <w:b/>
                <w:bCs/>
                <w:color w:val="31849B" w:themeColor="accent5" w:themeShade="BF"/>
                <w:sz w:val="15"/>
                <w:szCs w:val="15"/>
              </w:rPr>
            </w:pPr>
            <w:r w:rsidRPr="0049709E">
              <w:rPr>
                <w:rFonts w:eastAsia="Times New Roman"/>
                <w:b/>
                <w:bCs/>
                <w:color w:val="31849B" w:themeColor="accent5" w:themeShade="BF"/>
                <w:sz w:val="15"/>
                <w:szCs w:val="15"/>
              </w:rPr>
              <w:t>491</w:t>
            </w:r>
          </w:p>
        </w:tc>
      </w:tr>
      <w:tr w:rsidR="00510801" w:rsidRPr="00C04485" w:rsidTr="00510801">
        <w:trPr>
          <w:trHeight w:val="195"/>
        </w:trPr>
        <w:tc>
          <w:tcPr>
            <w:tcW w:w="400" w:type="dxa"/>
            <w:vMerge/>
            <w:tcBorders>
              <w:bottom w:val="single" w:sz="1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p>
        </w:tc>
        <w:tc>
          <w:tcPr>
            <w:tcW w:w="1850" w:type="dxa"/>
            <w:tcBorders>
              <w:bottom w:val="single" w:sz="12" w:space="0" w:color="auto"/>
            </w:tcBorders>
            <w:shd w:val="clear" w:color="auto" w:fill="B6DDE8" w:themeFill="accent5" w:themeFillTint="66"/>
            <w:noWrap/>
            <w:vAlign w:val="center"/>
            <w:hideMark/>
          </w:tcPr>
          <w:p w:rsidR="00510801" w:rsidRPr="00084E39" w:rsidRDefault="00510801" w:rsidP="00510801">
            <w:pPr>
              <w:widowControl/>
              <w:spacing w:after="0" w:line="240" w:lineRule="auto"/>
              <w:ind w:firstLine="0"/>
              <w:contextualSpacing w:val="0"/>
              <w:jc w:val="left"/>
              <w:rPr>
                <w:rFonts w:eastAsia="Times New Roman"/>
                <w:sz w:val="15"/>
                <w:szCs w:val="15"/>
              </w:rPr>
            </w:pPr>
            <w:r>
              <w:rPr>
                <w:rFonts w:eastAsia="Times New Roman"/>
                <w:sz w:val="15"/>
                <w:szCs w:val="15"/>
              </w:rPr>
              <w:t>1 D + 1 N + 2 V</w:t>
            </w:r>
            <w:r w:rsidRPr="00084E39">
              <w:rPr>
                <w:rFonts w:eastAsia="Times New Roman"/>
                <w:sz w:val="15"/>
                <w:szCs w:val="15"/>
              </w:rPr>
              <w:t xml:space="preserve">, </w:t>
            </w:r>
            <w:r w:rsidRPr="00C04485">
              <w:rPr>
                <w:rFonts w:eastAsia="Times New Roman"/>
                <w:sz w:val="15"/>
                <w:szCs w:val="15"/>
              </w:rPr>
              <w:t>100 %</w:t>
            </w:r>
          </w:p>
        </w:tc>
        <w:tc>
          <w:tcPr>
            <w:tcW w:w="1051" w:type="dxa"/>
            <w:tcBorders>
              <w:bottom w:val="single" w:sz="12" w:space="0" w:color="auto"/>
            </w:tcBorders>
            <w:shd w:val="clear" w:color="auto" w:fill="B6DDE8" w:themeFill="accent5" w:themeFillTint="66"/>
            <w:noWrap/>
            <w:vAlign w:val="center"/>
            <w:hideMark/>
          </w:tcPr>
          <w:p w:rsidR="00510801" w:rsidRPr="00084E39" w:rsidRDefault="00510801" w:rsidP="00510801">
            <w:pPr>
              <w:widowControl/>
              <w:spacing w:after="0" w:line="240" w:lineRule="auto"/>
              <w:ind w:firstLine="0"/>
              <w:contextualSpacing w:val="0"/>
              <w:jc w:val="center"/>
              <w:rPr>
                <w:rFonts w:eastAsia="Times New Roman"/>
                <w:sz w:val="15"/>
                <w:szCs w:val="15"/>
              </w:rPr>
            </w:pPr>
            <w:r w:rsidRPr="00084E39">
              <w:rPr>
                <w:rFonts w:eastAsia="Times New Roman"/>
                <w:sz w:val="15"/>
                <w:szCs w:val="15"/>
              </w:rPr>
              <w:t>1</w:t>
            </w:r>
            <w:r>
              <w:rPr>
                <w:rFonts w:eastAsia="Times New Roman"/>
                <w:sz w:val="15"/>
                <w:szCs w:val="15"/>
              </w:rPr>
              <w:t> </w:t>
            </w:r>
            <w:r w:rsidRPr="00084E39">
              <w:rPr>
                <w:rFonts w:eastAsia="Times New Roman"/>
                <w:sz w:val="15"/>
                <w:szCs w:val="15"/>
              </w:rPr>
              <w:t>100</w:t>
            </w:r>
          </w:p>
        </w:tc>
        <w:tc>
          <w:tcPr>
            <w:tcW w:w="824" w:type="dxa"/>
            <w:tcBorders>
              <w:bottom w:val="single" w:sz="12" w:space="0" w:color="auto"/>
            </w:tcBorders>
            <w:shd w:val="clear" w:color="auto" w:fill="B6DDE8" w:themeFill="accent5" w:themeFillTint="66"/>
            <w:noWrap/>
            <w:vAlign w:val="center"/>
            <w:hideMark/>
          </w:tcPr>
          <w:p w:rsidR="00510801" w:rsidRPr="00084E39" w:rsidRDefault="00510801" w:rsidP="00510801">
            <w:pPr>
              <w:widowControl/>
              <w:spacing w:after="0" w:line="240" w:lineRule="auto"/>
              <w:ind w:firstLine="0"/>
              <w:contextualSpacing w:val="0"/>
              <w:jc w:val="center"/>
              <w:rPr>
                <w:rFonts w:eastAsia="Times New Roman"/>
                <w:sz w:val="15"/>
                <w:szCs w:val="15"/>
              </w:rPr>
            </w:pPr>
            <w:r w:rsidRPr="00084E39">
              <w:rPr>
                <w:rFonts w:eastAsia="Times New Roman"/>
                <w:sz w:val="15"/>
                <w:szCs w:val="15"/>
              </w:rPr>
              <w:t>410 / 300</w:t>
            </w:r>
          </w:p>
        </w:tc>
        <w:tc>
          <w:tcPr>
            <w:tcW w:w="824" w:type="dxa"/>
            <w:tcBorders>
              <w:bottom w:val="single" w:sz="12" w:space="0" w:color="auto"/>
            </w:tcBorders>
            <w:shd w:val="clear" w:color="auto" w:fill="B6DDE8" w:themeFill="accent5" w:themeFillTint="66"/>
            <w:noWrap/>
            <w:vAlign w:val="center"/>
            <w:hideMark/>
          </w:tcPr>
          <w:p w:rsidR="00510801" w:rsidRPr="00084E39" w:rsidRDefault="00510801" w:rsidP="00510801">
            <w:pPr>
              <w:widowControl/>
              <w:spacing w:after="0" w:line="240" w:lineRule="auto"/>
              <w:ind w:firstLine="0"/>
              <w:contextualSpacing w:val="0"/>
              <w:jc w:val="center"/>
              <w:rPr>
                <w:rFonts w:eastAsia="Times New Roman"/>
                <w:sz w:val="15"/>
                <w:szCs w:val="15"/>
              </w:rPr>
            </w:pPr>
            <w:r w:rsidRPr="00084E39">
              <w:rPr>
                <w:rFonts w:eastAsia="Times New Roman"/>
                <w:sz w:val="15"/>
                <w:szCs w:val="15"/>
              </w:rPr>
              <w:t>59</w:t>
            </w:r>
          </w:p>
        </w:tc>
        <w:tc>
          <w:tcPr>
            <w:tcW w:w="826" w:type="dxa"/>
            <w:tcBorders>
              <w:bottom w:val="single" w:sz="12" w:space="0" w:color="auto"/>
            </w:tcBorders>
            <w:shd w:val="clear" w:color="auto" w:fill="B6DDE8" w:themeFill="accent5" w:themeFillTint="66"/>
            <w:noWrap/>
            <w:vAlign w:val="center"/>
            <w:hideMark/>
          </w:tcPr>
          <w:p w:rsidR="00510801" w:rsidRPr="00084E39" w:rsidRDefault="00510801" w:rsidP="00510801">
            <w:pPr>
              <w:widowControl/>
              <w:spacing w:after="0" w:line="240" w:lineRule="auto"/>
              <w:ind w:firstLine="0"/>
              <w:contextualSpacing w:val="0"/>
              <w:jc w:val="center"/>
              <w:rPr>
                <w:rFonts w:eastAsia="Times New Roman"/>
                <w:sz w:val="15"/>
                <w:szCs w:val="15"/>
              </w:rPr>
            </w:pPr>
            <w:r w:rsidRPr="00084E39">
              <w:rPr>
                <w:rFonts w:eastAsia="Times New Roman"/>
                <w:sz w:val="15"/>
                <w:szCs w:val="15"/>
              </w:rPr>
              <w:t>99</w:t>
            </w:r>
          </w:p>
        </w:tc>
        <w:tc>
          <w:tcPr>
            <w:tcW w:w="946" w:type="dxa"/>
            <w:tcBorders>
              <w:bottom w:val="single" w:sz="12" w:space="0" w:color="auto"/>
            </w:tcBorders>
            <w:shd w:val="clear" w:color="auto" w:fill="B6DDE8" w:themeFill="accent5" w:themeFillTint="66"/>
            <w:noWrap/>
            <w:vAlign w:val="center"/>
            <w:hideMark/>
          </w:tcPr>
          <w:p w:rsidR="00510801" w:rsidRPr="00084E39" w:rsidRDefault="00510801" w:rsidP="00510801">
            <w:pPr>
              <w:widowControl/>
              <w:spacing w:after="0" w:line="240" w:lineRule="auto"/>
              <w:ind w:firstLine="0"/>
              <w:contextualSpacing w:val="0"/>
              <w:jc w:val="center"/>
              <w:rPr>
                <w:rFonts w:eastAsia="Times New Roman"/>
                <w:sz w:val="15"/>
                <w:szCs w:val="15"/>
              </w:rPr>
            </w:pPr>
            <w:r w:rsidRPr="00084E39">
              <w:rPr>
                <w:rFonts w:eastAsia="Times New Roman"/>
                <w:sz w:val="15"/>
                <w:szCs w:val="15"/>
              </w:rPr>
              <w:t>942</w:t>
            </w:r>
          </w:p>
        </w:tc>
        <w:tc>
          <w:tcPr>
            <w:tcW w:w="945" w:type="dxa"/>
            <w:tcBorders>
              <w:bottom w:val="single" w:sz="12" w:space="0" w:color="auto"/>
            </w:tcBorders>
            <w:shd w:val="clear" w:color="auto" w:fill="B6DDE8" w:themeFill="accent5" w:themeFillTint="66"/>
            <w:noWrap/>
            <w:vAlign w:val="center"/>
            <w:hideMark/>
          </w:tcPr>
          <w:p w:rsidR="00510801" w:rsidRPr="00084E39" w:rsidRDefault="00510801" w:rsidP="00510801">
            <w:pPr>
              <w:widowControl/>
              <w:spacing w:after="0" w:line="240" w:lineRule="auto"/>
              <w:ind w:firstLine="0"/>
              <w:contextualSpacing w:val="0"/>
              <w:jc w:val="center"/>
              <w:rPr>
                <w:rFonts w:eastAsia="Times New Roman"/>
                <w:sz w:val="15"/>
                <w:szCs w:val="15"/>
              </w:rPr>
            </w:pPr>
            <w:r w:rsidRPr="00C04485">
              <w:rPr>
                <w:rFonts w:eastAsia="Times New Roman"/>
                <w:sz w:val="15"/>
                <w:szCs w:val="15"/>
              </w:rPr>
              <w:t xml:space="preserve">0 / </w:t>
            </w:r>
            <w:r w:rsidRPr="00084E39">
              <w:rPr>
                <w:rFonts w:eastAsia="Times New Roman"/>
                <w:sz w:val="15"/>
                <w:szCs w:val="15"/>
              </w:rPr>
              <w:t>365</w:t>
            </w:r>
          </w:p>
        </w:tc>
        <w:tc>
          <w:tcPr>
            <w:tcW w:w="667" w:type="dxa"/>
            <w:tcBorders>
              <w:bottom w:val="single" w:sz="12" w:space="0" w:color="auto"/>
            </w:tcBorders>
            <w:shd w:val="clear" w:color="auto" w:fill="B6DDE8" w:themeFill="accent5" w:themeFillTint="66"/>
            <w:noWrap/>
            <w:vAlign w:val="center"/>
            <w:hideMark/>
          </w:tcPr>
          <w:p w:rsidR="00510801" w:rsidRPr="00084E39" w:rsidRDefault="00510801" w:rsidP="00510801">
            <w:pPr>
              <w:widowControl/>
              <w:spacing w:after="0" w:line="240" w:lineRule="auto"/>
              <w:ind w:firstLine="0"/>
              <w:contextualSpacing w:val="0"/>
              <w:jc w:val="center"/>
              <w:rPr>
                <w:rFonts w:eastAsia="Times New Roman"/>
                <w:sz w:val="15"/>
                <w:szCs w:val="15"/>
              </w:rPr>
            </w:pPr>
            <w:r w:rsidRPr="00084E39">
              <w:rPr>
                <w:rFonts w:eastAsia="Times New Roman"/>
                <w:sz w:val="15"/>
                <w:szCs w:val="15"/>
              </w:rPr>
              <w:t>495</w:t>
            </w:r>
          </w:p>
        </w:tc>
        <w:tc>
          <w:tcPr>
            <w:tcW w:w="667" w:type="dxa"/>
            <w:tcBorders>
              <w:bottom w:val="single" w:sz="12" w:space="0" w:color="auto"/>
            </w:tcBorders>
            <w:shd w:val="clear" w:color="auto" w:fill="B6DDE8" w:themeFill="accent5" w:themeFillTint="66"/>
            <w:noWrap/>
            <w:vAlign w:val="center"/>
            <w:hideMark/>
          </w:tcPr>
          <w:p w:rsidR="00510801" w:rsidRPr="00084E39" w:rsidRDefault="00510801" w:rsidP="00510801">
            <w:pPr>
              <w:widowControl/>
              <w:spacing w:after="0" w:line="240" w:lineRule="auto"/>
              <w:ind w:firstLine="0"/>
              <w:contextualSpacing w:val="0"/>
              <w:jc w:val="center"/>
              <w:rPr>
                <w:rFonts w:eastAsia="Times New Roman"/>
                <w:sz w:val="15"/>
                <w:szCs w:val="15"/>
              </w:rPr>
            </w:pPr>
            <w:r w:rsidRPr="00084E39">
              <w:rPr>
                <w:rFonts w:eastAsia="Times New Roman"/>
                <w:sz w:val="15"/>
                <w:szCs w:val="15"/>
              </w:rPr>
              <w:t>9</w:t>
            </w:r>
          </w:p>
        </w:tc>
        <w:tc>
          <w:tcPr>
            <w:tcW w:w="667" w:type="dxa"/>
            <w:tcBorders>
              <w:bottom w:val="single" w:sz="12" w:space="0" w:color="auto"/>
            </w:tcBorders>
            <w:shd w:val="clear" w:color="auto" w:fill="B6DDE8" w:themeFill="accent5" w:themeFillTint="66"/>
            <w:noWrap/>
            <w:vAlign w:val="center"/>
            <w:hideMark/>
          </w:tcPr>
          <w:p w:rsidR="00510801" w:rsidRPr="00084E39" w:rsidRDefault="00510801" w:rsidP="00510801">
            <w:pPr>
              <w:widowControl/>
              <w:spacing w:after="0" w:line="240" w:lineRule="auto"/>
              <w:ind w:firstLine="0"/>
              <w:contextualSpacing w:val="0"/>
              <w:jc w:val="center"/>
              <w:rPr>
                <w:rFonts w:eastAsia="Times New Roman"/>
                <w:sz w:val="15"/>
                <w:szCs w:val="15"/>
              </w:rPr>
            </w:pPr>
            <w:r w:rsidRPr="00084E39">
              <w:rPr>
                <w:rFonts w:eastAsia="Times New Roman"/>
                <w:sz w:val="15"/>
                <w:szCs w:val="15"/>
              </w:rPr>
              <w:t>-</w:t>
            </w:r>
          </w:p>
        </w:tc>
        <w:tc>
          <w:tcPr>
            <w:tcW w:w="833" w:type="dxa"/>
            <w:tcBorders>
              <w:bottom w:val="single" w:sz="12" w:space="0" w:color="auto"/>
            </w:tcBorders>
            <w:shd w:val="clear" w:color="auto" w:fill="B6DDE8" w:themeFill="accent5" w:themeFillTint="66"/>
            <w:noWrap/>
            <w:vAlign w:val="center"/>
            <w:hideMark/>
          </w:tcPr>
          <w:p w:rsidR="00510801" w:rsidRPr="00084E39"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20" w:type="dxa"/>
            <w:tcBorders>
              <w:bottom w:val="single" w:sz="12" w:space="0" w:color="auto"/>
            </w:tcBorders>
            <w:shd w:val="clear" w:color="auto" w:fill="B6DDE8" w:themeFill="accent5" w:themeFillTint="66"/>
            <w:noWrap/>
            <w:vAlign w:val="center"/>
            <w:hideMark/>
          </w:tcPr>
          <w:p w:rsidR="00510801" w:rsidRPr="00084E39" w:rsidRDefault="00510801" w:rsidP="00510801">
            <w:pPr>
              <w:widowControl/>
              <w:spacing w:after="0" w:line="240" w:lineRule="auto"/>
              <w:ind w:firstLine="0"/>
              <w:contextualSpacing w:val="0"/>
              <w:jc w:val="center"/>
              <w:rPr>
                <w:rFonts w:eastAsia="Times New Roman"/>
                <w:sz w:val="15"/>
                <w:szCs w:val="15"/>
              </w:rPr>
            </w:pPr>
            <w:r w:rsidRPr="00084E39">
              <w:rPr>
                <w:rFonts w:eastAsia="Times New Roman"/>
                <w:sz w:val="15"/>
                <w:szCs w:val="15"/>
              </w:rPr>
              <w:t>-</w:t>
            </w:r>
          </w:p>
        </w:tc>
        <w:tc>
          <w:tcPr>
            <w:tcW w:w="946" w:type="dxa"/>
            <w:tcBorders>
              <w:bottom w:val="single" w:sz="12" w:space="0" w:color="auto"/>
            </w:tcBorders>
            <w:shd w:val="clear" w:color="auto" w:fill="B6DDE8" w:themeFill="accent5" w:themeFillTint="66"/>
            <w:noWrap/>
            <w:vAlign w:val="center"/>
            <w:hideMark/>
          </w:tcPr>
          <w:p w:rsidR="00510801" w:rsidRPr="00084E39" w:rsidRDefault="00510801" w:rsidP="00510801">
            <w:pPr>
              <w:widowControl/>
              <w:spacing w:after="0" w:line="240" w:lineRule="auto"/>
              <w:ind w:firstLine="0"/>
              <w:contextualSpacing w:val="0"/>
              <w:jc w:val="center"/>
              <w:rPr>
                <w:rFonts w:eastAsia="Times New Roman"/>
                <w:b/>
                <w:bCs/>
                <w:sz w:val="15"/>
                <w:szCs w:val="15"/>
              </w:rPr>
            </w:pPr>
            <w:r>
              <w:rPr>
                <w:rFonts w:eastAsia="Times New Roman"/>
                <w:b/>
                <w:bCs/>
                <w:sz w:val="15"/>
                <w:szCs w:val="15"/>
              </w:rPr>
              <w:t>1 997</w:t>
            </w:r>
          </w:p>
        </w:tc>
        <w:tc>
          <w:tcPr>
            <w:tcW w:w="946" w:type="dxa"/>
            <w:tcBorders>
              <w:bottom w:val="single" w:sz="12" w:space="0" w:color="auto"/>
            </w:tcBorders>
            <w:shd w:val="clear" w:color="auto" w:fill="B6DDE8" w:themeFill="accent5" w:themeFillTint="66"/>
            <w:noWrap/>
            <w:vAlign w:val="center"/>
            <w:hideMark/>
          </w:tcPr>
          <w:p w:rsidR="00510801" w:rsidRPr="00084E39" w:rsidRDefault="00510801" w:rsidP="00510801">
            <w:pPr>
              <w:widowControl/>
              <w:spacing w:after="0" w:line="240" w:lineRule="auto"/>
              <w:ind w:firstLine="0"/>
              <w:contextualSpacing w:val="0"/>
              <w:jc w:val="center"/>
              <w:rPr>
                <w:rFonts w:eastAsia="Times New Roman"/>
                <w:b/>
                <w:bCs/>
                <w:sz w:val="15"/>
                <w:szCs w:val="15"/>
              </w:rPr>
            </w:pPr>
            <w:r>
              <w:rPr>
                <w:rFonts w:eastAsia="Times New Roman"/>
                <w:b/>
                <w:bCs/>
                <w:sz w:val="15"/>
                <w:szCs w:val="15"/>
              </w:rPr>
              <w:t>499</w:t>
            </w:r>
          </w:p>
        </w:tc>
      </w:tr>
      <w:tr w:rsidR="00510801" w:rsidRPr="0061123E" w:rsidTr="00510801">
        <w:trPr>
          <w:trHeight w:val="195"/>
        </w:trPr>
        <w:tc>
          <w:tcPr>
            <w:tcW w:w="400" w:type="dxa"/>
            <w:tcBorders>
              <w:top w:val="single" w:sz="12" w:space="0" w:color="auto"/>
              <w:bottom w:val="single" w:sz="1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p>
        </w:tc>
        <w:tc>
          <w:tcPr>
            <w:tcW w:w="1850" w:type="dxa"/>
            <w:tcBorders>
              <w:top w:val="single" w:sz="12" w:space="0" w:color="auto"/>
              <w:bottom w:val="single" w:sz="12" w:space="0" w:color="auto"/>
            </w:tcBorders>
            <w:shd w:val="clear" w:color="auto" w:fill="D9D9D9" w:themeFill="background1" w:themeFillShade="D9"/>
            <w:noWrap/>
            <w:vAlign w:val="center"/>
            <w:hideMark/>
          </w:tcPr>
          <w:p w:rsidR="00510801" w:rsidRPr="0061123E" w:rsidRDefault="00510801" w:rsidP="00510801">
            <w:pPr>
              <w:widowControl/>
              <w:spacing w:after="0" w:line="240" w:lineRule="auto"/>
              <w:ind w:firstLine="0"/>
              <w:contextualSpacing w:val="0"/>
              <w:jc w:val="center"/>
              <w:rPr>
                <w:rFonts w:eastAsia="Times New Roman"/>
                <w:b/>
                <w:sz w:val="15"/>
                <w:szCs w:val="15"/>
              </w:rPr>
            </w:pPr>
            <w:r w:rsidRPr="0061123E">
              <w:rPr>
                <w:rFonts w:eastAsia="Times New Roman"/>
                <w:b/>
                <w:sz w:val="15"/>
                <w:szCs w:val="15"/>
              </w:rPr>
              <w:t>Šeimos tipas (</w:t>
            </w:r>
            <w:r>
              <w:rPr>
                <w:rFonts w:eastAsia="Times New Roman"/>
                <w:b/>
                <w:sz w:val="15"/>
                <w:szCs w:val="15"/>
              </w:rPr>
              <w:t>aktyvūs abu</w:t>
            </w:r>
            <w:r w:rsidRPr="0061123E">
              <w:rPr>
                <w:rFonts w:eastAsia="Times New Roman"/>
                <w:b/>
                <w:sz w:val="15"/>
                <w:szCs w:val="15"/>
              </w:rPr>
              <w:t>)</w:t>
            </w:r>
          </w:p>
        </w:tc>
        <w:tc>
          <w:tcPr>
            <w:tcW w:w="1051" w:type="dxa"/>
            <w:tcBorders>
              <w:top w:val="single" w:sz="12" w:space="0" w:color="auto"/>
              <w:bottom w:val="single" w:sz="12" w:space="0" w:color="auto"/>
            </w:tcBorders>
            <w:shd w:val="clear" w:color="auto" w:fill="D9D9D9" w:themeFill="background1" w:themeFillShade="D9"/>
            <w:noWrap/>
            <w:vAlign w:val="center"/>
            <w:hideMark/>
          </w:tcPr>
          <w:p w:rsidR="00510801" w:rsidRPr="0061123E" w:rsidRDefault="00510801" w:rsidP="00510801">
            <w:pPr>
              <w:widowControl/>
              <w:spacing w:after="0" w:line="240" w:lineRule="auto"/>
              <w:ind w:firstLine="0"/>
              <w:contextualSpacing w:val="0"/>
              <w:jc w:val="center"/>
              <w:rPr>
                <w:rFonts w:eastAsia="Times New Roman"/>
                <w:b/>
                <w:sz w:val="15"/>
                <w:szCs w:val="15"/>
              </w:rPr>
            </w:pPr>
            <w:r w:rsidRPr="0061123E">
              <w:rPr>
                <w:rFonts w:eastAsia="Times New Roman"/>
                <w:b/>
                <w:sz w:val="15"/>
                <w:szCs w:val="15"/>
              </w:rPr>
              <w:t>Darbo pajamos</w:t>
            </w:r>
          </w:p>
        </w:tc>
        <w:tc>
          <w:tcPr>
            <w:tcW w:w="824" w:type="dxa"/>
            <w:tcBorders>
              <w:top w:val="single" w:sz="12" w:space="0" w:color="auto"/>
              <w:bottom w:val="single" w:sz="12" w:space="0" w:color="auto"/>
            </w:tcBorders>
            <w:shd w:val="clear" w:color="auto" w:fill="D9D9D9" w:themeFill="background1" w:themeFillShade="D9"/>
            <w:noWrap/>
            <w:vAlign w:val="center"/>
            <w:hideMark/>
          </w:tcPr>
          <w:p w:rsidR="00510801" w:rsidRPr="0061123E" w:rsidRDefault="00510801" w:rsidP="00510801">
            <w:pPr>
              <w:widowControl/>
              <w:spacing w:after="0" w:line="240" w:lineRule="auto"/>
              <w:ind w:firstLine="0"/>
              <w:contextualSpacing w:val="0"/>
              <w:jc w:val="center"/>
              <w:rPr>
                <w:rFonts w:eastAsia="Times New Roman"/>
                <w:b/>
                <w:sz w:val="15"/>
                <w:szCs w:val="15"/>
              </w:rPr>
            </w:pPr>
            <w:r w:rsidRPr="0061123E">
              <w:rPr>
                <w:rFonts w:eastAsia="Times New Roman"/>
                <w:b/>
                <w:sz w:val="15"/>
                <w:szCs w:val="15"/>
              </w:rPr>
              <w:t>NPD / PNPD</w:t>
            </w:r>
          </w:p>
        </w:tc>
        <w:tc>
          <w:tcPr>
            <w:tcW w:w="824" w:type="dxa"/>
            <w:tcBorders>
              <w:top w:val="single" w:sz="12" w:space="0" w:color="auto"/>
              <w:bottom w:val="single" w:sz="12" w:space="0" w:color="auto"/>
            </w:tcBorders>
            <w:shd w:val="clear" w:color="auto" w:fill="D9D9D9" w:themeFill="background1" w:themeFillShade="D9"/>
            <w:noWrap/>
            <w:vAlign w:val="center"/>
            <w:hideMark/>
          </w:tcPr>
          <w:p w:rsidR="00510801" w:rsidRPr="0061123E" w:rsidRDefault="00510801" w:rsidP="00510801">
            <w:pPr>
              <w:widowControl/>
              <w:spacing w:after="0" w:line="240" w:lineRule="auto"/>
              <w:ind w:firstLine="0"/>
              <w:contextualSpacing w:val="0"/>
              <w:jc w:val="center"/>
              <w:rPr>
                <w:rFonts w:eastAsia="Times New Roman"/>
                <w:b/>
                <w:sz w:val="15"/>
                <w:szCs w:val="15"/>
              </w:rPr>
            </w:pPr>
            <w:r w:rsidRPr="0061123E">
              <w:rPr>
                <w:rFonts w:eastAsia="Times New Roman"/>
                <w:b/>
                <w:sz w:val="15"/>
                <w:szCs w:val="15"/>
              </w:rPr>
              <w:t>GPM</w:t>
            </w:r>
          </w:p>
        </w:tc>
        <w:tc>
          <w:tcPr>
            <w:tcW w:w="826" w:type="dxa"/>
            <w:tcBorders>
              <w:top w:val="single" w:sz="12" w:space="0" w:color="auto"/>
              <w:bottom w:val="single" w:sz="12" w:space="0" w:color="auto"/>
            </w:tcBorders>
            <w:shd w:val="clear" w:color="auto" w:fill="D9D9D9" w:themeFill="background1" w:themeFillShade="D9"/>
            <w:noWrap/>
            <w:vAlign w:val="center"/>
            <w:hideMark/>
          </w:tcPr>
          <w:p w:rsidR="00510801" w:rsidRPr="0061123E" w:rsidRDefault="00510801" w:rsidP="00510801">
            <w:pPr>
              <w:widowControl/>
              <w:spacing w:after="0" w:line="240" w:lineRule="auto"/>
              <w:ind w:firstLine="0"/>
              <w:contextualSpacing w:val="0"/>
              <w:jc w:val="center"/>
              <w:rPr>
                <w:rFonts w:eastAsia="Times New Roman"/>
                <w:b/>
                <w:sz w:val="15"/>
                <w:szCs w:val="15"/>
              </w:rPr>
            </w:pPr>
            <w:r w:rsidRPr="0061123E">
              <w:rPr>
                <w:rFonts w:eastAsia="Times New Roman"/>
                <w:b/>
                <w:sz w:val="15"/>
                <w:szCs w:val="15"/>
              </w:rPr>
              <w:t>SD įmokos</w:t>
            </w:r>
          </w:p>
        </w:tc>
        <w:tc>
          <w:tcPr>
            <w:tcW w:w="946" w:type="dxa"/>
            <w:tcBorders>
              <w:top w:val="single" w:sz="12" w:space="0" w:color="auto"/>
              <w:bottom w:val="single" w:sz="12" w:space="0" w:color="auto"/>
            </w:tcBorders>
            <w:shd w:val="clear" w:color="auto" w:fill="D9D9D9" w:themeFill="background1" w:themeFillShade="D9"/>
            <w:noWrap/>
            <w:vAlign w:val="center"/>
            <w:hideMark/>
          </w:tcPr>
          <w:p w:rsidR="00510801" w:rsidRPr="0061123E" w:rsidRDefault="00510801" w:rsidP="00510801">
            <w:pPr>
              <w:widowControl/>
              <w:spacing w:after="0" w:line="240" w:lineRule="auto"/>
              <w:ind w:firstLine="0"/>
              <w:contextualSpacing w:val="0"/>
              <w:jc w:val="center"/>
              <w:rPr>
                <w:rFonts w:eastAsia="Times New Roman"/>
                <w:b/>
                <w:sz w:val="15"/>
                <w:szCs w:val="15"/>
              </w:rPr>
            </w:pPr>
            <w:r w:rsidRPr="0061123E">
              <w:rPr>
                <w:rFonts w:eastAsia="Times New Roman"/>
                <w:b/>
                <w:sz w:val="15"/>
                <w:szCs w:val="15"/>
              </w:rPr>
              <w:t>NETO pajamos</w:t>
            </w:r>
          </w:p>
        </w:tc>
        <w:tc>
          <w:tcPr>
            <w:tcW w:w="945" w:type="dxa"/>
            <w:tcBorders>
              <w:top w:val="single" w:sz="12" w:space="0" w:color="auto"/>
              <w:bottom w:val="single" w:sz="12" w:space="0" w:color="auto"/>
            </w:tcBorders>
            <w:shd w:val="clear" w:color="auto" w:fill="D9D9D9" w:themeFill="background1" w:themeFillShade="D9"/>
            <w:noWrap/>
            <w:vAlign w:val="center"/>
            <w:hideMark/>
          </w:tcPr>
          <w:p w:rsidR="00510801" w:rsidRPr="0061123E" w:rsidRDefault="00510801" w:rsidP="00510801">
            <w:pPr>
              <w:widowControl/>
              <w:spacing w:after="0" w:line="240" w:lineRule="auto"/>
              <w:ind w:firstLine="0"/>
              <w:contextualSpacing w:val="0"/>
              <w:jc w:val="center"/>
              <w:rPr>
                <w:rFonts w:eastAsia="Times New Roman"/>
                <w:b/>
                <w:sz w:val="15"/>
                <w:szCs w:val="15"/>
              </w:rPr>
            </w:pPr>
            <w:r w:rsidRPr="0061123E">
              <w:rPr>
                <w:rFonts w:eastAsia="Times New Roman"/>
                <w:b/>
                <w:sz w:val="15"/>
                <w:szCs w:val="15"/>
              </w:rPr>
              <w:t>NDI / SP</w:t>
            </w:r>
          </w:p>
        </w:tc>
        <w:tc>
          <w:tcPr>
            <w:tcW w:w="667" w:type="dxa"/>
            <w:tcBorders>
              <w:top w:val="single" w:sz="12" w:space="0" w:color="auto"/>
              <w:bottom w:val="single" w:sz="12" w:space="0" w:color="auto"/>
            </w:tcBorders>
            <w:shd w:val="clear" w:color="auto" w:fill="D9D9D9" w:themeFill="background1" w:themeFillShade="D9"/>
            <w:noWrap/>
            <w:vAlign w:val="center"/>
            <w:hideMark/>
          </w:tcPr>
          <w:p w:rsidR="00510801" w:rsidRPr="00D35015" w:rsidRDefault="00510801" w:rsidP="00510801">
            <w:pPr>
              <w:widowControl/>
              <w:spacing w:after="0" w:line="240" w:lineRule="auto"/>
              <w:ind w:firstLine="0"/>
              <w:contextualSpacing w:val="0"/>
              <w:jc w:val="center"/>
              <w:rPr>
                <w:rFonts w:eastAsia="Times New Roman"/>
                <w:b/>
                <w:sz w:val="15"/>
                <w:szCs w:val="15"/>
                <w:vertAlign w:val="subscript"/>
              </w:rPr>
            </w:pPr>
            <w:r w:rsidRPr="009F6960">
              <w:rPr>
                <w:rFonts w:eastAsia="Times New Roman"/>
                <w:b/>
                <w:sz w:val="15"/>
                <w:szCs w:val="15"/>
              </w:rPr>
              <w:t>Kom</w:t>
            </w:r>
            <w:r>
              <w:rPr>
                <w:rFonts w:eastAsia="Times New Roman"/>
                <w:b/>
                <w:sz w:val="15"/>
                <w:szCs w:val="15"/>
              </w:rPr>
              <w:t>p</w:t>
            </w:r>
            <w:r>
              <w:rPr>
                <w:rFonts w:eastAsia="Times New Roman"/>
                <w:b/>
                <w:sz w:val="15"/>
                <w:szCs w:val="15"/>
                <w:vertAlign w:val="subscript"/>
              </w:rPr>
              <w:t>1</w:t>
            </w:r>
          </w:p>
        </w:tc>
        <w:tc>
          <w:tcPr>
            <w:tcW w:w="667" w:type="dxa"/>
            <w:tcBorders>
              <w:top w:val="single" w:sz="12" w:space="0" w:color="auto"/>
              <w:bottom w:val="single" w:sz="12" w:space="0" w:color="auto"/>
            </w:tcBorders>
            <w:shd w:val="clear" w:color="auto" w:fill="D9D9D9" w:themeFill="background1" w:themeFillShade="D9"/>
            <w:noWrap/>
            <w:vAlign w:val="center"/>
            <w:hideMark/>
          </w:tcPr>
          <w:p w:rsidR="00510801" w:rsidRPr="00D35015" w:rsidRDefault="00510801" w:rsidP="00510801">
            <w:pPr>
              <w:widowControl/>
              <w:spacing w:after="0" w:line="240" w:lineRule="auto"/>
              <w:ind w:firstLine="0"/>
              <w:contextualSpacing w:val="0"/>
              <w:jc w:val="center"/>
              <w:rPr>
                <w:rFonts w:eastAsia="Times New Roman"/>
                <w:b/>
                <w:sz w:val="15"/>
                <w:szCs w:val="15"/>
                <w:vertAlign w:val="subscript"/>
              </w:rPr>
            </w:pPr>
            <w:r w:rsidRPr="009F6960">
              <w:rPr>
                <w:rFonts w:eastAsia="Times New Roman"/>
                <w:b/>
                <w:sz w:val="15"/>
                <w:szCs w:val="15"/>
              </w:rPr>
              <w:t>Komp</w:t>
            </w:r>
            <w:r>
              <w:rPr>
                <w:rFonts w:eastAsia="Times New Roman"/>
                <w:b/>
                <w:sz w:val="15"/>
                <w:szCs w:val="15"/>
                <w:vertAlign w:val="subscript"/>
              </w:rPr>
              <w:t>2</w:t>
            </w:r>
          </w:p>
        </w:tc>
        <w:tc>
          <w:tcPr>
            <w:tcW w:w="667" w:type="dxa"/>
            <w:tcBorders>
              <w:top w:val="single" w:sz="12" w:space="0" w:color="auto"/>
              <w:bottom w:val="single" w:sz="12" w:space="0" w:color="auto"/>
            </w:tcBorders>
            <w:shd w:val="clear" w:color="auto" w:fill="D9D9D9" w:themeFill="background1" w:themeFillShade="D9"/>
            <w:noWrap/>
            <w:vAlign w:val="center"/>
            <w:hideMark/>
          </w:tcPr>
          <w:p w:rsidR="00510801" w:rsidRPr="00D35015" w:rsidRDefault="00510801" w:rsidP="00510801">
            <w:pPr>
              <w:widowControl/>
              <w:spacing w:after="0" w:line="240" w:lineRule="auto"/>
              <w:ind w:firstLine="0"/>
              <w:contextualSpacing w:val="0"/>
              <w:jc w:val="center"/>
              <w:rPr>
                <w:rFonts w:eastAsia="Times New Roman"/>
                <w:b/>
                <w:sz w:val="15"/>
                <w:szCs w:val="15"/>
                <w:vertAlign w:val="subscript"/>
              </w:rPr>
            </w:pPr>
            <w:r w:rsidRPr="009F6960">
              <w:rPr>
                <w:rFonts w:eastAsia="Times New Roman"/>
                <w:b/>
                <w:sz w:val="15"/>
                <w:szCs w:val="15"/>
              </w:rPr>
              <w:t>Komp</w:t>
            </w:r>
            <w:r>
              <w:rPr>
                <w:rFonts w:eastAsia="Times New Roman"/>
                <w:b/>
                <w:sz w:val="15"/>
                <w:szCs w:val="15"/>
                <w:vertAlign w:val="subscript"/>
              </w:rPr>
              <w:t>3</w:t>
            </w:r>
          </w:p>
        </w:tc>
        <w:tc>
          <w:tcPr>
            <w:tcW w:w="833" w:type="dxa"/>
            <w:tcBorders>
              <w:top w:val="single" w:sz="12" w:space="0" w:color="auto"/>
              <w:bottom w:val="single" w:sz="12" w:space="0" w:color="auto"/>
            </w:tcBorders>
            <w:shd w:val="clear" w:color="auto" w:fill="D9D9D9" w:themeFill="background1" w:themeFillShade="D9"/>
            <w:noWrap/>
            <w:vAlign w:val="center"/>
            <w:hideMark/>
          </w:tcPr>
          <w:p w:rsidR="00510801" w:rsidRPr="0061123E" w:rsidRDefault="00510801" w:rsidP="00510801">
            <w:pPr>
              <w:widowControl/>
              <w:spacing w:after="0" w:line="240" w:lineRule="auto"/>
              <w:ind w:firstLine="0"/>
              <w:contextualSpacing w:val="0"/>
              <w:jc w:val="center"/>
              <w:rPr>
                <w:rFonts w:eastAsia="Times New Roman"/>
                <w:b/>
                <w:sz w:val="15"/>
                <w:szCs w:val="15"/>
              </w:rPr>
            </w:pPr>
            <w:r w:rsidRPr="0061123E">
              <w:rPr>
                <w:rFonts w:eastAsia="Times New Roman"/>
                <w:b/>
                <w:sz w:val="15"/>
                <w:szCs w:val="15"/>
              </w:rPr>
              <w:t>Parama vaikams</w:t>
            </w:r>
          </w:p>
        </w:tc>
        <w:tc>
          <w:tcPr>
            <w:tcW w:w="920" w:type="dxa"/>
            <w:tcBorders>
              <w:top w:val="single" w:sz="12" w:space="0" w:color="auto"/>
              <w:bottom w:val="single" w:sz="12" w:space="0" w:color="auto"/>
            </w:tcBorders>
            <w:shd w:val="clear" w:color="auto" w:fill="D9D9D9" w:themeFill="background1" w:themeFillShade="D9"/>
            <w:noWrap/>
            <w:vAlign w:val="center"/>
            <w:hideMark/>
          </w:tcPr>
          <w:p w:rsidR="00510801" w:rsidRPr="0061123E" w:rsidRDefault="00510801" w:rsidP="00510801">
            <w:pPr>
              <w:widowControl/>
              <w:spacing w:after="0" w:line="240" w:lineRule="auto"/>
              <w:ind w:firstLine="0"/>
              <w:contextualSpacing w:val="0"/>
              <w:jc w:val="center"/>
              <w:rPr>
                <w:rFonts w:eastAsia="Times New Roman"/>
                <w:b/>
                <w:sz w:val="15"/>
                <w:szCs w:val="15"/>
              </w:rPr>
            </w:pPr>
            <w:r w:rsidRPr="0061123E">
              <w:rPr>
                <w:rFonts w:eastAsia="Times New Roman"/>
                <w:b/>
                <w:sz w:val="15"/>
                <w:szCs w:val="15"/>
              </w:rPr>
              <w:t>Išlaikymas</w:t>
            </w:r>
          </w:p>
        </w:tc>
        <w:tc>
          <w:tcPr>
            <w:tcW w:w="946" w:type="dxa"/>
            <w:tcBorders>
              <w:top w:val="single" w:sz="12" w:space="0" w:color="auto"/>
              <w:bottom w:val="single" w:sz="12" w:space="0" w:color="auto"/>
            </w:tcBorders>
            <w:shd w:val="clear" w:color="auto" w:fill="D9D9D9" w:themeFill="background1" w:themeFillShade="D9"/>
            <w:noWrap/>
            <w:vAlign w:val="center"/>
            <w:hideMark/>
          </w:tcPr>
          <w:p w:rsidR="00510801" w:rsidRPr="0061123E" w:rsidRDefault="00510801" w:rsidP="00510801">
            <w:pPr>
              <w:widowControl/>
              <w:spacing w:after="0" w:line="240" w:lineRule="auto"/>
              <w:ind w:firstLine="0"/>
              <w:contextualSpacing w:val="0"/>
              <w:jc w:val="center"/>
              <w:rPr>
                <w:rFonts w:eastAsia="Times New Roman"/>
                <w:b/>
                <w:bCs/>
                <w:sz w:val="15"/>
                <w:szCs w:val="15"/>
              </w:rPr>
            </w:pPr>
            <w:r>
              <w:rPr>
                <w:rFonts w:eastAsia="Times New Roman"/>
                <w:b/>
                <w:bCs/>
                <w:sz w:val="15"/>
                <w:szCs w:val="15"/>
              </w:rPr>
              <w:t>GEROVĖ</w:t>
            </w:r>
            <w:r w:rsidRPr="0061123E">
              <w:rPr>
                <w:rFonts w:eastAsia="Times New Roman"/>
                <w:b/>
                <w:bCs/>
                <w:sz w:val="15"/>
                <w:szCs w:val="15"/>
              </w:rPr>
              <w:t>:</w:t>
            </w:r>
          </w:p>
        </w:tc>
        <w:tc>
          <w:tcPr>
            <w:tcW w:w="946" w:type="dxa"/>
            <w:tcBorders>
              <w:top w:val="single" w:sz="12" w:space="0" w:color="auto"/>
              <w:bottom w:val="single" w:sz="12" w:space="0" w:color="auto"/>
            </w:tcBorders>
            <w:shd w:val="clear" w:color="auto" w:fill="D9D9D9" w:themeFill="background1" w:themeFillShade="D9"/>
            <w:noWrap/>
            <w:vAlign w:val="center"/>
            <w:hideMark/>
          </w:tcPr>
          <w:p w:rsidR="00510801" w:rsidRPr="0061123E" w:rsidRDefault="00510801" w:rsidP="00510801">
            <w:pPr>
              <w:widowControl/>
              <w:spacing w:after="0" w:line="240" w:lineRule="auto"/>
              <w:ind w:firstLine="0"/>
              <w:contextualSpacing w:val="0"/>
              <w:jc w:val="center"/>
              <w:rPr>
                <w:rFonts w:eastAsia="Times New Roman"/>
                <w:b/>
                <w:bCs/>
                <w:sz w:val="15"/>
                <w:szCs w:val="15"/>
              </w:rPr>
            </w:pPr>
            <w:r w:rsidRPr="0061123E">
              <w:rPr>
                <w:rFonts w:eastAsia="Times New Roman"/>
                <w:b/>
                <w:bCs/>
                <w:sz w:val="15"/>
                <w:szCs w:val="15"/>
              </w:rPr>
              <w:t>Vienam asmeniui:</w:t>
            </w:r>
          </w:p>
        </w:tc>
      </w:tr>
      <w:tr w:rsidR="00510801" w:rsidRPr="0061123E" w:rsidTr="00510801">
        <w:trPr>
          <w:trHeight w:val="195"/>
        </w:trPr>
        <w:tc>
          <w:tcPr>
            <w:tcW w:w="400" w:type="dxa"/>
            <w:vMerge w:val="restart"/>
            <w:tcBorders>
              <w:top w:val="single" w:sz="12" w:space="0" w:color="auto"/>
              <w:bottom w:val="single" w:sz="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r>
              <w:rPr>
                <w:rFonts w:eastAsia="Times New Roman"/>
                <w:b/>
                <w:sz w:val="15"/>
                <w:szCs w:val="15"/>
              </w:rPr>
              <w:t>2</w:t>
            </w:r>
          </w:p>
        </w:tc>
        <w:tc>
          <w:tcPr>
            <w:tcW w:w="1850" w:type="dxa"/>
            <w:tcBorders>
              <w:top w:val="single" w:sz="1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left"/>
              <w:rPr>
                <w:rFonts w:eastAsia="Times New Roman"/>
                <w:sz w:val="15"/>
                <w:szCs w:val="15"/>
                <w:lang w:val="en-US"/>
              </w:rPr>
            </w:pPr>
            <w:r w:rsidRPr="00855CDE">
              <w:rPr>
                <w:rFonts w:eastAsia="Times New Roman"/>
                <w:sz w:val="15"/>
                <w:szCs w:val="15"/>
              </w:rPr>
              <w:t>2 D, 75 %</w:t>
            </w:r>
          </w:p>
        </w:tc>
        <w:tc>
          <w:tcPr>
            <w:tcW w:w="1051" w:type="dxa"/>
            <w:tcBorders>
              <w:top w:val="single" w:sz="1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570 + 570</w:t>
            </w:r>
          </w:p>
        </w:tc>
        <w:tc>
          <w:tcPr>
            <w:tcW w:w="824" w:type="dxa"/>
            <w:tcBorders>
              <w:top w:val="single" w:sz="1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470 / 0</w:t>
            </w:r>
          </w:p>
        </w:tc>
        <w:tc>
          <w:tcPr>
            <w:tcW w:w="824" w:type="dxa"/>
            <w:tcBorders>
              <w:top w:val="single" w:sz="1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30</w:t>
            </w:r>
          </w:p>
        </w:tc>
        <w:tc>
          <w:tcPr>
            <w:tcW w:w="826" w:type="dxa"/>
            <w:tcBorders>
              <w:top w:val="single" w:sz="1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102</w:t>
            </w:r>
          </w:p>
        </w:tc>
        <w:tc>
          <w:tcPr>
            <w:tcW w:w="946" w:type="dxa"/>
            <w:tcBorders>
              <w:top w:val="single" w:sz="1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1 008</w:t>
            </w:r>
          </w:p>
        </w:tc>
        <w:tc>
          <w:tcPr>
            <w:tcW w:w="945" w:type="dxa"/>
            <w:tcBorders>
              <w:top w:val="single" w:sz="1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667" w:type="dxa"/>
            <w:tcBorders>
              <w:top w:val="single" w:sz="1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433</w:t>
            </w:r>
          </w:p>
        </w:tc>
        <w:tc>
          <w:tcPr>
            <w:tcW w:w="667" w:type="dxa"/>
            <w:tcBorders>
              <w:top w:val="single" w:sz="1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3</w:t>
            </w:r>
          </w:p>
        </w:tc>
        <w:tc>
          <w:tcPr>
            <w:tcW w:w="667" w:type="dxa"/>
            <w:tcBorders>
              <w:top w:val="single" w:sz="1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833" w:type="dxa"/>
            <w:tcBorders>
              <w:top w:val="single" w:sz="1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920" w:type="dxa"/>
            <w:tcBorders>
              <w:top w:val="single" w:sz="1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946" w:type="dxa"/>
            <w:tcBorders>
              <w:top w:val="single" w:sz="1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b/>
                <w:bCs/>
                <w:sz w:val="15"/>
                <w:szCs w:val="15"/>
              </w:rPr>
            </w:pPr>
            <w:r>
              <w:rPr>
                <w:rFonts w:eastAsia="Times New Roman"/>
                <w:b/>
                <w:bCs/>
                <w:sz w:val="15"/>
                <w:szCs w:val="15"/>
              </w:rPr>
              <w:t>1 444</w:t>
            </w:r>
          </w:p>
        </w:tc>
        <w:tc>
          <w:tcPr>
            <w:tcW w:w="946" w:type="dxa"/>
            <w:tcBorders>
              <w:top w:val="single" w:sz="1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b/>
                <w:bCs/>
                <w:sz w:val="15"/>
                <w:szCs w:val="15"/>
              </w:rPr>
            </w:pPr>
            <w:r>
              <w:rPr>
                <w:rFonts w:eastAsia="Times New Roman"/>
                <w:b/>
                <w:bCs/>
                <w:sz w:val="15"/>
                <w:szCs w:val="15"/>
              </w:rPr>
              <w:t>722</w:t>
            </w:r>
          </w:p>
        </w:tc>
      </w:tr>
      <w:tr w:rsidR="00510801" w:rsidRPr="0061123E" w:rsidTr="00510801">
        <w:trPr>
          <w:trHeight w:val="195"/>
        </w:trPr>
        <w:tc>
          <w:tcPr>
            <w:tcW w:w="400" w:type="dxa"/>
            <w:vMerge/>
            <w:tcBorders>
              <w:top w:val="single" w:sz="2" w:space="0" w:color="auto"/>
              <w:bottom w:val="single" w:sz="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p>
        </w:tc>
        <w:tc>
          <w:tcPr>
            <w:tcW w:w="1850" w:type="dxa"/>
            <w:tcBorders>
              <w:top w:val="single" w:sz="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left"/>
              <w:rPr>
                <w:rFonts w:eastAsia="Times New Roman"/>
                <w:sz w:val="15"/>
                <w:szCs w:val="15"/>
              </w:rPr>
            </w:pPr>
            <w:r w:rsidRPr="00855CDE">
              <w:rPr>
                <w:rFonts w:eastAsia="Times New Roman"/>
                <w:sz w:val="15"/>
                <w:szCs w:val="15"/>
              </w:rPr>
              <w:t>2 D, 100 %</w:t>
            </w:r>
          </w:p>
        </w:tc>
        <w:tc>
          <w:tcPr>
            <w:tcW w:w="1051" w:type="dxa"/>
            <w:tcBorders>
              <w:top w:val="single" w:sz="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850 + 850</w:t>
            </w:r>
          </w:p>
        </w:tc>
        <w:tc>
          <w:tcPr>
            <w:tcW w:w="824" w:type="dxa"/>
            <w:tcBorders>
              <w:top w:val="single" w:sz="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460 / 0</w:t>
            </w:r>
          </w:p>
        </w:tc>
        <w:tc>
          <w:tcPr>
            <w:tcW w:w="824" w:type="dxa"/>
            <w:tcBorders>
              <w:top w:val="single" w:sz="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118</w:t>
            </w:r>
          </w:p>
        </w:tc>
        <w:tc>
          <w:tcPr>
            <w:tcW w:w="826" w:type="dxa"/>
            <w:tcBorders>
              <w:top w:val="single" w:sz="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154</w:t>
            </w:r>
          </w:p>
        </w:tc>
        <w:tc>
          <w:tcPr>
            <w:tcW w:w="946" w:type="dxa"/>
            <w:tcBorders>
              <w:top w:val="single" w:sz="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1 428</w:t>
            </w:r>
          </w:p>
        </w:tc>
        <w:tc>
          <w:tcPr>
            <w:tcW w:w="945" w:type="dxa"/>
            <w:tcBorders>
              <w:top w:val="single" w:sz="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667" w:type="dxa"/>
            <w:tcBorders>
              <w:top w:val="single" w:sz="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349</w:t>
            </w:r>
          </w:p>
        </w:tc>
        <w:tc>
          <w:tcPr>
            <w:tcW w:w="667" w:type="dxa"/>
            <w:tcBorders>
              <w:top w:val="single" w:sz="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667" w:type="dxa"/>
            <w:tcBorders>
              <w:top w:val="single" w:sz="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833" w:type="dxa"/>
            <w:tcBorders>
              <w:top w:val="single" w:sz="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920" w:type="dxa"/>
            <w:tcBorders>
              <w:top w:val="single" w:sz="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946" w:type="dxa"/>
            <w:tcBorders>
              <w:top w:val="single" w:sz="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b/>
                <w:bCs/>
                <w:sz w:val="15"/>
                <w:szCs w:val="15"/>
              </w:rPr>
            </w:pPr>
            <w:r>
              <w:rPr>
                <w:rFonts w:eastAsia="Times New Roman"/>
                <w:b/>
                <w:bCs/>
                <w:sz w:val="15"/>
                <w:szCs w:val="15"/>
              </w:rPr>
              <w:t>1 777</w:t>
            </w:r>
          </w:p>
        </w:tc>
        <w:tc>
          <w:tcPr>
            <w:tcW w:w="946" w:type="dxa"/>
            <w:tcBorders>
              <w:top w:val="single" w:sz="2" w:space="0" w:color="auto"/>
              <w:bottom w:val="single" w:sz="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b/>
                <w:bCs/>
                <w:sz w:val="15"/>
                <w:szCs w:val="15"/>
              </w:rPr>
            </w:pPr>
            <w:r>
              <w:rPr>
                <w:rFonts w:eastAsia="Times New Roman"/>
                <w:b/>
                <w:bCs/>
                <w:sz w:val="15"/>
                <w:szCs w:val="15"/>
              </w:rPr>
              <w:t>889</w:t>
            </w:r>
          </w:p>
        </w:tc>
      </w:tr>
      <w:tr w:rsidR="00510801" w:rsidRPr="0061123E" w:rsidTr="00510801">
        <w:trPr>
          <w:trHeight w:val="195"/>
        </w:trPr>
        <w:tc>
          <w:tcPr>
            <w:tcW w:w="400" w:type="dxa"/>
            <w:vMerge/>
            <w:tcBorders>
              <w:top w:val="single" w:sz="2" w:space="0" w:color="auto"/>
              <w:bottom w:val="single" w:sz="1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p>
        </w:tc>
        <w:tc>
          <w:tcPr>
            <w:tcW w:w="1850" w:type="dxa"/>
            <w:tcBorders>
              <w:top w:val="single" w:sz="2" w:space="0" w:color="auto"/>
              <w:bottom w:val="single" w:sz="1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left"/>
              <w:rPr>
                <w:rFonts w:eastAsia="Times New Roman"/>
                <w:sz w:val="15"/>
                <w:szCs w:val="15"/>
              </w:rPr>
            </w:pPr>
            <w:r w:rsidRPr="00855CDE">
              <w:rPr>
                <w:rFonts w:eastAsia="Times New Roman"/>
                <w:sz w:val="15"/>
                <w:szCs w:val="15"/>
              </w:rPr>
              <w:t>2 D, 100 %</w:t>
            </w:r>
          </w:p>
        </w:tc>
        <w:tc>
          <w:tcPr>
            <w:tcW w:w="1051" w:type="dxa"/>
            <w:tcBorders>
              <w:top w:val="single" w:sz="2" w:space="0" w:color="auto"/>
              <w:bottom w:val="single" w:sz="1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1 100 + 1 100</w:t>
            </w:r>
          </w:p>
        </w:tc>
        <w:tc>
          <w:tcPr>
            <w:tcW w:w="824" w:type="dxa"/>
            <w:tcBorders>
              <w:top w:val="single" w:sz="2" w:space="0" w:color="auto"/>
              <w:bottom w:val="single" w:sz="1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410 / 0</w:t>
            </w:r>
          </w:p>
        </w:tc>
        <w:tc>
          <w:tcPr>
            <w:tcW w:w="824" w:type="dxa"/>
            <w:tcBorders>
              <w:top w:val="single" w:sz="2" w:space="0" w:color="auto"/>
              <w:bottom w:val="single" w:sz="1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208</w:t>
            </w:r>
          </w:p>
        </w:tc>
        <w:tc>
          <w:tcPr>
            <w:tcW w:w="826" w:type="dxa"/>
            <w:tcBorders>
              <w:top w:val="single" w:sz="2" w:space="0" w:color="auto"/>
              <w:bottom w:val="single" w:sz="1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198</w:t>
            </w:r>
          </w:p>
        </w:tc>
        <w:tc>
          <w:tcPr>
            <w:tcW w:w="946" w:type="dxa"/>
            <w:tcBorders>
              <w:top w:val="single" w:sz="2" w:space="0" w:color="auto"/>
              <w:bottom w:val="single" w:sz="1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1 794</w:t>
            </w:r>
          </w:p>
        </w:tc>
        <w:tc>
          <w:tcPr>
            <w:tcW w:w="945" w:type="dxa"/>
            <w:tcBorders>
              <w:top w:val="single" w:sz="2" w:space="0" w:color="auto"/>
              <w:bottom w:val="single" w:sz="1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667" w:type="dxa"/>
            <w:tcBorders>
              <w:top w:val="single" w:sz="2" w:space="0" w:color="auto"/>
              <w:bottom w:val="single" w:sz="1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276</w:t>
            </w:r>
          </w:p>
        </w:tc>
        <w:tc>
          <w:tcPr>
            <w:tcW w:w="667" w:type="dxa"/>
            <w:tcBorders>
              <w:top w:val="single" w:sz="2" w:space="0" w:color="auto"/>
              <w:bottom w:val="single" w:sz="1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667" w:type="dxa"/>
            <w:tcBorders>
              <w:top w:val="single" w:sz="2" w:space="0" w:color="auto"/>
              <w:bottom w:val="single" w:sz="1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833" w:type="dxa"/>
            <w:tcBorders>
              <w:top w:val="single" w:sz="2" w:space="0" w:color="auto"/>
              <w:bottom w:val="single" w:sz="1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920" w:type="dxa"/>
            <w:tcBorders>
              <w:top w:val="single" w:sz="2" w:space="0" w:color="auto"/>
              <w:bottom w:val="single" w:sz="1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946" w:type="dxa"/>
            <w:tcBorders>
              <w:top w:val="single" w:sz="2" w:space="0" w:color="auto"/>
              <w:bottom w:val="single" w:sz="1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b/>
                <w:bCs/>
                <w:sz w:val="15"/>
                <w:szCs w:val="15"/>
              </w:rPr>
            </w:pPr>
            <w:r>
              <w:rPr>
                <w:rFonts w:eastAsia="Times New Roman"/>
                <w:b/>
                <w:bCs/>
                <w:sz w:val="15"/>
                <w:szCs w:val="15"/>
              </w:rPr>
              <w:t>2 070</w:t>
            </w:r>
          </w:p>
        </w:tc>
        <w:tc>
          <w:tcPr>
            <w:tcW w:w="946" w:type="dxa"/>
            <w:tcBorders>
              <w:top w:val="single" w:sz="2" w:space="0" w:color="auto"/>
              <w:bottom w:val="single" w:sz="12" w:space="0" w:color="auto"/>
            </w:tcBorders>
            <w:shd w:val="clear" w:color="auto" w:fill="CCC0D9" w:themeFill="accent4" w:themeFillTint="66"/>
            <w:noWrap/>
            <w:vAlign w:val="center"/>
            <w:hideMark/>
          </w:tcPr>
          <w:p w:rsidR="00510801" w:rsidRPr="00855CDE" w:rsidRDefault="00510801" w:rsidP="00510801">
            <w:pPr>
              <w:widowControl/>
              <w:spacing w:after="0" w:line="240" w:lineRule="auto"/>
              <w:ind w:firstLine="0"/>
              <w:contextualSpacing w:val="0"/>
              <w:jc w:val="center"/>
              <w:rPr>
                <w:rFonts w:eastAsia="Times New Roman"/>
                <w:b/>
                <w:bCs/>
                <w:sz w:val="15"/>
                <w:szCs w:val="15"/>
              </w:rPr>
            </w:pPr>
            <w:r>
              <w:rPr>
                <w:rFonts w:eastAsia="Times New Roman"/>
                <w:b/>
                <w:bCs/>
                <w:sz w:val="15"/>
                <w:szCs w:val="15"/>
              </w:rPr>
              <w:t>1 035</w:t>
            </w:r>
          </w:p>
        </w:tc>
      </w:tr>
      <w:tr w:rsidR="00510801" w:rsidRPr="009F03F7" w:rsidTr="00510801">
        <w:trPr>
          <w:trHeight w:val="195"/>
        </w:trPr>
        <w:tc>
          <w:tcPr>
            <w:tcW w:w="400" w:type="dxa"/>
            <w:vMerge w:val="restart"/>
            <w:tcBorders>
              <w:top w:val="single" w:sz="12" w:space="0" w:color="auto"/>
              <w:bottom w:val="single" w:sz="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r w:rsidRPr="00BB5925">
              <w:rPr>
                <w:rFonts w:eastAsia="Times New Roman"/>
                <w:b/>
                <w:sz w:val="15"/>
                <w:szCs w:val="15"/>
              </w:rPr>
              <w:t>3</w:t>
            </w:r>
          </w:p>
        </w:tc>
        <w:tc>
          <w:tcPr>
            <w:tcW w:w="1850" w:type="dxa"/>
            <w:tcBorders>
              <w:top w:val="single" w:sz="12" w:space="0" w:color="auto"/>
              <w:bottom w:val="single" w:sz="2" w:space="0" w:color="auto"/>
            </w:tcBorders>
            <w:shd w:val="clear" w:color="auto" w:fill="FBD4B4" w:themeFill="accent6" w:themeFillTint="66"/>
            <w:noWrap/>
            <w:vAlign w:val="center"/>
            <w:hideMark/>
          </w:tcPr>
          <w:p w:rsidR="00510801" w:rsidRPr="003645DB" w:rsidRDefault="00510801" w:rsidP="00510801">
            <w:pPr>
              <w:widowControl/>
              <w:spacing w:after="0" w:line="240" w:lineRule="auto"/>
              <w:ind w:firstLine="0"/>
              <w:contextualSpacing w:val="0"/>
              <w:jc w:val="left"/>
              <w:rPr>
                <w:rFonts w:eastAsia="Times New Roman"/>
                <w:sz w:val="15"/>
                <w:szCs w:val="15"/>
                <w:lang w:val="en-US"/>
              </w:rPr>
            </w:pPr>
            <w:r>
              <w:rPr>
                <w:rFonts w:eastAsia="Times New Roman"/>
                <w:sz w:val="15"/>
                <w:szCs w:val="15"/>
              </w:rPr>
              <w:t>2 D + 1 V</w:t>
            </w:r>
            <w:r w:rsidRPr="009F03F7">
              <w:rPr>
                <w:rFonts w:eastAsia="Times New Roman"/>
                <w:sz w:val="15"/>
                <w:szCs w:val="15"/>
              </w:rPr>
              <w:t xml:space="preserve">, </w:t>
            </w:r>
            <w:r>
              <w:rPr>
                <w:rFonts w:eastAsia="Times New Roman"/>
                <w:sz w:val="15"/>
                <w:szCs w:val="15"/>
              </w:rPr>
              <w:t>75 %</w:t>
            </w:r>
          </w:p>
        </w:tc>
        <w:tc>
          <w:tcPr>
            <w:tcW w:w="1051" w:type="dxa"/>
            <w:tcBorders>
              <w:top w:val="single" w:sz="1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570 + 570</w:t>
            </w:r>
          </w:p>
        </w:tc>
        <w:tc>
          <w:tcPr>
            <w:tcW w:w="824" w:type="dxa"/>
            <w:tcBorders>
              <w:top w:val="single" w:sz="1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470 / 100</w:t>
            </w:r>
          </w:p>
        </w:tc>
        <w:tc>
          <w:tcPr>
            <w:tcW w:w="824" w:type="dxa"/>
            <w:tcBorders>
              <w:top w:val="single" w:sz="1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15</w:t>
            </w:r>
          </w:p>
        </w:tc>
        <w:tc>
          <w:tcPr>
            <w:tcW w:w="826" w:type="dxa"/>
            <w:tcBorders>
              <w:top w:val="single" w:sz="1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102</w:t>
            </w:r>
          </w:p>
        </w:tc>
        <w:tc>
          <w:tcPr>
            <w:tcW w:w="946" w:type="dxa"/>
            <w:tcBorders>
              <w:top w:val="single" w:sz="1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 </w:t>
            </w:r>
            <w:r w:rsidRPr="009F03F7">
              <w:rPr>
                <w:rFonts w:eastAsia="Times New Roman"/>
                <w:sz w:val="15"/>
                <w:szCs w:val="15"/>
              </w:rPr>
              <w:t>023</w:t>
            </w:r>
          </w:p>
        </w:tc>
        <w:tc>
          <w:tcPr>
            <w:tcW w:w="945" w:type="dxa"/>
            <w:tcBorders>
              <w:top w:val="single" w:sz="1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 xml:space="preserve">0 / </w:t>
            </w:r>
            <w:r w:rsidRPr="009F03F7">
              <w:rPr>
                <w:rFonts w:eastAsia="Times New Roman"/>
                <w:sz w:val="15"/>
                <w:szCs w:val="15"/>
              </w:rPr>
              <w:t>2</w:t>
            </w:r>
            <w:r>
              <w:rPr>
                <w:rFonts w:eastAsia="Times New Roman"/>
                <w:sz w:val="15"/>
                <w:szCs w:val="15"/>
              </w:rPr>
              <w:t>2</w:t>
            </w:r>
          </w:p>
        </w:tc>
        <w:tc>
          <w:tcPr>
            <w:tcW w:w="667" w:type="dxa"/>
            <w:tcBorders>
              <w:top w:val="single" w:sz="1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495</w:t>
            </w:r>
          </w:p>
        </w:tc>
        <w:tc>
          <w:tcPr>
            <w:tcW w:w="667" w:type="dxa"/>
            <w:tcBorders>
              <w:top w:val="single" w:sz="1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2</w:t>
            </w:r>
          </w:p>
        </w:tc>
        <w:tc>
          <w:tcPr>
            <w:tcW w:w="667" w:type="dxa"/>
            <w:tcBorders>
              <w:top w:val="single" w:sz="1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833" w:type="dxa"/>
            <w:tcBorders>
              <w:top w:val="single" w:sz="1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93</w:t>
            </w:r>
          </w:p>
        </w:tc>
        <w:tc>
          <w:tcPr>
            <w:tcW w:w="920" w:type="dxa"/>
            <w:tcBorders>
              <w:top w:val="single" w:sz="1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946" w:type="dxa"/>
            <w:tcBorders>
              <w:top w:val="single" w:sz="1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b/>
                <w:bCs/>
                <w:sz w:val="15"/>
                <w:szCs w:val="15"/>
              </w:rPr>
            </w:pPr>
            <w:r w:rsidRPr="009F03F7">
              <w:rPr>
                <w:rFonts w:eastAsia="Times New Roman"/>
                <w:b/>
                <w:bCs/>
                <w:sz w:val="15"/>
                <w:szCs w:val="15"/>
              </w:rPr>
              <w:t>1</w:t>
            </w:r>
            <w:r>
              <w:rPr>
                <w:rFonts w:eastAsia="Times New Roman"/>
                <w:b/>
                <w:bCs/>
                <w:sz w:val="15"/>
                <w:szCs w:val="15"/>
              </w:rPr>
              <w:t xml:space="preserve"> 645</w:t>
            </w:r>
          </w:p>
        </w:tc>
        <w:tc>
          <w:tcPr>
            <w:tcW w:w="946" w:type="dxa"/>
            <w:tcBorders>
              <w:top w:val="single" w:sz="1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b/>
                <w:bCs/>
                <w:sz w:val="15"/>
                <w:szCs w:val="15"/>
              </w:rPr>
            </w:pPr>
            <w:r>
              <w:rPr>
                <w:rFonts w:eastAsia="Times New Roman"/>
                <w:b/>
                <w:bCs/>
                <w:sz w:val="15"/>
                <w:szCs w:val="15"/>
              </w:rPr>
              <w:t>548</w:t>
            </w:r>
          </w:p>
        </w:tc>
      </w:tr>
      <w:tr w:rsidR="00510801" w:rsidRPr="009F03F7" w:rsidTr="00510801">
        <w:trPr>
          <w:trHeight w:val="195"/>
        </w:trPr>
        <w:tc>
          <w:tcPr>
            <w:tcW w:w="400" w:type="dxa"/>
            <w:vMerge/>
            <w:tcBorders>
              <w:top w:val="single" w:sz="2" w:space="0" w:color="auto"/>
              <w:bottom w:val="single" w:sz="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p>
        </w:tc>
        <w:tc>
          <w:tcPr>
            <w:tcW w:w="1850" w:type="dxa"/>
            <w:tcBorders>
              <w:top w:val="single" w:sz="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left"/>
              <w:rPr>
                <w:rFonts w:eastAsia="Times New Roman"/>
                <w:sz w:val="15"/>
                <w:szCs w:val="15"/>
              </w:rPr>
            </w:pPr>
            <w:r>
              <w:rPr>
                <w:rFonts w:eastAsia="Times New Roman"/>
                <w:sz w:val="15"/>
                <w:szCs w:val="15"/>
              </w:rPr>
              <w:t>2 D + 1 V</w:t>
            </w:r>
            <w:r w:rsidRPr="009F03F7">
              <w:rPr>
                <w:rFonts w:eastAsia="Times New Roman"/>
                <w:sz w:val="15"/>
                <w:szCs w:val="15"/>
              </w:rPr>
              <w:t xml:space="preserve">, </w:t>
            </w:r>
            <w:r>
              <w:rPr>
                <w:rFonts w:eastAsia="Times New Roman"/>
                <w:sz w:val="15"/>
                <w:szCs w:val="15"/>
              </w:rPr>
              <w:t>100 %</w:t>
            </w:r>
          </w:p>
        </w:tc>
        <w:tc>
          <w:tcPr>
            <w:tcW w:w="1051" w:type="dxa"/>
            <w:tcBorders>
              <w:top w:val="single" w:sz="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850 + 850</w:t>
            </w:r>
          </w:p>
        </w:tc>
        <w:tc>
          <w:tcPr>
            <w:tcW w:w="824" w:type="dxa"/>
            <w:tcBorders>
              <w:top w:val="single" w:sz="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460 / 100</w:t>
            </w:r>
          </w:p>
        </w:tc>
        <w:tc>
          <w:tcPr>
            <w:tcW w:w="824" w:type="dxa"/>
            <w:tcBorders>
              <w:top w:val="single" w:sz="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103</w:t>
            </w:r>
          </w:p>
        </w:tc>
        <w:tc>
          <w:tcPr>
            <w:tcW w:w="826" w:type="dxa"/>
            <w:tcBorders>
              <w:top w:val="single" w:sz="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154</w:t>
            </w:r>
          </w:p>
        </w:tc>
        <w:tc>
          <w:tcPr>
            <w:tcW w:w="946" w:type="dxa"/>
            <w:tcBorders>
              <w:top w:val="single" w:sz="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 </w:t>
            </w:r>
            <w:r w:rsidRPr="009F03F7">
              <w:rPr>
                <w:rFonts w:eastAsia="Times New Roman"/>
                <w:sz w:val="15"/>
                <w:szCs w:val="15"/>
              </w:rPr>
              <w:t>443</w:t>
            </w:r>
          </w:p>
        </w:tc>
        <w:tc>
          <w:tcPr>
            <w:tcW w:w="945" w:type="dxa"/>
            <w:tcBorders>
              <w:top w:val="single" w:sz="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tcBorders>
              <w:top w:val="single" w:sz="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416</w:t>
            </w:r>
          </w:p>
        </w:tc>
        <w:tc>
          <w:tcPr>
            <w:tcW w:w="667" w:type="dxa"/>
            <w:tcBorders>
              <w:top w:val="single" w:sz="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tcBorders>
              <w:top w:val="single" w:sz="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833" w:type="dxa"/>
            <w:tcBorders>
              <w:top w:val="single" w:sz="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93</w:t>
            </w:r>
          </w:p>
        </w:tc>
        <w:tc>
          <w:tcPr>
            <w:tcW w:w="920" w:type="dxa"/>
            <w:tcBorders>
              <w:top w:val="single" w:sz="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946" w:type="dxa"/>
            <w:tcBorders>
              <w:top w:val="single" w:sz="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b/>
                <w:bCs/>
                <w:sz w:val="15"/>
                <w:szCs w:val="15"/>
              </w:rPr>
            </w:pPr>
            <w:r w:rsidRPr="009F03F7">
              <w:rPr>
                <w:rFonts w:eastAsia="Times New Roman"/>
                <w:b/>
                <w:bCs/>
                <w:sz w:val="15"/>
                <w:szCs w:val="15"/>
              </w:rPr>
              <w:t>1</w:t>
            </w:r>
            <w:r>
              <w:rPr>
                <w:rFonts w:eastAsia="Times New Roman"/>
                <w:b/>
                <w:bCs/>
                <w:sz w:val="15"/>
                <w:szCs w:val="15"/>
              </w:rPr>
              <w:t xml:space="preserve"> 952</w:t>
            </w:r>
          </w:p>
        </w:tc>
        <w:tc>
          <w:tcPr>
            <w:tcW w:w="946" w:type="dxa"/>
            <w:tcBorders>
              <w:top w:val="single" w:sz="2" w:space="0" w:color="auto"/>
              <w:bottom w:val="single" w:sz="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b/>
                <w:bCs/>
                <w:sz w:val="15"/>
                <w:szCs w:val="15"/>
              </w:rPr>
            </w:pPr>
            <w:r>
              <w:rPr>
                <w:rFonts w:eastAsia="Times New Roman"/>
                <w:b/>
                <w:bCs/>
                <w:sz w:val="15"/>
                <w:szCs w:val="15"/>
              </w:rPr>
              <w:t>651</w:t>
            </w:r>
          </w:p>
        </w:tc>
      </w:tr>
      <w:tr w:rsidR="00510801" w:rsidRPr="009F03F7" w:rsidTr="00510801">
        <w:trPr>
          <w:trHeight w:val="195"/>
        </w:trPr>
        <w:tc>
          <w:tcPr>
            <w:tcW w:w="400" w:type="dxa"/>
            <w:vMerge/>
            <w:tcBorders>
              <w:top w:val="single" w:sz="2" w:space="0" w:color="auto"/>
              <w:bottom w:val="single" w:sz="1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p>
        </w:tc>
        <w:tc>
          <w:tcPr>
            <w:tcW w:w="1850" w:type="dxa"/>
            <w:tcBorders>
              <w:top w:val="single" w:sz="2" w:space="0" w:color="auto"/>
              <w:bottom w:val="single" w:sz="1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left"/>
              <w:rPr>
                <w:rFonts w:eastAsia="Times New Roman"/>
                <w:sz w:val="15"/>
                <w:szCs w:val="15"/>
              </w:rPr>
            </w:pPr>
            <w:r>
              <w:rPr>
                <w:rFonts w:eastAsia="Times New Roman"/>
                <w:sz w:val="15"/>
                <w:szCs w:val="15"/>
              </w:rPr>
              <w:t>2 D + 1 V</w:t>
            </w:r>
            <w:r w:rsidRPr="009F03F7">
              <w:rPr>
                <w:rFonts w:eastAsia="Times New Roman"/>
                <w:sz w:val="15"/>
                <w:szCs w:val="15"/>
              </w:rPr>
              <w:t xml:space="preserve">, </w:t>
            </w:r>
            <w:r>
              <w:rPr>
                <w:rFonts w:eastAsia="Times New Roman"/>
                <w:sz w:val="15"/>
                <w:szCs w:val="15"/>
              </w:rPr>
              <w:t>100 %</w:t>
            </w:r>
          </w:p>
        </w:tc>
        <w:tc>
          <w:tcPr>
            <w:tcW w:w="1051" w:type="dxa"/>
            <w:tcBorders>
              <w:top w:val="single" w:sz="2" w:space="0" w:color="auto"/>
              <w:bottom w:val="single" w:sz="1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1 100 + 1 100</w:t>
            </w:r>
          </w:p>
        </w:tc>
        <w:tc>
          <w:tcPr>
            <w:tcW w:w="824" w:type="dxa"/>
            <w:tcBorders>
              <w:top w:val="single" w:sz="2" w:space="0" w:color="auto"/>
              <w:bottom w:val="single" w:sz="1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410 / 100</w:t>
            </w:r>
          </w:p>
        </w:tc>
        <w:tc>
          <w:tcPr>
            <w:tcW w:w="824" w:type="dxa"/>
            <w:tcBorders>
              <w:top w:val="single" w:sz="2" w:space="0" w:color="auto"/>
              <w:bottom w:val="single" w:sz="1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193</w:t>
            </w:r>
          </w:p>
        </w:tc>
        <w:tc>
          <w:tcPr>
            <w:tcW w:w="826" w:type="dxa"/>
            <w:tcBorders>
              <w:top w:val="single" w:sz="2" w:space="0" w:color="auto"/>
              <w:bottom w:val="single" w:sz="1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198</w:t>
            </w:r>
          </w:p>
        </w:tc>
        <w:tc>
          <w:tcPr>
            <w:tcW w:w="946" w:type="dxa"/>
            <w:tcBorders>
              <w:top w:val="single" w:sz="2" w:space="0" w:color="auto"/>
              <w:bottom w:val="single" w:sz="1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 </w:t>
            </w:r>
            <w:r w:rsidRPr="009F03F7">
              <w:rPr>
                <w:rFonts w:eastAsia="Times New Roman"/>
                <w:sz w:val="15"/>
                <w:szCs w:val="15"/>
              </w:rPr>
              <w:t>809</w:t>
            </w:r>
          </w:p>
        </w:tc>
        <w:tc>
          <w:tcPr>
            <w:tcW w:w="945" w:type="dxa"/>
            <w:tcBorders>
              <w:top w:val="single" w:sz="2" w:space="0" w:color="auto"/>
              <w:bottom w:val="single" w:sz="1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tcBorders>
              <w:top w:val="single" w:sz="2" w:space="0" w:color="auto"/>
              <w:bottom w:val="single" w:sz="1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343</w:t>
            </w:r>
          </w:p>
        </w:tc>
        <w:tc>
          <w:tcPr>
            <w:tcW w:w="667" w:type="dxa"/>
            <w:tcBorders>
              <w:top w:val="single" w:sz="2" w:space="0" w:color="auto"/>
              <w:bottom w:val="single" w:sz="1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tcBorders>
              <w:top w:val="single" w:sz="2" w:space="0" w:color="auto"/>
              <w:bottom w:val="single" w:sz="1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833" w:type="dxa"/>
            <w:tcBorders>
              <w:top w:val="single" w:sz="2" w:space="0" w:color="auto"/>
              <w:bottom w:val="single" w:sz="1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920" w:type="dxa"/>
            <w:tcBorders>
              <w:top w:val="single" w:sz="2" w:space="0" w:color="auto"/>
              <w:bottom w:val="single" w:sz="1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946" w:type="dxa"/>
            <w:tcBorders>
              <w:top w:val="single" w:sz="2" w:space="0" w:color="auto"/>
              <w:bottom w:val="single" w:sz="1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b/>
                <w:bCs/>
                <w:sz w:val="15"/>
                <w:szCs w:val="15"/>
              </w:rPr>
            </w:pPr>
            <w:r w:rsidRPr="009F03F7">
              <w:rPr>
                <w:rFonts w:eastAsia="Times New Roman"/>
                <w:b/>
                <w:bCs/>
                <w:sz w:val="15"/>
                <w:szCs w:val="15"/>
              </w:rPr>
              <w:t>2</w:t>
            </w:r>
            <w:r>
              <w:rPr>
                <w:rFonts w:eastAsia="Times New Roman"/>
                <w:b/>
                <w:bCs/>
                <w:sz w:val="15"/>
                <w:szCs w:val="15"/>
              </w:rPr>
              <w:t xml:space="preserve"> </w:t>
            </w:r>
            <w:r w:rsidRPr="009F03F7">
              <w:rPr>
                <w:rFonts w:eastAsia="Times New Roman"/>
                <w:b/>
                <w:bCs/>
                <w:sz w:val="15"/>
                <w:szCs w:val="15"/>
              </w:rPr>
              <w:t>152</w:t>
            </w:r>
          </w:p>
        </w:tc>
        <w:tc>
          <w:tcPr>
            <w:tcW w:w="946" w:type="dxa"/>
            <w:tcBorders>
              <w:top w:val="single" w:sz="2" w:space="0" w:color="auto"/>
              <w:bottom w:val="single" w:sz="12" w:space="0" w:color="auto"/>
            </w:tcBorders>
            <w:shd w:val="clear" w:color="auto" w:fill="FBD4B4" w:themeFill="accent6"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b/>
                <w:bCs/>
                <w:sz w:val="15"/>
                <w:szCs w:val="15"/>
              </w:rPr>
            </w:pPr>
            <w:r w:rsidRPr="009F03F7">
              <w:rPr>
                <w:rFonts w:eastAsia="Times New Roman"/>
                <w:b/>
                <w:bCs/>
                <w:sz w:val="15"/>
                <w:szCs w:val="15"/>
              </w:rPr>
              <w:t>717</w:t>
            </w:r>
          </w:p>
        </w:tc>
      </w:tr>
      <w:tr w:rsidR="00510801" w:rsidRPr="009F03F7" w:rsidTr="00510801">
        <w:trPr>
          <w:trHeight w:val="195"/>
        </w:trPr>
        <w:tc>
          <w:tcPr>
            <w:tcW w:w="400" w:type="dxa"/>
            <w:vMerge w:val="restart"/>
            <w:tcBorders>
              <w:top w:val="single" w:sz="12" w:space="0" w:color="auto"/>
              <w:bottom w:val="single" w:sz="2" w:space="0" w:color="auto"/>
            </w:tcBorders>
            <w:shd w:val="clear" w:color="auto" w:fill="D9D9D9" w:themeFill="background1" w:themeFillShade="D9"/>
            <w:vAlign w:val="center"/>
          </w:tcPr>
          <w:p w:rsidR="00510801" w:rsidRPr="00BB5925" w:rsidRDefault="00510801" w:rsidP="00510801">
            <w:pPr>
              <w:widowControl/>
              <w:spacing w:after="0" w:line="240" w:lineRule="auto"/>
              <w:ind w:firstLine="0"/>
              <w:contextualSpacing w:val="0"/>
              <w:jc w:val="center"/>
              <w:rPr>
                <w:rFonts w:eastAsia="Times New Roman"/>
                <w:b/>
                <w:sz w:val="15"/>
                <w:szCs w:val="15"/>
              </w:rPr>
            </w:pPr>
            <w:r w:rsidRPr="00BB5925">
              <w:rPr>
                <w:rFonts w:eastAsia="Times New Roman"/>
                <w:b/>
                <w:sz w:val="15"/>
                <w:szCs w:val="15"/>
              </w:rPr>
              <w:t>4</w:t>
            </w:r>
          </w:p>
        </w:tc>
        <w:tc>
          <w:tcPr>
            <w:tcW w:w="1850" w:type="dxa"/>
            <w:tcBorders>
              <w:top w:val="single" w:sz="1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left"/>
              <w:rPr>
                <w:rFonts w:eastAsia="Times New Roman"/>
                <w:sz w:val="15"/>
                <w:szCs w:val="15"/>
              </w:rPr>
            </w:pPr>
            <w:r>
              <w:rPr>
                <w:rFonts w:eastAsia="Times New Roman"/>
                <w:sz w:val="15"/>
                <w:szCs w:val="15"/>
              </w:rPr>
              <w:t>2 D + 2 V</w:t>
            </w:r>
            <w:r w:rsidRPr="009F03F7">
              <w:rPr>
                <w:rFonts w:eastAsia="Times New Roman"/>
                <w:sz w:val="15"/>
                <w:szCs w:val="15"/>
              </w:rPr>
              <w:t xml:space="preserve">, </w:t>
            </w:r>
            <w:r>
              <w:rPr>
                <w:rFonts w:eastAsia="Times New Roman"/>
                <w:sz w:val="15"/>
                <w:szCs w:val="15"/>
              </w:rPr>
              <w:t>75 %</w:t>
            </w:r>
          </w:p>
        </w:tc>
        <w:tc>
          <w:tcPr>
            <w:tcW w:w="1051" w:type="dxa"/>
            <w:tcBorders>
              <w:top w:val="single" w:sz="1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570 + 570</w:t>
            </w:r>
          </w:p>
        </w:tc>
        <w:tc>
          <w:tcPr>
            <w:tcW w:w="824" w:type="dxa"/>
            <w:tcBorders>
              <w:top w:val="single" w:sz="1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470 / 300</w:t>
            </w:r>
          </w:p>
        </w:tc>
        <w:tc>
          <w:tcPr>
            <w:tcW w:w="824" w:type="dxa"/>
            <w:tcBorders>
              <w:top w:val="single" w:sz="1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15</w:t>
            </w:r>
          </w:p>
        </w:tc>
        <w:tc>
          <w:tcPr>
            <w:tcW w:w="826" w:type="dxa"/>
            <w:tcBorders>
              <w:top w:val="single" w:sz="1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102</w:t>
            </w:r>
          </w:p>
        </w:tc>
        <w:tc>
          <w:tcPr>
            <w:tcW w:w="946" w:type="dxa"/>
            <w:tcBorders>
              <w:top w:val="single" w:sz="1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 </w:t>
            </w:r>
            <w:r w:rsidRPr="009F03F7">
              <w:rPr>
                <w:rFonts w:eastAsia="Times New Roman"/>
                <w:sz w:val="15"/>
                <w:szCs w:val="15"/>
              </w:rPr>
              <w:t>023</w:t>
            </w:r>
          </w:p>
        </w:tc>
        <w:tc>
          <w:tcPr>
            <w:tcW w:w="945" w:type="dxa"/>
            <w:tcBorders>
              <w:top w:val="single" w:sz="1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 xml:space="preserve">0 / </w:t>
            </w:r>
            <w:r w:rsidRPr="009F03F7">
              <w:rPr>
                <w:rFonts w:eastAsia="Times New Roman"/>
                <w:sz w:val="15"/>
                <w:szCs w:val="15"/>
              </w:rPr>
              <w:t>301</w:t>
            </w:r>
          </w:p>
        </w:tc>
        <w:tc>
          <w:tcPr>
            <w:tcW w:w="667" w:type="dxa"/>
            <w:tcBorders>
              <w:top w:val="single" w:sz="1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495</w:t>
            </w:r>
          </w:p>
        </w:tc>
        <w:tc>
          <w:tcPr>
            <w:tcW w:w="667" w:type="dxa"/>
            <w:tcBorders>
              <w:top w:val="single" w:sz="1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8</w:t>
            </w:r>
          </w:p>
        </w:tc>
        <w:tc>
          <w:tcPr>
            <w:tcW w:w="667" w:type="dxa"/>
            <w:tcBorders>
              <w:top w:val="single" w:sz="1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833" w:type="dxa"/>
            <w:tcBorders>
              <w:top w:val="single" w:sz="1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20" w:type="dxa"/>
            <w:tcBorders>
              <w:top w:val="single" w:sz="1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946" w:type="dxa"/>
            <w:tcBorders>
              <w:top w:val="single" w:sz="12" w:space="0" w:color="auto"/>
              <w:bottom w:val="single" w:sz="2" w:space="0" w:color="auto"/>
            </w:tcBorders>
            <w:shd w:val="clear" w:color="auto" w:fill="B6DDE8" w:themeFill="accent5" w:themeFillTint="66"/>
            <w:noWrap/>
            <w:vAlign w:val="center"/>
            <w:hideMark/>
          </w:tcPr>
          <w:p w:rsidR="00510801" w:rsidRPr="00D42C65" w:rsidRDefault="00510801" w:rsidP="00510801">
            <w:pPr>
              <w:widowControl/>
              <w:spacing w:after="0" w:line="240" w:lineRule="auto"/>
              <w:ind w:firstLine="0"/>
              <w:contextualSpacing w:val="0"/>
              <w:jc w:val="center"/>
              <w:rPr>
                <w:rFonts w:eastAsia="Times New Roman"/>
                <w:b/>
                <w:bCs/>
                <w:sz w:val="15"/>
                <w:szCs w:val="15"/>
              </w:rPr>
            </w:pPr>
            <w:r w:rsidRPr="00D42C65">
              <w:rPr>
                <w:rFonts w:eastAsia="Times New Roman"/>
                <w:b/>
                <w:bCs/>
                <w:sz w:val="15"/>
                <w:szCs w:val="15"/>
              </w:rPr>
              <w:t>2 013</w:t>
            </w:r>
          </w:p>
        </w:tc>
        <w:tc>
          <w:tcPr>
            <w:tcW w:w="946" w:type="dxa"/>
            <w:tcBorders>
              <w:top w:val="single" w:sz="1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b/>
                <w:bCs/>
                <w:sz w:val="15"/>
                <w:szCs w:val="15"/>
              </w:rPr>
            </w:pPr>
            <w:r w:rsidRPr="009F03F7">
              <w:rPr>
                <w:rFonts w:eastAsia="Times New Roman"/>
                <w:b/>
                <w:bCs/>
                <w:sz w:val="15"/>
                <w:szCs w:val="15"/>
              </w:rPr>
              <w:t>5</w:t>
            </w:r>
            <w:r>
              <w:rPr>
                <w:rFonts w:eastAsia="Times New Roman"/>
                <w:b/>
                <w:bCs/>
                <w:sz w:val="15"/>
                <w:szCs w:val="15"/>
              </w:rPr>
              <w:t>03</w:t>
            </w:r>
          </w:p>
        </w:tc>
      </w:tr>
      <w:tr w:rsidR="00510801" w:rsidRPr="009F03F7" w:rsidTr="00510801">
        <w:trPr>
          <w:trHeight w:val="195"/>
        </w:trPr>
        <w:tc>
          <w:tcPr>
            <w:tcW w:w="400" w:type="dxa"/>
            <w:vMerge/>
            <w:tcBorders>
              <w:top w:val="single" w:sz="2" w:space="0" w:color="auto"/>
              <w:bottom w:val="single" w:sz="2" w:space="0" w:color="auto"/>
            </w:tcBorders>
            <w:shd w:val="clear" w:color="auto" w:fill="D9D9D9" w:themeFill="background1" w:themeFillShade="D9"/>
          </w:tcPr>
          <w:p w:rsidR="00510801" w:rsidRPr="00BB5925" w:rsidRDefault="00510801" w:rsidP="00510801">
            <w:pPr>
              <w:widowControl/>
              <w:spacing w:after="0" w:line="240" w:lineRule="auto"/>
              <w:ind w:firstLine="0"/>
              <w:contextualSpacing w:val="0"/>
              <w:jc w:val="left"/>
              <w:rPr>
                <w:rFonts w:eastAsia="Times New Roman"/>
                <w:b/>
                <w:sz w:val="15"/>
                <w:szCs w:val="15"/>
              </w:rPr>
            </w:pPr>
          </w:p>
        </w:tc>
        <w:tc>
          <w:tcPr>
            <w:tcW w:w="1850" w:type="dxa"/>
            <w:tcBorders>
              <w:top w:val="single" w:sz="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left"/>
              <w:rPr>
                <w:rFonts w:eastAsia="Times New Roman"/>
                <w:sz w:val="15"/>
                <w:szCs w:val="15"/>
              </w:rPr>
            </w:pPr>
            <w:r>
              <w:rPr>
                <w:rFonts w:eastAsia="Times New Roman"/>
                <w:sz w:val="15"/>
                <w:szCs w:val="15"/>
              </w:rPr>
              <w:t>2 D + 2 V</w:t>
            </w:r>
            <w:r w:rsidRPr="009F03F7">
              <w:rPr>
                <w:rFonts w:eastAsia="Times New Roman"/>
                <w:sz w:val="15"/>
                <w:szCs w:val="15"/>
              </w:rPr>
              <w:t xml:space="preserve">, </w:t>
            </w:r>
            <w:r>
              <w:rPr>
                <w:rFonts w:eastAsia="Times New Roman"/>
                <w:sz w:val="15"/>
                <w:szCs w:val="15"/>
              </w:rPr>
              <w:t>100 %</w:t>
            </w:r>
          </w:p>
        </w:tc>
        <w:tc>
          <w:tcPr>
            <w:tcW w:w="1051" w:type="dxa"/>
            <w:tcBorders>
              <w:top w:val="single" w:sz="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850 + 850</w:t>
            </w:r>
          </w:p>
        </w:tc>
        <w:tc>
          <w:tcPr>
            <w:tcW w:w="824" w:type="dxa"/>
            <w:tcBorders>
              <w:top w:val="single" w:sz="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460 / 300</w:t>
            </w:r>
          </w:p>
        </w:tc>
        <w:tc>
          <w:tcPr>
            <w:tcW w:w="824" w:type="dxa"/>
            <w:tcBorders>
              <w:top w:val="single" w:sz="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73</w:t>
            </w:r>
          </w:p>
        </w:tc>
        <w:tc>
          <w:tcPr>
            <w:tcW w:w="826" w:type="dxa"/>
            <w:tcBorders>
              <w:top w:val="single" w:sz="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154</w:t>
            </w:r>
          </w:p>
        </w:tc>
        <w:tc>
          <w:tcPr>
            <w:tcW w:w="946" w:type="dxa"/>
            <w:tcBorders>
              <w:top w:val="single" w:sz="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 </w:t>
            </w:r>
            <w:r w:rsidRPr="009F03F7">
              <w:rPr>
                <w:rFonts w:eastAsia="Times New Roman"/>
                <w:sz w:val="15"/>
                <w:szCs w:val="15"/>
              </w:rPr>
              <w:t>473</w:t>
            </w:r>
          </w:p>
        </w:tc>
        <w:tc>
          <w:tcPr>
            <w:tcW w:w="945" w:type="dxa"/>
            <w:tcBorders>
              <w:top w:val="single" w:sz="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tcBorders>
              <w:top w:val="single" w:sz="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480</w:t>
            </w:r>
          </w:p>
        </w:tc>
        <w:tc>
          <w:tcPr>
            <w:tcW w:w="667" w:type="dxa"/>
            <w:tcBorders>
              <w:top w:val="single" w:sz="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tcBorders>
              <w:top w:val="single" w:sz="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833" w:type="dxa"/>
            <w:tcBorders>
              <w:top w:val="single" w:sz="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20" w:type="dxa"/>
            <w:tcBorders>
              <w:top w:val="single" w:sz="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946" w:type="dxa"/>
            <w:tcBorders>
              <w:top w:val="single" w:sz="2" w:space="0" w:color="auto"/>
              <w:bottom w:val="single" w:sz="2" w:space="0" w:color="auto"/>
            </w:tcBorders>
            <w:shd w:val="clear" w:color="auto" w:fill="B6DDE8" w:themeFill="accent5" w:themeFillTint="66"/>
            <w:noWrap/>
            <w:vAlign w:val="center"/>
            <w:hideMark/>
          </w:tcPr>
          <w:p w:rsidR="00510801" w:rsidRPr="00D42C65" w:rsidRDefault="00510801" w:rsidP="00510801">
            <w:pPr>
              <w:widowControl/>
              <w:spacing w:after="0" w:line="240" w:lineRule="auto"/>
              <w:ind w:firstLine="0"/>
              <w:contextualSpacing w:val="0"/>
              <w:jc w:val="center"/>
              <w:rPr>
                <w:rFonts w:eastAsia="Times New Roman"/>
                <w:b/>
                <w:bCs/>
                <w:sz w:val="15"/>
                <w:szCs w:val="15"/>
              </w:rPr>
            </w:pPr>
            <w:r w:rsidRPr="00D42C65">
              <w:rPr>
                <w:rFonts w:eastAsia="Times New Roman"/>
                <w:b/>
                <w:bCs/>
                <w:sz w:val="15"/>
                <w:szCs w:val="15"/>
              </w:rPr>
              <w:t>2 139</w:t>
            </w:r>
          </w:p>
        </w:tc>
        <w:tc>
          <w:tcPr>
            <w:tcW w:w="946" w:type="dxa"/>
            <w:tcBorders>
              <w:top w:val="single" w:sz="2" w:space="0" w:color="auto"/>
              <w:bottom w:val="single" w:sz="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b/>
                <w:bCs/>
                <w:sz w:val="15"/>
                <w:szCs w:val="15"/>
              </w:rPr>
            </w:pPr>
            <w:r w:rsidRPr="009F03F7">
              <w:rPr>
                <w:rFonts w:eastAsia="Times New Roman"/>
                <w:b/>
                <w:bCs/>
                <w:sz w:val="15"/>
                <w:szCs w:val="15"/>
              </w:rPr>
              <w:t>5</w:t>
            </w:r>
            <w:r>
              <w:rPr>
                <w:rFonts w:eastAsia="Times New Roman"/>
                <w:b/>
                <w:bCs/>
                <w:sz w:val="15"/>
                <w:szCs w:val="15"/>
              </w:rPr>
              <w:t>35</w:t>
            </w:r>
          </w:p>
        </w:tc>
      </w:tr>
      <w:tr w:rsidR="00510801" w:rsidRPr="009F03F7" w:rsidTr="00510801">
        <w:trPr>
          <w:trHeight w:val="195"/>
        </w:trPr>
        <w:tc>
          <w:tcPr>
            <w:tcW w:w="400" w:type="dxa"/>
            <w:vMerge/>
            <w:tcBorders>
              <w:top w:val="single" w:sz="2" w:space="0" w:color="auto"/>
              <w:bottom w:val="single" w:sz="12" w:space="0" w:color="auto"/>
            </w:tcBorders>
            <w:shd w:val="clear" w:color="auto" w:fill="D9D9D9" w:themeFill="background1" w:themeFillShade="D9"/>
          </w:tcPr>
          <w:p w:rsidR="00510801" w:rsidRPr="00BB5925" w:rsidRDefault="00510801" w:rsidP="00510801">
            <w:pPr>
              <w:widowControl/>
              <w:spacing w:after="0" w:line="240" w:lineRule="auto"/>
              <w:ind w:firstLine="0"/>
              <w:contextualSpacing w:val="0"/>
              <w:jc w:val="left"/>
              <w:rPr>
                <w:rFonts w:eastAsia="Times New Roman"/>
                <w:b/>
                <w:sz w:val="15"/>
                <w:szCs w:val="15"/>
              </w:rPr>
            </w:pPr>
          </w:p>
        </w:tc>
        <w:tc>
          <w:tcPr>
            <w:tcW w:w="1850" w:type="dxa"/>
            <w:tcBorders>
              <w:top w:val="single" w:sz="2" w:space="0" w:color="auto"/>
              <w:bottom w:val="single" w:sz="1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left"/>
              <w:rPr>
                <w:rFonts w:eastAsia="Times New Roman"/>
                <w:sz w:val="15"/>
                <w:szCs w:val="15"/>
              </w:rPr>
            </w:pPr>
            <w:r>
              <w:rPr>
                <w:rFonts w:eastAsia="Times New Roman"/>
                <w:sz w:val="15"/>
                <w:szCs w:val="15"/>
              </w:rPr>
              <w:t>2 D + 2 V</w:t>
            </w:r>
            <w:r w:rsidRPr="009F03F7">
              <w:rPr>
                <w:rFonts w:eastAsia="Times New Roman"/>
                <w:sz w:val="15"/>
                <w:szCs w:val="15"/>
              </w:rPr>
              <w:t xml:space="preserve">, </w:t>
            </w:r>
            <w:r>
              <w:rPr>
                <w:rFonts w:eastAsia="Times New Roman"/>
                <w:sz w:val="15"/>
                <w:szCs w:val="15"/>
              </w:rPr>
              <w:t>100 %</w:t>
            </w:r>
          </w:p>
        </w:tc>
        <w:tc>
          <w:tcPr>
            <w:tcW w:w="1051" w:type="dxa"/>
            <w:tcBorders>
              <w:top w:val="single" w:sz="2" w:space="0" w:color="auto"/>
              <w:bottom w:val="single" w:sz="1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1 100 + 1 100</w:t>
            </w:r>
          </w:p>
        </w:tc>
        <w:tc>
          <w:tcPr>
            <w:tcW w:w="824" w:type="dxa"/>
            <w:tcBorders>
              <w:top w:val="single" w:sz="2" w:space="0" w:color="auto"/>
              <w:bottom w:val="single" w:sz="1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410 / 300</w:t>
            </w:r>
          </w:p>
        </w:tc>
        <w:tc>
          <w:tcPr>
            <w:tcW w:w="824" w:type="dxa"/>
            <w:tcBorders>
              <w:top w:val="single" w:sz="2" w:space="0" w:color="auto"/>
              <w:bottom w:val="single" w:sz="1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163</w:t>
            </w:r>
          </w:p>
        </w:tc>
        <w:tc>
          <w:tcPr>
            <w:tcW w:w="826" w:type="dxa"/>
            <w:tcBorders>
              <w:top w:val="single" w:sz="2" w:space="0" w:color="auto"/>
              <w:bottom w:val="single" w:sz="1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198</w:t>
            </w:r>
          </w:p>
        </w:tc>
        <w:tc>
          <w:tcPr>
            <w:tcW w:w="946" w:type="dxa"/>
            <w:tcBorders>
              <w:top w:val="single" w:sz="2" w:space="0" w:color="auto"/>
              <w:bottom w:val="single" w:sz="1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 </w:t>
            </w:r>
            <w:r w:rsidRPr="009F03F7">
              <w:rPr>
                <w:rFonts w:eastAsia="Times New Roman"/>
                <w:sz w:val="15"/>
                <w:szCs w:val="15"/>
              </w:rPr>
              <w:t>839</w:t>
            </w:r>
          </w:p>
        </w:tc>
        <w:tc>
          <w:tcPr>
            <w:tcW w:w="945" w:type="dxa"/>
            <w:tcBorders>
              <w:top w:val="single" w:sz="2" w:space="0" w:color="auto"/>
              <w:bottom w:val="single" w:sz="1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tcBorders>
              <w:top w:val="single" w:sz="2" w:space="0" w:color="auto"/>
              <w:bottom w:val="single" w:sz="1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407</w:t>
            </w:r>
          </w:p>
        </w:tc>
        <w:tc>
          <w:tcPr>
            <w:tcW w:w="667" w:type="dxa"/>
            <w:tcBorders>
              <w:top w:val="single" w:sz="2" w:space="0" w:color="auto"/>
              <w:bottom w:val="single" w:sz="1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tcBorders>
              <w:top w:val="single" w:sz="2" w:space="0" w:color="auto"/>
              <w:bottom w:val="single" w:sz="1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833" w:type="dxa"/>
            <w:tcBorders>
              <w:top w:val="single" w:sz="2" w:space="0" w:color="auto"/>
              <w:bottom w:val="single" w:sz="1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20" w:type="dxa"/>
            <w:tcBorders>
              <w:top w:val="single" w:sz="2" w:space="0" w:color="auto"/>
              <w:bottom w:val="single" w:sz="1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946" w:type="dxa"/>
            <w:tcBorders>
              <w:top w:val="single" w:sz="2" w:space="0" w:color="auto"/>
              <w:bottom w:val="single" w:sz="1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b/>
                <w:bCs/>
                <w:sz w:val="15"/>
                <w:szCs w:val="15"/>
              </w:rPr>
            </w:pPr>
            <w:r w:rsidRPr="009F03F7">
              <w:rPr>
                <w:rFonts w:eastAsia="Times New Roman"/>
                <w:b/>
                <w:bCs/>
                <w:sz w:val="15"/>
                <w:szCs w:val="15"/>
              </w:rPr>
              <w:t>2</w:t>
            </w:r>
            <w:r>
              <w:rPr>
                <w:rFonts w:eastAsia="Times New Roman"/>
                <w:b/>
                <w:bCs/>
                <w:sz w:val="15"/>
                <w:szCs w:val="15"/>
              </w:rPr>
              <w:t xml:space="preserve"> 432</w:t>
            </w:r>
          </w:p>
        </w:tc>
        <w:tc>
          <w:tcPr>
            <w:tcW w:w="946" w:type="dxa"/>
            <w:tcBorders>
              <w:top w:val="single" w:sz="2" w:space="0" w:color="auto"/>
              <w:bottom w:val="single" w:sz="12" w:space="0" w:color="auto"/>
            </w:tcBorders>
            <w:shd w:val="clear" w:color="auto" w:fill="B6DDE8" w:themeFill="accent5" w:themeFillTint="66"/>
            <w:noWrap/>
            <w:vAlign w:val="center"/>
            <w:hideMark/>
          </w:tcPr>
          <w:p w:rsidR="00510801" w:rsidRPr="009F03F7" w:rsidRDefault="00510801" w:rsidP="00510801">
            <w:pPr>
              <w:widowControl/>
              <w:spacing w:after="0" w:line="240" w:lineRule="auto"/>
              <w:ind w:firstLine="0"/>
              <w:contextualSpacing w:val="0"/>
              <w:jc w:val="center"/>
              <w:rPr>
                <w:rFonts w:eastAsia="Times New Roman"/>
                <w:b/>
                <w:bCs/>
                <w:sz w:val="15"/>
                <w:szCs w:val="15"/>
              </w:rPr>
            </w:pPr>
            <w:r w:rsidRPr="009F03F7">
              <w:rPr>
                <w:rFonts w:eastAsia="Times New Roman"/>
                <w:b/>
                <w:bCs/>
                <w:sz w:val="15"/>
                <w:szCs w:val="15"/>
              </w:rPr>
              <w:t>6</w:t>
            </w:r>
            <w:r>
              <w:rPr>
                <w:rFonts w:eastAsia="Times New Roman"/>
                <w:b/>
                <w:bCs/>
                <w:sz w:val="15"/>
                <w:szCs w:val="15"/>
              </w:rPr>
              <w:t>08</w:t>
            </w:r>
          </w:p>
        </w:tc>
      </w:tr>
      <w:tr w:rsidR="00510801" w:rsidRPr="00215953" w:rsidTr="00510801">
        <w:trPr>
          <w:trHeight w:val="195"/>
        </w:trPr>
        <w:tc>
          <w:tcPr>
            <w:tcW w:w="13312" w:type="dxa"/>
            <w:gridSpan w:val="15"/>
            <w:tcBorders>
              <w:top w:val="single" w:sz="12" w:space="0" w:color="auto"/>
              <w:left w:val="nil"/>
              <w:bottom w:val="single" w:sz="12" w:space="0" w:color="auto"/>
              <w:right w:val="nil"/>
            </w:tcBorders>
            <w:shd w:val="clear" w:color="auto" w:fill="auto"/>
          </w:tcPr>
          <w:p w:rsidR="00510801" w:rsidRPr="00215953" w:rsidRDefault="00510801" w:rsidP="00510801">
            <w:pPr>
              <w:spacing w:after="80" w:line="240" w:lineRule="auto"/>
              <w:ind w:firstLine="432"/>
              <w:contextualSpacing w:val="0"/>
              <w:rPr>
                <w:sz w:val="20"/>
              </w:rPr>
            </w:pPr>
            <w:r w:rsidRPr="00215953">
              <w:rPr>
                <w:b/>
                <w:sz w:val="20"/>
              </w:rPr>
              <w:t>Šaltinis</w:t>
            </w:r>
            <w:r w:rsidRPr="00215953">
              <w:rPr>
                <w:sz w:val="20"/>
              </w:rPr>
              <w:t>: sudaryta šio darbo autorės</w:t>
            </w:r>
          </w:p>
        </w:tc>
      </w:tr>
      <w:tr w:rsidR="00510801" w:rsidRPr="00345C4E" w:rsidTr="00510801">
        <w:trPr>
          <w:trHeight w:val="195"/>
        </w:trPr>
        <w:tc>
          <w:tcPr>
            <w:tcW w:w="13312" w:type="dxa"/>
            <w:gridSpan w:val="15"/>
            <w:tcBorders>
              <w:top w:val="single" w:sz="12" w:space="0" w:color="auto"/>
              <w:bottom w:val="single" w:sz="12" w:space="0" w:color="auto"/>
            </w:tcBorders>
            <w:shd w:val="clear" w:color="auto" w:fill="D9D9D9" w:themeFill="background1" w:themeFillShade="D9"/>
          </w:tcPr>
          <w:p w:rsidR="00510801" w:rsidRPr="00345C4E" w:rsidRDefault="00510801" w:rsidP="00510801">
            <w:pPr>
              <w:spacing w:before="40" w:after="0"/>
              <w:ind w:firstLine="0"/>
              <w:contextualSpacing w:val="0"/>
              <w:jc w:val="center"/>
              <w:rPr>
                <w:b/>
                <w:sz w:val="18"/>
                <w:szCs w:val="18"/>
              </w:rPr>
            </w:pPr>
            <w:r w:rsidRPr="00345C4E">
              <w:rPr>
                <w:b/>
                <w:sz w:val="18"/>
                <w:szCs w:val="18"/>
              </w:rPr>
              <w:t>ATLIKTŲ SKAIČIAVIMŲ PAAIŠKINIMAS</w:t>
            </w:r>
          </w:p>
          <w:p w:rsidR="00510801" w:rsidRPr="00345C4E" w:rsidRDefault="00510801" w:rsidP="00510801">
            <w:pPr>
              <w:rPr>
                <w:i/>
                <w:sz w:val="18"/>
                <w:szCs w:val="18"/>
              </w:rPr>
            </w:pPr>
            <w:r w:rsidRPr="00345C4E">
              <w:rPr>
                <w:i/>
                <w:sz w:val="18"/>
                <w:szCs w:val="18"/>
              </w:rPr>
              <w:t xml:space="preserve">Siekiant išsiaiškinti, kaip finansinė gerovė keičiasi, priklausomai nuo šeimos narių </w:t>
            </w:r>
            <w:r w:rsidRPr="00345C4E">
              <w:rPr>
                <w:b/>
                <w:i/>
                <w:sz w:val="18"/>
                <w:szCs w:val="18"/>
              </w:rPr>
              <w:t>aktyvumo laipsnio</w:t>
            </w:r>
            <w:r w:rsidRPr="00345C4E">
              <w:rPr>
                <w:i/>
                <w:sz w:val="18"/>
                <w:szCs w:val="18"/>
              </w:rPr>
              <w:t>, buvo apskaičiuoti finansinės gerovės rodikliai toms 2-jų, 3-jų ir 4-ių asmenų šeimoms (susidedančioms iš vieno arba abiejų tėvų ir vieno arba dviejų vaikų), kuriose dirba vienas (1 D) arba du (2 D) suaugę žmonės.</w:t>
            </w:r>
          </w:p>
          <w:p w:rsidR="00510801" w:rsidRPr="00345C4E" w:rsidRDefault="00510801" w:rsidP="00510801">
            <w:pPr>
              <w:rPr>
                <w:b/>
                <w:sz w:val="18"/>
                <w:szCs w:val="18"/>
              </w:rPr>
            </w:pPr>
            <w:r w:rsidRPr="00345C4E">
              <w:rPr>
                <w:b/>
                <w:i/>
                <w:sz w:val="18"/>
                <w:szCs w:val="18"/>
              </w:rPr>
              <w:t>Reikėtų akcentuoti, jog visi skaičiavimai buvo atlikti, naudojant tas pačias formules, kurios buvo aptartos 7 priede.</w:t>
            </w:r>
          </w:p>
          <w:p w:rsidR="00510801" w:rsidRPr="00345C4E" w:rsidRDefault="00510801" w:rsidP="00510801">
            <w:pPr>
              <w:rPr>
                <w:i/>
                <w:sz w:val="18"/>
                <w:szCs w:val="18"/>
              </w:rPr>
            </w:pPr>
            <w:r w:rsidRPr="00345C4E">
              <w:rPr>
                <w:i/>
                <w:sz w:val="18"/>
                <w:szCs w:val="18"/>
                <w:u w:val="single"/>
              </w:rPr>
              <w:t>Pagrindiniai skaičiavimams naudoti duomenys</w:t>
            </w:r>
            <w:r w:rsidRPr="00345C4E">
              <w:rPr>
                <w:i/>
                <w:sz w:val="18"/>
                <w:szCs w:val="18"/>
              </w:rPr>
              <w:t>:</w:t>
            </w:r>
          </w:p>
          <w:p w:rsidR="00510801" w:rsidRPr="00345C4E" w:rsidRDefault="00510801" w:rsidP="00510801">
            <w:pPr>
              <w:pStyle w:val="ListParagraph"/>
              <w:numPr>
                <w:ilvl w:val="0"/>
                <w:numId w:val="49"/>
              </w:numPr>
              <w:ind w:left="720" w:hanging="180"/>
              <w:rPr>
                <w:i/>
                <w:sz w:val="18"/>
                <w:szCs w:val="18"/>
              </w:rPr>
            </w:pPr>
            <w:r w:rsidRPr="00345C4E">
              <w:rPr>
                <w:i/>
                <w:sz w:val="18"/>
                <w:szCs w:val="18"/>
              </w:rPr>
              <w:t>šeimos būsto dydis – 45 m</w:t>
            </w:r>
            <w:r w:rsidRPr="00345C4E">
              <w:rPr>
                <w:i/>
                <w:sz w:val="18"/>
                <w:szCs w:val="18"/>
                <w:vertAlign w:val="superscript"/>
              </w:rPr>
              <w:t>2</w:t>
            </w:r>
            <w:r w:rsidRPr="00345C4E">
              <w:rPr>
                <w:i/>
                <w:sz w:val="18"/>
                <w:szCs w:val="18"/>
              </w:rPr>
              <w:t>;</w:t>
            </w:r>
          </w:p>
          <w:p w:rsidR="00510801" w:rsidRPr="00345C4E" w:rsidRDefault="00510801" w:rsidP="00510801">
            <w:pPr>
              <w:pStyle w:val="ListParagraph"/>
              <w:numPr>
                <w:ilvl w:val="0"/>
                <w:numId w:val="49"/>
              </w:numPr>
              <w:ind w:left="720" w:hanging="180"/>
              <w:rPr>
                <w:i/>
                <w:sz w:val="18"/>
                <w:szCs w:val="18"/>
              </w:rPr>
            </w:pPr>
            <w:r w:rsidRPr="00345C4E">
              <w:rPr>
                <w:i/>
                <w:sz w:val="18"/>
                <w:szCs w:val="18"/>
              </w:rPr>
              <w:t>būsto šildymo išlaidos – 495 Lt (45 m</w:t>
            </w:r>
            <w:r w:rsidRPr="00345C4E">
              <w:rPr>
                <w:i/>
                <w:sz w:val="18"/>
                <w:szCs w:val="18"/>
                <w:vertAlign w:val="superscript"/>
              </w:rPr>
              <w:t>2</w:t>
            </w:r>
            <w:r w:rsidRPr="00345C4E">
              <w:rPr>
                <w:i/>
                <w:sz w:val="18"/>
                <w:szCs w:val="18"/>
              </w:rPr>
              <w:t xml:space="preserve"> × 11 Lt / m</w:t>
            </w:r>
            <w:r w:rsidRPr="00345C4E">
              <w:rPr>
                <w:i/>
                <w:sz w:val="18"/>
                <w:szCs w:val="18"/>
                <w:vertAlign w:val="superscript"/>
              </w:rPr>
              <w:t>2</w:t>
            </w:r>
            <w:r w:rsidRPr="00345C4E">
              <w:rPr>
                <w:i/>
                <w:sz w:val="18"/>
                <w:szCs w:val="18"/>
              </w:rPr>
              <w:t>);</w:t>
            </w:r>
          </w:p>
          <w:p w:rsidR="00510801" w:rsidRPr="00345C4E" w:rsidRDefault="00510801" w:rsidP="00510801">
            <w:pPr>
              <w:pStyle w:val="ListParagraph"/>
              <w:numPr>
                <w:ilvl w:val="0"/>
                <w:numId w:val="49"/>
              </w:numPr>
              <w:ind w:left="720" w:hanging="180"/>
              <w:rPr>
                <w:i/>
                <w:sz w:val="18"/>
                <w:szCs w:val="18"/>
              </w:rPr>
            </w:pPr>
            <w:r w:rsidRPr="00345C4E">
              <w:rPr>
                <w:i/>
                <w:sz w:val="18"/>
                <w:szCs w:val="18"/>
              </w:rPr>
              <w:t>karšto vandens kaina – 21,2 Lt / m</w:t>
            </w:r>
            <w:r w:rsidRPr="00345C4E">
              <w:rPr>
                <w:i/>
                <w:sz w:val="18"/>
                <w:szCs w:val="18"/>
                <w:vertAlign w:val="superscript"/>
              </w:rPr>
              <w:t>3</w:t>
            </w:r>
            <w:r w:rsidRPr="00345C4E">
              <w:rPr>
                <w:i/>
                <w:sz w:val="18"/>
                <w:szCs w:val="18"/>
              </w:rPr>
              <w:t xml:space="preserve"> (kompensuojamos išlaidos: 2-jų asmenų šeimai – 53 Lt; 3-jų asmenų šeimai – 64 Lt; 4-ių asmenų šeimai – 74 Lt);</w:t>
            </w:r>
          </w:p>
          <w:p w:rsidR="00510801" w:rsidRPr="00345C4E" w:rsidRDefault="00510801" w:rsidP="00510801">
            <w:pPr>
              <w:pStyle w:val="ListParagraph"/>
              <w:numPr>
                <w:ilvl w:val="0"/>
                <w:numId w:val="49"/>
              </w:numPr>
              <w:ind w:left="720" w:hanging="180"/>
              <w:rPr>
                <w:i/>
                <w:sz w:val="18"/>
                <w:szCs w:val="18"/>
              </w:rPr>
            </w:pPr>
            <w:r w:rsidRPr="00345C4E">
              <w:rPr>
                <w:i/>
                <w:sz w:val="18"/>
                <w:szCs w:val="18"/>
              </w:rPr>
              <w:t>geriamojo vandens kaina – 4,37 Lt / m</w:t>
            </w:r>
            <w:r w:rsidRPr="00345C4E">
              <w:rPr>
                <w:i/>
                <w:sz w:val="18"/>
                <w:szCs w:val="18"/>
                <w:vertAlign w:val="superscript"/>
              </w:rPr>
              <w:t>3</w:t>
            </w:r>
            <w:r w:rsidRPr="00345C4E">
              <w:rPr>
                <w:i/>
                <w:sz w:val="18"/>
                <w:szCs w:val="18"/>
              </w:rPr>
              <w:t xml:space="preserve"> + 2,37 Lt / mėn. abonementinis mokestis (kompensuojamos išlaidos: 2-jų asmenų šeimai – 18 Lt; 3-jų asmenų šeimai – 22 Lt; 4-ių asmenų šeimai – 26 Lt);</w:t>
            </w:r>
          </w:p>
          <w:p w:rsidR="00510801" w:rsidRPr="00345C4E" w:rsidRDefault="00510801" w:rsidP="00510801">
            <w:pPr>
              <w:pStyle w:val="ListParagraph"/>
              <w:numPr>
                <w:ilvl w:val="0"/>
                <w:numId w:val="49"/>
              </w:numPr>
              <w:spacing w:line="240" w:lineRule="auto"/>
              <w:ind w:left="734" w:hanging="187"/>
              <w:rPr>
                <w:i/>
                <w:sz w:val="18"/>
                <w:szCs w:val="18"/>
              </w:rPr>
            </w:pPr>
            <w:r w:rsidRPr="00345C4E">
              <w:rPr>
                <w:i/>
                <w:sz w:val="18"/>
                <w:szCs w:val="18"/>
              </w:rPr>
              <w:t>pajamų riba vienam bendrai gyvenančiam asmeniui, norint gauti paramą vaikui – 525 Lt.</w:t>
            </w:r>
          </w:p>
        </w:tc>
      </w:tr>
    </w:tbl>
    <w:p w:rsidR="00D346BE" w:rsidRDefault="00D346BE" w:rsidP="00F6568D">
      <w:pPr>
        <w:sectPr w:rsidR="00D346BE" w:rsidSect="00510801">
          <w:pgSz w:w="15840" w:h="12240" w:orient="landscape"/>
          <w:pgMar w:top="1418" w:right="1134" w:bottom="567" w:left="1134" w:header="720" w:footer="720" w:gutter="0"/>
          <w:cols w:space="720"/>
          <w:docGrid w:linePitch="360"/>
        </w:sectPr>
      </w:pPr>
    </w:p>
    <w:p w:rsidR="00D25CE7" w:rsidRDefault="00D25CE7" w:rsidP="00D25CE7">
      <w:pPr>
        <w:ind w:firstLine="0"/>
        <w:jc w:val="center"/>
        <w:rPr>
          <w:b/>
        </w:rPr>
      </w:pPr>
      <w:r w:rsidRPr="00045D11">
        <w:rPr>
          <w:b/>
        </w:rPr>
        <w:lastRenderedPageBreak/>
        <w:t>ATLIKTŲ SKAIČIAVIMŲ APIBENDRINIMAS</w:t>
      </w:r>
    </w:p>
    <w:p w:rsidR="00D25CE7" w:rsidRDefault="00D25CE7" w:rsidP="00D25CE7">
      <w:r>
        <w:t xml:space="preserve">Atlikti skaičiavimai parodė, jog iš tų šeimų, kurias sudaro du asmenys ir </w:t>
      </w:r>
      <w:r w:rsidRPr="00676BA2">
        <w:rPr>
          <w:i/>
        </w:rPr>
        <w:t>kuriose yra vienas dirbantis žmogus</w:t>
      </w:r>
      <w:r>
        <w:t xml:space="preserve">, didesnė finansinė apsauga yra užtikrinama vienišų tėvų (su vienu vaiku) tipo šeimoms (rausvasis blokas): dirbdami 75 proc. maksimalios darbo trukmės, tokie namų ūkiai patiria 9 proc. didesnę finansinę gerovę negu taip pat dirbanti dviejų suaugusių asmenų pora; o gaudami 1 100 Lt bruto darbo užmokestį – net 15 proc. didesnę finansinę gerovę. Tą patį būtų galima pasakyti ir apie trijų asmenų šeimas, </w:t>
      </w:r>
      <w:r w:rsidRPr="0096110D">
        <w:t>kuriose yra aktyvus vienas žmogus</w:t>
      </w:r>
      <w:r>
        <w:t xml:space="preserve">: dirbant vienišam tėvui už 570 Lt bruto darbo užmokestį, finansinė šeimos gerovė tampa 8 proc. didesnė, palyginti su už tiek pat dirbančia šeima, kurią sudaro abu tėvai ir vienas vaikas; dirbant už 1 100 Lt bruto darbo užmokestį, finansinė gerovė vėlgi tampa didesnė vienišų tėvų tipo šeimose (14 proc.). Tai leidžia daryti išvadą, jog </w:t>
      </w:r>
      <w:r w:rsidRPr="00F344D9">
        <w:rPr>
          <w:b/>
          <w:i/>
        </w:rPr>
        <w:t>socialinė politika yra palankesnė vaikų turintiems namų ūkiams</w:t>
      </w:r>
      <w:r>
        <w:t>.</w:t>
      </w:r>
    </w:p>
    <w:p w:rsidR="00D25CE7" w:rsidRDefault="00D25CE7" w:rsidP="00D25CE7">
      <w:r>
        <w:t xml:space="preserve">Lyginant šeimas, kuriose aktyvus yra vienas individas, su šeimomis, kuriose aktyvūs yra du žmonės, paaiškėja, jog įsidarbinti antram suaugusiajam už minimalų, t. y. 850 Lt, atlygį finansiškai nenaudinga tampa toms šeimoms, kurias sudaro </w:t>
      </w:r>
      <w:r w:rsidRPr="00985EA7">
        <w:rPr>
          <w:i/>
        </w:rPr>
        <w:t>du suaugę asmenys ir du vaikai</w:t>
      </w:r>
      <w:r>
        <w:t xml:space="preserve">: nors finansinė gerovė padidėja apie 9 proc., atsižvelgus į tai, jog atsirastų papildomų išlaidų (transportas, drabužiai, pietūs darbe ir pan.), toks sprendimas tampa ne itin patrauklus. Šiek tiek kitokia situacija yra su namų ūkiais, kurie susideda iš dviejų suaugusiųjų ir vieno vaiko: čia įsidarbinus antram žmogui už minimalų atlyginimą, finansinė gerovė iškart padidėja 22 proc., – o tai atskleidžia, jog </w:t>
      </w:r>
      <w:r w:rsidRPr="007C01A8">
        <w:rPr>
          <w:b/>
          <w:i/>
        </w:rPr>
        <w:t>neaktyvumo „spąstai“ pavojingesni daugiavaikėms šeimoms</w:t>
      </w:r>
      <w:r>
        <w:t>.</w:t>
      </w:r>
    </w:p>
    <w:p w:rsidR="00D25CE7" w:rsidRDefault="00D25CE7" w:rsidP="00D25CE7">
      <w:pPr>
        <w:spacing w:after="0"/>
      </w:pPr>
      <w:r>
        <w:t xml:space="preserve">Galima teigti, jog šeimų, kuriose auga du vaikai, „galvoms“ tapti aktyvioms naudinga tik tuo atveju, kai siūlomas </w:t>
      </w:r>
      <w:r w:rsidRPr="006845F5">
        <w:rPr>
          <w:i/>
        </w:rPr>
        <w:t>daug didesnis</w:t>
      </w:r>
      <w:r>
        <w:t xml:space="preserve"> atlygis: socialinė apsauga garantuoja nedaug mažesnes pajamas už tas, kurias jie galėtų užsidirbti patys </w:t>
      </w:r>
      <w:r w:rsidRPr="00136C5F">
        <w:t>(dirbant vienam šeimos</w:t>
      </w:r>
      <w:r>
        <w:t xml:space="preserve"> nariui</w:t>
      </w:r>
      <w:r w:rsidRPr="00136C5F">
        <w:t xml:space="preserve">), </w:t>
      </w:r>
      <w:r>
        <w:t xml:space="preserve">todėl tai galėtų būti viena iš esminių priežasčių, kodėl žmonės neskuba įsidarbinti. Atkreiptinas dėmesys, jog skurdo „spąstų“ veiksnys aktualus ir nedarbo draudimo išmokas (NDI) gaunančių asmenų </w:t>
      </w:r>
      <w:r w:rsidRPr="00E35DC9">
        <w:t>šeimoms (žr. 2 lent.):</w:t>
      </w:r>
      <w:r>
        <w:t xml:space="preserve"> NDI siekiant po 650 Lt ir papildomai gaunant 81 Lt dydžio socialinę pašalpą, finansinė tokios šeimos gerovė tampa 150 Lt didesnė, nei </w:t>
      </w:r>
      <w:r w:rsidRPr="00A336E5">
        <w:rPr>
          <w:i/>
        </w:rPr>
        <w:t xml:space="preserve">dirbant vienam asmeniui </w:t>
      </w:r>
      <w:r>
        <w:t xml:space="preserve">už 570 Lt, bei 105 Lt didesnė, negu dirbant už 850 Lt. Tas pat pasakytina ir apie 3-jų asmenų šeimas: NDI siekiant 650 Lt, gaunant 118 Lt dydžio socialinę pašalpą bei vieno iš tėvų išlaikymą (260 Lt), finansinė tokios šeimos gerovė tampa 20 Lt didesnė, negu </w:t>
      </w:r>
      <w:r w:rsidRPr="00A336E5">
        <w:rPr>
          <w:i/>
        </w:rPr>
        <w:t>dirbant vienam asmeniui</w:t>
      </w:r>
      <w:r>
        <w:t xml:space="preserve"> už 570 Lt, ir tik 16 Lt mažesnė, negu dirbant už 850 Lt. Tai leidžia teigti, jog </w:t>
      </w:r>
      <w:r w:rsidRPr="001E0248">
        <w:rPr>
          <w:b/>
          <w:i/>
        </w:rPr>
        <w:t xml:space="preserve">bedarbiai nėra skatinami sugrįžti į darbo </w:t>
      </w:r>
      <w:r w:rsidRPr="00161CC4">
        <w:rPr>
          <w:b/>
          <w:i/>
        </w:rPr>
        <w:t>rinką anksčiau nei baigiasi išmokų mokėjimo terminas</w:t>
      </w:r>
      <w:r>
        <w:t>, kas vėliau gali sukurti papildomų problemų.</w:t>
      </w:r>
    </w:p>
    <w:p w:rsidR="00D25CE7" w:rsidRPr="00DD0EFC" w:rsidRDefault="00D25CE7" w:rsidP="00D25CE7">
      <w:pPr>
        <w:pStyle w:val="Caption"/>
      </w:pPr>
      <w:r w:rsidRPr="00E35DC9">
        <w:t>2 lentelė.</w:t>
      </w:r>
      <w:r>
        <w:t xml:space="preserve">  </w:t>
      </w:r>
      <w:r w:rsidRPr="003728BC">
        <w:t>Nedarbo draudimo išmokas ir / ar socialinę paramą gaunančių šeimų finansinė gerovė</w:t>
      </w: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tblPr>
      <w:tblGrid>
        <w:gridCol w:w="385"/>
        <w:gridCol w:w="2347"/>
        <w:gridCol w:w="933"/>
        <w:gridCol w:w="936"/>
        <w:gridCol w:w="936"/>
        <w:gridCol w:w="936"/>
        <w:gridCol w:w="936"/>
        <w:gridCol w:w="954"/>
        <w:gridCol w:w="963"/>
        <w:gridCol w:w="934"/>
      </w:tblGrid>
      <w:tr w:rsidR="00D25CE7" w:rsidRPr="00916C36" w:rsidTr="00D25CE7">
        <w:trPr>
          <w:trHeight w:val="195"/>
        </w:trPr>
        <w:tc>
          <w:tcPr>
            <w:tcW w:w="432"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rsidR="00D25CE7" w:rsidRPr="00916C36" w:rsidRDefault="00D25CE7" w:rsidP="00D25CE7">
            <w:pPr>
              <w:widowControl/>
              <w:spacing w:after="0" w:line="240" w:lineRule="auto"/>
              <w:ind w:firstLine="0"/>
              <w:contextualSpacing w:val="0"/>
              <w:jc w:val="center"/>
              <w:rPr>
                <w:rFonts w:eastAsia="Times New Roman"/>
                <w:b/>
                <w:sz w:val="16"/>
                <w:szCs w:val="16"/>
              </w:rPr>
            </w:pPr>
          </w:p>
        </w:tc>
        <w:tc>
          <w:tcPr>
            <w:tcW w:w="2347"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D25CE7" w:rsidRPr="00916C36" w:rsidRDefault="00D25CE7" w:rsidP="00D25CE7">
            <w:pPr>
              <w:widowControl/>
              <w:spacing w:after="0" w:line="240" w:lineRule="auto"/>
              <w:ind w:firstLine="0"/>
              <w:contextualSpacing w:val="0"/>
              <w:jc w:val="center"/>
              <w:rPr>
                <w:rFonts w:eastAsia="Times New Roman"/>
                <w:b/>
                <w:sz w:val="16"/>
                <w:szCs w:val="16"/>
              </w:rPr>
            </w:pPr>
            <w:r w:rsidRPr="00916C36">
              <w:rPr>
                <w:rFonts w:eastAsia="Times New Roman"/>
                <w:b/>
                <w:sz w:val="16"/>
                <w:szCs w:val="16"/>
              </w:rPr>
              <w:t>Šeimos tipas (visi neaktyvūs)</w:t>
            </w:r>
          </w:p>
        </w:tc>
        <w:tc>
          <w:tcPr>
            <w:tcW w:w="933"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D25CE7" w:rsidRPr="00916C36" w:rsidRDefault="00D25CE7" w:rsidP="00D25CE7">
            <w:pPr>
              <w:widowControl/>
              <w:spacing w:after="0" w:line="240" w:lineRule="auto"/>
              <w:ind w:firstLine="0"/>
              <w:contextualSpacing w:val="0"/>
              <w:jc w:val="center"/>
              <w:rPr>
                <w:rFonts w:eastAsia="Times New Roman"/>
                <w:b/>
                <w:sz w:val="16"/>
                <w:szCs w:val="16"/>
              </w:rPr>
            </w:pPr>
            <w:r w:rsidRPr="00916C36">
              <w:rPr>
                <w:rFonts w:eastAsia="Times New Roman"/>
                <w:b/>
                <w:sz w:val="16"/>
                <w:szCs w:val="16"/>
              </w:rPr>
              <w:t>NDI / SP</w:t>
            </w:r>
          </w:p>
        </w:tc>
        <w:tc>
          <w:tcPr>
            <w:tcW w:w="936"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D25CE7" w:rsidRPr="00916C36" w:rsidRDefault="00D25CE7" w:rsidP="00D25CE7">
            <w:pPr>
              <w:widowControl/>
              <w:spacing w:after="0" w:line="240" w:lineRule="auto"/>
              <w:ind w:firstLine="0"/>
              <w:contextualSpacing w:val="0"/>
              <w:jc w:val="center"/>
              <w:rPr>
                <w:rFonts w:eastAsia="Times New Roman"/>
                <w:b/>
                <w:sz w:val="16"/>
                <w:szCs w:val="16"/>
                <w:vertAlign w:val="subscript"/>
              </w:rPr>
            </w:pPr>
            <w:r w:rsidRPr="00916C36">
              <w:rPr>
                <w:rFonts w:eastAsia="Times New Roman"/>
                <w:b/>
                <w:sz w:val="16"/>
                <w:szCs w:val="16"/>
              </w:rPr>
              <w:t>Komp</w:t>
            </w:r>
            <w:r w:rsidRPr="00916C36">
              <w:rPr>
                <w:rFonts w:eastAsia="Times New Roman"/>
                <w:b/>
                <w:sz w:val="16"/>
                <w:szCs w:val="16"/>
                <w:vertAlign w:val="subscript"/>
              </w:rPr>
              <w:t>1</w:t>
            </w:r>
          </w:p>
        </w:tc>
        <w:tc>
          <w:tcPr>
            <w:tcW w:w="936"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D25CE7" w:rsidRPr="00916C36" w:rsidRDefault="00D25CE7" w:rsidP="00D25CE7">
            <w:pPr>
              <w:widowControl/>
              <w:spacing w:after="0" w:line="240" w:lineRule="auto"/>
              <w:ind w:firstLine="0"/>
              <w:contextualSpacing w:val="0"/>
              <w:jc w:val="center"/>
              <w:rPr>
                <w:rFonts w:eastAsia="Times New Roman"/>
                <w:b/>
                <w:sz w:val="16"/>
                <w:szCs w:val="16"/>
              </w:rPr>
            </w:pPr>
            <w:r w:rsidRPr="00916C36">
              <w:rPr>
                <w:rFonts w:eastAsia="Times New Roman"/>
                <w:b/>
                <w:sz w:val="16"/>
                <w:szCs w:val="16"/>
              </w:rPr>
              <w:t>Komp</w:t>
            </w:r>
            <w:r w:rsidRPr="00916C36">
              <w:rPr>
                <w:rFonts w:eastAsia="Times New Roman"/>
                <w:b/>
                <w:sz w:val="16"/>
                <w:szCs w:val="16"/>
                <w:vertAlign w:val="subscript"/>
              </w:rPr>
              <w:t>2</w:t>
            </w:r>
          </w:p>
        </w:tc>
        <w:tc>
          <w:tcPr>
            <w:tcW w:w="936"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D25CE7" w:rsidRPr="00916C36" w:rsidRDefault="00D25CE7" w:rsidP="00D25CE7">
            <w:pPr>
              <w:widowControl/>
              <w:spacing w:after="0" w:line="240" w:lineRule="auto"/>
              <w:ind w:firstLine="0"/>
              <w:contextualSpacing w:val="0"/>
              <w:jc w:val="center"/>
              <w:rPr>
                <w:rFonts w:eastAsia="Times New Roman"/>
                <w:b/>
                <w:sz w:val="16"/>
                <w:szCs w:val="16"/>
              </w:rPr>
            </w:pPr>
            <w:r w:rsidRPr="00916C36">
              <w:rPr>
                <w:rFonts w:eastAsia="Times New Roman"/>
                <w:b/>
                <w:sz w:val="16"/>
                <w:szCs w:val="16"/>
              </w:rPr>
              <w:t>Komp</w:t>
            </w:r>
            <w:r w:rsidRPr="00916C36">
              <w:rPr>
                <w:rFonts w:eastAsia="Times New Roman"/>
                <w:b/>
                <w:sz w:val="16"/>
                <w:szCs w:val="16"/>
                <w:vertAlign w:val="subscript"/>
              </w:rPr>
              <w:t>3</w:t>
            </w:r>
          </w:p>
        </w:tc>
        <w:tc>
          <w:tcPr>
            <w:tcW w:w="936"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D25CE7" w:rsidRPr="00916C36" w:rsidRDefault="00D25CE7" w:rsidP="00D25CE7">
            <w:pPr>
              <w:widowControl/>
              <w:spacing w:after="0" w:line="240" w:lineRule="auto"/>
              <w:ind w:firstLine="0"/>
              <w:contextualSpacing w:val="0"/>
              <w:jc w:val="center"/>
              <w:rPr>
                <w:rFonts w:eastAsia="Times New Roman"/>
                <w:b/>
                <w:sz w:val="16"/>
                <w:szCs w:val="16"/>
              </w:rPr>
            </w:pPr>
            <w:r w:rsidRPr="00916C36">
              <w:rPr>
                <w:rFonts w:eastAsia="Times New Roman"/>
                <w:b/>
                <w:sz w:val="16"/>
                <w:szCs w:val="16"/>
              </w:rPr>
              <w:t>Parama vaikams</w:t>
            </w:r>
          </w:p>
        </w:tc>
        <w:tc>
          <w:tcPr>
            <w:tcW w:w="936"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D25CE7" w:rsidRPr="00916C36" w:rsidRDefault="00D25CE7" w:rsidP="00D25CE7">
            <w:pPr>
              <w:widowControl/>
              <w:spacing w:after="0" w:line="240" w:lineRule="auto"/>
              <w:ind w:firstLine="0"/>
              <w:contextualSpacing w:val="0"/>
              <w:jc w:val="center"/>
              <w:rPr>
                <w:rFonts w:eastAsia="Times New Roman"/>
                <w:b/>
                <w:sz w:val="16"/>
                <w:szCs w:val="16"/>
              </w:rPr>
            </w:pPr>
            <w:r w:rsidRPr="00916C36">
              <w:rPr>
                <w:rFonts w:eastAsia="Times New Roman"/>
                <w:b/>
                <w:sz w:val="16"/>
                <w:szCs w:val="16"/>
              </w:rPr>
              <w:t>Išlaikymas</w:t>
            </w:r>
          </w:p>
        </w:tc>
        <w:tc>
          <w:tcPr>
            <w:tcW w:w="934"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D25CE7" w:rsidRPr="00916C36" w:rsidRDefault="00D25CE7" w:rsidP="00D25CE7">
            <w:pPr>
              <w:widowControl/>
              <w:spacing w:after="0" w:line="240" w:lineRule="auto"/>
              <w:ind w:firstLine="0"/>
              <w:contextualSpacing w:val="0"/>
              <w:jc w:val="center"/>
              <w:rPr>
                <w:rFonts w:eastAsia="Times New Roman"/>
                <w:b/>
                <w:bCs/>
                <w:sz w:val="16"/>
                <w:szCs w:val="16"/>
              </w:rPr>
            </w:pPr>
            <w:r w:rsidRPr="00916C36">
              <w:rPr>
                <w:rFonts w:eastAsia="Times New Roman"/>
                <w:b/>
                <w:bCs/>
                <w:sz w:val="16"/>
                <w:szCs w:val="16"/>
              </w:rPr>
              <w:t>GEROVĖ:</w:t>
            </w:r>
          </w:p>
        </w:tc>
        <w:tc>
          <w:tcPr>
            <w:tcW w:w="93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rsidR="00D25CE7" w:rsidRPr="00916C36" w:rsidRDefault="00D25CE7" w:rsidP="00D25CE7">
            <w:pPr>
              <w:widowControl/>
              <w:spacing w:after="0" w:line="240" w:lineRule="auto"/>
              <w:ind w:firstLine="0"/>
              <w:contextualSpacing w:val="0"/>
              <w:jc w:val="center"/>
              <w:rPr>
                <w:rFonts w:eastAsia="Times New Roman"/>
                <w:b/>
                <w:bCs/>
                <w:sz w:val="16"/>
                <w:szCs w:val="16"/>
              </w:rPr>
            </w:pPr>
            <w:r w:rsidRPr="00916C36">
              <w:rPr>
                <w:rFonts w:eastAsia="Times New Roman"/>
                <w:b/>
                <w:bCs/>
                <w:sz w:val="16"/>
                <w:szCs w:val="16"/>
              </w:rPr>
              <w:t>Vienam asmeniui:</w:t>
            </w:r>
          </w:p>
        </w:tc>
      </w:tr>
      <w:tr w:rsidR="00D25CE7" w:rsidRPr="00916C36" w:rsidTr="00D25CE7">
        <w:trPr>
          <w:trHeight w:val="195"/>
        </w:trPr>
        <w:tc>
          <w:tcPr>
            <w:tcW w:w="432" w:type="dxa"/>
            <w:vMerge w:val="restart"/>
            <w:shd w:val="clear" w:color="auto" w:fill="D9D9D9" w:themeFill="background1" w:themeFillShade="D9"/>
            <w:vAlign w:val="center"/>
          </w:tcPr>
          <w:p w:rsidR="00D25CE7" w:rsidRPr="00916C36" w:rsidRDefault="00D25CE7" w:rsidP="00D25CE7">
            <w:pPr>
              <w:widowControl/>
              <w:spacing w:after="0" w:line="240" w:lineRule="auto"/>
              <w:ind w:firstLine="0"/>
              <w:contextualSpacing w:val="0"/>
              <w:jc w:val="center"/>
              <w:rPr>
                <w:rFonts w:eastAsia="Times New Roman"/>
                <w:b/>
                <w:sz w:val="16"/>
                <w:szCs w:val="16"/>
              </w:rPr>
            </w:pPr>
            <w:r w:rsidRPr="00916C36">
              <w:rPr>
                <w:rFonts w:eastAsia="Times New Roman"/>
                <w:b/>
                <w:sz w:val="16"/>
                <w:szCs w:val="16"/>
              </w:rPr>
              <w:t>3</w:t>
            </w:r>
          </w:p>
        </w:tc>
        <w:tc>
          <w:tcPr>
            <w:tcW w:w="2347" w:type="dxa"/>
            <w:tcBorders>
              <w:top w:val="single" w:sz="2" w:space="0" w:color="auto"/>
              <w:bottom w:val="single" w:sz="2" w:space="0" w:color="auto"/>
            </w:tcBorders>
            <w:shd w:val="clear" w:color="auto" w:fill="D6E3BC" w:themeFill="accent3" w:themeFillTint="66"/>
            <w:noWrap/>
            <w:vAlign w:val="bottom"/>
            <w:hideMark/>
          </w:tcPr>
          <w:p w:rsidR="00D25CE7" w:rsidRPr="00916C36" w:rsidRDefault="00D25CE7" w:rsidP="00D25CE7">
            <w:pPr>
              <w:widowControl/>
              <w:spacing w:after="0" w:line="240" w:lineRule="auto"/>
              <w:ind w:firstLine="0"/>
              <w:contextualSpacing w:val="0"/>
              <w:jc w:val="left"/>
              <w:rPr>
                <w:rFonts w:eastAsia="Times New Roman"/>
                <w:color w:val="76923C" w:themeColor="accent3" w:themeShade="BF"/>
                <w:sz w:val="16"/>
                <w:szCs w:val="16"/>
              </w:rPr>
            </w:pPr>
            <w:r w:rsidRPr="00916C36">
              <w:rPr>
                <w:rFonts w:eastAsia="Times New Roman"/>
                <w:color w:val="76923C" w:themeColor="accent3" w:themeShade="BF"/>
                <w:sz w:val="16"/>
                <w:szCs w:val="16"/>
              </w:rPr>
              <w:t>1 B + 2 V (650 Lt)</w:t>
            </w:r>
          </w:p>
        </w:tc>
        <w:tc>
          <w:tcPr>
            <w:tcW w:w="933" w:type="dxa"/>
            <w:tcBorders>
              <w:top w:val="single" w:sz="2" w:space="0" w:color="auto"/>
              <w:bottom w:val="single" w:sz="2" w:space="0" w:color="auto"/>
            </w:tcBorders>
            <w:shd w:val="clear" w:color="auto" w:fill="D6E3BC" w:themeFill="accent3"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color w:val="76923C" w:themeColor="accent3" w:themeShade="BF"/>
                <w:sz w:val="16"/>
                <w:szCs w:val="16"/>
              </w:rPr>
            </w:pPr>
            <w:r w:rsidRPr="00916C36">
              <w:rPr>
                <w:rFonts w:eastAsia="Times New Roman"/>
                <w:color w:val="76923C" w:themeColor="accent3" w:themeShade="BF"/>
                <w:sz w:val="16"/>
                <w:szCs w:val="16"/>
              </w:rPr>
              <w:t>650 / 118</w:t>
            </w:r>
          </w:p>
        </w:tc>
        <w:tc>
          <w:tcPr>
            <w:tcW w:w="936" w:type="dxa"/>
            <w:tcBorders>
              <w:top w:val="single" w:sz="2" w:space="0" w:color="auto"/>
              <w:bottom w:val="single" w:sz="2" w:space="0" w:color="auto"/>
            </w:tcBorders>
            <w:shd w:val="clear" w:color="auto" w:fill="D6E3BC" w:themeFill="accent3"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color w:val="76923C" w:themeColor="accent3" w:themeShade="BF"/>
                <w:sz w:val="16"/>
                <w:szCs w:val="16"/>
              </w:rPr>
            </w:pPr>
            <w:r w:rsidRPr="00916C36">
              <w:rPr>
                <w:rFonts w:eastAsia="Times New Roman"/>
                <w:color w:val="76923C" w:themeColor="accent3" w:themeShade="BF"/>
                <w:sz w:val="16"/>
                <w:szCs w:val="16"/>
              </w:rPr>
              <w:t>495</w:t>
            </w:r>
          </w:p>
        </w:tc>
        <w:tc>
          <w:tcPr>
            <w:tcW w:w="936" w:type="dxa"/>
            <w:tcBorders>
              <w:top w:val="single" w:sz="2" w:space="0" w:color="auto"/>
              <w:bottom w:val="single" w:sz="2" w:space="0" w:color="auto"/>
            </w:tcBorders>
            <w:shd w:val="clear" w:color="auto" w:fill="D6E3BC" w:themeFill="accent3"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color w:val="76923C" w:themeColor="accent3" w:themeShade="BF"/>
                <w:sz w:val="16"/>
                <w:szCs w:val="16"/>
              </w:rPr>
            </w:pPr>
            <w:r w:rsidRPr="00916C36">
              <w:rPr>
                <w:rFonts w:eastAsia="Times New Roman"/>
                <w:color w:val="76923C" w:themeColor="accent3" w:themeShade="BF"/>
                <w:sz w:val="16"/>
                <w:szCs w:val="16"/>
              </w:rPr>
              <w:t>12</w:t>
            </w:r>
          </w:p>
        </w:tc>
        <w:tc>
          <w:tcPr>
            <w:tcW w:w="936" w:type="dxa"/>
            <w:tcBorders>
              <w:top w:val="single" w:sz="2" w:space="0" w:color="auto"/>
              <w:bottom w:val="single" w:sz="2" w:space="0" w:color="auto"/>
            </w:tcBorders>
            <w:shd w:val="clear" w:color="auto" w:fill="D6E3BC" w:themeFill="accent3"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color w:val="76923C" w:themeColor="accent3" w:themeShade="BF"/>
                <w:sz w:val="16"/>
                <w:szCs w:val="16"/>
              </w:rPr>
            </w:pPr>
            <w:r w:rsidRPr="00916C36">
              <w:rPr>
                <w:rFonts w:eastAsia="Times New Roman"/>
                <w:color w:val="76923C" w:themeColor="accent3" w:themeShade="BF"/>
                <w:sz w:val="16"/>
                <w:szCs w:val="16"/>
              </w:rPr>
              <w:t>-</w:t>
            </w:r>
          </w:p>
        </w:tc>
        <w:tc>
          <w:tcPr>
            <w:tcW w:w="936" w:type="dxa"/>
            <w:tcBorders>
              <w:top w:val="single" w:sz="2" w:space="0" w:color="auto"/>
              <w:bottom w:val="single" w:sz="2" w:space="0" w:color="auto"/>
            </w:tcBorders>
            <w:shd w:val="clear" w:color="auto" w:fill="D6E3BC" w:themeFill="accent3"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color w:val="76923C" w:themeColor="accent3" w:themeShade="BF"/>
                <w:sz w:val="16"/>
                <w:szCs w:val="16"/>
              </w:rPr>
            </w:pPr>
            <w:r w:rsidRPr="00916C36">
              <w:rPr>
                <w:rFonts w:eastAsia="Times New Roman"/>
                <w:color w:val="76923C" w:themeColor="accent3" w:themeShade="BF"/>
                <w:sz w:val="16"/>
                <w:szCs w:val="16"/>
              </w:rPr>
              <w:t>186</w:t>
            </w:r>
          </w:p>
        </w:tc>
        <w:tc>
          <w:tcPr>
            <w:tcW w:w="936" w:type="dxa"/>
            <w:tcBorders>
              <w:top w:val="single" w:sz="2" w:space="0" w:color="auto"/>
              <w:bottom w:val="single" w:sz="2" w:space="0" w:color="auto"/>
            </w:tcBorders>
            <w:shd w:val="clear" w:color="auto" w:fill="D6E3BC" w:themeFill="accent3"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color w:val="76923C" w:themeColor="accent3" w:themeShade="BF"/>
                <w:sz w:val="16"/>
                <w:szCs w:val="16"/>
              </w:rPr>
            </w:pPr>
            <w:r w:rsidRPr="00916C36">
              <w:rPr>
                <w:rFonts w:eastAsia="Times New Roman"/>
                <w:color w:val="76923C" w:themeColor="accent3" w:themeShade="BF"/>
                <w:sz w:val="16"/>
                <w:szCs w:val="16"/>
              </w:rPr>
              <w:t>260</w:t>
            </w:r>
          </w:p>
        </w:tc>
        <w:tc>
          <w:tcPr>
            <w:tcW w:w="934" w:type="dxa"/>
            <w:tcBorders>
              <w:top w:val="single" w:sz="2" w:space="0" w:color="auto"/>
              <w:bottom w:val="single" w:sz="2" w:space="0" w:color="auto"/>
            </w:tcBorders>
            <w:shd w:val="clear" w:color="auto" w:fill="D6E3BC" w:themeFill="accent3"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b/>
                <w:bCs/>
                <w:color w:val="76923C" w:themeColor="accent3" w:themeShade="BF"/>
                <w:sz w:val="16"/>
                <w:szCs w:val="16"/>
              </w:rPr>
            </w:pPr>
            <w:r w:rsidRPr="00916C36">
              <w:rPr>
                <w:rFonts w:eastAsia="Times New Roman"/>
                <w:b/>
                <w:bCs/>
                <w:color w:val="76923C" w:themeColor="accent3" w:themeShade="BF"/>
                <w:sz w:val="16"/>
                <w:szCs w:val="16"/>
              </w:rPr>
              <w:t>1 721</w:t>
            </w:r>
          </w:p>
        </w:tc>
        <w:tc>
          <w:tcPr>
            <w:tcW w:w="934" w:type="dxa"/>
            <w:tcBorders>
              <w:top w:val="single" w:sz="2" w:space="0" w:color="auto"/>
              <w:bottom w:val="single" w:sz="2" w:space="0" w:color="auto"/>
            </w:tcBorders>
            <w:shd w:val="clear" w:color="auto" w:fill="D6E3BC" w:themeFill="accent3"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b/>
                <w:bCs/>
                <w:color w:val="76923C" w:themeColor="accent3" w:themeShade="BF"/>
                <w:sz w:val="16"/>
                <w:szCs w:val="16"/>
              </w:rPr>
            </w:pPr>
            <w:r w:rsidRPr="00916C36">
              <w:rPr>
                <w:rFonts w:eastAsia="Times New Roman"/>
                <w:b/>
                <w:bCs/>
                <w:color w:val="76923C" w:themeColor="accent3" w:themeShade="BF"/>
                <w:sz w:val="16"/>
                <w:szCs w:val="16"/>
              </w:rPr>
              <w:t>574</w:t>
            </w:r>
          </w:p>
        </w:tc>
      </w:tr>
      <w:tr w:rsidR="00D25CE7" w:rsidRPr="00916C36" w:rsidTr="00D25CE7">
        <w:trPr>
          <w:trHeight w:val="195"/>
        </w:trPr>
        <w:tc>
          <w:tcPr>
            <w:tcW w:w="432" w:type="dxa"/>
            <w:vMerge/>
            <w:tcBorders>
              <w:bottom w:val="single" w:sz="12" w:space="0" w:color="auto"/>
            </w:tcBorders>
            <w:shd w:val="clear" w:color="auto" w:fill="D9D9D9" w:themeFill="background1" w:themeFillShade="D9"/>
            <w:vAlign w:val="center"/>
          </w:tcPr>
          <w:p w:rsidR="00D25CE7" w:rsidRPr="00916C36" w:rsidRDefault="00D25CE7" w:rsidP="00D25CE7">
            <w:pPr>
              <w:widowControl/>
              <w:spacing w:after="0" w:line="240" w:lineRule="auto"/>
              <w:ind w:firstLine="0"/>
              <w:contextualSpacing w:val="0"/>
              <w:jc w:val="center"/>
              <w:rPr>
                <w:rFonts w:eastAsia="Times New Roman"/>
                <w:b/>
                <w:sz w:val="16"/>
                <w:szCs w:val="16"/>
              </w:rPr>
            </w:pPr>
          </w:p>
        </w:tc>
        <w:tc>
          <w:tcPr>
            <w:tcW w:w="2347" w:type="dxa"/>
            <w:tcBorders>
              <w:top w:val="single" w:sz="2" w:space="0" w:color="auto"/>
              <w:bottom w:val="single" w:sz="12" w:space="0" w:color="auto"/>
            </w:tcBorders>
            <w:shd w:val="clear" w:color="auto" w:fill="D6E3BC" w:themeFill="accent3" w:themeFillTint="66"/>
            <w:noWrap/>
            <w:vAlign w:val="bottom"/>
            <w:hideMark/>
          </w:tcPr>
          <w:p w:rsidR="00D25CE7" w:rsidRPr="00916C36" w:rsidRDefault="00D25CE7" w:rsidP="00D25CE7">
            <w:pPr>
              <w:widowControl/>
              <w:spacing w:after="0" w:line="240" w:lineRule="auto"/>
              <w:ind w:firstLine="0"/>
              <w:contextualSpacing w:val="0"/>
              <w:jc w:val="left"/>
              <w:rPr>
                <w:rFonts w:eastAsia="Times New Roman"/>
                <w:sz w:val="16"/>
                <w:szCs w:val="16"/>
              </w:rPr>
            </w:pPr>
            <w:r w:rsidRPr="00916C36">
              <w:rPr>
                <w:rFonts w:eastAsia="Times New Roman"/>
                <w:sz w:val="16"/>
                <w:szCs w:val="16"/>
              </w:rPr>
              <w:t>1 N + 2 V</w:t>
            </w:r>
          </w:p>
        </w:tc>
        <w:tc>
          <w:tcPr>
            <w:tcW w:w="933" w:type="dxa"/>
            <w:tcBorders>
              <w:top w:val="single" w:sz="2" w:space="0" w:color="auto"/>
              <w:bottom w:val="single" w:sz="12" w:space="0" w:color="auto"/>
            </w:tcBorders>
            <w:shd w:val="clear" w:color="auto" w:fill="D6E3BC" w:themeFill="accent3"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sz w:val="16"/>
                <w:szCs w:val="16"/>
              </w:rPr>
            </w:pPr>
            <w:r w:rsidRPr="00916C36">
              <w:rPr>
                <w:rFonts w:eastAsia="Times New Roman"/>
                <w:sz w:val="16"/>
                <w:szCs w:val="16"/>
              </w:rPr>
              <w:t>0 / 653</w:t>
            </w:r>
          </w:p>
        </w:tc>
        <w:tc>
          <w:tcPr>
            <w:tcW w:w="936" w:type="dxa"/>
            <w:tcBorders>
              <w:top w:val="single" w:sz="2" w:space="0" w:color="auto"/>
              <w:bottom w:val="single" w:sz="12" w:space="0" w:color="auto"/>
            </w:tcBorders>
            <w:shd w:val="clear" w:color="auto" w:fill="D6E3BC" w:themeFill="accent3"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sz w:val="16"/>
                <w:szCs w:val="16"/>
              </w:rPr>
            </w:pPr>
            <w:r w:rsidRPr="00916C36">
              <w:rPr>
                <w:rFonts w:eastAsia="Times New Roman"/>
                <w:sz w:val="16"/>
                <w:szCs w:val="16"/>
              </w:rPr>
              <w:t>495</w:t>
            </w:r>
          </w:p>
        </w:tc>
        <w:tc>
          <w:tcPr>
            <w:tcW w:w="936" w:type="dxa"/>
            <w:tcBorders>
              <w:top w:val="single" w:sz="2" w:space="0" w:color="auto"/>
              <w:bottom w:val="single" w:sz="12" w:space="0" w:color="auto"/>
            </w:tcBorders>
            <w:shd w:val="clear" w:color="auto" w:fill="D6E3BC" w:themeFill="accent3"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sz w:val="16"/>
                <w:szCs w:val="16"/>
              </w:rPr>
            </w:pPr>
            <w:r w:rsidRPr="00916C36">
              <w:rPr>
                <w:rFonts w:eastAsia="Times New Roman"/>
                <w:sz w:val="16"/>
                <w:szCs w:val="16"/>
              </w:rPr>
              <w:t>18</w:t>
            </w:r>
          </w:p>
        </w:tc>
        <w:tc>
          <w:tcPr>
            <w:tcW w:w="936" w:type="dxa"/>
            <w:tcBorders>
              <w:top w:val="single" w:sz="2" w:space="0" w:color="auto"/>
              <w:bottom w:val="single" w:sz="12" w:space="0" w:color="auto"/>
            </w:tcBorders>
            <w:shd w:val="clear" w:color="auto" w:fill="D6E3BC" w:themeFill="accent3"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sz w:val="16"/>
                <w:szCs w:val="16"/>
              </w:rPr>
            </w:pPr>
            <w:r w:rsidRPr="00916C36">
              <w:rPr>
                <w:rFonts w:eastAsia="Times New Roman"/>
                <w:sz w:val="16"/>
                <w:szCs w:val="16"/>
              </w:rPr>
              <w:t>4</w:t>
            </w:r>
          </w:p>
        </w:tc>
        <w:tc>
          <w:tcPr>
            <w:tcW w:w="936" w:type="dxa"/>
            <w:tcBorders>
              <w:top w:val="single" w:sz="2" w:space="0" w:color="auto"/>
              <w:bottom w:val="single" w:sz="12" w:space="0" w:color="auto"/>
            </w:tcBorders>
            <w:shd w:val="clear" w:color="auto" w:fill="D6E3BC" w:themeFill="accent3"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sz w:val="16"/>
                <w:szCs w:val="16"/>
              </w:rPr>
            </w:pPr>
            <w:r w:rsidRPr="00916C36">
              <w:rPr>
                <w:rFonts w:eastAsia="Times New Roman"/>
                <w:sz w:val="16"/>
                <w:szCs w:val="16"/>
              </w:rPr>
              <w:t>186</w:t>
            </w:r>
          </w:p>
        </w:tc>
        <w:tc>
          <w:tcPr>
            <w:tcW w:w="936" w:type="dxa"/>
            <w:tcBorders>
              <w:top w:val="single" w:sz="2" w:space="0" w:color="auto"/>
              <w:bottom w:val="single" w:sz="12" w:space="0" w:color="auto"/>
            </w:tcBorders>
            <w:shd w:val="clear" w:color="auto" w:fill="D6E3BC" w:themeFill="accent3"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sz w:val="16"/>
                <w:szCs w:val="16"/>
              </w:rPr>
            </w:pPr>
            <w:r w:rsidRPr="00916C36">
              <w:rPr>
                <w:rFonts w:eastAsia="Times New Roman"/>
                <w:sz w:val="16"/>
                <w:szCs w:val="16"/>
              </w:rPr>
              <w:t>260</w:t>
            </w:r>
          </w:p>
        </w:tc>
        <w:tc>
          <w:tcPr>
            <w:tcW w:w="934" w:type="dxa"/>
            <w:tcBorders>
              <w:top w:val="single" w:sz="2" w:space="0" w:color="auto"/>
              <w:bottom w:val="single" w:sz="12" w:space="0" w:color="auto"/>
            </w:tcBorders>
            <w:shd w:val="clear" w:color="auto" w:fill="D6E3BC" w:themeFill="accent3"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b/>
                <w:bCs/>
                <w:sz w:val="16"/>
                <w:szCs w:val="16"/>
              </w:rPr>
            </w:pPr>
            <w:r w:rsidRPr="00916C36">
              <w:rPr>
                <w:rFonts w:eastAsia="Times New Roman"/>
                <w:b/>
                <w:bCs/>
                <w:sz w:val="16"/>
                <w:szCs w:val="16"/>
              </w:rPr>
              <w:t>1 615</w:t>
            </w:r>
          </w:p>
        </w:tc>
        <w:tc>
          <w:tcPr>
            <w:tcW w:w="934" w:type="dxa"/>
            <w:tcBorders>
              <w:top w:val="single" w:sz="2" w:space="0" w:color="auto"/>
              <w:bottom w:val="single" w:sz="12" w:space="0" w:color="auto"/>
            </w:tcBorders>
            <w:shd w:val="clear" w:color="auto" w:fill="D6E3BC" w:themeFill="accent3"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b/>
                <w:bCs/>
                <w:sz w:val="16"/>
                <w:szCs w:val="16"/>
              </w:rPr>
            </w:pPr>
            <w:r w:rsidRPr="00916C36">
              <w:rPr>
                <w:rFonts w:eastAsia="Times New Roman"/>
                <w:b/>
                <w:bCs/>
                <w:sz w:val="16"/>
                <w:szCs w:val="16"/>
              </w:rPr>
              <w:t>538</w:t>
            </w:r>
          </w:p>
        </w:tc>
      </w:tr>
      <w:tr w:rsidR="00D25CE7" w:rsidRPr="00916C36" w:rsidTr="00D25CE7">
        <w:trPr>
          <w:trHeight w:val="195"/>
        </w:trPr>
        <w:tc>
          <w:tcPr>
            <w:tcW w:w="432" w:type="dxa"/>
            <w:vMerge w:val="restart"/>
            <w:shd w:val="clear" w:color="auto" w:fill="D9D9D9" w:themeFill="background1" w:themeFillShade="D9"/>
            <w:vAlign w:val="center"/>
          </w:tcPr>
          <w:p w:rsidR="00D25CE7" w:rsidRPr="00916C36" w:rsidRDefault="00D25CE7" w:rsidP="00D25CE7">
            <w:pPr>
              <w:widowControl/>
              <w:spacing w:after="0" w:line="240" w:lineRule="auto"/>
              <w:ind w:firstLine="0"/>
              <w:contextualSpacing w:val="0"/>
              <w:jc w:val="center"/>
              <w:rPr>
                <w:rFonts w:eastAsia="Times New Roman"/>
                <w:b/>
                <w:sz w:val="16"/>
                <w:szCs w:val="16"/>
              </w:rPr>
            </w:pPr>
            <w:r w:rsidRPr="00916C36">
              <w:rPr>
                <w:rFonts w:eastAsia="Times New Roman"/>
                <w:b/>
                <w:sz w:val="16"/>
                <w:szCs w:val="16"/>
              </w:rPr>
              <w:t>4</w:t>
            </w:r>
          </w:p>
        </w:tc>
        <w:tc>
          <w:tcPr>
            <w:tcW w:w="2347" w:type="dxa"/>
            <w:shd w:val="clear" w:color="auto" w:fill="B6DDE8" w:themeFill="accent5" w:themeFillTint="66"/>
            <w:noWrap/>
            <w:vAlign w:val="bottom"/>
            <w:hideMark/>
          </w:tcPr>
          <w:p w:rsidR="00D25CE7" w:rsidRPr="00916C36" w:rsidRDefault="00D25CE7" w:rsidP="00D25CE7">
            <w:pPr>
              <w:widowControl/>
              <w:spacing w:after="0" w:line="240" w:lineRule="auto"/>
              <w:ind w:firstLine="0"/>
              <w:contextualSpacing w:val="0"/>
              <w:jc w:val="left"/>
              <w:rPr>
                <w:rFonts w:eastAsia="Times New Roman"/>
                <w:color w:val="31849B" w:themeColor="accent5" w:themeShade="BF"/>
                <w:sz w:val="16"/>
                <w:szCs w:val="16"/>
              </w:rPr>
            </w:pPr>
            <w:r w:rsidRPr="00916C36">
              <w:rPr>
                <w:rFonts w:eastAsia="Times New Roman"/>
                <w:color w:val="31849B" w:themeColor="accent5" w:themeShade="BF"/>
                <w:sz w:val="16"/>
                <w:szCs w:val="16"/>
              </w:rPr>
              <w:t>2 B + 2 V (650 Lt; 650 Lt)</w:t>
            </w:r>
          </w:p>
        </w:tc>
        <w:tc>
          <w:tcPr>
            <w:tcW w:w="933" w:type="dxa"/>
            <w:shd w:val="clear" w:color="auto" w:fill="B6DDE8" w:themeFill="accent5"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color w:val="31849B" w:themeColor="accent5" w:themeShade="BF"/>
                <w:sz w:val="16"/>
                <w:szCs w:val="16"/>
              </w:rPr>
            </w:pPr>
            <w:r w:rsidRPr="00916C36">
              <w:rPr>
                <w:rFonts w:eastAsia="Times New Roman"/>
                <w:color w:val="31849B" w:themeColor="accent5" w:themeShade="BF"/>
                <w:sz w:val="16"/>
                <w:szCs w:val="16"/>
              </w:rPr>
              <w:t>1 300 / 8</w:t>
            </w:r>
            <w:r>
              <w:rPr>
                <w:rFonts w:eastAsia="Times New Roman"/>
                <w:color w:val="31849B" w:themeColor="accent5" w:themeShade="BF"/>
                <w:sz w:val="16"/>
                <w:szCs w:val="16"/>
              </w:rPr>
              <w:t>1</w:t>
            </w:r>
          </w:p>
        </w:tc>
        <w:tc>
          <w:tcPr>
            <w:tcW w:w="936" w:type="dxa"/>
            <w:shd w:val="clear" w:color="auto" w:fill="B6DDE8" w:themeFill="accent5"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color w:val="31849B" w:themeColor="accent5" w:themeShade="BF"/>
                <w:sz w:val="16"/>
                <w:szCs w:val="16"/>
              </w:rPr>
            </w:pPr>
            <w:r w:rsidRPr="00916C36">
              <w:rPr>
                <w:rFonts w:eastAsia="Times New Roman"/>
                <w:color w:val="31849B" w:themeColor="accent5" w:themeShade="BF"/>
                <w:sz w:val="16"/>
                <w:szCs w:val="16"/>
              </w:rPr>
              <w:t>495</w:t>
            </w:r>
          </w:p>
        </w:tc>
        <w:tc>
          <w:tcPr>
            <w:tcW w:w="936" w:type="dxa"/>
            <w:shd w:val="clear" w:color="auto" w:fill="B6DDE8" w:themeFill="accent5"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color w:val="31849B" w:themeColor="accent5" w:themeShade="BF"/>
                <w:sz w:val="16"/>
                <w:szCs w:val="16"/>
              </w:rPr>
            </w:pPr>
            <w:r w:rsidRPr="00916C36">
              <w:rPr>
                <w:rFonts w:eastAsia="Times New Roman"/>
                <w:color w:val="31849B" w:themeColor="accent5" w:themeShade="BF"/>
                <w:sz w:val="16"/>
                <w:szCs w:val="16"/>
              </w:rPr>
              <w:t>5</w:t>
            </w:r>
          </w:p>
        </w:tc>
        <w:tc>
          <w:tcPr>
            <w:tcW w:w="936" w:type="dxa"/>
            <w:shd w:val="clear" w:color="auto" w:fill="B6DDE8" w:themeFill="accent5"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color w:val="31849B" w:themeColor="accent5" w:themeShade="BF"/>
                <w:sz w:val="16"/>
                <w:szCs w:val="16"/>
              </w:rPr>
            </w:pPr>
            <w:r w:rsidRPr="00916C36">
              <w:rPr>
                <w:rFonts w:eastAsia="Times New Roman"/>
                <w:color w:val="31849B" w:themeColor="accent5" w:themeShade="BF"/>
                <w:sz w:val="16"/>
                <w:szCs w:val="16"/>
              </w:rPr>
              <w:t>-</w:t>
            </w:r>
          </w:p>
        </w:tc>
        <w:tc>
          <w:tcPr>
            <w:tcW w:w="936" w:type="dxa"/>
            <w:shd w:val="clear" w:color="auto" w:fill="B6DDE8" w:themeFill="accent5"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color w:val="31849B" w:themeColor="accent5" w:themeShade="BF"/>
                <w:sz w:val="16"/>
                <w:szCs w:val="16"/>
              </w:rPr>
            </w:pPr>
            <w:r w:rsidRPr="00916C36">
              <w:rPr>
                <w:rFonts w:eastAsia="Times New Roman"/>
                <w:color w:val="31849B" w:themeColor="accent5" w:themeShade="BF"/>
                <w:sz w:val="16"/>
                <w:szCs w:val="16"/>
              </w:rPr>
              <w:t>186</w:t>
            </w:r>
          </w:p>
        </w:tc>
        <w:tc>
          <w:tcPr>
            <w:tcW w:w="936" w:type="dxa"/>
            <w:shd w:val="clear" w:color="auto" w:fill="B6DDE8" w:themeFill="accent5"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color w:val="31849B" w:themeColor="accent5" w:themeShade="BF"/>
                <w:sz w:val="16"/>
                <w:szCs w:val="16"/>
              </w:rPr>
            </w:pPr>
            <w:r w:rsidRPr="00916C36">
              <w:rPr>
                <w:rFonts w:eastAsia="Times New Roman"/>
                <w:color w:val="31849B" w:themeColor="accent5" w:themeShade="BF"/>
                <w:sz w:val="16"/>
                <w:szCs w:val="16"/>
              </w:rPr>
              <w:t>-</w:t>
            </w:r>
          </w:p>
        </w:tc>
        <w:tc>
          <w:tcPr>
            <w:tcW w:w="934" w:type="dxa"/>
            <w:shd w:val="clear" w:color="auto" w:fill="B6DDE8" w:themeFill="accent5"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b/>
                <w:bCs/>
                <w:color w:val="31849B" w:themeColor="accent5" w:themeShade="BF"/>
                <w:sz w:val="16"/>
                <w:szCs w:val="16"/>
              </w:rPr>
            </w:pPr>
            <w:r w:rsidRPr="00916C36">
              <w:rPr>
                <w:rFonts w:eastAsia="Times New Roman"/>
                <w:b/>
                <w:bCs/>
                <w:color w:val="31849B" w:themeColor="accent5" w:themeShade="BF"/>
                <w:sz w:val="16"/>
                <w:szCs w:val="16"/>
              </w:rPr>
              <w:t>2 06</w:t>
            </w:r>
            <w:r>
              <w:rPr>
                <w:rFonts w:eastAsia="Times New Roman"/>
                <w:b/>
                <w:bCs/>
                <w:color w:val="31849B" w:themeColor="accent5" w:themeShade="BF"/>
                <w:sz w:val="16"/>
                <w:szCs w:val="16"/>
              </w:rPr>
              <w:t>7</w:t>
            </w:r>
          </w:p>
        </w:tc>
        <w:tc>
          <w:tcPr>
            <w:tcW w:w="934" w:type="dxa"/>
            <w:shd w:val="clear" w:color="auto" w:fill="B6DDE8" w:themeFill="accent5"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b/>
                <w:bCs/>
                <w:color w:val="31849B" w:themeColor="accent5" w:themeShade="BF"/>
                <w:sz w:val="16"/>
                <w:szCs w:val="16"/>
              </w:rPr>
            </w:pPr>
            <w:r w:rsidRPr="00916C36">
              <w:rPr>
                <w:rFonts w:eastAsia="Times New Roman"/>
                <w:b/>
                <w:bCs/>
                <w:color w:val="31849B" w:themeColor="accent5" w:themeShade="BF"/>
                <w:sz w:val="16"/>
                <w:szCs w:val="16"/>
              </w:rPr>
              <w:t>517</w:t>
            </w:r>
          </w:p>
        </w:tc>
      </w:tr>
      <w:tr w:rsidR="00D25CE7" w:rsidRPr="00916C36" w:rsidTr="00D25CE7">
        <w:trPr>
          <w:trHeight w:val="195"/>
        </w:trPr>
        <w:tc>
          <w:tcPr>
            <w:tcW w:w="432" w:type="dxa"/>
            <w:vMerge/>
            <w:tcBorders>
              <w:bottom w:val="single" w:sz="12" w:space="0" w:color="auto"/>
            </w:tcBorders>
            <w:shd w:val="clear" w:color="auto" w:fill="D9D9D9" w:themeFill="background1" w:themeFillShade="D9"/>
          </w:tcPr>
          <w:p w:rsidR="00D25CE7" w:rsidRPr="00916C36" w:rsidRDefault="00D25CE7" w:rsidP="00D25CE7">
            <w:pPr>
              <w:widowControl/>
              <w:spacing w:after="0" w:line="240" w:lineRule="auto"/>
              <w:ind w:firstLine="0"/>
              <w:contextualSpacing w:val="0"/>
              <w:jc w:val="left"/>
              <w:rPr>
                <w:rFonts w:eastAsia="Times New Roman"/>
                <w:b/>
                <w:sz w:val="16"/>
                <w:szCs w:val="16"/>
              </w:rPr>
            </w:pPr>
          </w:p>
        </w:tc>
        <w:tc>
          <w:tcPr>
            <w:tcW w:w="2347" w:type="dxa"/>
            <w:tcBorders>
              <w:bottom w:val="single" w:sz="12" w:space="0" w:color="auto"/>
            </w:tcBorders>
            <w:shd w:val="clear" w:color="auto" w:fill="B6DDE8" w:themeFill="accent5" w:themeFillTint="66"/>
            <w:noWrap/>
            <w:vAlign w:val="bottom"/>
            <w:hideMark/>
          </w:tcPr>
          <w:p w:rsidR="00D25CE7" w:rsidRPr="00916C36" w:rsidRDefault="00D25CE7" w:rsidP="00D25CE7">
            <w:pPr>
              <w:widowControl/>
              <w:spacing w:after="0" w:line="240" w:lineRule="auto"/>
              <w:ind w:firstLine="0"/>
              <w:contextualSpacing w:val="0"/>
              <w:jc w:val="left"/>
              <w:rPr>
                <w:rFonts w:eastAsia="Times New Roman"/>
                <w:sz w:val="16"/>
                <w:szCs w:val="16"/>
              </w:rPr>
            </w:pPr>
            <w:r w:rsidRPr="00916C36">
              <w:rPr>
                <w:rFonts w:eastAsia="Times New Roman"/>
                <w:sz w:val="16"/>
                <w:szCs w:val="16"/>
              </w:rPr>
              <w:t>2 N + 2 V</w:t>
            </w:r>
          </w:p>
        </w:tc>
        <w:tc>
          <w:tcPr>
            <w:tcW w:w="933" w:type="dxa"/>
            <w:tcBorders>
              <w:bottom w:val="single" w:sz="12" w:space="0" w:color="auto"/>
            </w:tcBorders>
            <w:shd w:val="clear" w:color="auto" w:fill="B6DDE8" w:themeFill="accent5"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sz w:val="16"/>
                <w:szCs w:val="16"/>
              </w:rPr>
            </w:pPr>
            <w:r w:rsidRPr="00916C36">
              <w:rPr>
                <w:rFonts w:eastAsia="Times New Roman"/>
                <w:sz w:val="16"/>
                <w:szCs w:val="16"/>
              </w:rPr>
              <w:t>0 / 1 120</w:t>
            </w:r>
          </w:p>
        </w:tc>
        <w:tc>
          <w:tcPr>
            <w:tcW w:w="936" w:type="dxa"/>
            <w:tcBorders>
              <w:bottom w:val="single" w:sz="12" w:space="0" w:color="auto"/>
            </w:tcBorders>
            <w:shd w:val="clear" w:color="auto" w:fill="B6DDE8" w:themeFill="accent5"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sz w:val="16"/>
                <w:szCs w:val="16"/>
              </w:rPr>
            </w:pPr>
            <w:r w:rsidRPr="00916C36">
              <w:rPr>
                <w:rFonts w:eastAsia="Times New Roman"/>
                <w:sz w:val="16"/>
                <w:szCs w:val="16"/>
              </w:rPr>
              <w:t>495</w:t>
            </w:r>
          </w:p>
        </w:tc>
        <w:tc>
          <w:tcPr>
            <w:tcW w:w="936" w:type="dxa"/>
            <w:tcBorders>
              <w:bottom w:val="single" w:sz="12" w:space="0" w:color="auto"/>
            </w:tcBorders>
            <w:shd w:val="clear" w:color="auto" w:fill="B6DDE8" w:themeFill="accent5"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sz w:val="16"/>
                <w:szCs w:val="16"/>
              </w:rPr>
            </w:pPr>
            <w:r w:rsidRPr="00916C36">
              <w:rPr>
                <w:rFonts w:eastAsia="Times New Roman"/>
                <w:sz w:val="16"/>
                <w:szCs w:val="16"/>
              </w:rPr>
              <w:t>18</w:t>
            </w:r>
          </w:p>
        </w:tc>
        <w:tc>
          <w:tcPr>
            <w:tcW w:w="936" w:type="dxa"/>
            <w:tcBorders>
              <w:bottom w:val="single" w:sz="12" w:space="0" w:color="auto"/>
            </w:tcBorders>
            <w:shd w:val="clear" w:color="auto" w:fill="B6DDE8" w:themeFill="accent5"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sz w:val="16"/>
                <w:szCs w:val="16"/>
              </w:rPr>
            </w:pPr>
            <w:r w:rsidRPr="00916C36">
              <w:rPr>
                <w:rFonts w:eastAsia="Times New Roman"/>
                <w:sz w:val="16"/>
                <w:szCs w:val="16"/>
              </w:rPr>
              <w:t>4</w:t>
            </w:r>
          </w:p>
        </w:tc>
        <w:tc>
          <w:tcPr>
            <w:tcW w:w="936" w:type="dxa"/>
            <w:tcBorders>
              <w:bottom w:val="single" w:sz="12" w:space="0" w:color="auto"/>
            </w:tcBorders>
            <w:shd w:val="clear" w:color="auto" w:fill="B6DDE8" w:themeFill="accent5"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sz w:val="16"/>
                <w:szCs w:val="16"/>
              </w:rPr>
            </w:pPr>
            <w:r w:rsidRPr="00916C36">
              <w:rPr>
                <w:rFonts w:eastAsia="Times New Roman"/>
                <w:sz w:val="16"/>
                <w:szCs w:val="16"/>
              </w:rPr>
              <w:t>186</w:t>
            </w:r>
          </w:p>
        </w:tc>
        <w:tc>
          <w:tcPr>
            <w:tcW w:w="936" w:type="dxa"/>
            <w:tcBorders>
              <w:bottom w:val="single" w:sz="12" w:space="0" w:color="auto"/>
            </w:tcBorders>
            <w:shd w:val="clear" w:color="auto" w:fill="B6DDE8" w:themeFill="accent5"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sz w:val="16"/>
                <w:szCs w:val="16"/>
              </w:rPr>
            </w:pPr>
            <w:r w:rsidRPr="00916C36">
              <w:rPr>
                <w:rFonts w:eastAsia="Times New Roman"/>
                <w:sz w:val="16"/>
                <w:szCs w:val="16"/>
              </w:rPr>
              <w:t>-</w:t>
            </w:r>
          </w:p>
        </w:tc>
        <w:tc>
          <w:tcPr>
            <w:tcW w:w="934" w:type="dxa"/>
            <w:tcBorders>
              <w:bottom w:val="single" w:sz="12" w:space="0" w:color="auto"/>
            </w:tcBorders>
            <w:shd w:val="clear" w:color="auto" w:fill="B6DDE8" w:themeFill="accent5"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b/>
                <w:bCs/>
                <w:sz w:val="16"/>
                <w:szCs w:val="16"/>
              </w:rPr>
            </w:pPr>
            <w:r w:rsidRPr="00916C36">
              <w:rPr>
                <w:rFonts w:eastAsia="Times New Roman"/>
                <w:b/>
                <w:bCs/>
                <w:sz w:val="16"/>
                <w:szCs w:val="16"/>
              </w:rPr>
              <w:t>1 823</w:t>
            </w:r>
          </w:p>
        </w:tc>
        <w:tc>
          <w:tcPr>
            <w:tcW w:w="934" w:type="dxa"/>
            <w:tcBorders>
              <w:bottom w:val="single" w:sz="12" w:space="0" w:color="auto"/>
            </w:tcBorders>
            <w:shd w:val="clear" w:color="auto" w:fill="B6DDE8" w:themeFill="accent5" w:themeFillTint="66"/>
            <w:noWrap/>
            <w:vAlign w:val="bottom"/>
            <w:hideMark/>
          </w:tcPr>
          <w:p w:rsidR="00D25CE7" w:rsidRPr="00916C36" w:rsidRDefault="00D25CE7" w:rsidP="00D25CE7">
            <w:pPr>
              <w:widowControl/>
              <w:spacing w:after="0" w:line="240" w:lineRule="auto"/>
              <w:ind w:firstLine="0"/>
              <w:contextualSpacing w:val="0"/>
              <w:jc w:val="center"/>
              <w:rPr>
                <w:rFonts w:eastAsia="Times New Roman"/>
                <w:b/>
                <w:bCs/>
                <w:sz w:val="16"/>
                <w:szCs w:val="16"/>
              </w:rPr>
            </w:pPr>
            <w:r w:rsidRPr="00916C36">
              <w:rPr>
                <w:rFonts w:eastAsia="Times New Roman"/>
                <w:b/>
                <w:bCs/>
                <w:sz w:val="16"/>
                <w:szCs w:val="16"/>
              </w:rPr>
              <w:t>456</w:t>
            </w:r>
          </w:p>
        </w:tc>
      </w:tr>
    </w:tbl>
    <w:p w:rsidR="00D25CE7" w:rsidRPr="003D3D4B" w:rsidRDefault="00D25CE7" w:rsidP="00D25CE7">
      <w:pPr>
        <w:spacing w:after="0" w:line="240" w:lineRule="auto"/>
        <w:rPr>
          <w:sz w:val="20"/>
        </w:rPr>
      </w:pPr>
      <w:r w:rsidRPr="003D3D4B">
        <w:rPr>
          <w:b/>
          <w:sz w:val="20"/>
        </w:rPr>
        <w:t>Šaltinis</w:t>
      </w:r>
      <w:r w:rsidRPr="003D3D4B">
        <w:rPr>
          <w:sz w:val="20"/>
        </w:rPr>
        <w:t>: sudaryta šio darbo autorės</w:t>
      </w:r>
    </w:p>
    <w:p w:rsidR="00D25CE7" w:rsidRDefault="00D25CE7" w:rsidP="00F6568D">
      <w:pPr>
        <w:sectPr w:rsidR="00D25CE7" w:rsidSect="00D25CE7">
          <w:pgSz w:w="12240" w:h="15840"/>
          <w:pgMar w:top="1138" w:right="562" w:bottom="1138" w:left="1411" w:header="720" w:footer="720" w:gutter="0"/>
          <w:cols w:space="720"/>
          <w:docGrid w:linePitch="360"/>
        </w:sectPr>
      </w:pPr>
    </w:p>
    <w:p w:rsidR="00D25CE7" w:rsidRDefault="00D25CE7" w:rsidP="00D25CE7">
      <w:pPr>
        <w:pStyle w:val="Caption"/>
      </w:pPr>
      <w:r w:rsidRPr="0028533C">
        <w:lastRenderedPageBreak/>
        <w:t>1 lentelė.</w:t>
      </w:r>
      <w:r>
        <w:t xml:space="preserve"> </w:t>
      </w:r>
      <w:r w:rsidRPr="003E6F6F">
        <w:t>Lengvatos dirbant efektyvumo tikrinimas: įtakos nedarbo draudimo išmokas gaunantiems asmenims įvertinimas</w:t>
      </w:r>
    </w:p>
    <w:tbl>
      <w:tblPr>
        <w:tblW w:w="13284"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tblPr>
      <w:tblGrid>
        <w:gridCol w:w="346"/>
        <w:gridCol w:w="1814"/>
        <w:gridCol w:w="1051"/>
        <w:gridCol w:w="824"/>
        <w:gridCol w:w="824"/>
        <w:gridCol w:w="826"/>
        <w:gridCol w:w="946"/>
        <w:gridCol w:w="945"/>
        <w:gridCol w:w="667"/>
        <w:gridCol w:w="667"/>
        <w:gridCol w:w="667"/>
        <w:gridCol w:w="833"/>
        <w:gridCol w:w="920"/>
        <w:gridCol w:w="1008"/>
        <w:gridCol w:w="946"/>
      </w:tblGrid>
      <w:tr w:rsidR="00D25CE7" w:rsidRPr="009F6960" w:rsidTr="00D25CE7">
        <w:trPr>
          <w:trHeight w:val="195"/>
        </w:trPr>
        <w:tc>
          <w:tcPr>
            <w:tcW w:w="346" w:type="dxa"/>
            <w:tcBorders>
              <w:top w:val="single" w:sz="12" w:space="0" w:color="auto"/>
              <w:bottom w:val="single" w:sz="12" w:space="0" w:color="auto"/>
            </w:tcBorders>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p>
        </w:tc>
        <w:tc>
          <w:tcPr>
            <w:tcW w:w="1814" w:type="dxa"/>
            <w:tcBorders>
              <w:top w:val="single" w:sz="12" w:space="0" w:color="auto"/>
              <w:bottom w:val="single" w:sz="12" w:space="0" w:color="auto"/>
            </w:tcBorders>
            <w:shd w:val="clear" w:color="auto" w:fill="D9D9D9" w:themeFill="background1" w:themeFillShade="D9"/>
            <w:noWrap/>
            <w:vAlign w:val="center"/>
            <w:hideMark/>
          </w:tcPr>
          <w:p w:rsidR="00D25CE7" w:rsidRPr="009F6960" w:rsidRDefault="00D25CE7" w:rsidP="00D25CE7">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Šeimos tipas (</w:t>
            </w:r>
            <w:r>
              <w:rPr>
                <w:rFonts w:eastAsia="Times New Roman"/>
                <w:b/>
                <w:sz w:val="15"/>
                <w:szCs w:val="15"/>
                <w:u w:val="single"/>
              </w:rPr>
              <w:t>visi neaktyvūs</w:t>
            </w:r>
            <w:r w:rsidRPr="009F6960">
              <w:rPr>
                <w:rFonts w:eastAsia="Times New Roman"/>
                <w:b/>
                <w:sz w:val="15"/>
                <w:szCs w:val="15"/>
              </w:rPr>
              <w:t>)</w:t>
            </w:r>
          </w:p>
        </w:tc>
        <w:tc>
          <w:tcPr>
            <w:tcW w:w="1051" w:type="dxa"/>
            <w:tcBorders>
              <w:top w:val="single" w:sz="12" w:space="0" w:color="auto"/>
              <w:bottom w:val="single" w:sz="12" w:space="0" w:color="auto"/>
            </w:tcBorders>
            <w:shd w:val="clear" w:color="auto" w:fill="D9D9D9" w:themeFill="background1" w:themeFillShade="D9"/>
            <w:noWrap/>
            <w:vAlign w:val="center"/>
            <w:hideMark/>
          </w:tcPr>
          <w:p w:rsidR="00D25CE7" w:rsidRPr="009F6960" w:rsidRDefault="00D25CE7" w:rsidP="00D25CE7">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Darbo pajamos</w:t>
            </w:r>
          </w:p>
        </w:tc>
        <w:tc>
          <w:tcPr>
            <w:tcW w:w="824" w:type="dxa"/>
            <w:tcBorders>
              <w:top w:val="single" w:sz="12" w:space="0" w:color="auto"/>
              <w:bottom w:val="single" w:sz="12" w:space="0" w:color="auto"/>
            </w:tcBorders>
            <w:shd w:val="clear" w:color="auto" w:fill="D9D9D9" w:themeFill="background1" w:themeFillShade="D9"/>
            <w:noWrap/>
            <w:vAlign w:val="center"/>
            <w:hideMark/>
          </w:tcPr>
          <w:p w:rsidR="00D25CE7" w:rsidRPr="009F6960" w:rsidRDefault="00D25CE7" w:rsidP="00D25CE7">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NPD / PNPD</w:t>
            </w:r>
          </w:p>
        </w:tc>
        <w:tc>
          <w:tcPr>
            <w:tcW w:w="824" w:type="dxa"/>
            <w:tcBorders>
              <w:top w:val="single" w:sz="12" w:space="0" w:color="auto"/>
              <w:bottom w:val="single" w:sz="12" w:space="0" w:color="auto"/>
            </w:tcBorders>
            <w:shd w:val="clear" w:color="auto" w:fill="D9D9D9" w:themeFill="background1" w:themeFillShade="D9"/>
            <w:noWrap/>
            <w:vAlign w:val="center"/>
            <w:hideMark/>
          </w:tcPr>
          <w:p w:rsidR="00D25CE7" w:rsidRPr="009F6960" w:rsidRDefault="00D25CE7" w:rsidP="00D25CE7">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GPM</w:t>
            </w:r>
          </w:p>
        </w:tc>
        <w:tc>
          <w:tcPr>
            <w:tcW w:w="826" w:type="dxa"/>
            <w:tcBorders>
              <w:top w:val="single" w:sz="12" w:space="0" w:color="auto"/>
              <w:bottom w:val="single" w:sz="12" w:space="0" w:color="auto"/>
            </w:tcBorders>
            <w:shd w:val="clear" w:color="auto" w:fill="D9D9D9" w:themeFill="background1" w:themeFillShade="D9"/>
            <w:noWrap/>
            <w:vAlign w:val="center"/>
            <w:hideMark/>
          </w:tcPr>
          <w:p w:rsidR="00D25CE7" w:rsidRPr="009F6960" w:rsidRDefault="00D25CE7" w:rsidP="00D25CE7">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SD įmokos</w:t>
            </w:r>
          </w:p>
        </w:tc>
        <w:tc>
          <w:tcPr>
            <w:tcW w:w="946" w:type="dxa"/>
            <w:tcBorders>
              <w:top w:val="single" w:sz="12" w:space="0" w:color="auto"/>
              <w:bottom w:val="single" w:sz="12" w:space="0" w:color="auto"/>
            </w:tcBorders>
            <w:shd w:val="clear" w:color="auto" w:fill="D9D9D9" w:themeFill="background1" w:themeFillShade="D9"/>
            <w:noWrap/>
            <w:vAlign w:val="center"/>
            <w:hideMark/>
          </w:tcPr>
          <w:p w:rsidR="00D25CE7" w:rsidRPr="009F6960" w:rsidRDefault="00D25CE7" w:rsidP="00D25CE7">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NETO pajamos</w:t>
            </w:r>
          </w:p>
        </w:tc>
        <w:tc>
          <w:tcPr>
            <w:tcW w:w="945" w:type="dxa"/>
            <w:tcBorders>
              <w:top w:val="single" w:sz="12" w:space="0" w:color="auto"/>
              <w:bottom w:val="single" w:sz="12" w:space="0" w:color="auto"/>
            </w:tcBorders>
            <w:shd w:val="clear" w:color="auto" w:fill="D9D9D9" w:themeFill="background1" w:themeFillShade="D9"/>
            <w:noWrap/>
            <w:vAlign w:val="center"/>
            <w:hideMark/>
          </w:tcPr>
          <w:p w:rsidR="00D25CE7" w:rsidRPr="009F6960" w:rsidRDefault="00D25CE7" w:rsidP="00D25CE7">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NDI / SP</w:t>
            </w:r>
          </w:p>
        </w:tc>
        <w:tc>
          <w:tcPr>
            <w:tcW w:w="667" w:type="dxa"/>
            <w:tcBorders>
              <w:top w:val="single" w:sz="12" w:space="0" w:color="auto"/>
              <w:bottom w:val="single" w:sz="12" w:space="0" w:color="auto"/>
            </w:tcBorders>
            <w:shd w:val="clear" w:color="auto" w:fill="D9D9D9" w:themeFill="background1" w:themeFillShade="D9"/>
            <w:noWrap/>
            <w:vAlign w:val="center"/>
            <w:hideMark/>
          </w:tcPr>
          <w:p w:rsidR="00D25CE7" w:rsidRPr="003A56E6" w:rsidRDefault="00D25CE7" w:rsidP="00D25CE7">
            <w:pPr>
              <w:widowControl/>
              <w:spacing w:after="0" w:line="240" w:lineRule="auto"/>
              <w:ind w:firstLine="0"/>
              <w:contextualSpacing w:val="0"/>
              <w:jc w:val="center"/>
              <w:rPr>
                <w:rFonts w:eastAsia="Times New Roman"/>
                <w:b/>
                <w:sz w:val="15"/>
                <w:szCs w:val="15"/>
                <w:vertAlign w:val="subscript"/>
              </w:rPr>
            </w:pPr>
            <w:r w:rsidRPr="009F6960">
              <w:rPr>
                <w:rFonts w:eastAsia="Times New Roman"/>
                <w:b/>
                <w:sz w:val="15"/>
                <w:szCs w:val="15"/>
              </w:rPr>
              <w:t>Komp</w:t>
            </w:r>
            <w:r>
              <w:rPr>
                <w:rFonts w:eastAsia="Times New Roman"/>
                <w:b/>
                <w:sz w:val="15"/>
                <w:szCs w:val="15"/>
                <w:vertAlign w:val="subscript"/>
              </w:rPr>
              <w:t>1</w:t>
            </w:r>
          </w:p>
        </w:tc>
        <w:tc>
          <w:tcPr>
            <w:tcW w:w="667" w:type="dxa"/>
            <w:tcBorders>
              <w:top w:val="single" w:sz="12" w:space="0" w:color="auto"/>
              <w:bottom w:val="single" w:sz="12" w:space="0" w:color="auto"/>
            </w:tcBorders>
            <w:shd w:val="clear" w:color="auto" w:fill="D9D9D9" w:themeFill="background1" w:themeFillShade="D9"/>
            <w:noWrap/>
            <w:vAlign w:val="center"/>
            <w:hideMark/>
          </w:tcPr>
          <w:p w:rsidR="00D25CE7" w:rsidRPr="003A56E6" w:rsidRDefault="00D25CE7" w:rsidP="00D25CE7">
            <w:pPr>
              <w:widowControl/>
              <w:spacing w:after="0" w:line="240" w:lineRule="auto"/>
              <w:ind w:firstLine="0"/>
              <w:contextualSpacing w:val="0"/>
              <w:jc w:val="center"/>
              <w:rPr>
                <w:rFonts w:eastAsia="Times New Roman"/>
                <w:b/>
                <w:sz w:val="15"/>
                <w:szCs w:val="15"/>
                <w:vertAlign w:val="subscript"/>
              </w:rPr>
            </w:pPr>
            <w:r w:rsidRPr="009F6960">
              <w:rPr>
                <w:rFonts w:eastAsia="Times New Roman"/>
                <w:b/>
                <w:sz w:val="15"/>
                <w:szCs w:val="15"/>
              </w:rPr>
              <w:t>Komp</w:t>
            </w:r>
            <w:r>
              <w:rPr>
                <w:rFonts w:eastAsia="Times New Roman"/>
                <w:b/>
                <w:sz w:val="15"/>
                <w:szCs w:val="15"/>
                <w:vertAlign w:val="subscript"/>
              </w:rPr>
              <w:t>2</w:t>
            </w:r>
          </w:p>
        </w:tc>
        <w:tc>
          <w:tcPr>
            <w:tcW w:w="667" w:type="dxa"/>
            <w:tcBorders>
              <w:top w:val="single" w:sz="12" w:space="0" w:color="auto"/>
              <w:bottom w:val="single" w:sz="12" w:space="0" w:color="auto"/>
            </w:tcBorders>
            <w:shd w:val="clear" w:color="auto" w:fill="D9D9D9" w:themeFill="background1" w:themeFillShade="D9"/>
            <w:noWrap/>
            <w:vAlign w:val="center"/>
            <w:hideMark/>
          </w:tcPr>
          <w:p w:rsidR="00D25CE7" w:rsidRPr="003A56E6" w:rsidRDefault="00D25CE7" w:rsidP="00D25CE7">
            <w:pPr>
              <w:widowControl/>
              <w:spacing w:after="0" w:line="240" w:lineRule="auto"/>
              <w:ind w:firstLine="0"/>
              <w:contextualSpacing w:val="0"/>
              <w:jc w:val="center"/>
              <w:rPr>
                <w:rFonts w:eastAsia="Times New Roman"/>
                <w:b/>
                <w:sz w:val="15"/>
                <w:szCs w:val="15"/>
                <w:vertAlign w:val="subscript"/>
              </w:rPr>
            </w:pPr>
            <w:r w:rsidRPr="009F6960">
              <w:rPr>
                <w:rFonts w:eastAsia="Times New Roman"/>
                <w:b/>
                <w:sz w:val="15"/>
                <w:szCs w:val="15"/>
              </w:rPr>
              <w:t>Komp</w:t>
            </w:r>
            <w:r>
              <w:rPr>
                <w:rFonts w:eastAsia="Times New Roman"/>
                <w:b/>
                <w:sz w:val="15"/>
                <w:szCs w:val="15"/>
                <w:vertAlign w:val="subscript"/>
              </w:rPr>
              <w:t>3</w:t>
            </w:r>
          </w:p>
        </w:tc>
        <w:tc>
          <w:tcPr>
            <w:tcW w:w="833" w:type="dxa"/>
            <w:tcBorders>
              <w:top w:val="single" w:sz="12" w:space="0" w:color="auto"/>
              <w:bottom w:val="single" w:sz="12" w:space="0" w:color="auto"/>
            </w:tcBorders>
            <w:shd w:val="clear" w:color="auto" w:fill="D9D9D9" w:themeFill="background1" w:themeFillShade="D9"/>
            <w:noWrap/>
            <w:vAlign w:val="center"/>
            <w:hideMark/>
          </w:tcPr>
          <w:p w:rsidR="00D25CE7" w:rsidRPr="009F6960" w:rsidRDefault="00D25CE7" w:rsidP="00D25CE7">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Parama vaikams</w:t>
            </w:r>
          </w:p>
        </w:tc>
        <w:tc>
          <w:tcPr>
            <w:tcW w:w="920" w:type="dxa"/>
            <w:tcBorders>
              <w:top w:val="single" w:sz="12" w:space="0" w:color="auto"/>
              <w:bottom w:val="single" w:sz="12" w:space="0" w:color="auto"/>
            </w:tcBorders>
            <w:shd w:val="clear" w:color="auto" w:fill="D9D9D9" w:themeFill="background1" w:themeFillShade="D9"/>
            <w:noWrap/>
            <w:vAlign w:val="center"/>
            <w:hideMark/>
          </w:tcPr>
          <w:p w:rsidR="00D25CE7" w:rsidRPr="009F6960" w:rsidRDefault="00D25CE7" w:rsidP="00D25CE7">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Išlaikymas</w:t>
            </w:r>
          </w:p>
        </w:tc>
        <w:tc>
          <w:tcPr>
            <w:tcW w:w="1008" w:type="dxa"/>
            <w:tcBorders>
              <w:top w:val="single" w:sz="12" w:space="0" w:color="auto"/>
              <w:bottom w:val="single" w:sz="12" w:space="0" w:color="auto"/>
            </w:tcBorders>
            <w:shd w:val="clear" w:color="auto" w:fill="D9D9D9" w:themeFill="background1" w:themeFillShade="D9"/>
            <w:noWrap/>
            <w:vAlign w:val="center"/>
            <w:hideMark/>
          </w:tcPr>
          <w:p w:rsidR="00D25CE7" w:rsidRPr="00C04485" w:rsidRDefault="00D25CE7" w:rsidP="00D25CE7">
            <w:pPr>
              <w:widowControl/>
              <w:spacing w:after="0" w:line="240" w:lineRule="auto"/>
              <w:ind w:firstLine="0"/>
              <w:contextualSpacing w:val="0"/>
              <w:jc w:val="center"/>
              <w:rPr>
                <w:rFonts w:eastAsia="Times New Roman"/>
                <w:b/>
                <w:bCs/>
                <w:sz w:val="15"/>
                <w:szCs w:val="15"/>
              </w:rPr>
            </w:pPr>
            <w:r>
              <w:rPr>
                <w:rFonts w:eastAsia="Times New Roman"/>
                <w:b/>
                <w:bCs/>
                <w:sz w:val="15"/>
                <w:szCs w:val="15"/>
              </w:rPr>
              <w:t>GEROVĖ</w:t>
            </w:r>
            <w:r w:rsidRPr="00C04485">
              <w:rPr>
                <w:rFonts w:eastAsia="Times New Roman"/>
                <w:b/>
                <w:bCs/>
                <w:sz w:val="15"/>
                <w:szCs w:val="15"/>
              </w:rPr>
              <w:t>:</w:t>
            </w:r>
          </w:p>
        </w:tc>
        <w:tc>
          <w:tcPr>
            <w:tcW w:w="946" w:type="dxa"/>
            <w:tcBorders>
              <w:top w:val="single" w:sz="12" w:space="0" w:color="auto"/>
              <w:bottom w:val="single" w:sz="12" w:space="0" w:color="auto"/>
            </w:tcBorders>
            <w:shd w:val="clear" w:color="auto" w:fill="D9D9D9" w:themeFill="background1" w:themeFillShade="D9"/>
            <w:noWrap/>
            <w:vAlign w:val="center"/>
            <w:hideMark/>
          </w:tcPr>
          <w:p w:rsidR="00D25CE7" w:rsidRPr="00C04485" w:rsidRDefault="00D25CE7" w:rsidP="00D25CE7">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Vienam asmeniui:</w:t>
            </w:r>
          </w:p>
        </w:tc>
      </w:tr>
      <w:tr w:rsidR="00D25CE7" w:rsidRPr="009F6960" w:rsidTr="00D25CE7">
        <w:trPr>
          <w:trHeight w:val="195"/>
        </w:trPr>
        <w:tc>
          <w:tcPr>
            <w:tcW w:w="346" w:type="dxa"/>
            <w:vMerge w:val="restart"/>
            <w:tcBorders>
              <w:top w:val="single" w:sz="12" w:space="0" w:color="auto"/>
              <w:bottom w:val="single" w:sz="2" w:space="0" w:color="auto"/>
            </w:tcBorders>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r>
              <w:rPr>
                <w:rFonts w:eastAsia="Times New Roman"/>
                <w:b/>
                <w:sz w:val="15"/>
                <w:szCs w:val="15"/>
              </w:rPr>
              <w:t>3</w:t>
            </w:r>
          </w:p>
        </w:tc>
        <w:tc>
          <w:tcPr>
            <w:tcW w:w="1814" w:type="dxa"/>
            <w:tcBorders>
              <w:top w:val="single" w:sz="12" w:space="0" w:color="auto"/>
              <w:bottom w:val="single" w:sz="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left"/>
              <w:rPr>
                <w:rFonts w:eastAsia="Times New Roman"/>
                <w:sz w:val="15"/>
                <w:szCs w:val="15"/>
                <w:lang w:val="en-US"/>
              </w:rPr>
            </w:pPr>
            <w:r w:rsidRPr="00DF7832">
              <w:rPr>
                <w:rFonts w:eastAsia="Times New Roman"/>
                <w:sz w:val="15"/>
                <w:szCs w:val="15"/>
                <w:lang w:val="en-US"/>
              </w:rPr>
              <w:t>1 B + 1 N + 1 V</w:t>
            </w:r>
          </w:p>
        </w:tc>
        <w:tc>
          <w:tcPr>
            <w:tcW w:w="1051" w:type="dxa"/>
            <w:tcBorders>
              <w:top w:val="single" w:sz="12" w:space="0" w:color="auto"/>
              <w:bottom w:val="single" w:sz="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824" w:type="dxa"/>
            <w:tcBorders>
              <w:top w:val="single" w:sz="12" w:space="0" w:color="auto"/>
              <w:bottom w:val="single" w:sz="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824" w:type="dxa"/>
            <w:tcBorders>
              <w:top w:val="single" w:sz="12" w:space="0" w:color="auto"/>
              <w:bottom w:val="single" w:sz="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826" w:type="dxa"/>
            <w:tcBorders>
              <w:top w:val="single" w:sz="12" w:space="0" w:color="auto"/>
              <w:bottom w:val="single" w:sz="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946" w:type="dxa"/>
            <w:tcBorders>
              <w:top w:val="single" w:sz="12" w:space="0" w:color="auto"/>
              <w:bottom w:val="single" w:sz="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945" w:type="dxa"/>
            <w:tcBorders>
              <w:top w:val="single" w:sz="12" w:space="0" w:color="auto"/>
              <w:bottom w:val="single" w:sz="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567 / 403</w:t>
            </w:r>
          </w:p>
        </w:tc>
        <w:tc>
          <w:tcPr>
            <w:tcW w:w="667" w:type="dxa"/>
            <w:tcBorders>
              <w:top w:val="single" w:sz="12" w:space="0" w:color="auto"/>
              <w:bottom w:val="single" w:sz="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495</w:t>
            </w:r>
          </w:p>
        </w:tc>
        <w:tc>
          <w:tcPr>
            <w:tcW w:w="667" w:type="dxa"/>
            <w:tcBorders>
              <w:top w:val="single" w:sz="12" w:space="0" w:color="auto"/>
              <w:bottom w:val="single" w:sz="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15</w:t>
            </w:r>
          </w:p>
        </w:tc>
        <w:tc>
          <w:tcPr>
            <w:tcW w:w="667" w:type="dxa"/>
            <w:tcBorders>
              <w:top w:val="single" w:sz="12" w:space="0" w:color="auto"/>
              <w:bottom w:val="single" w:sz="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3</w:t>
            </w:r>
          </w:p>
        </w:tc>
        <w:tc>
          <w:tcPr>
            <w:tcW w:w="833" w:type="dxa"/>
            <w:tcBorders>
              <w:top w:val="single" w:sz="12" w:space="0" w:color="auto"/>
              <w:bottom w:val="single" w:sz="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93</w:t>
            </w:r>
          </w:p>
        </w:tc>
        <w:tc>
          <w:tcPr>
            <w:tcW w:w="920" w:type="dxa"/>
            <w:tcBorders>
              <w:top w:val="single" w:sz="12" w:space="0" w:color="auto"/>
              <w:bottom w:val="single" w:sz="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w:t>
            </w:r>
          </w:p>
        </w:tc>
        <w:tc>
          <w:tcPr>
            <w:tcW w:w="1008" w:type="dxa"/>
            <w:tcBorders>
              <w:top w:val="single" w:sz="12" w:space="0" w:color="auto"/>
              <w:bottom w:val="single" w:sz="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b/>
                <w:bCs/>
                <w:sz w:val="15"/>
                <w:szCs w:val="15"/>
                <w:lang w:val="en-US"/>
              </w:rPr>
            </w:pPr>
            <w:r w:rsidRPr="00AD2260">
              <w:rPr>
                <w:rFonts w:eastAsia="Times New Roman"/>
                <w:b/>
                <w:bCs/>
                <w:sz w:val="15"/>
                <w:szCs w:val="15"/>
                <w:lang w:val="en-US"/>
              </w:rPr>
              <w:t>1</w:t>
            </w:r>
            <w:r>
              <w:rPr>
                <w:rFonts w:eastAsia="Times New Roman"/>
                <w:b/>
                <w:bCs/>
                <w:sz w:val="15"/>
                <w:szCs w:val="15"/>
                <w:lang w:val="en-US"/>
              </w:rPr>
              <w:t> 576</w:t>
            </w:r>
          </w:p>
        </w:tc>
        <w:tc>
          <w:tcPr>
            <w:tcW w:w="946" w:type="dxa"/>
            <w:tcBorders>
              <w:top w:val="single" w:sz="12" w:space="0" w:color="auto"/>
              <w:bottom w:val="single" w:sz="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b/>
                <w:bCs/>
                <w:sz w:val="15"/>
                <w:szCs w:val="15"/>
                <w:lang w:val="en-US"/>
              </w:rPr>
            </w:pPr>
            <w:r>
              <w:rPr>
                <w:rFonts w:eastAsia="Times New Roman"/>
                <w:b/>
                <w:bCs/>
                <w:sz w:val="15"/>
                <w:szCs w:val="15"/>
                <w:lang w:val="en-US"/>
              </w:rPr>
              <w:t>525</w:t>
            </w:r>
          </w:p>
        </w:tc>
      </w:tr>
      <w:tr w:rsidR="00D25CE7" w:rsidRPr="009F6960" w:rsidTr="00D25CE7">
        <w:trPr>
          <w:trHeight w:val="195"/>
        </w:trPr>
        <w:tc>
          <w:tcPr>
            <w:tcW w:w="346" w:type="dxa"/>
            <w:vMerge/>
            <w:tcBorders>
              <w:top w:val="single" w:sz="2" w:space="0" w:color="auto"/>
              <w:bottom w:val="single" w:sz="12" w:space="0" w:color="auto"/>
            </w:tcBorders>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p>
        </w:tc>
        <w:tc>
          <w:tcPr>
            <w:tcW w:w="1814" w:type="dxa"/>
            <w:tcBorders>
              <w:top w:val="single" w:sz="2" w:space="0" w:color="auto"/>
              <w:bottom w:val="single" w:sz="1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left"/>
              <w:rPr>
                <w:rFonts w:eastAsia="Times New Roman"/>
                <w:sz w:val="15"/>
                <w:szCs w:val="15"/>
                <w:lang w:val="en-US"/>
              </w:rPr>
            </w:pPr>
            <w:r w:rsidRPr="00DF7832">
              <w:rPr>
                <w:rFonts w:eastAsia="Times New Roman"/>
                <w:sz w:val="15"/>
                <w:szCs w:val="15"/>
                <w:lang w:val="en-US"/>
              </w:rPr>
              <w:t>2 N + 1 V</w:t>
            </w:r>
          </w:p>
        </w:tc>
        <w:tc>
          <w:tcPr>
            <w:tcW w:w="1051" w:type="dxa"/>
            <w:tcBorders>
              <w:top w:val="single" w:sz="2" w:space="0" w:color="auto"/>
              <w:bottom w:val="single" w:sz="1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824" w:type="dxa"/>
            <w:tcBorders>
              <w:top w:val="single" w:sz="2" w:space="0" w:color="auto"/>
              <w:bottom w:val="single" w:sz="1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824" w:type="dxa"/>
            <w:tcBorders>
              <w:top w:val="single" w:sz="2" w:space="0" w:color="auto"/>
              <w:bottom w:val="single" w:sz="1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826" w:type="dxa"/>
            <w:tcBorders>
              <w:top w:val="single" w:sz="2" w:space="0" w:color="auto"/>
              <w:bottom w:val="single" w:sz="1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946" w:type="dxa"/>
            <w:tcBorders>
              <w:top w:val="single" w:sz="2" w:space="0" w:color="auto"/>
              <w:bottom w:val="single" w:sz="1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945" w:type="dxa"/>
            <w:tcBorders>
              <w:top w:val="single" w:sz="2" w:space="0" w:color="auto"/>
              <w:bottom w:val="single" w:sz="1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 xml:space="preserve">0 / </w:t>
            </w:r>
            <w:r w:rsidRPr="00AD2260">
              <w:rPr>
                <w:rFonts w:eastAsia="Times New Roman"/>
                <w:sz w:val="15"/>
                <w:szCs w:val="15"/>
                <w:lang w:val="en-US"/>
              </w:rPr>
              <w:t>875</w:t>
            </w:r>
          </w:p>
        </w:tc>
        <w:tc>
          <w:tcPr>
            <w:tcW w:w="667" w:type="dxa"/>
            <w:tcBorders>
              <w:top w:val="single" w:sz="2" w:space="0" w:color="auto"/>
              <w:bottom w:val="single" w:sz="1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495</w:t>
            </w:r>
          </w:p>
        </w:tc>
        <w:tc>
          <w:tcPr>
            <w:tcW w:w="667" w:type="dxa"/>
            <w:tcBorders>
              <w:top w:val="single" w:sz="2" w:space="0" w:color="auto"/>
              <w:bottom w:val="single" w:sz="1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20</w:t>
            </w:r>
          </w:p>
        </w:tc>
        <w:tc>
          <w:tcPr>
            <w:tcW w:w="667" w:type="dxa"/>
            <w:tcBorders>
              <w:top w:val="single" w:sz="2" w:space="0" w:color="auto"/>
              <w:bottom w:val="single" w:sz="1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4</w:t>
            </w:r>
          </w:p>
        </w:tc>
        <w:tc>
          <w:tcPr>
            <w:tcW w:w="833" w:type="dxa"/>
            <w:tcBorders>
              <w:top w:val="single" w:sz="2" w:space="0" w:color="auto"/>
              <w:bottom w:val="single" w:sz="1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93</w:t>
            </w:r>
          </w:p>
        </w:tc>
        <w:tc>
          <w:tcPr>
            <w:tcW w:w="920" w:type="dxa"/>
            <w:tcBorders>
              <w:top w:val="single" w:sz="2" w:space="0" w:color="auto"/>
              <w:bottom w:val="single" w:sz="1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1008" w:type="dxa"/>
            <w:tcBorders>
              <w:top w:val="single" w:sz="2" w:space="0" w:color="auto"/>
              <w:bottom w:val="single" w:sz="1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b/>
                <w:bCs/>
                <w:sz w:val="15"/>
                <w:szCs w:val="15"/>
                <w:lang w:val="en-US"/>
              </w:rPr>
            </w:pPr>
            <w:r w:rsidRPr="00AD2260">
              <w:rPr>
                <w:rFonts w:eastAsia="Times New Roman"/>
                <w:b/>
                <w:bCs/>
                <w:sz w:val="15"/>
                <w:szCs w:val="15"/>
                <w:lang w:val="en-US"/>
              </w:rPr>
              <w:t>1</w:t>
            </w:r>
            <w:r>
              <w:rPr>
                <w:rFonts w:eastAsia="Times New Roman"/>
                <w:b/>
                <w:bCs/>
                <w:sz w:val="15"/>
                <w:szCs w:val="15"/>
                <w:lang w:val="en-US"/>
              </w:rPr>
              <w:t> 487</w:t>
            </w:r>
          </w:p>
        </w:tc>
        <w:tc>
          <w:tcPr>
            <w:tcW w:w="946" w:type="dxa"/>
            <w:tcBorders>
              <w:top w:val="single" w:sz="2" w:space="0" w:color="auto"/>
              <w:bottom w:val="single" w:sz="12" w:space="0" w:color="auto"/>
            </w:tcBorders>
            <w:shd w:val="clear" w:color="auto" w:fill="FBD4B4" w:themeFill="accent6"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b/>
                <w:bCs/>
                <w:sz w:val="15"/>
                <w:szCs w:val="15"/>
                <w:lang w:val="en-US"/>
              </w:rPr>
            </w:pPr>
            <w:r>
              <w:rPr>
                <w:rFonts w:eastAsia="Times New Roman"/>
                <w:b/>
                <w:bCs/>
                <w:sz w:val="15"/>
                <w:szCs w:val="15"/>
                <w:lang w:val="en-US"/>
              </w:rPr>
              <w:t>496</w:t>
            </w:r>
          </w:p>
        </w:tc>
      </w:tr>
      <w:tr w:rsidR="00D25CE7" w:rsidRPr="009F6960" w:rsidTr="00D25CE7">
        <w:trPr>
          <w:trHeight w:val="195"/>
        </w:trPr>
        <w:tc>
          <w:tcPr>
            <w:tcW w:w="346" w:type="dxa"/>
            <w:vMerge w:val="restart"/>
            <w:tcBorders>
              <w:top w:val="single" w:sz="12" w:space="0" w:color="auto"/>
            </w:tcBorders>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r>
              <w:rPr>
                <w:rFonts w:eastAsia="Times New Roman"/>
                <w:b/>
                <w:sz w:val="15"/>
                <w:szCs w:val="15"/>
              </w:rPr>
              <w:t>4</w:t>
            </w:r>
          </w:p>
        </w:tc>
        <w:tc>
          <w:tcPr>
            <w:tcW w:w="1814" w:type="dxa"/>
            <w:tcBorders>
              <w:top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left"/>
              <w:rPr>
                <w:rFonts w:eastAsia="Times New Roman"/>
                <w:sz w:val="15"/>
                <w:szCs w:val="15"/>
                <w:lang w:val="en-US"/>
              </w:rPr>
            </w:pPr>
            <w:r w:rsidRPr="00DF7832">
              <w:rPr>
                <w:rFonts w:eastAsia="Times New Roman"/>
                <w:sz w:val="15"/>
                <w:szCs w:val="15"/>
                <w:lang w:val="en-US"/>
              </w:rPr>
              <w:t>1 B + 1 N + 2 V</w:t>
            </w:r>
          </w:p>
        </w:tc>
        <w:tc>
          <w:tcPr>
            <w:tcW w:w="1051" w:type="dxa"/>
            <w:tcBorders>
              <w:top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824" w:type="dxa"/>
            <w:tcBorders>
              <w:top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824" w:type="dxa"/>
            <w:tcBorders>
              <w:top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826" w:type="dxa"/>
            <w:tcBorders>
              <w:top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946" w:type="dxa"/>
            <w:tcBorders>
              <w:top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945" w:type="dxa"/>
            <w:tcBorders>
              <w:top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567 / 666</w:t>
            </w:r>
          </w:p>
        </w:tc>
        <w:tc>
          <w:tcPr>
            <w:tcW w:w="667" w:type="dxa"/>
            <w:tcBorders>
              <w:top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495</w:t>
            </w:r>
          </w:p>
        </w:tc>
        <w:tc>
          <w:tcPr>
            <w:tcW w:w="667" w:type="dxa"/>
            <w:tcBorders>
              <w:top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1</w:t>
            </w:r>
            <w:r>
              <w:rPr>
                <w:rFonts w:eastAsia="Times New Roman"/>
                <w:sz w:val="15"/>
                <w:szCs w:val="15"/>
                <w:lang w:val="en-US"/>
              </w:rPr>
              <w:t>2</w:t>
            </w:r>
          </w:p>
        </w:tc>
        <w:tc>
          <w:tcPr>
            <w:tcW w:w="667" w:type="dxa"/>
            <w:tcBorders>
              <w:top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833" w:type="dxa"/>
            <w:tcBorders>
              <w:top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186</w:t>
            </w:r>
          </w:p>
        </w:tc>
        <w:tc>
          <w:tcPr>
            <w:tcW w:w="920" w:type="dxa"/>
            <w:tcBorders>
              <w:top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1008" w:type="dxa"/>
            <w:tcBorders>
              <w:top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b/>
                <w:bCs/>
                <w:sz w:val="15"/>
                <w:szCs w:val="15"/>
                <w:lang w:val="en-US"/>
              </w:rPr>
            </w:pPr>
            <w:r>
              <w:rPr>
                <w:rFonts w:eastAsia="Times New Roman"/>
                <w:b/>
                <w:bCs/>
                <w:sz w:val="15"/>
                <w:szCs w:val="15"/>
                <w:lang w:val="en-US"/>
              </w:rPr>
              <w:t>1 926</w:t>
            </w:r>
          </w:p>
        </w:tc>
        <w:tc>
          <w:tcPr>
            <w:tcW w:w="946" w:type="dxa"/>
            <w:tcBorders>
              <w:top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b/>
                <w:bCs/>
                <w:sz w:val="15"/>
                <w:szCs w:val="15"/>
                <w:lang w:val="en-US"/>
              </w:rPr>
            </w:pPr>
            <w:r>
              <w:rPr>
                <w:rFonts w:eastAsia="Times New Roman"/>
                <w:b/>
                <w:bCs/>
                <w:sz w:val="15"/>
                <w:szCs w:val="15"/>
                <w:lang w:val="en-US"/>
              </w:rPr>
              <w:t>482</w:t>
            </w:r>
          </w:p>
        </w:tc>
      </w:tr>
      <w:tr w:rsidR="00D25CE7" w:rsidRPr="009F6960" w:rsidTr="00D25CE7">
        <w:trPr>
          <w:trHeight w:val="195"/>
        </w:trPr>
        <w:tc>
          <w:tcPr>
            <w:tcW w:w="346" w:type="dxa"/>
            <w:vMerge/>
            <w:tcBorders>
              <w:bottom w:val="single" w:sz="12" w:space="0" w:color="auto"/>
            </w:tcBorders>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p>
        </w:tc>
        <w:tc>
          <w:tcPr>
            <w:tcW w:w="1814" w:type="dxa"/>
            <w:tcBorders>
              <w:bottom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left"/>
              <w:rPr>
                <w:rFonts w:eastAsia="Times New Roman"/>
                <w:sz w:val="15"/>
                <w:szCs w:val="15"/>
                <w:lang w:val="en-US"/>
              </w:rPr>
            </w:pPr>
            <w:r w:rsidRPr="00DF7832">
              <w:rPr>
                <w:rFonts w:eastAsia="Times New Roman"/>
                <w:sz w:val="15"/>
                <w:szCs w:val="15"/>
                <w:lang w:val="en-US"/>
              </w:rPr>
              <w:t>2 N + 2 V</w:t>
            </w:r>
          </w:p>
        </w:tc>
        <w:tc>
          <w:tcPr>
            <w:tcW w:w="1051" w:type="dxa"/>
            <w:tcBorders>
              <w:bottom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824" w:type="dxa"/>
            <w:tcBorders>
              <w:bottom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824" w:type="dxa"/>
            <w:tcBorders>
              <w:bottom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826" w:type="dxa"/>
            <w:tcBorders>
              <w:bottom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946" w:type="dxa"/>
            <w:tcBorders>
              <w:bottom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945" w:type="dxa"/>
            <w:tcBorders>
              <w:bottom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 xml:space="preserve">0 / </w:t>
            </w:r>
            <w:r w:rsidRPr="00AD2260">
              <w:rPr>
                <w:rFonts w:eastAsia="Times New Roman"/>
                <w:sz w:val="15"/>
                <w:szCs w:val="15"/>
                <w:lang w:val="en-US"/>
              </w:rPr>
              <w:t>1</w:t>
            </w:r>
            <w:r>
              <w:rPr>
                <w:rFonts w:eastAsia="Times New Roman"/>
                <w:sz w:val="15"/>
                <w:szCs w:val="15"/>
                <w:lang w:val="en-US"/>
              </w:rPr>
              <w:t> </w:t>
            </w:r>
            <w:r w:rsidRPr="00AD2260">
              <w:rPr>
                <w:rFonts w:eastAsia="Times New Roman"/>
                <w:sz w:val="15"/>
                <w:szCs w:val="15"/>
                <w:lang w:val="en-US"/>
              </w:rPr>
              <w:t>120</w:t>
            </w:r>
          </w:p>
        </w:tc>
        <w:tc>
          <w:tcPr>
            <w:tcW w:w="667" w:type="dxa"/>
            <w:tcBorders>
              <w:bottom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495</w:t>
            </w:r>
          </w:p>
        </w:tc>
        <w:tc>
          <w:tcPr>
            <w:tcW w:w="667" w:type="dxa"/>
            <w:tcBorders>
              <w:bottom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18</w:t>
            </w:r>
          </w:p>
        </w:tc>
        <w:tc>
          <w:tcPr>
            <w:tcW w:w="667" w:type="dxa"/>
            <w:tcBorders>
              <w:bottom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4</w:t>
            </w:r>
          </w:p>
        </w:tc>
        <w:tc>
          <w:tcPr>
            <w:tcW w:w="833" w:type="dxa"/>
            <w:tcBorders>
              <w:bottom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186</w:t>
            </w:r>
          </w:p>
        </w:tc>
        <w:tc>
          <w:tcPr>
            <w:tcW w:w="920" w:type="dxa"/>
            <w:tcBorders>
              <w:bottom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sz w:val="15"/>
                <w:szCs w:val="15"/>
                <w:lang w:val="en-US"/>
              </w:rPr>
            </w:pPr>
            <w:r w:rsidRPr="00AD2260">
              <w:rPr>
                <w:rFonts w:eastAsia="Times New Roman"/>
                <w:sz w:val="15"/>
                <w:szCs w:val="15"/>
                <w:lang w:val="en-US"/>
              </w:rPr>
              <w:t>-</w:t>
            </w:r>
          </w:p>
        </w:tc>
        <w:tc>
          <w:tcPr>
            <w:tcW w:w="1008" w:type="dxa"/>
            <w:tcBorders>
              <w:bottom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b/>
                <w:bCs/>
                <w:sz w:val="15"/>
                <w:szCs w:val="15"/>
                <w:lang w:val="en-US"/>
              </w:rPr>
            </w:pPr>
            <w:r w:rsidRPr="00AD2260">
              <w:rPr>
                <w:rFonts w:eastAsia="Times New Roman"/>
                <w:b/>
                <w:bCs/>
                <w:sz w:val="15"/>
                <w:szCs w:val="15"/>
                <w:lang w:val="en-US"/>
              </w:rPr>
              <w:t>1</w:t>
            </w:r>
            <w:r>
              <w:rPr>
                <w:rFonts w:eastAsia="Times New Roman"/>
                <w:b/>
                <w:bCs/>
                <w:sz w:val="15"/>
                <w:szCs w:val="15"/>
                <w:lang w:val="en-US"/>
              </w:rPr>
              <w:t> 823</w:t>
            </w:r>
          </w:p>
        </w:tc>
        <w:tc>
          <w:tcPr>
            <w:tcW w:w="946" w:type="dxa"/>
            <w:tcBorders>
              <w:bottom w:val="single" w:sz="12" w:space="0" w:color="auto"/>
            </w:tcBorders>
            <w:shd w:val="clear" w:color="auto" w:fill="B6DDE8" w:themeFill="accent5" w:themeFillTint="66"/>
            <w:noWrap/>
            <w:vAlign w:val="bottom"/>
            <w:hideMark/>
          </w:tcPr>
          <w:p w:rsidR="00D25CE7" w:rsidRPr="00AD2260" w:rsidRDefault="00D25CE7" w:rsidP="00D25CE7">
            <w:pPr>
              <w:widowControl/>
              <w:spacing w:after="0" w:line="240" w:lineRule="auto"/>
              <w:ind w:firstLine="0"/>
              <w:contextualSpacing w:val="0"/>
              <w:jc w:val="center"/>
              <w:rPr>
                <w:rFonts w:eastAsia="Times New Roman"/>
                <w:b/>
                <w:bCs/>
                <w:sz w:val="15"/>
                <w:szCs w:val="15"/>
                <w:lang w:val="en-US"/>
              </w:rPr>
            </w:pPr>
            <w:r>
              <w:rPr>
                <w:rFonts w:eastAsia="Times New Roman"/>
                <w:b/>
                <w:bCs/>
                <w:sz w:val="15"/>
                <w:szCs w:val="15"/>
                <w:lang w:val="en-US"/>
              </w:rPr>
              <w:t>456</w:t>
            </w:r>
          </w:p>
        </w:tc>
      </w:tr>
      <w:tr w:rsidR="00D25CE7" w:rsidRPr="009F6960" w:rsidTr="00D25CE7">
        <w:trPr>
          <w:trHeight w:val="195"/>
        </w:trPr>
        <w:tc>
          <w:tcPr>
            <w:tcW w:w="346" w:type="dxa"/>
            <w:tcBorders>
              <w:top w:val="single" w:sz="12" w:space="0" w:color="auto"/>
              <w:bottom w:val="single" w:sz="12" w:space="0" w:color="auto"/>
            </w:tcBorders>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p>
        </w:tc>
        <w:tc>
          <w:tcPr>
            <w:tcW w:w="1814" w:type="dxa"/>
            <w:tcBorders>
              <w:top w:val="single" w:sz="12" w:space="0" w:color="auto"/>
              <w:bottom w:val="single" w:sz="12" w:space="0" w:color="auto"/>
            </w:tcBorders>
            <w:shd w:val="clear" w:color="auto" w:fill="D9D9D9" w:themeFill="background1" w:themeFillShade="D9"/>
            <w:noWrap/>
            <w:vAlign w:val="center"/>
            <w:hideMark/>
          </w:tcPr>
          <w:p w:rsidR="00D25CE7" w:rsidRPr="009F6960" w:rsidRDefault="00D25CE7" w:rsidP="00D25CE7">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Šeimos tipas (</w:t>
            </w:r>
            <w:r w:rsidRPr="009F6960">
              <w:rPr>
                <w:rFonts w:eastAsia="Times New Roman"/>
                <w:b/>
                <w:sz w:val="15"/>
                <w:szCs w:val="15"/>
                <w:u w:val="single"/>
              </w:rPr>
              <w:t>aktyvus vienas</w:t>
            </w:r>
            <w:r w:rsidRPr="009F6960">
              <w:rPr>
                <w:rFonts w:eastAsia="Times New Roman"/>
                <w:b/>
                <w:sz w:val="15"/>
                <w:szCs w:val="15"/>
              </w:rPr>
              <w:t>)</w:t>
            </w:r>
          </w:p>
        </w:tc>
        <w:tc>
          <w:tcPr>
            <w:tcW w:w="1051" w:type="dxa"/>
            <w:tcBorders>
              <w:top w:val="single" w:sz="12" w:space="0" w:color="auto"/>
              <w:bottom w:val="single" w:sz="12" w:space="0" w:color="auto"/>
            </w:tcBorders>
            <w:shd w:val="clear" w:color="auto" w:fill="D9D9D9" w:themeFill="background1" w:themeFillShade="D9"/>
            <w:noWrap/>
            <w:vAlign w:val="center"/>
            <w:hideMark/>
          </w:tcPr>
          <w:p w:rsidR="00D25CE7" w:rsidRPr="009F6960" w:rsidRDefault="00D25CE7" w:rsidP="00D25CE7">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Darbo pajamos</w:t>
            </w:r>
          </w:p>
        </w:tc>
        <w:tc>
          <w:tcPr>
            <w:tcW w:w="824" w:type="dxa"/>
            <w:tcBorders>
              <w:top w:val="single" w:sz="12" w:space="0" w:color="auto"/>
              <w:bottom w:val="single" w:sz="12" w:space="0" w:color="auto"/>
            </w:tcBorders>
            <w:shd w:val="clear" w:color="auto" w:fill="D9D9D9" w:themeFill="background1" w:themeFillShade="D9"/>
            <w:noWrap/>
            <w:vAlign w:val="center"/>
            <w:hideMark/>
          </w:tcPr>
          <w:p w:rsidR="00D25CE7" w:rsidRPr="009F6960" w:rsidRDefault="00D25CE7" w:rsidP="00D25CE7">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NPD / PNPD</w:t>
            </w:r>
          </w:p>
        </w:tc>
        <w:tc>
          <w:tcPr>
            <w:tcW w:w="824" w:type="dxa"/>
            <w:tcBorders>
              <w:top w:val="single" w:sz="12" w:space="0" w:color="auto"/>
              <w:bottom w:val="single" w:sz="12" w:space="0" w:color="auto"/>
            </w:tcBorders>
            <w:shd w:val="clear" w:color="auto" w:fill="D9D9D9" w:themeFill="background1" w:themeFillShade="D9"/>
            <w:noWrap/>
            <w:vAlign w:val="center"/>
            <w:hideMark/>
          </w:tcPr>
          <w:p w:rsidR="00D25CE7" w:rsidRPr="009F6960" w:rsidRDefault="00D25CE7" w:rsidP="00D25CE7">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GPM</w:t>
            </w:r>
          </w:p>
        </w:tc>
        <w:tc>
          <w:tcPr>
            <w:tcW w:w="826" w:type="dxa"/>
            <w:tcBorders>
              <w:top w:val="single" w:sz="12" w:space="0" w:color="auto"/>
              <w:bottom w:val="single" w:sz="12" w:space="0" w:color="auto"/>
            </w:tcBorders>
            <w:shd w:val="clear" w:color="auto" w:fill="D9D9D9" w:themeFill="background1" w:themeFillShade="D9"/>
            <w:noWrap/>
            <w:vAlign w:val="center"/>
            <w:hideMark/>
          </w:tcPr>
          <w:p w:rsidR="00D25CE7" w:rsidRPr="009F6960" w:rsidRDefault="00D25CE7" w:rsidP="00D25CE7">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SD įmokos</w:t>
            </w:r>
          </w:p>
        </w:tc>
        <w:tc>
          <w:tcPr>
            <w:tcW w:w="946" w:type="dxa"/>
            <w:tcBorders>
              <w:top w:val="single" w:sz="12" w:space="0" w:color="auto"/>
              <w:bottom w:val="single" w:sz="12" w:space="0" w:color="auto"/>
            </w:tcBorders>
            <w:shd w:val="clear" w:color="auto" w:fill="D9D9D9" w:themeFill="background1" w:themeFillShade="D9"/>
            <w:noWrap/>
            <w:vAlign w:val="center"/>
            <w:hideMark/>
          </w:tcPr>
          <w:p w:rsidR="00D25CE7" w:rsidRPr="009F6960" w:rsidRDefault="00D25CE7" w:rsidP="00D25CE7">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NETO pajamos</w:t>
            </w:r>
          </w:p>
        </w:tc>
        <w:tc>
          <w:tcPr>
            <w:tcW w:w="945" w:type="dxa"/>
            <w:tcBorders>
              <w:top w:val="single" w:sz="12" w:space="0" w:color="auto"/>
              <w:bottom w:val="single" w:sz="12" w:space="0" w:color="auto"/>
            </w:tcBorders>
            <w:shd w:val="clear" w:color="auto" w:fill="D9D9D9" w:themeFill="background1" w:themeFillShade="D9"/>
            <w:noWrap/>
            <w:vAlign w:val="center"/>
            <w:hideMark/>
          </w:tcPr>
          <w:p w:rsidR="00D25CE7" w:rsidRPr="009F6960" w:rsidRDefault="00D25CE7" w:rsidP="00D25CE7">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NDI / SP</w:t>
            </w:r>
          </w:p>
        </w:tc>
        <w:tc>
          <w:tcPr>
            <w:tcW w:w="667" w:type="dxa"/>
            <w:tcBorders>
              <w:top w:val="single" w:sz="12" w:space="0" w:color="auto"/>
              <w:bottom w:val="single" w:sz="12" w:space="0" w:color="auto"/>
            </w:tcBorders>
            <w:shd w:val="clear" w:color="auto" w:fill="D9D9D9" w:themeFill="background1" w:themeFillShade="D9"/>
            <w:noWrap/>
            <w:vAlign w:val="center"/>
            <w:hideMark/>
          </w:tcPr>
          <w:p w:rsidR="00D25CE7" w:rsidRPr="003A56E6" w:rsidRDefault="00D25CE7" w:rsidP="00D25CE7">
            <w:pPr>
              <w:widowControl/>
              <w:spacing w:after="0" w:line="240" w:lineRule="auto"/>
              <w:ind w:firstLine="0"/>
              <w:contextualSpacing w:val="0"/>
              <w:jc w:val="center"/>
              <w:rPr>
                <w:rFonts w:eastAsia="Times New Roman"/>
                <w:b/>
                <w:sz w:val="15"/>
                <w:szCs w:val="15"/>
                <w:vertAlign w:val="subscript"/>
              </w:rPr>
            </w:pPr>
            <w:r w:rsidRPr="009F6960">
              <w:rPr>
                <w:rFonts w:eastAsia="Times New Roman"/>
                <w:b/>
                <w:sz w:val="15"/>
                <w:szCs w:val="15"/>
              </w:rPr>
              <w:t>Komp</w:t>
            </w:r>
            <w:r>
              <w:rPr>
                <w:rFonts w:eastAsia="Times New Roman"/>
                <w:b/>
                <w:sz w:val="15"/>
                <w:szCs w:val="15"/>
                <w:vertAlign w:val="subscript"/>
              </w:rPr>
              <w:t>1</w:t>
            </w:r>
          </w:p>
        </w:tc>
        <w:tc>
          <w:tcPr>
            <w:tcW w:w="667" w:type="dxa"/>
            <w:tcBorders>
              <w:top w:val="single" w:sz="12" w:space="0" w:color="auto"/>
              <w:bottom w:val="single" w:sz="12" w:space="0" w:color="auto"/>
            </w:tcBorders>
            <w:shd w:val="clear" w:color="auto" w:fill="D9D9D9" w:themeFill="background1" w:themeFillShade="D9"/>
            <w:noWrap/>
            <w:vAlign w:val="center"/>
            <w:hideMark/>
          </w:tcPr>
          <w:p w:rsidR="00D25CE7" w:rsidRPr="003A56E6" w:rsidRDefault="00D25CE7" w:rsidP="00D25CE7">
            <w:pPr>
              <w:widowControl/>
              <w:spacing w:after="0" w:line="240" w:lineRule="auto"/>
              <w:ind w:firstLine="0"/>
              <w:contextualSpacing w:val="0"/>
              <w:jc w:val="center"/>
              <w:rPr>
                <w:rFonts w:eastAsia="Times New Roman"/>
                <w:b/>
                <w:sz w:val="15"/>
                <w:szCs w:val="15"/>
                <w:vertAlign w:val="subscript"/>
              </w:rPr>
            </w:pPr>
            <w:r w:rsidRPr="009F6960">
              <w:rPr>
                <w:rFonts w:eastAsia="Times New Roman"/>
                <w:b/>
                <w:sz w:val="15"/>
                <w:szCs w:val="15"/>
              </w:rPr>
              <w:t>Komp</w:t>
            </w:r>
            <w:r>
              <w:rPr>
                <w:rFonts w:eastAsia="Times New Roman"/>
                <w:b/>
                <w:sz w:val="15"/>
                <w:szCs w:val="15"/>
                <w:vertAlign w:val="subscript"/>
              </w:rPr>
              <w:t>2</w:t>
            </w:r>
          </w:p>
        </w:tc>
        <w:tc>
          <w:tcPr>
            <w:tcW w:w="667" w:type="dxa"/>
            <w:tcBorders>
              <w:top w:val="single" w:sz="12" w:space="0" w:color="auto"/>
              <w:bottom w:val="single" w:sz="12" w:space="0" w:color="auto"/>
            </w:tcBorders>
            <w:shd w:val="clear" w:color="auto" w:fill="D9D9D9" w:themeFill="background1" w:themeFillShade="D9"/>
            <w:noWrap/>
            <w:vAlign w:val="center"/>
            <w:hideMark/>
          </w:tcPr>
          <w:p w:rsidR="00D25CE7" w:rsidRPr="003A56E6" w:rsidRDefault="00D25CE7" w:rsidP="00D25CE7">
            <w:pPr>
              <w:widowControl/>
              <w:spacing w:after="0" w:line="240" w:lineRule="auto"/>
              <w:ind w:firstLine="0"/>
              <w:contextualSpacing w:val="0"/>
              <w:jc w:val="center"/>
              <w:rPr>
                <w:rFonts w:eastAsia="Times New Roman"/>
                <w:b/>
                <w:sz w:val="15"/>
                <w:szCs w:val="15"/>
                <w:vertAlign w:val="subscript"/>
              </w:rPr>
            </w:pPr>
            <w:r w:rsidRPr="009F6960">
              <w:rPr>
                <w:rFonts w:eastAsia="Times New Roman"/>
                <w:b/>
                <w:sz w:val="15"/>
                <w:szCs w:val="15"/>
              </w:rPr>
              <w:t>Komp</w:t>
            </w:r>
            <w:r>
              <w:rPr>
                <w:rFonts w:eastAsia="Times New Roman"/>
                <w:b/>
                <w:sz w:val="15"/>
                <w:szCs w:val="15"/>
                <w:vertAlign w:val="subscript"/>
              </w:rPr>
              <w:t>3</w:t>
            </w:r>
          </w:p>
        </w:tc>
        <w:tc>
          <w:tcPr>
            <w:tcW w:w="833" w:type="dxa"/>
            <w:tcBorders>
              <w:top w:val="single" w:sz="12" w:space="0" w:color="auto"/>
              <w:bottom w:val="single" w:sz="12" w:space="0" w:color="auto"/>
            </w:tcBorders>
            <w:shd w:val="clear" w:color="auto" w:fill="D9D9D9" w:themeFill="background1" w:themeFillShade="D9"/>
            <w:noWrap/>
            <w:vAlign w:val="center"/>
            <w:hideMark/>
          </w:tcPr>
          <w:p w:rsidR="00D25CE7" w:rsidRPr="009F6960" w:rsidRDefault="00D25CE7" w:rsidP="00D25CE7">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Parama vaikams</w:t>
            </w:r>
          </w:p>
        </w:tc>
        <w:tc>
          <w:tcPr>
            <w:tcW w:w="920" w:type="dxa"/>
            <w:tcBorders>
              <w:top w:val="single" w:sz="12" w:space="0" w:color="auto"/>
              <w:bottom w:val="single" w:sz="12" w:space="0" w:color="auto"/>
            </w:tcBorders>
            <w:shd w:val="clear" w:color="auto" w:fill="D9D9D9" w:themeFill="background1" w:themeFillShade="D9"/>
            <w:noWrap/>
            <w:vAlign w:val="center"/>
            <w:hideMark/>
          </w:tcPr>
          <w:p w:rsidR="00D25CE7" w:rsidRPr="009F6960" w:rsidRDefault="00D25CE7" w:rsidP="00D25CE7">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Išlaikymas</w:t>
            </w:r>
          </w:p>
        </w:tc>
        <w:tc>
          <w:tcPr>
            <w:tcW w:w="1008" w:type="dxa"/>
            <w:tcBorders>
              <w:top w:val="single" w:sz="12" w:space="0" w:color="auto"/>
              <w:bottom w:val="single" w:sz="12" w:space="0" w:color="auto"/>
            </w:tcBorders>
            <w:shd w:val="clear" w:color="auto" w:fill="D9D9D9" w:themeFill="background1" w:themeFillShade="D9"/>
            <w:noWrap/>
            <w:vAlign w:val="center"/>
            <w:hideMark/>
          </w:tcPr>
          <w:p w:rsidR="00D25CE7" w:rsidRPr="00C04485" w:rsidRDefault="00D25CE7" w:rsidP="00D25CE7">
            <w:pPr>
              <w:widowControl/>
              <w:spacing w:after="0" w:line="240" w:lineRule="auto"/>
              <w:ind w:firstLine="0"/>
              <w:contextualSpacing w:val="0"/>
              <w:jc w:val="center"/>
              <w:rPr>
                <w:rFonts w:eastAsia="Times New Roman"/>
                <w:b/>
                <w:bCs/>
                <w:sz w:val="15"/>
                <w:szCs w:val="15"/>
              </w:rPr>
            </w:pPr>
            <w:r>
              <w:rPr>
                <w:rFonts w:eastAsia="Times New Roman"/>
                <w:b/>
                <w:bCs/>
                <w:sz w:val="15"/>
                <w:szCs w:val="15"/>
              </w:rPr>
              <w:t>GEROVĖ</w:t>
            </w:r>
            <w:r w:rsidRPr="00C04485">
              <w:rPr>
                <w:rFonts w:eastAsia="Times New Roman"/>
                <w:b/>
                <w:bCs/>
                <w:sz w:val="15"/>
                <w:szCs w:val="15"/>
              </w:rPr>
              <w:t>:</w:t>
            </w:r>
          </w:p>
        </w:tc>
        <w:tc>
          <w:tcPr>
            <w:tcW w:w="946" w:type="dxa"/>
            <w:tcBorders>
              <w:top w:val="single" w:sz="12" w:space="0" w:color="auto"/>
              <w:bottom w:val="single" w:sz="12" w:space="0" w:color="auto"/>
            </w:tcBorders>
            <w:shd w:val="clear" w:color="auto" w:fill="D9D9D9" w:themeFill="background1" w:themeFillShade="D9"/>
            <w:noWrap/>
            <w:vAlign w:val="center"/>
            <w:hideMark/>
          </w:tcPr>
          <w:p w:rsidR="00D25CE7" w:rsidRPr="00C04485" w:rsidRDefault="00D25CE7" w:rsidP="00D25CE7">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Vienam asmeniui:</w:t>
            </w:r>
          </w:p>
        </w:tc>
      </w:tr>
      <w:tr w:rsidR="00D25CE7" w:rsidRPr="00C04485" w:rsidTr="00D25CE7">
        <w:trPr>
          <w:trHeight w:val="195"/>
        </w:trPr>
        <w:tc>
          <w:tcPr>
            <w:tcW w:w="346" w:type="dxa"/>
            <w:vMerge w:val="restart"/>
            <w:tcBorders>
              <w:top w:val="single" w:sz="12" w:space="0" w:color="auto"/>
            </w:tcBorders>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r w:rsidRPr="00BB5925">
              <w:rPr>
                <w:rFonts w:eastAsia="Times New Roman"/>
                <w:b/>
                <w:sz w:val="15"/>
                <w:szCs w:val="15"/>
              </w:rPr>
              <w:t>3</w:t>
            </w:r>
          </w:p>
        </w:tc>
        <w:tc>
          <w:tcPr>
            <w:tcW w:w="1814" w:type="dxa"/>
            <w:tcBorders>
              <w:top w:val="single" w:sz="12" w:space="0" w:color="auto"/>
              <w:bottom w:val="single" w:sz="2" w:space="0" w:color="auto"/>
            </w:tcBorders>
            <w:shd w:val="clear" w:color="auto" w:fill="FBD4B4" w:themeFill="accent6"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1 D + 1 N + 1 V, 75 %</w:t>
            </w:r>
          </w:p>
        </w:tc>
        <w:tc>
          <w:tcPr>
            <w:tcW w:w="1051" w:type="dxa"/>
            <w:tcBorders>
              <w:top w:val="single" w:sz="1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570</w:t>
            </w:r>
          </w:p>
        </w:tc>
        <w:tc>
          <w:tcPr>
            <w:tcW w:w="824" w:type="dxa"/>
            <w:tcBorders>
              <w:top w:val="single" w:sz="1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470 / 100</w:t>
            </w:r>
          </w:p>
        </w:tc>
        <w:tc>
          <w:tcPr>
            <w:tcW w:w="824" w:type="dxa"/>
            <w:tcBorders>
              <w:top w:val="single" w:sz="1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0</w:t>
            </w:r>
          </w:p>
        </w:tc>
        <w:tc>
          <w:tcPr>
            <w:tcW w:w="826" w:type="dxa"/>
            <w:tcBorders>
              <w:top w:val="single" w:sz="1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51</w:t>
            </w:r>
          </w:p>
        </w:tc>
        <w:tc>
          <w:tcPr>
            <w:tcW w:w="946" w:type="dxa"/>
            <w:tcBorders>
              <w:top w:val="single" w:sz="1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519</w:t>
            </w:r>
          </w:p>
        </w:tc>
        <w:tc>
          <w:tcPr>
            <w:tcW w:w="945" w:type="dxa"/>
            <w:tcBorders>
              <w:top w:val="single" w:sz="1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0 / 443</w:t>
            </w:r>
          </w:p>
        </w:tc>
        <w:tc>
          <w:tcPr>
            <w:tcW w:w="667" w:type="dxa"/>
            <w:tcBorders>
              <w:top w:val="single" w:sz="1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495</w:t>
            </w:r>
          </w:p>
        </w:tc>
        <w:tc>
          <w:tcPr>
            <w:tcW w:w="667" w:type="dxa"/>
            <w:tcBorders>
              <w:top w:val="single" w:sz="1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16</w:t>
            </w:r>
          </w:p>
        </w:tc>
        <w:tc>
          <w:tcPr>
            <w:tcW w:w="667" w:type="dxa"/>
            <w:tcBorders>
              <w:top w:val="single" w:sz="1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3</w:t>
            </w:r>
          </w:p>
        </w:tc>
        <w:tc>
          <w:tcPr>
            <w:tcW w:w="833" w:type="dxa"/>
            <w:tcBorders>
              <w:top w:val="single" w:sz="1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93</w:t>
            </w:r>
          </w:p>
        </w:tc>
        <w:tc>
          <w:tcPr>
            <w:tcW w:w="920" w:type="dxa"/>
            <w:tcBorders>
              <w:top w:val="single" w:sz="1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1008" w:type="dxa"/>
            <w:tcBorders>
              <w:top w:val="single" w:sz="1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1</w:t>
            </w:r>
            <w:r>
              <w:rPr>
                <w:rFonts w:eastAsia="Times New Roman"/>
                <w:b/>
                <w:bCs/>
                <w:sz w:val="15"/>
                <w:szCs w:val="15"/>
              </w:rPr>
              <w:t> 569</w:t>
            </w:r>
          </w:p>
        </w:tc>
        <w:tc>
          <w:tcPr>
            <w:tcW w:w="946" w:type="dxa"/>
            <w:tcBorders>
              <w:top w:val="single" w:sz="1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b/>
                <w:bCs/>
                <w:sz w:val="15"/>
                <w:szCs w:val="15"/>
              </w:rPr>
            </w:pPr>
            <w:r>
              <w:rPr>
                <w:rFonts w:eastAsia="Times New Roman"/>
                <w:b/>
                <w:bCs/>
                <w:sz w:val="15"/>
                <w:szCs w:val="15"/>
              </w:rPr>
              <w:t>523</w:t>
            </w:r>
          </w:p>
        </w:tc>
      </w:tr>
      <w:tr w:rsidR="00D25CE7" w:rsidRPr="00C04485" w:rsidTr="00D25CE7">
        <w:trPr>
          <w:trHeight w:val="195"/>
        </w:trPr>
        <w:tc>
          <w:tcPr>
            <w:tcW w:w="346" w:type="dxa"/>
            <w:vMerge/>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p>
        </w:tc>
        <w:tc>
          <w:tcPr>
            <w:tcW w:w="1814" w:type="dxa"/>
            <w:tcBorders>
              <w:top w:val="single" w:sz="2" w:space="0" w:color="auto"/>
              <w:bottom w:val="single" w:sz="2" w:space="0" w:color="auto"/>
            </w:tcBorders>
            <w:shd w:val="clear" w:color="auto" w:fill="FBD4B4" w:themeFill="accent6" w:themeFillTint="66"/>
            <w:noWrap/>
            <w:vAlign w:val="bottom"/>
            <w:hideMark/>
          </w:tcPr>
          <w:p w:rsidR="00D25CE7" w:rsidRPr="00325ADE" w:rsidRDefault="00D25CE7" w:rsidP="00D25CE7">
            <w:pPr>
              <w:widowControl/>
              <w:spacing w:after="0" w:line="240" w:lineRule="auto"/>
              <w:ind w:firstLine="0"/>
              <w:contextualSpacing w:val="0"/>
              <w:jc w:val="left"/>
              <w:rPr>
                <w:rFonts w:eastAsia="Times New Roman"/>
                <w:sz w:val="15"/>
                <w:szCs w:val="15"/>
                <w:lang w:val="en-US"/>
              </w:rPr>
            </w:pPr>
            <w:r w:rsidRPr="00325ADE">
              <w:rPr>
                <w:rFonts w:eastAsia="Times New Roman"/>
                <w:sz w:val="15"/>
                <w:szCs w:val="15"/>
                <w:lang w:val="en-US"/>
              </w:rPr>
              <w:t>1 D + 1 N + 1 V, 75 %*</w:t>
            </w:r>
          </w:p>
        </w:tc>
        <w:tc>
          <w:tcPr>
            <w:tcW w:w="1051"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sidRPr="00767C84">
              <w:rPr>
                <w:rFonts w:eastAsia="Times New Roman"/>
                <w:sz w:val="15"/>
                <w:szCs w:val="15"/>
                <w:lang w:val="en-US"/>
              </w:rPr>
              <w:t>570</w:t>
            </w:r>
          </w:p>
        </w:tc>
        <w:tc>
          <w:tcPr>
            <w:tcW w:w="824"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sidRPr="00767C84">
              <w:rPr>
                <w:rFonts w:eastAsia="Times New Roman"/>
                <w:sz w:val="15"/>
                <w:szCs w:val="15"/>
                <w:lang w:val="en-US"/>
              </w:rPr>
              <w:t>470 / 100</w:t>
            </w:r>
          </w:p>
        </w:tc>
        <w:tc>
          <w:tcPr>
            <w:tcW w:w="824"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sidRPr="00767C84">
              <w:rPr>
                <w:rFonts w:eastAsia="Times New Roman"/>
                <w:sz w:val="15"/>
                <w:szCs w:val="15"/>
                <w:lang w:val="en-US"/>
              </w:rPr>
              <w:t>0</w:t>
            </w:r>
          </w:p>
        </w:tc>
        <w:tc>
          <w:tcPr>
            <w:tcW w:w="826"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sidRPr="00767C84">
              <w:rPr>
                <w:rFonts w:eastAsia="Times New Roman"/>
                <w:sz w:val="15"/>
                <w:szCs w:val="15"/>
                <w:lang w:val="en-US"/>
              </w:rPr>
              <w:t>51</w:t>
            </w:r>
          </w:p>
        </w:tc>
        <w:tc>
          <w:tcPr>
            <w:tcW w:w="946"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sidRPr="00767C84">
              <w:rPr>
                <w:rFonts w:eastAsia="Times New Roman"/>
                <w:sz w:val="15"/>
                <w:szCs w:val="15"/>
                <w:lang w:val="en-US"/>
              </w:rPr>
              <w:t>519</w:t>
            </w:r>
          </w:p>
        </w:tc>
        <w:tc>
          <w:tcPr>
            <w:tcW w:w="945"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 xml:space="preserve">0 / </w:t>
            </w:r>
            <w:r w:rsidRPr="00767C84">
              <w:rPr>
                <w:rFonts w:eastAsia="Times New Roman"/>
                <w:sz w:val="15"/>
                <w:szCs w:val="15"/>
                <w:lang w:val="en-US"/>
              </w:rPr>
              <w:t>443</w:t>
            </w:r>
          </w:p>
        </w:tc>
        <w:tc>
          <w:tcPr>
            <w:tcW w:w="667"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sidRPr="00767C84">
              <w:rPr>
                <w:rFonts w:eastAsia="Times New Roman"/>
                <w:sz w:val="15"/>
                <w:szCs w:val="15"/>
                <w:lang w:val="en-US"/>
              </w:rPr>
              <w:t>495</w:t>
            </w:r>
          </w:p>
        </w:tc>
        <w:tc>
          <w:tcPr>
            <w:tcW w:w="667"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sidRPr="00767C84">
              <w:rPr>
                <w:rFonts w:eastAsia="Times New Roman"/>
                <w:sz w:val="15"/>
                <w:szCs w:val="15"/>
                <w:lang w:val="en-US"/>
              </w:rPr>
              <w:t>16</w:t>
            </w:r>
          </w:p>
        </w:tc>
        <w:tc>
          <w:tcPr>
            <w:tcW w:w="667"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3</w:t>
            </w:r>
          </w:p>
        </w:tc>
        <w:tc>
          <w:tcPr>
            <w:tcW w:w="833"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sidRPr="00767C84">
              <w:rPr>
                <w:rFonts w:eastAsia="Times New Roman"/>
                <w:sz w:val="15"/>
                <w:szCs w:val="15"/>
                <w:lang w:val="en-US"/>
              </w:rPr>
              <w:t>93</w:t>
            </w:r>
          </w:p>
        </w:tc>
        <w:tc>
          <w:tcPr>
            <w:tcW w:w="920"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sidRPr="00767C84">
              <w:rPr>
                <w:rFonts w:eastAsia="Times New Roman"/>
                <w:sz w:val="15"/>
                <w:szCs w:val="15"/>
                <w:lang w:val="en-US"/>
              </w:rPr>
              <w:t>-</w:t>
            </w:r>
          </w:p>
        </w:tc>
        <w:tc>
          <w:tcPr>
            <w:tcW w:w="1008" w:type="dxa"/>
            <w:tcBorders>
              <w:top w:val="single" w:sz="2" w:space="0" w:color="auto"/>
              <w:bottom w:val="single" w:sz="2" w:space="0" w:color="auto"/>
            </w:tcBorders>
            <w:shd w:val="clear" w:color="auto" w:fill="FBD4B4" w:themeFill="accent6" w:themeFillTint="66"/>
            <w:noWrap/>
            <w:vAlign w:val="bottom"/>
            <w:hideMark/>
          </w:tcPr>
          <w:p w:rsidR="00D25CE7" w:rsidRPr="007866AE" w:rsidRDefault="00D25CE7" w:rsidP="00D25CE7">
            <w:pPr>
              <w:widowControl/>
              <w:spacing w:after="0" w:line="240" w:lineRule="auto"/>
              <w:ind w:firstLine="0"/>
              <w:contextualSpacing w:val="0"/>
              <w:jc w:val="center"/>
              <w:rPr>
                <w:rFonts w:eastAsia="Times New Roman"/>
                <w:b/>
                <w:bCs/>
                <w:color w:val="FF0000"/>
                <w:sz w:val="14"/>
                <w:szCs w:val="14"/>
                <w:lang w:val="en-US"/>
              </w:rPr>
            </w:pPr>
            <w:r w:rsidRPr="007866AE">
              <w:rPr>
                <w:rFonts w:eastAsia="Times New Roman"/>
                <w:b/>
                <w:bCs/>
                <w:sz w:val="14"/>
                <w:szCs w:val="14"/>
                <w:lang w:val="en-US"/>
              </w:rPr>
              <w:t>1 </w:t>
            </w:r>
            <w:r>
              <w:rPr>
                <w:rFonts w:eastAsia="Times New Roman"/>
                <w:b/>
                <w:bCs/>
                <w:sz w:val="14"/>
                <w:szCs w:val="14"/>
                <w:lang w:val="en-US"/>
              </w:rPr>
              <w:t>830</w:t>
            </w:r>
            <w:r w:rsidRPr="007866AE">
              <w:rPr>
                <w:rFonts w:eastAsia="Times New Roman"/>
                <w:b/>
                <w:bCs/>
                <w:sz w:val="14"/>
                <w:szCs w:val="14"/>
                <w:lang w:val="en-US"/>
              </w:rPr>
              <w:t xml:space="preserve"> /</w:t>
            </w:r>
            <w:r w:rsidRPr="007866AE">
              <w:rPr>
                <w:rFonts w:eastAsia="Times New Roman"/>
                <w:b/>
                <w:bCs/>
                <w:color w:val="FF0000"/>
                <w:sz w:val="14"/>
                <w:szCs w:val="14"/>
                <w:lang w:val="en-US"/>
              </w:rPr>
              <w:t xml:space="preserve"> 2</w:t>
            </w:r>
            <w:r>
              <w:rPr>
                <w:rFonts w:eastAsia="Times New Roman"/>
                <w:b/>
                <w:bCs/>
                <w:color w:val="FF0000"/>
                <w:sz w:val="14"/>
                <w:szCs w:val="14"/>
                <w:lang w:val="en-US"/>
              </w:rPr>
              <w:t> </w:t>
            </w:r>
            <w:r w:rsidRPr="007866AE">
              <w:rPr>
                <w:rFonts w:eastAsia="Times New Roman"/>
                <w:b/>
                <w:bCs/>
                <w:color w:val="FF0000"/>
                <w:sz w:val="14"/>
                <w:szCs w:val="14"/>
                <w:lang w:val="en-US"/>
              </w:rPr>
              <w:t>00</w:t>
            </w:r>
            <w:r>
              <w:rPr>
                <w:rFonts w:eastAsia="Times New Roman"/>
                <w:b/>
                <w:bCs/>
                <w:color w:val="FF0000"/>
                <w:sz w:val="14"/>
                <w:szCs w:val="14"/>
                <w:lang w:val="en-US"/>
              </w:rPr>
              <w:t>7</w:t>
            </w:r>
          </w:p>
        </w:tc>
        <w:tc>
          <w:tcPr>
            <w:tcW w:w="946"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b/>
                <w:bCs/>
                <w:sz w:val="15"/>
                <w:szCs w:val="15"/>
                <w:lang w:val="en-US"/>
              </w:rPr>
            </w:pPr>
            <w:r>
              <w:rPr>
                <w:rFonts w:eastAsia="Times New Roman"/>
                <w:b/>
                <w:bCs/>
                <w:sz w:val="15"/>
                <w:szCs w:val="15"/>
                <w:lang w:val="en-US"/>
              </w:rPr>
              <w:t xml:space="preserve">610 / </w:t>
            </w:r>
            <w:r w:rsidRPr="00C10975">
              <w:rPr>
                <w:rFonts w:eastAsia="Times New Roman"/>
                <w:b/>
                <w:bCs/>
                <w:color w:val="FF0000"/>
                <w:sz w:val="15"/>
                <w:szCs w:val="15"/>
                <w:lang w:val="en-US"/>
              </w:rPr>
              <w:t>669</w:t>
            </w:r>
          </w:p>
        </w:tc>
      </w:tr>
      <w:tr w:rsidR="00D25CE7" w:rsidRPr="00C04485" w:rsidTr="00D25CE7">
        <w:trPr>
          <w:trHeight w:val="195"/>
        </w:trPr>
        <w:tc>
          <w:tcPr>
            <w:tcW w:w="346" w:type="dxa"/>
            <w:vMerge/>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p>
        </w:tc>
        <w:tc>
          <w:tcPr>
            <w:tcW w:w="1814" w:type="dxa"/>
            <w:tcBorders>
              <w:top w:val="single" w:sz="2" w:space="0" w:color="auto"/>
              <w:bottom w:val="single" w:sz="2" w:space="0" w:color="auto"/>
            </w:tcBorders>
            <w:shd w:val="clear" w:color="auto" w:fill="FBD4B4" w:themeFill="accent6"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1 D + 1 N + 1 V, 100 %</w:t>
            </w:r>
          </w:p>
        </w:tc>
        <w:tc>
          <w:tcPr>
            <w:tcW w:w="1051"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850</w:t>
            </w:r>
          </w:p>
        </w:tc>
        <w:tc>
          <w:tcPr>
            <w:tcW w:w="824"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460 / 100</w:t>
            </w:r>
          </w:p>
        </w:tc>
        <w:tc>
          <w:tcPr>
            <w:tcW w:w="824"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44</w:t>
            </w:r>
          </w:p>
        </w:tc>
        <w:tc>
          <w:tcPr>
            <w:tcW w:w="826"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77</w:t>
            </w:r>
          </w:p>
        </w:tc>
        <w:tc>
          <w:tcPr>
            <w:tcW w:w="946"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729</w:t>
            </w:r>
          </w:p>
        </w:tc>
        <w:tc>
          <w:tcPr>
            <w:tcW w:w="945"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0 / 268</w:t>
            </w:r>
          </w:p>
        </w:tc>
        <w:tc>
          <w:tcPr>
            <w:tcW w:w="667"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495</w:t>
            </w:r>
          </w:p>
        </w:tc>
        <w:tc>
          <w:tcPr>
            <w:tcW w:w="667"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14</w:t>
            </w:r>
          </w:p>
        </w:tc>
        <w:tc>
          <w:tcPr>
            <w:tcW w:w="667"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2</w:t>
            </w:r>
          </w:p>
        </w:tc>
        <w:tc>
          <w:tcPr>
            <w:tcW w:w="833"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93</w:t>
            </w:r>
          </w:p>
        </w:tc>
        <w:tc>
          <w:tcPr>
            <w:tcW w:w="920"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1008"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1</w:t>
            </w:r>
            <w:r>
              <w:rPr>
                <w:rFonts w:eastAsia="Times New Roman"/>
                <w:b/>
                <w:bCs/>
                <w:sz w:val="15"/>
                <w:szCs w:val="15"/>
              </w:rPr>
              <w:t> 601</w:t>
            </w:r>
          </w:p>
        </w:tc>
        <w:tc>
          <w:tcPr>
            <w:tcW w:w="946"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b/>
                <w:bCs/>
                <w:sz w:val="15"/>
                <w:szCs w:val="15"/>
              </w:rPr>
            </w:pPr>
            <w:r>
              <w:rPr>
                <w:rFonts w:eastAsia="Times New Roman"/>
                <w:b/>
                <w:bCs/>
                <w:sz w:val="15"/>
                <w:szCs w:val="15"/>
              </w:rPr>
              <w:t>533</w:t>
            </w:r>
          </w:p>
        </w:tc>
      </w:tr>
      <w:tr w:rsidR="00D25CE7" w:rsidRPr="00C04485" w:rsidTr="00D25CE7">
        <w:trPr>
          <w:trHeight w:val="195"/>
        </w:trPr>
        <w:tc>
          <w:tcPr>
            <w:tcW w:w="346" w:type="dxa"/>
            <w:vMerge/>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p>
        </w:tc>
        <w:tc>
          <w:tcPr>
            <w:tcW w:w="1814" w:type="dxa"/>
            <w:tcBorders>
              <w:top w:val="single" w:sz="2" w:space="0" w:color="auto"/>
              <w:bottom w:val="single" w:sz="2" w:space="0" w:color="auto"/>
            </w:tcBorders>
            <w:shd w:val="clear" w:color="auto" w:fill="FBD4B4" w:themeFill="accent6"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1 D + 1 N + 1 V, 100 %*</w:t>
            </w:r>
          </w:p>
        </w:tc>
        <w:tc>
          <w:tcPr>
            <w:tcW w:w="1051"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sidRPr="00767C84">
              <w:rPr>
                <w:rFonts w:eastAsia="Times New Roman"/>
                <w:sz w:val="15"/>
                <w:szCs w:val="15"/>
                <w:lang w:val="en-US"/>
              </w:rPr>
              <w:t>850</w:t>
            </w:r>
          </w:p>
        </w:tc>
        <w:tc>
          <w:tcPr>
            <w:tcW w:w="824"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sidRPr="00767C84">
              <w:rPr>
                <w:rFonts w:eastAsia="Times New Roman"/>
                <w:sz w:val="15"/>
                <w:szCs w:val="15"/>
                <w:lang w:val="en-US"/>
              </w:rPr>
              <w:t>460 / 100</w:t>
            </w:r>
          </w:p>
        </w:tc>
        <w:tc>
          <w:tcPr>
            <w:tcW w:w="824"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sidRPr="00767C84">
              <w:rPr>
                <w:rFonts w:eastAsia="Times New Roman"/>
                <w:sz w:val="15"/>
                <w:szCs w:val="15"/>
                <w:lang w:val="en-US"/>
              </w:rPr>
              <w:t>44</w:t>
            </w:r>
          </w:p>
        </w:tc>
        <w:tc>
          <w:tcPr>
            <w:tcW w:w="826"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sidRPr="00767C84">
              <w:rPr>
                <w:rFonts w:eastAsia="Times New Roman"/>
                <w:sz w:val="15"/>
                <w:szCs w:val="15"/>
                <w:lang w:val="en-US"/>
              </w:rPr>
              <w:t>77</w:t>
            </w:r>
          </w:p>
        </w:tc>
        <w:tc>
          <w:tcPr>
            <w:tcW w:w="946"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sidRPr="00767C84">
              <w:rPr>
                <w:rFonts w:eastAsia="Times New Roman"/>
                <w:sz w:val="15"/>
                <w:szCs w:val="15"/>
                <w:lang w:val="en-US"/>
              </w:rPr>
              <w:t>729</w:t>
            </w:r>
          </w:p>
        </w:tc>
        <w:tc>
          <w:tcPr>
            <w:tcW w:w="945"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 xml:space="preserve">0 / </w:t>
            </w:r>
            <w:r w:rsidRPr="00767C84">
              <w:rPr>
                <w:rFonts w:eastAsia="Times New Roman"/>
                <w:sz w:val="15"/>
                <w:szCs w:val="15"/>
                <w:lang w:val="en-US"/>
              </w:rPr>
              <w:t>268</w:t>
            </w:r>
          </w:p>
        </w:tc>
        <w:tc>
          <w:tcPr>
            <w:tcW w:w="667"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sidRPr="00767C84">
              <w:rPr>
                <w:rFonts w:eastAsia="Times New Roman"/>
                <w:sz w:val="15"/>
                <w:szCs w:val="15"/>
                <w:lang w:val="en-US"/>
              </w:rPr>
              <w:t>495</w:t>
            </w:r>
          </w:p>
        </w:tc>
        <w:tc>
          <w:tcPr>
            <w:tcW w:w="667"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sidRPr="00767C84">
              <w:rPr>
                <w:rFonts w:eastAsia="Times New Roman"/>
                <w:sz w:val="15"/>
                <w:szCs w:val="15"/>
                <w:lang w:val="en-US"/>
              </w:rPr>
              <w:t>14</w:t>
            </w:r>
          </w:p>
        </w:tc>
        <w:tc>
          <w:tcPr>
            <w:tcW w:w="667"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2</w:t>
            </w:r>
          </w:p>
        </w:tc>
        <w:tc>
          <w:tcPr>
            <w:tcW w:w="833"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sidRPr="00767C84">
              <w:rPr>
                <w:rFonts w:eastAsia="Times New Roman"/>
                <w:sz w:val="15"/>
                <w:szCs w:val="15"/>
                <w:lang w:val="en-US"/>
              </w:rPr>
              <w:t>93</w:t>
            </w:r>
          </w:p>
        </w:tc>
        <w:tc>
          <w:tcPr>
            <w:tcW w:w="920"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sz w:val="15"/>
                <w:szCs w:val="15"/>
                <w:lang w:val="en-US"/>
              </w:rPr>
            </w:pPr>
            <w:r w:rsidRPr="00767C84">
              <w:rPr>
                <w:rFonts w:eastAsia="Times New Roman"/>
                <w:sz w:val="15"/>
                <w:szCs w:val="15"/>
                <w:lang w:val="en-US"/>
              </w:rPr>
              <w:t>-</w:t>
            </w:r>
          </w:p>
        </w:tc>
        <w:tc>
          <w:tcPr>
            <w:tcW w:w="1008" w:type="dxa"/>
            <w:tcBorders>
              <w:top w:val="single" w:sz="2" w:space="0" w:color="auto"/>
              <w:bottom w:val="single" w:sz="2" w:space="0" w:color="auto"/>
            </w:tcBorders>
            <w:shd w:val="clear" w:color="auto" w:fill="FBD4B4" w:themeFill="accent6" w:themeFillTint="66"/>
            <w:noWrap/>
            <w:vAlign w:val="bottom"/>
            <w:hideMark/>
          </w:tcPr>
          <w:p w:rsidR="00D25CE7" w:rsidRPr="008F4FA6" w:rsidRDefault="00D25CE7" w:rsidP="00D25CE7">
            <w:pPr>
              <w:widowControl/>
              <w:spacing w:after="0" w:line="240" w:lineRule="auto"/>
              <w:ind w:firstLine="0"/>
              <w:contextualSpacing w:val="0"/>
              <w:jc w:val="center"/>
              <w:rPr>
                <w:rFonts w:eastAsia="Times New Roman"/>
                <w:b/>
                <w:bCs/>
                <w:color w:val="FF0000"/>
                <w:sz w:val="14"/>
                <w:szCs w:val="14"/>
                <w:lang w:val="en-US"/>
              </w:rPr>
            </w:pPr>
            <w:r w:rsidRPr="00325ADE">
              <w:rPr>
                <w:rFonts w:eastAsia="Times New Roman"/>
                <w:b/>
                <w:bCs/>
                <w:sz w:val="14"/>
                <w:szCs w:val="14"/>
                <w:lang w:val="en-US"/>
              </w:rPr>
              <w:t>1 86</w:t>
            </w:r>
            <w:r>
              <w:rPr>
                <w:rFonts w:eastAsia="Times New Roman"/>
                <w:b/>
                <w:bCs/>
                <w:sz w:val="14"/>
                <w:szCs w:val="14"/>
                <w:lang w:val="en-US"/>
              </w:rPr>
              <w:t>2</w:t>
            </w:r>
            <w:r>
              <w:rPr>
                <w:rFonts w:eastAsia="Times New Roman"/>
                <w:b/>
                <w:bCs/>
                <w:color w:val="FF0000"/>
                <w:sz w:val="14"/>
                <w:szCs w:val="14"/>
                <w:lang w:val="en-US"/>
              </w:rPr>
              <w:t xml:space="preserve"> / 2 039</w:t>
            </w:r>
          </w:p>
        </w:tc>
        <w:tc>
          <w:tcPr>
            <w:tcW w:w="946" w:type="dxa"/>
            <w:tcBorders>
              <w:top w:val="single" w:sz="2" w:space="0" w:color="auto"/>
              <w:bottom w:val="single" w:sz="2" w:space="0" w:color="auto"/>
            </w:tcBorders>
            <w:shd w:val="clear" w:color="auto" w:fill="FBD4B4" w:themeFill="accent6" w:themeFillTint="66"/>
            <w:noWrap/>
            <w:vAlign w:val="bottom"/>
            <w:hideMark/>
          </w:tcPr>
          <w:p w:rsidR="00D25CE7" w:rsidRPr="00767C84" w:rsidRDefault="00D25CE7" w:rsidP="00D25CE7">
            <w:pPr>
              <w:widowControl/>
              <w:spacing w:after="0" w:line="240" w:lineRule="auto"/>
              <w:ind w:firstLine="0"/>
              <w:contextualSpacing w:val="0"/>
              <w:jc w:val="center"/>
              <w:rPr>
                <w:rFonts w:eastAsia="Times New Roman"/>
                <w:b/>
                <w:bCs/>
                <w:sz w:val="15"/>
                <w:szCs w:val="15"/>
                <w:lang w:val="en-US"/>
              </w:rPr>
            </w:pPr>
            <w:r w:rsidRPr="00767C84">
              <w:rPr>
                <w:rFonts w:eastAsia="Times New Roman"/>
                <w:b/>
                <w:bCs/>
                <w:sz w:val="15"/>
                <w:szCs w:val="15"/>
                <w:lang w:val="en-US"/>
              </w:rPr>
              <w:t>62</w:t>
            </w:r>
            <w:r>
              <w:rPr>
                <w:rFonts w:eastAsia="Times New Roman"/>
                <w:b/>
                <w:bCs/>
                <w:sz w:val="15"/>
                <w:szCs w:val="15"/>
                <w:lang w:val="en-US"/>
              </w:rPr>
              <w:t xml:space="preserve">1 / </w:t>
            </w:r>
            <w:r w:rsidRPr="00E03B10">
              <w:rPr>
                <w:rFonts w:eastAsia="Times New Roman"/>
                <w:b/>
                <w:bCs/>
                <w:color w:val="FF0000"/>
                <w:sz w:val="15"/>
                <w:szCs w:val="15"/>
                <w:lang w:val="en-US"/>
              </w:rPr>
              <w:t>680</w:t>
            </w:r>
          </w:p>
        </w:tc>
      </w:tr>
      <w:tr w:rsidR="00D25CE7" w:rsidRPr="00C04485" w:rsidTr="00D25CE7">
        <w:trPr>
          <w:trHeight w:val="195"/>
        </w:trPr>
        <w:tc>
          <w:tcPr>
            <w:tcW w:w="346" w:type="dxa"/>
            <w:vMerge/>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p>
        </w:tc>
        <w:tc>
          <w:tcPr>
            <w:tcW w:w="1814" w:type="dxa"/>
            <w:tcBorders>
              <w:top w:val="single" w:sz="2" w:space="0" w:color="auto"/>
              <w:bottom w:val="single" w:sz="2" w:space="0" w:color="auto"/>
            </w:tcBorders>
            <w:shd w:val="clear" w:color="auto" w:fill="FBD4B4" w:themeFill="accent6"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1 D + 1 N + 1 V, 100 %</w:t>
            </w:r>
          </w:p>
        </w:tc>
        <w:tc>
          <w:tcPr>
            <w:tcW w:w="1051"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1</w:t>
            </w:r>
            <w:r>
              <w:rPr>
                <w:rFonts w:eastAsia="Times New Roman"/>
                <w:sz w:val="15"/>
                <w:szCs w:val="15"/>
              </w:rPr>
              <w:t> </w:t>
            </w:r>
            <w:r w:rsidRPr="00C04485">
              <w:rPr>
                <w:rFonts w:eastAsia="Times New Roman"/>
                <w:sz w:val="15"/>
                <w:szCs w:val="15"/>
              </w:rPr>
              <w:t>100</w:t>
            </w:r>
          </w:p>
        </w:tc>
        <w:tc>
          <w:tcPr>
            <w:tcW w:w="824"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410 / 100</w:t>
            </w:r>
          </w:p>
        </w:tc>
        <w:tc>
          <w:tcPr>
            <w:tcW w:w="824"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89</w:t>
            </w:r>
          </w:p>
        </w:tc>
        <w:tc>
          <w:tcPr>
            <w:tcW w:w="826"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99</w:t>
            </w:r>
          </w:p>
        </w:tc>
        <w:tc>
          <w:tcPr>
            <w:tcW w:w="946"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912</w:t>
            </w:r>
          </w:p>
        </w:tc>
        <w:tc>
          <w:tcPr>
            <w:tcW w:w="945"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 xml:space="preserve">0 / </w:t>
            </w:r>
            <w:r w:rsidRPr="00C04485">
              <w:rPr>
                <w:rFonts w:eastAsia="Times New Roman"/>
                <w:sz w:val="15"/>
                <w:szCs w:val="15"/>
              </w:rPr>
              <w:t>115</w:t>
            </w:r>
          </w:p>
        </w:tc>
        <w:tc>
          <w:tcPr>
            <w:tcW w:w="667"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495</w:t>
            </w:r>
          </w:p>
        </w:tc>
        <w:tc>
          <w:tcPr>
            <w:tcW w:w="667"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1</w:t>
            </w:r>
            <w:r>
              <w:rPr>
                <w:rFonts w:eastAsia="Times New Roman"/>
                <w:sz w:val="15"/>
                <w:szCs w:val="15"/>
              </w:rPr>
              <w:t>3</w:t>
            </w:r>
          </w:p>
        </w:tc>
        <w:tc>
          <w:tcPr>
            <w:tcW w:w="667"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833"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93</w:t>
            </w:r>
          </w:p>
        </w:tc>
        <w:tc>
          <w:tcPr>
            <w:tcW w:w="920"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w:t>
            </w:r>
          </w:p>
        </w:tc>
        <w:tc>
          <w:tcPr>
            <w:tcW w:w="1008"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b/>
                <w:bCs/>
                <w:sz w:val="15"/>
                <w:szCs w:val="15"/>
              </w:rPr>
            </w:pPr>
            <w:r w:rsidRPr="00C04485">
              <w:rPr>
                <w:rFonts w:eastAsia="Times New Roman"/>
                <w:b/>
                <w:bCs/>
                <w:sz w:val="15"/>
                <w:szCs w:val="15"/>
              </w:rPr>
              <w:t>1</w:t>
            </w:r>
            <w:r>
              <w:rPr>
                <w:rFonts w:eastAsia="Times New Roman"/>
                <w:b/>
                <w:bCs/>
                <w:sz w:val="15"/>
                <w:szCs w:val="15"/>
              </w:rPr>
              <w:t> 628</w:t>
            </w:r>
          </w:p>
        </w:tc>
        <w:tc>
          <w:tcPr>
            <w:tcW w:w="946" w:type="dxa"/>
            <w:tcBorders>
              <w:top w:val="single" w:sz="2" w:space="0" w:color="auto"/>
              <w:bottom w:val="single" w:sz="2" w:space="0" w:color="auto"/>
            </w:tcBorders>
            <w:shd w:val="clear" w:color="auto" w:fill="FBD4B4" w:themeFill="accent6" w:themeFillTint="66"/>
            <w:noWrap/>
            <w:vAlign w:val="center"/>
            <w:hideMark/>
          </w:tcPr>
          <w:p w:rsidR="00D25CE7" w:rsidRPr="00C04485" w:rsidRDefault="00D25CE7" w:rsidP="00D25CE7">
            <w:pPr>
              <w:widowControl/>
              <w:spacing w:after="0" w:line="240" w:lineRule="auto"/>
              <w:ind w:firstLine="0"/>
              <w:contextualSpacing w:val="0"/>
              <w:jc w:val="center"/>
              <w:rPr>
                <w:rFonts w:eastAsia="Times New Roman"/>
                <w:b/>
                <w:bCs/>
                <w:sz w:val="15"/>
                <w:szCs w:val="15"/>
              </w:rPr>
            </w:pPr>
            <w:r>
              <w:rPr>
                <w:rFonts w:eastAsia="Times New Roman"/>
                <w:b/>
                <w:bCs/>
                <w:sz w:val="15"/>
                <w:szCs w:val="15"/>
              </w:rPr>
              <w:t>543</w:t>
            </w:r>
          </w:p>
        </w:tc>
      </w:tr>
      <w:tr w:rsidR="00D25CE7" w:rsidRPr="00C04485" w:rsidTr="00D25CE7">
        <w:trPr>
          <w:trHeight w:val="195"/>
        </w:trPr>
        <w:tc>
          <w:tcPr>
            <w:tcW w:w="346" w:type="dxa"/>
            <w:vMerge/>
            <w:tcBorders>
              <w:bottom w:val="single" w:sz="12" w:space="0" w:color="auto"/>
            </w:tcBorders>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p>
        </w:tc>
        <w:tc>
          <w:tcPr>
            <w:tcW w:w="1814" w:type="dxa"/>
            <w:tcBorders>
              <w:top w:val="single" w:sz="2" w:space="0" w:color="auto"/>
              <w:bottom w:val="single" w:sz="12" w:space="0" w:color="auto"/>
            </w:tcBorders>
            <w:shd w:val="clear" w:color="auto" w:fill="FBD4B4" w:themeFill="accent6"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1 D + 1 N + 1 V, 100 %*</w:t>
            </w:r>
          </w:p>
        </w:tc>
        <w:tc>
          <w:tcPr>
            <w:tcW w:w="1051" w:type="dxa"/>
            <w:tcBorders>
              <w:top w:val="single" w:sz="2" w:space="0" w:color="auto"/>
              <w:bottom w:val="single" w:sz="12" w:space="0" w:color="auto"/>
            </w:tcBorders>
            <w:shd w:val="clear" w:color="auto" w:fill="FBD4B4" w:themeFill="accent6" w:themeFillTint="66"/>
            <w:noWrap/>
            <w:vAlign w:val="bottom"/>
            <w:hideMark/>
          </w:tcPr>
          <w:p w:rsidR="00D25CE7" w:rsidRPr="0067616A" w:rsidRDefault="00D25CE7" w:rsidP="00D25CE7">
            <w:pPr>
              <w:widowControl/>
              <w:spacing w:after="0" w:line="240" w:lineRule="auto"/>
              <w:ind w:firstLine="0"/>
              <w:contextualSpacing w:val="0"/>
              <w:jc w:val="center"/>
              <w:rPr>
                <w:rFonts w:eastAsia="Times New Roman"/>
                <w:sz w:val="15"/>
                <w:szCs w:val="15"/>
                <w:lang w:val="en-US"/>
              </w:rPr>
            </w:pPr>
            <w:r w:rsidRPr="0067616A">
              <w:rPr>
                <w:rFonts w:eastAsia="Times New Roman"/>
                <w:sz w:val="15"/>
                <w:szCs w:val="15"/>
                <w:lang w:val="en-US"/>
              </w:rPr>
              <w:t>1</w:t>
            </w:r>
            <w:r>
              <w:rPr>
                <w:rFonts w:eastAsia="Times New Roman"/>
                <w:sz w:val="15"/>
                <w:szCs w:val="15"/>
                <w:lang w:val="en-US"/>
              </w:rPr>
              <w:t> </w:t>
            </w:r>
            <w:r w:rsidRPr="0067616A">
              <w:rPr>
                <w:rFonts w:eastAsia="Times New Roman"/>
                <w:sz w:val="15"/>
                <w:szCs w:val="15"/>
                <w:lang w:val="en-US"/>
              </w:rPr>
              <w:t>100</w:t>
            </w:r>
          </w:p>
        </w:tc>
        <w:tc>
          <w:tcPr>
            <w:tcW w:w="824" w:type="dxa"/>
            <w:tcBorders>
              <w:top w:val="single" w:sz="2" w:space="0" w:color="auto"/>
              <w:bottom w:val="single" w:sz="12" w:space="0" w:color="auto"/>
            </w:tcBorders>
            <w:shd w:val="clear" w:color="auto" w:fill="FBD4B4" w:themeFill="accent6" w:themeFillTint="66"/>
            <w:noWrap/>
            <w:vAlign w:val="bottom"/>
            <w:hideMark/>
          </w:tcPr>
          <w:p w:rsidR="00D25CE7" w:rsidRPr="0067616A" w:rsidRDefault="00D25CE7" w:rsidP="00D25CE7">
            <w:pPr>
              <w:widowControl/>
              <w:spacing w:after="0" w:line="240" w:lineRule="auto"/>
              <w:ind w:firstLine="0"/>
              <w:contextualSpacing w:val="0"/>
              <w:jc w:val="center"/>
              <w:rPr>
                <w:rFonts w:eastAsia="Times New Roman"/>
                <w:sz w:val="15"/>
                <w:szCs w:val="15"/>
                <w:lang w:val="en-US"/>
              </w:rPr>
            </w:pPr>
            <w:r w:rsidRPr="0067616A">
              <w:rPr>
                <w:rFonts w:eastAsia="Times New Roman"/>
                <w:sz w:val="15"/>
                <w:szCs w:val="15"/>
                <w:lang w:val="en-US"/>
              </w:rPr>
              <w:t>410 / 100</w:t>
            </w:r>
          </w:p>
        </w:tc>
        <w:tc>
          <w:tcPr>
            <w:tcW w:w="824" w:type="dxa"/>
            <w:tcBorders>
              <w:top w:val="single" w:sz="2" w:space="0" w:color="auto"/>
              <w:bottom w:val="single" w:sz="12" w:space="0" w:color="auto"/>
            </w:tcBorders>
            <w:shd w:val="clear" w:color="auto" w:fill="FBD4B4" w:themeFill="accent6" w:themeFillTint="66"/>
            <w:noWrap/>
            <w:vAlign w:val="bottom"/>
            <w:hideMark/>
          </w:tcPr>
          <w:p w:rsidR="00D25CE7" w:rsidRPr="0067616A" w:rsidRDefault="00D25CE7" w:rsidP="00D25CE7">
            <w:pPr>
              <w:widowControl/>
              <w:spacing w:after="0" w:line="240" w:lineRule="auto"/>
              <w:ind w:firstLine="0"/>
              <w:contextualSpacing w:val="0"/>
              <w:jc w:val="center"/>
              <w:rPr>
                <w:rFonts w:eastAsia="Times New Roman"/>
                <w:sz w:val="15"/>
                <w:szCs w:val="15"/>
                <w:lang w:val="en-US"/>
              </w:rPr>
            </w:pPr>
            <w:r w:rsidRPr="0067616A">
              <w:rPr>
                <w:rFonts w:eastAsia="Times New Roman"/>
                <w:sz w:val="15"/>
                <w:szCs w:val="15"/>
                <w:lang w:val="en-US"/>
              </w:rPr>
              <w:t>89</w:t>
            </w:r>
          </w:p>
        </w:tc>
        <w:tc>
          <w:tcPr>
            <w:tcW w:w="826" w:type="dxa"/>
            <w:tcBorders>
              <w:top w:val="single" w:sz="2" w:space="0" w:color="auto"/>
              <w:bottom w:val="single" w:sz="12" w:space="0" w:color="auto"/>
            </w:tcBorders>
            <w:shd w:val="clear" w:color="auto" w:fill="FBD4B4" w:themeFill="accent6" w:themeFillTint="66"/>
            <w:noWrap/>
            <w:vAlign w:val="bottom"/>
            <w:hideMark/>
          </w:tcPr>
          <w:p w:rsidR="00D25CE7" w:rsidRPr="0067616A" w:rsidRDefault="00D25CE7" w:rsidP="00D25CE7">
            <w:pPr>
              <w:widowControl/>
              <w:spacing w:after="0" w:line="240" w:lineRule="auto"/>
              <w:ind w:firstLine="0"/>
              <w:contextualSpacing w:val="0"/>
              <w:jc w:val="center"/>
              <w:rPr>
                <w:rFonts w:eastAsia="Times New Roman"/>
                <w:sz w:val="15"/>
                <w:szCs w:val="15"/>
                <w:lang w:val="en-US"/>
              </w:rPr>
            </w:pPr>
            <w:r w:rsidRPr="0067616A">
              <w:rPr>
                <w:rFonts w:eastAsia="Times New Roman"/>
                <w:sz w:val="15"/>
                <w:szCs w:val="15"/>
                <w:lang w:val="en-US"/>
              </w:rPr>
              <w:t>99</w:t>
            </w:r>
          </w:p>
        </w:tc>
        <w:tc>
          <w:tcPr>
            <w:tcW w:w="946" w:type="dxa"/>
            <w:tcBorders>
              <w:top w:val="single" w:sz="2" w:space="0" w:color="auto"/>
              <w:bottom w:val="single" w:sz="12" w:space="0" w:color="auto"/>
            </w:tcBorders>
            <w:shd w:val="clear" w:color="auto" w:fill="FBD4B4" w:themeFill="accent6" w:themeFillTint="66"/>
            <w:noWrap/>
            <w:vAlign w:val="bottom"/>
            <w:hideMark/>
          </w:tcPr>
          <w:p w:rsidR="00D25CE7" w:rsidRPr="0067616A" w:rsidRDefault="00D25CE7" w:rsidP="00D25CE7">
            <w:pPr>
              <w:widowControl/>
              <w:spacing w:after="0" w:line="240" w:lineRule="auto"/>
              <w:ind w:firstLine="0"/>
              <w:contextualSpacing w:val="0"/>
              <w:jc w:val="center"/>
              <w:rPr>
                <w:rFonts w:eastAsia="Times New Roman"/>
                <w:sz w:val="15"/>
                <w:szCs w:val="15"/>
                <w:lang w:val="en-US"/>
              </w:rPr>
            </w:pPr>
            <w:r w:rsidRPr="0067616A">
              <w:rPr>
                <w:rFonts w:eastAsia="Times New Roman"/>
                <w:sz w:val="15"/>
                <w:szCs w:val="15"/>
                <w:lang w:val="en-US"/>
              </w:rPr>
              <w:t>912</w:t>
            </w:r>
          </w:p>
        </w:tc>
        <w:tc>
          <w:tcPr>
            <w:tcW w:w="945" w:type="dxa"/>
            <w:tcBorders>
              <w:top w:val="single" w:sz="2" w:space="0" w:color="auto"/>
              <w:bottom w:val="single" w:sz="12" w:space="0" w:color="auto"/>
            </w:tcBorders>
            <w:shd w:val="clear" w:color="auto" w:fill="FBD4B4" w:themeFill="accent6" w:themeFillTint="66"/>
            <w:noWrap/>
            <w:vAlign w:val="bottom"/>
            <w:hideMark/>
          </w:tcPr>
          <w:p w:rsidR="00D25CE7" w:rsidRPr="0067616A"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 xml:space="preserve">0 / </w:t>
            </w:r>
            <w:r w:rsidRPr="0067616A">
              <w:rPr>
                <w:rFonts w:eastAsia="Times New Roman"/>
                <w:sz w:val="15"/>
                <w:szCs w:val="15"/>
                <w:lang w:val="en-US"/>
              </w:rPr>
              <w:t>115</w:t>
            </w:r>
          </w:p>
        </w:tc>
        <w:tc>
          <w:tcPr>
            <w:tcW w:w="667" w:type="dxa"/>
            <w:tcBorders>
              <w:top w:val="single" w:sz="2" w:space="0" w:color="auto"/>
              <w:bottom w:val="single" w:sz="12" w:space="0" w:color="auto"/>
            </w:tcBorders>
            <w:shd w:val="clear" w:color="auto" w:fill="FBD4B4" w:themeFill="accent6" w:themeFillTint="66"/>
            <w:noWrap/>
            <w:vAlign w:val="bottom"/>
            <w:hideMark/>
          </w:tcPr>
          <w:p w:rsidR="00D25CE7" w:rsidRPr="0067616A" w:rsidRDefault="00D25CE7" w:rsidP="00D25CE7">
            <w:pPr>
              <w:widowControl/>
              <w:spacing w:after="0" w:line="240" w:lineRule="auto"/>
              <w:ind w:firstLine="0"/>
              <w:contextualSpacing w:val="0"/>
              <w:jc w:val="center"/>
              <w:rPr>
                <w:rFonts w:eastAsia="Times New Roman"/>
                <w:sz w:val="15"/>
                <w:szCs w:val="15"/>
                <w:lang w:val="en-US"/>
              </w:rPr>
            </w:pPr>
            <w:r w:rsidRPr="0067616A">
              <w:rPr>
                <w:rFonts w:eastAsia="Times New Roman"/>
                <w:sz w:val="15"/>
                <w:szCs w:val="15"/>
                <w:lang w:val="en-US"/>
              </w:rPr>
              <w:t>495</w:t>
            </w:r>
          </w:p>
        </w:tc>
        <w:tc>
          <w:tcPr>
            <w:tcW w:w="667" w:type="dxa"/>
            <w:tcBorders>
              <w:top w:val="single" w:sz="2" w:space="0" w:color="auto"/>
              <w:bottom w:val="single" w:sz="12" w:space="0" w:color="auto"/>
            </w:tcBorders>
            <w:shd w:val="clear" w:color="auto" w:fill="FBD4B4" w:themeFill="accent6" w:themeFillTint="66"/>
            <w:noWrap/>
            <w:vAlign w:val="bottom"/>
            <w:hideMark/>
          </w:tcPr>
          <w:p w:rsidR="00D25CE7" w:rsidRPr="0067616A" w:rsidRDefault="00D25CE7" w:rsidP="00D25CE7">
            <w:pPr>
              <w:widowControl/>
              <w:spacing w:after="0" w:line="240" w:lineRule="auto"/>
              <w:ind w:firstLine="0"/>
              <w:contextualSpacing w:val="0"/>
              <w:jc w:val="center"/>
              <w:rPr>
                <w:rFonts w:eastAsia="Times New Roman"/>
                <w:sz w:val="15"/>
                <w:szCs w:val="15"/>
                <w:lang w:val="en-US"/>
              </w:rPr>
            </w:pPr>
            <w:r w:rsidRPr="0067616A">
              <w:rPr>
                <w:rFonts w:eastAsia="Times New Roman"/>
                <w:sz w:val="15"/>
                <w:szCs w:val="15"/>
                <w:lang w:val="en-US"/>
              </w:rPr>
              <w:t>1</w:t>
            </w:r>
            <w:r>
              <w:rPr>
                <w:rFonts w:eastAsia="Times New Roman"/>
                <w:sz w:val="15"/>
                <w:szCs w:val="15"/>
                <w:lang w:val="en-US"/>
              </w:rPr>
              <w:t>3</w:t>
            </w:r>
          </w:p>
        </w:tc>
        <w:tc>
          <w:tcPr>
            <w:tcW w:w="667" w:type="dxa"/>
            <w:tcBorders>
              <w:top w:val="single" w:sz="2" w:space="0" w:color="auto"/>
              <w:bottom w:val="single" w:sz="12" w:space="0" w:color="auto"/>
            </w:tcBorders>
            <w:shd w:val="clear" w:color="auto" w:fill="FBD4B4" w:themeFill="accent6" w:themeFillTint="66"/>
            <w:noWrap/>
            <w:vAlign w:val="bottom"/>
            <w:hideMark/>
          </w:tcPr>
          <w:p w:rsidR="00D25CE7" w:rsidRPr="0067616A" w:rsidRDefault="00D25CE7" w:rsidP="00D25CE7">
            <w:pPr>
              <w:widowControl/>
              <w:spacing w:after="0" w:line="240" w:lineRule="auto"/>
              <w:ind w:firstLine="0"/>
              <w:contextualSpacing w:val="0"/>
              <w:jc w:val="center"/>
              <w:rPr>
                <w:rFonts w:eastAsia="Times New Roman"/>
                <w:sz w:val="15"/>
                <w:szCs w:val="15"/>
                <w:lang w:val="en-US"/>
              </w:rPr>
            </w:pPr>
            <w:r w:rsidRPr="0067616A">
              <w:rPr>
                <w:rFonts w:eastAsia="Times New Roman"/>
                <w:sz w:val="15"/>
                <w:szCs w:val="15"/>
                <w:lang w:val="en-US"/>
              </w:rPr>
              <w:t>-</w:t>
            </w:r>
          </w:p>
        </w:tc>
        <w:tc>
          <w:tcPr>
            <w:tcW w:w="833" w:type="dxa"/>
            <w:tcBorders>
              <w:top w:val="single" w:sz="2" w:space="0" w:color="auto"/>
              <w:bottom w:val="single" w:sz="12" w:space="0" w:color="auto"/>
            </w:tcBorders>
            <w:shd w:val="clear" w:color="auto" w:fill="FBD4B4" w:themeFill="accent6" w:themeFillTint="66"/>
            <w:noWrap/>
            <w:vAlign w:val="bottom"/>
            <w:hideMark/>
          </w:tcPr>
          <w:p w:rsidR="00D25CE7" w:rsidRPr="0067616A" w:rsidRDefault="00D25CE7" w:rsidP="00D25CE7">
            <w:pPr>
              <w:widowControl/>
              <w:spacing w:after="0" w:line="240" w:lineRule="auto"/>
              <w:ind w:firstLine="0"/>
              <w:contextualSpacing w:val="0"/>
              <w:jc w:val="center"/>
              <w:rPr>
                <w:rFonts w:eastAsia="Times New Roman"/>
                <w:sz w:val="15"/>
                <w:szCs w:val="15"/>
                <w:lang w:val="en-US"/>
              </w:rPr>
            </w:pPr>
            <w:r w:rsidRPr="0067616A">
              <w:rPr>
                <w:rFonts w:eastAsia="Times New Roman"/>
                <w:sz w:val="15"/>
                <w:szCs w:val="15"/>
                <w:lang w:val="en-US"/>
              </w:rPr>
              <w:t>93</w:t>
            </w:r>
          </w:p>
        </w:tc>
        <w:tc>
          <w:tcPr>
            <w:tcW w:w="920" w:type="dxa"/>
            <w:tcBorders>
              <w:top w:val="single" w:sz="2" w:space="0" w:color="auto"/>
              <w:bottom w:val="single" w:sz="12" w:space="0" w:color="auto"/>
            </w:tcBorders>
            <w:shd w:val="clear" w:color="auto" w:fill="FBD4B4" w:themeFill="accent6" w:themeFillTint="66"/>
            <w:noWrap/>
            <w:vAlign w:val="bottom"/>
            <w:hideMark/>
          </w:tcPr>
          <w:p w:rsidR="00D25CE7" w:rsidRPr="0067616A" w:rsidRDefault="00D25CE7" w:rsidP="00D25CE7">
            <w:pPr>
              <w:widowControl/>
              <w:spacing w:after="0" w:line="240" w:lineRule="auto"/>
              <w:ind w:firstLine="0"/>
              <w:contextualSpacing w:val="0"/>
              <w:jc w:val="center"/>
              <w:rPr>
                <w:rFonts w:eastAsia="Times New Roman"/>
                <w:sz w:val="15"/>
                <w:szCs w:val="15"/>
                <w:lang w:val="en-US"/>
              </w:rPr>
            </w:pPr>
            <w:r w:rsidRPr="0067616A">
              <w:rPr>
                <w:rFonts w:eastAsia="Times New Roman"/>
                <w:sz w:val="15"/>
                <w:szCs w:val="15"/>
                <w:lang w:val="en-US"/>
              </w:rPr>
              <w:t>-</w:t>
            </w:r>
          </w:p>
        </w:tc>
        <w:tc>
          <w:tcPr>
            <w:tcW w:w="1008" w:type="dxa"/>
            <w:tcBorders>
              <w:top w:val="single" w:sz="2" w:space="0" w:color="auto"/>
              <w:bottom w:val="single" w:sz="12" w:space="0" w:color="auto"/>
            </w:tcBorders>
            <w:shd w:val="clear" w:color="auto" w:fill="FBD4B4" w:themeFill="accent6" w:themeFillTint="66"/>
            <w:noWrap/>
            <w:vAlign w:val="bottom"/>
            <w:hideMark/>
          </w:tcPr>
          <w:p w:rsidR="00D25CE7" w:rsidRPr="008F4FA6" w:rsidRDefault="00D25CE7" w:rsidP="00D25CE7">
            <w:pPr>
              <w:widowControl/>
              <w:spacing w:after="0" w:line="240" w:lineRule="auto"/>
              <w:ind w:firstLine="0"/>
              <w:contextualSpacing w:val="0"/>
              <w:jc w:val="center"/>
              <w:rPr>
                <w:rFonts w:eastAsia="Times New Roman"/>
                <w:b/>
                <w:bCs/>
                <w:color w:val="FF0000"/>
                <w:sz w:val="14"/>
                <w:szCs w:val="14"/>
                <w:lang w:val="en-US"/>
              </w:rPr>
            </w:pPr>
            <w:r w:rsidRPr="00325ADE">
              <w:rPr>
                <w:rFonts w:eastAsia="Times New Roman"/>
                <w:b/>
                <w:bCs/>
                <w:sz w:val="14"/>
                <w:szCs w:val="14"/>
                <w:lang w:val="en-US"/>
              </w:rPr>
              <w:t>1 88</w:t>
            </w:r>
            <w:r>
              <w:rPr>
                <w:rFonts w:eastAsia="Times New Roman"/>
                <w:b/>
                <w:bCs/>
                <w:sz w:val="14"/>
                <w:szCs w:val="14"/>
                <w:lang w:val="en-US"/>
              </w:rPr>
              <w:t>9</w:t>
            </w:r>
            <w:r>
              <w:rPr>
                <w:rFonts w:eastAsia="Times New Roman"/>
                <w:b/>
                <w:bCs/>
                <w:color w:val="FF0000"/>
                <w:sz w:val="14"/>
                <w:szCs w:val="14"/>
                <w:lang w:val="en-US"/>
              </w:rPr>
              <w:t xml:space="preserve"> / 2 066</w:t>
            </w:r>
          </w:p>
        </w:tc>
        <w:tc>
          <w:tcPr>
            <w:tcW w:w="946" w:type="dxa"/>
            <w:tcBorders>
              <w:top w:val="single" w:sz="2" w:space="0" w:color="auto"/>
              <w:bottom w:val="single" w:sz="12" w:space="0" w:color="auto"/>
            </w:tcBorders>
            <w:shd w:val="clear" w:color="auto" w:fill="FBD4B4" w:themeFill="accent6" w:themeFillTint="66"/>
            <w:noWrap/>
            <w:vAlign w:val="bottom"/>
            <w:hideMark/>
          </w:tcPr>
          <w:p w:rsidR="00D25CE7" w:rsidRPr="0067616A" w:rsidRDefault="00D25CE7" w:rsidP="00D25CE7">
            <w:pPr>
              <w:widowControl/>
              <w:spacing w:after="0" w:line="240" w:lineRule="auto"/>
              <w:ind w:firstLine="0"/>
              <w:contextualSpacing w:val="0"/>
              <w:jc w:val="center"/>
              <w:rPr>
                <w:rFonts w:eastAsia="Times New Roman"/>
                <w:b/>
                <w:bCs/>
                <w:sz w:val="15"/>
                <w:szCs w:val="15"/>
                <w:lang w:val="en-US"/>
              </w:rPr>
            </w:pPr>
            <w:r w:rsidRPr="0067616A">
              <w:rPr>
                <w:rFonts w:eastAsia="Times New Roman"/>
                <w:b/>
                <w:bCs/>
                <w:sz w:val="15"/>
                <w:szCs w:val="15"/>
                <w:lang w:val="en-US"/>
              </w:rPr>
              <w:t>629</w:t>
            </w:r>
            <w:r>
              <w:rPr>
                <w:rFonts w:eastAsia="Times New Roman"/>
                <w:b/>
                <w:bCs/>
                <w:sz w:val="15"/>
                <w:szCs w:val="15"/>
                <w:lang w:val="en-US"/>
              </w:rPr>
              <w:t xml:space="preserve"> / </w:t>
            </w:r>
            <w:r w:rsidRPr="0018021E">
              <w:rPr>
                <w:rFonts w:eastAsia="Times New Roman"/>
                <w:b/>
                <w:bCs/>
                <w:color w:val="FF0000"/>
                <w:sz w:val="15"/>
                <w:szCs w:val="15"/>
                <w:lang w:val="en-US"/>
              </w:rPr>
              <w:t>689</w:t>
            </w:r>
          </w:p>
        </w:tc>
      </w:tr>
      <w:tr w:rsidR="00D25CE7" w:rsidRPr="00C04485" w:rsidTr="00D25CE7">
        <w:trPr>
          <w:trHeight w:val="195"/>
        </w:trPr>
        <w:tc>
          <w:tcPr>
            <w:tcW w:w="346" w:type="dxa"/>
            <w:vMerge w:val="restart"/>
            <w:tcBorders>
              <w:top w:val="single" w:sz="12" w:space="0" w:color="auto"/>
            </w:tcBorders>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r w:rsidRPr="00BB5925">
              <w:rPr>
                <w:rFonts w:eastAsia="Times New Roman"/>
                <w:b/>
                <w:sz w:val="15"/>
                <w:szCs w:val="15"/>
              </w:rPr>
              <w:t>4</w:t>
            </w:r>
          </w:p>
        </w:tc>
        <w:tc>
          <w:tcPr>
            <w:tcW w:w="1814" w:type="dxa"/>
            <w:tcBorders>
              <w:top w:val="single" w:sz="12" w:space="0" w:color="auto"/>
              <w:bottom w:val="single" w:sz="2" w:space="0" w:color="auto"/>
            </w:tcBorders>
            <w:shd w:val="clear" w:color="auto" w:fill="B6DDE8" w:themeFill="accent5"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1 D + 1 N + 2 V, 75 %</w:t>
            </w:r>
          </w:p>
        </w:tc>
        <w:tc>
          <w:tcPr>
            <w:tcW w:w="1051" w:type="dxa"/>
            <w:tcBorders>
              <w:top w:val="single" w:sz="12" w:space="0" w:color="auto"/>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570</w:t>
            </w:r>
          </w:p>
        </w:tc>
        <w:tc>
          <w:tcPr>
            <w:tcW w:w="824" w:type="dxa"/>
            <w:tcBorders>
              <w:top w:val="single" w:sz="12" w:space="0" w:color="auto"/>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470 / 300</w:t>
            </w:r>
          </w:p>
        </w:tc>
        <w:tc>
          <w:tcPr>
            <w:tcW w:w="824" w:type="dxa"/>
            <w:tcBorders>
              <w:top w:val="single" w:sz="12" w:space="0" w:color="auto"/>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0</w:t>
            </w:r>
          </w:p>
        </w:tc>
        <w:tc>
          <w:tcPr>
            <w:tcW w:w="826" w:type="dxa"/>
            <w:tcBorders>
              <w:top w:val="single" w:sz="12" w:space="0" w:color="auto"/>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51</w:t>
            </w:r>
          </w:p>
        </w:tc>
        <w:tc>
          <w:tcPr>
            <w:tcW w:w="946" w:type="dxa"/>
            <w:tcBorders>
              <w:top w:val="single" w:sz="12" w:space="0" w:color="auto"/>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519</w:t>
            </w:r>
          </w:p>
        </w:tc>
        <w:tc>
          <w:tcPr>
            <w:tcW w:w="945" w:type="dxa"/>
            <w:tcBorders>
              <w:top w:val="single" w:sz="12" w:space="0" w:color="auto"/>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 xml:space="preserve">0 / </w:t>
            </w:r>
            <w:r w:rsidRPr="00084E39">
              <w:rPr>
                <w:rFonts w:eastAsia="Times New Roman"/>
                <w:sz w:val="15"/>
                <w:szCs w:val="15"/>
              </w:rPr>
              <w:t>704</w:t>
            </w:r>
          </w:p>
        </w:tc>
        <w:tc>
          <w:tcPr>
            <w:tcW w:w="667" w:type="dxa"/>
            <w:tcBorders>
              <w:top w:val="single" w:sz="12" w:space="0" w:color="auto"/>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495</w:t>
            </w:r>
          </w:p>
        </w:tc>
        <w:tc>
          <w:tcPr>
            <w:tcW w:w="667" w:type="dxa"/>
            <w:tcBorders>
              <w:top w:val="single" w:sz="12" w:space="0" w:color="auto"/>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13</w:t>
            </w:r>
          </w:p>
        </w:tc>
        <w:tc>
          <w:tcPr>
            <w:tcW w:w="667" w:type="dxa"/>
            <w:tcBorders>
              <w:top w:val="single" w:sz="12" w:space="0" w:color="auto"/>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833" w:type="dxa"/>
            <w:tcBorders>
              <w:top w:val="single" w:sz="12" w:space="0" w:color="auto"/>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20" w:type="dxa"/>
            <w:tcBorders>
              <w:top w:val="single" w:sz="12" w:space="0" w:color="auto"/>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w:t>
            </w:r>
          </w:p>
        </w:tc>
        <w:tc>
          <w:tcPr>
            <w:tcW w:w="1008" w:type="dxa"/>
            <w:tcBorders>
              <w:top w:val="single" w:sz="12" w:space="0" w:color="auto"/>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b/>
                <w:bCs/>
                <w:sz w:val="15"/>
                <w:szCs w:val="15"/>
              </w:rPr>
            </w:pPr>
            <w:r w:rsidRPr="00084E39">
              <w:rPr>
                <w:rFonts w:eastAsia="Times New Roman"/>
                <w:b/>
                <w:bCs/>
                <w:sz w:val="15"/>
                <w:szCs w:val="15"/>
              </w:rPr>
              <w:t>1</w:t>
            </w:r>
            <w:r>
              <w:rPr>
                <w:rFonts w:eastAsia="Times New Roman"/>
                <w:b/>
                <w:bCs/>
                <w:sz w:val="15"/>
                <w:szCs w:val="15"/>
              </w:rPr>
              <w:t xml:space="preserve"> 917</w:t>
            </w:r>
          </w:p>
        </w:tc>
        <w:tc>
          <w:tcPr>
            <w:tcW w:w="946" w:type="dxa"/>
            <w:tcBorders>
              <w:top w:val="single" w:sz="12" w:space="0" w:color="auto"/>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b/>
                <w:bCs/>
                <w:sz w:val="15"/>
                <w:szCs w:val="15"/>
              </w:rPr>
            </w:pPr>
            <w:r>
              <w:rPr>
                <w:rFonts w:eastAsia="Times New Roman"/>
                <w:b/>
                <w:bCs/>
                <w:sz w:val="15"/>
                <w:szCs w:val="15"/>
              </w:rPr>
              <w:t>479</w:t>
            </w:r>
          </w:p>
        </w:tc>
      </w:tr>
      <w:tr w:rsidR="00D25CE7" w:rsidRPr="00C04485" w:rsidTr="00D25CE7">
        <w:trPr>
          <w:trHeight w:val="195"/>
        </w:trPr>
        <w:tc>
          <w:tcPr>
            <w:tcW w:w="346" w:type="dxa"/>
            <w:vMerge/>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p>
        </w:tc>
        <w:tc>
          <w:tcPr>
            <w:tcW w:w="1814" w:type="dxa"/>
            <w:tcBorders>
              <w:top w:val="single" w:sz="2" w:space="0" w:color="auto"/>
              <w:bottom w:val="single" w:sz="2" w:space="0" w:color="auto"/>
            </w:tcBorders>
            <w:shd w:val="clear" w:color="auto" w:fill="B6DDE8" w:themeFill="accent5"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1 D + 1 N + 2 V, 75 %*</w:t>
            </w:r>
          </w:p>
        </w:tc>
        <w:tc>
          <w:tcPr>
            <w:tcW w:w="1051" w:type="dxa"/>
            <w:tcBorders>
              <w:top w:val="single" w:sz="2" w:space="0" w:color="auto"/>
              <w:bottom w:val="single" w:sz="2" w:space="0" w:color="auto"/>
            </w:tcBorders>
            <w:shd w:val="clear" w:color="auto" w:fill="B6DDE8" w:themeFill="accent5" w:themeFillTint="66"/>
            <w:noWrap/>
            <w:vAlign w:val="center"/>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570</w:t>
            </w:r>
          </w:p>
        </w:tc>
        <w:tc>
          <w:tcPr>
            <w:tcW w:w="824" w:type="dxa"/>
            <w:tcBorders>
              <w:top w:val="single" w:sz="2" w:space="0" w:color="auto"/>
              <w:bottom w:val="single" w:sz="2" w:space="0" w:color="auto"/>
            </w:tcBorders>
            <w:shd w:val="clear" w:color="auto" w:fill="B6DDE8" w:themeFill="accent5" w:themeFillTint="66"/>
            <w:noWrap/>
            <w:vAlign w:val="center"/>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470 / 300</w:t>
            </w:r>
          </w:p>
        </w:tc>
        <w:tc>
          <w:tcPr>
            <w:tcW w:w="824" w:type="dxa"/>
            <w:tcBorders>
              <w:top w:val="single" w:sz="2" w:space="0" w:color="auto"/>
              <w:bottom w:val="single" w:sz="2" w:space="0" w:color="auto"/>
            </w:tcBorders>
            <w:shd w:val="clear" w:color="auto" w:fill="B6DDE8" w:themeFill="accent5" w:themeFillTint="66"/>
            <w:noWrap/>
            <w:vAlign w:val="center"/>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0</w:t>
            </w:r>
          </w:p>
        </w:tc>
        <w:tc>
          <w:tcPr>
            <w:tcW w:w="826" w:type="dxa"/>
            <w:tcBorders>
              <w:top w:val="single" w:sz="2" w:space="0" w:color="auto"/>
              <w:bottom w:val="single" w:sz="2" w:space="0" w:color="auto"/>
            </w:tcBorders>
            <w:shd w:val="clear" w:color="auto" w:fill="B6DDE8" w:themeFill="accent5" w:themeFillTint="66"/>
            <w:noWrap/>
            <w:vAlign w:val="center"/>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51</w:t>
            </w:r>
          </w:p>
        </w:tc>
        <w:tc>
          <w:tcPr>
            <w:tcW w:w="946" w:type="dxa"/>
            <w:tcBorders>
              <w:top w:val="single" w:sz="2" w:space="0" w:color="auto"/>
              <w:bottom w:val="single" w:sz="2" w:space="0" w:color="auto"/>
            </w:tcBorders>
            <w:shd w:val="clear" w:color="auto" w:fill="B6DDE8" w:themeFill="accent5" w:themeFillTint="66"/>
            <w:noWrap/>
            <w:vAlign w:val="center"/>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519</w:t>
            </w:r>
          </w:p>
        </w:tc>
        <w:tc>
          <w:tcPr>
            <w:tcW w:w="945" w:type="dxa"/>
            <w:tcBorders>
              <w:top w:val="single" w:sz="2" w:space="0" w:color="auto"/>
              <w:bottom w:val="single" w:sz="2" w:space="0" w:color="auto"/>
            </w:tcBorders>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 xml:space="preserve">0 / </w:t>
            </w:r>
            <w:r w:rsidRPr="006679FA">
              <w:rPr>
                <w:rFonts w:eastAsia="Times New Roman"/>
                <w:sz w:val="15"/>
                <w:szCs w:val="15"/>
                <w:lang w:val="en-US"/>
              </w:rPr>
              <w:t>704</w:t>
            </w:r>
          </w:p>
        </w:tc>
        <w:tc>
          <w:tcPr>
            <w:tcW w:w="667" w:type="dxa"/>
            <w:tcBorders>
              <w:top w:val="single" w:sz="2" w:space="0" w:color="auto"/>
              <w:bottom w:val="single" w:sz="2" w:space="0" w:color="auto"/>
            </w:tcBorders>
            <w:shd w:val="clear" w:color="auto" w:fill="B6DDE8" w:themeFill="accent5" w:themeFillTint="66"/>
            <w:noWrap/>
            <w:vAlign w:val="center"/>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495</w:t>
            </w:r>
          </w:p>
        </w:tc>
        <w:tc>
          <w:tcPr>
            <w:tcW w:w="667" w:type="dxa"/>
            <w:tcBorders>
              <w:top w:val="single" w:sz="2" w:space="0" w:color="auto"/>
              <w:bottom w:val="single" w:sz="2" w:space="0" w:color="auto"/>
            </w:tcBorders>
            <w:shd w:val="clear" w:color="auto" w:fill="B6DDE8" w:themeFill="accent5" w:themeFillTint="66"/>
            <w:noWrap/>
            <w:vAlign w:val="center"/>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13</w:t>
            </w:r>
          </w:p>
        </w:tc>
        <w:tc>
          <w:tcPr>
            <w:tcW w:w="667" w:type="dxa"/>
            <w:tcBorders>
              <w:top w:val="single" w:sz="2" w:space="0" w:color="auto"/>
              <w:bottom w:val="single" w:sz="2" w:space="0" w:color="auto"/>
            </w:tcBorders>
            <w:shd w:val="clear" w:color="auto" w:fill="B6DDE8" w:themeFill="accent5" w:themeFillTint="66"/>
            <w:noWrap/>
            <w:vAlign w:val="center"/>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w:t>
            </w:r>
          </w:p>
        </w:tc>
        <w:tc>
          <w:tcPr>
            <w:tcW w:w="833" w:type="dxa"/>
            <w:tcBorders>
              <w:top w:val="single" w:sz="2" w:space="0" w:color="auto"/>
              <w:bottom w:val="single" w:sz="2" w:space="0" w:color="auto"/>
            </w:tcBorders>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186</w:t>
            </w:r>
          </w:p>
        </w:tc>
        <w:tc>
          <w:tcPr>
            <w:tcW w:w="920" w:type="dxa"/>
            <w:tcBorders>
              <w:top w:val="single" w:sz="2" w:space="0" w:color="auto"/>
              <w:bottom w:val="single" w:sz="2" w:space="0" w:color="auto"/>
            </w:tcBorders>
            <w:shd w:val="clear" w:color="auto" w:fill="B6DDE8" w:themeFill="accent5" w:themeFillTint="66"/>
            <w:noWrap/>
            <w:vAlign w:val="center"/>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w:t>
            </w:r>
          </w:p>
        </w:tc>
        <w:tc>
          <w:tcPr>
            <w:tcW w:w="1008" w:type="dxa"/>
            <w:tcBorders>
              <w:top w:val="single" w:sz="2" w:space="0" w:color="auto"/>
              <w:bottom w:val="single" w:sz="2" w:space="0" w:color="auto"/>
            </w:tcBorders>
            <w:shd w:val="clear" w:color="auto" w:fill="B6DDE8" w:themeFill="accent5" w:themeFillTint="66"/>
            <w:noWrap/>
            <w:vAlign w:val="center"/>
            <w:hideMark/>
          </w:tcPr>
          <w:p w:rsidR="00D25CE7" w:rsidRPr="008F4FA6" w:rsidRDefault="00D25CE7" w:rsidP="00D25CE7">
            <w:pPr>
              <w:widowControl/>
              <w:spacing w:after="0" w:line="240" w:lineRule="auto"/>
              <w:ind w:firstLine="0"/>
              <w:contextualSpacing w:val="0"/>
              <w:jc w:val="center"/>
              <w:rPr>
                <w:rFonts w:eastAsia="Times New Roman"/>
                <w:b/>
                <w:bCs/>
                <w:color w:val="FF0000"/>
                <w:sz w:val="14"/>
                <w:szCs w:val="14"/>
                <w:lang w:val="en-US"/>
              </w:rPr>
            </w:pPr>
            <w:r w:rsidRPr="00325ADE">
              <w:rPr>
                <w:rFonts w:eastAsia="Times New Roman"/>
                <w:b/>
                <w:bCs/>
                <w:sz w:val="14"/>
                <w:szCs w:val="14"/>
                <w:lang w:val="en-US"/>
              </w:rPr>
              <w:t>2 30</w:t>
            </w:r>
            <w:r>
              <w:rPr>
                <w:rFonts w:eastAsia="Times New Roman"/>
                <w:b/>
                <w:bCs/>
                <w:sz w:val="14"/>
                <w:szCs w:val="14"/>
                <w:lang w:val="en-US"/>
              </w:rPr>
              <w:t>7</w:t>
            </w:r>
            <w:r>
              <w:rPr>
                <w:rFonts w:eastAsia="Times New Roman"/>
                <w:b/>
                <w:bCs/>
                <w:color w:val="FF0000"/>
                <w:sz w:val="14"/>
                <w:szCs w:val="14"/>
                <w:lang w:val="en-US"/>
              </w:rPr>
              <w:t xml:space="preserve"> / 2 477</w:t>
            </w:r>
          </w:p>
        </w:tc>
        <w:tc>
          <w:tcPr>
            <w:tcW w:w="946" w:type="dxa"/>
            <w:tcBorders>
              <w:top w:val="single" w:sz="2" w:space="0" w:color="auto"/>
              <w:bottom w:val="single" w:sz="2" w:space="0" w:color="auto"/>
            </w:tcBorders>
            <w:shd w:val="clear" w:color="auto" w:fill="B6DDE8" w:themeFill="accent5" w:themeFillTint="66"/>
            <w:noWrap/>
            <w:vAlign w:val="center"/>
            <w:hideMark/>
          </w:tcPr>
          <w:p w:rsidR="00D25CE7" w:rsidRPr="006679FA" w:rsidRDefault="00D25CE7" w:rsidP="00D25CE7">
            <w:pPr>
              <w:widowControl/>
              <w:spacing w:after="0" w:line="240" w:lineRule="auto"/>
              <w:ind w:firstLine="0"/>
              <w:contextualSpacing w:val="0"/>
              <w:jc w:val="center"/>
              <w:rPr>
                <w:rFonts w:eastAsia="Times New Roman"/>
                <w:b/>
                <w:bCs/>
                <w:sz w:val="15"/>
                <w:szCs w:val="15"/>
                <w:lang w:val="en-US"/>
              </w:rPr>
            </w:pPr>
            <w:r w:rsidRPr="006679FA">
              <w:rPr>
                <w:rFonts w:eastAsia="Times New Roman"/>
                <w:b/>
                <w:bCs/>
                <w:sz w:val="15"/>
                <w:szCs w:val="15"/>
                <w:lang w:val="en-US"/>
              </w:rPr>
              <w:t>577</w:t>
            </w:r>
            <w:r>
              <w:rPr>
                <w:rFonts w:eastAsia="Times New Roman"/>
                <w:b/>
                <w:bCs/>
                <w:sz w:val="15"/>
                <w:szCs w:val="15"/>
                <w:lang w:val="en-US"/>
              </w:rPr>
              <w:t xml:space="preserve"> / </w:t>
            </w:r>
            <w:r w:rsidRPr="00154A73">
              <w:rPr>
                <w:rFonts w:eastAsia="Times New Roman"/>
                <w:b/>
                <w:bCs/>
                <w:color w:val="FF0000"/>
                <w:sz w:val="15"/>
                <w:szCs w:val="15"/>
                <w:lang w:val="en-US"/>
              </w:rPr>
              <w:t>619</w:t>
            </w:r>
          </w:p>
        </w:tc>
      </w:tr>
      <w:tr w:rsidR="00D25CE7" w:rsidRPr="00C04485" w:rsidTr="00D25CE7">
        <w:trPr>
          <w:trHeight w:val="195"/>
        </w:trPr>
        <w:tc>
          <w:tcPr>
            <w:tcW w:w="346" w:type="dxa"/>
            <w:vMerge/>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p>
        </w:tc>
        <w:tc>
          <w:tcPr>
            <w:tcW w:w="1814" w:type="dxa"/>
            <w:tcBorders>
              <w:top w:val="single" w:sz="2" w:space="0" w:color="auto"/>
            </w:tcBorders>
            <w:shd w:val="clear" w:color="auto" w:fill="B6DDE8" w:themeFill="accent5"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1 D + 1 N + 2 V, 100 %</w:t>
            </w:r>
          </w:p>
        </w:tc>
        <w:tc>
          <w:tcPr>
            <w:tcW w:w="1051" w:type="dxa"/>
            <w:tcBorders>
              <w:top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850</w:t>
            </w:r>
          </w:p>
        </w:tc>
        <w:tc>
          <w:tcPr>
            <w:tcW w:w="824" w:type="dxa"/>
            <w:tcBorders>
              <w:top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460 / 300</w:t>
            </w:r>
          </w:p>
        </w:tc>
        <w:tc>
          <w:tcPr>
            <w:tcW w:w="824" w:type="dxa"/>
            <w:tcBorders>
              <w:top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14</w:t>
            </w:r>
          </w:p>
        </w:tc>
        <w:tc>
          <w:tcPr>
            <w:tcW w:w="826" w:type="dxa"/>
            <w:tcBorders>
              <w:top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77</w:t>
            </w:r>
          </w:p>
        </w:tc>
        <w:tc>
          <w:tcPr>
            <w:tcW w:w="946" w:type="dxa"/>
            <w:tcBorders>
              <w:top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759</w:t>
            </w:r>
          </w:p>
        </w:tc>
        <w:tc>
          <w:tcPr>
            <w:tcW w:w="945" w:type="dxa"/>
            <w:tcBorders>
              <w:top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 xml:space="preserve">0 / </w:t>
            </w:r>
            <w:r w:rsidRPr="00084E39">
              <w:rPr>
                <w:rFonts w:eastAsia="Times New Roman"/>
                <w:sz w:val="15"/>
                <w:szCs w:val="15"/>
              </w:rPr>
              <w:t>512</w:t>
            </w:r>
          </w:p>
        </w:tc>
        <w:tc>
          <w:tcPr>
            <w:tcW w:w="667" w:type="dxa"/>
            <w:tcBorders>
              <w:top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495</w:t>
            </w:r>
          </w:p>
        </w:tc>
        <w:tc>
          <w:tcPr>
            <w:tcW w:w="667" w:type="dxa"/>
            <w:tcBorders>
              <w:top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1</w:t>
            </w:r>
            <w:r>
              <w:rPr>
                <w:rFonts w:eastAsia="Times New Roman"/>
                <w:sz w:val="15"/>
                <w:szCs w:val="15"/>
              </w:rPr>
              <w:t>0</w:t>
            </w:r>
          </w:p>
        </w:tc>
        <w:tc>
          <w:tcPr>
            <w:tcW w:w="667" w:type="dxa"/>
            <w:tcBorders>
              <w:top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w:t>
            </w:r>
          </w:p>
        </w:tc>
        <w:tc>
          <w:tcPr>
            <w:tcW w:w="833" w:type="dxa"/>
            <w:tcBorders>
              <w:top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20" w:type="dxa"/>
            <w:tcBorders>
              <w:top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w:t>
            </w:r>
          </w:p>
        </w:tc>
        <w:tc>
          <w:tcPr>
            <w:tcW w:w="1008" w:type="dxa"/>
            <w:tcBorders>
              <w:top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b/>
                <w:bCs/>
                <w:sz w:val="15"/>
                <w:szCs w:val="15"/>
              </w:rPr>
            </w:pPr>
            <w:r>
              <w:rPr>
                <w:rFonts w:eastAsia="Times New Roman"/>
                <w:b/>
                <w:bCs/>
                <w:sz w:val="15"/>
                <w:szCs w:val="15"/>
              </w:rPr>
              <w:t>1 962</w:t>
            </w:r>
          </w:p>
        </w:tc>
        <w:tc>
          <w:tcPr>
            <w:tcW w:w="946" w:type="dxa"/>
            <w:tcBorders>
              <w:top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b/>
                <w:bCs/>
                <w:sz w:val="15"/>
                <w:szCs w:val="15"/>
              </w:rPr>
            </w:pPr>
            <w:r>
              <w:rPr>
                <w:rFonts w:eastAsia="Times New Roman"/>
                <w:b/>
                <w:bCs/>
                <w:sz w:val="15"/>
                <w:szCs w:val="15"/>
              </w:rPr>
              <w:t>491</w:t>
            </w:r>
          </w:p>
        </w:tc>
      </w:tr>
      <w:tr w:rsidR="00D25CE7" w:rsidRPr="00C04485" w:rsidTr="00D25CE7">
        <w:trPr>
          <w:trHeight w:val="195"/>
        </w:trPr>
        <w:tc>
          <w:tcPr>
            <w:tcW w:w="346" w:type="dxa"/>
            <w:vMerge/>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p>
        </w:tc>
        <w:tc>
          <w:tcPr>
            <w:tcW w:w="1814" w:type="dxa"/>
            <w:shd w:val="clear" w:color="auto" w:fill="B6DDE8" w:themeFill="accent5"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1 D + 1 N + 2 V, 100 %*</w:t>
            </w:r>
          </w:p>
        </w:tc>
        <w:tc>
          <w:tcPr>
            <w:tcW w:w="1051" w:type="dxa"/>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850</w:t>
            </w:r>
          </w:p>
        </w:tc>
        <w:tc>
          <w:tcPr>
            <w:tcW w:w="824" w:type="dxa"/>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460 / 300</w:t>
            </w:r>
          </w:p>
        </w:tc>
        <w:tc>
          <w:tcPr>
            <w:tcW w:w="824" w:type="dxa"/>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14</w:t>
            </w:r>
          </w:p>
        </w:tc>
        <w:tc>
          <w:tcPr>
            <w:tcW w:w="826" w:type="dxa"/>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77</w:t>
            </w:r>
          </w:p>
        </w:tc>
        <w:tc>
          <w:tcPr>
            <w:tcW w:w="946" w:type="dxa"/>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759</w:t>
            </w:r>
          </w:p>
        </w:tc>
        <w:tc>
          <w:tcPr>
            <w:tcW w:w="945" w:type="dxa"/>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 xml:space="preserve">0 / </w:t>
            </w:r>
            <w:r w:rsidRPr="006679FA">
              <w:rPr>
                <w:rFonts w:eastAsia="Times New Roman"/>
                <w:sz w:val="15"/>
                <w:szCs w:val="15"/>
                <w:lang w:val="en-US"/>
              </w:rPr>
              <w:t>512</w:t>
            </w:r>
          </w:p>
        </w:tc>
        <w:tc>
          <w:tcPr>
            <w:tcW w:w="667" w:type="dxa"/>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495</w:t>
            </w:r>
          </w:p>
        </w:tc>
        <w:tc>
          <w:tcPr>
            <w:tcW w:w="667" w:type="dxa"/>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1</w:t>
            </w:r>
            <w:r>
              <w:rPr>
                <w:rFonts w:eastAsia="Times New Roman"/>
                <w:sz w:val="15"/>
                <w:szCs w:val="15"/>
                <w:lang w:val="en-US"/>
              </w:rPr>
              <w:t>0</w:t>
            </w:r>
          </w:p>
        </w:tc>
        <w:tc>
          <w:tcPr>
            <w:tcW w:w="667" w:type="dxa"/>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w:t>
            </w:r>
          </w:p>
        </w:tc>
        <w:tc>
          <w:tcPr>
            <w:tcW w:w="833" w:type="dxa"/>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186</w:t>
            </w:r>
          </w:p>
        </w:tc>
        <w:tc>
          <w:tcPr>
            <w:tcW w:w="920" w:type="dxa"/>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w:t>
            </w:r>
          </w:p>
        </w:tc>
        <w:tc>
          <w:tcPr>
            <w:tcW w:w="1008" w:type="dxa"/>
            <w:shd w:val="clear" w:color="auto" w:fill="B6DDE8" w:themeFill="accent5" w:themeFillTint="66"/>
            <w:noWrap/>
            <w:vAlign w:val="bottom"/>
            <w:hideMark/>
          </w:tcPr>
          <w:p w:rsidR="00D25CE7" w:rsidRPr="008F4FA6" w:rsidRDefault="00D25CE7" w:rsidP="00D25CE7">
            <w:pPr>
              <w:widowControl/>
              <w:spacing w:after="0" w:line="240" w:lineRule="auto"/>
              <w:ind w:firstLine="0"/>
              <w:contextualSpacing w:val="0"/>
              <w:jc w:val="center"/>
              <w:rPr>
                <w:rFonts w:eastAsia="Times New Roman"/>
                <w:b/>
                <w:bCs/>
                <w:color w:val="FF0000"/>
                <w:sz w:val="14"/>
                <w:szCs w:val="14"/>
                <w:lang w:val="en-US"/>
              </w:rPr>
            </w:pPr>
            <w:r w:rsidRPr="00325ADE">
              <w:rPr>
                <w:rFonts w:eastAsia="Times New Roman"/>
                <w:b/>
                <w:bCs/>
                <w:sz w:val="14"/>
                <w:szCs w:val="14"/>
                <w:lang w:val="en-US"/>
              </w:rPr>
              <w:t>2 35</w:t>
            </w:r>
            <w:r>
              <w:rPr>
                <w:rFonts w:eastAsia="Times New Roman"/>
                <w:b/>
                <w:bCs/>
                <w:sz w:val="14"/>
                <w:szCs w:val="14"/>
                <w:lang w:val="en-US"/>
              </w:rPr>
              <w:t>2</w:t>
            </w:r>
            <w:r>
              <w:rPr>
                <w:rFonts w:eastAsia="Times New Roman"/>
                <w:b/>
                <w:bCs/>
                <w:color w:val="FF0000"/>
                <w:sz w:val="14"/>
                <w:szCs w:val="14"/>
                <w:lang w:val="en-US"/>
              </w:rPr>
              <w:t xml:space="preserve"> / 2 522</w:t>
            </w:r>
          </w:p>
        </w:tc>
        <w:tc>
          <w:tcPr>
            <w:tcW w:w="946" w:type="dxa"/>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b/>
                <w:bCs/>
                <w:sz w:val="15"/>
                <w:szCs w:val="15"/>
                <w:lang w:val="en-US"/>
              </w:rPr>
            </w:pPr>
            <w:r w:rsidRPr="006679FA">
              <w:rPr>
                <w:rFonts w:eastAsia="Times New Roman"/>
                <w:b/>
                <w:bCs/>
                <w:sz w:val="15"/>
                <w:szCs w:val="15"/>
                <w:lang w:val="en-US"/>
              </w:rPr>
              <w:t>588</w:t>
            </w:r>
            <w:r>
              <w:rPr>
                <w:rFonts w:eastAsia="Times New Roman"/>
                <w:b/>
                <w:bCs/>
                <w:sz w:val="15"/>
                <w:szCs w:val="15"/>
                <w:lang w:val="en-US"/>
              </w:rPr>
              <w:t xml:space="preserve"> / </w:t>
            </w:r>
            <w:r w:rsidRPr="006D2C88">
              <w:rPr>
                <w:rFonts w:eastAsia="Times New Roman"/>
                <w:b/>
                <w:bCs/>
                <w:color w:val="FF0000"/>
                <w:sz w:val="15"/>
                <w:szCs w:val="15"/>
                <w:lang w:val="en-US"/>
              </w:rPr>
              <w:t>631</w:t>
            </w:r>
          </w:p>
        </w:tc>
      </w:tr>
      <w:tr w:rsidR="00D25CE7" w:rsidRPr="00C04485" w:rsidTr="00D25CE7">
        <w:trPr>
          <w:trHeight w:val="195"/>
        </w:trPr>
        <w:tc>
          <w:tcPr>
            <w:tcW w:w="346" w:type="dxa"/>
            <w:vMerge/>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p>
        </w:tc>
        <w:tc>
          <w:tcPr>
            <w:tcW w:w="1814" w:type="dxa"/>
            <w:tcBorders>
              <w:bottom w:val="single" w:sz="2" w:space="0" w:color="auto"/>
            </w:tcBorders>
            <w:shd w:val="clear" w:color="auto" w:fill="B6DDE8" w:themeFill="accent5"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1 D + 1 N + 2 V, 100 %</w:t>
            </w:r>
          </w:p>
        </w:tc>
        <w:tc>
          <w:tcPr>
            <w:tcW w:w="1051" w:type="dxa"/>
            <w:tcBorders>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1 </w:t>
            </w:r>
            <w:r w:rsidRPr="00084E39">
              <w:rPr>
                <w:rFonts w:eastAsia="Times New Roman"/>
                <w:sz w:val="15"/>
                <w:szCs w:val="15"/>
              </w:rPr>
              <w:t>100</w:t>
            </w:r>
          </w:p>
        </w:tc>
        <w:tc>
          <w:tcPr>
            <w:tcW w:w="824" w:type="dxa"/>
            <w:tcBorders>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410 / 300</w:t>
            </w:r>
          </w:p>
        </w:tc>
        <w:tc>
          <w:tcPr>
            <w:tcW w:w="824" w:type="dxa"/>
            <w:tcBorders>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59</w:t>
            </w:r>
          </w:p>
        </w:tc>
        <w:tc>
          <w:tcPr>
            <w:tcW w:w="826" w:type="dxa"/>
            <w:tcBorders>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99</w:t>
            </w:r>
          </w:p>
        </w:tc>
        <w:tc>
          <w:tcPr>
            <w:tcW w:w="946" w:type="dxa"/>
            <w:tcBorders>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942</w:t>
            </w:r>
          </w:p>
        </w:tc>
        <w:tc>
          <w:tcPr>
            <w:tcW w:w="945" w:type="dxa"/>
            <w:tcBorders>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C04485">
              <w:rPr>
                <w:rFonts w:eastAsia="Times New Roman"/>
                <w:sz w:val="15"/>
                <w:szCs w:val="15"/>
              </w:rPr>
              <w:t xml:space="preserve">0 / </w:t>
            </w:r>
            <w:r w:rsidRPr="00084E39">
              <w:rPr>
                <w:rFonts w:eastAsia="Times New Roman"/>
                <w:sz w:val="15"/>
                <w:szCs w:val="15"/>
              </w:rPr>
              <w:t>365</w:t>
            </w:r>
          </w:p>
        </w:tc>
        <w:tc>
          <w:tcPr>
            <w:tcW w:w="667" w:type="dxa"/>
            <w:tcBorders>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495</w:t>
            </w:r>
          </w:p>
        </w:tc>
        <w:tc>
          <w:tcPr>
            <w:tcW w:w="667" w:type="dxa"/>
            <w:tcBorders>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9</w:t>
            </w:r>
          </w:p>
        </w:tc>
        <w:tc>
          <w:tcPr>
            <w:tcW w:w="667" w:type="dxa"/>
            <w:tcBorders>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w:t>
            </w:r>
          </w:p>
        </w:tc>
        <w:tc>
          <w:tcPr>
            <w:tcW w:w="833" w:type="dxa"/>
            <w:tcBorders>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20" w:type="dxa"/>
            <w:tcBorders>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sz w:val="15"/>
                <w:szCs w:val="15"/>
              </w:rPr>
            </w:pPr>
            <w:r w:rsidRPr="00084E39">
              <w:rPr>
                <w:rFonts w:eastAsia="Times New Roman"/>
                <w:sz w:val="15"/>
                <w:szCs w:val="15"/>
              </w:rPr>
              <w:t>-</w:t>
            </w:r>
          </w:p>
        </w:tc>
        <w:tc>
          <w:tcPr>
            <w:tcW w:w="1008" w:type="dxa"/>
            <w:tcBorders>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b/>
                <w:bCs/>
                <w:sz w:val="15"/>
                <w:szCs w:val="15"/>
              </w:rPr>
            </w:pPr>
            <w:r>
              <w:rPr>
                <w:rFonts w:eastAsia="Times New Roman"/>
                <w:b/>
                <w:bCs/>
                <w:sz w:val="15"/>
                <w:szCs w:val="15"/>
              </w:rPr>
              <w:t>1 997</w:t>
            </w:r>
          </w:p>
        </w:tc>
        <w:tc>
          <w:tcPr>
            <w:tcW w:w="946" w:type="dxa"/>
            <w:tcBorders>
              <w:bottom w:val="single" w:sz="2" w:space="0" w:color="auto"/>
            </w:tcBorders>
            <w:shd w:val="clear" w:color="auto" w:fill="B6DDE8" w:themeFill="accent5" w:themeFillTint="66"/>
            <w:noWrap/>
            <w:vAlign w:val="center"/>
            <w:hideMark/>
          </w:tcPr>
          <w:p w:rsidR="00D25CE7" w:rsidRPr="00084E39" w:rsidRDefault="00D25CE7" w:rsidP="00D25CE7">
            <w:pPr>
              <w:widowControl/>
              <w:spacing w:after="0" w:line="240" w:lineRule="auto"/>
              <w:ind w:firstLine="0"/>
              <w:contextualSpacing w:val="0"/>
              <w:jc w:val="center"/>
              <w:rPr>
                <w:rFonts w:eastAsia="Times New Roman"/>
                <w:b/>
                <w:bCs/>
                <w:sz w:val="15"/>
                <w:szCs w:val="15"/>
              </w:rPr>
            </w:pPr>
            <w:r>
              <w:rPr>
                <w:rFonts w:eastAsia="Times New Roman"/>
                <w:b/>
                <w:bCs/>
                <w:sz w:val="15"/>
                <w:szCs w:val="15"/>
              </w:rPr>
              <w:t>499</w:t>
            </w:r>
          </w:p>
        </w:tc>
      </w:tr>
      <w:tr w:rsidR="00D25CE7" w:rsidRPr="00C04485" w:rsidTr="00D25CE7">
        <w:trPr>
          <w:trHeight w:val="195"/>
        </w:trPr>
        <w:tc>
          <w:tcPr>
            <w:tcW w:w="346" w:type="dxa"/>
            <w:vMerge/>
            <w:tcBorders>
              <w:bottom w:val="single" w:sz="12" w:space="0" w:color="auto"/>
            </w:tcBorders>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p>
        </w:tc>
        <w:tc>
          <w:tcPr>
            <w:tcW w:w="1814" w:type="dxa"/>
            <w:tcBorders>
              <w:top w:val="single" w:sz="2" w:space="0" w:color="auto"/>
              <w:bottom w:val="single" w:sz="12" w:space="0" w:color="auto"/>
            </w:tcBorders>
            <w:shd w:val="clear" w:color="auto" w:fill="B6DDE8" w:themeFill="accent5"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1 D + 1 N + 2 V, 100 %*</w:t>
            </w:r>
          </w:p>
        </w:tc>
        <w:tc>
          <w:tcPr>
            <w:tcW w:w="1051" w:type="dxa"/>
            <w:tcBorders>
              <w:top w:val="single" w:sz="2" w:space="0" w:color="auto"/>
              <w:bottom w:val="single" w:sz="12" w:space="0" w:color="auto"/>
            </w:tcBorders>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1</w:t>
            </w:r>
            <w:r>
              <w:rPr>
                <w:rFonts w:eastAsia="Times New Roman"/>
                <w:sz w:val="15"/>
                <w:szCs w:val="15"/>
                <w:lang w:val="en-US"/>
              </w:rPr>
              <w:t> </w:t>
            </w:r>
            <w:r w:rsidRPr="006679FA">
              <w:rPr>
                <w:rFonts w:eastAsia="Times New Roman"/>
                <w:sz w:val="15"/>
                <w:szCs w:val="15"/>
                <w:lang w:val="en-US"/>
              </w:rPr>
              <w:t>100</w:t>
            </w:r>
          </w:p>
        </w:tc>
        <w:tc>
          <w:tcPr>
            <w:tcW w:w="824" w:type="dxa"/>
            <w:tcBorders>
              <w:top w:val="single" w:sz="2" w:space="0" w:color="auto"/>
              <w:bottom w:val="single" w:sz="12" w:space="0" w:color="auto"/>
            </w:tcBorders>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410 / 300</w:t>
            </w:r>
          </w:p>
        </w:tc>
        <w:tc>
          <w:tcPr>
            <w:tcW w:w="824" w:type="dxa"/>
            <w:tcBorders>
              <w:top w:val="single" w:sz="2" w:space="0" w:color="auto"/>
              <w:bottom w:val="single" w:sz="12" w:space="0" w:color="auto"/>
            </w:tcBorders>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59</w:t>
            </w:r>
          </w:p>
        </w:tc>
        <w:tc>
          <w:tcPr>
            <w:tcW w:w="826" w:type="dxa"/>
            <w:tcBorders>
              <w:top w:val="single" w:sz="2" w:space="0" w:color="auto"/>
              <w:bottom w:val="single" w:sz="12" w:space="0" w:color="auto"/>
            </w:tcBorders>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99</w:t>
            </w:r>
          </w:p>
        </w:tc>
        <w:tc>
          <w:tcPr>
            <w:tcW w:w="946" w:type="dxa"/>
            <w:tcBorders>
              <w:top w:val="single" w:sz="2" w:space="0" w:color="auto"/>
              <w:bottom w:val="single" w:sz="12" w:space="0" w:color="auto"/>
            </w:tcBorders>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942</w:t>
            </w:r>
          </w:p>
        </w:tc>
        <w:tc>
          <w:tcPr>
            <w:tcW w:w="945" w:type="dxa"/>
            <w:tcBorders>
              <w:top w:val="single" w:sz="2" w:space="0" w:color="auto"/>
              <w:bottom w:val="single" w:sz="12" w:space="0" w:color="auto"/>
            </w:tcBorders>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Pr>
                <w:rFonts w:eastAsia="Times New Roman"/>
                <w:sz w:val="15"/>
                <w:szCs w:val="15"/>
                <w:lang w:val="en-US"/>
              </w:rPr>
              <w:t xml:space="preserve">0 / </w:t>
            </w:r>
            <w:r w:rsidRPr="006679FA">
              <w:rPr>
                <w:rFonts w:eastAsia="Times New Roman"/>
                <w:sz w:val="15"/>
                <w:szCs w:val="15"/>
                <w:lang w:val="en-US"/>
              </w:rPr>
              <w:t>365</w:t>
            </w:r>
          </w:p>
        </w:tc>
        <w:tc>
          <w:tcPr>
            <w:tcW w:w="667" w:type="dxa"/>
            <w:tcBorders>
              <w:top w:val="single" w:sz="2" w:space="0" w:color="auto"/>
              <w:bottom w:val="single" w:sz="12" w:space="0" w:color="auto"/>
            </w:tcBorders>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495</w:t>
            </w:r>
          </w:p>
        </w:tc>
        <w:tc>
          <w:tcPr>
            <w:tcW w:w="667" w:type="dxa"/>
            <w:tcBorders>
              <w:top w:val="single" w:sz="2" w:space="0" w:color="auto"/>
              <w:bottom w:val="single" w:sz="12" w:space="0" w:color="auto"/>
            </w:tcBorders>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9</w:t>
            </w:r>
          </w:p>
        </w:tc>
        <w:tc>
          <w:tcPr>
            <w:tcW w:w="667" w:type="dxa"/>
            <w:tcBorders>
              <w:top w:val="single" w:sz="2" w:space="0" w:color="auto"/>
              <w:bottom w:val="single" w:sz="12" w:space="0" w:color="auto"/>
            </w:tcBorders>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w:t>
            </w:r>
          </w:p>
        </w:tc>
        <w:tc>
          <w:tcPr>
            <w:tcW w:w="833" w:type="dxa"/>
            <w:tcBorders>
              <w:top w:val="single" w:sz="2" w:space="0" w:color="auto"/>
              <w:bottom w:val="single" w:sz="12" w:space="0" w:color="auto"/>
            </w:tcBorders>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186</w:t>
            </w:r>
          </w:p>
        </w:tc>
        <w:tc>
          <w:tcPr>
            <w:tcW w:w="920" w:type="dxa"/>
            <w:tcBorders>
              <w:top w:val="single" w:sz="2" w:space="0" w:color="auto"/>
              <w:bottom w:val="single" w:sz="12" w:space="0" w:color="auto"/>
            </w:tcBorders>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sz w:val="15"/>
                <w:szCs w:val="15"/>
                <w:lang w:val="en-US"/>
              </w:rPr>
            </w:pPr>
            <w:r w:rsidRPr="006679FA">
              <w:rPr>
                <w:rFonts w:eastAsia="Times New Roman"/>
                <w:sz w:val="15"/>
                <w:szCs w:val="15"/>
                <w:lang w:val="en-US"/>
              </w:rPr>
              <w:t>-</w:t>
            </w:r>
          </w:p>
        </w:tc>
        <w:tc>
          <w:tcPr>
            <w:tcW w:w="1008" w:type="dxa"/>
            <w:tcBorders>
              <w:top w:val="single" w:sz="2" w:space="0" w:color="auto"/>
              <w:bottom w:val="single" w:sz="12" w:space="0" w:color="auto"/>
            </w:tcBorders>
            <w:shd w:val="clear" w:color="auto" w:fill="B6DDE8" w:themeFill="accent5" w:themeFillTint="66"/>
            <w:noWrap/>
            <w:vAlign w:val="bottom"/>
            <w:hideMark/>
          </w:tcPr>
          <w:p w:rsidR="00D25CE7" w:rsidRPr="008F4FA6" w:rsidRDefault="00D25CE7" w:rsidP="00D25CE7">
            <w:pPr>
              <w:widowControl/>
              <w:spacing w:after="0" w:line="240" w:lineRule="auto"/>
              <w:ind w:firstLine="0"/>
              <w:contextualSpacing w:val="0"/>
              <w:jc w:val="center"/>
              <w:rPr>
                <w:rFonts w:eastAsia="Times New Roman"/>
                <w:b/>
                <w:bCs/>
                <w:color w:val="FF0000"/>
                <w:sz w:val="14"/>
                <w:szCs w:val="14"/>
                <w:lang w:val="en-US"/>
              </w:rPr>
            </w:pPr>
            <w:r w:rsidRPr="00325ADE">
              <w:rPr>
                <w:rFonts w:eastAsia="Times New Roman"/>
                <w:b/>
                <w:bCs/>
                <w:sz w:val="14"/>
                <w:szCs w:val="14"/>
                <w:lang w:val="en-US"/>
              </w:rPr>
              <w:t>2 387</w:t>
            </w:r>
            <w:r>
              <w:rPr>
                <w:rFonts w:eastAsia="Times New Roman"/>
                <w:b/>
                <w:bCs/>
                <w:color w:val="FF0000"/>
                <w:sz w:val="14"/>
                <w:szCs w:val="14"/>
                <w:lang w:val="en-US"/>
              </w:rPr>
              <w:t xml:space="preserve"> / 2 557</w:t>
            </w:r>
          </w:p>
        </w:tc>
        <w:tc>
          <w:tcPr>
            <w:tcW w:w="946" w:type="dxa"/>
            <w:tcBorders>
              <w:top w:val="single" w:sz="2" w:space="0" w:color="auto"/>
              <w:bottom w:val="single" w:sz="12" w:space="0" w:color="auto"/>
            </w:tcBorders>
            <w:shd w:val="clear" w:color="auto" w:fill="B6DDE8" w:themeFill="accent5" w:themeFillTint="66"/>
            <w:noWrap/>
            <w:vAlign w:val="bottom"/>
            <w:hideMark/>
          </w:tcPr>
          <w:p w:rsidR="00D25CE7" w:rsidRPr="006679FA" w:rsidRDefault="00D25CE7" w:rsidP="00D25CE7">
            <w:pPr>
              <w:widowControl/>
              <w:spacing w:after="0" w:line="240" w:lineRule="auto"/>
              <w:ind w:firstLine="0"/>
              <w:contextualSpacing w:val="0"/>
              <w:jc w:val="center"/>
              <w:rPr>
                <w:rFonts w:eastAsia="Times New Roman"/>
                <w:b/>
                <w:bCs/>
                <w:sz w:val="15"/>
                <w:szCs w:val="15"/>
                <w:lang w:val="en-US"/>
              </w:rPr>
            </w:pPr>
            <w:r w:rsidRPr="006679FA">
              <w:rPr>
                <w:rFonts w:eastAsia="Times New Roman"/>
                <w:b/>
                <w:bCs/>
                <w:sz w:val="15"/>
                <w:szCs w:val="15"/>
                <w:lang w:val="en-US"/>
              </w:rPr>
              <w:t>597</w:t>
            </w:r>
            <w:r>
              <w:rPr>
                <w:rFonts w:eastAsia="Times New Roman"/>
                <w:b/>
                <w:bCs/>
                <w:sz w:val="15"/>
                <w:szCs w:val="15"/>
                <w:lang w:val="en-US"/>
              </w:rPr>
              <w:t xml:space="preserve"> / </w:t>
            </w:r>
            <w:r w:rsidRPr="00E05AB1">
              <w:rPr>
                <w:rFonts w:eastAsia="Times New Roman"/>
                <w:b/>
                <w:bCs/>
                <w:color w:val="FF0000"/>
                <w:sz w:val="15"/>
                <w:szCs w:val="15"/>
                <w:lang w:val="en-US"/>
              </w:rPr>
              <w:t>639</w:t>
            </w:r>
          </w:p>
        </w:tc>
      </w:tr>
      <w:tr w:rsidR="00D25CE7" w:rsidRPr="0041339F" w:rsidTr="00D25CE7">
        <w:trPr>
          <w:trHeight w:val="195"/>
        </w:trPr>
        <w:tc>
          <w:tcPr>
            <w:tcW w:w="346" w:type="dxa"/>
            <w:tcBorders>
              <w:top w:val="single" w:sz="12" w:space="0" w:color="auto"/>
              <w:bottom w:val="single" w:sz="12" w:space="0" w:color="auto"/>
            </w:tcBorders>
            <w:shd w:val="clear" w:color="auto" w:fill="D9D9D9" w:themeFill="background1" w:themeFillShade="D9"/>
            <w:vAlign w:val="center"/>
          </w:tcPr>
          <w:p w:rsidR="00D25CE7" w:rsidRPr="0041339F" w:rsidRDefault="00D25CE7" w:rsidP="00D25CE7">
            <w:pPr>
              <w:widowControl/>
              <w:spacing w:after="0" w:line="240" w:lineRule="auto"/>
              <w:ind w:firstLine="0"/>
              <w:contextualSpacing w:val="0"/>
              <w:jc w:val="center"/>
              <w:rPr>
                <w:rFonts w:eastAsia="Times New Roman"/>
                <w:b/>
                <w:sz w:val="15"/>
                <w:szCs w:val="15"/>
              </w:rPr>
            </w:pPr>
          </w:p>
        </w:tc>
        <w:tc>
          <w:tcPr>
            <w:tcW w:w="1814" w:type="dxa"/>
            <w:tcBorders>
              <w:top w:val="single" w:sz="12" w:space="0" w:color="auto"/>
              <w:bottom w:val="single" w:sz="12" w:space="0" w:color="auto"/>
            </w:tcBorders>
            <w:shd w:val="clear" w:color="auto" w:fill="D9D9D9" w:themeFill="background1" w:themeFillShade="D9"/>
            <w:noWrap/>
            <w:vAlign w:val="center"/>
            <w:hideMark/>
          </w:tcPr>
          <w:p w:rsidR="00D25CE7" w:rsidRPr="00325ADE" w:rsidRDefault="00D25CE7" w:rsidP="00D25CE7">
            <w:pPr>
              <w:widowControl/>
              <w:spacing w:after="0" w:line="240" w:lineRule="auto"/>
              <w:ind w:firstLine="0"/>
              <w:contextualSpacing w:val="0"/>
              <w:jc w:val="center"/>
              <w:rPr>
                <w:rFonts w:eastAsia="Times New Roman"/>
                <w:b/>
                <w:sz w:val="15"/>
                <w:szCs w:val="15"/>
              </w:rPr>
            </w:pPr>
            <w:r w:rsidRPr="00325ADE">
              <w:rPr>
                <w:rFonts w:eastAsia="Times New Roman"/>
                <w:b/>
                <w:sz w:val="15"/>
                <w:szCs w:val="15"/>
              </w:rPr>
              <w:t>Šeimos tipas (aktyvūs abu)</w:t>
            </w:r>
          </w:p>
        </w:tc>
        <w:tc>
          <w:tcPr>
            <w:tcW w:w="1051" w:type="dxa"/>
            <w:tcBorders>
              <w:top w:val="single" w:sz="12" w:space="0" w:color="auto"/>
              <w:bottom w:val="single" w:sz="12" w:space="0" w:color="auto"/>
            </w:tcBorders>
            <w:shd w:val="clear" w:color="auto" w:fill="D9D9D9" w:themeFill="background1" w:themeFillShade="D9"/>
            <w:noWrap/>
            <w:vAlign w:val="center"/>
            <w:hideMark/>
          </w:tcPr>
          <w:p w:rsidR="00D25CE7" w:rsidRPr="0041339F" w:rsidRDefault="00D25CE7" w:rsidP="00D25CE7">
            <w:pPr>
              <w:widowControl/>
              <w:spacing w:after="0" w:line="240" w:lineRule="auto"/>
              <w:ind w:firstLine="0"/>
              <w:contextualSpacing w:val="0"/>
              <w:jc w:val="center"/>
              <w:rPr>
                <w:rFonts w:eastAsia="Times New Roman"/>
                <w:b/>
                <w:sz w:val="15"/>
                <w:szCs w:val="15"/>
              </w:rPr>
            </w:pPr>
            <w:r w:rsidRPr="0041339F">
              <w:rPr>
                <w:rFonts w:eastAsia="Times New Roman"/>
                <w:b/>
                <w:sz w:val="15"/>
                <w:szCs w:val="15"/>
              </w:rPr>
              <w:t>Darbo pajamos</w:t>
            </w:r>
          </w:p>
        </w:tc>
        <w:tc>
          <w:tcPr>
            <w:tcW w:w="824" w:type="dxa"/>
            <w:tcBorders>
              <w:top w:val="single" w:sz="12" w:space="0" w:color="auto"/>
              <w:bottom w:val="single" w:sz="12" w:space="0" w:color="auto"/>
            </w:tcBorders>
            <w:shd w:val="clear" w:color="auto" w:fill="D9D9D9" w:themeFill="background1" w:themeFillShade="D9"/>
            <w:noWrap/>
            <w:vAlign w:val="center"/>
            <w:hideMark/>
          </w:tcPr>
          <w:p w:rsidR="00D25CE7" w:rsidRPr="0041339F" w:rsidRDefault="00D25CE7" w:rsidP="00D25CE7">
            <w:pPr>
              <w:widowControl/>
              <w:spacing w:after="0" w:line="240" w:lineRule="auto"/>
              <w:ind w:firstLine="0"/>
              <w:contextualSpacing w:val="0"/>
              <w:jc w:val="center"/>
              <w:rPr>
                <w:rFonts w:eastAsia="Times New Roman"/>
                <w:b/>
                <w:sz w:val="15"/>
                <w:szCs w:val="15"/>
              </w:rPr>
            </w:pPr>
            <w:r w:rsidRPr="0041339F">
              <w:rPr>
                <w:rFonts w:eastAsia="Times New Roman"/>
                <w:b/>
                <w:sz w:val="15"/>
                <w:szCs w:val="15"/>
              </w:rPr>
              <w:t>NPD / PNPD</w:t>
            </w:r>
          </w:p>
        </w:tc>
        <w:tc>
          <w:tcPr>
            <w:tcW w:w="824" w:type="dxa"/>
            <w:tcBorders>
              <w:top w:val="single" w:sz="12" w:space="0" w:color="auto"/>
              <w:bottom w:val="single" w:sz="12" w:space="0" w:color="auto"/>
            </w:tcBorders>
            <w:shd w:val="clear" w:color="auto" w:fill="D9D9D9" w:themeFill="background1" w:themeFillShade="D9"/>
            <w:noWrap/>
            <w:vAlign w:val="center"/>
            <w:hideMark/>
          </w:tcPr>
          <w:p w:rsidR="00D25CE7" w:rsidRPr="0041339F" w:rsidRDefault="00D25CE7" w:rsidP="00D25CE7">
            <w:pPr>
              <w:widowControl/>
              <w:spacing w:after="0" w:line="240" w:lineRule="auto"/>
              <w:ind w:firstLine="0"/>
              <w:contextualSpacing w:val="0"/>
              <w:jc w:val="center"/>
              <w:rPr>
                <w:rFonts w:eastAsia="Times New Roman"/>
                <w:b/>
                <w:sz w:val="15"/>
                <w:szCs w:val="15"/>
              </w:rPr>
            </w:pPr>
            <w:r w:rsidRPr="0041339F">
              <w:rPr>
                <w:rFonts w:eastAsia="Times New Roman"/>
                <w:b/>
                <w:sz w:val="15"/>
                <w:szCs w:val="15"/>
              </w:rPr>
              <w:t>GPM</w:t>
            </w:r>
          </w:p>
        </w:tc>
        <w:tc>
          <w:tcPr>
            <w:tcW w:w="826" w:type="dxa"/>
            <w:tcBorders>
              <w:top w:val="single" w:sz="12" w:space="0" w:color="auto"/>
              <w:bottom w:val="single" w:sz="12" w:space="0" w:color="auto"/>
            </w:tcBorders>
            <w:shd w:val="clear" w:color="auto" w:fill="D9D9D9" w:themeFill="background1" w:themeFillShade="D9"/>
            <w:noWrap/>
            <w:vAlign w:val="center"/>
            <w:hideMark/>
          </w:tcPr>
          <w:p w:rsidR="00D25CE7" w:rsidRPr="0041339F" w:rsidRDefault="00D25CE7" w:rsidP="00D25CE7">
            <w:pPr>
              <w:widowControl/>
              <w:spacing w:after="0" w:line="240" w:lineRule="auto"/>
              <w:ind w:firstLine="0"/>
              <w:contextualSpacing w:val="0"/>
              <w:jc w:val="center"/>
              <w:rPr>
                <w:rFonts w:eastAsia="Times New Roman"/>
                <w:b/>
                <w:sz w:val="15"/>
                <w:szCs w:val="15"/>
              </w:rPr>
            </w:pPr>
            <w:r w:rsidRPr="0041339F">
              <w:rPr>
                <w:rFonts w:eastAsia="Times New Roman"/>
                <w:b/>
                <w:sz w:val="15"/>
                <w:szCs w:val="15"/>
              </w:rPr>
              <w:t>SD įmokos</w:t>
            </w:r>
          </w:p>
        </w:tc>
        <w:tc>
          <w:tcPr>
            <w:tcW w:w="946" w:type="dxa"/>
            <w:tcBorders>
              <w:top w:val="single" w:sz="12" w:space="0" w:color="auto"/>
              <w:bottom w:val="single" w:sz="12" w:space="0" w:color="auto"/>
            </w:tcBorders>
            <w:shd w:val="clear" w:color="auto" w:fill="D9D9D9" w:themeFill="background1" w:themeFillShade="D9"/>
            <w:noWrap/>
            <w:vAlign w:val="center"/>
            <w:hideMark/>
          </w:tcPr>
          <w:p w:rsidR="00D25CE7" w:rsidRPr="0041339F" w:rsidRDefault="00D25CE7" w:rsidP="00D25CE7">
            <w:pPr>
              <w:widowControl/>
              <w:spacing w:after="0" w:line="240" w:lineRule="auto"/>
              <w:ind w:firstLine="0"/>
              <w:contextualSpacing w:val="0"/>
              <w:jc w:val="center"/>
              <w:rPr>
                <w:rFonts w:eastAsia="Times New Roman"/>
                <w:b/>
                <w:sz w:val="15"/>
                <w:szCs w:val="15"/>
              </w:rPr>
            </w:pPr>
            <w:r w:rsidRPr="0041339F">
              <w:rPr>
                <w:rFonts w:eastAsia="Times New Roman"/>
                <w:b/>
                <w:sz w:val="15"/>
                <w:szCs w:val="15"/>
              </w:rPr>
              <w:t>NETO pajamos</w:t>
            </w:r>
          </w:p>
        </w:tc>
        <w:tc>
          <w:tcPr>
            <w:tcW w:w="945" w:type="dxa"/>
            <w:tcBorders>
              <w:top w:val="single" w:sz="12" w:space="0" w:color="auto"/>
              <w:bottom w:val="single" w:sz="12" w:space="0" w:color="auto"/>
            </w:tcBorders>
            <w:shd w:val="clear" w:color="auto" w:fill="D9D9D9" w:themeFill="background1" w:themeFillShade="D9"/>
            <w:noWrap/>
            <w:vAlign w:val="center"/>
            <w:hideMark/>
          </w:tcPr>
          <w:p w:rsidR="00D25CE7" w:rsidRPr="0041339F" w:rsidRDefault="00D25CE7" w:rsidP="00D25CE7">
            <w:pPr>
              <w:widowControl/>
              <w:spacing w:after="0" w:line="240" w:lineRule="auto"/>
              <w:ind w:firstLine="0"/>
              <w:contextualSpacing w:val="0"/>
              <w:jc w:val="center"/>
              <w:rPr>
                <w:rFonts w:eastAsia="Times New Roman"/>
                <w:b/>
                <w:sz w:val="15"/>
                <w:szCs w:val="15"/>
              </w:rPr>
            </w:pPr>
            <w:r w:rsidRPr="0041339F">
              <w:rPr>
                <w:rFonts w:eastAsia="Times New Roman"/>
                <w:b/>
                <w:sz w:val="15"/>
                <w:szCs w:val="15"/>
              </w:rPr>
              <w:t>NDI / SP</w:t>
            </w:r>
          </w:p>
        </w:tc>
        <w:tc>
          <w:tcPr>
            <w:tcW w:w="667" w:type="dxa"/>
            <w:tcBorders>
              <w:top w:val="single" w:sz="12" w:space="0" w:color="auto"/>
              <w:bottom w:val="single" w:sz="12" w:space="0" w:color="auto"/>
            </w:tcBorders>
            <w:shd w:val="clear" w:color="auto" w:fill="D9D9D9" w:themeFill="background1" w:themeFillShade="D9"/>
            <w:noWrap/>
            <w:vAlign w:val="center"/>
            <w:hideMark/>
          </w:tcPr>
          <w:p w:rsidR="00D25CE7" w:rsidRPr="003A56E6" w:rsidRDefault="00D25CE7" w:rsidP="00D25CE7">
            <w:pPr>
              <w:widowControl/>
              <w:spacing w:after="0" w:line="240" w:lineRule="auto"/>
              <w:ind w:firstLine="0"/>
              <w:contextualSpacing w:val="0"/>
              <w:jc w:val="center"/>
              <w:rPr>
                <w:rFonts w:eastAsia="Times New Roman"/>
                <w:b/>
                <w:sz w:val="15"/>
                <w:szCs w:val="15"/>
                <w:vertAlign w:val="subscript"/>
              </w:rPr>
            </w:pPr>
            <w:r w:rsidRPr="009F6960">
              <w:rPr>
                <w:rFonts w:eastAsia="Times New Roman"/>
                <w:b/>
                <w:sz w:val="15"/>
                <w:szCs w:val="15"/>
              </w:rPr>
              <w:t>Komp</w:t>
            </w:r>
            <w:r>
              <w:rPr>
                <w:rFonts w:eastAsia="Times New Roman"/>
                <w:b/>
                <w:sz w:val="15"/>
                <w:szCs w:val="15"/>
                <w:vertAlign w:val="subscript"/>
              </w:rPr>
              <w:t>1</w:t>
            </w:r>
          </w:p>
        </w:tc>
        <w:tc>
          <w:tcPr>
            <w:tcW w:w="667" w:type="dxa"/>
            <w:tcBorders>
              <w:top w:val="single" w:sz="12" w:space="0" w:color="auto"/>
              <w:bottom w:val="single" w:sz="12" w:space="0" w:color="auto"/>
            </w:tcBorders>
            <w:shd w:val="clear" w:color="auto" w:fill="D9D9D9" w:themeFill="background1" w:themeFillShade="D9"/>
            <w:noWrap/>
            <w:vAlign w:val="center"/>
            <w:hideMark/>
          </w:tcPr>
          <w:p w:rsidR="00D25CE7" w:rsidRPr="003A56E6" w:rsidRDefault="00D25CE7" w:rsidP="00D25CE7">
            <w:pPr>
              <w:widowControl/>
              <w:spacing w:after="0" w:line="240" w:lineRule="auto"/>
              <w:ind w:firstLine="0"/>
              <w:contextualSpacing w:val="0"/>
              <w:jc w:val="center"/>
              <w:rPr>
                <w:rFonts w:eastAsia="Times New Roman"/>
                <w:b/>
                <w:sz w:val="15"/>
                <w:szCs w:val="15"/>
                <w:vertAlign w:val="subscript"/>
              </w:rPr>
            </w:pPr>
            <w:r w:rsidRPr="009F6960">
              <w:rPr>
                <w:rFonts w:eastAsia="Times New Roman"/>
                <w:b/>
                <w:sz w:val="15"/>
                <w:szCs w:val="15"/>
              </w:rPr>
              <w:t>Komp</w:t>
            </w:r>
            <w:r>
              <w:rPr>
                <w:rFonts w:eastAsia="Times New Roman"/>
                <w:b/>
                <w:sz w:val="15"/>
                <w:szCs w:val="15"/>
                <w:vertAlign w:val="subscript"/>
              </w:rPr>
              <w:t>2</w:t>
            </w:r>
          </w:p>
        </w:tc>
        <w:tc>
          <w:tcPr>
            <w:tcW w:w="667" w:type="dxa"/>
            <w:tcBorders>
              <w:top w:val="single" w:sz="12" w:space="0" w:color="auto"/>
              <w:bottom w:val="single" w:sz="12" w:space="0" w:color="auto"/>
            </w:tcBorders>
            <w:shd w:val="clear" w:color="auto" w:fill="D9D9D9" w:themeFill="background1" w:themeFillShade="D9"/>
            <w:noWrap/>
            <w:vAlign w:val="center"/>
            <w:hideMark/>
          </w:tcPr>
          <w:p w:rsidR="00D25CE7" w:rsidRPr="003A56E6" w:rsidRDefault="00D25CE7" w:rsidP="00D25CE7">
            <w:pPr>
              <w:widowControl/>
              <w:spacing w:after="0" w:line="240" w:lineRule="auto"/>
              <w:ind w:firstLine="0"/>
              <w:contextualSpacing w:val="0"/>
              <w:jc w:val="center"/>
              <w:rPr>
                <w:rFonts w:eastAsia="Times New Roman"/>
                <w:b/>
                <w:sz w:val="15"/>
                <w:szCs w:val="15"/>
                <w:vertAlign w:val="subscript"/>
              </w:rPr>
            </w:pPr>
            <w:r w:rsidRPr="009F6960">
              <w:rPr>
                <w:rFonts w:eastAsia="Times New Roman"/>
                <w:b/>
                <w:sz w:val="15"/>
                <w:szCs w:val="15"/>
              </w:rPr>
              <w:t>Komp</w:t>
            </w:r>
            <w:r>
              <w:rPr>
                <w:rFonts w:eastAsia="Times New Roman"/>
                <w:b/>
                <w:sz w:val="15"/>
                <w:szCs w:val="15"/>
                <w:vertAlign w:val="subscript"/>
              </w:rPr>
              <w:t>3</w:t>
            </w:r>
          </w:p>
        </w:tc>
        <w:tc>
          <w:tcPr>
            <w:tcW w:w="833" w:type="dxa"/>
            <w:tcBorders>
              <w:top w:val="single" w:sz="12" w:space="0" w:color="auto"/>
              <w:bottom w:val="single" w:sz="12" w:space="0" w:color="auto"/>
            </w:tcBorders>
            <w:shd w:val="clear" w:color="auto" w:fill="D9D9D9" w:themeFill="background1" w:themeFillShade="D9"/>
            <w:noWrap/>
            <w:vAlign w:val="center"/>
            <w:hideMark/>
          </w:tcPr>
          <w:p w:rsidR="00D25CE7" w:rsidRPr="0041339F" w:rsidRDefault="00D25CE7" w:rsidP="00D25CE7">
            <w:pPr>
              <w:widowControl/>
              <w:spacing w:after="0" w:line="240" w:lineRule="auto"/>
              <w:ind w:firstLine="0"/>
              <w:contextualSpacing w:val="0"/>
              <w:jc w:val="center"/>
              <w:rPr>
                <w:rFonts w:eastAsia="Times New Roman"/>
                <w:b/>
                <w:sz w:val="15"/>
                <w:szCs w:val="15"/>
              </w:rPr>
            </w:pPr>
            <w:r w:rsidRPr="0041339F">
              <w:rPr>
                <w:rFonts w:eastAsia="Times New Roman"/>
                <w:b/>
                <w:sz w:val="15"/>
                <w:szCs w:val="15"/>
              </w:rPr>
              <w:t>Parama vaikams</w:t>
            </w:r>
          </w:p>
        </w:tc>
        <w:tc>
          <w:tcPr>
            <w:tcW w:w="920" w:type="dxa"/>
            <w:tcBorders>
              <w:top w:val="single" w:sz="12" w:space="0" w:color="auto"/>
              <w:bottom w:val="single" w:sz="12" w:space="0" w:color="auto"/>
            </w:tcBorders>
            <w:shd w:val="clear" w:color="auto" w:fill="D9D9D9" w:themeFill="background1" w:themeFillShade="D9"/>
            <w:noWrap/>
            <w:vAlign w:val="center"/>
            <w:hideMark/>
          </w:tcPr>
          <w:p w:rsidR="00D25CE7" w:rsidRPr="0041339F" w:rsidRDefault="00D25CE7" w:rsidP="00D25CE7">
            <w:pPr>
              <w:widowControl/>
              <w:spacing w:after="0" w:line="240" w:lineRule="auto"/>
              <w:ind w:firstLine="0"/>
              <w:contextualSpacing w:val="0"/>
              <w:jc w:val="center"/>
              <w:rPr>
                <w:rFonts w:eastAsia="Times New Roman"/>
                <w:b/>
                <w:sz w:val="15"/>
                <w:szCs w:val="15"/>
              </w:rPr>
            </w:pPr>
            <w:r w:rsidRPr="0041339F">
              <w:rPr>
                <w:rFonts w:eastAsia="Times New Roman"/>
                <w:b/>
                <w:sz w:val="15"/>
                <w:szCs w:val="15"/>
              </w:rPr>
              <w:t>Išlaikymas</w:t>
            </w:r>
          </w:p>
        </w:tc>
        <w:tc>
          <w:tcPr>
            <w:tcW w:w="1008" w:type="dxa"/>
            <w:tcBorders>
              <w:top w:val="single" w:sz="12" w:space="0" w:color="auto"/>
              <w:bottom w:val="single" w:sz="12" w:space="0" w:color="auto"/>
            </w:tcBorders>
            <w:shd w:val="clear" w:color="auto" w:fill="D9D9D9" w:themeFill="background1" w:themeFillShade="D9"/>
            <w:noWrap/>
            <w:vAlign w:val="center"/>
            <w:hideMark/>
          </w:tcPr>
          <w:p w:rsidR="00D25CE7" w:rsidRPr="0041339F" w:rsidRDefault="00D25CE7" w:rsidP="00D25CE7">
            <w:pPr>
              <w:widowControl/>
              <w:spacing w:after="0" w:line="240" w:lineRule="auto"/>
              <w:ind w:firstLine="0"/>
              <w:contextualSpacing w:val="0"/>
              <w:jc w:val="center"/>
              <w:rPr>
                <w:rFonts w:eastAsia="Times New Roman"/>
                <w:b/>
                <w:sz w:val="15"/>
                <w:szCs w:val="15"/>
              </w:rPr>
            </w:pPr>
            <w:r>
              <w:rPr>
                <w:rFonts w:eastAsia="Times New Roman"/>
                <w:b/>
                <w:bCs/>
                <w:sz w:val="15"/>
                <w:szCs w:val="15"/>
              </w:rPr>
              <w:t>GEROVĖ</w:t>
            </w:r>
            <w:r w:rsidRPr="00C04485">
              <w:rPr>
                <w:rFonts w:eastAsia="Times New Roman"/>
                <w:b/>
                <w:bCs/>
                <w:sz w:val="15"/>
                <w:szCs w:val="15"/>
              </w:rPr>
              <w:t>:</w:t>
            </w:r>
          </w:p>
        </w:tc>
        <w:tc>
          <w:tcPr>
            <w:tcW w:w="946" w:type="dxa"/>
            <w:tcBorders>
              <w:top w:val="single" w:sz="12" w:space="0" w:color="auto"/>
              <w:bottom w:val="single" w:sz="12" w:space="0" w:color="auto"/>
            </w:tcBorders>
            <w:shd w:val="clear" w:color="auto" w:fill="D9D9D9" w:themeFill="background1" w:themeFillShade="D9"/>
            <w:noWrap/>
            <w:vAlign w:val="center"/>
            <w:hideMark/>
          </w:tcPr>
          <w:p w:rsidR="00D25CE7" w:rsidRPr="0041339F" w:rsidRDefault="00D25CE7" w:rsidP="00D25CE7">
            <w:pPr>
              <w:widowControl/>
              <w:spacing w:after="0" w:line="240" w:lineRule="auto"/>
              <w:ind w:firstLine="0"/>
              <w:contextualSpacing w:val="0"/>
              <w:jc w:val="center"/>
              <w:rPr>
                <w:rFonts w:eastAsia="Times New Roman"/>
                <w:b/>
                <w:bCs/>
                <w:sz w:val="15"/>
                <w:szCs w:val="15"/>
              </w:rPr>
            </w:pPr>
            <w:r w:rsidRPr="0041339F">
              <w:rPr>
                <w:rFonts w:eastAsia="Times New Roman"/>
                <w:b/>
                <w:bCs/>
                <w:sz w:val="15"/>
                <w:szCs w:val="15"/>
              </w:rPr>
              <w:t>Vienam asmeniui:</w:t>
            </w:r>
          </w:p>
        </w:tc>
      </w:tr>
      <w:tr w:rsidR="00D25CE7" w:rsidRPr="009F03F7" w:rsidTr="00D25CE7">
        <w:trPr>
          <w:trHeight w:val="195"/>
        </w:trPr>
        <w:tc>
          <w:tcPr>
            <w:tcW w:w="346" w:type="dxa"/>
            <w:vMerge w:val="restart"/>
            <w:tcBorders>
              <w:top w:val="single" w:sz="12" w:space="0" w:color="auto"/>
              <w:bottom w:val="single" w:sz="2" w:space="0" w:color="auto"/>
            </w:tcBorders>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r w:rsidRPr="00BB5925">
              <w:rPr>
                <w:rFonts w:eastAsia="Times New Roman"/>
                <w:b/>
                <w:sz w:val="15"/>
                <w:szCs w:val="15"/>
              </w:rPr>
              <w:t>3</w:t>
            </w:r>
          </w:p>
        </w:tc>
        <w:tc>
          <w:tcPr>
            <w:tcW w:w="1814" w:type="dxa"/>
            <w:tcBorders>
              <w:top w:val="single" w:sz="12" w:space="0" w:color="auto"/>
              <w:bottom w:val="single" w:sz="2" w:space="0" w:color="auto"/>
            </w:tcBorders>
            <w:shd w:val="clear" w:color="auto" w:fill="FBD4B4" w:themeFill="accent6"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2 D + 1 V, 75 %</w:t>
            </w:r>
          </w:p>
        </w:tc>
        <w:tc>
          <w:tcPr>
            <w:tcW w:w="1051" w:type="dxa"/>
            <w:tcBorders>
              <w:top w:val="single" w:sz="1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570 + 570</w:t>
            </w:r>
          </w:p>
        </w:tc>
        <w:tc>
          <w:tcPr>
            <w:tcW w:w="824" w:type="dxa"/>
            <w:tcBorders>
              <w:top w:val="single" w:sz="1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470 / 100</w:t>
            </w:r>
          </w:p>
        </w:tc>
        <w:tc>
          <w:tcPr>
            <w:tcW w:w="824" w:type="dxa"/>
            <w:tcBorders>
              <w:top w:val="single" w:sz="1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15</w:t>
            </w:r>
          </w:p>
        </w:tc>
        <w:tc>
          <w:tcPr>
            <w:tcW w:w="826" w:type="dxa"/>
            <w:tcBorders>
              <w:top w:val="single" w:sz="1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102</w:t>
            </w:r>
          </w:p>
        </w:tc>
        <w:tc>
          <w:tcPr>
            <w:tcW w:w="946" w:type="dxa"/>
            <w:tcBorders>
              <w:top w:val="single" w:sz="1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 </w:t>
            </w:r>
            <w:r w:rsidRPr="009F03F7">
              <w:rPr>
                <w:rFonts w:eastAsia="Times New Roman"/>
                <w:sz w:val="15"/>
                <w:szCs w:val="15"/>
              </w:rPr>
              <w:t>023</w:t>
            </w:r>
          </w:p>
        </w:tc>
        <w:tc>
          <w:tcPr>
            <w:tcW w:w="945" w:type="dxa"/>
            <w:tcBorders>
              <w:top w:val="single" w:sz="1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 xml:space="preserve">0 / </w:t>
            </w:r>
            <w:r w:rsidRPr="009F03F7">
              <w:rPr>
                <w:rFonts w:eastAsia="Times New Roman"/>
                <w:sz w:val="15"/>
                <w:szCs w:val="15"/>
              </w:rPr>
              <w:t>2</w:t>
            </w:r>
            <w:r>
              <w:rPr>
                <w:rFonts w:eastAsia="Times New Roman"/>
                <w:sz w:val="15"/>
                <w:szCs w:val="15"/>
              </w:rPr>
              <w:t>2</w:t>
            </w:r>
          </w:p>
        </w:tc>
        <w:tc>
          <w:tcPr>
            <w:tcW w:w="667" w:type="dxa"/>
            <w:tcBorders>
              <w:top w:val="single" w:sz="1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495</w:t>
            </w:r>
          </w:p>
        </w:tc>
        <w:tc>
          <w:tcPr>
            <w:tcW w:w="667" w:type="dxa"/>
            <w:tcBorders>
              <w:top w:val="single" w:sz="1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2</w:t>
            </w:r>
          </w:p>
        </w:tc>
        <w:tc>
          <w:tcPr>
            <w:tcW w:w="667" w:type="dxa"/>
            <w:tcBorders>
              <w:top w:val="single" w:sz="1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833" w:type="dxa"/>
            <w:tcBorders>
              <w:top w:val="single" w:sz="1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93</w:t>
            </w:r>
          </w:p>
        </w:tc>
        <w:tc>
          <w:tcPr>
            <w:tcW w:w="920" w:type="dxa"/>
            <w:tcBorders>
              <w:top w:val="single" w:sz="1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1008" w:type="dxa"/>
            <w:tcBorders>
              <w:top w:val="single" w:sz="12" w:space="0" w:color="auto"/>
              <w:bottom w:val="single" w:sz="2" w:space="0" w:color="auto"/>
            </w:tcBorders>
            <w:shd w:val="clear" w:color="auto" w:fill="FBD4B4" w:themeFill="accent6" w:themeFillTint="66"/>
            <w:noWrap/>
            <w:vAlign w:val="center"/>
            <w:hideMark/>
          </w:tcPr>
          <w:p w:rsidR="00D25CE7" w:rsidRPr="0041339F" w:rsidRDefault="00D25CE7" w:rsidP="00D25CE7">
            <w:pPr>
              <w:widowControl/>
              <w:spacing w:after="0" w:line="240" w:lineRule="auto"/>
              <w:ind w:firstLine="0"/>
              <w:contextualSpacing w:val="0"/>
              <w:jc w:val="center"/>
              <w:rPr>
                <w:rFonts w:eastAsia="Times New Roman"/>
                <w:b/>
                <w:sz w:val="15"/>
                <w:szCs w:val="15"/>
              </w:rPr>
            </w:pPr>
            <w:r w:rsidRPr="0041339F">
              <w:rPr>
                <w:rFonts w:eastAsia="Times New Roman"/>
                <w:b/>
                <w:sz w:val="15"/>
                <w:szCs w:val="15"/>
              </w:rPr>
              <w:t>1</w:t>
            </w:r>
            <w:r>
              <w:rPr>
                <w:rFonts w:eastAsia="Times New Roman"/>
                <w:b/>
                <w:sz w:val="15"/>
                <w:szCs w:val="15"/>
              </w:rPr>
              <w:t xml:space="preserve"> 645</w:t>
            </w:r>
          </w:p>
        </w:tc>
        <w:tc>
          <w:tcPr>
            <w:tcW w:w="946" w:type="dxa"/>
            <w:tcBorders>
              <w:top w:val="single" w:sz="1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b/>
                <w:bCs/>
                <w:sz w:val="15"/>
                <w:szCs w:val="15"/>
              </w:rPr>
            </w:pPr>
            <w:r>
              <w:rPr>
                <w:rFonts w:eastAsia="Times New Roman"/>
                <w:b/>
                <w:bCs/>
                <w:sz w:val="15"/>
                <w:szCs w:val="15"/>
              </w:rPr>
              <w:t>548</w:t>
            </w:r>
          </w:p>
        </w:tc>
      </w:tr>
      <w:tr w:rsidR="00D25CE7" w:rsidRPr="009F03F7" w:rsidTr="00D25CE7">
        <w:trPr>
          <w:trHeight w:val="195"/>
        </w:trPr>
        <w:tc>
          <w:tcPr>
            <w:tcW w:w="346" w:type="dxa"/>
            <w:vMerge/>
            <w:tcBorders>
              <w:top w:val="single" w:sz="2" w:space="0" w:color="auto"/>
              <w:bottom w:val="single" w:sz="2" w:space="0" w:color="auto"/>
            </w:tcBorders>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p>
        </w:tc>
        <w:tc>
          <w:tcPr>
            <w:tcW w:w="1814" w:type="dxa"/>
            <w:tcBorders>
              <w:top w:val="single" w:sz="2" w:space="0" w:color="auto"/>
              <w:bottom w:val="single" w:sz="2" w:space="0" w:color="auto"/>
            </w:tcBorders>
            <w:shd w:val="clear" w:color="auto" w:fill="FBD4B4" w:themeFill="accent6"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2 D + 1 V, 75 %*</w:t>
            </w:r>
          </w:p>
        </w:tc>
        <w:tc>
          <w:tcPr>
            <w:tcW w:w="1051"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570 + 570</w:t>
            </w:r>
          </w:p>
        </w:tc>
        <w:tc>
          <w:tcPr>
            <w:tcW w:w="824"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470 / 100</w:t>
            </w:r>
          </w:p>
        </w:tc>
        <w:tc>
          <w:tcPr>
            <w:tcW w:w="824"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15</w:t>
            </w:r>
          </w:p>
        </w:tc>
        <w:tc>
          <w:tcPr>
            <w:tcW w:w="826"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102</w:t>
            </w:r>
          </w:p>
        </w:tc>
        <w:tc>
          <w:tcPr>
            <w:tcW w:w="946"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 </w:t>
            </w:r>
            <w:r w:rsidRPr="009F03F7">
              <w:rPr>
                <w:rFonts w:eastAsia="Times New Roman"/>
                <w:sz w:val="15"/>
                <w:szCs w:val="15"/>
              </w:rPr>
              <w:t>023</w:t>
            </w:r>
          </w:p>
        </w:tc>
        <w:tc>
          <w:tcPr>
            <w:tcW w:w="945"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 xml:space="preserve">0 / </w:t>
            </w:r>
            <w:r w:rsidRPr="009F03F7">
              <w:rPr>
                <w:rFonts w:eastAsia="Times New Roman"/>
                <w:sz w:val="15"/>
                <w:szCs w:val="15"/>
              </w:rPr>
              <w:t>2</w:t>
            </w:r>
            <w:r>
              <w:rPr>
                <w:rFonts w:eastAsia="Times New Roman"/>
                <w:sz w:val="15"/>
                <w:szCs w:val="15"/>
              </w:rPr>
              <w:t>2</w:t>
            </w:r>
          </w:p>
        </w:tc>
        <w:tc>
          <w:tcPr>
            <w:tcW w:w="667"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495</w:t>
            </w:r>
          </w:p>
        </w:tc>
        <w:tc>
          <w:tcPr>
            <w:tcW w:w="667"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2</w:t>
            </w:r>
          </w:p>
        </w:tc>
        <w:tc>
          <w:tcPr>
            <w:tcW w:w="667"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833"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93</w:t>
            </w:r>
          </w:p>
        </w:tc>
        <w:tc>
          <w:tcPr>
            <w:tcW w:w="920"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1008" w:type="dxa"/>
            <w:tcBorders>
              <w:top w:val="single" w:sz="2" w:space="0" w:color="auto"/>
              <w:bottom w:val="single" w:sz="2" w:space="0" w:color="auto"/>
            </w:tcBorders>
            <w:shd w:val="clear" w:color="auto" w:fill="FBD4B4" w:themeFill="accent6" w:themeFillTint="66"/>
            <w:noWrap/>
            <w:vAlign w:val="center"/>
            <w:hideMark/>
          </w:tcPr>
          <w:p w:rsidR="00D25CE7" w:rsidRPr="008F4FA6" w:rsidRDefault="00D25CE7" w:rsidP="00D25CE7">
            <w:pPr>
              <w:widowControl/>
              <w:spacing w:after="0" w:line="240" w:lineRule="auto"/>
              <w:ind w:firstLine="0"/>
              <w:contextualSpacing w:val="0"/>
              <w:jc w:val="center"/>
              <w:rPr>
                <w:rFonts w:eastAsia="Times New Roman"/>
                <w:b/>
                <w:color w:val="FF0000"/>
                <w:sz w:val="14"/>
                <w:szCs w:val="14"/>
              </w:rPr>
            </w:pPr>
            <w:r>
              <w:rPr>
                <w:rFonts w:eastAsia="Times New Roman"/>
                <w:b/>
                <w:sz w:val="14"/>
                <w:szCs w:val="14"/>
              </w:rPr>
              <w:t>2 167</w:t>
            </w:r>
            <w:r>
              <w:rPr>
                <w:rFonts w:eastAsia="Times New Roman"/>
                <w:b/>
                <w:color w:val="FF0000"/>
                <w:sz w:val="14"/>
                <w:szCs w:val="14"/>
              </w:rPr>
              <w:t xml:space="preserve"> / 2 521</w:t>
            </w:r>
          </w:p>
        </w:tc>
        <w:tc>
          <w:tcPr>
            <w:tcW w:w="946"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b/>
                <w:bCs/>
                <w:sz w:val="15"/>
                <w:szCs w:val="15"/>
              </w:rPr>
            </w:pPr>
            <w:r>
              <w:rPr>
                <w:rFonts w:eastAsia="Times New Roman"/>
                <w:b/>
                <w:bCs/>
                <w:sz w:val="15"/>
                <w:szCs w:val="15"/>
              </w:rPr>
              <w:t xml:space="preserve">722 / </w:t>
            </w:r>
            <w:r w:rsidRPr="008A12C9">
              <w:rPr>
                <w:rFonts w:eastAsia="Times New Roman"/>
                <w:b/>
                <w:bCs/>
                <w:color w:val="FF0000"/>
                <w:sz w:val="15"/>
                <w:szCs w:val="15"/>
              </w:rPr>
              <w:t>840</w:t>
            </w:r>
          </w:p>
        </w:tc>
      </w:tr>
      <w:tr w:rsidR="00D25CE7" w:rsidRPr="009F03F7" w:rsidTr="00D25CE7">
        <w:trPr>
          <w:trHeight w:val="195"/>
        </w:trPr>
        <w:tc>
          <w:tcPr>
            <w:tcW w:w="346" w:type="dxa"/>
            <w:vMerge/>
            <w:tcBorders>
              <w:top w:val="single" w:sz="2" w:space="0" w:color="auto"/>
              <w:bottom w:val="single" w:sz="2" w:space="0" w:color="auto"/>
            </w:tcBorders>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p>
        </w:tc>
        <w:tc>
          <w:tcPr>
            <w:tcW w:w="1814" w:type="dxa"/>
            <w:tcBorders>
              <w:top w:val="single" w:sz="2" w:space="0" w:color="auto"/>
              <w:bottom w:val="single" w:sz="2" w:space="0" w:color="auto"/>
            </w:tcBorders>
            <w:shd w:val="clear" w:color="auto" w:fill="FBD4B4" w:themeFill="accent6"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2 D + 1 V, 100 %</w:t>
            </w:r>
          </w:p>
        </w:tc>
        <w:tc>
          <w:tcPr>
            <w:tcW w:w="1051"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850 + 850</w:t>
            </w:r>
          </w:p>
        </w:tc>
        <w:tc>
          <w:tcPr>
            <w:tcW w:w="824"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460 / 100</w:t>
            </w:r>
          </w:p>
        </w:tc>
        <w:tc>
          <w:tcPr>
            <w:tcW w:w="824"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103</w:t>
            </w:r>
          </w:p>
        </w:tc>
        <w:tc>
          <w:tcPr>
            <w:tcW w:w="826"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154</w:t>
            </w:r>
          </w:p>
        </w:tc>
        <w:tc>
          <w:tcPr>
            <w:tcW w:w="946"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 </w:t>
            </w:r>
            <w:r w:rsidRPr="009F03F7">
              <w:rPr>
                <w:rFonts w:eastAsia="Times New Roman"/>
                <w:sz w:val="15"/>
                <w:szCs w:val="15"/>
              </w:rPr>
              <w:t>443</w:t>
            </w:r>
          </w:p>
        </w:tc>
        <w:tc>
          <w:tcPr>
            <w:tcW w:w="945"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416</w:t>
            </w:r>
          </w:p>
        </w:tc>
        <w:tc>
          <w:tcPr>
            <w:tcW w:w="667"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833"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93</w:t>
            </w:r>
          </w:p>
        </w:tc>
        <w:tc>
          <w:tcPr>
            <w:tcW w:w="920"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1008" w:type="dxa"/>
            <w:tcBorders>
              <w:top w:val="single" w:sz="2" w:space="0" w:color="auto"/>
              <w:bottom w:val="single" w:sz="2" w:space="0" w:color="auto"/>
            </w:tcBorders>
            <w:shd w:val="clear" w:color="auto" w:fill="FBD4B4" w:themeFill="accent6" w:themeFillTint="66"/>
            <w:noWrap/>
            <w:vAlign w:val="center"/>
            <w:hideMark/>
          </w:tcPr>
          <w:p w:rsidR="00D25CE7" w:rsidRPr="0041339F" w:rsidRDefault="00D25CE7" w:rsidP="00D25CE7">
            <w:pPr>
              <w:widowControl/>
              <w:spacing w:after="0" w:line="240" w:lineRule="auto"/>
              <w:ind w:firstLine="0"/>
              <w:contextualSpacing w:val="0"/>
              <w:jc w:val="center"/>
              <w:rPr>
                <w:rFonts w:eastAsia="Times New Roman"/>
                <w:b/>
                <w:sz w:val="15"/>
                <w:szCs w:val="15"/>
              </w:rPr>
            </w:pPr>
            <w:r w:rsidRPr="0041339F">
              <w:rPr>
                <w:rFonts w:eastAsia="Times New Roman"/>
                <w:b/>
                <w:sz w:val="15"/>
                <w:szCs w:val="15"/>
              </w:rPr>
              <w:t>1</w:t>
            </w:r>
            <w:r>
              <w:rPr>
                <w:rFonts w:eastAsia="Times New Roman"/>
                <w:b/>
                <w:sz w:val="15"/>
                <w:szCs w:val="15"/>
              </w:rPr>
              <w:t xml:space="preserve"> 952</w:t>
            </w:r>
          </w:p>
        </w:tc>
        <w:tc>
          <w:tcPr>
            <w:tcW w:w="946"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b/>
                <w:bCs/>
                <w:sz w:val="15"/>
                <w:szCs w:val="15"/>
              </w:rPr>
            </w:pPr>
            <w:r>
              <w:rPr>
                <w:rFonts w:eastAsia="Times New Roman"/>
                <w:b/>
                <w:bCs/>
                <w:sz w:val="15"/>
                <w:szCs w:val="15"/>
              </w:rPr>
              <w:t>651</w:t>
            </w:r>
          </w:p>
        </w:tc>
      </w:tr>
      <w:tr w:rsidR="00D25CE7" w:rsidRPr="009F03F7" w:rsidTr="00D25CE7">
        <w:trPr>
          <w:trHeight w:val="195"/>
        </w:trPr>
        <w:tc>
          <w:tcPr>
            <w:tcW w:w="346" w:type="dxa"/>
            <w:vMerge/>
            <w:tcBorders>
              <w:top w:val="single" w:sz="2" w:space="0" w:color="auto"/>
              <w:bottom w:val="single" w:sz="2" w:space="0" w:color="auto"/>
            </w:tcBorders>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p>
        </w:tc>
        <w:tc>
          <w:tcPr>
            <w:tcW w:w="1814" w:type="dxa"/>
            <w:tcBorders>
              <w:top w:val="single" w:sz="2" w:space="0" w:color="auto"/>
              <w:bottom w:val="single" w:sz="2" w:space="0" w:color="auto"/>
            </w:tcBorders>
            <w:shd w:val="clear" w:color="auto" w:fill="FBD4B4" w:themeFill="accent6"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2 D + 1 V, 100 %*</w:t>
            </w:r>
          </w:p>
        </w:tc>
        <w:tc>
          <w:tcPr>
            <w:tcW w:w="1051"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850 + 850</w:t>
            </w:r>
          </w:p>
        </w:tc>
        <w:tc>
          <w:tcPr>
            <w:tcW w:w="824"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460 / 100</w:t>
            </w:r>
          </w:p>
        </w:tc>
        <w:tc>
          <w:tcPr>
            <w:tcW w:w="824"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103</w:t>
            </w:r>
          </w:p>
        </w:tc>
        <w:tc>
          <w:tcPr>
            <w:tcW w:w="826"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154</w:t>
            </w:r>
          </w:p>
        </w:tc>
        <w:tc>
          <w:tcPr>
            <w:tcW w:w="946"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 </w:t>
            </w:r>
            <w:r w:rsidRPr="009F03F7">
              <w:rPr>
                <w:rFonts w:eastAsia="Times New Roman"/>
                <w:sz w:val="15"/>
                <w:szCs w:val="15"/>
              </w:rPr>
              <w:t>443</w:t>
            </w:r>
          </w:p>
        </w:tc>
        <w:tc>
          <w:tcPr>
            <w:tcW w:w="945"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416</w:t>
            </w:r>
          </w:p>
        </w:tc>
        <w:tc>
          <w:tcPr>
            <w:tcW w:w="667"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833"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93</w:t>
            </w:r>
          </w:p>
        </w:tc>
        <w:tc>
          <w:tcPr>
            <w:tcW w:w="920"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1008" w:type="dxa"/>
            <w:tcBorders>
              <w:top w:val="single" w:sz="2" w:space="0" w:color="auto"/>
              <w:bottom w:val="single" w:sz="2" w:space="0" w:color="auto"/>
            </w:tcBorders>
            <w:shd w:val="clear" w:color="auto" w:fill="FBD4B4" w:themeFill="accent6" w:themeFillTint="66"/>
            <w:noWrap/>
            <w:vAlign w:val="center"/>
            <w:hideMark/>
          </w:tcPr>
          <w:p w:rsidR="00D25CE7" w:rsidRPr="008F4FA6" w:rsidRDefault="00D25CE7" w:rsidP="00D25CE7">
            <w:pPr>
              <w:widowControl/>
              <w:spacing w:after="0" w:line="240" w:lineRule="auto"/>
              <w:ind w:firstLine="0"/>
              <w:contextualSpacing w:val="0"/>
              <w:jc w:val="center"/>
              <w:rPr>
                <w:rFonts w:eastAsia="Times New Roman"/>
                <w:b/>
                <w:color w:val="FF0000"/>
                <w:sz w:val="14"/>
                <w:szCs w:val="14"/>
              </w:rPr>
            </w:pPr>
            <w:r w:rsidRPr="00325ADE">
              <w:rPr>
                <w:rFonts w:eastAsia="Times New Roman"/>
                <w:b/>
                <w:sz w:val="14"/>
                <w:szCs w:val="14"/>
              </w:rPr>
              <w:t xml:space="preserve">2 </w:t>
            </w:r>
            <w:r>
              <w:rPr>
                <w:rFonts w:eastAsia="Times New Roman"/>
                <w:b/>
                <w:sz w:val="14"/>
                <w:szCs w:val="14"/>
              </w:rPr>
              <w:t>474</w:t>
            </w:r>
            <w:r>
              <w:rPr>
                <w:rFonts w:eastAsia="Times New Roman"/>
                <w:b/>
                <w:color w:val="FF0000"/>
                <w:sz w:val="14"/>
                <w:szCs w:val="14"/>
              </w:rPr>
              <w:t xml:space="preserve"> / 2 828</w:t>
            </w:r>
          </w:p>
        </w:tc>
        <w:tc>
          <w:tcPr>
            <w:tcW w:w="946"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b/>
                <w:bCs/>
                <w:sz w:val="15"/>
                <w:szCs w:val="15"/>
              </w:rPr>
            </w:pPr>
            <w:r>
              <w:rPr>
                <w:rFonts w:eastAsia="Times New Roman"/>
                <w:b/>
                <w:bCs/>
                <w:sz w:val="15"/>
                <w:szCs w:val="15"/>
              </w:rPr>
              <w:t xml:space="preserve">825 / </w:t>
            </w:r>
            <w:r w:rsidRPr="0086645D">
              <w:rPr>
                <w:rFonts w:eastAsia="Times New Roman"/>
                <w:b/>
                <w:bCs/>
                <w:color w:val="FF0000"/>
                <w:sz w:val="15"/>
                <w:szCs w:val="15"/>
              </w:rPr>
              <w:t>943</w:t>
            </w:r>
          </w:p>
        </w:tc>
      </w:tr>
      <w:tr w:rsidR="00D25CE7" w:rsidRPr="009F03F7" w:rsidTr="00D25CE7">
        <w:trPr>
          <w:trHeight w:val="195"/>
        </w:trPr>
        <w:tc>
          <w:tcPr>
            <w:tcW w:w="346" w:type="dxa"/>
            <w:vMerge/>
            <w:tcBorders>
              <w:top w:val="single" w:sz="2" w:space="0" w:color="auto"/>
              <w:bottom w:val="single" w:sz="2" w:space="0" w:color="auto"/>
            </w:tcBorders>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p>
        </w:tc>
        <w:tc>
          <w:tcPr>
            <w:tcW w:w="1814" w:type="dxa"/>
            <w:tcBorders>
              <w:top w:val="single" w:sz="2" w:space="0" w:color="auto"/>
              <w:bottom w:val="single" w:sz="2" w:space="0" w:color="auto"/>
            </w:tcBorders>
            <w:shd w:val="clear" w:color="auto" w:fill="FBD4B4" w:themeFill="accent6"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2 D + 1 V, 100 %</w:t>
            </w:r>
          </w:p>
        </w:tc>
        <w:tc>
          <w:tcPr>
            <w:tcW w:w="1051"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1 100 + 1 100</w:t>
            </w:r>
          </w:p>
        </w:tc>
        <w:tc>
          <w:tcPr>
            <w:tcW w:w="824"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410 / 100</w:t>
            </w:r>
          </w:p>
        </w:tc>
        <w:tc>
          <w:tcPr>
            <w:tcW w:w="824"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193</w:t>
            </w:r>
          </w:p>
        </w:tc>
        <w:tc>
          <w:tcPr>
            <w:tcW w:w="826"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198</w:t>
            </w:r>
          </w:p>
        </w:tc>
        <w:tc>
          <w:tcPr>
            <w:tcW w:w="946"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 </w:t>
            </w:r>
            <w:r w:rsidRPr="009F03F7">
              <w:rPr>
                <w:rFonts w:eastAsia="Times New Roman"/>
                <w:sz w:val="15"/>
                <w:szCs w:val="15"/>
              </w:rPr>
              <w:t>809</w:t>
            </w:r>
          </w:p>
        </w:tc>
        <w:tc>
          <w:tcPr>
            <w:tcW w:w="945"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343</w:t>
            </w:r>
          </w:p>
        </w:tc>
        <w:tc>
          <w:tcPr>
            <w:tcW w:w="667"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833"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920"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1008" w:type="dxa"/>
            <w:tcBorders>
              <w:top w:val="single" w:sz="2" w:space="0" w:color="auto"/>
              <w:bottom w:val="single" w:sz="2" w:space="0" w:color="auto"/>
            </w:tcBorders>
            <w:shd w:val="clear" w:color="auto" w:fill="FBD4B4" w:themeFill="accent6" w:themeFillTint="66"/>
            <w:noWrap/>
            <w:vAlign w:val="center"/>
            <w:hideMark/>
          </w:tcPr>
          <w:p w:rsidR="00D25CE7" w:rsidRPr="0041339F" w:rsidRDefault="00D25CE7" w:rsidP="00D25CE7">
            <w:pPr>
              <w:widowControl/>
              <w:spacing w:after="0" w:line="240" w:lineRule="auto"/>
              <w:ind w:firstLine="0"/>
              <w:contextualSpacing w:val="0"/>
              <w:jc w:val="center"/>
              <w:rPr>
                <w:rFonts w:eastAsia="Times New Roman"/>
                <w:b/>
                <w:sz w:val="15"/>
                <w:szCs w:val="15"/>
              </w:rPr>
            </w:pPr>
            <w:r w:rsidRPr="0041339F">
              <w:rPr>
                <w:rFonts w:eastAsia="Times New Roman"/>
                <w:b/>
                <w:sz w:val="15"/>
                <w:szCs w:val="15"/>
              </w:rPr>
              <w:t>2</w:t>
            </w:r>
            <w:r>
              <w:rPr>
                <w:rFonts w:eastAsia="Times New Roman"/>
                <w:b/>
                <w:sz w:val="15"/>
                <w:szCs w:val="15"/>
              </w:rPr>
              <w:t xml:space="preserve"> </w:t>
            </w:r>
            <w:r w:rsidRPr="0041339F">
              <w:rPr>
                <w:rFonts w:eastAsia="Times New Roman"/>
                <w:b/>
                <w:sz w:val="15"/>
                <w:szCs w:val="15"/>
              </w:rPr>
              <w:t>152</w:t>
            </w:r>
          </w:p>
        </w:tc>
        <w:tc>
          <w:tcPr>
            <w:tcW w:w="946" w:type="dxa"/>
            <w:tcBorders>
              <w:top w:val="single" w:sz="2" w:space="0" w:color="auto"/>
              <w:bottom w:val="single" w:sz="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b/>
                <w:bCs/>
                <w:sz w:val="15"/>
                <w:szCs w:val="15"/>
              </w:rPr>
            </w:pPr>
            <w:r w:rsidRPr="009F03F7">
              <w:rPr>
                <w:rFonts w:eastAsia="Times New Roman"/>
                <w:b/>
                <w:bCs/>
                <w:sz w:val="15"/>
                <w:szCs w:val="15"/>
              </w:rPr>
              <w:t>717</w:t>
            </w:r>
          </w:p>
        </w:tc>
      </w:tr>
      <w:tr w:rsidR="00D25CE7" w:rsidRPr="009F03F7" w:rsidTr="00D25CE7">
        <w:trPr>
          <w:trHeight w:val="195"/>
        </w:trPr>
        <w:tc>
          <w:tcPr>
            <w:tcW w:w="346" w:type="dxa"/>
            <w:vMerge/>
            <w:tcBorders>
              <w:top w:val="single" w:sz="2" w:space="0" w:color="auto"/>
              <w:bottom w:val="single" w:sz="12" w:space="0" w:color="auto"/>
            </w:tcBorders>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p>
        </w:tc>
        <w:tc>
          <w:tcPr>
            <w:tcW w:w="1814" w:type="dxa"/>
            <w:tcBorders>
              <w:top w:val="single" w:sz="2" w:space="0" w:color="auto"/>
              <w:bottom w:val="single" w:sz="12" w:space="0" w:color="auto"/>
            </w:tcBorders>
            <w:shd w:val="clear" w:color="auto" w:fill="FBD4B4" w:themeFill="accent6"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2 D + 1 V, 100 %*</w:t>
            </w:r>
          </w:p>
        </w:tc>
        <w:tc>
          <w:tcPr>
            <w:tcW w:w="1051" w:type="dxa"/>
            <w:tcBorders>
              <w:top w:val="single" w:sz="2" w:space="0" w:color="auto"/>
              <w:bottom w:val="single" w:sz="1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1 100 + 1 100</w:t>
            </w:r>
          </w:p>
        </w:tc>
        <w:tc>
          <w:tcPr>
            <w:tcW w:w="824" w:type="dxa"/>
            <w:tcBorders>
              <w:top w:val="single" w:sz="2" w:space="0" w:color="auto"/>
              <w:bottom w:val="single" w:sz="1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410 / 100</w:t>
            </w:r>
          </w:p>
        </w:tc>
        <w:tc>
          <w:tcPr>
            <w:tcW w:w="824" w:type="dxa"/>
            <w:tcBorders>
              <w:top w:val="single" w:sz="2" w:space="0" w:color="auto"/>
              <w:bottom w:val="single" w:sz="1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193</w:t>
            </w:r>
          </w:p>
        </w:tc>
        <w:tc>
          <w:tcPr>
            <w:tcW w:w="826" w:type="dxa"/>
            <w:tcBorders>
              <w:top w:val="single" w:sz="2" w:space="0" w:color="auto"/>
              <w:bottom w:val="single" w:sz="1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198</w:t>
            </w:r>
          </w:p>
        </w:tc>
        <w:tc>
          <w:tcPr>
            <w:tcW w:w="946" w:type="dxa"/>
            <w:tcBorders>
              <w:top w:val="single" w:sz="2" w:space="0" w:color="auto"/>
              <w:bottom w:val="single" w:sz="1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 </w:t>
            </w:r>
            <w:r w:rsidRPr="009F03F7">
              <w:rPr>
                <w:rFonts w:eastAsia="Times New Roman"/>
                <w:sz w:val="15"/>
                <w:szCs w:val="15"/>
              </w:rPr>
              <w:t>809</w:t>
            </w:r>
          </w:p>
        </w:tc>
        <w:tc>
          <w:tcPr>
            <w:tcW w:w="945" w:type="dxa"/>
            <w:tcBorders>
              <w:top w:val="single" w:sz="2" w:space="0" w:color="auto"/>
              <w:bottom w:val="single" w:sz="1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tcBorders>
              <w:top w:val="single" w:sz="2" w:space="0" w:color="auto"/>
              <w:bottom w:val="single" w:sz="1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343</w:t>
            </w:r>
          </w:p>
        </w:tc>
        <w:tc>
          <w:tcPr>
            <w:tcW w:w="667" w:type="dxa"/>
            <w:tcBorders>
              <w:top w:val="single" w:sz="2" w:space="0" w:color="auto"/>
              <w:bottom w:val="single" w:sz="1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tcBorders>
              <w:top w:val="single" w:sz="2" w:space="0" w:color="auto"/>
              <w:bottom w:val="single" w:sz="1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833" w:type="dxa"/>
            <w:tcBorders>
              <w:top w:val="single" w:sz="2" w:space="0" w:color="auto"/>
              <w:bottom w:val="single" w:sz="1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920" w:type="dxa"/>
            <w:tcBorders>
              <w:top w:val="single" w:sz="2" w:space="0" w:color="auto"/>
              <w:bottom w:val="single" w:sz="1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1008" w:type="dxa"/>
            <w:tcBorders>
              <w:top w:val="single" w:sz="2" w:space="0" w:color="auto"/>
              <w:bottom w:val="single" w:sz="12" w:space="0" w:color="auto"/>
            </w:tcBorders>
            <w:shd w:val="clear" w:color="auto" w:fill="FBD4B4" w:themeFill="accent6" w:themeFillTint="66"/>
            <w:noWrap/>
            <w:vAlign w:val="center"/>
            <w:hideMark/>
          </w:tcPr>
          <w:p w:rsidR="00D25CE7" w:rsidRPr="008F4FA6" w:rsidRDefault="00D25CE7" w:rsidP="00D25CE7">
            <w:pPr>
              <w:widowControl/>
              <w:spacing w:after="0" w:line="240" w:lineRule="auto"/>
              <w:ind w:firstLine="0"/>
              <w:contextualSpacing w:val="0"/>
              <w:jc w:val="center"/>
              <w:rPr>
                <w:rFonts w:eastAsia="Times New Roman"/>
                <w:b/>
                <w:color w:val="FF0000"/>
                <w:sz w:val="14"/>
                <w:szCs w:val="14"/>
              </w:rPr>
            </w:pPr>
            <w:r w:rsidRPr="00325ADE">
              <w:rPr>
                <w:rFonts w:eastAsia="Times New Roman"/>
                <w:b/>
                <w:sz w:val="14"/>
                <w:szCs w:val="14"/>
              </w:rPr>
              <w:t xml:space="preserve">2 </w:t>
            </w:r>
            <w:r>
              <w:rPr>
                <w:rFonts w:eastAsia="Times New Roman"/>
                <w:b/>
                <w:sz w:val="14"/>
                <w:szCs w:val="14"/>
              </w:rPr>
              <w:t>674</w:t>
            </w:r>
            <w:r>
              <w:rPr>
                <w:rFonts w:eastAsia="Times New Roman"/>
                <w:b/>
                <w:color w:val="FF0000"/>
                <w:sz w:val="14"/>
                <w:szCs w:val="14"/>
              </w:rPr>
              <w:t xml:space="preserve"> / 3 028</w:t>
            </w:r>
          </w:p>
        </w:tc>
        <w:tc>
          <w:tcPr>
            <w:tcW w:w="946" w:type="dxa"/>
            <w:tcBorders>
              <w:top w:val="single" w:sz="2" w:space="0" w:color="auto"/>
              <w:bottom w:val="single" w:sz="12" w:space="0" w:color="auto"/>
            </w:tcBorders>
            <w:shd w:val="clear" w:color="auto" w:fill="FBD4B4" w:themeFill="accent6"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b/>
                <w:bCs/>
                <w:sz w:val="15"/>
                <w:szCs w:val="15"/>
              </w:rPr>
            </w:pPr>
            <w:r w:rsidRPr="009F03F7">
              <w:rPr>
                <w:rFonts w:eastAsia="Times New Roman"/>
                <w:b/>
                <w:bCs/>
                <w:sz w:val="15"/>
                <w:szCs w:val="15"/>
              </w:rPr>
              <w:t>8</w:t>
            </w:r>
            <w:r>
              <w:rPr>
                <w:rFonts w:eastAsia="Times New Roman"/>
                <w:b/>
                <w:bCs/>
                <w:sz w:val="15"/>
                <w:szCs w:val="15"/>
              </w:rPr>
              <w:t xml:space="preserve">91 / </w:t>
            </w:r>
            <w:r w:rsidRPr="00EB071A">
              <w:rPr>
                <w:rFonts w:eastAsia="Times New Roman"/>
                <w:b/>
                <w:bCs/>
                <w:color w:val="FF0000"/>
                <w:sz w:val="15"/>
                <w:szCs w:val="15"/>
              </w:rPr>
              <w:t>1 009</w:t>
            </w:r>
          </w:p>
        </w:tc>
      </w:tr>
      <w:tr w:rsidR="00D25CE7" w:rsidRPr="009F03F7" w:rsidTr="00D25CE7">
        <w:trPr>
          <w:trHeight w:val="195"/>
        </w:trPr>
        <w:tc>
          <w:tcPr>
            <w:tcW w:w="346" w:type="dxa"/>
            <w:vMerge w:val="restart"/>
            <w:tcBorders>
              <w:top w:val="single" w:sz="12" w:space="0" w:color="auto"/>
            </w:tcBorders>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center"/>
              <w:rPr>
                <w:rFonts w:eastAsia="Times New Roman"/>
                <w:b/>
                <w:sz w:val="15"/>
                <w:szCs w:val="15"/>
              </w:rPr>
            </w:pPr>
            <w:r w:rsidRPr="00BB5925">
              <w:rPr>
                <w:rFonts w:eastAsia="Times New Roman"/>
                <w:b/>
                <w:sz w:val="15"/>
                <w:szCs w:val="15"/>
              </w:rPr>
              <w:t>4</w:t>
            </w:r>
          </w:p>
        </w:tc>
        <w:tc>
          <w:tcPr>
            <w:tcW w:w="1814" w:type="dxa"/>
            <w:tcBorders>
              <w:top w:val="single" w:sz="12" w:space="0" w:color="auto"/>
            </w:tcBorders>
            <w:shd w:val="clear" w:color="auto" w:fill="B6DDE8" w:themeFill="accent5"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2 D + 2 V, 75 %</w:t>
            </w:r>
          </w:p>
        </w:tc>
        <w:tc>
          <w:tcPr>
            <w:tcW w:w="1051" w:type="dxa"/>
            <w:tcBorders>
              <w:top w:val="single" w:sz="12" w:space="0" w:color="auto"/>
            </w:tcBorders>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570 + 570</w:t>
            </w:r>
          </w:p>
        </w:tc>
        <w:tc>
          <w:tcPr>
            <w:tcW w:w="824" w:type="dxa"/>
            <w:tcBorders>
              <w:top w:val="single" w:sz="12" w:space="0" w:color="auto"/>
            </w:tcBorders>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470 / 300</w:t>
            </w:r>
          </w:p>
        </w:tc>
        <w:tc>
          <w:tcPr>
            <w:tcW w:w="824" w:type="dxa"/>
            <w:tcBorders>
              <w:top w:val="single" w:sz="12" w:space="0" w:color="auto"/>
            </w:tcBorders>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15</w:t>
            </w:r>
          </w:p>
        </w:tc>
        <w:tc>
          <w:tcPr>
            <w:tcW w:w="826" w:type="dxa"/>
            <w:tcBorders>
              <w:top w:val="single" w:sz="12" w:space="0" w:color="auto"/>
            </w:tcBorders>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102</w:t>
            </w:r>
          </w:p>
        </w:tc>
        <w:tc>
          <w:tcPr>
            <w:tcW w:w="946" w:type="dxa"/>
            <w:tcBorders>
              <w:top w:val="single" w:sz="12" w:space="0" w:color="auto"/>
            </w:tcBorders>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 </w:t>
            </w:r>
            <w:r w:rsidRPr="009F03F7">
              <w:rPr>
                <w:rFonts w:eastAsia="Times New Roman"/>
                <w:sz w:val="15"/>
                <w:szCs w:val="15"/>
              </w:rPr>
              <w:t>023</w:t>
            </w:r>
          </w:p>
        </w:tc>
        <w:tc>
          <w:tcPr>
            <w:tcW w:w="945" w:type="dxa"/>
            <w:tcBorders>
              <w:top w:val="single" w:sz="12" w:space="0" w:color="auto"/>
            </w:tcBorders>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 xml:space="preserve">0 / </w:t>
            </w:r>
            <w:r w:rsidRPr="009F03F7">
              <w:rPr>
                <w:rFonts w:eastAsia="Times New Roman"/>
                <w:sz w:val="15"/>
                <w:szCs w:val="15"/>
              </w:rPr>
              <w:t>301</w:t>
            </w:r>
          </w:p>
        </w:tc>
        <w:tc>
          <w:tcPr>
            <w:tcW w:w="667" w:type="dxa"/>
            <w:tcBorders>
              <w:top w:val="single" w:sz="12" w:space="0" w:color="auto"/>
            </w:tcBorders>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495</w:t>
            </w:r>
          </w:p>
        </w:tc>
        <w:tc>
          <w:tcPr>
            <w:tcW w:w="667" w:type="dxa"/>
            <w:tcBorders>
              <w:top w:val="single" w:sz="12" w:space="0" w:color="auto"/>
            </w:tcBorders>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8</w:t>
            </w:r>
          </w:p>
        </w:tc>
        <w:tc>
          <w:tcPr>
            <w:tcW w:w="667" w:type="dxa"/>
            <w:tcBorders>
              <w:top w:val="single" w:sz="12" w:space="0" w:color="auto"/>
            </w:tcBorders>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833" w:type="dxa"/>
            <w:tcBorders>
              <w:top w:val="single" w:sz="12" w:space="0" w:color="auto"/>
            </w:tcBorders>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20" w:type="dxa"/>
            <w:tcBorders>
              <w:top w:val="single" w:sz="12" w:space="0" w:color="auto"/>
            </w:tcBorders>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1008" w:type="dxa"/>
            <w:tcBorders>
              <w:top w:val="single" w:sz="12" w:space="0" w:color="auto"/>
            </w:tcBorders>
            <w:shd w:val="clear" w:color="auto" w:fill="B6DDE8" w:themeFill="accent5" w:themeFillTint="66"/>
            <w:noWrap/>
            <w:vAlign w:val="center"/>
            <w:hideMark/>
          </w:tcPr>
          <w:p w:rsidR="00D25CE7" w:rsidRPr="0041339F" w:rsidRDefault="00D25CE7" w:rsidP="00D25CE7">
            <w:pPr>
              <w:widowControl/>
              <w:spacing w:after="0" w:line="240" w:lineRule="auto"/>
              <w:ind w:firstLine="0"/>
              <w:contextualSpacing w:val="0"/>
              <w:jc w:val="center"/>
              <w:rPr>
                <w:rFonts w:eastAsia="Times New Roman"/>
                <w:b/>
                <w:sz w:val="15"/>
                <w:szCs w:val="15"/>
              </w:rPr>
            </w:pPr>
            <w:r w:rsidRPr="0041339F">
              <w:rPr>
                <w:rFonts w:eastAsia="Times New Roman"/>
                <w:b/>
                <w:sz w:val="15"/>
                <w:szCs w:val="15"/>
              </w:rPr>
              <w:t>2</w:t>
            </w:r>
            <w:r>
              <w:rPr>
                <w:rFonts w:eastAsia="Times New Roman"/>
                <w:b/>
                <w:sz w:val="15"/>
                <w:szCs w:val="15"/>
              </w:rPr>
              <w:t xml:space="preserve"> 013</w:t>
            </w:r>
          </w:p>
        </w:tc>
        <w:tc>
          <w:tcPr>
            <w:tcW w:w="946" w:type="dxa"/>
            <w:tcBorders>
              <w:top w:val="single" w:sz="12" w:space="0" w:color="auto"/>
            </w:tcBorders>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b/>
                <w:bCs/>
                <w:sz w:val="15"/>
                <w:szCs w:val="15"/>
              </w:rPr>
            </w:pPr>
            <w:r>
              <w:rPr>
                <w:rFonts w:eastAsia="Times New Roman"/>
                <w:b/>
                <w:bCs/>
                <w:sz w:val="15"/>
                <w:szCs w:val="15"/>
              </w:rPr>
              <w:t>503</w:t>
            </w:r>
          </w:p>
        </w:tc>
      </w:tr>
      <w:tr w:rsidR="00D25CE7" w:rsidRPr="009F03F7" w:rsidTr="00D25CE7">
        <w:trPr>
          <w:trHeight w:val="195"/>
        </w:trPr>
        <w:tc>
          <w:tcPr>
            <w:tcW w:w="346" w:type="dxa"/>
            <w:vMerge/>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left"/>
              <w:rPr>
                <w:rFonts w:eastAsia="Times New Roman"/>
                <w:b/>
                <w:sz w:val="15"/>
                <w:szCs w:val="15"/>
              </w:rPr>
            </w:pPr>
          </w:p>
        </w:tc>
        <w:tc>
          <w:tcPr>
            <w:tcW w:w="1814" w:type="dxa"/>
            <w:shd w:val="clear" w:color="auto" w:fill="B6DDE8" w:themeFill="accent5"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2 D + 2 V, 75 %*</w:t>
            </w:r>
          </w:p>
        </w:tc>
        <w:tc>
          <w:tcPr>
            <w:tcW w:w="1051"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570 + 570</w:t>
            </w:r>
          </w:p>
        </w:tc>
        <w:tc>
          <w:tcPr>
            <w:tcW w:w="824"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470 / 300</w:t>
            </w:r>
          </w:p>
        </w:tc>
        <w:tc>
          <w:tcPr>
            <w:tcW w:w="824"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15</w:t>
            </w:r>
          </w:p>
        </w:tc>
        <w:tc>
          <w:tcPr>
            <w:tcW w:w="826"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102</w:t>
            </w:r>
          </w:p>
        </w:tc>
        <w:tc>
          <w:tcPr>
            <w:tcW w:w="946"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 </w:t>
            </w:r>
            <w:r w:rsidRPr="009F03F7">
              <w:rPr>
                <w:rFonts w:eastAsia="Times New Roman"/>
                <w:sz w:val="15"/>
                <w:szCs w:val="15"/>
              </w:rPr>
              <w:t>023</w:t>
            </w:r>
          </w:p>
        </w:tc>
        <w:tc>
          <w:tcPr>
            <w:tcW w:w="945"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 xml:space="preserve">0 / </w:t>
            </w:r>
            <w:r w:rsidRPr="009F03F7">
              <w:rPr>
                <w:rFonts w:eastAsia="Times New Roman"/>
                <w:sz w:val="15"/>
                <w:szCs w:val="15"/>
              </w:rPr>
              <w:t>301</w:t>
            </w:r>
          </w:p>
        </w:tc>
        <w:tc>
          <w:tcPr>
            <w:tcW w:w="667"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495</w:t>
            </w:r>
          </w:p>
        </w:tc>
        <w:tc>
          <w:tcPr>
            <w:tcW w:w="667"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8</w:t>
            </w:r>
          </w:p>
        </w:tc>
        <w:tc>
          <w:tcPr>
            <w:tcW w:w="667"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833"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20"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1008" w:type="dxa"/>
            <w:shd w:val="clear" w:color="auto" w:fill="B6DDE8" w:themeFill="accent5" w:themeFillTint="66"/>
            <w:noWrap/>
            <w:vAlign w:val="center"/>
            <w:hideMark/>
          </w:tcPr>
          <w:p w:rsidR="00D25CE7" w:rsidRPr="008F4FA6" w:rsidRDefault="00D25CE7" w:rsidP="00D25CE7">
            <w:pPr>
              <w:widowControl/>
              <w:spacing w:after="0" w:line="240" w:lineRule="auto"/>
              <w:ind w:firstLine="0"/>
              <w:contextualSpacing w:val="0"/>
              <w:jc w:val="center"/>
              <w:rPr>
                <w:rFonts w:eastAsia="Times New Roman"/>
                <w:b/>
                <w:color w:val="FF0000"/>
                <w:sz w:val="14"/>
                <w:szCs w:val="14"/>
              </w:rPr>
            </w:pPr>
            <w:r w:rsidRPr="00325ADE">
              <w:rPr>
                <w:rFonts w:eastAsia="Times New Roman"/>
                <w:b/>
                <w:sz w:val="14"/>
                <w:szCs w:val="14"/>
              </w:rPr>
              <w:t xml:space="preserve">2 </w:t>
            </w:r>
            <w:r>
              <w:rPr>
                <w:rFonts w:eastAsia="Times New Roman"/>
                <w:b/>
                <w:sz w:val="14"/>
                <w:szCs w:val="14"/>
              </w:rPr>
              <w:t>793</w:t>
            </w:r>
            <w:r>
              <w:rPr>
                <w:rFonts w:eastAsia="Times New Roman"/>
                <w:b/>
                <w:color w:val="FF0000"/>
                <w:sz w:val="14"/>
                <w:szCs w:val="14"/>
              </w:rPr>
              <w:t xml:space="preserve"> / 3 133</w:t>
            </w:r>
          </w:p>
        </w:tc>
        <w:tc>
          <w:tcPr>
            <w:tcW w:w="946"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b/>
                <w:bCs/>
                <w:sz w:val="15"/>
                <w:szCs w:val="15"/>
              </w:rPr>
            </w:pPr>
            <w:r>
              <w:rPr>
                <w:rFonts w:eastAsia="Times New Roman"/>
                <w:b/>
                <w:bCs/>
                <w:sz w:val="15"/>
                <w:szCs w:val="15"/>
              </w:rPr>
              <w:t xml:space="preserve">698 / </w:t>
            </w:r>
            <w:r w:rsidRPr="00B34A41">
              <w:rPr>
                <w:rFonts w:eastAsia="Times New Roman"/>
                <w:b/>
                <w:bCs/>
                <w:color w:val="FF0000"/>
                <w:sz w:val="15"/>
                <w:szCs w:val="15"/>
              </w:rPr>
              <w:t>783</w:t>
            </w:r>
          </w:p>
        </w:tc>
      </w:tr>
      <w:tr w:rsidR="00D25CE7" w:rsidRPr="009F03F7" w:rsidTr="00D25CE7">
        <w:trPr>
          <w:trHeight w:val="195"/>
        </w:trPr>
        <w:tc>
          <w:tcPr>
            <w:tcW w:w="346" w:type="dxa"/>
            <w:vMerge/>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left"/>
              <w:rPr>
                <w:rFonts w:eastAsia="Times New Roman"/>
                <w:b/>
                <w:sz w:val="15"/>
                <w:szCs w:val="15"/>
              </w:rPr>
            </w:pPr>
          </w:p>
        </w:tc>
        <w:tc>
          <w:tcPr>
            <w:tcW w:w="1814" w:type="dxa"/>
            <w:shd w:val="clear" w:color="auto" w:fill="B6DDE8" w:themeFill="accent5"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2 D + 2 V, 100 %</w:t>
            </w:r>
          </w:p>
        </w:tc>
        <w:tc>
          <w:tcPr>
            <w:tcW w:w="1051"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850 + 850</w:t>
            </w:r>
          </w:p>
        </w:tc>
        <w:tc>
          <w:tcPr>
            <w:tcW w:w="824"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460 / 300</w:t>
            </w:r>
          </w:p>
        </w:tc>
        <w:tc>
          <w:tcPr>
            <w:tcW w:w="824"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73</w:t>
            </w:r>
          </w:p>
        </w:tc>
        <w:tc>
          <w:tcPr>
            <w:tcW w:w="826"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154</w:t>
            </w:r>
          </w:p>
        </w:tc>
        <w:tc>
          <w:tcPr>
            <w:tcW w:w="946"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 </w:t>
            </w:r>
            <w:r w:rsidRPr="009F03F7">
              <w:rPr>
                <w:rFonts w:eastAsia="Times New Roman"/>
                <w:sz w:val="15"/>
                <w:szCs w:val="15"/>
              </w:rPr>
              <w:t>473</w:t>
            </w:r>
          </w:p>
        </w:tc>
        <w:tc>
          <w:tcPr>
            <w:tcW w:w="945"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480</w:t>
            </w:r>
          </w:p>
        </w:tc>
        <w:tc>
          <w:tcPr>
            <w:tcW w:w="667"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833"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20"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1008" w:type="dxa"/>
            <w:shd w:val="clear" w:color="auto" w:fill="B6DDE8" w:themeFill="accent5" w:themeFillTint="66"/>
            <w:noWrap/>
            <w:vAlign w:val="center"/>
            <w:hideMark/>
          </w:tcPr>
          <w:p w:rsidR="00D25CE7" w:rsidRPr="0041339F" w:rsidRDefault="00D25CE7" w:rsidP="00D25CE7">
            <w:pPr>
              <w:widowControl/>
              <w:spacing w:after="0" w:line="240" w:lineRule="auto"/>
              <w:ind w:firstLine="0"/>
              <w:contextualSpacing w:val="0"/>
              <w:jc w:val="center"/>
              <w:rPr>
                <w:rFonts w:eastAsia="Times New Roman"/>
                <w:b/>
                <w:sz w:val="15"/>
                <w:szCs w:val="15"/>
              </w:rPr>
            </w:pPr>
            <w:r w:rsidRPr="0041339F">
              <w:rPr>
                <w:rFonts w:eastAsia="Times New Roman"/>
                <w:b/>
                <w:sz w:val="15"/>
                <w:szCs w:val="15"/>
              </w:rPr>
              <w:t>2</w:t>
            </w:r>
            <w:r>
              <w:rPr>
                <w:rFonts w:eastAsia="Times New Roman"/>
                <w:b/>
                <w:sz w:val="15"/>
                <w:szCs w:val="15"/>
              </w:rPr>
              <w:t xml:space="preserve"> 139</w:t>
            </w:r>
          </w:p>
        </w:tc>
        <w:tc>
          <w:tcPr>
            <w:tcW w:w="946"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b/>
                <w:bCs/>
                <w:sz w:val="15"/>
                <w:szCs w:val="15"/>
              </w:rPr>
            </w:pPr>
            <w:r>
              <w:rPr>
                <w:rFonts w:eastAsia="Times New Roman"/>
                <w:b/>
                <w:bCs/>
                <w:sz w:val="15"/>
                <w:szCs w:val="15"/>
              </w:rPr>
              <w:t>535</w:t>
            </w:r>
          </w:p>
        </w:tc>
      </w:tr>
      <w:tr w:rsidR="00D25CE7" w:rsidRPr="009F03F7" w:rsidTr="00D25CE7">
        <w:trPr>
          <w:trHeight w:val="195"/>
        </w:trPr>
        <w:tc>
          <w:tcPr>
            <w:tcW w:w="346" w:type="dxa"/>
            <w:vMerge/>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left"/>
              <w:rPr>
                <w:rFonts w:eastAsia="Times New Roman"/>
                <w:b/>
                <w:sz w:val="15"/>
                <w:szCs w:val="15"/>
              </w:rPr>
            </w:pPr>
          </w:p>
        </w:tc>
        <w:tc>
          <w:tcPr>
            <w:tcW w:w="1814" w:type="dxa"/>
            <w:shd w:val="clear" w:color="auto" w:fill="B6DDE8" w:themeFill="accent5"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2 D + 2 V, 100 %*</w:t>
            </w:r>
          </w:p>
        </w:tc>
        <w:tc>
          <w:tcPr>
            <w:tcW w:w="1051"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850 + 850</w:t>
            </w:r>
          </w:p>
        </w:tc>
        <w:tc>
          <w:tcPr>
            <w:tcW w:w="824"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460 / 300</w:t>
            </w:r>
          </w:p>
        </w:tc>
        <w:tc>
          <w:tcPr>
            <w:tcW w:w="824"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73</w:t>
            </w:r>
          </w:p>
        </w:tc>
        <w:tc>
          <w:tcPr>
            <w:tcW w:w="826"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154</w:t>
            </w:r>
          </w:p>
        </w:tc>
        <w:tc>
          <w:tcPr>
            <w:tcW w:w="946"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 </w:t>
            </w:r>
            <w:r w:rsidRPr="009F03F7">
              <w:rPr>
                <w:rFonts w:eastAsia="Times New Roman"/>
                <w:sz w:val="15"/>
                <w:szCs w:val="15"/>
              </w:rPr>
              <w:t>473</w:t>
            </w:r>
          </w:p>
        </w:tc>
        <w:tc>
          <w:tcPr>
            <w:tcW w:w="945"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480</w:t>
            </w:r>
          </w:p>
        </w:tc>
        <w:tc>
          <w:tcPr>
            <w:tcW w:w="667"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833"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20"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1008" w:type="dxa"/>
            <w:shd w:val="clear" w:color="auto" w:fill="B6DDE8" w:themeFill="accent5" w:themeFillTint="66"/>
            <w:noWrap/>
            <w:vAlign w:val="center"/>
            <w:hideMark/>
          </w:tcPr>
          <w:p w:rsidR="00D25CE7" w:rsidRPr="008F4FA6" w:rsidRDefault="00D25CE7" w:rsidP="00D25CE7">
            <w:pPr>
              <w:widowControl/>
              <w:spacing w:after="0" w:line="240" w:lineRule="auto"/>
              <w:ind w:firstLine="0"/>
              <w:contextualSpacing w:val="0"/>
              <w:jc w:val="center"/>
              <w:rPr>
                <w:rFonts w:eastAsia="Times New Roman"/>
                <w:b/>
                <w:color w:val="FF0000"/>
                <w:sz w:val="14"/>
                <w:szCs w:val="14"/>
              </w:rPr>
            </w:pPr>
            <w:r w:rsidRPr="00325ADE">
              <w:rPr>
                <w:rFonts w:eastAsia="Times New Roman"/>
                <w:b/>
                <w:sz w:val="14"/>
                <w:szCs w:val="14"/>
              </w:rPr>
              <w:t xml:space="preserve">2 </w:t>
            </w:r>
            <w:r>
              <w:rPr>
                <w:rFonts w:eastAsia="Times New Roman"/>
                <w:b/>
                <w:sz w:val="14"/>
                <w:szCs w:val="14"/>
              </w:rPr>
              <w:t>919</w:t>
            </w:r>
            <w:r>
              <w:rPr>
                <w:rFonts w:eastAsia="Times New Roman"/>
                <w:b/>
                <w:color w:val="FF0000"/>
                <w:sz w:val="14"/>
                <w:szCs w:val="14"/>
              </w:rPr>
              <w:t xml:space="preserve"> / 3 259</w:t>
            </w:r>
          </w:p>
        </w:tc>
        <w:tc>
          <w:tcPr>
            <w:tcW w:w="946"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b/>
                <w:bCs/>
                <w:sz w:val="15"/>
                <w:szCs w:val="15"/>
              </w:rPr>
            </w:pPr>
            <w:r>
              <w:rPr>
                <w:rFonts w:eastAsia="Times New Roman"/>
                <w:b/>
                <w:bCs/>
                <w:sz w:val="15"/>
                <w:szCs w:val="15"/>
              </w:rPr>
              <w:t xml:space="preserve">730 / </w:t>
            </w:r>
            <w:r w:rsidRPr="001D41BB">
              <w:rPr>
                <w:rFonts w:eastAsia="Times New Roman"/>
                <w:b/>
                <w:bCs/>
                <w:color w:val="FF0000"/>
                <w:sz w:val="15"/>
                <w:szCs w:val="15"/>
              </w:rPr>
              <w:t>815</w:t>
            </w:r>
          </w:p>
        </w:tc>
      </w:tr>
      <w:tr w:rsidR="00D25CE7" w:rsidRPr="009F03F7" w:rsidTr="00D25CE7">
        <w:trPr>
          <w:trHeight w:val="195"/>
        </w:trPr>
        <w:tc>
          <w:tcPr>
            <w:tcW w:w="346" w:type="dxa"/>
            <w:vMerge/>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left"/>
              <w:rPr>
                <w:rFonts w:eastAsia="Times New Roman"/>
                <w:b/>
                <w:sz w:val="15"/>
                <w:szCs w:val="15"/>
              </w:rPr>
            </w:pPr>
          </w:p>
        </w:tc>
        <w:tc>
          <w:tcPr>
            <w:tcW w:w="1814" w:type="dxa"/>
            <w:shd w:val="clear" w:color="auto" w:fill="B6DDE8" w:themeFill="accent5"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2 D + 2 V, 100 %</w:t>
            </w:r>
          </w:p>
        </w:tc>
        <w:tc>
          <w:tcPr>
            <w:tcW w:w="1051"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1 100 + 1 100</w:t>
            </w:r>
          </w:p>
        </w:tc>
        <w:tc>
          <w:tcPr>
            <w:tcW w:w="824"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410 / 300</w:t>
            </w:r>
          </w:p>
        </w:tc>
        <w:tc>
          <w:tcPr>
            <w:tcW w:w="824"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163</w:t>
            </w:r>
          </w:p>
        </w:tc>
        <w:tc>
          <w:tcPr>
            <w:tcW w:w="826"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198</w:t>
            </w:r>
          </w:p>
        </w:tc>
        <w:tc>
          <w:tcPr>
            <w:tcW w:w="946"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 </w:t>
            </w:r>
            <w:r w:rsidRPr="009F03F7">
              <w:rPr>
                <w:rFonts w:eastAsia="Times New Roman"/>
                <w:sz w:val="15"/>
                <w:szCs w:val="15"/>
              </w:rPr>
              <w:t>839</w:t>
            </w:r>
          </w:p>
        </w:tc>
        <w:tc>
          <w:tcPr>
            <w:tcW w:w="945"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407</w:t>
            </w:r>
          </w:p>
        </w:tc>
        <w:tc>
          <w:tcPr>
            <w:tcW w:w="667"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833"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20"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1008" w:type="dxa"/>
            <w:shd w:val="clear" w:color="auto" w:fill="B6DDE8" w:themeFill="accent5" w:themeFillTint="66"/>
            <w:noWrap/>
            <w:vAlign w:val="center"/>
            <w:hideMark/>
          </w:tcPr>
          <w:p w:rsidR="00D25CE7" w:rsidRPr="0041339F" w:rsidRDefault="00D25CE7" w:rsidP="00D25CE7">
            <w:pPr>
              <w:widowControl/>
              <w:spacing w:after="0" w:line="240" w:lineRule="auto"/>
              <w:ind w:firstLine="0"/>
              <w:contextualSpacing w:val="0"/>
              <w:jc w:val="center"/>
              <w:rPr>
                <w:rFonts w:eastAsia="Times New Roman"/>
                <w:b/>
                <w:sz w:val="15"/>
                <w:szCs w:val="15"/>
              </w:rPr>
            </w:pPr>
            <w:r w:rsidRPr="0041339F">
              <w:rPr>
                <w:rFonts w:eastAsia="Times New Roman"/>
                <w:b/>
                <w:sz w:val="15"/>
                <w:szCs w:val="15"/>
              </w:rPr>
              <w:t>2</w:t>
            </w:r>
            <w:r>
              <w:rPr>
                <w:rFonts w:eastAsia="Times New Roman"/>
                <w:b/>
                <w:sz w:val="15"/>
                <w:szCs w:val="15"/>
              </w:rPr>
              <w:t xml:space="preserve"> 432</w:t>
            </w:r>
          </w:p>
        </w:tc>
        <w:tc>
          <w:tcPr>
            <w:tcW w:w="946"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b/>
                <w:bCs/>
                <w:sz w:val="15"/>
                <w:szCs w:val="15"/>
              </w:rPr>
            </w:pPr>
            <w:r>
              <w:rPr>
                <w:rFonts w:eastAsia="Times New Roman"/>
                <w:b/>
                <w:bCs/>
                <w:sz w:val="15"/>
                <w:szCs w:val="15"/>
              </w:rPr>
              <w:t>608</w:t>
            </w:r>
          </w:p>
        </w:tc>
      </w:tr>
      <w:tr w:rsidR="00D25CE7" w:rsidRPr="009F03F7" w:rsidTr="00D25CE7">
        <w:trPr>
          <w:trHeight w:val="195"/>
        </w:trPr>
        <w:tc>
          <w:tcPr>
            <w:tcW w:w="346" w:type="dxa"/>
            <w:vMerge/>
            <w:shd w:val="clear" w:color="auto" w:fill="D9D9D9" w:themeFill="background1" w:themeFillShade="D9"/>
            <w:vAlign w:val="center"/>
          </w:tcPr>
          <w:p w:rsidR="00D25CE7" w:rsidRPr="00BB5925" w:rsidRDefault="00D25CE7" w:rsidP="00D25CE7">
            <w:pPr>
              <w:widowControl/>
              <w:spacing w:after="0" w:line="240" w:lineRule="auto"/>
              <w:ind w:firstLine="0"/>
              <w:contextualSpacing w:val="0"/>
              <w:jc w:val="left"/>
              <w:rPr>
                <w:rFonts w:eastAsia="Times New Roman"/>
                <w:b/>
                <w:sz w:val="15"/>
                <w:szCs w:val="15"/>
              </w:rPr>
            </w:pPr>
          </w:p>
        </w:tc>
        <w:tc>
          <w:tcPr>
            <w:tcW w:w="1814" w:type="dxa"/>
            <w:shd w:val="clear" w:color="auto" w:fill="B6DDE8" w:themeFill="accent5" w:themeFillTint="66"/>
            <w:noWrap/>
            <w:vAlign w:val="center"/>
            <w:hideMark/>
          </w:tcPr>
          <w:p w:rsidR="00D25CE7" w:rsidRPr="00325ADE" w:rsidRDefault="00D25CE7" w:rsidP="00D25CE7">
            <w:pPr>
              <w:widowControl/>
              <w:spacing w:after="0" w:line="240" w:lineRule="auto"/>
              <w:ind w:firstLine="0"/>
              <w:contextualSpacing w:val="0"/>
              <w:jc w:val="left"/>
              <w:rPr>
                <w:rFonts w:eastAsia="Times New Roman"/>
                <w:sz w:val="15"/>
                <w:szCs w:val="15"/>
              </w:rPr>
            </w:pPr>
            <w:r w:rsidRPr="00325ADE">
              <w:rPr>
                <w:rFonts w:eastAsia="Times New Roman"/>
                <w:sz w:val="15"/>
                <w:szCs w:val="15"/>
              </w:rPr>
              <w:t>2 D + 2 V, 100 %*</w:t>
            </w:r>
          </w:p>
        </w:tc>
        <w:tc>
          <w:tcPr>
            <w:tcW w:w="1051"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1 100 + 1 100</w:t>
            </w:r>
          </w:p>
        </w:tc>
        <w:tc>
          <w:tcPr>
            <w:tcW w:w="824"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410 / 300</w:t>
            </w:r>
          </w:p>
        </w:tc>
        <w:tc>
          <w:tcPr>
            <w:tcW w:w="824"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163</w:t>
            </w:r>
          </w:p>
        </w:tc>
        <w:tc>
          <w:tcPr>
            <w:tcW w:w="826"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198</w:t>
            </w:r>
          </w:p>
        </w:tc>
        <w:tc>
          <w:tcPr>
            <w:tcW w:w="946"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1</w:t>
            </w:r>
            <w:r>
              <w:rPr>
                <w:rFonts w:eastAsia="Times New Roman"/>
                <w:sz w:val="15"/>
                <w:szCs w:val="15"/>
              </w:rPr>
              <w:t> </w:t>
            </w:r>
            <w:r w:rsidRPr="009F03F7">
              <w:rPr>
                <w:rFonts w:eastAsia="Times New Roman"/>
                <w:sz w:val="15"/>
                <w:szCs w:val="15"/>
              </w:rPr>
              <w:t>839</w:t>
            </w:r>
          </w:p>
        </w:tc>
        <w:tc>
          <w:tcPr>
            <w:tcW w:w="945"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407</w:t>
            </w:r>
          </w:p>
        </w:tc>
        <w:tc>
          <w:tcPr>
            <w:tcW w:w="667"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667"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833"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20"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sz w:val="15"/>
                <w:szCs w:val="15"/>
              </w:rPr>
            </w:pPr>
            <w:r w:rsidRPr="009F03F7">
              <w:rPr>
                <w:rFonts w:eastAsia="Times New Roman"/>
                <w:sz w:val="15"/>
                <w:szCs w:val="15"/>
              </w:rPr>
              <w:t>-</w:t>
            </w:r>
          </w:p>
        </w:tc>
        <w:tc>
          <w:tcPr>
            <w:tcW w:w="1008" w:type="dxa"/>
            <w:shd w:val="clear" w:color="auto" w:fill="B6DDE8" w:themeFill="accent5" w:themeFillTint="66"/>
            <w:noWrap/>
            <w:vAlign w:val="center"/>
            <w:hideMark/>
          </w:tcPr>
          <w:p w:rsidR="00D25CE7" w:rsidRPr="008F4FA6" w:rsidRDefault="00D25CE7" w:rsidP="00D25CE7">
            <w:pPr>
              <w:widowControl/>
              <w:spacing w:after="0" w:line="240" w:lineRule="auto"/>
              <w:ind w:firstLine="0"/>
              <w:contextualSpacing w:val="0"/>
              <w:jc w:val="center"/>
              <w:rPr>
                <w:rFonts w:eastAsia="Times New Roman"/>
                <w:b/>
                <w:color w:val="FF0000"/>
                <w:sz w:val="14"/>
                <w:szCs w:val="14"/>
              </w:rPr>
            </w:pPr>
            <w:r>
              <w:rPr>
                <w:rFonts w:eastAsia="Times New Roman"/>
                <w:b/>
                <w:sz w:val="14"/>
                <w:szCs w:val="14"/>
              </w:rPr>
              <w:t>3 212</w:t>
            </w:r>
            <w:r>
              <w:rPr>
                <w:rFonts w:eastAsia="Times New Roman"/>
                <w:b/>
                <w:color w:val="FF0000"/>
                <w:sz w:val="14"/>
                <w:szCs w:val="14"/>
              </w:rPr>
              <w:t xml:space="preserve"> / 3 552</w:t>
            </w:r>
          </w:p>
        </w:tc>
        <w:tc>
          <w:tcPr>
            <w:tcW w:w="946" w:type="dxa"/>
            <w:shd w:val="clear" w:color="auto" w:fill="B6DDE8" w:themeFill="accent5" w:themeFillTint="66"/>
            <w:noWrap/>
            <w:vAlign w:val="center"/>
            <w:hideMark/>
          </w:tcPr>
          <w:p w:rsidR="00D25CE7" w:rsidRPr="009F03F7" w:rsidRDefault="00D25CE7" w:rsidP="00D25CE7">
            <w:pPr>
              <w:widowControl/>
              <w:spacing w:after="0" w:line="240" w:lineRule="auto"/>
              <w:ind w:firstLine="0"/>
              <w:contextualSpacing w:val="0"/>
              <w:jc w:val="center"/>
              <w:rPr>
                <w:rFonts w:eastAsia="Times New Roman"/>
                <w:b/>
                <w:bCs/>
                <w:sz w:val="15"/>
                <w:szCs w:val="15"/>
              </w:rPr>
            </w:pPr>
            <w:r>
              <w:rPr>
                <w:rFonts w:eastAsia="Times New Roman"/>
                <w:b/>
                <w:bCs/>
                <w:sz w:val="15"/>
                <w:szCs w:val="15"/>
              </w:rPr>
              <w:t xml:space="preserve">803 / </w:t>
            </w:r>
            <w:r w:rsidRPr="00BA51BD">
              <w:rPr>
                <w:rFonts w:eastAsia="Times New Roman"/>
                <w:b/>
                <w:bCs/>
                <w:color w:val="FF0000"/>
                <w:sz w:val="15"/>
                <w:szCs w:val="15"/>
              </w:rPr>
              <w:t>888</w:t>
            </w:r>
          </w:p>
        </w:tc>
      </w:tr>
      <w:tr w:rsidR="00D25CE7" w:rsidRPr="00215953" w:rsidTr="00D25CE7">
        <w:trPr>
          <w:trHeight w:val="195"/>
        </w:trPr>
        <w:tc>
          <w:tcPr>
            <w:tcW w:w="13284" w:type="dxa"/>
            <w:gridSpan w:val="15"/>
            <w:tcBorders>
              <w:top w:val="single" w:sz="12" w:space="0" w:color="auto"/>
              <w:left w:val="nil"/>
              <w:bottom w:val="single" w:sz="12" w:space="0" w:color="auto"/>
              <w:right w:val="nil"/>
            </w:tcBorders>
            <w:shd w:val="clear" w:color="auto" w:fill="auto"/>
          </w:tcPr>
          <w:p w:rsidR="00D25CE7" w:rsidRPr="00215953" w:rsidRDefault="00D25CE7" w:rsidP="00D25CE7">
            <w:pPr>
              <w:spacing w:after="80" w:line="240" w:lineRule="auto"/>
              <w:ind w:firstLine="432"/>
              <w:contextualSpacing w:val="0"/>
              <w:rPr>
                <w:sz w:val="20"/>
              </w:rPr>
            </w:pPr>
            <w:r w:rsidRPr="00215953">
              <w:rPr>
                <w:b/>
                <w:sz w:val="20"/>
              </w:rPr>
              <w:t>Šaltinis</w:t>
            </w:r>
            <w:r w:rsidRPr="00215953">
              <w:rPr>
                <w:sz w:val="20"/>
              </w:rPr>
              <w:t>: sudaryta šio darbo autorės</w:t>
            </w:r>
          </w:p>
        </w:tc>
      </w:tr>
      <w:tr w:rsidR="00D25CE7" w:rsidRPr="00A20A0B" w:rsidTr="00D25CE7">
        <w:trPr>
          <w:trHeight w:val="195"/>
        </w:trPr>
        <w:tc>
          <w:tcPr>
            <w:tcW w:w="13284" w:type="dxa"/>
            <w:gridSpan w:val="15"/>
            <w:tcBorders>
              <w:top w:val="single" w:sz="12" w:space="0" w:color="auto"/>
              <w:bottom w:val="single" w:sz="12" w:space="0" w:color="auto"/>
            </w:tcBorders>
            <w:shd w:val="clear" w:color="auto" w:fill="D9D9D9" w:themeFill="background1" w:themeFillShade="D9"/>
          </w:tcPr>
          <w:p w:rsidR="00D25CE7" w:rsidRPr="00A20A0B" w:rsidRDefault="00D25CE7" w:rsidP="00D25CE7">
            <w:pPr>
              <w:spacing w:before="40" w:after="0"/>
              <w:ind w:firstLine="0"/>
              <w:contextualSpacing w:val="0"/>
              <w:jc w:val="center"/>
              <w:rPr>
                <w:b/>
                <w:sz w:val="18"/>
                <w:szCs w:val="18"/>
              </w:rPr>
            </w:pPr>
            <w:r w:rsidRPr="00A20A0B">
              <w:rPr>
                <w:b/>
                <w:sz w:val="18"/>
                <w:szCs w:val="18"/>
              </w:rPr>
              <w:t>ATLIKTŲ SKAIČIAVIMŲ PAAIŠKINIMAS</w:t>
            </w:r>
          </w:p>
          <w:p w:rsidR="00D25CE7" w:rsidRPr="00A20A0B" w:rsidRDefault="00D25CE7" w:rsidP="00D25CE7">
            <w:pPr>
              <w:rPr>
                <w:i/>
                <w:sz w:val="18"/>
                <w:szCs w:val="18"/>
              </w:rPr>
            </w:pPr>
            <w:r w:rsidRPr="00A20A0B">
              <w:rPr>
                <w:i/>
                <w:sz w:val="18"/>
                <w:szCs w:val="18"/>
              </w:rPr>
              <w:t>Siekiant išsiaiškinti, ar šiuo metu taikomos papildomos pašalpos sąlygos yra adekvačios norimiems pasiekti tikslams, buvo apskaičiuoti finansinės gerovės rodikliai toms 3-jų ir 4-ių asmenų šeimoms, kurių vienas narys iš pradžių (9 mėn.) gavo nedarbo draudimo išmokas, o vėliau visa šeima gyveno tik iš socialinės paramos (3 mėn.).</w:t>
            </w:r>
          </w:p>
          <w:p w:rsidR="00D25CE7" w:rsidRPr="00A20A0B" w:rsidRDefault="00D25CE7" w:rsidP="00D25CE7">
            <w:pPr>
              <w:rPr>
                <w:b/>
                <w:sz w:val="18"/>
                <w:szCs w:val="18"/>
              </w:rPr>
            </w:pPr>
            <w:r w:rsidRPr="00A20A0B">
              <w:rPr>
                <w:b/>
                <w:i/>
                <w:sz w:val="18"/>
                <w:szCs w:val="18"/>
              </w:rPr>
              <w:t>Reikėtų akcentuoti, jog visi skaičiavimai buvo atlikti, naudojant tas pačias formules ir tuos pačius papildomus dydžius, kurie buvo aptarti 7 priede.</w:t>
            </w:r>
          </w:p>
          <w:p w:rsidR="00D25CE7" w:rsidRPr="00A20A0B" w:rsidRDefault="00D25CE7" w:rsidP="00D25CE7">
            <w:pPr>
              <w:rPr>
                <w:i/>
                <w:sz w:val="18"/>
                <w:szCs w:val="18"/>
              </w:rPr>
            </w:pPr>
            <w:r w:rsidRPr="00A20A0B">
              <w:rPr>
                <w:i/>
                <w:sz w:val="18"/>
                <w:szCs w:val="18"/>
              </w:rPr>
              <w:t>*</w:t>
            </w:r>
            <w:r w:rsidRPr="00A20A0B">
              <w:rPr>
                <w:i/>
                <w:sz w:val="18"/>
                <w:szCs w:val="18"/>
                <w:u w:val="single"/>
              </w:rPr>
              <w:t>Atliekant skaičiavimus, papildomos pašalpos dydis buvo randamas, naudojant šią formulę</w:t>
            </w:r>
            <w:r w:rsidRPr="00A20A0B">
              <w:rPr>
                <w:i/>
                <w:sz w:val="18"/>
                <w:szCs w:val="18"/>
              </w:rPr>
              <w:t>:</w:t>
            </w:r>
          </w:p>
          <w:p w:rsidR="00D25CE7" w:rsidRPr="00A20A0B" w:rsidRDefault="00D84BC4" w:rsidP="00D25CE7">
            <w:pPr>
              <w:rPr>
                <w:i/>
                <w:sz w:val="18"/>
                <w:szCs w:val="18"/>
              </w:rPr>
            </w:pPr>
            <m:oMathPara>
              <m:oMathParaPr>
                <m:jc m:val="right"/>
              </m:oMathParaPr>
              <m:oMath>
                <m:sSub>
                  <m:sSubPr>
                    <m:ctrlPr>
                      <w:rPr>
                        <w:rFonts w:ascii="Cambria Math" w:hAnsi="Cambria Math"/>
                        <w:i/>
                        <w:sz w:val="18"/>
                        <w:szCs w:val="18"/>
                      </w:rPr>
                    </m:ctrlPr>
                  </m:sSubPr>
                  <m:e>
                    <m:r>
                      <w:rPr>
                        <w:rFonts w:ascii="Cambria Math" w:hAnsi="Cambria Math"/>
                        <w:sz w:val="18"/>
                        <w:szCs w:val="18"/>
                      </w:rPr>
                      <m:t>SP</m:t>
                    </m:r>
                  </m:e>
                  <m:sub>
                    <m:r>
                      <w:rPr>
                        <w:rFonts w:ascii="Cambria Math" w:hAnsi="Cambria Math"/>
                        <w:sz w:val="18"/>
                        <w:szCs w:val="18"/>
                      </w:rPr>
                      <m:t>p</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9×</m:t>
                    </m:r>
                    <m:sSub>
                      <m:sSubPr>
                        <m:ctrlPr>
                          <w:rPr>
                            <w:rFonts w:ascii="Cambria Math" w:hAnsi="Cambria Math"/>
                            <w:i/>
                            <w:sz w:val="18"/>
                            <w:szCs w:val="18"/>
                          </w:rPr>
                        </m:ctrlPr>
                      </m:sSubPr>
                      <m:e>
                        <m:r>
                          <w:rPr>
                            <w:rFonts w:ascii="Cambria Math" w:hAnsi="Cambria Math"/>
                            <w:sz w:val="18"/>
                            <w:szCs w:val="18"/>
                          </w:rPr>
                          <m:t>SP</m:t>
                        </m:r>
                      </m:e>
                      <m:sub>
                        <m:r>
                          <w:rPr>
                            <w:rFonts w:ascii="Cambria Math" w:hAnsi="Cambria Math"/>
                            <w:sz w:val="18"/>
                            <w:szCs w:val="18"/>
                          </w:rPr>
                          <m:t>1</m:t>
                        </m:r>
                      </m:sub>
                    </m:sSub>
                    <m:r>
                      <w:rPr>
                        <w:rFonts w:ascii="Cambria Math" w:hAnsi="Cambria Math"/>
                        <w:sz w:val="18"/>
                        <w:szCs w:val="18"/>
                      </w:rPr>
                      <m:t>+3×</m:t>
                    </m:r>
                    <m:sSub>
                      <m:sSubPr>
                        <m:ctrlPr>
                          <w:rPr>
                            <w:rFonts w:ascii="Cambria Math" w:hAnsi="Cambria Math"/>
                            <w:i/>
                            <w:sz w:val="18"/>
                            <w:szCs w:val="18"/>
                          </w:rPr>
                        </m:ctrlPr>
                      </m:sSubPr>
                      <m:e>
                        <m:r>
                          <w:rPr>
                            <w:rFonts w:ascii="Cambria Math" w:hAnsi="Cambria Math"/>
                            <w:sz w:val="18"/>
                            <w:szCs w:val="18"/>
                          </w:rPr>
                          <m:t>SP</m:t>
                        </m:r>
                      </m:e>
                      <m:sub>
                        <m:r>
                          <w:rPr>
                            <w:rFonts w:ascii="Cambria Math" w:hAnsi="Cambria Math"/>
                            <w:sz w:val="18"/>
                            <w:szCs w:val="18"/>
                          </w:rPr>
                          <m:t>2</m:t>
                        </m:r>
                      </m:sub>
                    </m:sSub>
                  </m:num>
                  <m:den>
                    <m:r>
                      <w:rPr>
                        <w:rFonts w:ascii="Cambria Math" w:hAnsi="Cambria Math"/>
                        <w:sz w:val="18"/>
                        <w:szCs w:val="18"/>
                      </w:rPr>
                      <m:t>12</m:t>
                    </m:r>
                  </m:den>
                </m:f>
                <m:r>
                  <w:rPr>
                    <w:rFonts w:ascii="Cambria Math" w:hAnsi="Cambria Math"/>
                    <w:sz w:val="18"/>
                    <w:szCs w:val="18"/>
                  </w:rPr>
                  <m:t>×0,5;                                                                                                                                    (1)</m:t>
                </m:r>
              </m:oMath>
            </m:oMathPara>
          </w:p>
          <w:p w:rsidR="00D25CE7" w:rsidRPr="00A20A0B" w:rsidRDefault="00D25CE7" w:rsidP="00D25CE7">
            <w:pPr>
              <w:spacing w:line="240" w:lineRule="auto"/>
              <w:rPr>
                <w:i/>
                <w:sz w:val="18"/>
                <w:szCs w:val="18"/>
              </w:rPr>
            </w:pPr>
            <w:r w:rsidRPr="00A20A0B">
              <w:rPr>
                <w:i/>
                <w:sz w:val="18"/>
                <w:szCs w:val="18"/>
              </w:rPr>
              <w:t xml:space="preserve">čia: </w:t>
            </w:r>
            <m:oMath>
              <m:sSub>
                <m:sSubPr>
                  <m:ctrlPr>
                    <w:rPr>
                      <w:rFonts w:ascii="Cambria Math" w:hAnsi="Cambria Math"/>
                      <w:i/>
                      <w:sz w:val="18"/>
                      <w:szCs w:val="18"/>
                    </w:rPr>
                  </m:ctrlPr>
                </m:sSubPr>
                <m:e>
                  <m:r>
                    <w:rPr>
                      <w:rFonts w:ascii="Cambria Math" w:hAnsi="Cambria Math"/>
                      <w:sz w:val="18"/>
                      <w:szCs w:val="18"/>
                    </w:rPr>
                    <m:t>SP</m:t>
                  </m:r>
                </m:e>
                <m:sub>
                  <m:r>
                    <w:rPr>
                      <w:rFonts w:ascii="Cambria Math" w:hAnsi="Cambria Math"/>
                      <w:sz w:val="18"/>
                      <w:szCs w:val="18"/>
                    </w:rPr>
                    <m:t>1</m:t>
                  </m:r>
                </m:sub>
              </m:sSub>
            </m:oMath>
            <w:r w:rsidRPr="00A20A0B">
              <w:rPr>
                <w:rFonts w:eastAsiaTheme="minorEastAsia"/>
                <w:i/>
                <w:sz w:val="18"/>
                <w:szCs w:val="18"/>
              </w:rPr>
              <w:t xml:space="preserve"> – socialinės pašalpos dydis, mo</w:t>
            </w:r>
            <w:proofErr w:type="spellStart"/>
            <w:r w:rsidRPr="00A20A0B">
              <w:rPr>
                <w:rFonts w:eastAsiaTheme="minorEastAsia"/>
                <w:i/>
                <w:sz w:val="18"/>
                <w:szCs w:val="18"/>
              </w:rPr>
              <w:t>kėtas</w:t>
            </w:r>
            <w:proofErr w:type="spellEnd"/>
            <w:r w:rsidRPr="00A20A0B">
              <w:rPr>
                <w:rFonts w:eastAsiaTheme="minorEastAsia"/>
                <w:i/>
                <w:sz w:val="18"/>
                <w:szCs w:val="18"/>
              </w:rPr>
              <w:t xml:space="preserve"> tuo laiku, kai vienas iš šeimos narių gavo NDI (Lt); </w:t>
            </w:r>
            <m:oMath>
              <m:sSub>
                <m:sSubPr>
                  <m:ctrlPr>
                    <w:rPr>
                      <w:rFonts w:ascii="Cambria Math" w:hAnsi="Cambria Math"/>
                      <w:i/>
                      <w:sz w:val="18"/>
                      <w:szCs w:val="18"/>
                    </w:rPr>
                  </m:ctrlPr>
                </m:sSubPr>
                <m:e>
                  <m:r>
                    <w:rPr>
                      <w:rFonts w:ascii="Cambria Math" w:hAnsi="Cambria Math"/>
                      <w:sz w:val="18"/>
                      <w:szCs w:val="18"/>
                    </w:rPr>
                    <m:t>SP</m:t>
                  </m:r>
                </m:e>
                <m:sub>
                  <m:r>
                    <w:rPr>
                      <w:rFonts w:ascii="Cambria Math" w:hAnsi="Cambria Math"/>
                      <w:sz w:val="18"/>
                      <w:szCs w:val="18"/>
                    </w:rPr>
                    <m:t>2</m:t>
                  </m:r>
                </m:sub>
              </m:sSub>
            </m:oMath>
            <w:r w:rsidRPr="00A20A0B">
              <w:rPr>
                <w:rFonts w:eastAsiaTheme="minorEastAsia"/>
                <w:i/>
                <w:sz w:val="18"/>
                <w:szCs w:val="18"/>
              </w:rPr>
              <w:t xml:space="preserve"> – socialinės pašalpos dydis, mokėtas vėlesniais laikotarpiais.</w:t>
            </w:r>
          </w:p>
        </w:tc>
      </w:tr>
    </w:tbl>
    <w:p w:rsidR="00D25CE7" w:rsidRDefault="00D25CE7" w:rsidP="00F6568D">
      <w:pPr>
        <w:sectPr w:rsidR="00D25CE7" w:rsidSect="00A20A0B">
          <w:pgSz w:w="15840" w:h="12240" w:orient="landscape"/>
          <w:pgMar w:top="1247" w:right="1138" w:bottom="562" w:left="1138" w:header="720" w:footer="720" w:gutter="0"/>
          <w:cols w:space="720"/>
          <w:docGrid w:linePitch="360"/>
        </w:sectPr>
      </w:pPr>
    </w:p>
    <w:p w:rsidR="00672967" w:rsidRPr="001654E6" w:rsidRDefault="00672967" w:rsidP="00672967">
      <w:pPr>
        <w:ind w:firstLine="0"/>
        <w:jc w:val="center"/>
        <w:rPr>
          <w:b/>
        </w:rPr>
      </w:pPr>
      <w:r w:rsidRPr="001654E6">
        <w:rPr>
          <w:b/>
        </w:rPr>
        <w:lastRenderedPageBreak/>
        <w:t>ATLIKTŲ SKAIČIAVIMŲ APIBENDRINIMAS</w:t>
      </w:r>
    </w:p>
    <w:p w:rsidR="00672967" w:rsidRDefault="00672967" w:rsidP="00672967">
      <w:r>
        <w:t>Atlikti skaičiavimai parodė, jog 3-jų asmenų šeimai (susidedančiai iš dviejų suaugusiųjų ir vaiko), kurioje vienas iš suaugusiųjų turi teisę į 9 mėn. vidutinio dydžio, t. y. 567 Lt, nedarbo draudimo išmoką, (NDI) pradėti dirbti už 570 Lt (dirbant vienam šeimos nariui) neapsimoka, nes finansinė gerovė (1 569 Lt) tampa kiek mažesnė nei ta gerovė (1 830 Lt), kuri būtų gauta, jeigu šeima palauktų 3 mėn. ir įgytų teisę į lengvatą. Kitaip tariant, – rinkdamasi darbą iškart po NDI mokėjimo nutraukimo, tokia šeima prarastų apie 9 proc. gerovės</w:t>
      </w:r>
      <w:r>
        <w:rPr>
          <w:rStyle w:val="FootnoteReference"/>
        </w:rPr>
        <w:footnoteReference w:id="39"/>
      </w:r>
      <w:r>
        <w:t>, nes skirtumas tarp šių alternatyvų yra: (1 487 × 3 + 1 830 × 6) – (1 569 × 9) = 1 320 Lt.</w:t>
      </w:r>
    </w:p>
    <w:p w:rsidR="00672967" w:rsidRDefault="00672967" w:rsidP="00672967">
      <w:r>
        <w:t xml:space="preserve">Jei tos pačios šeimos vienas narys iškart po NDI mokėjimo nutraukimo įsidarbintų už 850 Lt, tokiu atveju namų ūkis prarastų 8 proc. gerovės, kadangi skirtumas tarp šių alternatyvų taptų šiek tiek mažesnis: (1 487 × 3 + 1 862 × 6) – (1 601 × 9) = 1 224 Lt. Tai reiškia, jog, </w:t>
      </w:r>
      <w:r w:rsidRPr="008A0484">
        <w:rPr>
          <w:b/>
          <w:i/>
        </w:rPr>
        <w:t>didėjan</w:t>
      </w:r>
      <w:r>
        <w:rPr>
          <w:b/>
          <w:i/>
        </w:rPr>
        <w:t>t uždarbiui, lengvata tampa ne</w:t>
      </w:r>
      <w:r w:rsidRPr="008A0484">
        <w:rPr>
          <w:b/>
          <w:i/>
        </w:rPr>
        <w:t xml:space="preserve"> tokia naudinga</w:t>
      </w:r>
      <w:r>
        <w:t>, nes šeima praranda dalį (</w:t>
      </w:r>
      <w:r w:rsidRPr="00751FD1">
        <w:rPr>
          <w:u w:val="single"/>
        </w:rPr>
        <w:t>einamojo laikotarpio</w:t>
      </w:r>
      <w:r>
        <w:t xml:space="preserve">) socialinės pašalpos. Lyginant su tokios pat sudėties šeima, kuri 9 mėn. laikotarpiu gyvena iš socialinės paramos, tampa aišku, jog įsidarbinus vienam tokios šeimos nariui už 850 Lt, </w:t>
      </w:r>
      <w:r w:rsidRPr="008131DE">
        <w:rPr>
          <w:i/>
        </w:rPr>
        <w:t>nesulaukus 12-to mėn</w:t>
      </w:r>
      <w:r>
        <w:t xml:space="preserve">., namų ūkis prarastų apytiksliai 16 proc. finansinės gerovės, nes skirtumas tarp šių dviejų variantų taptų: (1 487 × 3 + 2 039 × 6) – (1 601 × 9) = 2 286 Lt. Tai reiškia, jog </w:t>
      </w:r>
      <w:r w:rsidRPr="008131DE">
        <w:rPr>
          <w:b/>
          <w:i/>
        </w:rPr>
        <w:t xml:space="preserve">lengvata yra palankesnė toms šeimoms, kurios </w:t>
      </w:r>
      <w:r w:rsidRPr="008131DE">
        <w:rPr>
          <w:b/>
          <w:i/>
          <w:u w:val="single"/>
        </w:rPr>
        <w:t>socialine parama</w:t>
      </w:r>
      <w:r>
        <w:rPr>
          <w:b/>
          <w:i/>
        </w:rPr>
        <w:t xml:space="preserve"> </w:t>
      </w:r>
      <w:r w:rsidRPr="008131DE">
        <w:rPr>
          <w:b/>
          <w:i/>
        </w:rPr>
        <w:t xml:space="preserve">naudojasi </w:t>
      </w:r>
      <w:r>
        <w:rPr>
          <w:b/>
          <w:i/>
        </w:rPr>
        <w:t>ilgesnį</w:t>
      </w:r>
      <w:r w:rsidRPr="008131DE">
        <w:rPr>
          <w:b/>
          <w:i/>
        </w:rPr>
        <w:t xml:space="preserve"> laiką</w:t>
      </w:r>
      <w:r>
        <w:t>.</w:t>
      </w:r>
    </w:p>
    <w:p w:rsidR="00672967" w:rsidRDefault="00672967" w:rsidP="00672967">
      <w:r>
        <w:t xml:space="preserve">Kalbant apie 4-ių asmenų šeimas (susidedančias iš dviejų suaugusiųjų ir dviejų vaikų), kurių vienas narys 9 mėn. laikotarpiu gavo vidutinio dydžio NDI, reiktų pasakyti, jog vienam šeimos nariui įsidarbinus </w:t>
      </w:r>
      <w:r w:rsidRPr="00556F49">
        <w:rPr>
          <w:i/>
        </w:rPr>
        <w:t>anksčiau laiko</w:t>
      </w:r>
      <w:r>
        <w:t xml:space="preserve"> už 850 Lt, gerovė sumažėtų 11 proc. ((1 823 × 3 + 2 352 × 6) – (1 962 × 9) = 1 923 Lt). Nagrinėjant šeimų, kurios gauna tik socialinę pašalpą, padėtį, pastebima, jog šios šeimos, </w:t>
      </w:r>
      <w:r w:rsidRPr="00556F49">
        <w:rPr>
          <w:i/>
        </w:rPr>
        <w:t>pasinaudodamos lengvata</w:t>
      </w:r>
      <w:r>
        <w:t xml:space="preserve">, taipogi gali patirti didesnį gėrį: vienam šeimos nariui įsidarbinus už 850 Lt, gerovė padidėja apie 17 proc. ((1 823 × 3 + 2 522 × 6) – (1 962 × 9) = 2 943 Lt). Šie skaičiai byloja, jog </w:t>
      </w:r>
      <w:r w:rsidRPr="00E40E29">
        <w:rPr>
          <w:b/>
          <w:i/>
        </w:rPr>
        <w:t xml:space="preserve">šeimos, </w:t>
      </w:r>
      <w:r w:rsidRPr="00E40E29">
        <w:rPr>
          <w:b/>
          <w:i/>
          <w:u w:val="single"/>
        </w:rPr>
        <w:t>turinčios du vaikus</w:t>
      </w:r>
      <w:r w:rsidRPr="00E40E29">
        <w:rPr>
          <w:b/>
          <w:i/>
        </w:rPr>
        <w:t>, gali gauti daugiau naudos iš papildomos pašalpos nei namų ūkiai</w:t>
      </w:r>
      <w:r>
        <w:rPr>
          <w:b/>
          <w:i/>
        </w:rPr>
        <w:t>,</w:t>
      </w:r>
      <w:r w:rsidRPr="00E40E29">
        <w:rPr>
          <w:b/>
          <w:i/>
        </w:rPr>
        <w:t xml:space="preserve"> </w:t>
      </w:r>
      <w:r>
        <w:rPr>
          <w:b/>
          <w:i/>
        </w:rPr>
        <w:t>auginantys vieną</w:t>
      </w:r>
      <w:r w:rsidRPr="00E40E29">
        <w:rPr>
          <w:b/>
          <w:i/>
        </w:rPr>
        <w:t xml:space="preserve"> vaik</w:t>
      </w:r>
      <w:r>
        <w:rPr>
          <w:b/>
          <w:i/>
        </w:rPr>
        <w:t>ą</w:t>
      </w:r>
      <w:r>
        <w:t>.</w:t>
      </w:r>
    </w:p>
    <w:p w:rsidR="00672967" w:rsidRPr="009C6F34" w:rsidRDefault="00672967" w:rsidP="00672967">
      <w:r>
        <w:t xml:space="preserve">Modeliuojant situaciją, kuomet </w:t>
      </w:r>
      <w:r w:rsidRPr="00131C7B">
        <w:rPr>
          <w:i/>
        </w:rPr>
        <w:t>lengvata pasinaudoja ne vienas, o abu šeimos suaugusieji</w:t>
      </w:r>
      <w:r>
        <w:t>, gaunami tokie rezultatai: 3-jų asmenų šeimose, kurių vienas narys 9 mėn. gaudavo NDI, įsidarbinus abiems tėvams už 570 Lt, finansinė gerovė padidėja apie 18 proc. ((1 487 × 3 + 2 167 × 6) – (1 645 × 9) = 2 658 Lt); o įsidarbinus už 850 Lt – apie 10 proc. ((1 487 × 3 + 2 474 × 6) – (1 952 × 9) = 1 737 Lt). 4-ių asmenų šeimose, esant toms pačioms sąlygoms, finansinė gerovė gali padidėti 23 proc., kai įsidarbinama už 570 Lt ((1 823 × 3 + 2 793 × 6) – (2 013 × 9) = 4 110 Lt), arba 19 proc., kai abu suaugusieji įsidarbina už 850 Lt ((1 823 × 3 + 2 919 × 6) – (2 139 × 9) = 3 732 Lt). Tai atskleidžia du dalykus: 1) </w:t>
      </w:r>
      <w:r w:rsidRPr="00F97B3E">
        <w:rPr>
          <w:b/>
          <w:i/>
        </w:rPr>
        <w:t>lengvata tampa kur kas ve</w:t>
      </w:r>
      <w:r>
        <w:rPr>
          <w:b/>
          <w:i/>
        </w:rPr>
        <w:t>rtingesnė, kada</w:t>
      </w:r>
      <w:r w:rsidRPr="00F97B3E">
        <w:rPr>
          <w:b/>
          <w:i/>
        </w:rPr>
        <w:t>, suėjus 12 mėn. laikotarpiui, įsidarbina abu šeimos suaugusieji</w:t>
      </w:r>
      <w:r>
        <w:t xml:space="preserve">; 2) taikant šiuo metu galiojančias sąlygas teisei į lengvatą įgyti, </w:t>
      </w:r>
      <w:r w:rsidRPr="001D31DE">
        <w:rPr>
          <w:b/>
          <w:i/>
        </w:rPr>
        <w:t>bedarbiai yra skatinami tam tikrą laikotarpį būti neaktyviais</w:t>
      </w:r>
      <w:r>
        <w:t>.</w:t>
      </w:r>
    </w:p>
    <w:p w:rsidR="0015170B" w:rsidRDefault="0015170B" w:rsidP="0015170B">
      <w:pPr>
        <w:spacing w:before="240"/>
        <w:ind w:firstLine="0"/>
        <w:jc w:val="center"/>
        <w:rPr>
          <w:b/>
        </w:rPr>
      </w:pPr>
      <w:bookmarkStart w:id="56" w:name="_Toc343028176"/>
      <w:r>
        <w:rPr>
          <w:b/>
        </w:rPr>
        <w:lastRenderedPageBreak/>
        <w:t>UŽSIENIO ŠALIŲ PATIRTIS SOCIALINĖS PAGALBOS SRITYJE: GEROJI PRAKTIK</w:t>
      </w:r>
      <w:bookmarkEnd w:id="56"/>
      <w:r>
        <w:rPr>
          <w:b/>
        </w:rPr>
        <w:t>A</w:t>
      </w:r>
    </w:p>
    <w:p w:rsidR="0015170B" w:rsidRDefault="0015170B" w:rsidP="0015170B">
      <w:r>
        <w:t xml:space="preserve">Nepaisant to, kad pirmaujančių šalių požiūris į socialinę apsaugą skiriasi, galima teigti, jog visose iki vienos yra siekiama, iš pradžių, </w:t>
      </w:r>
      <w:r>
        <w:rPr>
          <w:i/>
        </w:rPr>
        <w:t>apsaugoti</w:t>
      </w:r>
      <w:r>
        <w:t xml:space="preserve"> socialinę riziką patyrusį žmogų, suteikiant jam pirmo būtinumo pagalbą, o, praėjus ekstremaliai situacijai, – sudaryti sąlygas </w:t>
      </w:r>
      <w:r>
        <w:rPr>
          <w:i/>
        </w:rPr>
        <w:t>išeiti</w:t>
      </w:r>
      <w:r>
        <w:t xml:space="preserve"> iš programos, kad žmogus funkcionuotų savarankiškai (</w:t>
      </w:r>
      <w:proofErr w:type="spellStart"/>
      <w:r>
        <w:t>Immervoll</w:t>
      </w:r>
      <w:proofErr w:type="spellEnd"/>
      <w:r>
        <w:t xml:space="preserve"> 2009). Taigi viena iš užduočių valstybei yra </w:t>
      </w:r>
      <w:r>
        <w:rPr>
          <w:i/>
        </w:rPr>
        <w:t>taip</w:t>
      </w:r>
      <w:r>
        <w:t xml:space="preserve"> </w:t>
      </w:r>
      <w:r>
        <w:rPr>
          <w:b/>
          <w:i/>
        </w:rPr>
        <w:t>subalansuoti priemones</w:t>
      </w:r>
      <w:r>
        <w:t>, kad individui ne tik būtų užtikrintas baziniais standartais grįstas gyvenimas, bet ir neatsirastų priklausomybė nuo šalpos, t. y. žmogus turėtų išsaugoti paskatas dalyvauti darbo rinkoje ir pats kurtis finansinę gerovę.</w:t>
      </w:r>
    </w:p>
    <w:p w:rsidR="0015170B" w:rsidRDefault="0015170B" w:rsidP="0015170B">
      <w:r>
        <w:t xml:space="preserve">Apibendrinus pirmaujančių šalių patirtį, teikiant pagalbą su socialine rizika susidūrusiems žmonėms, galima išskirti dažniausiai pasitaikančias </w:t>
      </w:r>
      <w:r>
        <w:rPr>
          <w:b/>
          <w:i/>
        </w:rPr>
        <w:t>išmokas minimalias pajamas gaunantiems asmenims</w:t>
      </w:r>
      <w:r>
        <w:t xml:space="preserve"> (</w:t>
      </w:r>
      <w:r>
        <w:rPr>
          <w:i/>
          <w:lang w:val="la-Latn"/>
        </w:rPr>
        <w:t>Ibid</w:t>
      </w:r>
      <w:r>
        <w:t>):</w:t>
      </w:r>
    </w:p>
    <w:p w:rsidR="0015170B" w:rsidRDefault="0015170B" w:rsidP="0015170B">
      <w:r>
        <w:t xml:space="preserve">1) nedarbo draudimo išmoka (angl. </w:t>
      </w:r>
      <w:r>
        <w:rPr>
          <w:i/>
          <w:lang w:val="en-US"/>
        </w:rPr>
        <w:t>Unemployment Insurance</w:t>
      </w:r>
      <w:r>
        <w:rPr>
          <w:lang w:val="en-US"/>
        </w:rPr>
        <w:t>)</w:t>
      </w:r>
      <w:r>
        <w:t>;</w:t>
      </w:r>
    </w:p>
    <w:p w:rsidR="0015170B" w:rsidRDefault="0015170B" w:rsidP="0015170B">
      <w:r>
        <w:t xml:space="preserve">2) nedarbo paramos išmoka (angl., </w:t>
      </w:r>
      <w:r>
        <w:rPr>
          <w:i/>
          <w:lang w:val="en-US"/>
        </w:rPr>
        <w:t>Unemployment Assistance</w:t>
      </w:r>
      <w:r>
        <w:t>);</w:t>
      </w:r>
    </w:p>
    <w:p w:rsidR="0015170B" w:rsidRDefault="0015170B" w:rsidP="0015170B">
      <w:r>
        <w:t xml:space="preserve">3) socialinės paramos išmoka (angl., </w:t>
      </w:r>
      <w:r>
        <w:rPr>
          <w:i/>
          <w:lang w:val="en-US"/>
        </w:rPr>
        <w:t>Social Assistance</w:t>
      </w:r>
      <w:r>
        <w:t>);</w:t>
      </w:r>
    </w:p>
    <w:p w:rsidR="0015170B" w:rsidRDefault="0015170B" w:rsidP="0015170B">
      <w:r>
        <w:t xml:space="preserve">4) išmokos būstui (angl., </w:t>
      </w:r>
      <w:r>
        <w:rPr>
          <w:i/>
          <w:lang w:val="en-US"/>
        </w:rPr>
        <w:t>Housing Benefits</w:t>
      </w:r>
      <w:r>
        <w:t>);</w:t>
      </w:r>
    </w:p>
    <w:p w:rsidR="0015170B" w:rsidRDefault="0015170B" w:rsidP="0015170B">
      <w:r>
        <w:t xml:space="preserve">5) išmokos šeimai (angl., </w:t>
      </w:r>
      <w:r>
        <w:rPr>
          <w:i/>
          <w:lang w:val="en-US"/>
        </w:rPr>
        <w:t>Family Benefits</w:t>
      </w:r>
      <w:r>
        <w:t xml:space="preserve">) / vienišiems tėvams (angl. </w:t>
      </w:r>
      <w:r>
        <w:rPr>
          <w:i/>
          <w:lang w:val="en-US"/>
        </w:rPr>
        <w:t>Benefits for Lone Parents</w:t>
      </w:r>
      <w:r>
        <w:t>);</w:t>
      </w:r>
    </w:p>
    <w:p w:rsidR="0015170B" w:rsidRDefault="0015170B" w:rsidP="0015170B">
      <w:r>
        <w:t xml:space="preserve">6) išmokos dirbant (angl. </w:t>
      </w:r>
      <w:r>
        <w:rPr>
          <w:i/>
          <w:lang w:val="en-US"/>
        </w:rPr>
        <w:t>In-Work Benefits</w:t>
      </w:r>
      <w:r>
        <w:t>).</w:t>
      </w:r>
    </w:p>
    <w:p w:rsidR="0015170B" w:rsidRDefault="0015170B" w:rsidP="0015170B">
      <w:r>
        <w:t xml:space="preserve">Kaip matyti iš pateiktų pavyzdžių, Lietuva yra įteisinusi didžiąją dalį kitose šalyse teikiamų išmokų minimalias pajamas gaunantiems žmonėms, tačiau, kitaip nei pirmaujančiose šalyse, jos kol kas neduoda norimo efekto. Taip yra dėl to, jog socialinės apsaugos efektyvumas </w:t>
      </w:r>
      <w:r>
        <w:rPr>
          <w:i/>
        </w:rPr>
        <w:t>didžiąja dalimi</w:t>
      </w:r>
      <w:r>
        <w:t xml:space="preserve"> priklauso nuo žmonių siekių, kreipiantis pagalbos, ir, </w:t>
      </w:r>
      <w:r>
        <w:rPr>
          <w:i/>
        </w:rPr>
        <w:t>kiek mažiau</w:t>
      </w:r>
      <w:r>
        <w:t xml:space="preserve">, – nuo taikomų sąlygų, kurioms esant įgyjama teisė į socialinę apsaugą. Taigi kitas svarbus uždavinys valstybei yra </w:t>
      </w:r>
      <w:r>
        <w:rPr>
          <w:b/>
          <w:i/>
        </w:rPr>
        <w:t>sukurti tokį „mechanizmą“, kuris padėtų pasiekti</w:t>
      </w:r>
      <w:r>
        <w:t xml:space="preserve"> ne bet kokias, o </w:t>
      </w:r>
      <w:r>
        <w:rPr>
          <w:b/>
          <w:i/>
        </w:rPr>
        <w:t>tikslines žmonių grupes</w:t>
      </w:r>
      <w:r>
        <w:t>, – kad socialinė pagalba taptų adekvati norimiems pasiekti tikslams.</w:t>
      </w:r>
    </w:p>
    <w:p w:rsidR="0015170B" w:rsidRDefault="0015170B" w:rsidP="0015170B">
      <w:r>
        <w:rPr>
          <w:b/>
          <w:i/>
          <w:u w:val="single"/>
        </w:rPr>
        <w:t>Nedarbo draudimo išmoka</w:t>
      </w:r>
      <w:r>
        <w:t xml:space="preserve">. Yra skirta nedarbo riziką patyrusiems žmonėms kaip kompensacija už netektas pajamas. Teisė į ją paprastai yra grindžiama </w:t>
      </w:r>
      <w:r>
        <w:rPr>
          <w:i/>
        </w:rPr>
        <w:t>būtinuoju darbo stažu</w:t>
      </w:r>
      <w:r>
        <w:t xml:space="preserve">, kuris įgyjamas, dirbant legalų darbą ir mokant valstybei mokesčius. Be to, pretendentai į išmoką dažniausiai turi </w:t>
      </w:r>
      <w:r>
        <w:rPr>
          <w:i/>
        </w:rPr>
        <w:t>aktyviai ieškotis darbo</w:t>
      </w:r>
      <w:r>
        <w:t xml:space="preserve">, kas, pirmiausia, siejama su registracija darbo biržoje ar kitoje panašias funkcijas atliekančioje institucijoje. </w:t>
      </w:r>
      <w:r>
        <w:rPr>
          <w:i/>
        </w:rPr>
        <w:t xml:space="preserve">Išmokos mokėjimo trukmė </w:t>
      </w:r>
      <w:r>
        <w:t>daugumoje šalių yra</w:t>
      </w:r>
      <w:r>
        <w:rPr>
          <w:i/>
        </w:rPr>
        <w:t xml:space="preserve"> fiksuota</w:t>
      </w:r>
      <w:r>
        <w:t>, o kai kur išmoka mokama neribotą laiką (</w:t>
      </w:r>
      <w:r>
        <w:rPr>
          <w:i/>
          <w:lang w:val="la-Latn"/>
        </w:rPr>
        <w:t>Ibid</w:t>
      </w:r>
      <w:r>
        <w:t>).</w:t>
      </w:r>
    </w:p>
    <w:p w:rsidR="0015170B" w:rsidRDefault="0015170B" w:rsidP="0015170B">
      <w:r>
        <w:t xml:space="preserve">Žvelgiant į atskirose šalyse taikomas sąlygas, galima pastebėti, jog </w:t>
      </w:r>
      <w:r>
        <w:rPr>
          <w:b/>
          <w:i/>
        </w:rPr>
        <w:t>darbo stažui</w:t>
      </w:r>
      <w:r>
        <w:t xml:space="preserve"> yra keliami skirtingi reikalavimai</w:t>
      </w:r>
      <w:r>
        <w:rPr>
          <w:rStyle w:val="FootnoteReference"/>
        </w:rPr>
        <w:footnoteReference w:id="40"/>
      </w:r>
      <w:r>
        <w:t xml:space="preserve">: vienur pakanka būti dirbusiam 6 mėn. per paskutinius 22 mėn. (Prancūzija), kitur –12 mėn. per 24 mėn. (Austrija, Šveicarija, Anglija), o kai kuriose šalyse yra įteisinta </w:t>
      </w:r>
      <w:r>
        <w:rPr>
          <w:i/>
        </w:rPr>
        <w:t>asmeninė atsakomybė</w:t>
      </w:r>
      <w:r>
        <w:t>, todėl reikia tenkinti papildomus reikalavimus, pavyzdžiui, dirbti ne tik nustatytą laiką, bet ir atitinkamą dienų skaičių per mėn. (Japonija). Lietuvoje šiuo metu reikia būti dirbusiam 18 mėn. per paskutinius 36 mėn.</w:t>
      </w:r>
    </w:p>
    <w:p w:rsidR="0015170B" w:rsidRDefault="0015170B" w:rsidP="0015170B">
      <w:r>
        <w:lastRenderedPageBreak/>
        <w:t xml:space="preserve">Taip pat reikėtų pastebėti, jog kai kuriose šalyse yra taikomi </w:t>
      </w:r>
      <w:r>
        <w:rPr>
          <w:b/>
          <w:i/>
        </w:rPr>
        <w:t>priedai</w:t>
      </w:r>
      <w:r>
        <w:t>, jeigu šeimoje yra priklausomų, t. y. negalinčių savimi pasirūpinti individų. Priedai gali būti fiksuoti (Austrija, Airija, Anglija), laipsniškai mažėjantys kiekvienam paskesniam vaikui (Suomija), išreikšti procentine išraiška nuo nedarbo draudimo išmokos (Vokietija) arba apskaičiuoti, atsižvelgiant į šeimos pajamas, amžių ir vaikų skaičių (Kanada)</w:t>
      </w:r>
      <w:r>
        <w:rPr>
          <w:rStyle w:val="FootnoteReference"/>
        </w:rPr>
        <w:footnoteReference w:id="41"/>
      </w:r>
      <w:r>
        <w:t>.</w:t>
      </w:r>
    </w:p>
    <w:p w:rsidR="0015170B" w:rsidRDefault="0015170B" w:rsidP="0015170B">
      <w:r>
        <w:t xml:space="preserve">Siekiant išvengti priklausomybės nuo socialinės pagalbos, daugumoje šalių yra taikomos ir </w:t>
      </w:r>
      <w:r>
        <w:rPr>
          <w:b/>
          <w:i/>
        </w:rPr>
        <w:t>išmokos įsidarbinus</w:t>
      </w:r>
      <w:r>
        <w:t>, t. y. nedarbo draudimo išmokų mokėjimai kurį laiką nėra nutraukiami (tik sumažinami), kad individo pajamos greičiau grįžtų į buvusį lygį. Pavyzdžiui, Suomijoje, įsidarbinus 75 proc. etato, gali būti išsaugota teisė į 50 proc. dydžio išmoką, jei pajamos kartu su išmoka neviršija 90 proc. nustatytos sumos; Vengrijoje, atliekant laikinus darbus, iki 3 mėn. sustabdomas išmokos mokėjimas, o vėliau – pratęsiamas; Šveicarijoje nepaisoma 70 proc. skirtumo tarp išmokos ir pajamų, – jeigu uždarbis mažesnis nei vidutinis.</w:t>
      </w:r>
    </w:p>
    <w:p w:rsidR="0015170B" w:rsidRDefault="0015170B" w:rsidP="0015170B">
      <w:r>
        <w:t xml:space="preserve">Kalbant apie </w:t>
      </w:r>
      <w:r>
        <w:rPr>
          <w:b/>
          <w:i/>
        </w:rPr>
        <w:t>išmokos mokėjimo trukmę</w:t>
      </w:r>
      <w:r>
        <w:t>, reikėtų pasakyti, jog šalys šiuo klausimu priima skirtingus sprendimus, tačiau bendrų dėsningumų galima įžvelgti, pavyzdžiui: skandinaviško modelio valstybės yra linkusios suteikti didesnę apsaugą, tad laikotarpis varijuoja nuo 23 mėn.</w:t>
      </w:r>
      <w:r>
        <w:rPr>
          <w:lang w:val="en-US"/>
        </w:rPr>
        <w:t xml:space="preserve"> </w:t>
      </w:r>
      <w:r>
        <w:t>(Suomija) iki 35 mėn. (Švedija); senosiose Europos valstybėse, tokiose kaip Vokietija ar Airija, išmokos mokamos 12 mėn.; trumpiausia išmokos mokėjimo trukmė yra Čekijoje (5 mėn.); o ilgiausiai „lepinami“ yra Olandijos žmonės (38 mėn.). Lietuvoje teisę į nedarbo draudimo išmoką galima įgyti 6-9 mėn., priklausomai nuo sukaupto darbo stažo.</w:t>
      </w:r>
    </w:p>
    <w:p w:rsidR="0015170B" w:rsidRDefault="0015170B" w:rsidP="0015170B">
      <w:r>
        <w:t>Apibendrinant, reikėtų pasakyti, jog nėra vienos teisingos schemos, kaip turėtų būti saugomas darbo netekęs žmogus, todėl kiekviena šalis turėtų gebėti atrasti pusiausvyrą tarp poreikio ir realių galimybių.</w:t>
      </w:r>
    </w:p>
    <w:p w:rsidR="0015170B" w:rsidRDefault="0015170B" w:rsidP="0015170B">
      <w:r>
        <w:rPr>
          <w:b/>
          <w:i/>
          <w:u w:val="single"/>
        </w:rPr>
        <w:t>Nedarbo paramos išmoka</w:t>
      </w:r>
      <w:r>
        <w:t xml:space="preserve">. Yra mokama tiems darbo neturintiems žmonėms, kurie arba neturi teisės į nedarbo draudimo išmoką, arba toji teisė yra išnykusi. Kaip ir nedarbo draudimo išmokų atveju, nedarbo paramos išmokų mokėjimas yra pagrįstas </w:t>
      </w:r>
      <w:r>
        <w:rPr>
          <w:i/>
        </w:rPr>
        <w:t>aktyviomis darbo paieškomis</w:t>
      </w:r>
      <w:r>
        <w:t xml:space="preserve">. Šios išmokos </w:t>
      </w:r>
      <w:r>
        <w:rPr>
          <w:i/>
        </w:rPr>
        <w:t xml:space="preserve">mokėjimo terminas </w:t>
      </w:r>
      <w:r>
        <w:t xml:space="preserve">gali būti fiksuotas arba neribotas, – </w:t>
      </w:r>
      <w:r>
        <w:rPr>
          <w:i/>
        </w:rPr>
        <w:t>priklausomai nuo to, kokia politika įgyvendinama</w:t>
      </w:r>
      <w:r>
        <w:t xml:space="preserve">, – tačiau pagrindinis tikslas yra toks pat, t. y. užtikrinti minimaliais standartais grįstą gyvenimą. Nedarbo paramos išmoka yra mažesnė negu nedarbo draudimo išmoka bei </w:t>
      </w:r>
      <w:r>
        <w:rPr>
          <w:i/>
        </w:rPr>
        <w:t>mažiau tiesiogiai priklausanti</w:t>
      </w:r>
      <w:r>
        <w:t xml:space="preserve"> nuo praeityje uždirbtų pajamų, tačiau pačiai išmokai gauti paprastai yra keliama sąlyga, jog </w:t>
      </w:r>
      <w:r>
        <w:rPr>
          <w:i/>
        </w:rPr>
        <w:t>žmogus turi būti dirbęs</w:t>
      </w:r>
      <w:r>
        <w:t xml:space="preserve"> (</w:t>
      </w:r>
      <w:proofErr w:type="spellStart"/>
      <w:r>
        <w:t>Immervoll</w:t>
      </w:r>
      <w:proofErr w:type="spellEnd"/>
      <w:r>
        <w:t xml:space="preserve"> 2006).</w:t>
      </w:r>
    </w:p>
    <w:p w:rsidR="0015170B" w:rsidRDefault="0015170B" w:rsidP="0015170B">
      <w:pPr>
        <w:spacing w:after="20"/>
      </w:pPr>
      <w:r>
        <w:t xml:space="preserve">Būtina paminėti, jog kai kuriose šalyse teisė į nedarbo paramos išmoką atsiranda, kai yra įvertinamos ne tik šeimos pajamos, bet ir turtas (Austrija, Vokietija, Anglija) – tokiu atveju </w:t>
      </w:r>
      <w:r>
        <w:rPr>
          <w:b/>
          <w:i/>
        </w:rPr>
        <w:t>darbo patirtis</w:t>
      </w:r>
      <w:r>
        <w:t xml:space="preserve"> yra nesvarbi. Kitose šalyse išmoka teikiama, tik prieš tai turėjus teisę į </w:t>
      </w:r>
      <w:r>
        <w:rPr>
          <w:i/>
        </w:rPr>
        <w:t>nedarbo draudimo išmoką</w:t>
      </w:r>
      <w:r>
        <w:t xml:space="preserve"> (Austrija, Prancūzija), o Švedijoje ši privilegija yra suteikiama turintiems 6 mėn. darbo stažą arba neseniai </w:t>
      </w:r>
      <w:r>
        <w:rPr>
          <w:i/>
        </w:rPr>
        <w:t>baigusiems studijas</w:t>
      </w:r>
      <w:r>
        <w:t>. Jei žmogus įsidarbina, paprastai tam tikra dalimi yra mažinamas išmokos dydis, pavyzdžiui, 60 proc. nuo grynųjų savaitės pajamų, kai dirbama mažiau kaip 3 d. per savaitę (Airija); arba taikoma kitokia schema.</w:t>
      </w:r>
    </w:p>
    <w:p w:rsidR="0015170B" w:rsidRDefault="0015170B" w:rsidP="0015170B">
      <w:r>
        <w:lastRenderedPageBreak/>
        <w:t xml:space="preserve">Kaip ir nedarbo draudimo išmokų atveju, taip ir mokant nedarbo paramos išmoką, tam tikri </w:t>
      </w:r>
      <w:r>
        <w:rPr>
          <w:b/>
          <w:i/>
        </w:rPr>
        <w:t>priedai</w:t>
      </w:r>
      <w:r>
        <w:t xml:space="preserve"> yra skiriami vaikams, o kai kur – ir vyresniems žmonėms (Prancūzija), priklausomai nuo jų turimo darbo stažo. Šiek tiek įdomesnėmis taisyklėmis pasižymi Airija ir Anglija: pirmojoje nedarbo paramos išmoka gali būti mokama ir kitam suaugusiajam (21 proc. vidutinės algos) bei vaikams (5 proc. vidutinės algos), o antrojoje atskirai yra nurodomas sutuoktinis, kuriam gali būti skiriama nustatyto dydžio išmoka. Taip pat reiktų pastebėti, jog </w:t>
      </w:r>
      <w:r>
        <w:rPr>
          <w:b/>
          <w:i/>
        </w:rPr>
        <w:t>išmokos mokėjimo trukmė</w:t>
      </w:r>
      <w:r>
        <w:t xml:space="preserve"> labai skiriasi: nuo 3 iki 14 mėn., arba visai neribojama</w:t>
      </w:r>
      <w:r>
        <w:rPr>
          <w:rStyle w:val="FootnoteReference"/>
        </w:rPr>
        <w:footnoteReference w:id="42"/>
      </w:r>
      <w:r>
        <w:t>.</w:t>
      </w:r>
    </w:p>
    <w:p w:rsidR="0015170B" w:rsidRDefault="0015170B" w:rsidP="0015170B">
      <w:r>
        <w:t xml:space="preserve">Apibendrinant, reikėtų akcentuoti, jog nedarbo paramos išmoka tampa „tarpine stotele“ tarp nedarbo draudimo išmokų ir socialinės paramos, tad jos vaidmuo yra, </w:t>
      </w:r>
      <w:r>
        <w:rPr>
          <w:i/>
        </w:rPr>
        <w:t>mažinant psichologinę įtampą</w:t>
      </w:r>
      <w:r>
        <w:t>, padėti darbo ieškančiam žmogui greičiau sugrįžti į darbo rinką, – ir tokiu būdu išvengti priklausomybės nuo šalpos.</w:t>
      </w:r>
    </w:p>
    <w:p w:rsidR="0015170B" w:rsidRDefault="0015170B" w:rsidP="0015170B">
      <w:r>
        <w:rPr>
          <w:b/>
          <w:u w:val="single"/>
        </w:rPr>
        <w:t>Socialinės paramos išmoka</w:t>
      </w:r>
      <w:r>
        <w:t xml:space="preserve">. Yra mokama tiems žmonėms, kurie neturi teisės gauti nedarbo išmokų. Pagrindinis kriterijus, taikomas teisei į šią išmoką nustatyti, yra </w:t>
      </w:r>
      <w:r>
        <w:rPr>
          <w:i/>
        </w:rPr>
        <w:t>nepakankamos pajamos</w:t>
      </w:r>
      <w:r>
        <w:t xml:space="preserve"> išgyventi, kurios yra tikrinamos, atliekant </w:t>
      </w:r>
      <w:r>
        <w:rPr>
          <w:i/>
        </w:rPr>
        <w:t>pajamų ir / arba turto testus</w:t>
      </w:r>
      <w:r>
        <w:t xml:space="preserve">. Be to, dažnai vertinama, ar pretendentas į socialinę paramą yra </w:t>
      </w:r>
      <w:r>
        <w:rPr>
          <w:i/>
        </w:rPr>
        <w:t>motyvuotas</w:t>
      </w:r>
      <w:r>
        <w:t>, t. y. ar jis stengiasi susirasti darbą, kad netaptų finansiškai priklausomas nuo šalpos (</w:t>
      </w:r>
      <w:proofErr w:type="spellStart"/>
      <w:r>
        <w:t>Immervoll</w:t>
      </w:r>
      <w:proofErr w:type="spellEnd"/>
      <w:r>
        <w:t xml:space="preserve"> 2006). Priešingai nei pirmais dviem atvejais, reikalavimas būti dirbusiam, šiuo atveju, retai taikomas, tačiau daugumoje šalių žmogus privalo </w:t>
      </w:r>
      <w:r>
        <w:rPr>
          <w:i/>
        </w:rPr>
        <w:t>dalyvauti integracijos</w:t>
      </w:r>
      <w:r>
        <w:t xml:space="preserve"> į darbo rinką </w:t>
      </w:r>
      <w:r>
        <w:rPr>
          <w:i/>
        </w:rPr>
        <w:t>priemonėse</w:t>
      </w:r>
      <w:r>
        <w:t>.</w:t>
      </w:r>
    </w:p>
    <w:p w:rsidR="0015170B" w:rsidRDefault="0015170B" w:rsidP="0015170B">
      <w:r>
        <w:t>Nagrinėjant socialinės paramos išmokai taikomas sąlygas</w:t>
      </w:r>
      <w:r>
        <w:rPr>
          <w:rStyle w:val="FootnoteReference"/>
        </w:rPr>
        <w:footnoteReference w:id="43"/>
      </w:r>
      <w:r>
        <w:t xml:space="preserve">, pirmiausia pastebima, jog vienose šalyse yra įvestas </w:t>
      </w:r>
      <w:r>
        <w:rPr>
          <w:b/>
          <w:i/>
        </w:rPr>
        <w:t>amžiaus cenzas</w:t>
      </w:r>
      <w:r>
        <w:t xml:space="preserve">, o kitose šalyse į tai nėra atsižvelgiama – tai byloja, jog remiami gali būti arba tam tikri žmonės, arba absoliučiai visi šalies piliečiai. Didžiausi apribojimai, mūsų manymu, yra taikomi Anglijoje, Liuksemburge ir Suomijoje, kadangi ten teisė į socialinę paramą yra įgyjama, tenkinant visas be išimties sąlygas (darbo paieškos, registracija, dalyvavimas, patirtis), kurių </w:t>
      </w:r>
      <w:r>
        <w:rPr>
          <w:i/>
        </w:rPr>
        <w:t>atitiktis periodiškai tikrinama</w:t>
      </w:r>
      <w:r>
        <w:t>. Be to, Anglijoje ir Liuksemburge reikia būti sulaukusiam 24 m., kad įgytum teisę į socialinę paramą, kas byloja, jog žmonių finansinė elgsena (iki kreipimosi į tam tikrą įstaigą momento) turėtų būti atsakinga.</w:t>
      </w:r>
    </w:p>
    <w:p w:rsidR="0015170B" w:rsidRDefault="0015170B" w:rsidP="0015170B">
      <w:r>
        <w:t xml:space="preserve">Reiktų pastebėti, jog dažniausiai yra taikoma tokia </w:t>
      </w:r>
      <w:r>
        <w:rPr>
          <w:b/>
          <w:i/>
        </w:rPr>
        <w:t>socialinės paramos teikimo schema</w:t>
      </w:r>
      <w:r>
        <w:t xml:space="preserve">, kai pirmasis šeimos narys gauna didžiausią pašalpą, o kiekvienam paskesniam nariui pašalpos dydis yra mažinamas – taip didesnė apsauga yra suteikiama vieniems gyvenantiems asmenims, kurie patiria daugiau išlaidų. Prie išimčių būtų galima priskirti Daniją, kuri bendrai gyvenantiems asmenims (paprastai sutuoktiniams) taiko tokį patį procentą, ir papildomų lėšų suteikia </w:t>
      </w:r>
      <w:r>
        <w:rPr>
          <w:i/>
        </w:rPr>
        <w:t>tik</w:t>
      </w:r>
      <w:r>
        <w:t xml:space="preserve"> pirmam šeimos vaikui. Visos kitos šalys vaikams pašalpas yra linkusios mokėti, atsižvelgiant į jų amžių ir skaičių, be to, didesnė parama teikiama vienišiems tėvams.</w:t>
      </w:r>
    </w:p>
    <w:p w:rsidR="0015170B" w:rsidRDefault="0015170B" w:rsidP="0015170B">
      <w:r>
        <w:t xml:space="preserve">Kalbant apie </w:t>
      </w:r>
      <w:r>
        <w:rPr>
          <w:b/>
          <w:i/>
        </w:rPr>
        <w:t>papildomą paramą</w:t>
      </w:r>
      <w:r>
        <w:t xml:space="preserve">, reikėtų pasakyti, jog </w:t>
      </w:r>
      <w:r>
        <w:rPr>
          <w:i/>
        </w:rPr>
        <w:t>dažniausiai</w:t>
      </w:r>
      <w:r>
        <w:t xml:space="preserve"> vargingai gyvenančioms šeimoms yra kompensuojama dalis būsto ar nuomos išlaikymo; sveikatos paslaugų; vaikų priežiūros; ar transporto išlaidų, ir vis didesnis dėmesys skiriamas </w:t>
      </w:r>
      <w:r>
        <w:rPr>
          <w:i/>
          <w:u w:val="single"/>
        </w:rPr>
        <w:t>savarankiškam</w:t>
      </w:r>
      <w:r>
        <w:t xml:space="preserve"> </w:t>
      </w:r>
      <w:r>
        <w:rPr>
          <w:i/>
        </w:rPr>
        <w:t xml:space="preserve">užimtumui, darbo </w:t>
      </w:r>
      <w:r>
        <w:rPr>
          <w:i/>
          <w:u w:val="single"/>
        </w:rPr>
        <w:t>paieškoms</w:t>
      </w:r>
      <w:r>
        <w:t xml:space="preserve"> (Danija, Olandija).</w:t>
      </w:r>
    </w:p>
    <w:p w:rsidR="0015170B" w:rsidRDefault="0015170B" w:rsidP="0015170B">
      <w:r>
        <w:lastRenderedPageBreak/>
        <w:t xml:space="preserve">Nustatant teisę į pašalpą, neretai į šeimos pajamas nėra įtraukiamos tam tikros išmokos, – </w:t>
      </w:r>
      <w:r>
        <w:rPr>
          <w:i/>
        </w:rPr>
        <w:t>tokiu būdu padidinant pašalpos dydį ir užtikrinant geresnį gyvenimą</w:t>
      </w:r>
      <w:r>
        <w:t xml:space="preserve">, – tad tikslinga būtų aptarti, kokia praktika yra vyraujanti šalyse. Galima tvirtinti, jog dažniausiai, skaičiuojant pašalpą, </w:t>
      </w:r>
      <w:r>
        <w:rPr>
          <w:b/>
          <w:i/>
        </w:rPr>
        <w:t>nėra įtraukiama</w:t>
      </w:r>
      <w:r>
        <w:t xml:space="preserve"> parama būstui ir šeimai; įvairios kompensacijos; išmokos vaikams; stipendijos, kiek rečiau – parama vienišiems tėvams, o pastaruoju metu vis daugiau dėmesio sulaukia </w:t>
      </w:r>
      <w:r>
        <w:rPr>
          <w:b/>
          <w:i/>
        </w:rPr>
        <w:t>dalies uždirbtų pajamų</w:t>
      </w:r>
      <w:r>
        <w:rPr>
          <w:i/>
        </w:rPr>
        <w:t xml:space="preserve"> į skaičiuojamąją bazę neįtraukimas</w:t>
      </w:r>
      <w:r>
        <w:t xml:space="preserve"> (Prancūzija – 100 proc. pajamų 3 mėn.; Olandija – 25 proc. 6 mėn.; Vokietija – 80-90 proc., priklausomai nuo darbo pajamų dydžio; Anglija – taikoma fiksuota suma asmeniui, porai, vienišiems tėvams; Suomija – 20 proc. grynųjų pajamų; Danija – fiksuota suma), – kas turėtų padėti sumažinti skurdo „spąstų“ įtaką.</w:t>
      </w:r>
    </w:p>
    <w:p w:rsidR="0015170B" w:rsidRDefault="0015170B" w:rsidP="0015170B">
      <w:r>
        <w:t>Apibendrinant, reikėtų akcentuoti, jog, nustatant paramos skyrimo tvarką, būtina sukonstruoti tokią formulę, kuri mažintų neigiamą poveikį individų paskatoms dirbti ir padėtų greičiau atsisakyti paramos.</w:t>
      </w:r>
    </w:p>
    <w:p w:rsidR="0015170B" w:rsidRDefault="0015170B" w:rsidP="0015170B">
      <w:r>
        <w:rPr>
          <w:b/>
          <w:i/>
          <w:u w:val="single"/>
        </w:rPr>
        <w:t>Išmokos būstui</w:t>
      </w:r>
      <w:r>
        <w:t xml:space="preserve">. Yra tam tikra socialinės paramos atmaina, kadangi pasižymi panašiomis savybėmis: išmokos būstui taip pat yra teikiamos </w:t>
      </w:r>
      <w:r>
        <w:rPr>
          <w:i/>
        </w:rPr>
        <w:t>mažas pajamas gaunantiems žmonėms</w:t>
      </w:r>
      <w:r>
        <w:t xml:space="preserve">, todėl teisė į išmokos gavimą yra tikrinama, </w:t>
      </w:r>
      <w:r>
        <w:rPr>
          <w:i/>
        </w:rPr>
        <w:t>atliekant testus</w:t>
      </w:r>
      <w:r>
        <w:t xml:space="preserve">. Be to, šios išmokos, kaip ir paramos atveju, yra </w:t>
      </w:r>
      <w:r>
        <w:rPr>
          <w:i/>
        </w:rPr>
        <w:t>susijusios su išlaidų būstui dengimu</w:t>
      </w:r>
      <w:r>
        <w:t>, kurios apskaičiuojamos, atsižvelgiant į faktines išlaidas ir nustatytas „lubas“ (</w:t>
      </w:r>
      <w:proofErr w:type="spellStart"/>
      <w:r>
        <w:t>Immervoll</w:t>
      </w:r>
      <w:proofErr w:type="spellEnd"/>
      <w:r>
        <w:t xml:space="preserve"> 2006).</w:t>
      </w:r>
    </w:p>
    <w:p w:rsidR="0015170B" w:rsidRDefault="0015170B" w:rsidP="0015170B">
      <w:r>
        <w:t xml:space="preserve">Būtina akcentuoti, jog skirtingose šalyse yra </w:t>
      </w:r>
      <w:r>
        <w:rPr>
          <w:i/>
        </w:rPr>
        <w:t>taikomas skirtingos sąlygos</w:t>
      </w:r>
      <w:r>
        <w:rPr>
          <w:rStyle w:val="FootnoteReference"/>
          <w:i/>
        </w:rPr>
        <w:footnoteReference w:id="44"/>
      </w:r>
      <w:r>
        <w:t xml:space="preserve">, nustatant teisės į išmoką atsiradimą, pavyzdžiui, Italijoje yra atsižvelgiama </w:t>
      </w:r>
      <w:r>
        <w:rPr>
          <w:i/>
        </w:rPr>
        <w:t>tik</w:t>
      </w:r>
      <w:r>
        <w:t xml:space="preserve"> į šeimos pajamas, geografinę vietovę ir realias būsto išlaidas, o Austrijoje ir Suomijoje yra paisoma visų reikalavimų, t. y.: namų ūkio tipo ir dydžio; pajamų; būsto dydžio; geografinės vietovės; bei realių būsto išlaidų. Dėl šios priežasties ir </w:t>
      </w:r>
      <w:r>
        <w:rPr>
          <w:b/>
          <w:i/>
        </w:rPr>
        <w:t xml:space="preserve">išmokos apskaičiavimo formulės </w:t>
      </w:r>
      <w:r>
        <w:t>yra nevienodos: vienur yra atliekami labai supaprastinti, o kitur – itin sudėtingi skaičiavimai.</w:t>
      </w:r>
    </w:p>
    <w:p w:rsidR="0015170B" w:rsidRDefault="0015170B" w:rsidP="0015170B">
      <w:r>
        <w:t xml:space="preserve">Didžiausias </w:t>
      </w:r>
      <w:r>
        <w:rPr>
          <w:b/>
          <w:i/>
        </w:rPr>
        <w:t>neigiamas išmokų būstui bruožas</w:t>
      </w:r>
      <w:r>
        <w:t xml:space="preserve"> yra tas, kad žmogui, pretenduojančiam į išmoką, nėra keliama sąlyga pradėti dirbti ir tapti nepriklausomu. Vadinasi, išmokos būstui mokėjimo konstrukcija šiuo metu yra neigiama, ir todėl, – </w:t>
      </w:r>
      <w:r>
        <w:rPr>
          <w:i/>
        </w:rPr>
        <w:t>kaip skatinanti teisingą elgseną priemonė</w:t>
      </w:r>
      <w:r>
        <w:t>, – ji neturėtų būti nagrinėjama.</w:t>
      </w:r>
    </w:p>
    <w:p w:rsidR="0015170B" w:rsidRDefault="0015170B" w:rsidP="0015170B">
      <w:r>
        <w:rPr>
          <w:b/>
          <w:i/>
          <w:u w:val="single"/>
        </w:rPr>
        <w:t>Išmokos šeimai</w:t>
      </w:r>
      <w:r>
        <w:t xml:space="preserve">. Yra skiriamos tiems bendrai gyvenantiems žmonėms, kurie </w:t>
      </w:r>
      <w:r>
        <w:rPr>
          <w:i/>
        </w:rPr>
        <w:t>turi vaikų</w:t>
      </w:r>
      <w:r>
        <w:t xml:space="preserve"> ir kurie neturi pakankamai lėšų jiems išlaikyti. Be to, šiek tiek daugiau yra remiami </w:t>
      </w:r>
      <w:r>
        <w:rPr>
          <w:i/>
        </w:rPr>
        <w:t>vieniši tėvai</w:t>
      </w:r>
      <w:r>
        <w:t xml:space="preserve">, kuriems išmokos tampa ne tik būtinu pajamų garantu, bet tuo pačiu „pateisinama“ priežastimi nedirbti ir daugiau laiko praleisti su vaikais. Kaip ir socialinės paramos teikimo atveju, teisė į išmoką šeimai yra </w:t>
      </w:r>
      <w:r>
        <w:rPr>
          <w:i/>
        </w:rPr>
        <w:t>tikrinama, vertinant pajamas</w:t>
      </w:r>
      <w:r>
        <w:t xml:space="preserve">, tačiau </w:t>
      </w:r>
      <w:r>
        <w:rPr>
          <w:i/>
        </w:rPr>
        <w:t>reikalavimas siekti būti užimtam nėra plačiai paplitęs</w:t>
      </w:r>
      <w:r>
        <w:t xml:space="preserve">. Skiriant išmokas šeimai, daugelyje šalių yra atsižvelgiama į </w:t>
      </w:r>
      <w:r>
        <w:rPr>
          <w:i/>
        </w:rPr>
        <w:t>vaikų amžių ir skaičių</w:t>
      </w:r>
      <w:r>
        <w:t>, o kai kuriose valstybėse papildomai yra remiami ir studentai (</w:t>
      </w:r>
      <w:r>
        <w:rPr>
          <w:i/>
          <w:lang w:val="la-Latn"/>
        </w:rPr>
        <w:t>Ibid</w:t>
      </w:r>
      <w:r>
        <w:t>).</w:t>
      </w:r>
    </w:p>
    <w:p w:rsidR="0015170B" w:rsidRDefault="0015170B" w:rsidP="0015170B">
      <w:r>
        <w:t>Įdomia tvarka pasižymi Italija</w:t>
      </w:r>
      <w:r>
        <w:rPr>
          <w:rStyle w:val="FootnoteReference"/>
        </w:rPr>
        <w:footnoteReference w:id="45"/>
      </w:r>
      <w:r>
        <w:t xml:space="preserve">: čia išmokos šeimai gali būti </w:t>
      </w:r>
      <w:r>
        <w:rPr>
          <w:b/>
          <w:i/>
        </w:rPr>
        <w:t>mokamos darbdavių</w:t>
      </w:r>
      <w:r>
        <w:t xml:space="preserve"> – bet tik tada, kai pajamos iš darbinės veiklos sudaro ne mažiau kaip 70 proc. namų ūkio apmokestinamųjų pajamų. Išmoka paprastai mažinama proporcingai nedirbtų dienų skaičiui. Taip pat galima gauti laikiną papildomą išmoką.</w:t>
      </w:r>
    </w:p>
    <w:p w:rsidR="0015170B" w:rsidRDefault="0015170B" w:rsidP="0015170B">
      <w:r>
        <w:lastRenderedPageBreak/>
        <w:t xml:space="preserve">Sektinu pavyzdžiu galėtų būti ir Anglija: šioje šalyje dirbant galima įgyti </w:t>
      </w:r>
      <w:r>
        <w:rPr>
          <w:b/>
          <w:i/>
        </w:rPr>
        <w:t>teisę į mokesčių lengvatas</w:t>
      </w:r>
      <w:r>
        <w:t>, kurios yra viena iš išmokų šeimai formų. Vieniši tėvai teisę į lengvatą gali įgyti, dirbdami ne mažiau kaip 16 val. per savaitę, o poros – dirbdamos ne mažiau kaip 24 val. (kai vienas iš partnerių dirba 16</w:t>
      </w:r>
      <w:r>
        <w:rPr>
          <w:lang w:val="en-US"/>
        </w:rPr>
        <w:t> </w:t>
      </w:r>
      <w:r>
        <w:t>val.) per savaitę. Panaši politika įgyvendinama Olandijoje – čia mokesčių lengvatos taikomos vienišiems tėvams</w:t>
      </w:r>
      <w:r>
        <w:rPr>
          <w:rStyle w:val="FootnoteReference"/>
        </w:rPr>
        <w:footnoteReference w:id="46"/>
      </w:r>
      <w:r>
        <w:t>.</w:t>
      </w:r>
    </w:p>
    <w:p w:rsidR="0015170B" w:rsidRDefault="0015170B" w:rsidP="0015170B">
      <w:r>
        <w:t xml:space="preserve">Apibendrinant, reikėtų pasakyti, jog išmokos šeimai </w:t>
      </w:r>
      <w:r>
        <w:rPr>
          <w:i/>
        </w:rPr>
        <w:t>darbo paskatų atžvilgiu</w:t>
      </w:r>
      <w:r>
        <w:t xml:space="preserve"> yra naudingos tik tokiu atveju, kai remiami yra ne mažas pajamas gaunantys, o mažas pajamas </w:t>
      </w:r>
      <w:r>
        <w:rPr>
          <w:i/>
        </w:rPr>
        <w:t>besistengiantys</w:t>
      </w:r>
      <w:r>
        <w:t xml:space="preserve"> </w:t>
      </w:r>
      <w:r>
        <w:rPr>
          <w:i/>
        </w:rPr>
        <w:t>padidinti</w:t>
      </w:r>
      <w:r>
        <w:t xml:space="preserve"> asmenys, t. y. tie žmonės, kuriems papildomos lėšos reikalingos tam, kad galėtų greičiau adaptuotis darbo rinkoje. </w:t>
      </w:r>
    </w:p>
    <w:p w:rsidR="0015170B" w:rsidRDefault="0015170B" w:rsidP="0015170B">
      <w:r w:rsidRPr="00027449">
        <w:rPr>
          <w:b/>
          <w:i/>
          <w:u w:val="single"/>
        </w:rPr>
        <w:t>Išmokos dirbant</w:t>
      </w:r>
      <w:r>
        <w:t xml:space="preserve">. Yra tam tikras </w:t>
      </w:r>
      <w:r>
        <w:rPr>
          <w:i/>
        </w:rPr>
        <w:t>priedas</w:t>
      </w:r>
      <w:r>
        <w:t xml:space="preserve"> prie uždirbamų pajamų, finansuojamas socialinės apsaugos lėšomis, siekiant padidinti turimas pajamas. Teisei į šią išmoką nustatyti dažniausiai yra taikomas </w:t>
      </w:r>
      <w:r>
        <w:rPr>
          <w:i/>
        </w:rPr>
        <w:t>šeimos pajamų kriterijus</w:t>
      </w:r>
      <w:r>
        <w:t xml:space="preserve">, tačiau, kitaip negu išmokų šeimoms atveju, išmokos dirbant </w:t>
      </w:r>
      <w:r>
        <w:rPr>
          <w:i/>
        </w:rPr>
        <w:t>nėra mokamos, jei pajamos nebuvo gautos savarankiškai</w:t>
      </w:r>
      <w:r>
        <w:t xml:space="preserve"> (</w:t>
      </w:r>
      <w:proofErr w:type="spellStart"/>
      <w:r>
        <w:t>Immervoll</w:t>
      </w:r>
      <w:proofErr w:type="spellEnd"/>
      <w:r>
        <w:t xml:space="preserve"> 2006). Tai reiškia, jog išmokos dirbant nėra tolygios paskutinės pagalbos priemonėms, tad jos, – </w:t>
      </w:r>
      <w:r>
        <w:rPr>
          <w:i/>
        </w:rPr>
        <w:t>kaip skatinančios atsakomybę</w:t>
      </w:r>
      <w:r>
        <w:t>, – praktikoje turėtų būti taikomos dažniau.</w:t>
      </w:r>
    </w:p>
    <w:p w:rsidR="0015170B" w:rsidRDefault="0015170B" w:rsidP="0015170B">
      <w:r>
        <w:t xml:space="preserve">Atkreiptinas dėmesys, jog vienose šalyse šios išmokos yra </w:t>
      </w:r>
      <w:r>
        <w:rPr>
          <w:b/>
          <w:i/>
        </w:rPr>
        <w:t>mokamos</w:t>
      </w:r>
      <w:r>
        <w:t xml:space="preserve"> laikinai (arba tik vieną kartą), – </w:t>
      </w:r>
      <w:r>
        <w:rPr>
          <w:i/>
        </w:rPr>
        <w:t>tokiu būdu skatinant pašalpų gavėjus įsidarbinti</w:t>
      </w:r>
      <w:r>
        <w:t xml:space="preserve">, – o kitose valstybėse išmokos dirbant yra skiriamos tol, kol vyrauja faktinės aplinkybės (vaikai; minimalus dirbamų valandų skaičius; naujas darbas ir kt.). Būtina pastebėti, jog daugiau šalių </w:t>
      </w:r>
      <w:r>
        <w:rPr>
          <w:b/>
          <w:i/>
        </w:rPr>
        <w:t>vaikų buvimo faktą</w:t>
      </w:r>
      <w:r>
        <w:t xml:space="preserve"> ignoruoja</w:t>
      </w:r>
      <w:r>
        <w:rPr>
          <w:rStyle w:val="FootnoteReference"/>
        </w:rPr>
        <w:footnoteReference w:id="47"/>
      </w:r>
      <w:r>
        <w:t>, nebent vaikai yra auginami vienišų tėvų – tai byloja, jog, skiriant išmoką, reikia paisyti ne šeimos dydžio, o būtent pastangų, kurios ir yra šios išmokos esmė ir pagrindinis tikslas</w:t>
      </w:r>
      <w:r>
        <w:rPr>
          <w:lang w:val="en-US"/>
        </w:rPr>
        <w:t>!</w:t>
      </w:r>
      <w:r>
        <w:t xml:space="preserve"> Tiesa, kai kuriose šalyse daugiau privilegijų įgyja ilgalaikiai bedarbiai (Airija, Slovakija, Austrija, Belgija), kas, mūsų požiūriu, yra neteisinga, nes tokia taisyklė skatina ilgiau nedirbti.</w:t>
      </w:r>
    </w:p>
    <w:p w:rsidR="006D3D04" w:rsidRDefault="0015170B" w:rsidP="006D3D04">
      <w:r>
        <w:t xml:space="preserve">Dažniausiai yra skatinami </w:t>
      </w:r>
      <w:r>
        <w:rPr>
          <w:b/>
          <w:i/>
        </w:rPr>
        <w:t xml:space="preserve">mažas pajamas </w:t>
      </w:r>
      <w:r>
        <w:t xml:space="preserve">gaunantys asmenys, kuriems arba sumažinamos socialinio draudimo įmokos, arba teikiamos mokesčių lengvatos, arba nepaisoma dalies gaunamų išmokų ar pajamų. Sveikintina yra tai, jog kai kuriose šalyse (Austrija) </w:t>
      </w:r>
      <w:r>
        <w:rPr>
          <w:b/>
          <w:i/>
        </w:rPr>
        <w:t>atskirai nurodomas išmokos dydis</w:t>
      </w:r>
      <w:r>
        <w:t xml:space="preserve"> įsidarbinusiems </w:t>
      </w:r>
      <w:r>
        <w:rPr>
          <w:i/>
        </w:rPr>
        <w:t>ne visai darbo dienai</w:t>
      </w:r>
      <w:r>
        <w:t xml:space="preserve"> ir įsidarbinusiems </w:t>
      </w:r>
      <w:r>
        <w:rPr>
          <w:i/>
        </w:rPr>
        <w:t>pilnu etatu</w:t>
      </w:r>
      <w:r>
        <w:t xml:space="preserve"> – žinojimas, kiek gaunama ir kiek prarandama, dirbant ne visą dieną, įgalina priimti tinkamą sprendimą. Airijoje maksimali išmoka gali siekti 60 proc. skirtumo tarp grynųjų šeimos pajamų ir įvesto pajamų limito; Japonijoje skiriama vienkartinė išmoka už tai, kad žmogus įsidarbina anksčiau laiko, negu baigiasi nedarbo draudimo išmokos mokėjimo trukmė – ji apskaičiuojama pagal formulę, į kurią įtraukiamas likusių dienų skaičius bei koeficientas; Slovakijoje socialinių išmokų gavėjai yra skatinami tik tada, kai įsidarbina ne trumpesniam kaip 6 mėn. laikotarpiui; Anglijoje jauniems (nuo 25 m.) ir neturintiems vaikų individams keliama sąlyga dirbti ne trumpiau kaip 30 val. per savaitę.</w:t>
      </w:r>
    </w:p>
    <w:p w:rsidR="0015170B" w:rsidRPr="006D3D04" w:rsidRDefault="0015170B" w:rsidP="006D3D04">
      <w:r>
        <w:t xml:space="preserve">Apibendrinant, galima tvirtinti, jog išmokos dirbant pasiekia tikslą tik tada, kai paskatos dirbti yra ne priverstinės, o tikros, vadinasi, </w:t>
      </w:r>
      <w:r>
        <w:rPr>
          <w:i/>
        </w:rPr>
        <w:t>geresnį efektą galima gauti, kada apdovanojami tie, kurie stengiasi patys</w:t>
      </w:r>
      <w:r>
        <w:t>.</w:t>
      </w:r>
    </w:p>
    <w:p w:rsidR="006D3D04" w:rsidRDefault="006D3D04" w:rsidP="00F6568D">
      <w:pPr>
        <w:sectPr w:rsidR="006D3D04" w:rsidSect="006D3D04">
          <w:pgSz w:w="12240" w:h="15840"/>
          <w:pgMar w:top="1138" w:right="562" w:bottom="1138" w:left="1411" w:header="720" w:footer="720" w:gutter="0"/>
          <w:cols w:space="720"/>
          <w:docGrid w:linePitch="360"/>
        </w:sectPr>
      </w:pPr>
    </w:p>
    <w:p w:rsidR="006D3D04" w:rsidRPr="008502E6" w:rsidRDefault="006D3D04" w:rsidP="006D3D04">
      <w:pPr>
        <w:pStyle w:val="Caption"/>
      </w:pPr>
      <w:r w:rsidRPr="00CB1531">
        <w:lastRenderedPageBreak/>
        <w:t>1 lentelė.</w:t>
      </w:r>
      <w:r>
        <w:t xml:space="preserve"> </w:t>
      </w:r>
      <w:r w:rsidRPr="003F0A4B">
        <w:t>Papildomos nedarbo draudimo išmokos taikymo efektyvumas</w:t>
      </w:r>
    </w:p>
    <w:tbl>
      <w:tblPr>
        <w:tblW w:w="13297"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tblPr>
      <w:tblGrid>
        <w:gridCol w:w="366"/>
        <w:gridCol w:w="1974"/>
        <w:gridCol w:w="1051"/>
        <w:gridCol w:w="813"/>
        <w:gridCol w:w="813"/>
        <w:gridCol w:w="815"/>
        <w:gridCol w:w="934"/>
        <w:gridCol w:w="933"/>
        <w:gridCol w:w="667"/>
        <w:gridCol w:w="667"/>
        <w:gridCol w:w="667"/>
        <w:gridCol w:w="821"/>
        <w:gridCol w:w="908"/>
        <w:gridCol w:w="934"/>
        <w:gridCol w:w="934"/>
      </w:tblGrid>
      <w:tr w:rsidR="006D3D04" w:rsidRPr="00953F4D" w:rsidTr="006D3D04">
        <w:trPr>
          <w:trHeight w:val="359"/>
        </w:trPr>
        <w:tc>
          <w:tcPr>
            <w:tcW w:w="366" w:type="dxa"/>
            <w:tcBorders>
              <w:top w:val="single" w:sz="12" w:space="0" w:color="auto"/>
              <w:bottom w:val="single" w:sz="12" w:space="0" w:color="auto"/>
            </w:tcBorders>
            <w:shd w:val="clear" w:color="auto" w:fill="D9D9D9" w:themeFill="background1" w:themeFillShade="D9"/>
            <w:vAlign w:val="center"/>
          </w:tcPr>
          <w:p w:rsidR="006D3D04" w:rsidRPr="009F6960" w:rsidRDefault="006D3D04" w:rsidP="006D3D04">
            <w:pPr>
              <w:widowControl/>
              <w:spacing w:after="0" w:line="240" w:lineRule="auto"/>
              <w:ind w:firstLine="0"/>
              <w:contextualSpacing w:val="0"/>
              <w:jc w:val="center"/>
              <w:rPr>
                <w:rFonts w:eastAsia="Times New Roman"/>
                <w:b/>
                <w:bCs/>
                <w:sz w:val="15"/>
                <w:szCs w:val="15"/>
              </w:rPr>
            </w:pPr>
          </w:p>
        </w:tc>
        <w:tc>
          <w:tcPr>
            <w:tcW w:w="1974" w:type="dxa"/>
            <w:tcBorders>
              <w:top w:val="single" w:sz="12" w:space="0" w:color="auto"/>
              <w:bottom w:val="single" w:sz="12" w:space="0" w:color="auto"/>
            </w:tcBorders>
            <w:shd w:val="clear" w:color="auto" w:fill="D9D9D9" w:themeFill="background1" w:themeFillShade="D9"/>
            <w:noWrap/>
            <w:vAlign w:val="center"/>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sidRPr="009F6960">
              <w:rPr>
                <w:rFonts w:eastAsia="Times New Roman"/>
                <w:b/>
                <w:bCs/>
                <w:sz w:val="15"/>
                <w:szCs w:val="15"/>
              </w:rPr>
              <w:t>Šeimos tipas (</w:t>
            </w:r>
            <w:r w:rsidRPr="009F6960">
              <w:rPr>
                <w:rFonts w:eastAsia="Times New Roman"/>
                <w:b/>
                <w:bCs/>
                <w:sz w:val="15"/>
                <w:szCs w:val="15"/>
                <w:u w:val="single"/>
              </w:rPr>
              <w:t>visi neaktyvūs</w:t>
            </w:r>
            <w:r w:rsidRPr="009F6960">
              <w:rPr>
                <w:rFonts w:eastAsia="Times New Roman"/>
                <w:b/>
                <w:bCs/>
                <w:sz w:val="15"/>
                <w:szCs w:val="15"/>
              </w:rPr>
              <w:t>)</w:t>
            </w:r>
          </w:p>
        </w:tc>
        <w:tc>
          <w:tcPr>
            <w:tcW w:w="1051" w:type="dxa"/>
            <w:tcBorders>
              <w:top w:val="single" w:sz="12" w:space="0" w:color="auto"/>
              <w:bottom w:val="single" w:sz="12" w:space="0" w:color="auto"/>
            </w:tcBorders>
            <w:shd w:val="clear" w:color="auto" w:fill="D9D9D9" w:themeFill="background1" w:themeFillShade="D9"/>
            <w:vAlign w:val="center"/>
            <w:hideMark/>
          </w:tcPr>
          <w:p w:rsidR="006D3D04" w:rsidRPr="009F6960" w:rsidRDefault="006D3D04" w:rsidP="006D3D04">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Darbo pajamos</w:t>
            </w:r>
          </w:p>
        </w:tc>
        <w:tc>
          <w:tcPr>
            <w:tcW w:w="813" w:type="dxa"/>
            <w:tcBorders>
              <w:top w:val="single" w:sz="12" w:space="0" w:color="auto"/>
              <w:bottom w:val="single" w:sz="12" w:space="0" w:color="auto"/>
            </w:tcBorders>
            <w:shd w:val="clear" w:color="auto" w:fill="D9D9D9" w:themeFill="background1" w:themeFillShade="D9"/>
            <w:vAlign w:val="center"/>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sidRPr="009F6960">
              <w:rPr>
                <w:rFonts w:eastAsia="Times New Roman"/>
                <w:b/>
                <w:bCs/>
                <w:sz w:val="15"/>
                <w:szCs w:val="15"/>
              </w:rPr>
              <w:t>NPD / PNPD</w:t>
            </w:r>
          </w:p>
        </w:tc>
        <w:tc>
          <w:tcPr>
            <w:tcW w:w="813" w:type="dxa"/>
            <w:tcBorders>
              <w:top w:val="single" w:sz="12" w:space="0" w:color="auto"/>
              <w:bottom w:val="single" w:sz="12" w:space="0" w:color="auto"/>
            </w:tcBorders>
            <w:shd w:val="clear" w:color="auto" w:fill="D9D9D9" w:themeFill="background1" w:themeFillShade="D9"/>
            <w:vAlign w:val="center"/>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sidRPr="009F6960">
              <w:rPr>
                <w:rFonts w:eastAsia="Times New Roman"/>
                <w:b/>
                <w:bCs/>
                <w:sz w:val="15"/>
                <w:szCs w:val="15"/>
              </w:rPr>
              <w:t>GPM</w:t>
            </w:r>
          </w:p>
        </w:tc>
        <w:tc>
          <w:tcPr>
            <w:tcW w:w="815" w:type="dxa"/>
            <w:tcBorders>
              <w:top w:val="single" w:sz="12" w:space="0" w:color="auto"/>
              <w:bottom w:val="single" w:sz="12" w:space="0" w:color="auto"/>
            </w:tcBorders>
            <w:shd w:val="clear" w:color="auto" w:fill="D9D9D9" w:themeFill="background1" w:themeFillShade="D9"/>
            <w:vAlign w:val="center"/>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sidRPr="009F6960">
              <w:rPr>
                <w:rFonts w:eastAsia="Times New Roman"/>
                <w:b/>
                <w:bCs/>
                <w:sz w:val="15"/>
                <w:szCs w:val="15"/>
              </w:rPr>
              <w:t>SD įmokos</w:t>
            </w:r>
          </w:p>
        </w:tc>
        <w:tc>
          <w:tcPr>
            <w:tcW w:w="934" w:type="dxa"/>
            <w:tcBorders>
              <w:top w:val="single" w:sz="12" w:space="0" w:color="auto"/>
              <w:bottom w:val="single" w:sz="12" w:space="0" w:color="auto"/>
            </w:tcBorders>
            <w:shd w:val="clear" w:color="auto" w:fill="D9D9D9" w:themeFill="background1" w:themeFillShade="D9"/>
            <w:vAlign w:val="center"/>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sidRPr="009F6960">
              <w:rPr>
                <w:rFonts w:eastAsia="Times New Roman"/>
                <w:b/>
                <w:bCs/>
                <w:sz w:val="15"/>
                <w:szCs w:val="15"/>
              </w:rPr>
              <w:t>NETO pajamos</w:t>
            </w:r>
          </w:p>
        </w:tc>
        <w:tc>
          <w:tcPr>
            <w:tcW w:w="933" w:type="dxa"/>
            <w:tcBorders>
              <w:top w:val="single" w:sz="12" w:space="0" w:color="auto"/>
              <w:bottom w:val="single" w:sz="12" w:space="0" w:color="auto"/>
            </w:tcBorders>
            <w:shd w:val="clear" w:color="auto" w:fill="D9D9D9" w:themeFill="background1" w:themeFillShade="D9"/>
            <w:vAlign w:val="center"/>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sidRPr="009F6960">
              <w:rPr>
                <w:rFonts w:eastAsia="Times New Roman"/>
                <w:b/>
                <w:bCs/>
                <w:sz w:val="15"/>
                <w:szCs w:val="15"/>
              </w:rPr>
              <w:t>NDI / SP</w:t>
            </w:r>
          </w:p>
        </w:tc>
        <w:tc>
          <w:tcPr>
            <w:tcW w:w="667" w:type="dxa"/>
            <w:tcBorders>
              <w:top w:val="single" w:sz="12" w:space="0" w:color="auto"/>
              <w:bottom w:val="single" w:sz="12" w:space="0" w:color="auto"/>
            </w:tcBorders>
            <w:shd w:val="clear" w:color="auto" w:fill="D9D9D9" w:themeFill="background1" w:themeFillShade="D9"/>
            <w:vAlign w:val="center"/>
            <w:hideMark/>
          </w:tcPr>
          <w:p w:rsidR="006D3D04" w:rsidRPr="000737E5" w:rsidRDefault="006D3D04" w:rsidP="006D3D04">
            <w:pPr>
              <w:widowControl/>
              <w:spacing w:after="0" w:line="240" w:lineRule="auto"/>
              <w:ind w:firstLine="0"/>
              <w:contextualSpacing w:val="0"/>
              <w:jc w:val="center"/>
              <w:rPr>
                <w:rFonts w:eastAsia="Times New Roman"/>
                <w:b/>
                <w:bCs/>
                <w:sz w:val="15"/>
                <w:szCs w:val="15"/>
                <w:vertAlign w:val="subscript"/>
              </w:rPr>
            </w:pPr>
            <w:r>
              <w:rPr>
                <w:rFonts w:eastAsia="Times New Roman"/>
                <w:b/>
                <w:bCs/>
                <w:sz w:val="15"/>
                <w:szCs w:val="15"/>
              </w:rPr>
              <w:t>Komp</w:t>
            </w:r>
            <w:r>
              <w:rPr>
                <w:rFonts w:eastAsia="Times New Roman"/>
                <w:b/>
                <w:bCs/>
                <w:sz w:val="15"/>
                <w:szCs w:val="15"/>
                <w:vertAlign w:val="subscript"/>
              </w:rPr>
              <w:t>1</w:t>
            </w:r>
          </w:p>
        </w:tc>
        <w:tc>
          <w:tcPr>
            <w:tcW w:w="667" w:type="dxa"/>
            <w:tcBorders>
              <w:top w:val="single" w:sz="12" w:space="0" w:color="auto"/>
              <w:bottom w:val="single" w:sz="12" w:space="0" w:color="auto"/>
            </w:tcBorders>
            <w:shd w:val="clear" w:color="auto" w:fill="D9D9D9" w:themeFill="background1" w:themeFillShade="D9"/>
            <w:vAlign w:val="center"/>
            <w:hideMark/>
          </w:tcPr>
          <w:p w:rsidR="006D3D04" w:rsidRPr="000737E5" w:rsidRDefault="006D3D04" w:rsidP="006D3D04">
            <w:pPr>
              <w:widowControl/>
              <w:spacing w:after="0" w:line="240" w:lineRule="auto"/>
              <w:ind w:firstLine="0"/>
              <w:contextualSpacing w:val="0"/>
              <w:jc w:val="center"/>
              <w:rPr>
                <w:rFonts w:eastAsia="Times New Roman"/>
                <w:b/>
                <w:bCs/>
                <w:sz w:val="15"/>
                <w:szCs w:val="15"/>
                <w:vertAlign w:val="subscript"/>
              </w:rPr>
            </w:pPr>
            <w:r>
              <w:rPr>
                <w:rFonts w:eastAsia="Times New Roman"/>
                <w:b/>
                <w:bCs/>
                <w:sz w:val="15"/>
                <w:szCs w:val="15"/>
              </w:rPr>
              <w:t>Komp</w:t>
            </w:r>
            <w:r>
              <w:rPr>
                <w:rFonts w:eastAsia="Times New Roman"/>
                <w:b/>
                <w:bCs/>
                <w:sz w:val="15"/>
                <w:szCs w:val="15"/>
                <w:vertAlign w:val="subscript"/>
              </w:rPr>
              <w:t>2</w:t>
            </w:r>
          </w:p>
        </w:tc>
        <w:tc>
          <w:tcPr>
            <w:tcW w:w="667" w:type="dxa"/>
            <w:tcBorders>
              <w:top w:val="single" w:sz="12" w:space="0" w:color="auto"/>
              <w:bottom w:val="single" w:sz="12" w:space="0" w:color="auto"/>
            </w:tcBorders>
            <w:shd w:val="clear" w:color="auto" w:fill="D9D9D9" w:themeFill="background1" w:themeFillShade="D9"/>
            <w:vAlign w:val="center"/>
            <w:hideMark/>
          </w:tcPr>
          <w:p w:rsidR="006D3D04" w:rsidRPr="000737E5" w:rsidRDefault="006D3D04" w:rsidP="006D3D04">
            <w:pPr>
              <w:widowControl/>
              <w:spacing w:after="0" w:line="240" w:lineRule="auto"/>
              <w:ind w:firstLine="0"/>
              <w:contextualSpacing w:val="0"/>
              <w:jc w:val="center"/>
              <w:rPr>
                <w:rFonts w:eastAsia="Times New Roman"/>
                <w:b/>
                <w:bCs/>
                <w:sz w:val="15"/>
                <w:szCs w:val="15"/>
                <w:vertAlign w:val="subscript"/>
              </w:rPr>
            </w:pPr>
            <w:r w:rsidRPr="009F6960">
              <w:rPr>
                <w:rFonts w:eastAsia="Times New Roman"/>
                <w:b/>
                <w:bCs/>
                <w:sz w:val="15"/>
                <w:szCs w:val="15"/>
              </w:rPr>
              <w:t>K</w:t>
            </w:r>
            <w:r>
              <w:rPr>
                <w:rFonts w:eastAsia="Times New Roman"/>
                <w:b/>
                <w:bCs/>
                <w:sz w:val="15"/>
                <w:szCs w:val="15"/>
              </w:rPr>
              <w:t>omp</w:t>
            </w:r>
            <w:r>
              <w:rPr>
                <w:rFonts w:eastAsia="Times New Roman"/>
                <w:b/>
                <w:bCs/>
                <w:sz w:val="15"/>
                <w:szCs w:val="15"/>
                <w:vertAlign w:val="subscript"/>
              </w:rPr>
              <w:t>3</w:t>
            </w:r>
          </w:p>
        </w:tc>
        <w:tc>
          <w:tcPr>
            <w:tcW w:w="821" w:type="dxa"/>
            <w:tcBorders>
              <w:top w:val="single" w:sz="12" w:space="0" w:color="auto"/>
              <w:bottom w:val="single" w:sz="12" w:space="0" w:color="auto"/>
            </w:tcBorders>
            <w:shd w:val="clear" w:color="auto" w:fill="D9D9D9" w:themeFill="background1" w:themeFillShade="D9"/>
            <w:vAlign w:val="center"/>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sidRPr="009F6960">
              <w:rPr>
                <w:rFonts w:eastAsia="Times New Roman"/>
                <w:b/>
                <w:bCs/>
                <w:sz w:val="15"/>
                <w:szCs w:val="15"/>
              </w:rPr>
              <w:t>Parama vaikams</w:t>
            </w:r>
          </w:p>
        </w:tc>
        <w:tc>
          <w:tcPr>
            <w:tcW w:w="908" w:type="dxa"/>
            <w:tcBorders>
              <w:top w:val="single" w:sz="12" w:space="0" w:color="auto"/>
              <w:bottom w:val="single" w:sz="12" w:space="0" w:color="auto"/>
            </w:tcBorders>
            <w:shd w:val="clear" w:color="auto" w:fill="D9D9D9" w:themeFill="background1" w:themeFillShade="D9"/>
            <w:vAlign w:val="center"/>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sidRPr="009F6960">
              <w:rPr>
                <w:rFonts w:eastAsia="Times New Roman"/>
                <w:b/>
                <w:bCs/>
                <w:sz w:val="15"/>
                <w:szCs w:val="15"/>
              </w:rPr>
              <w:t>Išlaikymas</w:t>
            </w:r>
          </w:p>
        </w:tc>
        <w:tc>
          <w:tcPr>
            <w:tcW w:w="934" w:type="dxa"/>
            <w:tcBorders>
              <w:top w:val="single" w:sz="12" w:space="0" w:color="auto"/>
              <w:bottom w:val="single" w:sz="12" w:space="0" w:color="auto"/>
            </w:tcBorders>
            <w:shd w:val="clear" w:color="auto" w:fill="D9D9D9" w:themeFill="background1" w:themeFillShade="D9"/>
            <w:vAlign w:val="center"/>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GEROVĖ</w:t>
            </w:r>
            <w:r w:rsidRPr="009F6960">
              <w:rPr>
                <w:rFonts w:eastAsia="Times New Roman"/>
                <w:b/>
                <w:bCs/>
                <w:sz w:val="15"/>
                <w:szCs w:val="15"/>
              </w:rPr>
              <w:t>:</w:t>
            </w:r>
          </w:p>
        </w:tc>
        <w:tc>
          <w:tcPr>
            <w:tcW w:w="934" w:type="dxa"/>
            <w:tcBorders>
              <w:top w:val="single" w:sz="12" w:space="0" w:color="auto"/>
              <w:bottom w:val="single" w:sz="12" w:space="0" w:color="auto"/>
            </w:tcBorders>
            <w:shd w:val="clear" w:color="auto" w:fill="D9D9D9" w:themeFill="background1" w:themeFillShade="D9"/>
            <w:vAlign w:val="center"/>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sidRPr="009F6960">
              <w:rPr>
                <w:rFonts w:eastAsia="Times New Roman"/>
                <w:b/>
                <w:bCs/>
                <w:sz w:val="15"/>
                <w:szCs w:val="15"/>
              </w:rPr>
              <w:t>Vienam asmeniui:</w:t>
            </w:r>
          </w:p>
        </w:tc>
      </w:tr>
      <w:tr w:rsidR="006D3D04" w:rsidRPr="00953F4D" w:rsidTr="006D3D04">
        <w:trPr>
          <w:trHeight w:val="195"/>
        </w:trPr>
        <w:tc>
          <w:tcPr>
            <w:tcW w:w="366" w:type="dxa"/>
            <w:vMerge w:val="restart"/>
            <w:tcBorders>
              <w:top w:val="single" w:sz="2" w:space="0" w:color="auto"/>
            </w:tcBorders>
            <w:shd w:val="clear" w:color="auto" w:fill="D9D9D9" w:themeFill="background1" w:themeFillShade="D9"/>
            <w:vAlign w:val="center"/>
          </w:tcPr>
          <w:p w:rsidR="006D3D04" w:rsidRPr="009F6960" w:rsidRDefault="006D3D04" w:rsidP="006D3D04">
            <w:pPr>
              <w:widowControl/>
              <w:spacing w:after="0" w:line="240" w:lineRule="auto"/>
              <w:ind w:firstLine="0"/>
              <w:contextualSpacing w:val="0"/>
              <w:jc w:val="center"/>
              <w:rPr>
                <w:rFonts w:eastAsia="Times New Roman"/>
                <w:b/>
                <w:sz w:val="15"/>
                <w:szCs w:val="15"/>
              </w:rPr>
            </w:pPr>
            <w:r>
              <w:rPr>
                <w:rFonts w:eastAsia="Times New Roman"/>
                <w:b/>
                <w:sz w:val="15"/>
                <w:szCs w:val="15"/>
              </w:rPr>
              <w:t>1</w:t>
            </w:r>
          </w:p>
        </w:tc>
        <w:tc>
          <w:tcPr>
            <w:tcW w:w="1974" w:type="dxa"/>
            <w:tcBorders>
              <w:top w:val="single" w:sz="2" w:space="0" w:color="auto"/>
              <w:bottom w:val="single" w:sz="2" w:space="0" w:color="auto"/>
            </w:tcBorders>
            <w:shd w:val="clear" w:color="auto" w:fill="B8CCE4" w:themeFill="accent1" w:themeFillTint="66"/>
            <w:noWrap/>
            <w:vAlign w:val="bottom"/>
            <w:hideMark/>
          </w:tcPr>
          <w:p w:rsidR="006D3D04" w:rsidRPr="00E12039" w:rsidRDefault="006D3D04" w:rsidP="006D3D04">
            <w:pPr>
              <w:widowControl/>
              <w:spacing w:after="0" w:line="240" w:lineRule="auto"/>
              <w:ind w:firstLine="0"/>
              <w:contextualSpacing w:val="0"/>
              <w:jc w:val="left"/>
              <w:rPr>
                <w:rFonts w:eastAsia="Times New Roman"/>
                <w:sz w:val="15"/>
                <w:szCs w:val="15"/>
              </w:rPr>
            </w:pPr>
            <w:r w:rsidRPr="00E12039">
              <w:rPr>
                <w:rFonts w:eastAsia="Times New Roman"/>
                <w:sz w:val="15"/>
                <w:szCs w:val="15"/>
              </w:rPr>
              <w:t>1 B (567 Lt)</w:t>
            </w:r>
          </w:p>
        </w:tc>
        <w:tc>
          <w:tcPr>
            <w:tcW w:w="1051" w:type="dxa"/>
            <w:tcBorders>
              <w:top w:val="single" w:sz="2" w:space="0" w:color="auto"/>
              <w:bottom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3" w:type="dxa"/>
            <w:tcBorders>
              <w:top w:val="single" w:sz="2" w:space="0" w:color="auto"/>
              <w:bottom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3" w:type="dxa"/>
            <w:tcBorders>
              <w:top w:val="single" w:sz="2" w:space="0" w:color="auto"/>
              <w:bottom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5" w:type="dxa"/>
            <w:tcBorders>
              <w:top w:val="single" w:sz="2" w:space="0" w:color="auto"/>
              <w:bottom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4" w:type="dxa"/>
            <w:tcBorders>
              <w:top w:val="single" w:sz="2" w:space="0" w:color="auto"/>
              <w:bottom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3" w:type="dxa"/>
            <w:tcBorders>
              <w:top w:val="single" w:sz="2" w:space="0" w:color="auto"/>
              <w:bottom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567</w:t>
            </w:r>
            <w:r>
              <w:rPr>
                <w:rFonts w:eastAsia="Times New Roman"/>
                <w:sz w:val="15"/>
                <w:szCs w:val="15"/>
              </w:rPr>
              <w:t xml:space="preserve"> / 0</w:t>
            </w:r>
          </w:p>
        </w:tc>
        <w:tc>
          <w:tcPr>
            <w:tcW w:w="667" w:type="dxa"/>
            <w:tcBorders>
              <w:top w:val="single" w:sz="2" w:space="0" w:color="auto"/>
              <w:bottom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452</w:t>
            </w:r>
          </w:p>
        </w:tc>
        <w:tc>
          <w:tcPr>
            <w:tcW w:w="667" w:type="dxa"/>
            <w:tcBorders>
              <w:top w:val="single" w:sz="2" w:space="0" w:color="auto"/>
              <w:bottom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4</w:t>
            </w:r>
          </w:p>
        </w:tc>
        <w:tc>
          <w:tcPr>
            <w:tcW w:w="667" w:type="dxa"/>
            <w:tcBorders>
              <w:top w:val="single" w:sz="2" w:space="0" w:color="auto"/>
              <w:bottom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21" w:type="dxa"/>
            <w:tcBorders>
              <w:top w:val="single" w:sz="2" w:space="0" w:color="auto"/>
              <w:bottom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08" w:type="dxa"/>
            <w:tcBorders>
              <w:top w:val="single" w:sz="2" w:space="0" w:color="auto"/>
              <w:bottom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4" w:type="dxa"/>
            <w:tcBorders>
              <w:top w:val="single" w:sz="2" w:space="0" w:color="auto"/>
              <w:bottom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sidRPr="009F6960">
              <w:rPr>
                <w:rFonts w:eastAsia="Times New Roman"/>
                <w:b/>
                <w:bCs/>
                <w:sz w:val="15"/>
                <w:szCs w:val="15"/>
              </w:rPr>
              <w:t>1</w:t>
            </w:r>
            <w:r>
              <w:rPr>
                <w:rFonts w:eastAsia="Times New Roman"/>
                <w:b/>
                <w:bCs/>
                <w:sz w:val="15"/>
                <w:szCs w:val="15"/>
              </w:rPr>
              <w:t> </w:t>
            </w:r>
            <w:r w:rsidRPr="009F6960">
              <w:rPr>
                <w:rFonts w:eastAsia="Times New Roman"/>
                <w:b/>
                <w:bCs/>
                <w:sz w:val="15"/>
                <w:szCs w:val="15"/>
              </w:rPr>
              <w:t>02</w:t>
            </w:r>
            <w:r>
              <w:rPr>
                <w:rFonts w:eastAsia="Times New Roman"/>
                <w:b/>
                <w:bCs/>
                <w:sz w:val="15"/>
                <w:szCs w:val="15"/>
              </w:rPr>
              <w:t>3</w:t>
            </w:r>
          </w:p>
        </w:tc>
        <w:tc>
          <w:tcPr>
            <w:tcW w:w="934" w:type="dxa"/>
            <w:tcBorders>
              <w:top w:val="single" w:sz="2" w:space="0" w:color="auto"/>
              <w:bottom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sidRPr="009F6960">
              <w:rPr>
                <w:rFonts w:eastAsia="Times New Roman"/>
                <w:b/>
                <w:bCs/>
                <w:sz w:val="15"/>
                <w:szCs w:val="15"/>
              </w:rPr>
              <w:t>1</w:t>
            </w:r>
            <w:r>
              <w:rPr>
                <w:rFonts w:eastAsia="Times New Roman"/>
                <w:b/>
                <w:bCs/>
                <w:sz w:val="15"/>
                <w:szCs w:val="15"/>
              </w:rPr>
              <w:t xml:space="preserve"> </w:t>
            </w:r>
            <w:r w:rsidRPr="009F6960">
              <w:rPr>
                <w:rFonts w:eastAsia="Times New Roman"/>
                <w:b/>
                <w:bCs/>
                <w:sz w:val="15"/>
                <w:szCs w:val="15"/>
              </w:rPr>
              <w:t>02</w:t>
            </w:r>
            <w:r>
              <w:rPr>
                <w:rFonts w:eastAsia="Times New Roman"/>
                <w:b/>
                <w:bCs/>
                <w:sz w:val="15"/>
                <w:szCs w:val="15"/>
              </w:rPr>
              <w:t>3</w:t>
            </w:r>
          </w:p>
        </w:tc>
      </w:tr>
      <w:tr w:rsidR="006D3D04" w:rsidRPr="00194EAB" w:rsidTr="006D3D04">
        <w:trPr>
          <w:trHeight w:val="195"/>
        </w:trPr>
        <w:tc>
          <w:tcPr>
            <w:tcW w:w="366" w:type="dxa"/>
            <w:vMerge/>
            <w:tcBorders>
              <w:bottom w:val="single" w:sz="12" w:space="0" w:color="auto"/>
            </w:tcBorders>
            <w:shd w:val="clear" w:color="auto" w:fill="D9D9D9" w:themeFill="background1" w:themeFillShade="D9"/>
            <w:vAlign w:val="center"/>
          </w:tcPr>
          <w:p w:rsidR="006D3D04" w:rsidRPr="009F6960" w:rsidRDefault="006D3D04" w:rsidP="006D3D04">
            <w:pPr>
              <w:widowControl/>
              <w:spacing w:after="0" w:line="240" w:lineRule="auto"/>
              <w:ind w:firstLine="0"/>
              <w:contextualSpacing w:val="0"/>
              <w:jc w:val="center"/>
              <w:rPr>
                <w:rFonts w:eastAsia="Times New Roman"/>
                <w:b/>
                <w:sz w:val="15"/>
                <w:szCs w:val="15"/>
              </w:rPr>
            </w:pPr>
          </w:p>
        </w:tc>
        <w:tc>
          <w:tcPr>
            <w:tcW w:w="1974" w:type="dxa"/>
            <w:tcBorders>
              <w:top w:val="single" w:sz="2" w:space="0" w:color="auto"/>
              <w:bottom w:val="single" w:sz="12" w:space="0" w:color="auto"/>
            </w:tcBorders>
            <w:shd w:val="clear" w:color="auto" w:fill="B8CCE4" w:themeFill="accent1" w:themeFillTint="66"/>
            <w:noWrap/>
            <w:vAlign w:val="bottom"/>
            <w:hideMark/>
          </w:tcPr>
          <w:p w:rsidR="006D3D04" w:rsidRPr="00E12039" w:rsidRDefault="006D3D04" w:rsidP="006D3D04">
            <w:pPr>
              <w:widowControl/>
              <w:spacing w:after="0" w:line="240" w:lineRule="auto"/>
              <w:ind w:firstLine="0"/>
              <w:contextualSpacing w:val="0"/>
              <w:jc w:val="left"/>
              <w:rPr>
                <w:rFonts w:eastAsia="Times New Roman"/>
                <w:sz w:val="15"/>
                <w:szCs w:val="15"/>
              </w:rPr>
            </w:pPr>
            <w:r w:rsidRPr="00E12039">
              <w:rPr>
                <w:rFonts w:eastAsia="Times New Roman"/>
                <w:sz w:val="15"/>
                <w:szCs w:val="15"/>
              </w:rPr>
              <w:t>1 N</w:t>
            </w:r>
          </w:p>
        </w:tc>
        <w:tc>
          <w:tcPr>
            <w:tcW w:w="1051" w:type="dxa"/>
            <w:tcBorders>
              <w:top w:val="single" w:sz="2" w:space="0" w:color="auto"/>
              <w:bottom w:val="single" w:sz="1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3" w:type="dxa"/>
            <w:tcBorders>
              <w:top w:val="single" w:sz="2" w:space="0" w:color="auto"/>
              <w:bottom w:val="single" w:sz="1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3" w:type="dxa"/>
            <w:tcBorders>
              <w:top w:val="single" w:sz="2" w:space="0" w:color="auto"/>
              <w:bottom w:val="single" w:sz="1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5" w:type="dxa"/>
            <w:tcBorders>
              <w:top w:val="single" w:sz="2" w:space="0" w:color="auto"/>
              <w:bottom w:val="single" w:sz="1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4" w:type="dxa"/>
            <w:tcBorders>
              <w:top w:val="single" w:sz="2" w:space="0" w:color="auto"/>
              <w:bottom w:val="single" w:sz="1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3" w:type="dxa"/>
            <w:tcBorders>
              <w:top w:val="single" w:sz="2" w:space="0" w:color="auto"/>
              <w:bottom w:val="single" w:sz="1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 xml:space="preserve">0 / </w:t>
            </w:r>
            <w:r w:rsidRPr="009F6960">
              <w:rPr>
                <w:rFonts w:eastAsia="Times New Roman"/>
                <w:sz w:val="15"/>
                <w:szCs w:val="15"/>
              </w:rPr>
              <w:t>350</w:t>
            </w:r>
          </w:p>
        </w:tc>
        <w:tc>
          <w:tcPr>
            <w:tcW w:w="667" w:type="dxa"/>
            <w:tcBorders>
              <w:top w:val="single" w:sz="2" w:space="0" w:color="auto"/>
              <w:bottom w:val="single" w:sz="1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495</w:t>
            </w:r>
          </w:p>
        </w:tc>
        <w:tc>
          <w:tcPr>
            <w:tcW w:w="667" w:type="dxa"/>
            <w:tcBorders>
              <w:top w:val="single" w:sz="2" w:space="0" w:color="auto"/>
              <w:bottom w:val="single" w:sz="1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14</w:t>
            </w:r>
          </w:p>
        </w:tc>
        <w:tc>
          <w:tcPr>
            <w:tcW w:w="667" w:type="dxa"/>
            <w:tcBorders>
              <w:top w:val="single" w:sz="2" w:space="0" w:color="auto"/>
              <w:bottom w:val="single" w:sz="1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4</w:t>
            </w:r>
          </w:p>
        </w:tc>
        <w:tc>
          <w:tcPr>
            <w:tcW w:w="821" w:type="dxa"/>
            <w:tcBorders>
              <w:top w:val="single" w:sz="2" w:space="0" w:color="auto"/>
              <w:bottom w:val="single" w:sz="1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08" w:type="dxa"/>
            <w:tcBorders>
              <w:top w:val="single" w:sz="2" w:space="0" w:color="auto"/>
              <w:bottom w:val="single" w:sz="1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4" w:type="dxa"/>
            <w:tcBorders>
              <w:top w:val="single" w:sz="2" w:space="0" w:color="auto"/>
              <w:bottom w:val="single" w:sz="1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863</w:t>
            </w:r>
          </w:p>
        </w:tc>
        <w:tc>
          <w:tcPr>
            <w:tcW w:w="934" w:type="dxa"/>
            <w:tcBorders>
              <w:top w:val="single" w:sz="2" w:space="0" w:color="auto"/>
              <w:bottom w:val="single" w:sz="1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863</w:t>
            </w:r>
          </w:p>
        </w:tc>
      </w:tr>
      <w:tr w:rsidR="006D3D04" w:rsidRPr="00802578" w:rsidTr="006D3D04">
        <w:trPr>
          <w:trHeight w:val="195"/>
        </w:trPr>
        <w:tc>
          <w:tcPr>
            <w:tcW w:w="366" w:type="dxa"/>
            <w:vMerge w:val="restart"/>
            <w:tcBorders>
              <w:top w:val="single" w:sz="2" w:space="0" w:color="auto"/>
            </w:tcBorders>
            <w:shd w:val="clear" w:color="auto" w:fill="D9D9D9" w:themeFill="background1" w:themeFillShade="D9"/>
            <w:vAlign w:val="center"/>
          </w:tcPr>
          <w:p w:rsidR="006D3D04" w:rsidRPr="009F6960" w:rsidRDefault="006D3D04" w:rsidP="006D3D04">
            <w:pPr>
              <w:widowControl/>
              <w:spacing w:after="0" w:line="240" w:lineRule="auto"/>
              <w:ind w:firstLine="0"/>
              <w:contextualSpacing w:val="0"/>
              <w:jc w:val="center"/>
              <w:rPr>
                <w:rFonts w:eastAsia="Times New Roman"/>
                <w:b/>
                <w:sz w:val="15"/>
                <w:szCs w:val="15"/>
              </w:rPr>
            </w:pPr>
            <w:r>
              <w:rPr>
                <w:rFonts w:eastAsia="Times New Roman"/>
                <w:b/>
                <w:sz w:val="15"/>
                <w:szCs w:val="15"/>
              </w:rPr>
              <w:t>2</w:t>
            </w:r>
          </w:p>
        </w:tc>
        <w:tc>
          <w:tcPr>
            <w:tcW w:w="1974" w:type="dxa"/>
            <w:tcBorders>
              <w:top w:val="single" w:sz="2" w:space="0" w:color="auto"/>
              <w:bottom w:val="single" w:sz="2" w:space="0" w:color="auto"/>
            </w:tcBorders>
            <w:shd w:val="clear" w:color="auto" w:fill="E5B8B7" w:themeFill="accent2" w:themeFillTint="66"/>
            <w:noWrap/>
            <w:vAlign w:val="bottom"/>
            <w:hideMark/>
          </w:tcPr>
          <w:p w:rsidR="006D3D04" w:rsidRPr="00E12039" w:rsidRDefault="006D3D04" w:rsidP="006D3D04">
            <w:pPr>
              <w:widowControl/>
              <w:spacing w:after="0" w:line="240" w:lineRule="auto"/>
              <w:ind w:firstLine="0"/>
              <w:contextualSpacing w:val="0"/>
              <w:jc w:val="left"/>
              <w:rPr>
                <w:rFonts w:eastAsia="Times New Roman"/>
                <w:sz w:val="15"/>
                <w:szCs w:val="15"/>
              </w:rPr>
            </w:pPr>
            <w:r w:rsidRPr="00E12039">
              <w:rPr>
                <w:rFonts w:eastAsia="Times New Roman"/>
                <w:sz w:val="15"/>
                <w:szCs w:val="15"/>
              </w:rPr>
              <w:t>1 B + 1 V (567 Lt)</w:t>
            </w:r>
          </w:p>
        </w:tc>
        <w:tc>
          <w:tcPr>
            <w:tcW w:w="1051" w:type="dxa"/>
            <w:tcBorders>
              <w:top w:val="single" w:sz="2" w:space="0" w:color="auto"/>
              <w:bottom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3" w:type="dxa"/>
            <w:tcBorders>
              <w:top w:val="single" w:sz="2" w:space="0" w:color="auto"/>
              <w:bottom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3" w:type="dxa"/>
            <w:tcBorders>
              <w:top w:val="single" w:sz="2" w:space="0" w:color="auto"/>
              <w:bottom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5" w:type="dxa"/>
            <w:tcBorders>
              <w:top w:val="single" w:sz="2" w:space="0" w:color="auto"/>
              <w:bottom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4" w:type="dxa"/>
            <w:tcBorders>
              <w:top w:val="single" w:sz="2" w:space="0" w:color="auto"/>
              <w:bottom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3" w:type="dxa"/>
            <w:tcBorders>
              <w:top w:val="single" w:sz="2" w:space="0" w:color="auto"/>
              <w:bottom w:val="single" w:sz="2" w:space="0" w:color="auto"/>
            </w:tcBorders>
            <w:shd w:val="clear" w:color="auto" w:fill="E5B8B7" w:themeFill="accent2" w:themeFillTint="66"/>
            <w:noWrap/>
            <w:vAlign w:val="bottom"/>
            <w:hideMark/>
          </w:tcPr>
          <w:p w:rsidR="006D3D04" w:rsidRPr="00EF5540" w:rsidRDefault="006D3D04" w:rsidP="006D3D04">
            <w:pPr>
              <w:widowControl/>
              <w:spacing w:after="0" w:line="240" w:lineRule="auto"/>
              <w:ind w:firstLine="0"/>
              <w:contextualSpacing w:val="0"/>
              <w:jc w:val="center"/>
              <w:rPr>
                <w:rFonts w:eastAsia="Times New Roman"/>
                <w:sz w:val="15"/>
                <w:szCs w:val="15"/>
              </w:rPr>
            </w:pPr>
            <w:r w:rsidRPr="00EF5540">
              <w:rPr>
                <w:rFonts w:eastAsia="Times New Roman"/>
                <w:sz w:val="15"/>
                <w:szCs w:val="15"/>
              </w:rPr>
              <w:t>567 / 0</w:t>
            </w:r>
          </w:p>
        </w:tc>
        <w:tc>
          <w:tcPr>
            <w:tcW w:w="667" w:type="dxa"/>
            <w:tcBorders>
              <w:top w:val="single" w:sz="2" w:space="0" w:color="auto"/>
              <w:bottom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495</w:t>
            </w:r>
          </w:p>
        </w:tc>
        <w:tc>
          <w:tcPr>
            <w:tcW w:w="667" w:type="dxa"/>
            <w:tcBorders>
              <w:top w:val="single" w:sz="2" w:space="0" w:color="auto"/>
              <w:bottom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18</w:t>
            </w:r>
          </w:p>
        </w:tc>
        <w:tc>
          <w:tcPr>
            <w:tcW w:w="667" w:type="dxa"/>
            <w:tcBorders>
              <w:top w:val="single" w:sz="2" w:space="0" w:color="auto"/>
              <w:bottom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4</w:t>
            </w:r>
          </w:p>
        </w:tc>
        <w:tc>
          <w:tcPr>
            <w:tcW w:w="821" w:type="dxa"/>
            <w:tcBorders>
              <w:top w:val="single" w:sz="2" w:space="0" w:color="auto"/>
              <w:bottom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93</w:t>
            </w:r>
          </w:p>
        </w:tc>
        <w:tc>
          <w:tcPr>
            <w:tcW w:w="908" w:type="dxa"/>
            <w:tcBorders>
              <w:top w:val="single" w:sz="2" w:space="0" w:color="auto"/>
              <w:bottom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130</w:t>
            </w:r>
          </w:p>
        </w:tc>
        <w:tc>
          <w:tcPr>
            <w:tcW w:w="934" w:type="dxa"/>
            <w:tcBorders>
              <w:top w:val="single" w:sz="2" w:space="0" w:color="auto"/>
              <w:bottom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sidRPr="009F6960">
              <w:rPr>
                <w:rFonts w:eastAsia="Times New Roman"/>
                <w:b/>
                <w:bCs/>
                <w:sz w:val="15"/>
                <w:szCs w:val="15"/>
              </w:rPr>
              <w:t>1</w:t>
            </w:r>
            <w:r>
              <w:rPr>
                <w:rFonts w:eastAsia="Times New Roman"/>
                <w:b/>
                <w:bCs/>
                <w:sz w:val="15"/>
                <w:szCs w:val="15"/>
              </w:rPr>
              <w:t> </w:t>
            </w:r>
            <w:r w:rsidRPr="009F6960">
              <w:rPr>
                <w:rFonts w:eastAsia="Times New Roman"/>
                <w:b/>
                <w:bCs/>
                <w:sz w:val="15"/>
                <w:szCs w:val="15"/>
              </w:rPr>
              <w:t>3</w:t>
            </w:r>
            <w:r>
              <w:rPr>
                <w:rFonts w:eastAsia="Times New Roman"/>
                <w:b/>
                <w:bCs/>
                <w:sz w:val="15"/>
                <w:szCs w:val="15"/>
              </w:rPr>
              <w:t>07</w:t>
            </w:r>
          </w:p>
        </w:tc>
        <w:tc>
          <w:tcPr>
            <w:tcW w:w="934" w:type="dxa"/>
            <w:tcBorders>
              <w:top w:val="single" w:sz="2" w:space="0" w:color="auto"/>
              <w:bottom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654</w:t>
            </w:r>
          </w:p>
        </w:tc>
      </w:tr>
      <w:tr w:rsidR="006D3D04" w:rsidRPr="00802578" w:rsidTr="006D3D04">
        <w:trPr>
          <w:trHeight w:val="195"/>
        </w:trPr>
        <w:tc>
          <w:tcPr>
            <w:tcW w:w="366" w:type="dxa"/>
            <w:vMerge/>
            <w:tcBorders>
              <w:bottom w:val="single" w:sz="12" w:space="0" w:color="auto"/>
            </w:tcBorders>
            <w:shd w:val="clear" w:color="auto" w:fill="D9D9D9" w:themeFill="background1" w:themeFillShade="D9"/>
            <w:vAlign w:val="center"/>
          </w:tcPr>
          <w:p w:rsidR="006D3D04" w:rsidRPr="009F6960" w:rsidRDefault="006D3D04" w:rsidP="006D3D04">
            <w:pPr>
              <w:widowControl/>
              <w:spacing w:after="0" w:line="240" w:lineRule="auto"/>
              <w:ind w:firstLine="0"/>
              <w:contextualSpacing w:val="0"/>
              <w:jc w:val="center"/>
              <w:rPr>
                <w:rFonts w:eastAsia="Times New Roman"/>
                <w:b/>
                <w:sz w:val="15"/>
                <w:szCs w:val="15"/>
              </w:rPr>
            </w:pPr>
          </w:p>
        </w:tc>
        <w:tc>
          <w:tcPr>
            <w:tcW w:w="1974" w:type="dxa"/>
            <w:tcBorders>
              <w:top w:val="single" w:sz="2" w:space="0" w:color="auto"/>
              <w:bottom w:val="single" w:sz="12" w:space="0" w:color="auto"/>
            </w:tcBorders>
            <w:shd w:val="clear" w:color="auto" w:fill="E5B8B7" w:themeFill="accent2" w:themeFillTint="66"/>
            <w:noWrap/>
            <w:vAlign w:val="bottom"/>
            <w:hideMark/>
          </w:tcPr>
          <w:p w:rsidR="006D3D04" w:rsidRPr="00E12039" w:rsidRDefault="006D3D04" w:rsidP="006D3D04">
            <w:pPr>
              <w:widowControl/>
              <w:spacing w:after="0" w:line="240" w:lineRule="auto"/>
              <w:ind w:firstLine="0"/>
              <w:contextualSpacing w:val="0"/>
              <w:jc w:val="left"/>
              <w:rPr>
                <w:rFonts w:eastAsia="Times New Roman"/>
                <w:sz w:val="15"/>
                <w:szCs w:val="15"/>
              </w:rPr>
            </w:pPr>
            <w:r w:rsidRPr="00E12039">
              <w:rPr>
                <w:rFonts w:eastAsia="Times New Roman"/>
                <w:sz w:val="15"/>
                <w:szCs w:val="15"/>
              </w:rPr>
              <w:t>1 N + 1 V</w:t>
            </w:r>
          </w:p>
        </w:tc>
        <w:tc>
          <w:tcPr>
            <w:tcW w:w="1051" w:type="dxa"/>
            <w:tcBorders>
              <w:top w:val="single" w:sz="2" w:space="0" w:color="auto"/>
              <w:bottom w:val="single" w:sz="1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3" w:type="dxa"/>
            <w:tcBorders>
              <w:top w:val="single" w:sz="2" w:space="0" w:color="auto"/>
              <w:bottom w:val="single" w:sz="1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3" w:type="dxa"/>
            <w:tcBorders>
              <w:top w:val="single" w:sz="2" w:space="0" w:color="auto"/>
              <w:bottom w:val="single" w:sz="1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5" w:type="dxa"/>
            <w:tcBorders>
              <w:top w:val="single" w:sz="2" w:space="0" w:color="auto"/>
              <w:bottom w:val="single" w:sz="1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4" w:type="dxa"/>
            <w:tcBorders>
              <w:top w:val="single" w:sz="2" w:space="0" w:color="auto"/>
              <w:bottom w:val="single" w:sz="1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3" w:type="dxa"/>
            <w:tcBorders>
              <w:top w:val="single" w:sz="2" w:space="0" w:color="auto"/>
              <w:bottom w:val="single" w:sz="1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 xml:space="preserve">0 / </w:t>
            </w:r>
            <w:r w:rsidRPr="009F6960">
              <w:rPr>
                <w:rFonts w:eastAsia="Times New Roman"/>
                <w:sz w:val="15"/>
                <w:szCs w:val="15"/>
              </w:rPr>
              <w:t>513</w:t>
            </w:r>
          </w:p>
        </w:tc>
        <w:tc>
          <w:tcPr>
            <w:tcW w:w="667" w:type="dxa"/>
            <w:tcBorders>
              <w:top w:val="single" w:sz="2" w:space="0" w:color="auto"/>
              <w:bottom w:val="single" w:sz="1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495</w:t>
            </w:r>
          </w:p>
        </w:tc>
        <w:tc>
          <w:tcPr>
            <w:tcW w:w="667" w:type="dxa"/>
            <w:tcBorders>
              <w:top w:val="single" w:sz="2" w:space="0" w:color="auto"/>
              <w:bottom w:val="single" w:sz="1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21</w:t>
            </w:r>
          </w:p>
        </w:tc>
        <w:tc>
          <w:tcPr>
            <w:tcW w:w="667" w:type="dxa"/>
            <w:tcBorders>
              <w:top w:val="single" w:sz="2" w:space="0" w:color="auto"/>
              <w:bottom w:val="single" w:sz="1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5</w:t>
            </w:r>
          </w:p>
        </w:tc>
        <w:tc>
          <w:tcPr>
            <w:tcW w:w="821" w:type="dxa"/>
            <w:tcBorders>
              <w:top w:val="single" w:sz="2" w:space="0" w:color="auto"/>
              <w:bottom w:val="single" w:sz="1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93</w:t>
            </w:r>
          </w:p>
        </w:tc>
        <w:tc>
          <w:tcPr>
            <w:tcW w:w="908" w:type="dxa"/>
            <w:tcBorders>
              <w:top w:val="single" w:sz="2" w:space="0" w:color="auto"/>
              <w:bottom w:val="single" w:sz="1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130</w:t>
            </w:r>
          </w:p>
        </w:tc>
        <w:tc>
          <w:tcPr>
            <w:tcW w:w="934" w:type="dxa"/>
            <w:tcBorders>
              <w:top w:val="single" w:sz="2" w:space="0" w:color="auto"/>
              <w:bottom w:val="single" w:sz="1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sidRPr="009F6960">
              <w:rPr>
                <w:rFonts w:eastAsia="Times New Roman"/>
                <w:b/>
                <w:bCs/>
                <w:sz w:val="15"/>
                <w:szCs w:val="15"/>
              </w:rPr>
              <w:t>1</w:t>
            </w:r>
            <w:r>
              <w:rPr>
                <w:rFonts w:eastAsia="Times New Roman"/>
                <w:b/>
                <w:bCs/>
                <w:sz w:val="15"/>
                <w:szCs w:val="15"/>
              </w:rPr>
              <w:t> 257</w:t>
            </w:r>
          </w:p>
        </w:tc>
        <w:tc>
          <w:tcPr>
            <w:tcW w:w="934" w:type="dxa"/>
            <w:tcBorders>
              <w:top w:val="single" w:sz="2" w:space="0" w:color="auto"/>
              <w:bottom w:val="single" w:sz="1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629</w:t>
            </w:r>
          </w:p>
        </w:tc>
      </w:tr>
      <w:tr w:rsidR="006D3D04" w:rsidRPr="005C188E" w:rsidTr="006D3D04">
        <w:trPr>
          <w:trHeight w:val="195"/>
        </w:trPr>
        <w:tc>
          <w:tcPr>
            <w:tcW w:w="366" w:type="dxa"/>
            <w:vMerge w:val="restart"/>
            <w:tcBorders>
              <w:top w:val="single" w:sz="12" w:space="0" w:color="auto"/>
            </w:tcBorders>
            <w:shd w:val="clear" w:color="auto" w:fill="D9D9D9" w:themeFill="background1" w:themeFillShade="D9"/>
            <w:vAlign w:val="center"/>
          </w:tcPr>
          <w:p w:rsidR="006D3D04" w:rsidRPr="009F6960" w:rsidRDefault="006D3D04" w:rsidP="006D3D04">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3</w:t>
            </w:r>
          </w:p>
        </w:tc>
        <w:tc>
          <w:tcPr>
            <w:tcW w:w="1974" w:type="dxa"/>
            <w:tcBorders>
              <w:top w:val="single" w:sz="12" w:space="0" w:color="auto"/>
              <w:bottom w:val="single" w:sz="2" w:space="0" w:color="auto"/>
            </w:tcBorders>
            <w:shd w:val="clear" w:color="auto" w:fill="FBD4B4" w:themeFill="accent6" w:themeFillTint="66"/>
            <w:noWrap/>
            <w:vAlign w:val="bottom"/>
            <w:hideMark/>
          </w:tcPr>
          <w:p w:rsidR="006D3D04" w:rsidRPr="00E12039" w:rsidRDefault="006D3D04" w:rsidP="006D3D04">
            <w:pPr>
              <w:widowControl/>
              <w:spacing w:after="0" w:line="240" w:lineRule="auto"/>
              <w:ind w:firstLine="0"/>
              <w:contextualSpacing w:val="0"/>
              <w:jc w:val="left"/>
              <w:rPr>
                <w:rFonts w:eastAsia="Times New Roman"/>
                <w:sz w:val="15"/>
                <w:szCs w:val="15"/>
              </w:rPr>
            </w:pPr>
            <w:r w:rsidRPr="00E12039">
              <w:rPr>
                <w:rFonts w:eastAsia="Times New Roman"/>
                <w:sz w:val="15"/>
                <w:szCs w:val="15"/>
              </w:rPr>
              <w:t>2 B + 1 V (567 Lt; 567 Lt)</w:t>
            </w:r>
          </w:p>
        </w:tc>
        <w:tc>
          <w:tcPr>
            <w:tcW w:w="1051" w:type="dxa"/>
            <w:tcBorders>
              <w:top w:val="single" w:sz="1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3" w:type="dxa"/>
            <w:tcBorders>
              <w:top w:val="single" w:sz="1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3" w:type="dxa"/>
            <w:tcBorders>
              <w:top w:val="single" w:sz="1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5" w:type="dxa"/>
            <w:tcBorders>
              <w:top w:val="single" w:sz="1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4" w:type="dxa"/>
            <w:tcBorders>
              <w:top w:val="single" w:sz="1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3" w:type="dxa"/>
            <w:tcBorders>
              <w:top w:val="single" w:sz="1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1</w:t>
            </w:r>
            <w:r>
              <w:rPr>
                <w:rFonts w:eastAsia="Times New Roman"/>
                <w:sz w:val="15"/>
                <w:szCs w:val="15"/>
              </w:rPr>
              <w:t> </w:t>
            </w:r>
            <w:r w:rsidRPr="009F6960">
              <w:rPr>
                <w:rFonts w:eastAsia="Times New Roman"/>
                <w:sz w:val="15"/>
                <w:szCs w:val="15"/>
              </w:rPr>
              <w:t>134</w:t>
            </w:r>
            <w:r>
              <w:rPr>
                <w:rFonts w:eastAsia="Times New Roman"/>
                <w:sz w:val="15"/>
                <w:szCs w:val="15"/>
              </w:rPr>
              <w:t xml:space="preserve"> / 0</w:t>
            </w:r>
          </w:p>
        </w:tc>
        <w:tc>
          <w:tcPr>
            <w:tcW w:w="667" w:type="dxa"/>
            <w:tcBorders>
              <w:top w:val="single" w:sz="1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478</w:t>
            </w:r>
          </w:p>
        </w:tc>
        <w:tc>
          <w:tcPr>
            <w:tcW w:w="667" w:type="dxa"/>
            <w:tcBorders>
              <w:top w:val="single" w:sz="1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7</w:t>
            </w:r>
          </w:p>
        </w:tc>
        <w:tc>
          <w:tcPr>
            <w:tcW w:w="667" w:type="dxa"/>
            <w:tcBorders>
              <w:top w:val="single" w:sz="1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21" w:type="dxa"/>
            <w:tcBorders>
              <w:top w:val="single" w:sz="1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93</w:t>
            </w:r>
          </w:p>
        </w:tc>
        <w:tc>
          <w:tcPr>
            <w:tcW w:w="908" w:type="dxa"/>
            <w:tcBorders>
              <w:top w:val="single" w:sz="1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4" w:type="dxa"/>
            <w:tcBorders>
              <w:top w:val="single" w:sz="1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sidRPr="009F6960">
              <w:rPr>
                <w:rFonts w:eastAsia="Times New Roman"/>
                <w:b/>
                <w:bCs/>
                <w:sz w:val="15"/>
                <w:szCs w:val="15"/>
              </w:rPr>
              <w:t>1</w:t>
            </w:r>
            <w:r>
              <w:rPr>
                <w:rFonts w:eastAsia="Times New Roman"/>
                <w:b/>
                <w:bCs/>
                <w:sz w:val="15"/>
                <w:szCs w:val="15"/>
              </w:rPr>
              <w:t> 712</w:t>
            </w:r>
          </w:p>
        </w:tc>
        <w:tc>
          <w:tcPr>
            <w:tcW w:w="934" w:type="dxa"/>
            <w:tcBorders>
              <w:top w:val="single" w:sz="1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571</w:t>
            </w:r>
          </w:p>
        </w:tc>
      </w:tr>
      <w:tr w:rsidR="006D3D04" w:rsidRPr="00D253A3" w:rsidTr="006D3D04">
        <w:trPr>
          <w:trHeight w:val="195"/>
        </w:trPr>
        <w:tc>
          <w:tcPr>
            <w:tcW w:w="366" w:type="dxa"/>
            <w:vMerge/>
            <w:shd w:val="clear" w:color="auto" w:fill="D9D9D9" w:themeFill="background1" w:themeFillShade="D9"/>
            <w:vAlign w:val="center"/>
          </w:tcPr>
          <w:p w:rsidR="006D3D04" w:rsidRPr="009F6960" w:rsidRDefault="006D3D04" w:rsidP="006D3D04">
            <w:pPr>
              <w:widowControl/>
              <w:spacing w:after="0" w:line="240" w:lineRule="auto"/>
              <w:ind w:firstLine="0"/>
              <w:contextualSpacing w:val="0"/>
              <w:jc w:val="center"/>
              <w:rPr>
                <w:rFonts w:eastAsia="Times New Roman"/>
                <w:b/>
                <w:sz w:val="15"/>
                <w:szCs w:val="15"/>
              </w:rPr>
            </w:pPr>
          </w:p>
        </w:tc>
        <w:tc>
          <w:tcPr>
            <w:tcW w:w="1974" w:type="dxa"/>
            <w:tcBorders>
              <w:top w:val="single" w:sz="2" w:space="0" w:color="auto"/>
              <w:bottom w:val="single" w:sz="2" w:space="0" w:color="auto"/>
            </w:tcBorders>
            <w:shd w:val="clear" w:color="auto" w:fill="FBD4B4" w:themeFill="accent6" w:themeFillTint="66"/>
            <w:noWrap/>
            <w:vAlign w:val="bottom"/>
            <w:hideMark/>
          </w:tcPr>
          <w:p w:rsidR="006D3D04" w:rsidRPr="00E12039" w:rsidRDefault="006D3D04" w:rsidP="006D3D04">
            <w:pPr>
              <w:widowControl/>
              <w:spacing w:after="0" w:line="240" w:lineRule="auto"/>
              <w:ind w:firstLine="0"/>
              <w:contextualSpacing w:val="0"/>
              <w:jc w:val="left"/>
              <w:rPr>
                <w:rFonts w:eastAsia="Times New Roman"/>
                <w:sz w:val="15"/>
                <w:szCs w:val="15"/>
              </w:rPr>
            </w:pPr>
            <w:r w:rsidRPr="00E12039">
              <w:rPr>
                <w:rFonts w:eastAsia="Times New Roman"/>
                <w:sz w:val="15"/>
                <w:szCs w:val="15"/>
              </w:rPr>
              <w:t>2 N + 1 V</w:t>
            </w:r>
          </w:p>
        </w:tc>
        <w:tc>
          <w:tcPr>
            <w:tcW w:w="1051" w:type="dxa"/>
            <w:tcBorders>
              <w:top w:val="single" w:sz="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3" w:type="dxa"/>
            <w:tcBorders>
              <w:top w:val="single" w:sz="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3" w:type="dxa"/>
            <w:tcBorders>
              <w:top w:val="single" w:sz="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5" w:type="dxa"/>
            <w:tcBorders>
              <w:top w:val="single" w:sz="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4" w:type="dxa"/>
            <w:tcBorders>
              <w:top w:val="single" w:sz="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3" w:type="dxa"/>
            <w:tcBorders>
              <w:top w:val="single" w:sz="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 xml:space="preserve">0 / </w:t>
            </w:r>
            <w:r w:rsidRPr="009F6960">
              <w:rPr>
                <w:rFonts w:eastAsia="Times New Roman"/>
                <w:sz w:val="15"/>
                <w:szCs w:val="15"/>
              </w:rPr>
              <w:t>875</w:t>
            </w:r>
          </w:p>
        </w:tc>
        <w:tc>
          <w:tcPr>
            <w:tcW w:w="667" w:type="dxa"/>
            <w:tcBorders>
              <w:top w:val="single" w:sz="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495</w:t>
            </w:r>
          </w:p>
        </w:tc>
        <w:tc>
          <w:tcPr>
            <w:tcW w:w="667" w:type="dxa"/>
            <w:tcBorders>
              <w:top w:val="single" w:sz="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20</w:t>
            </w:r>
          </w:p>
        </w:tc>
        <w:tc>
          <w:tcPr>
            <w:tcW w:w="667" w:type="dxa"/>
            <w:tcBorders>
              <w:top w:val="single" w:sz="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4</w:t>
            </w:r>
          </w:p>
        </w:tc>
        <w:tc>
          <w:tcPr>
            <w:tcW w:w="821" w:type="dxa"/>
            <w:tcBorders>
              <w:top w:val="single" w:sz="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93</w:t>
            </w:r>
          </w:p>
        </w:tc>
        <w:tc>
          <w:tcPr>
            <w:tcW w:w="908" w:type="dxa"/>
            <w:tcBorders>
              <w:top w:val="single" w:sz="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4" w:type="dxa"/>
            <w:tcBorders>
              <w:top w:val="single" w:sz="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sidRPr="009F6960">
              <w:rPr>
                <w:rFonts w:eastAsia="Times New Roman"/>
                <w:b/>
                <w:bCs/>
                <w:sz w:val="15"/>
                <w:szCs w:val="15"/>
              </w:rPr>
              <w:t>1</w:t>
            </w:r>
            <w:r>
              <w:rPr>
                <w:rFonts w:eastAsia="Times New Roman"/>
                <w:b/>
                <w:bCs/>
                <w:sz w:val="15"/>
                <w:szCs w:val="15"/>
              </w:rPr>
              <w:t> 487</w:t>
            </w:r>
          </w:p>
        </w:tc>
        <w:tc>
          <w:tcPr>
            <w:tcW w:w="934" w:type="dxa"/>
            <w:tcBorders>
              <w:top w:val="single" w:sz="2" w:space="0" w:color="auto"/>
              <w:bottom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496</w:t>
            </w:r>
          </w:p>
        </w:tc>
      </w:tr>
      <w:tr w:rsidR="006D3D04" w:rsidRPr="00C73E03" w:rsidTr="006D3D04">
        <w:trPr>
          <w:trHeight w:val="195"/>
        </w:trPr>
        <w:tc>
          <w:tcPr>
            <w:tcW w:w="366" w:type="dxa"/>
            <w:vMerge/>
            <w:shd w:val="clear" w:color="auto" w:fill="D9D9D9" w:themeFill="background1" w:themeFillShade="D9"/>
            <w:vAlign w:val="center"/>
          </w:tcPr>
          <w:p w:rsidR="006D3D04" w:rsidRPr="009F6960" w:rsidRDefault="006D3D04" w:rsidP="006D3D04">
            <w:pPr>
              <w:widowControl/>
              <w:spacing w:after="0" w:line="240" w:lineRule="auto"/>
              <w:ind w:firstLine="0"/>
              <w:contextualSpacing w:val="0"/>
              <w:jc w:val="center"/>
              <w:rPr>
                <w:rFonts w:eastAsia="Times New Roman"/>
                <w:b/>
                <w:sz w:val="15"/>
                <w:szCs w:val="15"/>
              </w:rPr>
            </w:pPr>
          </w:p>
        </w:tc>
        <w:tc>
          <w:tcPr>
            <w:tcW w:w="1974" w:type="dxa"/>
            <w:tcBorders>
              <w:top w:val="single" w:sz="2" w:space="0" w:color="auto"/>
              <w:bottom w:val="single" w:sz="2" w:space="0" w:color="auto"/>
            </w:tcBorders>
            <w:shd w:val="clear" w:color="auto" w:fill="D6E3BC" w:themeFill="accent3" w:themeFillTint="66"/>
            <w:noWrap/>
            <w:vAlign w:val="bottom"/>
            <w:hideMark/>
          </w:tcPr>
          <w:p w:rsidR="006D3D04" w:rsidRPr="00E12039" w:rsidRDefault="006D3D04" w:rsidP="006D3D04">
            <w:pPr>
              <w:widowControl/>
              <w:spacing w:after="0" w:line="240" w:lineRule="auto"/>
              <w:ind w:firstLine="0"/>
              <w:contextualSpacing w:val="0"/>
              <w:jc w:val="left"/>
              <w:rPr>
                <w:rFonts w:eastAsia="Times New Roman"/>
                <w:sz w:val="15"/>
                <w:szCs w:val="15"/>
              </w:rPr>
            </w:pPr>
            <w:r w:rsidRPr="00E12039">
              <w:rPr>
                <w:rFonts w:eastAsia="Times New Roman"/>
                <w:sz w:val="15"/>
                <w:szCs w:val="15"/>
              </w:rPr>
              <w:t>1 B + 2 V (567 Lt)</w:t>
            </w:r>
          </w:p>
        </w:tc>
        <w:tc>
          <w:tcPr>
            <w:tcW w:w="1051" w:type="dxa"/>
            <w:tcBorders>
              <w:top w:val="single" w:sz="2" w:space="0" w:color="auto"/>
              <w:bottom w:val="single" w:sz="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3" w:type="dxa"/>
            <w:tcBorders>
              <w:top w:val="single" w:sz="2" w:space="0" w:color="auto"/>
              <w:bottom w:val="single" w:sz="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3" w:type="dxa"/>
            <w:tcBorders>
              <w:top w:val="single" w:sz="2" w:space="0" w:color="auto"/>
              <w:bottom w:val="single" w:sz="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5" w:type="dxa"/>
            <w:tcBorders>
              <w:top w:val="single" w:sz="2" w:space="0" w:color="auto"/>
              <w:bottom w:val="single" w:sz="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4" w:type="dxa"/>
            <w:tcBorders>
              <w:top w:val="single" w:sz="2" w:space="0" w:color="auto"/>
              <w:bottom w:val="single" w:sz="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3" w:type="dxa"/>
            <w:tcBorders>
              <w:top w:val="single" w:sz="2" w:space="0" w:color="auto"/>
              <w:bottom w:val="single" w:sz="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567 / 185</w:t>
            </w:r>
          </w:p>
        </w:tc>
        <w:tc>
          <w:tcPr>
            <w:tcW w:w="667" w:type="dxa"/>
            <w:tcBorders>
              <w:top w:val="single" w:sz="2" w:space="0" w:color="auto"/>
              <w:bottom w:val="single" w:sz="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495</w:t>
            </w:r>
          </w:p>
        </w:tc>
        <w:tc>
          <w:tcPr>
            <w:tcW w:w="667" w:type="dxa"/>
            <w:tcBorders>
              <w:top w:val="single" w:sz="2" w:space="0" w:color="auto"/>
              <w:bottom w:val="single" w:sz="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13</w:t>
            </w:r>
          </w:p>
        </w:tc>
        <w:tc>
          <w:tcPr>
            <w:tcW w:w="667" w:type="dxa"/>
            <w:tcBorders>
              <w:top w:val="single" w:sz="2" w:space="0" w:color="auto"/>
              <w:bottom w:val="single" w:sz="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2</w:t>
            </w:r>
          </w:p>
        </w:tc>
        <w:tc>
          <w:tcPr>
            <w:tcW w:w="821" w:type="dxa"/>
            <w:tcBorders>
              <w:top w:val="single" w:sz="2" w:space="0" w:color="auto"/>
              <w:bottom w:val="single" w:sz="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08" w:type="dxa"/>
            <w:tcBorders>
              <w:top w:val="single" w:sz="2" w:space="0" w:color="auto"/>
              <w:bottom w:val="single" w:sz="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260</w:t>
            </w:r>
          </w:p>
        </w:tc>
        <w:tc>
          <w:tcPr>
            <w:tcW w:w="934" w:type="dxa"/>
            <w:tcBorders>
              <w:top w:val="single" w:sz="2" w:space="0" w:color="auto"/>
              <w:bottom w:val="single" w:sz="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sidRPr="009F6960">
              <w:rPr>
                <w:rFonts w:eastAsia="Times New Roman"/>
                <w:b/>
                <w:bCs/>
                <w:sz w:val="15"/>
                <w:szCs w:val="15"/>
              </w:rPr>
              <w:t>1</w:t>
            </w:r>
            <w:r>
              <w:rPr>
                <w:rFonts w:eastAsia="Times New Roman"/>
                <w:b/>
                <w:bCs/>
                <w:sz w:val="15"/>
                <w:szCs w:val="15"/>
              </w:rPr>
              <w:t> 708</w:t>
            </w:r>
          </w:p>
        </w:tc>
        <w:tc>
          <w:tcPr>
            <w:tcW w:w="934" w:type="dxa"/>
            <w:tcBorders>
              <w:top w:val="single" w:sz="2" w:space="0" w:color="auto"/>
              <w:bottom w:val="single" w:sz="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569</w:t>
            </w:r>
          </w:p>
        </w:tc>
      </w:tr>
      <w:tr w:rsidR="006D3D04" w:rsidRPr="00C73E03" w:rsidTr="006D3D04">
        <w:trPr>
          <w:trHeight w:val="195"/>
        </w:trPr>
        <w:tc>
          <w:tcPr>
            <w:tcW w:w="366" w:type="dxa"/>
            <w:vMerge/>
            <w:tcBorders>
              <w:bottom w:val="single" w:sz="12" w:space="0" w:color="auto"/>
            </w:tcBorders>
            <w:shd w:val="clear" w:color="auto" w:fill="D9D9D9" w:themeFill="background1" w:themeFillShade="D9"/>
            <w:vAlign w:val="center"/>
          </w:tcPr>
          <w:p w:rsidR="006D3D04" w:rsidRPr="009F6960" w:rsidRDefault="006D3D04" w:rsidP="006D3D04">
            <w:pPr>
              <w:widowControl/>
              <w:spacing w:after="0" w:line="240" w:lineRule="auto"/>
              <w:ind w:firstLine="0"/>
              <w:contextualSpacing w:val="0"/>
              <w:jc w:val="center"/>
              <w:rPr>
                <w:rFonts w:eastAsia="Times New Roman"/>
                <w:b/>
                <w:sz w:val="15"/>
                <w:szCs w:val="15"/>
              </w:rPr>
            </w:pPr>
          </w:p>
        </w:tc>
        <w:tc>
          <w:tcPr>
            <w:tcW w:w="1974" w:type="dxa"/>
            <w:tcBorders>
              <w:top w:val="single" w:sz="2" w:space="0" w:color="auto"/>
              <w:bottom w:val="single" w:sz="12" w:space="0" w:color="auto"/>
            </w:tcBorders>
            <w:shd w:val="clear" w:color="auto" w:fill="D6E3BC" w:themeFill="accent3" w:themeFillTint="66"/>
            <w:noWrap/>
            <w:vAlign w:val="bottom"/>
            <w:hideMark/>
          </w:tcPr>
          <w:p w:rsidR="006D3D04" w:rsidRPr="00E12039" w:rsidRDefault="006D3D04" w:rsidP="006D3D04">
            <w:pPr>
              <w:widowControl/>
              <w:spacing w:after="0" w:line="240" w:lineRule="auto"/>
              <w:ind w:firstLine="0"/>
              <w:contextualSpacing w:val="0"/>
              <w:jc w:val="left"/>
              <w:rPr>
                <w:rFonts w:eastAsia="Times New Roman"/>
                <w:sz w:val="15"/>
                <w:szCs w:val="15"/>
              </w:rPr>
            </w:pPr>
            <w:r w:rsidRPr="00E12039">
              <w:rPr>
                <w:rFonts w:eastAsia="Times New Roman"/>
                <w:sz w:val="15"/>
                <w:szCs w:val="15"/>
              </w:rPr>
              <w:t>1 N + 2 V</w:t>
            </w:r>
          </w:p>
        </w:tc>
        <w:tc>
          <w:tcPr>
            <w:tcW w:w="1051" w:type="dxa"/>
            <w:tcBorders>
              <w:top w:val="single" w:sz="2" w:space="0" w:color="auto"/>
              <w:bottom w:val="single" w:sz="1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3" w:type="dxa"/>
            <w:tcBorders>
              <w:top w:val="single" w:sz="2" w:space="0" w:color="auto"/>
              <w:bottom w:val="single" w:sz="1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3" w:type="dxa"/>
            <w:tcBorders>
              <w:top w:val="single" w:sz="2" w:space="0" w:color="auto"/>
              <w:bottom w:val="single" w:sz="1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15" w:type="dxa"/>
            <w:tcBorders>
              <w:top w:val="single" w:sz="2" w:space="0" w:color="auto"/>
              <w:bottom w:val="single" w:sz="1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4" w:type="dxa"/>
            <w:tcBorders>
              <w:top w:val="single" w:sz="2" w:space="0" w:color="auto"/>
              <w:bottom w:val="single" w:sz="1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3" w:type="dxa"/>
            <w:tcBorders>
              <w:top w:val="single" w:sz="2" w:space="0" w:color="auto"/>
              <w:bottom w:val="single" w:sz="1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 xml:space="preserve">0 / </w:t>
            </w:r>
            <w:r w:rsidRPr="009F6960">
              <w:rPr>
                <w:rFonts w:eastAsia="Times New Roman"/>
                <w:sz w:val="15"/>
                <w:szCs w:val="15"/>
              </w:rPr>
              <w:t>65</w:t>
            </w:r>
            <w:r>
              <w:rPr>
                <w:rFonts w:eastAsia="Times New Roman"/>
                <w:sz w:val="15"/>
                <w:szCs w:val="15"/>
              </w:rPr>
              <w:t>7</w:t>
            </w:r>
          </w:p>
        </w:tc>
        <w:tc>
          <w:tcPr>
            <w:tcW w:w="667" w:type="dxa"/>
            <w:tcBorders>
              <w:top w:val="single" w:sz="2" w:space="0" w:color="auto"/>
              <w:bottom w:val="single" w:sz="1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495</w:t>
            </w:r>
          </w:p>
        </w:tc>
        <w:tc>
          <w:tcPr>
            <w:tcW w:w="667" w:type="dxa"/>
            <w:tcBorders>
              <w:top w:val="single" w:sz="2" w:space="0" w:color="auto"/>
              <w:bottom w:val="single" w:sz="1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18</w:t>
            </w:r>
          </w:p>
        </w:tc>
        <w:tc>
          <w:tcPr>
            <w:tcW w:w="667" w:type="dxa"/>
            <w:tcBorders>
              <w:top w:val="single" w:sz="2" w:space="0" w:color="auto"/>
              <w:bottom w:val="single" w:sz="1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4</w:t>
            </w:r>
          </w:p>
        </w:tc>
        <w:tc>
          <w:tcPr>
            <w:tcW w:w="821" w:type="dxa"/>
            <w:tcBorders>
              <w:top w:val="single" w:sz="2" w:space="0" w:color="auto"/>
              <w:bottom w:val="single" w:sz="1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08" w:type="dxa"/>
            <w:tcBorders>
              <w:top w:val="single" w:sz="2" w:space="0" w:color="auto"/>
              <w:bottom w:val="single" w:sz="1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260</w:t>
            </w:r>
          </w:p>
        </w:tc>
        <w:tc>
          <w:tcPr>
            <w:tcW w:w="934" w:type="dxa"/>
            <w:tcBorders>
              <w:top w:val="single" w:sz="2" w:space="0" w:color="auto"/>
              <w:bottom w:val="single" w:sz="1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sidRPr="009F6960">
              <w:rPr>
                <w:rFonts w:eastAsia="Times New Roman"/>
                <w:b/>
                <w:bCs/>
                <w:sz w:val="15"/>
                <w:szCs w:val="15"/>
              </w:rPr>
              <w:t>1</w:t>
            </w:r>
            <w:r>
              <w:rPr>
                <w:rFonts w:eastAsia="Times New Roman"/>
                <w:b/>
                <w:bCs/>
                <w:sz w:val="15"/>
                <w:szCs w:val="15"/>
              </w:rPr>
              <w:t> 620</w:t>
            </w:r>
          </w:p>
        </w:tc>
        <w:tc>
          <w:tcPr>
            <w:tcW w:w="934" w:type="dxa"/>
            <w:tcBorders>
              <w:top w:val="single" w:sz="2" w:space="0" w:color="auto"/>
              <w:bottom w:val="single" w:sz="1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540</w:t>
            </w:r>
          </w:p>
        </w:tc>
      </w:tr>
      <w:tr w:rsidR="006D3D04" w:rsidRPr="005A2D01" w:rsidTr="006D3D04">
        <w:trPr>
          <w:trHeight w:val="195"/>
        </w:trPr>
        <w:tc>
          <w:tcPr>
            <w:tcW w:w="366" w:type="dxa"/>
            <w:vMerge w:val="restart"/>
            <w:tcBorders>
              <w:top w:val="single" w:sz="12" w:space="0" w:color="auto"/>
            </w:tcBorders>
            <w:shd w:val="clear" w:color="auto" w:fill="D9D9D9" w:themeFill="background1" w:themeFillShade="D9"/>
            <w:vAlign w:val="center"/>
          </w:tcPr>
          <w:p w:rsidR="006D3D04" w:rsidRPr="009F6960" w:rsidRDefault="006D3D04" w:rsidP="006D3D04">
            <w:pPr>
              <w:widowControl/>
              <w:spacing w:after="0" w:line="240" w:lineRule="auto"/>
              <w:ind w:firstLine="0"/>
              <w:contextualSpacing w:val="0"/>
              <w:jc w:val="center"/>
              <w:rPr>
                <w:rFonts w:eastAsia="Times New Roman"/>
                <w:b/>
                <w:sz w:val="15"/>
                <w:szCs w:val="15"/>
              </w:rPr>
            </w:pPr>
            <w:r w:rsidRPr="009F6960">
              <w:rPr>
                <w:rFonts w:eastAsia="Times New Roman"/>
                <w:b/>
                <w:sz w:val="15"/>
                <w:szCs w:val="15"/>
              </w:rPr>
              <w:t>4</w:t>
            </w:r>
          </w:p>
        </w:tc>
        <w:tc>
          <w:tcPr>
            <w:tcW w:w="1974" w:type="dxa"/>
            <w:tcBorders>
              <w:top w:val="single" w:sz="12" w:space="0" w:color="auto"/>
              <w:bottom w:val="single" w:sz="2" w:space="0" w:color="auto"/>
            </w:tcBorders>
            <w:shd w:val="clear" w:color="auto" w:fill="B6DDE8" w:themeFill="accent5" w:themeFillTint="66"/>
            <w:noWrap/>
            <w:vAlign w:val="bottom"/>
            <w:hideMark/>
          </w:tcPr>
          <w:p w:rsidR="006D3D04" w:rsidRPr="00E12039" w:rsidRDefault="006D3D04" w:rsidP="006D3D04">
            <w:pPr>
              <w:widowControl/>
              <w:spacing w:after="0" w:line="240" w:lineRule="auto"/>
              <w:ind w:firstLine="0"/>
              <w:contextualSpacing w:val="0"/>
              <w:jc w:val="left"/>
              <w:rPr>
                <w:rFonts w:eastAsia="Times New Roman"/>
                <w:sz w:val="15"/>
                <w:szCs w:val="15"/>
              </w:rPr>
            </w:pPr>
            <w:r w:rsidRPr="00E12039">
              <w:rPr>
                <w:rFonts w:eastAsia="Times New Roman"/>
                <w:sz w:val="15"/>
                <w:szCs w:val="15"/>
              </w:rPr>
              <w:t>2 B + 2 V (567 Lt; 567 Lt)</w:t>
            </w:r>
          </w:p>
        </w:tc>
        <w:tc>
          <w:tcPr>
            <w:tcW w:w="1051" w:type="dxa"/>
            <w:tcBorders>
              <w:top w:val="single" w:sz="12" w:space="0" w:color="auto"/>
              <w:bottom w:val="single" w:sz="2" w:space="0" w:color="auto"/>
            </w:tcBorders>
            <w:shd w:val="clear" w:color="auto" w:fill="B6DDE8" w:themeFill="accent5" w:themeFillTint="66"/>
            <w:noWrap/>
            <w:vAlign w:val="bottom"/>
            <w:hideMark/>
          </w:tcPr>
          <w:p w:rsidR="006D3D04" w:rsidRPr="005A2D01" w:rsidRDefault="006D3D04" w:rsidP="006D3D04">
            <w:pPr>
              <w:widowControl/>
              <w:spacing w:after="0" w:line="240" w:lineRule="auto"/>
              <w:ind w:firstLine="0"/>
              <w:contextualSpacing w:val="0"/>
              <w:jc w:val="center"/>
              <w:rPr>
                <w:rFonts w:eastAsia="Times New Roman"/>
                <w:sz w:val="15"/>
                <w:szCs w:val="15"/>
              </w:rPr>
            </w:pPr>
            <w:r w:rsidRPr="005A2D01">
              <w:rPr>
                <w:rFonts w:eastAsia="Times New Roman"/>
                <w:sz w:val="15"/>
                <w:szCs w:val="15"/>
              </w:rPr>
              <w:t>-</w:t>
            </w:r>
          </w:p>
        </w:tc>
        <w:tc>
          <w:tcPr>
            <w:tcW w:w="813" w:type="dxa"/>
            <w:tcBorders>
              <w:top w:val="single" w:sz="12" w:space="0" w:color="auto"/>
              <w:bottom w:val="single" w:sz="2" w:space="0" w:color="auto"/>
            </w:tcBorders>
            <w:shd w:val="clear" w:color="auto" w:fill="B6DDE8" w:themeFill="accent5" w:themeFillTint="66"/>
            <w:noWrap/>
            <w:vAlign w:val="bottom"/>
            <w:hideMark/>
          </w:tcPr>
          <w:p w:rsidR="006D3D04" w:rsidRPr="005A2D01" w:rsidRDefault="006D3D04" w:rsidP="006D3D04">
            <w:pPr>
              <w:widowControl/>
              <w:spacing w:after="0" w:line="240" w:lineRule="auto"/>
              <w:ind w:firstLine="0"/>
              <w:contextualSpacing w:val="0"/>
              <w:jc w:val="center"/>
              <w:rPr>
                <w:rFonts w:eastAsia="Times New Roman"/>
                <w:sz w:val="15"/>
                <w:szCs w:val="15"/>
              </w:rPr>
            </w:pPr>
            <w:r w:rsidRPr="005A2D01">
              <w:rPr>
                <w:rFonts w:eastAsia="Times New Roman"/>
                <w:sz w:val="15"/>
                <w:szCs w:val="15"/>
              </w:rPr>
              <w:t>-</w:t>
            </w:r>
          </w:p>
        </w:tc>
        <w:tc>
          <w:tcPr>
            <w:tcW w:w="813" w:type="dxa"/>
            <w:tcBorders>
              <w:top w:val="single" w:sz="12" w:space="0" w:color="auto"/>
              <w:bottom w:val="single" w:sz="2" w:space="0" w:color="auto"/>
            </w:tcBorders>
            <w:shd w:val="clear" w:color="auto" w:fill="B6DDE8" w:themeFill="accent5" w:themeFillTint="66"/>
            <w:noWrap/>
            <w:vAlign w:val="bottom"/>
            <w:hideMark/>
          </w:tcPr>
          <w:p w:rsidR="006D3D04" w:rsidRPr="005A2D01" w:rsidRDefault="006D3D04" w:rsidP="006D3D04">
            <w:pPr>
              <w:widowControl/>
              <w:spacing w:after="0" w:line="240" w:lineRule="auto"/>
              <w:ind w:firstLine="0"/>
              <w:contextualSpacing w:val="0"/>
              <w:jc w:val="center"/>
              <w:rPr>
                <w:rFonts w:eastAsia="Times New Roman"/>
                <w:sz w:val="15"/>
                <w:szCs w:val="15"/>
              </w:rPr>
            </w:pPr>
            <w:r w:rsidRPr="005A2D01">
              <w:rPr>
                <w:rFonts w:eastAsia="Times New Roman"/>
                <w:sz w:val="15"/>
                <w:szCs w:val="15"/>
              </w:rPr>
              <w:t>-</w:t>
            </w:r>
          </w:p>
        </w:tc>
        <w:tc>
          <w:tcPr>
            <w:tcW w:w="815" w:type="dxa"/>
            <w:tcBorders>
              <w:top w:val="single" w:sz="12" w:space="0" w:color="auto"/>
              <w:bottom w:val="single" w:sz="2" w:space="0" w:color="auto"/>
            </w:tcBorders>
            <w:shd w:val="clear" w:color="auto" w:fill="B6DDE8" w:themeFill="accent5" w:themeFillTint="66"/>
            <w:noWrap/>
            <w:vAlign w:val="bottom"/>
            <w:hideMark/>
          </w:tcPr>
          <w:p w:rsidR="006D3D04" w:rsidRPr="005A2D01" w:rsidRDefault="006D3D04" w:rsidP="006D3D04">
            <w:pPr>
              <w:widowControl/>
              <w:spacing w:after="0" w:line="240" w:lineRule="auto"/>
              <w:ind w:firstLine="0"/>
              <w:contextualSpacing w:val="0"/>
              <w:jc w:val="center"/>
              <w:rPr>
                <w:rFonts w:eastAsia="Times New Roman"/>
                <w:sz w:val="15"/>
                <w:szCs w:val="15"/>
              </w:rPr>
            </w:pPr>
            <w:r w:rsidRPr="005A2D01">
              <w:rPr>
                <w:rFonts w:eastAsia="Times New Roman"/>
                <w:sz w:val="15"/>
                <w:szCs w:val="15"/>
              </w:rPr>
              <w:t>-</w:t>
            </w:r>
          </w:p>
        </w:tc>
        <w:tc>
          <w:tcPr>
            <w:tcW w:w="934" w:type="dxa"/>
            <w:tcBorders>
              <w:top w:val="single" w:sz="12" w:space="0" w:color="auto"/>
              <w:bottom w:val="single" w:sz="2" w:space="0" w:color="auto"/>
            </w:tcBorders>
            <w:shd w:val="clear" w:color="auto" w:fill="B6DDE8" w:themeFill="accent5" w:themeFillTint="66"/>
            <w:noWrap/>
            <w:vAlign w:val="bottom"/>
            <w:hideMark/>
          </w:tcPr>
          <w:p w:rsidR="006D3D04" w:rsidRPr="005A2D01" w:rsidRDefault="006D3D04" w:rsidP="006D3D04">
            <w:pPr>
              <w:widowControl/>
              <w:spacing w:after="0" w:line="240" w:lineRule="auto"/>
              <w:ind w:firstLine="0"/>
              <w:contextualSpacing w:val="0"/>
              <w:jc w:val="center"/>
              <w:rPr>
                <w:rFonts w:eastAsia="Times New Roman"/>
                <w:sz w:val="15"/>
                <w:szCs w:val="15"/>
              </w:rPr>
            </w:pPr>
            <w:r w:rsidRPr="005A2D01">
              <w:rPr>
                <w:rFonts w:eastAsia="Times New Roman"/>
                <w:sz w:val="15"/>
                <w:szCs w:val="15"/>
              </w:rPr>
              <w:t>-</w:t>
            </w:r>
          </w:p>
        </w:tc>
        <w:tc>
          <w:tcPr>
            <w:tcW w:w="933" w:type="dxa"/>
            <w:tcBorders>
              <w:top w:val="single" w:sz="12" w:space="0" w:color="auto"/>
              <w:bottom w:val="single" w:sz="2" w:space="0" w:color="auto"/>
            </w:tcBorders>
            <w:shd w:val="clear" w:color="auto" w:fill="B6DDE8" w:themeFill="accent5" w:themeFillTint="66"/>
            <w:noWrap/>
            <w:vAlign w:val="bottom"/>
            <w:hideMark/>
          </w:tcPr>
          <w:p w:rsidR="006D3D04" w:rsidRPr="005A2D01"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1 134 / 211</w:t>
            </w:r>
          </w:p>
        </w:tc>
        <w:tc>
          <w:tcPr>
            <w:tcW w:w="667" w:type="dxa"/>
            <w:tcBorders>
              <w:top w:val="single" w:sz="12" w:space="0" w:color="auto"/>
              <w:bottom w:val="single" w:sz="2" w:space="0" w:color="auto"/>
            </w:tcBorders>
            <w:shd w:val="clear" w:color="auto" w:fill="B6DDE8" w:themeFill="accent5" w:themeFillTint="66"/>
            <w:noWrap/>
            <w:vAlign w:val="bottom"/>
            <w:hideMark/>
          </w:tcPr>
          <w:p w:rsidR="006D3D04" w:rsidRPr="005A2D01" w:rsidRDefault="006D3D04" w:rsidP="006D3D04">
            <w:pPr>
              <w:widowControl/>
              <w:spacing w:after="0" w:line="240" w:lineRule="auto"/>
              <w:ind w:firstLine="0"/>
              <w:contextualSpacing w:val="0"/>
              <w:jc w:val="center"/>
              <w:rPr>
                <w:rFonts w:eastAsia="Times New Roman"/>
                <w:sz w:val="15"/>
                <w:szCs w:val="15"/>
              </w:rPr>
            </w:pPr>
            <w:r w:rsidRPr="005A2D01">
              <w:rPr>
                <w:rFonts w:eastAsia="Times New Roman"/>
                <w:sz w:val="15"/>
                <w:szCs w:val="15"/>
              </w:rPr>
              <w:t>495</w:t>
            </w:r>
          </w:p>
        </w:tc>
        <w:tc>
          <w:tcPr>
            <w:tcW w:w="667" w:type="dxa"/>
            <w:tcBorders>
              <w:top w:val="single" w:sz="12" w:space="0" w:color="auto"/>
              <w:bottom w:val="single" w:sz="2" w:space="0" w:color="auto"/>
            </w:tcBorders>
            <w:shd w:val="clear" w:color="auto" w:fill="B6DDE8" w:themeFill="accent5" w:themeFillTint="66"/>
            <w:noWrap/>
            <w:vAlign w:val="bottom"/>
            <w:hideMark/>
          </w:tcPr>
          <w:p w:rsidR="006D3D04" w:rsidRPr="005A2D01" w:rsidRDefault="006D3D04" w:rsidP="006D3D04">
            <w:pPr>
              <w:widowControl/>
              <w:spacing w:after="0" w:line="240" w:lineRule="auto"/>
              <w:ind w:firstLine="0"/>
              <w:contextualSpacing w:val="0"/>
              <w:jc w:val="center"/>
              <w:rPr>
                <w:rFonts w:eastAsia="Times New Roman"/>
                <w:sz w:val="15"/>
                <w:szCs w:val="15"/>
              </w:rPr>
            </w:pPr>
            <w:r w:rsidRPr="005A2D01">
              <w:rPr>
                <w:rFonts w:eastAsia="Times New Roman"/>
                <w:sz w:val="15"/>
                <w:szCs w:val="15"/>
              </w:rPr>
              <w:t>7</w:t>
            </w:r>
          </w:p>
        </w:tc>
        <w:tc>
          <w:tcPr>
            <w:tcW w:w="667" w:type="dxa"/>
            <w:tcBorders>
              <w:top w:val="single" w:sz="12" w:space="0" w:color="auto"/>
              <w:bottom w:val="single" w:sz="2" w:space="0" w:color="auto"/>
            </w:tcBorders>
            <w:shd w:val="clear" w:color="auto" w:fill="B6DDE8" w:themeFill="accent5" w:themeFillTint="66"/>
            <w:noWrap/>
            <w:vAlign w:val="bottom"/>
            <w:hideMark/>
          </w:tcPr>
          <w:p w:rsidR="006D3D04" w:rsidRPr="005A2D01" w:rsidRDefault="006D3D04" w:rsidP="006D3D04">
            <w:pPr>
              <w:widowControl/>
              <w:spacing w:after="0" w:line="240" w:lineRule="auto"/>
              <w:ind w:firstLine="0"/>
              <w:contextualSpacing w:val="0"/>
              <w:jc w:val="center"/>
              <w:rPr>
                <w:rFonts w:eastAsia="Times New Roman"/>
                <w:sz w:val="15"/>
                <w:szCs w:val="15"/>
              </w:rPr>
            </w:pPr>
            <w:r w:rsidRPr="005A2D01">
              <w:rPr>
                <w:rFonts w:eastAsia="Times New Roman"/>
                <w:sz w:val="15"/>
                <w:szCs w:val="15"/>
              </w:rPr>
              <w:t>-</w:t>
            </w:r>
          </w:p>
        </w:tc>
        <w:tc>
          <w:tcPr>
            <w:tcW w:w="821" w:type="dxa"/>
            <w:tcBorders>
              <w:top w:val="single" w:sz="12" w:space="0" w:color="auto"/>
              <w:bottom w:val="single" w:sz="2" w:space="0" w:color="auto"/>
            </w:tcBorders>
            <w:shd w:val="clear" w:color="auto" w:fill="B6DDE8" w:themeFill="accent5" w:themeFillTint="66"/>
            <w:noWrap/>
            <w:vAlign w:val="bottom"/>
            <w:hideMark/>
          </w:tcPr>
          <w:p w:rsidR="006D3D04" w:rsidRPr="005A2D01"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08" w:type="dxa"/>
            <w:tcBorders>
              <w:top w:val="single" w:sz="12" w:space="0" w:color="auto"/>
              <w:bottom w:val="single" w:sz="2" w:space="0" w:color="auto"/>
            </w:tcBorders>
            <w:shd w:val="clear" w:color="auto" w:fill="B6DDE8" w:themeFill="accent5" w:themeFillTint="66"/>
            <w:noWrap/>
            <w:vAlign w:val="bottom"/>
            <w:hideMark/>
          </w:tcPr>
          <w:p w:rsidR="006D3D04" w:rsidRPr="005A2D01" w:rsidRDefault="006D3D04" w:rsidP="006D3D04">
            <w:pPr>
              <w:widowControl/>
              <w:spacing w:after="0" w:line="240" w:lineRule="auto"/>
              <w:ind w:firstLine="0"/>
              <w:contextualSpacing w:val="0"/>
              <w:jc w:val="center"/>
              <w:rPr>
                <w:rFonts w:eastAsia="Times New Roman"/>
                <w:sz w:val="15"/>
                <w:szCs w:val="15"/>
              </w:rPr>
            </w:pPr>
            <w:r w:rsidRPr="005A2D01">
              <w:rPr>
                <w:rFonts w:eastAsia="Times New Roman"/>
                <w:sz w:val="15"/>
                <w:szCs w:val="15"/>
              </w:rPr>
              <w:t>-</w:t>
            </w:r>
          </w:p>
        </w:tc>
        <w:tc>
          <w:tcPr>
            <w:tcW w:w="934" w:type="dxa"/>
            <w:tcBorders>
              <w:top w:val="single" w:sz="12" w:space="0" w:color="auto"/>
              <w:bottom w:val="single" w:sz="2" w:space="0" w:color="auto"/>
            </w:tcBorders>
            <w:shd w:val="clear" w:color="auto" w:fill="B6DDE8" w:themeFill="accent5" w:themeFillTint="66"/>
            <w:noWrap/>
            <w:vAlign w:val="bottom"/>
            <w:hideMark/>
          </w:tcPr>
          <w:p w:rsidR="006D3D04" w:rsidRPr="005A2D01" w:rsidRDefault="006D3D04" w:rsidP="006D3D04">
            <w:pPr>
              <w:widowControl/>
              <w:spacing w:after="0" w:line="240" w:lineRule="auto"/>
              <w:ind w:firstLine="0"/>
              <w:contextualSpacing w:val="0"/>
              <w:jc w:val="center"/>
              <w:rPr>
                <w:rFonts w:eastAsia="Times New Roman"/>
                <w:b/>
                <w:bCs/>
                <w:sz w:val="15"/>
                <w:szCs w:val="15"/>
              </w:rPr>
            </w:pPr>
            <w:r w:rsidRPr="005A2D01">
              <w:rPr>
                <w:rFonts w:eastAsia="Times New Roman"/>
                <w:b/>
                <w:bCs/>
                <w:sz w:val="15"/>
                <w:szCs w:val="15"/>
              </w:rPr>
              <w:t>2</w:t>
            </w:r>
            <w:r>
              <w:rPr>
                <w:rFonts w:eastAsia="Times New Roman"/>
                <w:b/>
                <w:bCs/>
                <w:sz w:val="15"/>
                <w:szCs w:val="15"/>
              </w:rPr>
              <w:t> 033</w:t>
            </w:r>
          </w:p>
        </w:tc>
        <w:tc>
          <w:tcPr>
            <w:tcW w:w="934" w:type="dxa"/>
            <w:tcBorders>
              <w:top w:val="single" w:sz="12" w:space="0" w:color="auto"/>
              <w:bottom w:val="single" w:sz="2" w:space="0" w:color="auto"/>
            </w:tcBorders>
            <w:shd w:val="clear" w:color="auto" w:fill="B6DDE8" w:themeFill="accent5" w:themeFillTint="66"/>
            <w:noWrap/>
            <w:vAlign w:val="bottom"/>
            <w:hideMark/>
          </w:tcPr>
          <w:p w:rsidR="006D3D04" w:rsidRPr="005A2D01"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508</w:t>
            </w:r>
          </w:p>
        </w:tc>
      </w:tr>
      <w:tr w:rsidR="006D3D04" w:rsidRPr="001D4DA0" w:rsidTr="006D3D04">
        <w:trPr>
          <w:trHeight w:val="195"/>
        </w:trPr>
        <w:tc>
          <w:tcPr>
            <w:tcW w:w="366" w:type="dxa"/>
            <w:vMerge/>
            <w:tcBorders>
              <w:bottom w:val="single" w:sz="12" w:space="0" w:color="auto"/>
            </w:tcBorders>
            <w:shd w:val="clear" w:color="auto" w:fill="D9D9D9" w:themeFill="background1" w:themeFillShade="D9"/>
            <w:vAlign w:val="center"/>
          </w:tcPr>
          <w:p w:rsidR="006D3D04" w:rsidRPr="009F6960" w:rsidRDefault="006D3D04" w:rsidP="006D3D04">
            <w:pPr>
              <w:widowControl/>
              <w:spacing w:after="0" w:line="240" w:lineRule="auto"/>
              <w:ind w:firstLine="0"/>
              <w:contextualSpacing w:val="0"/>
              <w:jc w:val="center"/>
              <w:rPr>
                <w:rFonts w:eastAsia="Times New Roman"/>
                <w:b/>
                <w:sz w:val="15"/>
                <w:szCs w:val="15"/>
              </w:rPr>
            </w:pPr>
          </w:p>
        </w:tc>
        <w:tc>
          <w:tcPr>
            <w:tcW w:w="1974" w:type="dxa"/>
            <w:tcBorders>
              <w:top w:val="single" w:sz="2" w:space="0" w:color="auto"/>
              <w:bottom w:val="single" w:sz="12" w:space="0" w:color="auto"/>
            </w:tcBorders>
            <w:shd w:val="clear" w:color="auto" w:fill="B6DDE8" w:themeFill="accent5" w:themeFillTint="66"/>
            <w:noWrap/>
            <w:vAlign w:val="bottom"/>
            <w:hideMark/>
          </w:tcPr>
          <w:p w:rsidR="006D3D04" w:rsidRPr="00E12039" w:rsidRDefault="006D3D04" w:rsidP="006D3D04">
            <w:pPr>
              <w:widowControl/>
              <w:spacing w:after="0" w:line="240" w:lineRule="auto"/>
              <w:ind w:firstLine="0"/>
              <w:contextualSpacing w:val="0"/>
              <w:jc w:val="left"/>
              <w:rPr>
                <w:rFonts w:eastAsia="Times New Roman"/>
                <w:sz w:val="15"/>
                <w:szCs w:val="15"/>
              </w:rPr>
            </w:pPr>
            <w:r w:rsidRPr="00E12039">
              <w:rPr>
                <w:rFonts w:eastAsia="Times New Roman"/>
                <w:sz w:val="15"/>
                <w:szCs w:val="15"/>
              </w:rPr>
              <w:t>2 N + 2 V</w:t>
            </w:r>
          </w:p>
        </w:tc>
        <w:tc>
          <w:tcPr>
            <w:tcW w:w="1051" w:type="dxa"/>
            <w:tcBorders>
              <w:top w:val="single" w:sz="2" w:space="0" w:color="auto"/>
              <w:bottom w:val="single" w:sz="12" w:space="0" w:color="auto"/>
            </w:tcBorders>
            <w:shd w:val="clear" w:color="auto" w:fill="B6DDE8" w:themeFill="accent5" w:themeFillTint="66"/>
            <w:noWrap/>
            <w:vAlign w:val="bottom"/>
            <w:hideMark/>
          </w:tcPr>
          <w:p w:rsidR="006D3D04" w:rsidRPr="001D4DA0" w:rsidRDefault="006D3D04" w:rsidP="006D3D04">
            <w:pPr>
              <w:widowControl/>
              <w:spacing w:after="0" w:line="240" w:lineRule="auto"/>
              <w:ind w:firstLine="0"/>
              <w:contextualSpacing w:val="0"/>
              <w:jc w:val="center"/>
              <w:rPr>
                <w:rFonts w:eastAsia="Times New Roman"/>
                <w:sz w:val="15"/>
                <w:szCs w:val="15"/>
              </w:rPr>
            </w:pPr>
            <w:r w:rsidRPr="001D4DA0">
              <w:rPr>
                <w:rFonts w:eastAsia="Times New Roman"/>
                <w:sz w:val="15"/>
                <w:szCs w:val="15"/>
              </w:rPr>
              <w:t>-</w:t>
            </w:r>
          </w:p>
        </w:tc>
        <w:tc>
          <w:tcPr>
            <w:tcW w:w="813" w:type="dxa"/>
            <w:tcBorders>
              <w:top w:val="single" w:sz="2" w:space="0" w:color="auto"/>
              <w:bottom w:val="single" w:sz="12" w:space="0" w:color="auto"/>
            </w:tcBorders>
            <w:shd w:val="clear" w:color="auto" w:fill="B6DDE8" w:themeFill="accent5" w:themeFillTint="66"/>
            <w:noWrap/>
            <w:vAlign w:val="bottom"/>
            <w:hideMark/>
          </w:tcPr>
          <w:p w:rsidR="006D3D04" w:rsidRPr="001D4DA0" w:rsidRDefault="006D3D04" w:rsidP="006D3D04">
            <w:pPr>
              <w:widowControl/>
              <w:spacing w:after="0" w:line="240" w:lineRule="auto"/>
              <w:ind w:firstLine="0"/>
              <w:contextualSpacing w:val="0"/>
              <w:jc w:val="center"/>
              <w:rPr>
                <w:rFonts w:eastAsia="Times New Roman"/>
                <w:sz w:val="15"/>
                <w:szCs w:val="15"/>
              </w:rPr>
            </w:pPr>
            <w:r w:rsidRPr="001D4DA0">
              <w:rPr>
                <w:rFonts w:eastAsia="Times New Roman"/>
                <w:sz w:val="15"/>
                <w:szCs w:val="15"/>
              </w:rPr>
              <w:t>-</w:t>
            </w:r>
          </w:p>
        </w:tc>
        <w:tc>
          <w:tcPr>
            <w:tcW w:w="813" w:type="dxa"/>
            <w:tcBorders>
              <w:top w:val="single" w:sz="2" w:space="0" w:color="auto"/>
              <w:bottom w:val="single" w:sz="12" w:space="0" w:color="auto"/>
            </w:tcBorders>
            <w:shd w:val="clear" w:color="auto" w:fill="B6DDE8" w:themeFill="accent5" w:themeFillTint="66"/>
            <w:noWrap/>
            <w:vAlign w:val="bottom"/>
            <w:hideMark/>
          </w:tcPr>
          <w:p w:rsidR="006D3D04" w:rsidRPr="001D4DA0" w:rsidRDefault="006D3D04" w:rsidP="006D3D04">
            <w:pPr>
              <w:widowControl/>
              <w:spacing w:after="0" w:line="240" w:lineRule="auto"/>
              <w:ind w:firstLine="0"/>
              <w:contextualSpacing w:val="0"/>
              <w:jc w:val="center"/>
              <w:rPr>
                <w:rFonts w:eastAsia="Times New Roman"/>
                <w:sz w:val="15"/>
                <w:szCs w:val="15"/>
              </w:rPr>
            </w:pPr>
            <w:r w:rsidRPr="001D4DA0">
              <w:rPr>
                <w:rFonts w:eastAsia="Times New Roman"/>
                <w:sz w:val="15"/>
                <w:szCs w:val="15"/>
              </w:rPr>
              <w:t>-</w:t>
            </w:r>
          </w:p>
        </w:tc>
        <w:tc>
          <w:tcPr>
            <w:tcW w:w="815" w:type="dxa"/>
            <w:tcBorders>
              <w:top w:val="single" w:sz="2" w:space="0" w:color="auto"/>
              <w:bottom w:val="single" w:sz="12" w:space="0" w:color="auto"/>
            </w:tcBorders>
            <w:shd w:val="clear" w:color="auto" w:fill="B6DDE8" w:themeFill="accent5" w:themeFillTint="66"/>
            <w:noWrap/>
            <w:vAlign w:val="bottom"/>
            <w:hideMark/>
          </w:tcPr>
          <w:p w:rsidR="006D3D04" w:rsidRPr="001D4DA0" w:rsidRDefault="006D3D04" w:rsidP="006D3D04">
            <w:pPr>
              <w:widowControl/>
              <w:spacing w:after="0" w:line="240" w:lineRule="auto"/>
              <w:ind w:firstLine="0"/>
              <w:contextualSpacing w:val="0"/>
              <w:jc w:val="center"/>
              <w:rPr>
                <w:rFonts w:eastAsia="Times New Roman"/>
                <w:sz w:val="15"/>
                <w:szCs w:val="15"/>
              </w:rPr>
            </w:pPr>
            <w:r w:rsidRPr="001D4DA0">
              <w:rPr>
                <w:rFonts w:eastAsia="Times New Roman"/>
                <w:sz w:val="15"/>
                <w:szCs w:val="15"/>
              </w:rPr>
              <w:t>-</w:t>
            </w:r>
          </w:p>
        </w:tc>
        <w:tc>
          <w:tcPr>
            <w:tcW w:w="934" w:type="dxa"/>
            <w:tcBorders>
              <w:top w:val="single" w:sz="2" w:space="0" w:color="auto"/>
              <w:bottom w:val="single" w:sz="12" w:space="0" w:color="auto"/>
            </w:tcBorders>
            <w:shd w:val="clear" w:color="auto" w:fill="B6DDE8" w:themeFill="accent5" w:themeFillTint="66"/>
            <w:noWrap/>
            <w:vAlign w:val="bottom"/>
            <w:hideMark/>
          </w:tcPr>
          <w:p w:rsidR="006D3D04" w:rsidRPr="001D4DA0" w:rsidRDefault="006D3D04" w:rsidP="006D3D04">
            <w:pPr>
              <w:widowControl/>
              <w:spacing w:after="0" w:line="240" w:lineRule="auto"/>
              <w:ind w:firstLine="0"/>
              <w:contextualSpacing w:val="0"/>
              <w:jc w:val="center"/>
              <w:rPr>
                <w:rFonts w:eastAsia="Times New Roman"/>
                <w:sz w:val="15"/>
                <w:szCs w:val="15"/>
              </w:rPr>
            </w:pPr>
            <w:r w:rsidRPr="001D4DA0">
              <w:rPr>
                <w:rFonts w:eastAsia="Times New Roman"/>
                <w:sz w:val="15"/>
                <w:szCs w:val="15"/>
              </w:rPr>
              <w:t>-</w:t>
            </w:r>
          </w:p>
        </w:tc>
        <w:tc>
          <w:tcPr>
            <w:tcW w:w="933" w:type="dxa"/>
            <w:tcBorders>
              <w:top w:val="single" w:sz="2" w:space="0" w:color="auto"/>
              <w:bottom w:val="single" w:sz="12" w:space="0" w:color="auto"/>
            </w:tcBorders>
            <w:shd w:val="clear" w:color="auto" w:fill="B6DDE8" w:themeFill="accent5" w:themeFillTint="66"/>
            <w:noWrap/>
            <w:vAlign w:val="bottom"/>
            <w:hideMark/>
          </w:tcPr>
          <w:p w:rsidR="006D3D04" w:rsidRPr="001D4DA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 xml:space="preserve">0 / </w:t>
            </w:r>
            <w:r w:rsidRPr="001D4DA0">
              <w:rPr>
                <w:rFonts w:eastAsia="Times New Roman"/>
                <w:sz w:val="15"/>
                <w:szCs w:val="15"/>
              </w:rPr>
              <w:t>1</w:t>
            </w:r>
            <w:r>
              <w:rPr>
                <w:rFonts w:eastAsia="Times New Roman"/>
                <w:sz w:val="15"/>
                <w:szCs w:val="15"/>
              </w:rPr>
              <w:t> </w:t>
            </w:r>
            <w:r w:rsidRPr="001D4DA0">
              <w:rPr>
                <w:rFonts w:eastAsia="Times New Roman"/>
                <w:sz w:val="15"/>
                <w:szCs w:val="15"/>
              </w:rPr>
              <w:t>120</w:t>
            </w:r>
          </w:p>
        </w:tc>
        <w:tc>
          <w:tcPr>
            <w:tcW w:w="667" w:type="dxa"/>
            <w:tcBorders>
              <w:top w:val="single" w:sz="2" w:space="0" w:color="auto"/>
              <w:bottom w:val="single" w:sz="12" w:space="0" w:color="auto"/>
            </w:tcBorders>
            <w:shd w:val="clear" w:color="auto" w:fill="B6DDE8" w:themeFill="accent5" w:themeFillTint="66"/>
            <w:noWrap/>
            <w:vAlign w:val="bottom"/>
            <w:hideMark/>
          </w:tcPr>
          <w:p w:rsidR="006D3D04" w:rsidRPr="001D4DA0" w:rsidRDefault="006D3D04" w:rsidP="006D3D04">
            <w:pPr>
              <w:widowControl/>
              <w:spacing w:after="0" w:line="240" w:lineRule="auto"/>
              <w:ind w:firstLine="0"/>
              <w:contextualSpacing w:val="0"/>
              <w:jc w:val="center"/>
              <w:rPr>
                <w:rFonts w:eastAsia="Times New Roman"/>
                <w:sz w:val="15"/>
                <w:szCs w:val="15"/>
              </w:rPr>
            </w:pPr>
            <w:r w:rsidRPr="001D4DA0">
              <w:rPr>
                <w:rFonts w:eastAsia="Times New Roman"/>
                <w:sz w:val="15"/>
                <w:szCs w:val="15"/>
              </w:rPr>
              <w:t>495</w:t>
            </w:r>
          </w:p>
        </w:tc>
        <w:tc>
          <w:tcPr>
            <w:tcW w:w="667" w:type="dxa"/>
            <w:tcBorders>
              <w:top w:val="single" w:sz="2" w:space="0" w:color="auto"/>
              <w:bottom w:val="single" w:sz="12" w:space="0" w:color="auto"/>
            </w:tcBorders>
            <w:shd w:val="clear" w:color="auto" w:fill="B6DDE8" w:themeFill="accent5" w:themeFillTint="66"/>
            <w:noWrap/>
            <w:vAlign w:val="bottom"/>
            <w:hideMark/>
          </w:tcPr>
          <w:p w:rsidR="006D3D04" w:rsidRPr="001D4DA0" w:rsidRDefault="006D3D04" w:rsidP="006D3D04">
            <w:pPr>
              <w:widowControl/>
              <w:spacing w:after="0" w:line="240" w:lineRule="auto"/>
              <w:ind w:firstLine="0"/>
              <w:contextualSpacing w:val="0"/>
              <w:jc w:val="center"/>
              <w:rPr>
                <w:rFonts w:eastAsia="Times New Roman"/>
                <w:sz w:val="15"/>
                <w:szCs w:val="15"/>
              </w:rPr>
            </w:pPr>
            <w:r w:rsidRPr="001D4DA0">
              <w:rPr>
                <w:rFonts w:eastAsia="Times New Roman"/>
                <w:sz w:val="15"/>
                <w:szCs w:val="15"/>
              </w:rPr>
              <w:t>18</w:t>
            </w:r>
          </w:p>
        </w:tc>
        <w:tc>
          <w:tcPr>
            <w:tcW w:w="667" w:type="dxa"/>
            <w:tcBorders>
              <w:top w:val="single" w:sz="2" w:space="0" w:color="auto"/>
              <w:bottom w:val="single" w:sz="12" w:space="0" w:color="auto"/>
            </w:tcBorders>
            <w:shd w:val="clear" w:color="auto" w:fill="B6DDE8" w:themeFill="accent5" w:themeFillTint="66"/>
            <w:noWrap/>
            <w:vAlign w:val="bottom"/>
            <w:hideMark/>
          </w:tcPr>
          <w:p w:rsidR="006D3D04" w:rsidRPr="001D4DA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4</w:t>
            </w:r>
          </w:p>
        </w:tc>
        <w:tc>
          <w:tcPr>
            <w:tcW w:w="821" w:type="dxa"/>
            <w:tcBorders>
              <w:top w:val="single" w:sz="2" w:space="0" w:color="auto"/>
              <w:bottom w:val="single" w:sz="12" w:space="0" w:color="auto"/>
            </w:tcBorders>
            <w:shd w:val="clear" w:color="auto" w:fill="B6DDE8" w:themeFill="accent5" w:themeFillTint="66"/>
            <w:noWrap/>
            <w:vAlign w:val="bottom"/>
            <w:hideMark/>
          </w:tcPr>
          <w:p w:rsidR="006D3D04" w:rsidRPr="001D4DA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08" w:type="dxa"/>
            <w:tcBorders>
              <w:top w:val="single" w:sz="2" w:space="0" w:color="auto"/>
              <w:bottom w:val="single" w:sz="12" w:space="0" w:color="auto"/>
            </w:tcBorders>
            <w:shd w:val="clear" w:color="auto" w:fill="B6DDE8" w:themeFill="accent5" w:themeFillTint="66"/>
            <w:noWrap/>
            <w:vAlign w:val="bottom"/>
            <w:hideMark/>
          </w:tcPr>
          <w:p w:rsidR="006D3D04" w:rsidRPr="001D4DA0" w:rsidRDefault="006D3D04" w:rsidP="006D3D04">
            <w:pPr>
              <w:widowControl/>
              <w:spacing w:after="0" w:line="240" w:lineRule="auto"/>
              <w:ind w:firstLine="0"/>
              <w:contextualSpacing w:val="0"/>
              <w:jc w:val="center"/>
              <w:rPr>
                <w:rFonts w:eastAsia="Times New Roman"/>
                <w:sz w:val="15"/>
                <w:szCs w:val="15"/>
              </w:rPr>
            </w:pPr>
            <w:r w:rsidRPr="001D4DA0">
              <w:rPr>
                <w:rFonts w:eastAsia="Times New Roman"/>
                <w:sz w:val="15"/>
                <w:szCs w:val="15"/>
              </w:rPr>
              <w:t>-</w:t>
            </w:r>
          </w:p>
        </w:tc>
        <w:tc>
          <w:tcPr>
            <w:tcW w:w="934" w:type="dxa"/>
            <w:tcBorders>
              <w:top w:val="single" w:sz="2" w:space="0" w:color="auto"/>
              <w:bottom w:val="single" w:sz="12" w:space="0" w:color="auto"/>
            </w:tcBorders>
            <w:shd w:val="clear" w:color="auto" w:fill="B6DDE8" w:themeFill="accent5" w:themeFillTint="66"/>
            <w:noWrap/>
            <w:vAlign w:val="bottom"/>
            <w:hideMark/>
          </w:tcPr>
          <w:p w:rsidR="006D3D04" w:rsidRPr="001D4DA0" w:rsidRDefault="006D3D04" w:rsidP="006D3D04">
            <w:pPr>
              <w:widowControl/>
              <w:spacing w:after="0" w:line="240" w:lineRule="auto"/>
              <w:ind w:firstLine="0"/>
              <w:contextualSpacing w:val="0"/>
              <w:jc w:val="center"/>
              <w:rPr>
                <w:rFonts w:eastAsia="Times New Roman"/>
                <w:b/>
                <w:bCs/>
                <w:sz w:val="15"/>
                <w:szCs w:val="15"/>
              </w:rPr>
            </w:pPr>
            <w:r w:rsidRPr="001D4DA0">
              <w:rPr>
                <w:rFonts w:eastAsia="Times New Roman"/>
                <w:b/>
                <w:bCs/>
                <w:sz w:val="15"/>
                <w:szCs w:val="15"/>
              </w:rPr>
              <w:t>1</w:t>
            </w:r>
            <w:r>
              <w:rPr>
                <w:rFonts w:eastAsia="Times New Roman"/>
                <w:b/>
                <w:bCs/>
                <w:sz w:val="15"/>
                <w:szCs w:val="15"/>
              </w:rPr>
              <w:t> 823</w:t>
            </w:r>
          </w:p>
        </w:tc>
        <w:tc>
          <w:tcPr>
            <w:tcW w:w="934" w:type="dxa"/>
            <w:tcBorders>
              <w:top w:val="single" w:sz="2" w:space="0" w:color="auto"/>
              <w:bottom w:val="single" w:sz="12" w:space="0" w:color="auto"/>
            </w:tcBorders>
            <w:shd w:val="clear" w:color="auto" w:fill="B6DDE8" w:themeFill="accent5" w:themeFillTint="66"/>
            <w:noWrap/>
            <w:vAlign w:val="bottom"/>
            <w:hideMark/>
          </w:tcPr>
          <w:p w:rsidR="006D3D04" w:rsidRPr="001D4DA0"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456</w:t>
            </w:r>
          </w:p>
        </w:tc>
      </w:tr>
      <w:tr w:rsidR="006D3D04" w:rsidRPr="00530469" w:rsidTr="006D3D04">
        <w:trPr>
          <w:trHeight w:val="195"/>
        </w:trPr>
        <w:tc>
          <w:tcPr>
            <w:tcW w:w="366" w:type="dxa"/>
            <w:tcBorders>
              <w:top w:val="single" w:sz="2" w:space="0" w:color="auto"/>
              <w:left w:val="single" w:sz="12" w:space="0" w:color="auto"/>
              <w:bottom w:val="single" w:sz="12" w:space="0" w:color="auto"/>
              <w:right w:val="single" w:sz="2" w:space="0" w:color="auto"/>
            </w:tcBorders>
            <w:shd w:val="clear" w:color="auto" w:fill="D9D9D9" w:themeFill="background1" w:themeFillShade="D9"/>
            <w:vAlign w:val="center"/>
          </w:tcPr>
          <w:p w:rsidR="006D3D04" w:rsidRPr="00530469" w:rsidRDefault="006D3D04" w:rsidP="006D3D04">
            <w:pPr>
              <w:widowControl/>
              <w:spacing w:after="0" w:line="240" w:lineRule="auto"/>
              <w:ind w:firstLine="0"/>
              <w:contextualSpacing w:val="0"/>
              <w:jc w:val="center"/>
              <w:rPr>
                <w:rFonts w:eastAsia="Times New Roman"/>
                <w:b/>
                <w:sz w:val="15"/>
                <w:szCs w:val="15"/>
              </w:rPr>
            </w:pPr>
          </w:p>
        </w:tc>
        <w:tc>
          <w:tcPr>
            <w:tcW w:w="1974" w:type="dxa"/>
            <w:tcBorders>
              <w:top w:val="single" w:sz="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6D3D04" w:rsidRPr="00530469" w:rsidRDefault="006D3D04" w:rsidP="006D3D04">
            <w:pPr>
              <w:widowControl/>
              <w:spacing w:after="0" w:line="240" w:lineRule="auto"/>
              <w:ind w:firstLine="0"/>
              <w:contextualSpacing w:val="0"/>
              <w:jc w:val="center"/>
              <w:rPr>
                <w:rFonts w:eastAsia="Times New Roman"/>
                <w:b/>
                <w:sz w:val="15"/>
                <w:szCs w:val="15"/>
              </w:rPr>
            </w:pPr>
            <w:r w:rsidRPr="00530469">
              <w:rPr>
                <w:rFonts w:eastAsia="Times New Roman"/>
                <w:b/>
                <w:sz w:val="15"/>
                <w:szCs w:val="15"/>
              </w:rPr>
              <w:t>Šeimos tipas (aktyvus vienas)</w:t>
            </w:r>
          </w:p>
        </w:tc>
        <w:tc>
          <w:tcPr>
            <w:tcW w:w="1051" w:type="dxa"/>
            <w:tcBorders>
              <w:top w:val="single" w:sz="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6D3D04" w:rsidRPr="00530469" w:rsidRDefault="006D3D04" w:rsidP="006D3D04">
            <w:pPr>
              <w:widowControl/>
              <w:spacing w:after="0" w:line="240" w:lineRule="auto"/>
              <w:ind w:firstLine="0"/>
              <w:contextualSpacing w:val="0"/>
              <w:jc w:val="center"/>
              <w:rPr>
                <w:rFonts w:eastAsia="Times New Roman"/>
                <w:b/>
                <w:sz w:val="15"/>
                <w:szCs w:val="15"/>
              </w:rPr>
            </w:pPr>
            <w:r w:rsidRPr="00530469">
              <w:rPr>
                <w:rFonts w:eastAsia="Times New Roman"/>
                <w:b/>
                <w:sz w:val="15"/>
                <w:szCs w:val="15"/>
              </w:rPr>
              <w:t>Darbo pajamos</w:t>
            </w:r>
          </w:p>
        </w:tc>
        <w:tc>
          <w:tcPr>
            <w:tcW w:w="813" w:type="dxa"/>
            <w:tcBorders>
              <w:top w:val="single" w:sz="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6D3D04" w:rsidRPr="00530469" w:rsidRDefault="006D3D04" w:rsidP="006D3D04">
            <w:pPr>
              <w:widowControl/>
              <w:spacing w:after="0" w:line="240" w:lineRule="auto"/>
              <w:ind w:firstLine="0"/>
              <w:contextualSpacing w:val="0"/>
              <w:jc w:val="center"/>
              <w:rPr>
                <w:rFonts w:eastAsia="Times New Roman"/>
                <w:b/>
                <w:sz w:val="15"/>
                <w:szCs w:val="15"/>
              </w:rPr>
            </w:pPr>
            <w:r w:rsidRPr="00530469">
              <w:rPr>
                <w:rFonts w:eastAsia="Times New Roman"/>
                <w:b/>
                <w:sz w:val="15"/>
                <w:szCs w:val="15"/>
              </w:rPr>
              <w:t>NPD / PNPD</w:t>
            </w:r>
          </w:p>
        </w:tc>
        <w:tc>
          <w:tcPr>
            <w:tcW w:w="813" w:type="dxa"/>
            <w:tcBorders>
              <w:top w:val="single" w:sz="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6D3D04" w:rsidRPr="00530469" w:rsidRDefault="006D3D04" w:rsidP="006D3D04">
            <w:pPr>
              <w:widowControl/>
              <w:spacing w:after="0" w:line="240" w:lineRule="auto"/>
              <w:ind w:firstLine="0"/>
              <w:contextualSpacing w:val="0"/>
              <w:jc w:val="center"/>
              <w:rPr>
                <w:rFonts w:eastAsia="Times New Roman"/>
                <w:b/>
                <w:sz w:val="15"/>
                <w:szCs w:val="15"/>
              </w:rPr>
            </w:pPr>
            <w:r w:rsidRPr="00530469">
              <w:rPr>
                <w:rFonts w:eastAsia="Times New Roman"/>
                <w:b/>
                <w:sz w:val="15"/>
                <w:szCs w:val="15"/>
              </w:rPr>
              <w:t>GPM</w:t>
            </w:r>
          </w:p>
        </w:tc>
        <w:tc>
          <w:tcPr>
            <w:tcW w:w="815" w:type="dxa"/>
            <w:tcBorders>
              <w:top w:val="single" w:sz="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6D3D04" w:rsidRPr="00530469" w:rsidRDefault="006D3D04" w:rsidP="006D3D04">
            <w:pPr>
              <w:widowControl/>
              <w:spacing w:after="0" w:line="240" w:lineRule="auto"/>
              <w:ind w:firstLine="0"/>
              <w:contextualSpacing w:val="0"/>
              <w:jc w:val="center"/>
              <w:rPr>
                <w:rFonts w:eastAsia="Times New Roman"/>
                <w:b/>
                <w:sz w:val="15"/>
                <w:szCs w:val="15"/>
              </w:rPr>
            </w:pPr>
            <w:r w:rsidRPr="00530469">
              <w:rPr>
                <w:rFonts w:eastAsia="Times New Roman"/>
                <w:b/>
                <w:sz w:val="15"/>
                <w:szCs w:val="15"/>
              </w:rPr>
              <w:t>SD įmokos</w:t>
            </w:r>
          </w:p>
        </w:tc>
        <w:tc>
          <w:tcPr>
            <w:tcW w:w="934" w:type="dxa"/>
            <w:tcBorders>
              <w:top w:val="single" w:sz="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6D3D04" w:rsidRPr="00530469" w:rsidRDefault="006D3D04" w:rsidP="006D3D04">
            <w:pPr>
              <w:widowControl/>
              <w:spacing w:after="0" w:line="240" w:lineRule="auto"/>
              <w:ind w:firstLine="0"/>
              <w:contextualSpacing w:val="0"/>
              <w:jc w:val="center"/>
              <w:rPr>
                <w:rFonts w:eastAsia="Times New Roman"/>
                <w:b/>
                <w:sz w:val="15"/>
                <w:szCs w:val="15"/>
              </w:rPr>
            </w:pPr>
            <w:r w:rsidRPr="00530469">
              <w:rPr>
                <w:rFonts w:eastAsia="Times New Roman"/>
                <w:b/>
                <w:sz w:val="15"/>
                <w:szCs w:val="15"/>
              </w:rPr>
              <w:t>NETO pajamos</w:t>
            </w:r>
          </w:p>
        </w:tc>
        <w:tc>
          <w:tcPr>
            <w:tcW w:w="933" w:type="dxa"/>
            <w:tcBorders>
              <w:top w:val="single" w:sz="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6D3D04" w:rsidRPr="00530469" w:rsidRDefault="006D3D04" w:rsidP="006D3D04">
            <w:pPr>
              <w:widowControl/>
              <w:spacing w:after="0" w:line="240" w:lineRule="auto"/>
              <w:ind w:firstLine="0"/>
              <w:contextualSpacing w:val="0"/>
              <w:jc w:val="center"/>
              <w:rPr>
                <w:rFonts w:eastAsia="Times New Roman"/>
                <w:b/>
                <w:sz w:val="15"/>
                <w:szCs w:val="15"/>
              </w:rPr>
            </w:pPr>
            <w:r w:rsidRPr="00530469">
              <w:rPr>
                <w:rFonts w:eastAsia="Times New Roman"/>
                <w:b/>
                <w:sz w:val="15"/>
                <w:szCs w:val="15"/>
              </w:rPr>
              <w:t>NDI / SP</w:t>
            </w:r>
          </w:p>
        </w:tc>
        <w:tc>
          <w:tcPr>
            <w:tcW w:w="667" w:type="dxa"/>
            <w:tcBorders>
              <w:top w:val="single" w:sz="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6D3D04" w:rsidRPr="00530469" w:rsidRDefault="006D3D04" w:rsidP="006D3D04">
            <w:pPr>
              <w:widowControl/>
              <w:spacing w:after="0" w:line="240" w:lineRule="auto"/>
              <w:ind w:firstLine="0"/>
              <w:contextualSpacing w:val="0"/>
              <w:jc w:val="center"/>
              <w:rPr>
                <w:rFonts w:eastAsia="Times New Roman"/>
                <w:b/>
                <w:sz w:val="15"/>
                <w:szCs w:val="15"/>
              </w:rPr>
            </w:pPr>
            <w:r w:rsidRPr="00530469">
              <w:rPr>
                <w:rFonts w:eastAsia="Times New Roman"/>
                <w:b/>
                <w:sz w:val="15"/>
                <w:szCs w:val="15"/>
              </w:rPr>
              <w:t>Komp</w:t>
            </w:r>
            <w:r w:rsidRPr="00530469">
              <w:rPr>
                <w:rFonts w:eastAsia="Times New Roman"/>
                <w:b/>
                <w:sz w:val="15"/>
                <w:szCs w:val="15"/>
                <w:vertAlign w:val="subscript"/>
              </w:rPr>
              <w:t>1</w:t>
            </w:r>
          </w:p>
        </w:tc>
        <w:tc>
          <w:tcPr>
            <w:tcW w:w="667" w:type="dxa"/>
            <w:tcBorders>
              <w:top w:val="single" w:sz="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6D3D04" w:rsidRPr="00530469" w:rsidRDefault="006D3D04" w:rsidP="006D3D04">
            <w:pPr>
              <w:widowControl/>
              <w:spacing w:after="0" w:line="240" w:lineRule="auto"/>
              <w:ind w:firstLine="0"/>
              <w:contextualSpacing w:val="0"/>
              <w:jc w:val="center"/>
              <w:rPr>
                <w:rFonts w:eastAsia="Times New Roman"/>
                <w:b/>
                <w:sz w:val="15"/>
                <w:szCs w:val="15"/>
              </w:rPr>
            </w:pPr>
            <w:r w:rsidRPr="00530469">
              <w:rPr>
                <w:rFonts w:eastAsia="Times New Roman"/>
                <w:b/>
                <w:sz w:val="15"/>
                <w:szCs w:val="15"/>
              </w:rPr>
              <w:t>Komp</w:t>
            </w:r>
            <w:r w:rsidRPr="00530469">
              <w:rPr>
                <w:rFonts w:eastAsia="Times New Roman"/>
                <w:b/>
                <w:sz w:val="15"/>
                <w:szCs w:val="15"/>
                <w:vertAlign w:val="subscript"/>
              </w:rPr>
              <w:t>2</w:t>
            </w:r>
          </w:p>
        </w:tc>
        <w:tc>
          <w:tcPr>
            <w:tcW w:w="667" w:type="dxa"/>
            <w:tcBorders>
              <w:top w:val="single" w:sz="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6D3D04" w:rsidRPr="00530469" w:rsidRDefault="006D3D04" w:rsidP="006D3D04">
            <w:pPr>
              <w:widowControl/>
              <w:spacing w:after="0" w:line="240" w:lineRule="auto"/>
              <w:ind w:firstLine="0"/>
              <w:contextualSpacing w:val="0"/>
              <w:jc w:val="center"/>
              <w:rPr>
                <w:rFonts w:eastAsia="Times New Roman"/>
                <w:b/>
                <w:sz w:val="15"/>
                <w:szCs w:val="15"/>
              </w:rPr>
            </w:pPr>
            <w:r w:rsidRPr="00530469">
              <w:rPr>
                <w:rFonts w:eastAsia="Times New Roman"/>
                <w:b/>
                <w:sz w:val="15"/>
                <w:szCs w:val="15"/>
              </w:rPr>
              <w:t>Komp</w:t>
            </w:r>
            <w:r w:rsidRPr="00530469">
              <w:rPr>
                <w:rFonts w:eastAsia="Times New Roman"/>
                <w:b/>
                <w:sz w:val="15"/>
                <w:szCs w:val="15"/>
                <w:vertAlign w:val="subscript"/>
              </w:rPr>
              <w:t>3</w:t>
            </w:r>
          </w:p>
        </w:tc>
        <w:tc>
          <w:tcPr>
            <w:tcW w:w="821" w:type="dxa"/>
            <w:tcBorders>
              <w:top w:val="single" w:sz="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6D3D04" w:rsidRPr="00530469" w:rsidRDefault="006D3D04" w:rsidP="006D3D04">
            <w:pPr>
              <w:widowControl/>
              <w:spacing w:after="0" w:line="240" w:lineRule="auto"/>
              <w:ind w:firstLine="0"/>
              <w:contextualSpacing w:val="0"/>
              <w:jc w:val="center"/>
              <w:rPr>
                <w:rFonts w:eastAsia="Times New Roman"/>
                <w:b/>
                <w:sz w:val="15"/>
                <w:szCs w:val="15"/>
              </w:rPr>
            </w:pPr>
            <w:r w:rsidRPr="00530469">
              <w:rPr>
                <w:rFonts w:eastAsia="Times New Roman"/>
                <w:b/>
                <w:sz w:val="15"/>
                <w:szCs w:val="15"/>
              </w:rPr>
              <w:t>Parama vaikams</w:t>
            </w:r>
          </w:p>
        </w:tc>
        <w:tc>
          <w:tcPr>
            <w:tcW w:w="908" w:type="dxa"/>
            <w:tcBorders>
              <w:top w:val="single" w:sz="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6D3D04" w:rsidRPr="00530469" w:rsidRDefault="006D3D04" w:rsidP="006D3D04">
            <w:pPr>
              <w:widowControl/>
              <w:spacing w:after="0" w:line="240" w:lineRule="auto"/>
              <w:ind w:firstLine="0"/>
              <w:contextualSpacing w:val="0"/>
              <w:jc w:val="center"/>
              <w:rPr>
                <w:rFonts w:eastAsia="Times New Roman"/>
                <w:b/>
                <w:sz w:val="15"/>
                <w:szCs w:val="15"/>
              </w:rPr>
            </w:pPr>
            <w:r w:rsidRPr="00530469">
              <w:rPr>
                <w:rFonts w:eastAsia="Times New Roman"/>
                <w:b/>
                <w:sz w:val="15"/>
                <w:szCs w:val="15"/>
              </w:rPr>
              <w:t>Išlaikymas</w:t>
            </w:r>
          </w:p>
        </w:tc>
        <w:tc>
          <w:tcPr>
            <w:tcW w:w="934" w:type="dxa"/>
            <w:tcBorders>
              <w:top w:val="single" w:sz="2" w:space="0" w:color="auto"/>
              <w:left w:val="single" w:sz="12" w:space="0" w:color="auto"/>
              <w:bottom w:val="single" w:sz="12" w:space="0" w:color="auto"/>
              <w:right w:val="single" w:sz="2" w:space="0" w:color="auto"/>
            </w:tcBorders>
            <w:shd w:val="clear" w:color="auto" w:fill="D9D9D9" w:themeFill="background1" w:themeFillShade="D9"/>
            <w:noWrap/>
            <w:vAlign w:val="center"/>
            <w:hideMark/>
          </w:tcPr>
          <w:p w:rsidR="006D3D04" w:rsidRPr="00530469" w:rsidRDefault="006D3D04" w:rsidP="006D3D04">
            <w:pPr>
              <w:widowControl/>
              <w:spacing w:after="0" w:line="240" w:lineRule="auto"/>
              <w:ind w:firstLine="0"/>
              <w:contextualSpacing w:val="0"/>
              <w:jc w:val="center"/>
              <w:rPr>
                <w:rFonts w:eastAsia="Times New Roman"/>
                <w:b/>
                <w:bCs/>
                <w:sz w:val="15"/>
                <w:szCs w:val="15"/>
              </w:rPr>
            </w:pPr>
            <w:r w:rsidRPr="00530469">
              <w:rPr>
                <w:rFonts w:eastAsia="Times New Roman"/>
                <w:b/>
                <w:bCs/>
                <w:sz w:val="15"/>
                <w:szCs w:val="15"/>
              </w:rPr>
              <w:t>GEROVĖ:</w:t>
            </w:r>
          </w:p>
        </w:tc>
        <w:tc>
          <w:tcPr>
            <w:tcW w:w="934" w:type="dxa"/>
            <w:tcBorders>
              <w:top w:val="single" w:sz="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rsidR="006D3D04" w:rsidRPr="00530469" w:rsidRDefault="006D3D04" w:rsidP="006D3D04">
            <w:pPr>
              <w:widowControl/>
              <w:spacing w:after="0" w:line="240" w:lineRule="auto"/>
              <w:ind w:firstLine="0"/>
              <w:contextualSpacing w:val="0"/>
              <w:jc w:val="center"/>
              <w:rPr>
                <w:rFonts w:eastAsia="Times New Roman"/>
                <w:b/>
                <w:bCs/>
                <w:sz w:val="15"/>
                <w:szCs w:val="15"/>
              </w:rPr>
            </w:pPr>
            <w:r w:rsidRPr="00530469">
              <w:rPr>
                <w:rFonts w:eastAsia="Times New Roman"/>
                <w:b/>
                <w:bCs/>
                <w:sz w:val="15"/>
                <w:szCs w:val="15"/>
              </w:rPr>
              <w:t>Vienam asmeniui:</w:t>
            </w:r>
          </w:p>
        </w:tc>
      </w:tr>
      <w:tr w:rsidR="006D3D04" w:rsidRPr="00C04485" w:rsidTr="006D3D04">
        <w:trPr>
          <w:trHeight w:val="195"/>
        </w:trPr>
        <w:tc>
          <w:tcPr>
            <w:tcW w:w="366" w:type="dxa"/>
            <w:vMerge w:val="restart"/>
            <w:tcBorders>
              <w:top w:val="single" w:sz="2" w:space="0" w:color="auto"/>
              <w:left w:val="single" w:sz="12" w:space="0" w:color="auto"/>
              <w:bottom w:val="single" w:sz="2" w:space="0" w:color="auto"/>
              <w:right w:val="single" w:sz="2" w:space="0" w:color="auto"/>
            </w:tcBorders>
            <w:shd w:val="clear" w:color="auto" w:fill="D9D9D9" w:themeFill="background1" w:themeFillShade="D9"/>
            <w:vAlign w:val="center"/>
          </w:tcPr>
          <w:p w:rsidR="006D3D04" w:rsidRPr="00BB5925" w:rsidRDefault="006D3D04" w:rsidP="006D3D04">
            <w:pPr>
              <w:widowControl/>
              <w:spacing w:after="0" w:line="240" w:lineRule="auto"/>
              <w:ind w:firstLine="0"/>
              <w:contextualSpacing w:val="0"/>
              <w:jc w:val="center"/>
              <w:rPr>
                <w:rFonts w:eastAsia="Times New Roman"/>
                <w:b/>
                <w:sz w:val="15"/>
                <w:szCs w:val="15"/>
              </w:rPr>
            </w:pPr>
            <w:r>
              <w:rPr>
                <w:rFonts w:eastAsia="Times New Roman"/>
                <w:b/>
                <w:sz w:val="15"/>
                <w:szCs w:val="15"/>
              </w:rPr>
              <w:t>1</w:t>
            </w:r>
          </w:p>
        </w:tc>
        <w:tc>
          <w:tcPr>
            <w:tcW w:w="1974" w:type="dxa"/>
            <w:tcBorders>
              <w:top w:val="single" w:sz="12" w:space="0" w:color="auto"/>
              <w:left w:val="single" w:sz="12" w:space="0" w:color="auto"/>
              <w:bottom w:val="single" w:sz="2" w:space="0" w:color="auto"/>
              <w:right w:val="single" w:sz="2" w:space="0" w:color="auto"/>
            </w:tcBorders>
            <w:shd w:val="clear" w:color="auto" w:fill="B8CCE4" w:themeFill="accent1" w:themeFillTint="66"/>
            <w:noWrap/>
            <w:vAlign w:val="bottom"/>
            <w:hideMark/>
          </w:tcPr>
          <w:p w:rsidR="006D3D04" w:rsidRPr="00C04485" w:rsidRDefault="006D3D04" w:rsidP="006D3D04">
            <w:pPr>
              <w:widowControl/>
              <w:spacing w:after="0" w:line="240" w:lineRule="auto"/>
              <w:ind w:firstLine="0"/>
              <w:contextualSpacing w:val="0"/>
              <w:jc w:val="left"/>
              <w:rPr>
                <w:rFonts w:eastAsia="Times New Roman"/>
                <w:sz w:val="15"/>
                <w:szCs w:val="15"/>
              </w:rPr>
            </w:pPr>
            <w:r w:rsidRPr="00C04485">
              <w:rPr>
                <w:rFonts w:eastAsia="Times New Roman"/>
                <w:sz w:val="15"/>
                <w:szCs w:val="15"/>
              </w:rPr>
              <w:t>1</w:t>
            </w:r>
            <w:r>
              <w:rPr>
                <w:rFonts w:eastAsia="Times New Roman"/>
                <w:sz w:val="15"/>
                <w:szCs w:val="15"/>
              </w:rPr>
              <w:t xml:space="preserve"> D, 40</w:t>
            </w:r>
            <w:r w:rsidRPr="00C04485">
              <w:rPr>
                <w:rFonts w:eastAsia="Times New Roman"/>
                <w:sz w:val="15"/>
                <w:szCs w:val="15"/>
              </w:rPr>
              <w:t xml:space="preserve"> %</w:t>
            </w:r>
          </w:p>
        </w:tc>
        <w:tc>
          <w:tcPr>
            <w:tcW w:w="1051" w:type="dxa"/>
            <w:tcBorders>
              <w:top w:val="single" w:sz="12" w:space="0" w:color="auto"/>
              <w:left w:val="single" w:sz="12" w:space="0" w:color="auto"/>
              <w:bottom w:val="single" w:sz="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850</w:t>
            </w:r>
          </w:p>
        </w:tc>
        <w:tc>
          <w:tcPr>
            <w:tcW w:w="813" w:type="dxa"/>
            <w:tcBorders>
              <w:top w:val="single" w:sz="12" w:space="0" w:color="auto"/>
              <w:left w:val="single" w:sz="12" w:space="0" w:color="auto"/>
              <w:bottom w:val="single" w:sz="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460</w:t>
            </w:r>
            <w:r>
              <w:rPr>
                <w:rFonts w:eastAsia="Times New Roman"/>
                <w:sz w:val="15"/>
                <w:szCs w:val="15"/>
              </w:rPr>
              <w:t xml:space="preserve"> / 0</w:t>
            </w:r>
          </w:p>
        </w:tc>
        <w:tc>
          <w:tcPr>
            <w:tcW w:w="813" w:type="dxa"/>
            <w:tcBorders>
              <w:top w:val="single" w:sz="12" w:space="0" w:color="auto"/>
              <w:left w:val="single" w:sz="12" w:space="0" w:color="auto"/>
              <w:bottom w:val="single" w:sz="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59</w:t>
            </w:r>
          </w:p>
        </w:tc>
        <w:tc>
          <w:tcPr>
            <w:tcW w:w="815" w:type="dxa"/>
            <w:tcBorders>
              <w:top w:val="single" w:sz="12" w:space="0" w:color="auto"/>
              <w:left w:val="single" w:sz="12" w:space="0" w:color="auto"/>
              <w:bottom w:val="single" w:sz="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77</w:t>
            </w:r>
          </w:p>
        </w:tc>
        <w:tc>
          <w:tcPr>
            <w:tcW w:w="934" w:type="dxa"/>
            <w:tcBorders>
              <w:top w:val="single" w:sz="12" w:space="0" w:color="auto"/>
              <w:left w:val="single" w:sz="12" w:space="0" w:color="auto"/>
              <w:bottom w:val="single" w:sz="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714</w:t>
            </w:r>
          </w:p>
        </w:tc>
        <w:tc>
          <w:tcPr>
            <w:tcW w:w="933" w:type="dxa"/>
            <w:tcBorders>
              <w:top w:val="single" w:sz="12" w:space="0" w:color="auto"/>
              <w:left w:val="single" w:sz="12" w:space="0" w:color="auto"/>
              <w:bottom w:val="single" w:sz="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227 / 0</w:t>
            </w:r>
          </w:p>
        </w:tc>
        <w:tc>
          <w:tcPr>
            <w:tcW w:w="667" w:type="dxa"/>
            <w:tcBorders>
              <w:top w:val="single" w:sz="12" w:space="0" w:color="auto"/>
              <w:left w:val="single" w:sz="12" w:space="0" w:color="auto"/>
              <w:bottom w:val="single" w:sz="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377</w:t>
            </w:r>
          </w:p>
        </w:tc>
        <w:tc>
          <w:tcPr>
            <w:tcW w:w="667" w:type="dxa"/>
            <w:tcBorders>
              <w:top w:val="single" w:sz="12" w:space="0" w:color="auto"/>
              <w:left w:val="single" w:sz="12" w:space="0" w:color="auto"/>
              <w:bottom w:val="single" w:sz="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667" w:type="dxa"/>
            <w:tcBorders>
              <w:top w:val="single" w:sz="12" w:space="0" w:color="auto"/>
              <w:left w:val="single" w:sz="12" w:space="0" w:color="auto"/>
              <w:bottom w:val="single" w:sz="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21" w:type="dxa"/>
            <w:tcBorders>
              <w:top w:val="single" w:sz="12" w:space="0" w:color="auto"/>
              <w:left w:val="single" w:sz="12" w:space="0" w:color="auto"/>
              <w:bottom w:val="single" w:sz="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08" w:type="dxa"/>
            <w:tcBorders>
              <w:top w:val="single" w:sz="12" w:space="0" w:color="auto"/>
              <w:left w:val="single" w:sz="12" w:space="0" w:color="auto"/>
              <w:bottom w:val="single" w:sz="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4" w:type="dxa"/>
            <w:tcBorders>
              <w:top w:val="single" w:sz="12" w:space="0" w:color="auto"/>
              <w:left w:val="single" w:sz="12" w:space="0" w:color="auto"/>
              <w:bottom w:val="single" w:sz="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1 318</w:t>
            </w:r>
          </w:p>
        </w:tc>
        <w:tc>
          <w:tcPr>
            <w:tcW w:w="934" w:type="dxa"/>
            <w:tcBorders>
              <w:top w:val="single" w:sz="12" w:space="0" w:color="auto"/>
              <w:left w:val="single" w:sz="12" w:space="0" w:color="auto"/>
              <w:bottom w:val="single" w:sz="2" w:space="0" w:color="auto"/>
              <w:right w:val="single" w:sz="1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1 318</w:t>
            </w:r>
          </w:p>
        </w:tc>
      </w:tr>
      <w:tr w:rsidR="006D3D04" w:rsidRPr="00C04485" w:rsidTr="006D3D04">
        <w:trPr>
          <w:trHeight w:val="195"/>
        </w:trPr>
        <w:tc>
          <w:tcPr>
            <w:tcW w:w="366" w:type="dxa"/>
            <w:vMerge/>
            <w:tcBorders>
              <w:top w:val="single" w:sz="2" w:space="0" w:color="auto"/>
              <w:left w:val="single" w:sz="12" w:space="0" w:color="auto"/>
              <w:bottom w:val="single" w:sz="12" w:space="0" w:color="auto"/>
              <w:right w:val="single" w:sz="2" w:space="0" w:color="auto"/>
            </w:tcBorders>
            <w:shd w:val="clear" w:color="auto" w:fill="D9D9D9" w:themeFill="background1" w:themeFillShade="D9"/>
            <w:vAlign w:val="center"/>
          </w:tcPr>
          <w:p w:rsidR="006D3D04" w:rsidRPr="00BB5925" w:rsidRDefault="006D3D04" w:rsidP="006D3D04">
            <w:pPr>
              <w:widowControl/>
              <w:spacing w:after="0" w:line="240" w:lineRule="auto"/>
              <w:ind w:firstLine="0"/>
              <w:contextualSpacing w:val="0"/>
              <w:jc w:val="center"/>
              <w:rPr>
                <w:rFonts w:eastAsia="Times New Roman"/>
                <w:b/>
                <w:sz w:val="15"/>
                <w:szCs w:val="15"/>
              </w:rPr>
            </w:pPr>
          </w:p>
        </w:tc>
        <w:tc>
          <w:tcPr>
            <w:tcW w:w="1974" w:type="dxa"/>
            <w:tcBorders>
              <w:top w:val="single" w:sz="2" w:space="0" w:color="auto"/>
              <w:left w:val="single" w:sz="12" w:space="0" w:color="auto"/>
              <w:bottom w:val="single" w:sz="12" w:space="0" w:color="auto"/>
              <w:right w:val="single" w:sz="2" w:space="0" w:color="auto"/>
            </w:tcBorders>
            <w:shd w:val="clear" w:color="auto" w:fill="B8CCE4" w:themeFill="accent1" w:themeFillTint="66"/>
            <w:noWrap/>
            <w:vAlign w:val="bottom"/>
            <w:hideMark/>
          </w:tcPr>
          <w:p w:rsidR="006D3D04" w:rsidRPr="00C04485" w:rsidRDefault="006D3D04" w:rsidP="006D3D04">
            <w:pPr>
              <w:widowControl/>
              <w:spacing w:after="0" w:line="240" w:lineRule="auto"/>
              <w:ind w:firstLine="0"/>
              <w:contextualSpacing w:val="0"/>
              <w:jc w:val="left"/>
              <w:rPr>
                <w:rFonts w:eastAsia="Times New Roman"/>
                <w:sz w:val="15"/>
                <w:szCs w:val="15"/>
              </w:rPr>
            </w:pPr>
            <w:r>
              <w:rPr>
                <w:rFonts w:eastAsia="Times New Roman"/>
                <w:sz w:val="15"/>
                <w:szCs w:val="15"/>
              </w:rPr>
              <w:t>1 D, 40</w:t>
            </w:r>
            <w:r w:rsidRPr="00C04485">
              <w:rPr>
                <w:rFonts w:eastAsia="Times New Roman"/>
                <w:sz w:val="15"/>
                <w:szCs w:val="15"/>
              </w:rPr>
              <w:t xml:space="preserve"> %</w:t>
            </w:r>
          </w:p>
        </w:tc>
        <w:tc>
          <w:tcPr>
            <w:tcW w:w="1051" w:type="dxa"/>
            <w:tcBorders>
              <w:top w:val="single" w:sz="2" w:space="0" w:color="auto"/>
              <w:left w:val="single" w:sz="12" w:space="0" w:color="auto"/>
              <w:bottom w:val="single" w:sz="12" w:space="0" w:color="auto"/>
              <w:right w:val="single" w:sz="2" w:space="0" w:color="auto"/>
            </w:tcBorders>
            <w:shd w:val="clear" w:color="auto" w:fill="B8CCE4" w:themeFill="accent1"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sz w:val="15"/>
                <w:szCs w:val="15"/>
              </w:rPr>
            </w:pPr>
            <w:r w:rsidRPr="00C04485">
              <w:rPr>
                <w:rFonts w:eastAsia="Times New Roman"/>
                <w:sz w:val="15"/>
                <w:szCs w:val="15"/>
              </w:rPr>
              <w:t>1</w:t>
            </w:r>
            <w:r>
              <w:rPr>
                <w:rFonts w:eastAsia="Times New Roman"/>
                <w:sz w:val="15"/>
                <w:szCs w:val="15"/>
              </w:rPr>
              <w:t> </w:t>
            </w:r>
            <w:r w:rsidRPr="00C04485">
              <w:rPr>
                <w:rFonts w:eastAsia="Times New Roman"/>
                <w:sz w:val="15"/>
                <w:szCs w:val="15"/>
              </w:rPr>
              <w:t>100</w:t>
            </w:r>
          </w:p>
        </w:tc>
        <w:tc>
          <w:tcPr>
            <w:tcW w:w="813" w:type="dxa"/>
            <w:tcBorders>
              <w:top w:val="single" w:sz="2" w:space="0" w:color="auto"/>
              <w:left w:val="single" w:sz="12" w:space="0" w:color="auto"/>
              <w:bottom w:val="single" w:sz="1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410</w:t>
            </w:r>
            <w:r>
              <w:rPr>
                <w:rFonts w:eastAsia="Times New Roman"/>
                <w:sz w:val="15"/>
                <w:szCs w:val="15"/>
              </w:rPr>
              <w:t xml:space="preserve"> / 0</w:t>
            </w:r>
          </w:p>
        </w:tc>
        <w:tc>
          <w:tcPr>
            <w:tcW w:w="813" w:type="dxa"/>
            <w:tcBorders>
              <w:top w:val="single" w:sz="2" w:space="0" w:color="auto"/>
              <w:left w:val="single" w:sz="12" w:space="0" w:color="auto"/>
              <w:bottom w:val="single" w:sz="1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104</w:t>
            </w:r>
          </w:p>
        </w:tc>
        <w:tc>
          <w:tcPr>
            <w:tcW w:w="815" w:type="dxa"/>
            <w:tcBorders>
              <w:top w:val="single" w:sz="2" w:space="0" w:color="auto"/>
              <w:left w:val="single" w:sz="12" w:space="0" w:color="auto"/>
              <w:bottom w:val="single" w:sz="1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99</w:t>
            </w:r>
          </w:p>
        </w:tc>
        <w:tc>
          <w:tcPr>
            <w:tcW w:w="934" w:type="dxa"/>
            <w:tcBorders>
              <w:top w:val="single" w:sz="2" w:space="0" w:color="auto"/>
              <w:left w:val="single" w:sz="12" w:space="0" w:color="auto"/>
              <w:bottom w:val="single" w:sz="1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897</w:t>
            </w:r>
          </w:p>
        </w:tc>
        <w:tc>
          <w:tcPr>
            <w:tcW w:w="933" w:type="dxa"/>
            <w:tcBorders>
              <w:top w:val="single" w:sz="2" w:space="0" w:color="auto"/>
              <w:left w:val="single" w:sz="12" w:space="0" w:color="auto"/>
              <w:bottom w:val="single" w:sz="1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227 / 0</w:t>
            </w:r>
          </w:p>
        </w:tc>
        <w:tc>
          <w:tcPr>
            <w:tcW w:w="667" w:type="dxa"/>
            <w:tcBorders>
              <w:top w:val="single" w:sz="2" w:space="0" w:color="auto"/>
              <w:left w:val="single" w:sz="12" w:space="0" w:color="auto"/>
              <w:bottom w:val="single" w:sz="1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340</w:t>
            </w:r>
          </w:p>
        </w:tc>
        <w:tc>
          <w:tcPr>
            <w:tcW w:w="667" w:type="dxa"/>
            <w:tcBorders>
              <w:top w:val="single" w:sz="2" w:space="0" w:color="auto"/>
              <w:left w:val="single" w:sz="12" w:space="0" w:color="auto"/>
              <w:bottom w:val="single" w:sz="1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667" w:type="dxa"/>
            <w:tcBorders>
              <w:top w:val="single" w:sz="2" w:space="0" w:color="auto"/>
              <w:left w:val="single" w:sz="12" w:space="0" w:color="auto"/>
              <w:bottom w:val="single" w:sz="1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821" w:type="dxa"/>
            <w:tcBorders>
              <w:top w:val="single" w:sz="2" w:space="0" w:color="auto"/>
              <w:left w:val="single" w:sz="12" w:space="0" w:color="auto"/>
              <w:bottom w:val="single" w:sz="1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08" w:type="dxa"/>
            <w:tcBorders>
              <w:top w:val="single" w:sz="2" w:space="0" w:color="auto"/>
              <w:left w:val="single" w:sz="12" w:space="0" w:color="auto"/>
              <w:bottom w:val="single" w:sz="1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w:t>
            </w:r>
          </w:p>
        </w:tc>
        <w:tc>
          <w:tcPr>
            <w:tcW w:w="934" w:type="dxa"/>
            <w:tcBorders>
              <w:top w:val="single" w:sz="2" w:space="0" w:color="auto"/>
              <w:left w:val="single" w:sz="12" w:space="0" w:color="auto"/>
              <w:bottom w:val="single" w:sz="12" w:space="0" w:color="auto"/>
              <w:right w:val="single" w:sz="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1 464</w:t>
            </w:r>
          </w:p>
        </w:tc>
        <w:tc>
          <w:tcPr>
            <w:tcW w:w="934" w:type="dxa"/>
            <w:tcBorders>
              <w:top w:val="single" w:sz="2" w:space="0" w:color="auto"/>
              <w:left w:val="single" w:sz="12" w:space="0" w:color="auto"/>
              <w:bottom w:val="single" w:sz="12" w:space="0" w:color="auto"/>
              <w:right w:val="single" w:sz="12" w:space="0" w:color="auto"/>
            </w:tcBorders>
            <w:shd w:val="clear" w:color="auto" w:fill="B8CCE4" w:themeFill="accent1"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1 464</w:t>
            </w:r>
          </w:p>
        </w:tc>
      </w:tr>
      <w:tr w:rsidR="006D3D04" w:rsidRPr="00C04485" w:rsidTr="006D3D04">
        <w:trPr>
          <w:trHeight w:val="195"/>
        </w:trPr>
        <w:tc>
          <w:tcPr>
            <w:tcW w:w="366" w:type="dxa"/>
            <w:vMerge w:val="restart"/>
            <w:tcBorders>
              <w:top w:val="single" w:sz="12" w:space="0" w:color="auto"/>
              <w:left w:val="single" w:sz="12" w:space="0" w:color="auto"/>
              <w:right w:val="single" w:sz="2" w:space="0" w:color="auto"/>
            </w:tcBorders>
            <w:shd w:val="clear" w:color="auto" w:fill="D9D9D9" w:themeFill="background1" w:themeFillShade="D9"/>
            <w:vAlign w:val="center"/>
          </w:tcPr>
          <w:p w:rsidR="006D3D04" w:rsidRPr="00BB5925" w:rsidRDefault="006D3D04" w:rsidP="006D3D04">
            <w:pPr>
              <w:widowControl/>
              <w:spacing w:after="0" w:line="240" w:lineRule="auto"/>
              <w:ind w:firstLine="0"/>
              <w:contextualSpacing w:val="0"/>
              <w:jc w:val="center"/>
              <w:rPr>
                <w:rFonts w:eastAsia="Times New Roman"/>
                <w:b/>
                <w:sz w:val="15"/>
                <w:szCs w:val="15"/>
              </w:rPr>
            </w:pPr>
            <w:r>
              <w:rPr>
                <w:rFonts w:eastAsia="Times New Roman"/>
                <w:b/>
                <w:sz w:val="15"/>
                <w:szCs w:val="15"/>
              </w:rPr>
              <w:t>2</w:t>
            </w:r>
          </w:p>
        </w:tc>
        <w:tc>
          <w:tcPr>
            <w:tcW w:w="1974" w:type="dxa"/>
            <w:tcBorders>
              <w:top w:val="single" w:sz="12" w:space="0" w:color="auto"/>
              <w:left w:val="single" w:sz="12" w:space="0" w:color="auto"/>
              <w:bottom w:val="single" w:sz="2" w:space="0" w:color="auto"/>
              <w:right w:val="single" w:sz="2" w:space="0" w:color="auto"/>
            </w:tcBorders>
            <w:shd w:val="clear" w:color="auto" w:fill="E5B8B7" w:themeFill="accent2" w:themeFillTint="66"/>
            <w:noWrap/>
            <w:vAlign w:val="bottom"/>
            <w:hideMark/>
          </w:tcPr>
          <w:p w:rsidR="006D3D04" w:rsidRPr="00C04485" w:rsidRDefault="006D3D04" w:rsidP="006D3D04">
            <w:pPr>
              <w:widowControl/>
              <w:spacing w:after="0" w:line="240" w:lineRule="auto"/>
              <w:ind w:firstLine="0"/>
              <w:contextualSpacing w:val="0"/>
              <w:jc w:val="left"/>
              <w:rPr>
                <w:rFonts w:eastAsia="Times New Roman"/>
                <w:sz w:val="15"/>
                <w:szCs w:val="15"/>
              </w:rPr>
            </w:pPr>
            <w:r>
              <w:rPr>
                <w:rFonts w:eastAsia="Times New Roman"/>
                <w:sz w:val="15"/>
                <w:szCs w:val="15"/>
              </w:rPr>
              <w:t>1 D + 1 V, 50 </w:t>
            </w:r>
            <w:r w:rsidRPr="00C04485">
              <w:rPr>
                <w:rFonts w:eastAsia="Times New Roman"/>
                <w:sz w:val="15"/>
                <w:szCs w:val="15"/>
              </w:rPr>
              <w:t>%</w:t>
            </w:r>
          </w:p>
        </w:tc>
        <w:tc>
          <w:tcPr>
            <w:tcW w:w="1051" w:type="dxa"/>
            <w:tcBorders>
              <w:top w:val="single" w:sz="12" w:space="0" w:color="auto"/>
              <w:left w:val="single" w:sz="12" w:space="0" w:color="auto"/>
              <w:bottom w:val="single" w:sz="2" w:space="0" w:color="auto"/>
              <w:right w:val="single" w:sz="2" w:space="0" w:color="auto"/>
            </w:tcBorders>
            <w:shd w:val="clear" w:color="auto" w:fill="E5B8B7" w:themeFill="accent2"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850</w:t>
            </w:r>
          </w:p>
        </w:tc>
        <w:tc>
          <w:tcPr>
            <w:tcW w:w="813" w:type="dxa"/>
            <w:tcBorders>
              <w:top w:val="single" w:sz="12" w:space="0" w:color="auto"/>
              <w:left w:val="single" w:sz="12" w:space="0" w:color="auto"/>
              <w:bottom w:val="single" w:sz="2" w:space="0" w:color="auto"/>
              <w:right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460 / 100</w:t>
            </w:r>
          </w:p>
        </w:tc>
        <w:tc>
          <w:tcPr>
            <w:tcW w:w="813" w:type="dxa"/>
            <w:tcBorders>
              <w:top w:val="single" w:sz="12" w:space="0" w:color="auto"/>
              <w:left w:val="single" w:sz="12" w:space="0" w:color="auto"/>
              <w:bottom w:val="single" w:sz="2" w:space="0" w:color="auto"/>
              <w:right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44</w:t>
            </w:r>
          </w:p>
        </w:tc>
        <w:tc>
          <w:tcPr>
            <w:tcW w:w="815" w:type="dxa"/>
            <w:tcBorders>
              <w:top w:val="single" w:sz="12" w:space="0" w:color="auto"/>
              <w:left w:val="single" w:sz="12" w:space="0" w:color="auto"/>
              <w:bottom w:val="single" w:sz="2" w:space="0" w:color="auto"/>
              <w:right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77</w:t>
            </w:r>
          </w:p>
        </w:tc>
        <w:tc>
          <w:tcPr>
            <w:tcW w:w="934" w:type="dxa"/>
            <w:tcBorders>
              <w:top w:val="single" w:sz="12" w:space="0" w:color="auto"/>
              <w:left w:val="single" w:sz="12" w:space="0" w:color="auto"/>
              <w:bottom w:val="single" w:sz="2" w:space="0" w:color="auto"/>
              <w:right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729</w:t>
            </w:r>
          </w:p>
        </w:tc>
        <w:tc>
          <w:tcPr>
            <w:tcW w:w="933" w:type="dxa"/>
            <w:tcBorders>
              <w:top w:val="single" w:sz="12" w:space="0" w:color="auto"/>
              <w:left w:val="single" w:sz="12" w:space="0" w:color="auto"/>
              <w:bottom w:val="single" w:sz="2" w:space="0" w:color="auto"/>
              <w:right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284 / 0</w:t>
            </w:r>
          </w:p>
        </w:tc>
        <w:tc>
          <w:tcPr>
            <w:tcW w:w="667" w:type="dxa"/>
            <w:tcBorders>
              <w:top w:val="single" w:sz="12" w:space="0" w:color="auto"/>
              <w:left w:val="single" w:sz="12" w:space="0" w:color="auto"/>
              <w:bottom w:val="single" w:sz="2" w:space="0" w:color="auto"/>
              <w:right w:val="single" w:sz="2" w:space="0" w:color="auto"/>
            </w:tcBorders>
            <w:shd w:val="clear" w:color="auto" w:fill="E5B8B7" w:themeFill="accent2"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406</w:t>
            </w:r>
          </w:p>
        </w:tc>
        <w:tc>
          <w:tcPr>
            <w:tcW w:w="667" w:type="dxa"/>
            <w:tcBorders>
              <w:top w:val="single" w:sz="12" w:space="0" w:color="auto"/>
              <w:left w:val="single" w:sz="12" w:space="0" w:color="auto"/>
              <w:bottom w:val="single" w:sz="2" w:space="0" w:color="auto"/>
              <w:right w:val="single" w:sz="2" w:space="0" w:color="auto"/>
            </w:tcBorders>
            <w:shd w:val="clear" w:color="auto" w:fill="E5B8B7" w:themeFill="accent2"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667" w:type="dxa"/>
            <w:tcBorders>
              <w:top w:val="single" w:sz="12" w:space="0" w:color="auto"/>
              <w:left w:val="single" w:sz="12" w:space="0" w:color="auto"/>
              <w:bottom w:val="single" w:sz="2" w:space="0" w:color="auto"/>
              <w:right w:val="single" w:sz="2" w:space="0" w:color="auto"/>
            </w:tcBorders>
            <w:shd w:val="clear" w:color="auto" w:fill="E5B8B7" w:themeFill="accent2"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821" w:type="dxa"/>
            <w:tcBorders>
              <w:top w:val="single" w:sz="12" w:space="0" w:color="auto"/>
              <w:left w:val="single" w:sz="12" w:space="0" w:color="auto"/>
              <w:bottom w:val="single" w:sz="2" w:space="0" w:color="auto"/>
              <w:right w:val="single" w:sz="2" w:space="0" w:color="auto"/>
            </w:tcBorders>
            <w:shd w:val="clear" w:color="auto" w:fill="E5B8B7" w:themeFill="accent2"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908" w:type="dxa"/>
            <w:tcBorders>
              <w:top w:val="single" w:sz="12" w:space="0" w:color="auto"/>
              <w:left w:val="single" w:sz="12" w:space="0" w:color="auto"/>
              <w:bottom w:val="single" w:sz="2" w:space="0" w:color="auto"/>
              <w:right w:val="single" w:sz="2" w:space="0" w:color="auto"/>
            </w:tcBorders>
            <w:shd w:val="clear" w:color="auto" w:fill="E5B8B7" w:themeFill="accent2"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130</w:t>
            </w:r>
          </w:p>
        </w:tc>
        <w:tc>
          <w:tcPr>
            <w:tcW w:w="934" w:type="dxa"/>
            <w:tcBorders>
              <w:top w:val="single" w:sz="12" w:space="0" w:color="auto"/>
              <w:left w:val="single" w:sz="12" w:space="0" w:color="auto"/>
              <w:bottom w:val="single" w:sz="2" w:space="0" w:color="auto"/>
              <w:right w:val="single" w:sz="2" w:space="0" w:color="auto"/>
            </w:tcBorders>
            <w:shd w:val="clear" w:color="auto" w:fill="E5B8B7" w:themeFill="accent2"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1 549</w:t>
            </w:r>
          </w:p>
        </w:tc>
        <w:tc>
          <w:tcPr>
            <w:tcW w:w="934" w:type="dxa"/>
            <w:tcBorders>
              <w:top w:val="single" w:sz="12" w:space="0" w:color="auto"/>
              <w:left w:val="single" w:sz="12" w:space="0" w:color="auto"/>
              <w:bottom w:val="single" w:sz="2" w:space="0" w:color="auto"/>
              <w:right w:val="single" w:sz="12" w:space="0" w:color="auto"/>
            </w:tcBorders>
            <w:shd w:val="clear" w:color="auto" w:fill="E5B8B7" w:themeFill="accent2"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775</w:t>
            </w:r>
          </w:p>
        </w:tc>
      </w:tr>
      <w:tr w:rsidR="006D3D04" w:rsidRPr="00C04485" w:rsidTr="006D3D04">
        <w:trPr>
          <w:trHeight w:val="195"/>
        </w:trPr>
        <w:tc>
          <w:tcPr>
            <w:tcW w:w="366" w:type="dxa"/>
            <w:vMerge/>
            <w:tcBorders>
              <w:left w:val="single" w:sz="12" w:space="0" w:color="auto"/>
              <w:bottom w:val="single" w:sz="12" w:space="0" w:color="auto"/>
              <w:right w:val="single" w:sz="2" w:space="0" w:color="auto"/>
            </w:tcBorders>
            <w:shd w:val="clear" w:color="auto" w:fill="D9D9D9" w:themeFill="background1" w:themeFillShade="D9"/>
            <w:vAlign w:val="center"/>
          </w:tcPr>
          <w:p w:rsidR="006D3D04" w:rsidRPr="00BB5925" w:rsidRDefault="006D3D04" w:rsidP="006D3D04">
            <w:pPr>
              <w:widowControl/>
              <w:spacing w:after="0" w:line="240" w:lineRule="auto"/>
              <w:ind w:firstLine="0"/>
              <w:contextualSpacing w:val="0"/>
              <w:jc w:val="center"/>
              <w:rPr>
                <w:rFonts w:eastAsia="Times New Roman"/>
                <w:b/>
                <w:sz w:val="15"/>
                <w:szCs w:val="15"/>
              </w:rPr>
            </w:pPr>
          </w:p>
        </w:tc>
        <w:tc>
          <w:tcPr>
            <w:tcW w:w="1974" w:type="dxa"/>
            <w:tcBorders>
              <w:top w:val="single" w:sz="2" w:space="0" w:color="auto"/>
              <w:left w:val="single" w:sz="12" w:space="0" w:color="auto"/>
              <w:bottom w:val="single" w:sz="12" w:space="0" w:color="auto"/>
              <w:right w:val="single" w:sz="2" w:space="0" w:color="auto"/>
            </w:tcBorders>
            <w:shd w:val="clear" w:color="auto" w:fill="E5B8B7" w:themeFill="accent2" w:themeFillTint="66"/>
            <w:noWrap/>
            <w:vAlign w:val="bottom"/>
            <w:hideMark/>
          </w:tcPr>
          <w:p w:rsidR="006D3D04" w:rsidRPr="00C04485" w:rsidRDefault="006D3D04" w:rsidP="006D3D04">
            <w:pPr>
              <w:widowControl/>
              <w:spacing w:after="0" w:line="240" w:lineRule="auto"/>
              <w:ind w:firstLine="0"/>
              <w:contextualSpacing w:val="0"/>
              <w:jc w:val="left"/>
              <w:rPr>
                <w:rFonts w:eastAsia="Times New Roman"/>
                <w:sz w:val="15"/>
                <w:szCs w:val="15"/>
              </w:rPr>
            </w:pPr>
            <w:r>
              <w:rPr>
                <w:rFonts w:eastAsia="Times New Roman"/>
                <w:sz w:val="15"/>
                <w:szCs w:val="15"/>
              </w:rPr>
              <w:t>1 D + 1 V, 5</w:t>
            </w:r>
            <w:r w:rsidRPr="00C04485">
              <w:rPr>
                <w:rFonts w:eastAsia="Times New Roman"/>
                <w:sz w:val="15"/>
                <w:szCs w:val="15"/>
              </w:rPr>
              <w:t>0 %</w:t>
            </w:r>
          </w:p>
        </w:tc>
        <w:tc>
          <w:tcPr>
            <w:tcW w:w="1051" w:type="dxa"/>
            <w:tcBorders>
              <w:top w:val="single" w:sz="2" w:space="0" w:color="auto"/>
              <w:left w:val="single" w:sz="12" w:space="0" w:color="auto"/>
              <w:bottom w:val="single" w:sz="12" w:space="0" w:color="auto"/>
              <w:right w:val="single" w:sz="2" w:space="0" w:color="auto"/>
            </w:tcBorders>
            <w:shd w:val="clear" w:color="auto" w:fill="E5B8B7" w:themeFill="accent2"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sz w:val="15"/>
                <w:szCs w:val="15"/>
              </w:rPr>
            </w:pPr>
            <w:r w:rsidRPr="00C04485">
              <w:rPr>
                <w:rFonts w:eastAsia="Times New Roman"/>
                <w:sz w:val="15"/>
                <w:szCs w:val="15"/>
              </w:rPr>
              <w:t>1</w:t>
            </w:r>
            <w:r>
              <w:rPr>
                <w:rFonts w:eastAsia="Times New Roman"/>
                <w:sz w:val="15"/>
                <w:szCs w:val="15"/>
              </w:rPr>
              <w:t> </w:t>
            </w:r>
            <w:r w:rsidRPr="00C04485">
              <w:rPr>
                <w:rFonts w:eastAsia="Times New Roman"/>
                <w:sz w:val="15"/>
                <w:szCs w:val="15"/>
              </w:rPr>
              <w:t>100</w:t>
            </w:r>
          </w:p>
        </w:tc>
        <w:tc>
          <w:tcPr>
            <w:tcW w:w="813" w:type="dxa"/>
            <w:tcBorders>
              <w:top w:val="single" w:sz="2" w:space="0" w:color="auto"/>
              <w:left w:val="single" w:sz="12" w:space="0" w:color="auto"/>
              <w:bottom w:val="single" w:sz="12" w:space="0" w:color="auto"/>
              <w:right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410 / 100</w:t>
            </w:r>
          </w:p>
        </w:tc>
        <w:tc>
          <w:tcPr>
            <w:tcW w:w="813" w:type="dxa"/>
            <w:tcBorders>
              <w:top w:val="single" w:sz="2" w:space="0" w:color="auto"/>
              <w:left w:val="single" w:sz="12" w:space="0" w:color="auto"/>
              <w:bottom w:val="single" w:sz="12" w:space="0" w:color="auto"/>
              <w:right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89</w:t>
            </w:r>
          </w:p>
        </w:tc>
        <w:tc>
          <w:tcPr>
            <w:tcW w:w="815" w:type="dxa"/>
            <w:tcBorders>
              <w:top w:val="single" w:sz="2" w:space="0" w:color="auto"/>
              <w:left w:val="single" w:sz="12" w:space="0" w:color="auto"/>
              <w:bottom w:val="single" w:sz="12" w:space="0" w:color="auto"/>
              <w:right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99</w:t>
            </w:r>
          </w:p>
        </w:tc>
        <w:tc>
          <w:tcPr>
            <w:tcW w:w="934" w:type="dxa"/>
            <w:tcBorders>
              <w:top w:val="single" w:sz="2" w:space="0" w:color="auto"/>
              <w:left w:val="single" w:sz="12" w:space="0" w:color="auto"/>
              <w:bottom w:val="single" w:sz="12" w:space="0" w:color="auto"/>
              <w:right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sidRPr="009F6960">
              <w:rPr>
                <w:rFonts w:eastAsia="Times New Roman"/>
                <w:sz w:val="15"/>
                <w:szCs w:val="15"/>
              </w:rPr>
              <w:t>912</w:t>
            </w:r>
          </w:p>
        </w:tc>
        <w:tc>
          <w:tcPr>
            <w:tcW w:w="933" w:type="dxa"/>
            <w:tcBorders>
              <w:top w:val="single" w:sz="2" w:space="0" w:color="auto"/>
              <w:left w:val="single" w:sz="12" w:space="0" w:color="auto"/>
              <w:bottom w:val="single" w:sz="12" w:space="0" w:color="auto"/>
              <w:right w:val="single" w:sz="2" w:space="0" w:color="auto"/>
            </w:tcBorders>
            <w:shd w:val="clear" w:color="auto" w:fill="E5B8B7" w:themeFill="accent2"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284 / 0</w:t>
            </w:r>
          </w:p>
        </w:tc>
        <w:tc>
          <w:tcPr>
            <w:tcW w:w="667" w:type="dxa"/>
            <w:tcBorders>
              <w:top w:val="single" w:sz="2" w:space="0" w:color="auto"/>
              <w:left w:val="single" w:sz="12" w:space="0" w:color="auto"/>
              <w:bottom w:val="single" w:sz="12" w:space="0" w:color="auto"/>
              <w:right w:val="single" w:sz="2" w:space="0" w:color="auto"/>
            </w:tcBorders>
            <w:shd w:val="clear" w:color="auto" w:fill="E5B8B7" w:themeFill="accent2"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370</w:t>
            </w:r>
          </w:p>
        </w:tc>
        <w:tc>
          <w:tcPr>
            <w:tcW w:w="667" w:type="dxa"/>
            <w:tcBorders>
              <w:top w:val="single" w:sz="2" w:space="0" w:color="auto"/>
              <w:left w:val="single" w:sz="12" w:space="0" w:color="auto"/>
              <w:bottom w:val="single" w:sz="12" w:space="0" w:color="auto"/>
              <w:right w:val="single" w:sz="2" w:space="0" w:color="auto"/>
            </w:tcBorders>
            <w:shd w:val="clear" w:color="auto" w:fill="E5B8B7" w:themeFill="accent2"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667" w:type="dxa"/>
            <w:tcBorders>
              <w:top w:val="single" w:sz="2" w:space="0" w:color="auto"/>
              <w:left w:val="single" w:sz="12" w:space="0" w:color="auto"/>
              <w:bottom w:val="single" w:sz="12" w:space="0" w:color="auto"/>
              <w:right w:val="single" w:sz="2" w:space="0" w:color="auto"/>
            </w:tcBorders>
            <w:shd w:val="clear" w:color="auto" w:fill="E5B8B7" w:themeFill="accent2"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821" w:type="dxa"/>
            <w:tcBorders>
              <w:top w:val="single" w:sz="2" w:space="0" w:color="auto"/>
              <w:left w:val="single" w:sz="12" w:space="0" w:color="auto"/>
              <w:bottom w:val="single" w:sz="12" w:space="0" w:color="auto"/>
              <w:right w:val="single" w:sz="2" w:space="0" w:color="auto"/>
            </w:tcBorders>
            <w:shd w:val="clear" w:color="auto" w:fill="E5B8B7" w:themeFill="accent2"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908" w:type="dxa"/>
            <w:tcBorders>
              <w:top w:val="single" w:sz="2" w:space="0" w:color="auto"/>
              <w:left w:val="single" w:sz="12" w:space="0" w:color="auto"/>
              <w:bottom w:val="single" w:sz="12" w:space="0" w:color="auto"/>
              <w:right w:val="single" w:sz="2" w:space="0" w:color="auto"/>
            </w:tcBorders>
            <w:shd w:val="clear" w:color="auto" w:fill="E5B8B7" w:themeFill="accent2"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130</w:t>
            </w:r>
          </w:p>
        </w:tc>
        <w:tc>
          <w:tcPr>
            <w:tcW w:w="934" w:type="dxa"/>
            <w:tcBorders>
              <w:top w:val="single" w:sz="2" w:space="0" w:color="auto"/>
              <w:left w:val="single" w:sz="12" w:space="0" w:color="auto"/>
              <w:bottom w:val="single" w:sz="12" w:space="0" w:color="auto"/>
              <w:right w:val="single" w:sz="2" w:space="0" w:color="auto"/>
            </w:tcBorders>
            <w:shd w:val="clear" w:color="auto" w:fill="E5B8B7" w:themeFill="accent2"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1 696</w:t>
            </w:r>
          </w:p>
        </w:tc>
        <w:tc>
          <w:tcPr>
            <w:tcW w:w="934" w:type="dxa"/>
            <w:tcBorders>
              <w:top w:val="single" w:sz="2" w:space="0" w:color="auto"/>
              <w:left w:val="single" w:sz="12" w:space="0" w:color="auto"/>
              <w:bottom w:val="single" w:sz="12" w:space="0" w:color="auto"/>
              <w:right w:val="single" w:sz="12" w:space="0" w:color="auto"/>
            </w:tcBorders>
            <w:shd w:val="clear" w:color="auto" w:fill="E5B8B7" w:themeFill="accent2"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848</w:t>
            </w:r>
          </w:p>
        </w:tc>
      </w:tr>
      <w:tr w:rsidR="006D3D04" w:rsidRPr="005F199F" w:rsidTr="006D3D04">
        <w:trPr>
          <w:trHeight w:val="195"/>
        </w:trPr>
        <w:tc>
          <w:tcPr>
            <w:tcW w:w="366" w:type="dxa"/>
            <w:vMerge w:val="restart"/>
            <w:tcBorders>
              <w:top w:val="single" w:sz="12" w:space="0" w:color="auto"/>
              <w:left w:val="single" w:sz="12" w:space="0" w:color="auto"/>
              <w:right w:val="single" w:sz="2" w:space="0" w:color="auto"/>
            </w:tcBorders>
            <w:shd w:val="clear" w:color="auto" w:fill="D9D9D9" w:themeFill="background1" w:themeFillShade="D9"/>
            <w:vAlign w:val="center"/>
          </w:tcPr>
          <w:p w:rsidR="006D3D04" w:rsidRPr="005F199F" w:rsidRDefault="006D3D04" w:rsidP="006D3D04">
            <w:pPr>
              <w:widowControl/>
              <w:spacing w:after="0" w:line="240" w:lineRule="auto"/>
              <w:ind w:firstLine="0"/>
              <w:contextualSpacing w:val="0"/>
              <w:jc w:val="center"/>
              <w:rPr>
                <w:rFonts w:eastAsia="Times New Roman"/>
                <w:b/>
                <w:sz w:val="15"/>
                <w:szCs w:val="15"/>
              </w:rPr>
            </w:pPr>
            <w:r w:rsidRPr="005F199F">
              <w:rPr>
                <w:rFonts w:eastAsia="Times New Roman"/>
                <w:b/>
                <w:sz w:val="15"/>
                <w:szCs w:val="15"/>
              </w:rPr>
              <w:t>3</w:t>
            </w:r>
          </w:p>
        </w:tc>
        <w:tc>
          <w:tcPr>
            <w:tcW w:w="1974" w:type="dxa"/>
            <w:tcBorders>
              <w:top w:val="single" w:sz="1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left"/>
              <w:rPr>
                <w:rFonts w:eastAsia="Times New Roman"/>
                <w:sz w:val="15"/>
                <w:szCs w:val="15"/>
              </w:rPr>
            </w:pPr>
            <w:r w:rsidRPr="005F199F">
              <w:rPr>
                <w:rFonts w:eastAsia="Times New Roman"/>
                <w:sz w:val="15"/>
                <w:szCs w:val="15"/>
              </w:rPr>
              <w:t>1 D + 1 B + 1 V</w:t>
            </w:r>
            <w:r>
              <w:rPr>
                <w:rFonts w:eastAsia="Times New Roman"/>
                <w:sz w:val="15"/>
                <w:szCs w:val="15"/>
              </w:rPr>
              <w:t>, 5</w:t>
            </w:r>
            <w:r w:rsidRPr="005F199F">
              <w:rPr>
                <w:rFonts w:eastAsia="Times New Roman"/>
                <w:sz w:val="15"/>
                <w:szCs w:val="15"/>
              </w:rPr>
              <w:t>0 %</w:t>
            </w:r>
          </w:p>
        </w:tc>
        <w:tc>
          <w:tcPr>
            <w:tcW w:w="1051" w:type="dxa"/>
            <w:tcBorders>
              <w:top w:val="single" w:sz="1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850</w:t>
            </w:r>
          </w:p>
        </w:tc>
        <w:tc>
          <w:tcPr>
            <w:tcW w:w="813" w:type="dxa"/>
            <w:tcBorders>
              <w:top w:val="single" w:sz="12" w:space="0" w:color="auto"/>
              <w:left w:val="single" w:sz="12" w:space="0" w:color="auto"/>
              <w:bottom w:val="single" w:sz="2" w:space="0" w:color="auto"/>
              <w:right w:val="single" w:sz="2" w:space="0" w:color="auto"/>
            </w:tcBorders>
            <w:shd w:val="clear" w:color="auto" w:fill="FBD4B4" w:themeFill="accent6" w:themeFillTint="66"/>
            <w:noWrap/>
            <w:vAlign w:val="center"/>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460 / 100</w:t>
            </w:r>
          </w:p>
        </w:tc>
        <w:tc>
          <w:tcPr>
            <w:tcW w:w="813" w:type="dxa"/>
            <w:tcBorders>
              <w:top w:val="single" w:sz="12" w:space="0" w:color="auto"/>
              <w:left w:val="single" w:sz="12" w:space="0" w:color="auto"/>
              <w:bottom w:val="single" w:sz="2" w:space="0" w:color="auto"/>
              <w:right w:val="single" w:sz="2" w:space="0" w:color="auto"/>
            </w:tcBorders>
            <w:shd w:val="clear" w:color="auto" w:fill="FBD4B4" w:themeFill="accent6" w:themeFillTint="66"/>
            <w:noWrap/>
            <w:vAlign w:val="center"/>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44</w:t>
            </w:r>
          </w:p>
        </w:tc>
        <w:tc>
          <w:tcPr>
            <w:tcW w:w="815" w:type="dxa"/>
            <w:tcBorders>
              <w:top w:val="single" w:sz="12" w:space="0" w:color="auto"/>
              <w:left w:val="single" w:sz="12" w:space="0" w:color="auto"/>
              <w:bottom w:val="single" w:sz="2" w:space="0" w:color="auto"/>
              <w:right w:val="single" w:sz="2" w:space="0" w:color="auto"/>
            </w:tcBorders>
            <w:shd w:val="clear" w:color="auto" w:fill="FBD4B4" w:themeFill="accent6" w:themeFillTint="66"/>
            <w:noWrap/>
            <w:vAlign w:val="center"/>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77</w:t>
            </w:r>
          </w:p>
        </w:tc>
        <w:tc>
          <w:tcPr>
            <w:tcW w:w="934" w:type="dxa"/>
            <w:tcBorders>
              <w:top w:val="single" w:sz="12" w:space="0" w:color="auto"/>
              <w:left w:val="single" w:sz="12" w:space="0" w:color="auto"/>
              <w:bottom w:val="single" w:sz="2" w:space="0" w:color="auto"/>
              <w:right w:val="single" w:sz="2" w:space="0" w:color="auto"/>
            </w:tcBorders>
            <w:shd w:val="clear" w:color="auto" w:fill="FBD4B4" w:themeFill="accent6" w:themeFillTint="66"/>
            <w:noWrap/>
            <w:vAlign w:val="center"/>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729</w:t>
            </w:r>
          </w:p>
        </w:tc>
        <w:tc>
          <w:tcPr>
            <w:tcW w:w="933" w:type="dxa"/>
            <w:tcBorders>
              <w:top w:val="single" w:sz="1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284 + 567</w:t>
            </w:r>
          </w:p>
        </w:tc>
        <w:tc>
          <w:tcPr>
            <w:tcW w:w="667" w:type="dxa"/>
            <w:tcBorders>
              <w:top w:val="single" w:sz="1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389</w:t>
            </w:r>
          </w:p>
        </w:tc>
        <w:tc>
          <w:tcPr>
            <w:tcW w:w="667" w:type="dxa"/>
            <w:tcBorders>
              <w:top w:val="single" w:sz="1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667" w:type="dxa"/>
            <w:tcBorders>
              <w:top w:val="single" w:sz="1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821" w:type="dxa"/>
            <w:tcBorders>
              <w:top w:val="single" w:sz="1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908" w:type="dxa"/>
            <w:tcBorders>
              <w:top w:val="single" w:sz="1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934" w:type="dxa"/>
            <w:tcBorders>
              <w:top w:val="single" w:sz="1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1 969</w:t>
            </w:r>
          </w:p>
        </w:tc>
        <w:tc>
          <w:tcPr>
            <w:tcW w:w="934" w:type="dxa"/>
            <w:tcBorders>
              <w:top w:val="single" w:sz="12" w:space="0" w:color="auto"/>
              <w:left w:val="single" w:sz="12" w:space="0" w:color="auto"/>
              <w:bottom w:val="single" w:sz="2" w:space="0" w:color="auto"/>
              <w:right w:val="single" w:sz="1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656</w:t>
            </w:r>
          </w:p>
        </w:tc>
      </w:tr>
      <w:tr w:rsidR="006D3D04" w:rsidRPr="005F199F" w:rsidTr="006D3D04">
        <w:trPr>
          <w:trHeight w:val="195"/>
        </w:trPr>
        <w:tc>
          <w:tcPr>
            <w:tcW w:w="366" w:type="dxa"/>
            <w:vMerge/>
            <w:tcBorders>
              <w:left w:val="single" w:sz="12" w:space="0" w:color="auto"/>
              <w:right w:val="single" w:sz="2" w:space="0" w:color="auto"/>
            </w:tcBorders>
            <w:shd w:val="clear" w:color="auto" w:fill="D9D9D9" w:themeFill="background1" w:themeFillShade="D9"/>
            <w:vAlign w:val="center"/>
          </w:tcPr>
          <w:p w:rsidR="006D3D04" w:rsidRPr="005F199F" w:rsidRDefault="006D3D04" w:rsidP="006D3D04">
            <w:pPr>
              <w:widowControl/>
              <w:spacing w:after="0" w:line="240" w:lineRule="auto"/>
              <w:ind w:firstLine="0"/>
              <w:contextualSpacing w:val="0"/>
              <w:jc w:val="center"/>
              <w:rPr>
                <w:rFonts w:eastAsia="Times New Roman"/>
                <w:b/>
                <w:sz w:val="15"/>
                <w:szCs w:val="15"/>
              </w:rPr>
            </w:pPr>
          </w:p>
        </w:tc>
        <w:tc>
          <w:tcPr>
            <w:tcW w:w="1974" w:type="dxa"/>
            <w:tcBorders>
              <w:top w:val="single" w:sz="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left"/>
              <w:rPr>
                <w:rFonts w:eastAsia="Times New Roman"/>
                <w:sz w:val="15"/>
                <w:szCs w:val="15"/>
              </w:rPr>
            </w:pPr>
            <w:r w:rsidRPr="005F199F">
              <w:rPr>
                <w:rFonts w:eastAsia="Times New Roman"/>
                <w:sz w:val="15"/>
                <w:szCs w:val="15"/>
              </w:rPr>
              <w:t>1 D + 1 B + 1 V</w:t>
            </w:r>
            <w:r>
              <w:rPr>
                <w:rFonts w:eastAsia="Times New Roman"/>
                <w:sz w:val="15"/>
                <w:szCs w:val="15"/>
              </w:rPr>
              <w:t>, 5</w:t>
            </w:r>
            <w:r w:rsidRPr="005F199F">
              <w:rPr>
                <w:rFonts w:eastAsia="Times New Roman"/>
                <w:sz w:val="15"/>
                <w:szCs w:val="15"/>
              </w:rPr>
              <w:t>0 %</w:t>
            </w:r>
          </w:p>
        </w:tc>
        <w:tc>
          <w:tcPr>
            <w:tcW w:w="1051" w:type="dxa"/>
            <w:tcBorders>
              <w:top w:val="single" w:sz="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1 100</w:t>
            </w:r>
          </w:p>
        </w:tc>
        <w:tc>
          <w:tcPr>
            <w:tcW w:w="813" w:type="dxa"/>
            <w:tcBorders>
              <w:top w:val="single" w:sz="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410 / 100</w:t>
            </w:r>
          </w:p>
        </w:tc>
        <w:tc>
          <w:tcPr>
            <w:tcW w:w="813" w:type="dxa"/>
            <w:tcBorders>
              <w:top w:val="single" w:sz="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89</w:t>
            </w:r>
          </w:p>
        </w:tc>
        <w:tc>
          <w:tcPr>
            <w:tcW w:w="815" w:type="dxa"/>
            <w:tcBorders>
              <w:top w:val="single" w:sz="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99</w:t>
            </w:r>
          </w:p>
        </w:tc>
        <w:tc>
          <w:tcPr>
            <w:tcW w:w="934" w:type="dxa"/>
            <w:tcBorders>
              <w:top w:val="single" w:sz="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912</w:t>
            </w:r>
          </w:p>
        </w:tc>
        <w:tc>
          <w:tcPr>
            <w:tcW w:w="933" w:type="dxa"/>
            <w:tcBorders>
              <w:top w:val="single" w:sz="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284 + 567</w:t>
            </w:r>
          </w:p>
        </w:tc>
        <w:tc>
          <w:tcPr>
            <w:tcW w:w="667" w:type="dxa"/>
            <w:tcBorders>
              <w:top w:val="single" w:sz="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352</w:t>
            </w:r>
          </w:p>
        </w:tc>
        <w:tc>
          <w:tcPr>
            <w:tcW w:w="667" w:type="dxa"/>
            <w:tcBorders>
              <w:top w:val="single" w:sz="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667" w:type="dxa"/>
            <w:tcBorders>
              <w:top w:val="single" w:sz="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821" w:type="dxa"/>
            <w:tcBorders>
              <w:top w:val="single" w:sz="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908" w:type="dxa"/>
            <w:tcBorders>
              <w:top w:val="single" w:sz="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934" w:type="dxa"/>
            <w:tcBorders>
              <w:top w:val="single" w:sz="2" w:space="0" w:color="auto"/>
              <w:left w:val="single" w:sz="12" w:space="0" w:color="auto"/>
              <w:bottom w:val="single" w:sz="2" w:space="0" w:color="auto"/>
              <w:right w:val="single" w:sz="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2 115</w:t>
            </w:r>
          </w:p>
        </w:tc>
        <w:tc>
          <w:tcPr>
            <w:tcW w:w="934" w:type="dxa"/>
            <w:tcBorders>
              <w:top w:val="single" w:sz="2" w:space="0" w:color="auto"/>
              <w:left w:val="single" w:sz="12" w:space="0" w:color="auto"/>
              <w:bottom w:val="single" w:sz="2" w:space="0" w:color="auto"/>
              <w:right w:val="single" w:sz="12" w:space="0" w:color="auto"/>
            </w:tcBorders>
            <w:shd w:val="clear" w:color="auto" w:fill="FBD4B4" w:themeFill="accent6"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705</w:t>
            </w:r>
          </w:p>
        </w:tc>
      </w:tr>
      <w:tr w:rsidR="006D3D04" w:rsidRPr="005F199F" w:rsidTr="006D3D04">
        <w:trPr>
          <w:trHeight w:val="195"/>
        </w:trPr>
        <w:tc>
          <w:tcPr>
            <w:tcW w:w="366" w:type="dxa"/>
            <w:vMerge/>
            <w:tcBorders>
              <w:left w:val="single" w:sz="12" w:space="0" w:color="auto"/>
              <w:right w:val="single" w:sz="2" w:space="0" w:color="auto"/>
            </w:tcBorders>
            <w:shd w:val="clear" w:color="auto" w:fill="D9D9D9" w:themeFill="background1" w:themeFillShade="D9"/>
            <w:vAlign w:val="center"/>
          </w:tcPr>
          <w:p w:rsidR="006D3D04" w:rsidRPr="005F199F" w:rsidRDefault="006D3D04" w:rsidP="006D3D04">
            <w:pPr>
              <w:widowControl/>
              <w:spacing w:after="0" w:line="240" w:lineRule="auto"/>
              <w:ind w:firstLine="0"/>
              <w:contextualSpacing w:val="0"/>
              <w:jc w:val="center"/>
              <w:rPr>
                <w:rFonts w:eastAsia="Times New Roman"/>
                <w:b/>
                <w:sz w:val="15"/>
                <w:szCs w:val="15"/>
              </w:rPr>
            </w:pPr>
          </w:p>
        </w:tc>
        <w:tc>
          <w:tcPr>
            <w:tcW w:w="1974" w:type="dxa"/>
            <w:tcBorders>
              <w:top w:val="single" w:sz="2" w:space="0" w:color="auto"/>
              <w:left w:val="single" w:sz="12" w:space="0" w:color="auto"/>
              <w:bottom w:val="single" w:sz="2" w:space="0" w:color="auto"/>
              <w:right w:val="single" w:sz="2" w:space="0" w:color="auto"/>
            </w:tcBorders>
            <w:shd w:val="clear" w:color="auto" w:fill="D6E3BC" w:themeFill="accent3" w:themeFillTint="66"/>
            <w:noWrap/>
            <w:vAlign w:val="bottom"/>
            <w:hideMark/>
          </w:tcPr>
          <w:p w:rsidR="006D3D04" w:rsidRPr="005F199F" w:rsidRDefault="006D3D04" w:rsidP="006D3D04">
            <w:pPr>
              <w:widowControl/>
              <w:spacing w:after="0" w:line="240" w:lineRule="auto"/>
              <w:ind w:firstLine="0"/>
              <w:contextualSpacing w:val="0"/>
              <w:jc w:val="left"/>
              <w:rPr>
                <w:rFonts w:eastAsia="Times New Roman"/>
                <w:sz w:val="15"/>
                <w:szCs w:val="15"/>
              </w:rPr>
            </w:pPr>
            <w:r w:rsidRPr="005F199F">
              <w:rPr>
                <w:rFonts w:eastAsia="Times New Roman"/>
                <w:sz w:val="15"/>
                <w:szCs w:val="15"/>
              </w:rPr>
              <w:t>1 D + 2 V</w:t>
            </w:r>
            <w:r>
              <w:rPr>
                <w:rFonts w:eastAsia="Times New Roman"/>
                <w:sz w:val="15"/>
                <w:szCs w:val="15"/>
              </w:rPr>
              <w:t>, 6</w:t>
            </w:r>
            <w:r w:rsidRPr="005F199F">
              <w:rPr>
                <w:rFonts w:eastAsia="Times New Roman"/>
                <w:sz w:val="15"/>
                <w:szCs w:val="15"/>
              </w:rPr>
              <w:t>0 %</w:t>
            </w:r>
          </w:p>
        </w:tc>
        <w:tc>
          <w:tcPr>
            <w:tcW w:w="1051" w:type="dxa"/>
            <w:tcBorders>
              <w:top w:val="single" w:sz="2" w:space="0" w:color="auto"/>
              <w:left w:val="single" w:sz="12" w:space="0" w:color="auto"/>
              <w:bottom w:val="single" w:sz="2" w:space="0" w:color="auto"/>
              <w:right w:val="single" w:sz="2" w:space="0" w:color="auto"/>
            </w:tcBorders>
            <w:shd w:val="clear" w:color="auto" w:fill="D6E3BC" w:themeFill="accent3"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850</w:t>
            </w:r>
          </w:p>
        </w:tc>
        <w:tc>
          <w:tcPr>
            <w:tcW w:w="813" w:type="dxa"/>
            <w:tcBorders>
              <w:top w:val="single" w:sz="2" w:space="0" w:color="auto"/>
              <w:left w:val="single" w:sz="12" w:space="0" w:color="auto"/>
              <w:bottom w:val="single" w:sz="2" w:space="0" w:color="auto"/>
              <w:right w:val="single" w:sz="2" w:space="0" w:color="auto"/>
            </w:tcBorders>
            <w:shd w:val="clear" w:color="auto" w:fill="D6E3BC" w:themeFill="accent3" w:themeFillTint="66"/>
            <w:noWrap/>
            <w:vAlign w:val="center"/>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460 / 300</w:t>
            </w:r>
          </w:p>
        </w:tc>
        <w:tc>
          <w:tcPr>
            <w:tcW w:w="813" w:type="dxa"/>
            <w:tcBorders>
              <w:top w:val="single" w:sz="2" w:space="0" w:color="auto"/>
              <w:left w:val="single" w:sz="12" w:space="0" w:color="auto"/>
              <w:bottom w:val="single" w:sz="2" w:space="0" w:color="auto"/>
              <w:right w:val="single" w:sz="2" w:space="0" w:color="auto"/>
            </w:tcBorders>
            <w:shd w:val="clear" w:color="auto" w:fill="D6E3BC" w:themeFill="accent3" w:themeFillTint="66"/>
            <w:noWrap/>
            <w:vAlign w:val="center"/>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14</w:t>
            </w:r>
          </w:p>
        </w:tc>
        <w:tc>
          <w:tcPr>
            <w:tcW w:w="815" w:type="dxa"/>
            <w:tcBorders>
              <w:top w:val="single" w:sz="2" w:space="0" w:color="auto"/>
              <w:left w:val="single" w:sz="12" w:space="0" w:color="auto"/>
              <w:bottom w:val="single" w:sz="2" w:space="0" w:color="auto"/>
              <w:right w:val="single" w:sz="2" w:space="0" w:color="auto"/>
            </w:tcBorders>
            <w:shd w:val="clear" w:color="auto" w:fill="D6E3BC" w:themeFill="accent3" w:themeFillTint="66"/>
            <w:noWrap/>
            <w:vAlign w:val="center"/>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77</w:t>
            </w:r>
          </w:p>
        </w:tc>
        <w:tc>
          <w:tcPr>
            <w:tcW w:w="934" w:type="dxa"/>
            <w:tcBorders>
              <w:top w:val="single" w:sz="2" w:space="0" w:color="auto"/>
              <w:left w:val="single" w:sz="12" w:space="0" w:color="auto"/>
              <w:bottom w:val="single" w:sz="2" w:space="0" w:color="auto"/>
              <w:right w:val="single" w:sz="2" w:space="0" w:color="auto"/>
            </w:tcBorders>
            <w:shd w:val="clear" w:color="auto" w:fill="D6E3BC" w:themeFill="accent3" w:themeFillTint="66"/>
            <w:noWrap/>
            <w:vAlign w:val="center"/>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759</w:t>
            </w:r>
          </w:p>
        </w:tc>
        <w:tc>
          <w:tcPr>
            <w:tcW w:w="933" w:type="dxa"/>
            <w:tcBorders>
              <w:top w:val="single" w:sz="2" w:space="0" w:color="auto"/>
              <w:left w:val="single" w:sz="12" w:space="0" w:color="auto"/>
              <w:bottom w:val="single" w:sz="2" w:space="0" w:color="auto"/>
              <w:right w:val="single" w:sz="2" w:space="0" w:color="auto"/>
            </w:tcBorders>
            <w:shd w:val="clear" w:color="auto" w:fill="D6E3BC" w:themeFill="accent3"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340 / 0</w:t>
            </w:r>
          </w:p>
        </w:tc>
        <w:tc>
          <w:tcPr>
            <w:tcW w:w="667" w:type="dxa"/>
            <w:tcBorders>
              <w:top w:val="single" w:sz="2" w:space="0" w:color="auto"/>
              <w:left w:val="single" w:sz="12" w:space="0" w:color="auto"/>
              <w:bottom w:val="single" w:sz="2" w:space="0" w:color="auto"/>
              <w:right w:val="single" w:sz="2" w:space="0" w:color="auto"/>
            </w:tcBorders>
            <w:shd w:val="clear" w:color="auto" w:fill="D6E3BC" w:themeFill="accent3"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433</w:t>
            </w:r>
          </w:p>
        </w:tc>
        <w:tc>
          <w:tcPr>
            <w:tcW w:w="667" w:type="dxa"/>
            <w:tcBorders>
              <w:top w:val="single" w:sz="2" w:space="0" w:color="auto"/>
              <w:left w:val="single" w:sz="12" w:space="0" w:color="auto"/>
              <w:bottom w:val="single" w:sz="2" w:space="0" w:color="auto"/>
              <w:right w:val="single" w:sz="2" w:space="0" w:color="auto"/>
            </w:tcBorders>
            <w:shd w:val="clear" w:color="auto" w:fill="D6E3BC" w:themeFill="accent3"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667" w:type="dxa"/>
            <w:tcBorders>
              <w:top w:val="single" w:sz="2" w:space="0" w:color="auto"/>
              <w:left w:val="single" w:sz="12" w:space="0" w:color="auto"/>
              <w:bottom w:val="single" w:sz="2" w:space="0" w:color="auto"/>
              <w:right w:val="single" w:sz="2" w:space="0" w:color="auto"/>
            </w:tcBorders>
            <w:shd w:val="clear" w:color="auto" w:fill="D6E3BC" w:themeFill="accent3"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821" w:type="dxa"/>
            <w:tcBorders>
              <w:top w:val="single" w:sz="2" w:space="0" w:color="auto"/>
              <w:left w:val="single" w:sz="12" w:space="0" w:color="auto"/>
              <w:bottom w:val="single" w:sz="2" w:space="0" w:color="auto"/>
              <w:right w:val="single" w:sz="2" w:space="0" w:color="auto"/>
            </w:tcBorders>
            <w:shd w:val="clear" w:color="auto" w:fill="D6E3BC" w:themeFill="accent3"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08" w:type="dxa"/>
            <w:tcBorders>
              <w:top w:val="single" w:sz="2" w:space="0" w:color="auto"/>
              <w:left w:val="single" w:sz="12" w:space="0" w:color="auto"/>
              <w:bottom w:val="single" w:sz="2" w:space="0" w:color="auto"/>
              <w:right w:val="single" w:sz="2" w:space="0" w:color="auto"/>
            </w:tcBorders>
            <w:shd w:val="clear" w:color="auto" w:fill="D6E3BC" w:themeFill="accent3"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260</w:t>
            </w:r>
          </w:p>
        </w:tc>
        <w:tc>
          <w:tcPr>
            <w:tcW w:w="934" w:type="dxa"/>
            <w:tcBorders>
              <w:top w:val="single" w:sz="2" w:space="0" w:color="auto"/>
              <w:left w:val="single" w:sz="12" w:space="0" w:color="auto"/>
              <w:bottom w:val="single" w:sz="2" w:space="0" w:color="auto"/>
              <w:right w:val="single" w:sz="2" w:space="0" w:color="auto"/>
            </w:tcBorders>
            <w:shd w:val="clear" w:color="auto" w:fill="D6E3BC" w:themeFill="accent3"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1 978</w:t>
            </w:r>
          </w:p>
        </w:tc>
        <w:tc>
          <w:tcPr>
            <w:tcW w:w="934" w:type="dxa"/>
            <w:tcBorders>
              <w:top w:val="single" w:sz="2" w:space="0" w:color="auto"/>
              <w:left w:val="single" w:sz="12" w:space="0" w:color="auto"/>
              <w:bottom w:val="single" w:sz="2" w:space="0" w:color="auto"/>
              <w:right w:val="single" w:sz="12" w:space="0" w:color="auto"/>
            </w:tcBorders>
            <w:shd w:val="clear" w:color="auto" w:fill="D6E3BC" w:themeFill="accent3"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659</w:t>
            </w:r>
          </w:p>
        </w:tc>
      </w:tr>
      <w:tr w:rsidR="006D3D04" w:rsidRPr="005F199F" w:rsidTr="006D3D04">
        <w:trPr>
          <w:trHeight w:val="195"/>
        </w:trPr>
        <w:tc>
          <w:tcPr>
            <w:tcW w:w="366" w:type="dxa"/>
            <w:vMerge/>
            <w:tcBorders>
              <w:left w:val="single" w:sz="12" w:space="0" w:color="auto"/>
              <w:bottom w:val="single" w:sz="12" w:space="0" w:color="auto"/>
              <w:right w:val="single" w:sz="2" w:space="0" w:color="auto"/>
            </w:tcBorders>
            <w:shd w:val="clear" w:color="auto" w:fill="D9D9D9" w:themeFill="background1" w:themeFillShade="D9"/>
            <w:vAlign w:val="center"/>
          </w:tcPr>
          <w:p w:rsidR="006D3D04" w:rsidRPr="005F199F" w:rsidRDefault="006D3D04" w:rsidP="006D3D04">
            <w:pPr>
              <w:widowControl/>
              <w:spacing w:after="0" w:line="240" w:lineRule="auto"/>
              <w:ind w:firstLine="0"/>
              <w:contextualSpacing w:val="0"/>
              <w:jc w:val="center"/>
              <w:rPr>
                <w:rFonts w:eastAsia="Times New Roman"/>
                <w:b/>
                <w:sz w:val="15"/>
                <w:szCs w:val="15"/>
              </w:rPr>
            </w:pPr>
          </w:p>
        </w:tc>
        <w:tc>
          <w:tcPr>
            <w:tcW w:w="1974" w:type="dxa"/>
            <w:tcBorders>
              <w:top w:val="single" w:sz="2" w:space="0" w:color="auto"/>
              <w:left w:val="single" w:sz="12" w:space="0" w:color="auto"/>
              <w:bottom w:val="single" w:sz="12" w:space="0" w:color="auto"/>
              <w:right w:val="single" w:sz="2" w:space="0" w:color="auto"/>
            </w:tcBorders>
            <w:shd w:val="clear" w:color="auto" w:fill="D6E3BC" w:themeFill="accent3" w:themeFillTint="66"/>
            <w:noWrap/>
            <w:vAlign w:val="bottom"/>
            <w:hideMark/>
          </w:tcPr>
          <w:p w:rsidR="006D3D04" w:rsidRPr="005F199F" w:rsidRDefault="006D3D04" w:rsidP="006D3D04">
            <w:pPr>
              <w:widowControl/>
              <w:spacing w:after="0" w:line="240" w:lineRule="auto"/>
              <w:ind w:firstLine="0"/>
              <w:contextualSpacing w:val="0"/>
              <w:jc w:val="left"/>
              <w:rPr>
                <w:rFonts w:eastAsia="Times New Roman"/>
                <w:sz w:val="15"/>
                <w:szCs w:val="15"/>
              </w:rPr>
            </w:pPr>
            <w:r w:rsidRPr="005F199F">
              <w:rPr>
                <w:rFonts w:eastAsia="Times New Roman"/>
                <w:sz w:val="15"/>
                <w:szCs w:val="15"/>
              </w:rPr>
              <w:t>1 D + 2 V</w:t>
            </w:r>
            <w:r>
              <w:rPr>
                <w:rFonts w:eastAsia="Times New Roman"/>
                <w:sz w:val="15"/>
                <w:szCs w:val="15"/>
              </w:rPr>
              <w:t>, 6</w:t>
            </w:r>
            <w:r w:rsidRPr="005F199F">
              <w:rPr>
                <w:rFonts w:eastAsia="Times New Roman"/>
                <w:sz w:val="15"/>
                <w:szCs w:val="15"/>
              </w:rPr>
              <w:t>0 %</w:t>
            </w:r>
          </w:p>
        </w:tc>
        <w:tc>
          <w:tcPr>
            <w:tcW w:w="1051" w:type="dxa"/>
            <w:tcBorders>
              <w:top w:val="single" w:sz="2" w:space="0" w:color="auto"/>
              <w:left w:val="single" w:sz="12" w:space="0" w:color="auto"/>
              <w:bottom w:val="single" w:sz="12" w:space="0" w:color="auto"/>
              <w:right w:val="single" w:sz="2" w:space="0" w:color="auto"/>
            </w:tcBorders>
            <w:shd w:val="clear" w:color="auto" w:fill="D6E3BC" w:themeFill="accent3"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1 100</w:t>
            </w:r>
          </w:p>
        </w:tc>
        <w:tc>
          <w:tcPr>
            <w:tcW w:w="813" w:type="dxa"/>
            <w:tcBorders>
              <w:top w:val="single" w:sz="2" w:space="0" w:color="auto"/>
              <w:left w:val="single" w:sz="12" w:space="0" w:color="auto"/>
              <w:bottom w:val="single" w:sz="12" w:space="0" w:color="auto"/>
              <w:right w:val="single" w:sz="2" w:space="0" w:color="auto"/>
            </w:tcBorders>
            <w:shd w:val="clear" w:color="auto" w:fill="D6E3BC" w:themeFill="accent3" w:themeFillTint="66"/>
            <w:noWrap/>
            <w:vAlign w:val="center"/>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410 / 300</w:t>
            </w:r>
          </w:p>
        </w:tc>
        <w:tc>
          <w:tcPr>
            <w:tcW w:w="813" w:type="dxa"/>
            <w:tcBorders>
              <w:top w:val="single" w:sz="2" w:space="0" w:color="auto"/>
              <w:left w:val="single" w:sz="12" w:space="0" w:color="auto"/>
              <w:bottom w:val="single" w:sz="12" w:space="0" w:color="auto"/>
              <w:right w:val="single" w:sz="2" w:space="0" w:color="auto"/>
            </w:tcBorders>
            <w:shd w:val="clear" w:color="auto" w:fill="D6E3BC" w:themeFill="accent3" w:themeFillTint="66"/>
            <w:noWrap/>
            <w:vAlign w:val="center"/>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59</w:t>
            </w:r>
          </w:p>
        </w:tc>
        <w:tc>
          <w:tcPr>
            <w:tcW w:w="815" w:type="dxa"/>
            <w:tcBorders>
              <w:top w:val="single" w:sz="2" w:space="0" w:color="auto"/>
              <w:left w:val="single" w:sz="12" w:space="0" w:color="auto"/>
              <w:bottom w:val="single" w:sz="12" w:space="0" w:color="auto"/>
              <w:right w:val="single" w:sz="2" w:space="0" w:color="auto"/>
            </w:tcBorders>
            <w:shd w:val="clear" w:color="auto" w:fill="D6E3BC" w:themeFill="accent3" w:themeFillTint="66"/>
            <w:noWrap/>
            <w:vAlign w:val="center"/>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99</w:t>
            </w:r>
          </w:p>
        </w:tc>
        <w:tc>
          <w:tcPr>
            <w:tcW w:w="934" w:type="dxa"/>
            <w:tcBorders>
              <w:top w:val="single" w:sz="2" w:space="0" w:color="auto"/>
              <w:left w:val="single" w:sz="12" w:space="0" w:color="auto"/>
              <w:bottom w:val="single" w:sz="12" w:space="0" w:color="auto"/>
              <w:right w:val="single" w:sz="2" w:space="0" w:color="auto"/>
            </w:tcBorders>
            <w:shd w:val="clear" w:color="auto" w:fill="D6E3BC" w:themeFill="accent3" w:themeFillTint="66"/>
            <w:noWrap/>
            <w:vAlign w:val="center"/>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942</w:t>
            </w:r>
          </w:p>
        </w:tc>
        <w:tc>
          <w:tcPr>
            <w:tcW w:w="933" w:type="dxa"/>
            <w:tcBorders>
              <w:top w:val="single" w:sz="2" w:space="0" w:color="auto"/>
              <w:left w:val="single" w:sz="12" w:space="0" w:color="auto"/>
              <w:bottom w:val="single" w:sz="12" w:space="0" w:color="auto"/>
              <w:right w:val="single" w:sz="2" w:space="0" w:color="auto"/>
            </w:tcBorders>
            <w:shd w:val="clear" w:color="auto" w:fill="D6E3BC" w:themeFill="accent3"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340 / 0</w:t>
            </w:r>
          </w:p>
        </w:tc>
        <w:tc>
          <w:tcPr>
            <w:tcW w:w="667" w:type="dxa"/>
            <w:tcBorders>
              <w:top w:val="single" w:sz="2" w:space="0" w:color="auto"/>
              <w:left w:val="single" w:sz="12" w:space="0" w:color="auto"/>
              <w:bottom w:val="single" w:sz="12" w:space="0" w:color="auto"/>
              <w:right w:val="single" w:sz="2" w:space="0" w:color="auto"/>
            </w:tcBorders>
            <w:shd w:val="clear" w:color="auto" w:fill="D6E3BC" w:themeFill="accent3"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397</w:t>
            </w:r>
          </w:p>
        </w:tc>
        <w:tc>
          <w:tcPr>
            <w:tcW w:w="667" w:type="dxa"/>
            <w:tcBorders>
              <w:top w:val="single" w:sz="2" w:space="0" w:color="auto"/>
              <w:left w:val="single" w:sz="12" w:space="0" w:color="auto"/>
              <w:bottom w:val="single" w:sz="12" w:space="0" w:color="auto"/>
              <w:right w:val="single" w:sz="2" w:space="0" w:color="auto"/>
            </w:tcBorders>
            <w:shd w:val="clear" w:color="auto" w:fill="D6E3BC" w:themeFill="accent3"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667" w:type="dxa"/>
            <w:tcBorders>
              <w:top w:val="single" w:sz="2" w:space="0" w:color="auto"/>
              <w:left w:val="single" w:sz="12" w:space="0" w:color="auto"/>
              <w:bottom w:val="single" w:sz="12" w:space="0" w:color="auto"/>
              <w:right w:val="single" w:sz="2" w:space="0" w:color="auto"/>
            </w:tcBorders>
            <w:shd w:val="clear" w:color="auto" w:fill="D6E3BC" w:themeFill="accent3"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821" w:type="dxa"/>
            <w:tcBorders>
              <w:top w:val="single" w:sz="2" w:space="0" w:color="auto"/>
              <w:left w:val="single" w:sz="12" w:space="0" w:color="auto"/>
              <w:bottom w:val="single" w:sz="12" w:space="0" w:color="auto"/>
              <w:right w:val="single" w:sz="2" w:space="0" w:color="auto"/>
            </w:tcBorders>
            <w:shd w:val="clear" w:color="auto" w:fill="D6E3BC" w:themeFill="accent3"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08" w:type="dxa"/>
            <w:tcBorders>
              <w:top w:val="single" w:sz="2" w:space="0" w:color="auto"/>
              <w:left w:val="single" w:sz="12" w:space="0" w:color="auto"/>
              <w:bottom w:val="single" w:sz="12" w:space="0" w:color="auto"/>
              <w:right w:val="single" w:sz="2" w:space="0" w:color="auto"/>
            </w:tcBorders>
            <w:shd w:val="clear" w:color="auto" w:fill="D6E3BC" w:themeFill="accent3"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260</w:t>
            </w:r>
          </w:p>
        </w:tc>
        <w:tc>
          <w:tcPr>
            <w:tcW w:w="934" w:type="dxa"/>
            <w:tcBorders>
              <w:top w:val="single" w:sz="2" w:space="0" w:color="auto"/>
              <w:left w:val="single" w:sz="12" w:space="0" w:color="auto"/>
              <w:bottom w:val="single" w:sz="12" w:space="0" w:color="auto"/>
              <w:right w:val="single" w:sz="2" w:space="0" w:color="auto"/>
            </w:tcBorders>
            <w:shd w:val="clear" w:color="auto" w:fill="D6E3BC" w:themeFill="accent3"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2 125</w:t>
            </w:r>
          </w:p>
        </w:tc>
        <w:tc>
          <w:tcPr>
            <w:tcW w:w="934" w:type="dxa"/>
            <w:tcBorders>
              <w:top w:val="single" w:sz="2" w:space="0" w:color="auto"/>
              <w:left w:val="single" w:sz="12" w:space="0" w:color="auto"/>
              <w:bottom w:val="single" w:sz="12" w:space="0" w:color="auto"/>
              <w:right w:val="single" w:sz="12" w:space="0" w:color="auto"/>
            </w:tcBorders>
            <w:shd w:val="clear" w:color="auto" w:fill="D6E3BC" w:themeFill="accent3" w:themeFillTint="66"/>
            <w:noWrap/>
            <w:vAlign w:val="bottom"/>
            <w:hideMark/>
          </w:tcPr>
          <w:p w:rsidR="006D3D04" w:rsidRPr="005F199F"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708</w:t>
            </w:r>
          </w:p>
        </w:tc>
      </w:tr>
      <w:tr w:rsidR="006D3D04" w:rsidRPr="00C04485" w:rsidTr="006D3D04">
        <w:trPr>
          <w:trHeight w:val="195"/>
        </w:trPr>
        <w:tc>
          <w:tcPr>
            <w:tcW w:w="366" w:type="dxa"/>
            <w:vMerge w:val="restart"/>
            <w:tcBorders>
              <w:top w:val="single" w:sz="12" w:space="0" w:color="auto"/>
              <w:left w:val="single" w:sz="12" w:space="0" w:color="auto"/>
              <w:right w:val="single" w:sz="2" w:space="0" w:color="auto"/>
            </w:tcBorders>
            <w:shd w:val="clear" w:color="auto" w:fill="D9D9D9" w:themeFill="background1" w:themeFillShade="D9"/>
            <w:vAlign w:val="center"/>
          </w:tcPr>
          <w:p w:rsidR="006D3D04" w:rsidRPr="00BB5925" w:rsidRDefault="006D3D04" w:rsidP="006D3D04">
            <w:pPr>
              <w:widowControl/>
              <w:spacing w:after="0" w:line="240" w:lineRule="auto"/>
              <w:ind w:firstLine="0"/>
              <w:contextualSpacing w:val="0"/>
              <w:jc w:val="center"/>
              <w:rPr>
                <w:rFonts w:eastAsia="Times New Roman"/>
                <w:b/>
                <w:sz w:val="15"/>
                <w:szCs w:val="15"/>
              </w:rPr>
            </w:pPr>
            <w:r w:rsidRPr="00BB5925">
              <w:rPr>
                <w:rFonts w:eastAsia="Times New Roman"/>
                <w:b/>
                <w:sz w:val="15"/>
                <w:szCs w:val="15"/>
              </w:rPr>
              <w:t>4</w:t>
            </w:r>
          </w:p>
        </w:tc>
        <w:tc>
          <w:tcPr>
            <w:tcW w:w="1974" w:type="dxa"/>
            <w:tcBorders>
              <w:top w:val="single" w:sz="12" w:space="0" w:color="auto"/>
              <w:left w:val="single" w:sz="12" w:space="0" w:color="auto"/>
              <w:bottom w:val="single" w:sz="2" w:space="0" w:color="auto"/>
              <w:right w:val="single" w:sz="2" w:space="0" w:color="auto"/>
            </w:tcBorders>
            <w:shd w:val="clear" w:color="auto" w:fill="B6DDE8" w:themeFill="accent5" w:themeFillTint="66"/>
            <w:noWrap/>
            <w:vAlign w:val="bottom"/>
            <w:hideMark/>
          </w:tcPr>
          <w:p w:rsidR="006D3D04" w:rsidRPr="00C5607A" w:rsidRDefault="006D3D04" w:rsidP="006D3D04">
            <w:pPr>
              <w:widowControl/>
              <w:spacing w:after="0" w:line="240" w:lineRule="auto"/>
              <w:ind w:firstLine="0"/>
              <w:contextualSpacing w:val="0"/>
              <w:jc w:val="left"/>
              <w:rPr>
                <w:rFonts w:eastAsia="Times New Roman"/>
                <w:sz w:val="15"/>
                <w:szCs w:val="15"/>
              </w:rPr>
            </w:pPr>
            <w:r>
              <w:rPr>
                <w:rFonts w:eastAsia="Times New Roman"/>
                <w:sz w:val="15"/>
                <w:szCs w:val="15"/>
              </w:rPr>
              <w:t>1 D + 1 B</w:t>
            </w:r>
            <w:r w:rsidRPr="00C5607A">
              <w:rPr>
                <w:rFonts w:eastAsia="Times New Roman"/>
                <w:sz w:val="15"/>
                <w:szCs w:val="15"/>
              </w:rPr>
              <w:t xml:space="preserve"> + 2 V, </w:t>
            </w:r>
            <w:r>
              <w:rPr>
                <w:rFonts w:eastAsia="Times New Roman"/>
                <w:sz w:val="15"/>
                <w:szCs w:val="15"/>
              </w:rPr>
              <w:t>70</w:t>
            </w:r>
            <w:r w:rsidRPr="00C5607A">
              <w:rPr>
                <w:rFonts w:eastAsia="Times New Roman"/>
                <w:sz w:val="15"/>
                <w:szCs w:val="15"/>
              </w:rPr>
              <w:t xml:space="preserve"> %</w:t>
            </w:r>
          </w:p>
        </w:tc>
        <w:tc>
          <w:tcPr>
            <w:tcW w:w="1051" w:type="dxa"/>
            <w:tcBorders>
              <w:top w:val="single" w:sz="12" w:space="0" w:color="auto"/>
              <w:left w:val="single" w:sz="12" w:space="0" w:color="auto"/>
              <w:bottom w:val="single" w:sz="2" w:space="0" w:color="auto"/>
              <w:right w:val="single" w:sz="2" w:space="0" w:color="auto"/>
            </w:tcBorders>
            <w:shd w:val="clear" w:color="auto" w:fill="B6DDE8" w:themeFill="accent5"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850</w:t>
            </w:r>
          </w:p>
        </w:tc>
        <w:tc>
          <w:tcPr>
            <w:tcW w:w="813" w:type="dxa"/>
            <w:tcBorders>
              <w:top w:val="single" w:sz="12" w:space="0" w:color="auto"/>
              <w:left w:val="single" w:sz="12" w:space="0" w:color="auto"/>
              <w:bottom w:val="single" w:sz="2" w:space="0" w:color="auto"/>
              <w:right w:val="single" w:sz="2" w:space="0" w:color="auto"/>
            </w:tcBorders>
            <w:shd w:val="clear" w:color="auto" w:fill="B6DDE8" w:themeFill="accent5" w:themeFillTint="66"/>
            <w:noWrap/>
            <w:vAlign w:val="center"/>
            <w:hideMark/>
          </w:tcPr>
          <w:p w:rsidR="006D3D04" w:rsidRPr="003605F6" w:rsidRDefault="006D3D04" w:rsidP="006D3D04">
            <w:pPr>
              <w:widowControl/>
              <w:spacing w:after="0" w:line="240" w:lineRule="auto"/>
              <w:ind w:firstLine="0"/>
              <w:contextualSpacing w:val="0"/>
              <w:jc w:val="center"/>
              <w:rPr>
                <w:rFonts w:eastAsia="Times New Roman"/>
                <w:sz w:val="15"/>
                <w:szCs w:val="15"/>
              </w:rPr>
            </w:pPr>
            <w:r w:rsidRPr="003605F6">
              <w:rPr>
                <w:rFonts w:eastAsia="Times New Roman"/>
                <w:sz w:val="15"/>
                <w:szCs w:val="15"/>
              </w:rPr>
              <w:t>460 / 300</w:t>
            </w:r>
          </w:p>
        </w:tc>
        <w:tc>
          <w:tcPr>
            <w:tcW w:w="813" w:type="dxa"/>
            <w:tcBorders>
              <w:top w:val="single" w:sz="12" w:space="0" w:color="auto"/>
              <w:left w:val="single" w:sz="12" w:space="0" w:color="auto"/>
              <w:bottom w:val="single" w:sz="2" w:space="0" w:color="auto"/>
              <w:right w:val="single" w:sz="2" w:space="0" w:color="auto"/>
            </w:tcBorders>
            <w:shd w:val="clear" w:color="auto" w:fill="B6DDE8" w:themeFill="accent5" w:themeFillTint="66"/>
            <w:noWrap/>
            <w:vAlign w:val="center"/>
            <w:hideMark/>
          </w:tcPr>
          <w:p w:rsidR="006D3D04" w:rsidRPr="003605F6" w:rsidRDefault="006D3D04" w:rsidP="006D3D04">
            <w:pPr>
              <w:widowControl/>
              <w:spacing w:after="0" w:line="240" w:lineRule="auto"/>
              <w:ind w:firstLine="0"/>
              <w:contextualSpacing w:val="0"/>
              <w:jc w:val="center"/>
              <w:rPr>
                <w:rFonts w:eastAsia="Times New Roman"/>
                <w:sz w:val="15"/>
                <w:szCs w:val="15"/>
              </w:rPr>
            </w:pPr>
            <w:r w:rsidRPr="003605F6">
              <w:rPr>
                <w:rFonts w:eastAsia="Times New Roman"/>
                <w:sz w:val="15"/>
                <w:szCs w:val="15"/>
              </w:rPr>
              <w:t>14</w:t>
            </w:r>
          </w:p>
        </w:tc>
        <w:tc>
          <w:tcPr>
            <w:tcW w:w="815" w:type="dxa"/>
            <w:tcBorders>
              <w:top w:val="single" w:sz="12" w:space="0" w:color="auto"/>
              <w:left w:val="single" w:sz="12" w:space="0" w:color="auto"/>
              <w:bottom w:val="single" w:sz="2" w:space="0" w:color="auto"/>
              <w:right w:val="single" w:sz="2" w:space="0" w:color="auto"/>
            </w:tcBorders>
            <w:shd w:val="clear" w:color="auto" w:fill="B6DDE8" w:themeFill="accent5" w:themeFillTint="66"/>
            <w:noWrap/>
            <w:vAlign w:val="center"/>
            <w:hideMark/>
          </w:tcPr>
          <w:p w:rsidR="006D3D04" w:rsidRPr="003605F6" w:rsidRDefault="006D3D04" w:rsidP="006D3D04">
            <w:pPr>
              <w:widowControl/>
              <w:spacing w:after="0" w:line="240" w:lineRule="auto"/>
              <w:ind w:firstLine="0"/>
              <w:contextualSpacing w:val="0"/>
              <w:jc w:val="center"/>
              <w:rPr>
                <w:rFonts w:eastAsia="Times New Roman"/>
                <w:sz w:val="15"/>
                <w:szCs w:val="15"/>
              </w:rPr>
            </w:pPr>
            <w:r w:rsidRPr="003605F6">
              <w:rPr>
                <w:rFonts w:eastAsia="Times New Roman"/>
                <w:sz w:val="15"/>
                <w:szCs w:val="15"/>
              </w:rPr>
              <w:t>77</w:t>
            </w:r>
          </w:p>
        </w:tc>
        <w:tc>
          <w:tcPr>
            <w:tcW w:w="934" w:type="dxa"/>
            <w:tcBorders>
              <w:top w:val="single" w:sz="12" w:space="0" w:color="auto"/>
              <w:left w:val="single" w:sz="12" w:space="0" w:color="auto"/>
              <w:bottom w:val="single" w:sz="2" w:space="0" w:color="auto"/>
              <w:right w:val="single" w:sz="2" w:space="0" w:color="auto"/>
            </w:tcBorders>
            <w:shd w:val="clear" w:color="auto" w:fill="B6DDE8" w:themeFill="accent5" w:themeFillTint="66"/>
            <w:noWrap/>
            <w:vAlign w:val="center"/>
            <w:hideMark/>
          </w:tcPr>
          <w:p w:rsidR="006D3D04" w:rsidRPr="003605F6" w:rsidRDefault="006D3D04" w:rsidP="006D3D04">
            <w:pPr>
              <w:widowControl/>
              <w:spacing w:after="0" w:line="240" w:lineRule="auto"/>
              <w:ind w:firstLine="0"/>
              <w:contextualSpacing w:val="0"/>
              <w:jc w:val="center"/>
              <w:rPr>
                <w:rFonts w:eastAsia="Times New Roman"/>
                <w:sz w:val="15"/>
                <w:szCs w:val="15"/>
              </w:rPr>
            </w:pPr>
            <w:r w:rsidRPr="003605F6">
              <w:rPr>
                <w:rFonts w:eastAsia="Times New Roman"/>
                <w:sz w:val="15"/>
                <w:szCs w:val="15"/>
              </w:rPr>
              <w:t>759</w:t>
            </w:r>
          </w:p>
        </w:tc>
        <w:tc>
          <w:tcPr>
            <w:tcW w:w="933" w:type="dxa"/>
            <w:tcBorders>
              <w:top w:val="single" w:sz="12" w:space="0" w:color="auto"/>
              <w:left w:val="single" w:sz="12" w:space="0" w:color="auto"/>
              <w:bottom w:val="single" w:sz="2" w:space="0" w:color="auto"/>
              <w:right w:val="single" w:sz="2" w:space="0" w:color="auto"/>
            </w:tcBorders>
            <w:shd w:val="clear" w:color="auto" w:fill="B6DDE8" w:themeFill="accent5" w:themeFillTint="66"/>
            <w:noWrap/>
            <w:vAlign w:val="bottom"/>
            <w:hideMark/>
          </w:tcPr>
          <w:p w:rsidR="006D3D04" w:rsidRPr="009F6960"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397 + 567</w:t>
            </w:r>
          </w:p>
        </w:tc>
        <w:tc>
          <w:tcPr>
            <w:tcW w:w="667" w:type="dxa"/>
            <w:tcBorders>
              <w:top w:val="single" w:sz="12" w:space="0" w:color="auto"/>
              <w:left w:val="single" w:sz="12" w:space="0" w:color="auto"/>
              <w:bottom w:val="single" w:sz="2" w:space="0" w:color="auto"/>
              <w:right w:val="single" w:sz="2" w:space="0" w:color="auto"/>
            </w:tcBorders>
            <w:shd w:val="clear" w:color="auto" w:fill="B6DDE8" w:themeFill="accent5" w:themeFillTint="66"/>
            <w:noWrap/>
            <w:vAlign w:val="bottom"/>
            <w:hideMark/>
          </w:tcPr>
          <w:p w:rsidR="006D3D04" w:rsidRPr="00C5607A"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430</w:t>
            </w:r>
          </w:p>
        </w:tc>
        <w:tc>
          <w:tcPr>
            <w:tcW w:w="667" w:type="dxa"/>
            <w:tcBorders>
              <w:top w:val="single" w:sz="12" w:space="0" w:color="auto"/>
              <w:left w:val="single" w:sz="12" w:space="0" w:color="auto"/>
              <w:bottom w:val="single" w:sz="2" w:space="0" w:color="auto"/>
              <w:right w:val="single" w:sz="2" w:space="0" w:color="auto"/>
            </w:tcBorders>
            <w:shd w:val="clear" w:color="auto" w:fill="B6DDE8" w:themeFill="accent5" w:themeFillTint="66"/>
            <w:noWrap/>
            <w:vAlign w:val="bottom"/>
            <w:hideMark/>
          </w:tcPr>
          <w:p w:rsidR="006D3D04" w:rsidRPr="00C5607A"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667" w:type="dxa"/>
            <w:tcBorders>
              <w:top w:val="single" w:sz="12" w:space="0" w:color="auto"/>
              <w:left w:val="single" w:sz="12" w:space="0" w:color="auto"/>
              <w:bottom w:val="single" w:sz="2" w:space="0" w:color="auto"/>
              <w:right w:val="single" w:sz="2" w:space="0" w:color="auto"/>
            </w:tcBorders>
            <w:shd w:val="clear" w:color="auto" w:fill="B6DDE8" w:themeFill="accent5" w:themeFillTint="66"/>
            <w:noWrap/>
            <w:vAlign w:val="bottom"/>
            <w:hideMark/>
          </w:tcPr>
          <w:p w:rsidR="006D3D04" w:rsidRPr="00C5607A"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821" w:type="dxa"/>
            <w:tcBorders>
              <w:top w:val="single" w:sz="12" w:space="0" w:color="auto"/>
              <w:left w:val="single" w:sz="12" w:space="0" w:color="auto"/>
              <w:bottom w:val="single" w:sz="2" w:space="0" w:color="auto"/>
              <w:right w:val="single" w:sz="2" w:space="0" w:color="auto"/>
            </w:tcBorders>
            <w:shd w:val="clear" w:color="auto" w:fill="B6DDE8" w:themeFill="accent5" w:themeFillTint="66"/>
            <w:noWrap/>
            <w:vAlign w:val="bottom"/>
            <w:hideMark/>
          </w:tcPr>
          <w:p w:rsidR="006D3D04" w:rsidRPr="00C5607A"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08" w:type="dxa"/>
            <w:tcBorders>
              <w:top w:val="single" w:sz="12" w:space="0" w:color="auto"/>
              <w:left w:val="single" w:sz="12" w:space="0" w:color="auto"/>
              <w:bottom w:val="single" w:sz="2" w:space="0" w:color="auto"/>
              <w:right w:val="single" w:sz="2" w:space="0" w:color="auto"/>
            </w:tcBorders>
            <w:shd w:val="clear" w:color="auto" w:fill="B6DDE8" w:themeFill="accent5" w:themeFillTint="66"/>
            <w:noWrap/>
            <w:vAlign w:val="bottom"/>
            <w:hideMark/>
          </w:tcPr>
          <w:p w:rsidR="006D3D04" w:rsidRPr="00C5607A"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934" w:type="dxa"/>
            <w:tcBorders>
              <w:top w:val="single" w:sz="12" w:space="0" w:color="auto"/>
              <w:left w:val="single" w:sz="12" w:space="0" w:color="auto"/>
              <w:bottom w:val="single" w:sz="2" w:space="0" w:color="auto"/>
              <w:right w:val="single" w:sz="2" w:space="0" w:color="auto"/>
            </w:tcBorders>
            <w:shd w:val="clear" w:color="auto" w:fill="B6DDE8" w:themeFill="accent5" w:themeFillTint="66"/>
            <w:noWrap/>
            <w:vAlign w:val="bottom"/>
            <w:hideMark/>
          </w:tcPr>
          <w:p w:rsidR="006D3D04" w:rsidRPr="00C5607A"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2 339</w:t>
            </w:r>
          </w:p>
        </w:tc>
        <w:tc>
          <w:tcPr>
            <w:tcW w:w="934" w:type="dxa"/>
            <w:tcBorders>
              <w:top w:val="single" w:sz="12" w:space="0" w:color="auto"/>
              <w:left w:val="single" w:sz="12" w:space="0" w:color="auto"/>
              <w:bottom w:val="single" w:sz="2" w:space="0" w:color="auto"/>
              <w:right w:val="single" w:sz="12" w:space="0" w:color="auto"/>
            </w:tcBorders>
            <w:shd w:val="clear" w:color="auto" w:fill="B6DDE8" w:themeFill="accent5" w:themeFillTint="66"/>
            <w:noWrap/>
            <w:vAlign w:val="bottom"/>
            <w:hideMark/>
          </w:tcPr>
          <w:p w:rsidR="006D3D04" w:rsidRPr="00C5607A"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585</w:t>
            </w:r>
          </w:p>
        </w:tc>
      </w:tr>
      <w:tr w:rsidR="006D3D04" w:rsidRPr="00C04485" w:rsidTr="006D3D04">
        <w:trPr>
          <w:trHeight w:val="195"/>
        </w:trPr>
        <w:tc>
          <w:tcPr>
            <w:tcW w:w="366" w:type="dxa"/>
            <w:vMerge/>
            <w:tcBorders>
              <w:left w:val="single" w:sz="12" w:space="0" w:color="auto"/>
              <w:bottom w:val="single" w:sz="12" w:space="0" w:color="auto"/>
              <w:right w:val="single" w:sz="2" w:space="0" w:color="auto"/>
            </w:tcBorders>
            <w:shd w:val="clear" w:color="auto" w:fill="D9D9D9" w:themeFill="background1" w:themeFillShade="D9"/>
          </w:tcPr>
          <w:p w:rsidR="006D3D04" w:rsidRPr="00BB5925" w:rsidRDefault="006D3D04" w:rsidP="006D3D04">
            <w:pPr>
              <w:widowControl/>
              <w:spacing w:after="0" w:line="240" w:lineRule="auto"/>
              <w:ind w:firstLine="0"/>
              <w:contextualSpacing w:val="0"/>
              <w:jc w:val="left"/>
              <w:rPr>
                <w:rFonts w:eastAsia="Times New Roman"/>
                <w:b/>
                <w:sz w:val="15"/>
                <w:szCs w:val="15"/>
              </w:rPr>
            </w:pPr>
          </w:p>
        </w:tc>
        <w:tc>
          <w:tcPr>
            <w:tcW w:w="1974" w:type="dxa"/>
            <w:tcBorders>
              <w:top w:val="single" w:sz="2" w:space="0" w:color="auto"/>
              <w:left w:val="single" w:sz="12" w:space="0" w:color="auto"/>
              <w:bottom w:val="single" w:sz="12" w:space="0" w:color="auto"/>
              <w:right w:val="single" w:sz="2" w:space="0" w:color="auto"/>
            </w:tcBorders>
            <w:shd w:val="clear" w:color="auto" w:fill="B6DDE8" w:themeFill="accent5" w:themeFillTint="66"/>
            <w:noWrap/>
            <w:vAlign w:val="bottom"/>
            <w:hideMark/>
          </w:tcPr>
          <w:p w:rsidR="006D3D04" w:rsidRPr="00084E39" w:rsidRDefault="006D3D04" w:rsidP="006D3D04">
            <w:pPr>
              <w:widowControl/>
              <w:spacing w:after="0" w:line="240" w:lineRule="auto"/>
              <w:ind w:firstLine="0"/>
              <w:contextualSpacing w:val="0"/>
              <w:jc w:val="left"/>
              <w:rPr>
                <w:rFonts w:eastAsia="Times New Roman"/>
                <w:sz w:val="15"/>
                <w:szCs w:val="15"/>
              </w:rPr>
            </w:pPr>
            <w:r>
              <w:rPr>
                <w:rFonts w:eastAsia="Times New Roman"/>
                <w:sz w:val="15"/>
                <w:szCs w:val="15"/>
              </w:rPr>
              <w:t>1 D + 1 B + 2 V</w:t>
            </w:r>
            <w:r w:rsidRPr="00084E39">
              <w:rPr>
                <w:rFonts w:eastAsia="Times New Roman"/>
                <w:sz w:val="15"/>
                <w:szCs w:val="15"/>
              </w:rPr>
              <w:t xml:space="preserve">, </w:t>
            </w:r>
            <w:r>
              <w:rPr>
                <w:rFonts w:eastAsia="Times New Roman"/>
                <w:sz w:val="15"/>
                <w:szCs w:val="15"/>
              </w:rPr>
              <w:t>7</w:t>
            </w:r>
            <w:r w:rsidRPr="00C04485">
              <w:rPr>
                <w:rFonts w:eastAsia="Times New Roman"/>
                <w:sz w:val="15"/>
                <w:szCs w:val="15"/>
              </w:rPr>
              <w:t>0 %</w:t>
            </w:r>
          </w:p>
        </w:tc>
        <w:tc>
          <w:tcPr>
            <w:tcW w:w="1051" w:type="dxa"/>
            <w:tcBorders>
              <w:top w:val="single" w:sz="2" w:space="0" w:color="auto"/>
              <w:left w:val="single" w:sz="12" w:space="0" w:color="auto"/>
              <w:bottom w:val="single" w:sz="12" w:space="0" w:color="auto"/>
              <w:right w:val="single" w:sz="2" w:space="0" w:color="auto"/>
            </w:tcBorders>
            <w:shd w:val="clear" w:color="auto" w:fill="B6DDE8" w:themeFill="accent5"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1 100</w:t>
            </w:r>
          </w:p>
        </w:tc>
        <w:tc>
          <w:tcPr>
            <w:tcW w:w="813" w:type="dxa"/>
            <w:tcBorders>
              <w:top w:val="single" w:sz="2" w:space="0" w:color="auto"/>
              <w:left w:val="single" w:sz="12" w:space="0" w:color="auto"/>
              <w:bottom w:val="single" w:sz="12" w:space="0" w:color="auto"/>
              <w:right w:val="single" w:sz="2" w:space="0" w:color="auto"/>
            </w:tcBorders>
            <w:shd w:val="clear" w:color="auto" w:fill="B6DDE8" w:themeFill="accent5" w:themeFillTint="66"/>
            <w:noWrap/>
            <w:vAlign w:val="center"/>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410 / 300</w:t>
            </w:r>
          </w:p>
        </w:tc>
        <w:tc>
          <w:tcPr>
            <w:tcW w:w="813" w:type="dxa"/>
            <w:tcBorders>
              <w:top w:val="single" w:sz="2" w:space="0" w:color="auto"/>
              <w:left w:val="single" w:sz="12" w:space="0" w:color="auto"/>
              <w:bottom w:val="single" w:sz="12" w:space="0" w:color="auto"/>
              <w:right w:val="single" w:sz="2" w:space="0" w:color="auto"/>
            </w:tcBorders>
            <w:shd w:val="clear" w:color="auto" w:fill="B6DDE8" w:themeFill="accent5" w:themeFillTint="66"/>
            <w:noWrap/>
            <w:vAlign w:val="center"/>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59</w:t>
            </w:r>
          </w:p>
        </w:tc>
        <w:tc>
          <w:tcPr>
            <w:tcW w:w="815" w:type="dxa"/>
            <w:tcBorders>
              <w:top w:val="single" w:sz="2" w:space="0" w:color="auto"/>
              <w:left w:val="single" w:sz="12" w:space="0" w:color="auto"/>
              <w:bottom w:val="single" w:sz="12" w:space="0" w:color="auto"/>
              <w:right w:val="single" w:sz="2" w:space="0" w:color="auto"/>
            </w:tcBorders>
            <w:shd w:val="clear" w:color="auto" w:fill="B6DDE8" w:themeFill="accent5" w:themeFillTint="66"/>
            <w:noWrap/>
            <w:vAlign w:val="center"/>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99</w:t>
            </w:r>
          </w:p>
        </w:tc>
        <w:tc>
          <w:tcPr>
            <w:tcW w:w="934" w:type="dxa"/>
            <w:tcBorders>
              <w:top w:val="single" w:sz="2" w:space="0" w:color="auto"/>
              <w:left w:val="single" w:sz="12" w:space="0" w:color="auto"/>
              <w:bottom w:val="single" w:sz="12" w:space="0" w:color="auto"/>
              <w:right w:val="single" w:sz="2" w:space="0" w:color="auto"/>
            </w:tcBorders>
            <w:shd w:val="clear" w:color="auto" w:fill="B6DDE8" w:themeFill="accent5" w:themeFillTint="66"/>
            <w:noWrap/>
            <w:vAlign w:val="center"/>
            <w:hideMark/>
          </w:tcPr>
          <w:p w:rsidR="006D3D04" w:rsidRPr="005F199F" w:rsidRDefault="006D3D04" w:rsidP="006D3D04">
            <w:pPr>
              <w:widowControl/>
              <w:spacing w:after="0" w:line="240" w:lineRule="auto"/>
              <w:ind w:firstLine="0"/>
              <w:contextualSpacing w:val="0"/>
              <w:jc w:val="center"/>
              <w:rPr>
                <w:rFonts w:eastAsia="Times New Roman"/>
                <w:sz w:val="15"/>
                <w:szCs w:val="15"/>
              </w:rPr>
            </w:pPr>
            <w:r w:rsidRPr="005F199F">
              <w:rPr>
                <w:rFonts w:eastAsia="Times New Roman"/>
                <w:sz w:val="15"/>
                <w:szCs w:val="15"/>
              </w:rPr>
              <w:t>942</w:t>
            </w:r>
          </w:p>
        </w:tc>
        <w:tc>
          <w:tcPr>
            <w:tcW w:w="933" w:type="dxa"/>
            <w:tcBorders>
              <w:top w:val="single" w:sz="2" w:space="0" w:color="auto"/>
              <w:left w:val="single" w:sz="12" w:space="0" w:color="auto"/>
              <w:bottom w:val="single" w:sz="12" w:space="0" w:color="auto"/>
              <w:right w:val="single" w:sz="2" w:space="0" w:color="auto"/>
            </w:tcBorders>
            <w:shd w:val="clear" w:color="auto" w:fill="B6DDE8" w:themeFill="accent5" w:themeFillTint="66"/>
            <w:noWrap/>
            <w:vAlign w:val="bottom"/>
            <w:hideMark/>
          </w:tcPr>
          <w:p w:rsidR="006D3D04" w:rsidRPr="00C04485"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397 + 567</w:t>
            </w:r>
          </w:p>
        </w:tc>
        <w:tc>
          <w:tcPr>
            <w:tcW w:w="667" w:type="dxa"/>
            <w:tcBorders>
              <w:top w:val="single" w:sz="2" w:space="0" w:color="auto"/>
              <w:left w:val="single" w:sz="12" w:space="0" w:color="auto"/>
              <w:bottom w:val="single" w:sz="12" w:space="0" w:color="auto"/>
              <w:right w:val="single" w:sz="2" w:space="0" w:color="auto"/>
            </w:tcBorders>
            <w:shd w:val="clear" w:color="auto" w:fill="B6DDE8" w:themeFill="accent5" w:themeFillTint="66"/>
            <w:noWrap/>
            <w:vAlign w:val="bottom"/>
            <w:hideMark/>
          </w:tcPr>
          <w:p w:rsidR="006D3D04" w:rsidRPr="00084E39"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394</w:t>
            </w:r>
          </w:p>
        </w:tc>
        <w:tc>
          <w:tcPr>
            <w:tcW w:w="667" w:type="dxa"/>
            <w:tcBorders>
              <w:top w:val="single" w:sz="2" w:space="0" w:color="auto"/>
              <w:left w:val="single" w:sz="12" w:space="0" w:color="auto"/>
              <w:bottom w:val="single" w:sz="12" w:space="0" w:color="auto"/>
              <w:right w:val="single" w:sz="2" w:space="0" w:color="auto"/>
            </w:tcBorders>
            <w:shd w:val="clear" w:color="auto" w:fill="B6DDE8" w:themeFill="accent5" w:themeFillTint="66"/>
            <w:noWrap/>
            <w:vAlign w:val="bottom"/>
            <w:hideMark/>
          </w:tcPr>
          <w:p w:rsidR="006D3D04" w:rsidRPr="00084E39"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667" w:type="dxa"/>
            <w:tcBorders>
              <w:top w:val="single" w:sz="2" w:space="0" w:color="auto"/>
              <w:left w:val="single" w:sz="12" w:space="0" w:color="auto"/>
              <w:bottom w:val="single" w:sz="12" w:space="0" w:color="auto"/>
              <w:right w:val="single" w:sz="2" w:space="0" w:color="auto"/>
            </w:tcBorders>
            <w:shd w:val="clear" w:color="auto" w:fill="B6DDE8" w:themeFill="accent5" w:themeFillTint="66"/>
            <w:noWrap/>
            <w:vAlign w:val="bottom"/>
            <w:hideMark/>
          </w:tcPr>
          <w:p w:rsidR="006D3D04" w:rsidRPr="00084E39"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821" w:type="dxa"/>
            <w:tcBorders>
              <w:top w:val="single" w:sz="2" w:space="0" w:color="auto"/>
              <w:left w:val="single" w:sz="12" w:space="0" w:color="auto"/>
              <w:bottom w:val="single" w:sz="12" w:space="0" w:color="auto"/>
              <w:right w:val="single" w:sz="2" w:space="0" w:color="auto"/>
            </w:tcBorders>
            <w:shd w:val="clear" w:color="auto" w:fill="B6DDE8" w:themeFill="accent5" w:themeFillTint="66"/>
            <w:noWrap/>
            <w:vAlign w:val="bottom"/>
            <w:hideMark/>
          </w:tcPr>
          <w:p w:rsidR="006D3D04" w:rsidRPr="00084E39"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186</w:t>
            </w:r>
          </w:p>
        </w:tc>
        <w:tc>
          <w:tcPr>
            <w:tcW w:w="908" w:type="dxa"/>
            <w:tcBorders>
              <w:top w:val="single" w:sz="2" w:space="0" w:color="auto"/>
              <w:left w:val="single" w:sz="12" w:space="0" w:color="auto"/>
              <w:bottom w:val="single" w:sz="12" w:space="0" w:color="auto"/>
              <w:right w:val="single" w:sz="2" w:space="0" w:color="auto"/>
            </w:tcBorders>
            <w:shd w:val="clear" w:color="auto" w:fill="B6DDE8" w:themeFill="accent5" w:themeFillTint="66"/>
            <w:noWrap/>
            <w:vAlign w:val="bottom"/>
            <w:hideMark/>
          </w:tcPr>
          <w:p w:rsidR="006D3D04" w:rsidRPr="00084E39" w:rsidRDefault="006D3D04" w:rsidP="006D3D04">
            <w:pPr>
              <w:widowControl/>
              <w:spacing w:after="0" w:line="240" w:lineRule="auto"/>
              <w:ind w:firstLine="0"/>
              <w:contextualSpacing w:val="0"/>
              <w:jc w:val="center"/>
              <w:rPr>
                <w:rFonts w:eastAsia="Times New Roman"/>
                <w:sz w:val="15"/>
                <w:szCs w:val="15"/>
              </w:rPr>
            </w:pPr>
            <w:r>
              <w:rPr>
                <w:rFonts w:eastAsia="Times New Roman"/>
                <w:sz w:val="15"/>
                <w:szCs w:val="15"/>
              </w:rPr>
              <w:t>-</w:t>
            </w:r>
          </w:p>
        </w:tc>
        <w:tc>
          <w:tcPr>
            <w:tcW w:w="934" w:type="dxa"/>
            <w:tcBorders>
              <w:top w:val="single" w:sz="2" w:space="0" w:color="auto"/>
              <w:left w:val="single" w:sz="12" w:space="0" w:color="auto"/>
              <w:bottom w:val="single" w:sz="12" w:space="0" w:color="auto"/>
              <w:right w:val="single" w:sz="2" w:space="0" w:color="auto"/>
            </w:tcBorders>
            <w:shd w:val="clear" w:color="auto" w:fill="B6DDE8" w:themeFill="accent5" w:themeFillTint="66"/>
            <w:noWrap/>
            <w:vAlign w:val="bottom"/>
            <w:hideMark/>
          </w:tcPr>
          <w:p w:rsidR="006D3D04" w:rsidRPr="00084E39"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2 486</w:t>
            </w:r>
          </w:p>
        </w:tc>
        <w:tc>
          <w:tcPr>
            <w:tcW w:w="934" w:type="dxa"/>
            <w:tcBorders>
              <w:top w:val="single" w:sz="2" w:space="0" w:color="auto"/>
              <w:left w:val="single" w:sz="12" w:space="0" w:color="auto"/>
              <w:bottom w:val="single" w:sz="12" w:space="0" w:color="auto"/>
              <w:right w:val="single" w:sz="12" w:space="0" w:color="auto"/>
            </w:tcBorders>
            <w:shd w:val="clear" w:color="auto" w:fill="B6DDE8" w:themeFill="accent5" w:themeFillTint="66"/>
            <w:noWrap/>
            <w:vAlign w:val="bottom"/>
            <w:hideMark/>
          </w:tcPr>
          <w:p w:rsidR="006D3D04" w:rsidRPr="00084E39" w:rsidRDefault="006D3D04" w:rsidP="006D3D04">
            <w:pPr>
              <w:widowControl/>
              <w:spacing w:after="0" w:line="240" w:lineRule="auto"/>
              <w:ind w:firstLine="0"/>
              <w:contextualSpacing w:val="0"/>
              <w:jc w:val="center"/>
              <w:rPr>
                <w:rFonts w:eastAsia="Times New Roman"/>
                <w:b/>
                <w:bCs/>
                <w:sz w:val="15"/>
                <w:szCs w:val="15"/>
              </w:rPr>
            </w:pPr>
            <w:r>
              <w:rPr>
                <w:rFonts w:eastAsia="Times New Roman"/>
                <w:b/>
                <w:bCs/>
                <w:sz w:val="15"/>
                <w:szCs w:val="15"/>
              </w:rPr>
              <w:t>622</w:t>
            </w:r>
          </w:p>
        </w:tc>
      </w:tr>
      <w:tr w:rsidR="006D3D04" w:rsidRPr="00C04485" w:rsidTr="006D3D04">
        <w:trPr>
          <w:trHeight w:val="195"/>
        </w:trPr>
        <w:tc>
          <w:tcPr>
            <w:tcW w:w="13297" w:type="dxa"/>
            <w:gridSpan w:val="15"/>
            <w:tcBorders>
              <w:top w:val="single" w:sz="12" w:space="0" w:color="auto"/>
              <w:left w:val="nil"/>
              <w:bottom w:val="single" w:sz="12" w:space="0" w:color="auto"/>
              <w:right w:val="nil"/>
            </w:tcBorders>
            <w:shd w:val="clear" w:color="auto" w:fill="auto"/>
          </w:tcPr>
          <w:p w:rsidR="006D3D04" w:rsidRDefault="006D3D04" w:rsidP="006D3D04">
            <w:pPr>
              <w:widowControl/>
              <w:spacing w:after="80" w:line="240" w:lineRule="auto"/>
              <w:ind w:firstLine="432"/>
              <w:contextualSpacing w:val="0"/>
              <w:rPr>
                <w:rFonts w:eastAsia="Times New Roman"/>
                <w:b/>
                <w:bCs/>
                <w:sz w:val="15"/>
                <w:szCs w:val="15"/>
              </w:rPr>
            </w:pPr>
            <w:r w:rsidRPr="00215953">
              <w:rPr>
                <w:b/>
                <w:sz w:val="20"/>
              </w:rPr>
              <w:t>Šaltinis</w:t>
            </w:r>
            <w:r w:rsidRPr="00215953">
              <w:rPr>
                <w:sz w:val="20"/>
              </w:rPr>
              <w:t>: sudaryta šio darbo autorės</w:t>
            </w:r>
          </w:p>
        </w:tc>
      </w:tr>
      <w:tr w:rsidR="006D3D04" w:rsidRPr="00A20A0B" w:rsidTr="006D3D04">
        <w:trPr>
          <w:trHeight w:val="195"/>
        </w:trPr>
        <w:tc>
          <w:tcPr>
            <w:tcW w:w="13297" w:type="dxa"/>
            <w:gridSpan w:val="1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6D3D04" w:rsidRPr="00A20A0B" w:rsidRDefault="006D3D04" w:rsidP="006D3D04">
            <w:pPr>
              <w:spacing w:before="40" w:after="0"/>
              <w:ind w:firstLine="0"/>
              <w:contextualSpacing w:val="0"/>
              <w:jc w:val="center"/>
              <w:rPr>
                <w:b/>
                <w:sz w:val="18"/>
                <w:szCs w:val="18"/>
              </w:rPr>
            </w:pPr>
            <w:r w:rsidRPr="00A20A0B">
              <w:rPr>
                <w:b/>
                <w:sz w:val="18"/>
                <w:szCs w:val="18"/>
              </w:rPr>
              <w:t>ATLIKTŲ SKAIČIAVIMŲ PAAIŠKINIMAS</w:t>
            </w:r>
          </w:p>
          <w:p w:rsidR="006D3D04" w:rsidRPr="00A20A0B" w:rsidRDefault="006D3D04" w:rsidP="006D3D04">
            <w:pPr>
              <w:rPr>
                <w:i/>
                <w:sz w:val="18"/>
                <w:szCs w:val="18"/>
              </w:rPr>
            </w:pPr>
            <w:r w:rsidRPr="00A20A0B">
              <w:rPr>
                <w:i/>
                <w:sz w:val="18"/>
                <w:szCs w:val="18"/>
              </w:rPr>
              <w:t>Siekiant išsiaiškinti, kokios naudos turėtų papildomos nedarbo draudimo išmokos taikymas, buvo apskaičiuoti finansinės gerovės rodikliai, parodantys, kaip situacija pasikeistų, jeigu vienas šeimos narys įsidarbintų už 850 ar 1 100 Lt atlyginimą anksčiau nei baigtųsi nedarbo draudimo išmokos (NDI) mokėjimo trukmė. Gauti rezultatai lyginami su tų šeimų, kurios arba gauna nedarbo draudimo išmokas (žymima B), arba gyvena tik iš socialinės paramos (žymima N), finansine gerove.</w:t>
            </w:r>
          </w:p>
          <w:p w:rsidR="006D3D04" w:rsidRPr="00A20A0B" w:rsidRDefault="006D3D04" w:rsidP="006D3D04">
            <w:pPr>
              <w:rPr>
                <w:b/>
                <w:i/>
                <w:sz w:val="18"/>
                <w:szCs w:val="18"/>
              </w:rPr>
            </w:pPr>
            <w:r w:rsidRPr="00A20A0B">
              <w:rPr>
                <w:b/>
                <w:i/>
                <w:sz w:val="18"/>
                <w:szCs w:val="18"/>
              </w:rPr>
              <w:t>Reikėtų akcentuoti, jog visi skaičiavimai buvo atlikti, naudojant tas pačias formules ir tuos pačius papildomus dydžius, kurie buvo aptarti 7 priede.</w:t>
            </w:r>
          </w:p>
          <w:p w:rsidR="006D3D04" w:rsidRPr="00A20A0B" w:rsidRDefault="006D3D04" w:rsidP="006D3D04">
            <w:pPr>
              <w:rPr>
                <w:i/>
                <w:sz w:val="18"/>
                <w:szCs w:val="18"/>
              </w:rPr>
            </w:pPr>
            <w:r w:rsidRPr="00A20A0B">
              <w:rPr>
                <w:i/>
                <w:sz w:val="18"/>
                <w:szCs w:val="18"/>
                <w:u w:val="single"/>
              </w:rPr>
              <w:t>Pagrindiniai akcentai</w:t>
            </w:r>
            <w:r w:rsidRPr="00A20A0B">
              <w:rPr>
                <w:i/>
                <w:sz w:val="18"/>
                <w:szCs w:val="18"/>
              </w:rPr>
              <w:t>:</w:t>
            </w:r>
          </w:p>
          <w:p w:rsidR="006D3D04" w:rsidRPr="00A20A0B" w:rsidRDefault="006D3D04" w:rsidP="006D3D04">
            <w:pPr>
              <w:pStyle w:val="ListParagraph"/>
              <w:numPr>
                <w:ilvl w:val="0"/>
                <w:numId w:val="50"/>
              </w:numPr>
              <w:ind w:left="702" w:hanging="180"/>
              <w:rPr>
                <w:i/>
                <w:sz w:val="18"/>
                <w:szCs w:val="18"/>
              </w:rPr>
            </w:pPr>
            <w:r w:rsidRPr="00A20A0B">
              <w:rPr>
                <w:i/>
                <w:sz w:val="18"/>
                <w:szCs w:val="18"/>
              </w:rPr>
              <w:t>papildomos išmokos dydžiui apskaičiuoti naudota vidutinio dydžio nedarbo draudimo išmoka, t. y. 567 Lt;</w:t>
            </w:r>
          </w:p>
          <w:p w:rsidR="006D3D04" w:rsidRPr="00A20A0B" w:rsidRDefault="006D3D04" w:rsidP="006D3D04">
            <w:pPr>
              <w:pStyle w:val="ListParagraph"/>
              <w:numPr>
                <w:ilvl w:val="0"/>
                <w:numId w:val="50"/>
              </w:numPr>
              <w:ind w:left="702" w:hanging="180"/>
              <w:rPr>
                <w:i/>
                <w:sz w:val="18"/>
                <w:szCs w:val="18"/>
              </w:rPr>
            </w:pPr>
            <w:r w:rsidRPr="00A20A0B">
              <w:rPr>
                <w:i/>
                <w:sz w:val="18"/>
                <w:szCs w:val="18"/>
              </w:rPr>
              <w:t>skaičiuojant finansinės gerovės rodiklį, buvo daroma prielaida, jog antrasis suaugusysis turėjo teisę į nedarbo draudimo išmoką, todėl gavo 567 Lt.</w:t>
            </w:r>
          </w:p>
        </w:tc>
      </w:tr>
    </w:tbl>
    <w:p w:rsidR="006D3D04" w:rsidRDefault="006D3D04" w:rsidP="006D3D04"/>
    <w:p w:rsidR="006D3D04" w:rsidRDefault="006D3D04">
      <w:pPr>
        <w:widowControl/>
        <w:spacing w:after="200" w:line="276" w:lineRule="auto"/>
        <w:ind w:firstLine="0"/>
        <w:contextualSpacing w:val="0"/>
        <w:jc w:val="left"/>
      </w:pPr>
      <w:r>
        <w:br w:type="page"/>
      </w:r>
    </w:p>
    <w:p w:rsidR="00E60820" w:rsidRDefault="00E60820" w:rsidP="00F6568D">
      <w:pPr>
        <w:sectPr w:rsidR="00E60820" w:rsidSect="006D3D04">
          <w:pgSz w:w="15840" w:h="12240" w:orient="landscape"/>
          <w:pgMar w:top="1418" w:right="1134" w:bottom="567" w:left="1134" w:header="720" w:footer="720" w:gutter="0"/>
          <w:cols w:space="720"/>
          <w:docGrid w:linePitch="360"/>
        </w:sectPr>
      </w:pPr>
    </w:p>
    <w:p w:rsidR="00E60820" w:rsidRDefault="00E60820" w:rsidP="00E60820">
      <w:pPr>
        <w:spacing w:after="20"/>
        <w:ind w:firstLine="0"/>
        <w:jc w:val="center"/>
        <w:rPr>
          <w:b/>
        </w:rPr>
      </w:pPr>
      <w:r w:rsidRPr="00E548DB">
        <w:rPr>
          <w:b/>
        </w:rPr>
        <w:lastRenderedPageBreak/>
        <w:t>ATLIKTŲ SKAIČIAVIMŲ APIBDENRINIMAS</w:t>
      </w:r>
    </w:p>
    <w:p w:rsidR="00E60820" w:rsidRDefault="00E60820" w:rsidP="00E60820">
      <w:r>
        <w:t xml:space="preserve">Atlikti skaičiavimai parodė, jog, įsidarbinus anksčiau laiko, negu baigtųsi nedarbo draudimo išmokų mokėjimo terminas, didesnę gerovę patirtų tiek vieni gyvenantys asmenys, tiek ir šeimos, susidedančios iš daugiau individų. Galima tvirtinti, jog, įsidarbinus vienam šeimos suaugusiajam už minimalų, t. y. 850 Lt, atlyginimą, gerovė laikinai (papildomos išmokos gavimo laikotarpiu) padidėtų apie 16 proc., o įsidarbinus už 1 100 Lt uždarbį – apytiksliai 22 proc. Reikėtų pastebėti, jog </w:t>
      </w:r>
      <w:r w:rsidRPr="00E209FD">
        <w:rPr>
          <w:i/>
        </w:rPr>
        <w:t>didžiausią pokytį (30 proc.), įgydami teisę į papildomą išmoką, pajaustų vieni gyvenantys asmenys, kurie įsidarbintų už 1 100 Lt atlygį</w:t>
      </w:r>
      <w:r>
        <w:t>, nes jų gerovė taptų 441 Lt didesnė už gerovę, kurią galima susikurti, gaunant nedarbo draudimo išmokas, ir net 601 Lt didesnė už gerovę, kurią geba „susikurti“ žmogus, neįdedantis jokių pastangų, t. y. gyvenantis iš pašalpų.</w:t>
      </w:r>
    </w:p>
    <w:p w:rsidR="00E60820" w:rsidRDefault="00E60820" w:rsidP="00E60820">
      <w:r>
        <w:t>Mažiausią gėrį (13 proc.) patirtų tos 3-jų, 4-ių asmenų šeimos (susidedančios iš dviejų suaugusiųjų ir vieno arba dviejų vaikų), kurių vienas iš tėvų įsidarbintų už 850 Lt ir kurių finansinė gerovė taptų 257 Lt arba 306 Lt didesnė už gerovę nedirbant. Lyginant su tokio pat tipo šeimomis, tačiau gyvenančiomis tik iš socialinės paramos, reiktų pasakyti, jog dirbančių šeimų gerovė atitinkamai būtų didesnė 482 Lt ir 516 Lt. Galima teigti, jog papildomos išmokos padidintų individų finansinius išteklius tokiu mastu, kokio dydžio būtų jų pastangos, – nes, įsidarbinus už didesnį atlyginimą, papildomos išmokos dydis nebūtų mažinamas.</w:t>
      </w:r>
    </w:p>
    <w:p w:rsidR="00E60820" w:rsidRDefault="00E60820" w:rsidP="00E60820">
      <w:pPr>
        <w:spacing w:after="0"/>
      </w:pPr>
      <w:r>
        <w:t xml:space="preserve">Reikėtų atkreipti dėmesį, jog </w:t>
      </w:r>
      <w:r w:rsidRPr="00286AF9">
        <w:rPr>
          <w:i/>
        </w:rPr>
        <w:t>šios priemonės taikymo efektyvumas padidėtų tuomet, kai papildomos išmokos mokėjimas būtų diferencijuojamas</w:t>
      </w:r>
      <w:r>
        <w:t xml:space="preserve">, – priklausomai nuo laiko, kada būtų įsidarbinama. Akivaizdu, jog labiau apdovanoti turėtų būti tie asmenys, kurie darbą susirastų pirmaisiais nedarbo draudimo išmokos mokėjimo mėnesiais, todėl jiems papildomą išmoką tikslinga būtų mokėti ilgesnį laiką, tarkim, </w:t>
      </w:r>
      <w:r w:rsidRPr="005F699D">
        <w:rPr>
          <w:i/>
        </w:rPr>
        <w:t>7 mėn., jei žmogus, turintis teisę į 8-9 mėn. trukmės nedarbo draudimo išmoką, įsidarbintų per pirmuosius 4 mėn.</w:t>
      </w:r>
      <w:r>
        <w:t xml:space="preserve"> (jei įsidarbintų, praėjus 4-tam mėnesiui, tada papildoma išmoka galėtų būti mokama 3 mėn.) arba </w:t>
      </w:r>
      <w:r w:rsidRPr="005F699D">
        <w:rPr>
          <w:i/>
        </w:rPr>
        <w:t>5 mėn., jei žmogus, turintis teisę į 6-7 mėn. trukmės nedarbo draudimo išmoką, įsidarbintų per pirmuosius 3 mėn</w:t>
      </w:r>
      <w:r>
        <w:t>. (jei bedarbis įsidarbintų, praėjus 3-iam mėnesiui, tuomet papildoma išmoka jam galėtų būti mokama 2 mėn.).</w:t>
      </w:r>
    </w:p>
    <w:p w:rsidR="00E60820" w:rsidRDefault="00E60820" w:rsidP="00E60820">
      <w:pPr>
        <w:pStyle w:val="Caption"/>
      </w:pPr>
      <w:r w:rsidRPr="00CB1531">
        <w:t>2 lentelė.</w:t>
      </w:r>
      <w:r>
        <w:t xml:space="preserve"> </w:t>
      </w:r>
      <w:r w:rsidRPr="00B1098B">
        <w:t>Papildomos išmokos mokėjimo trukmė</w:t>
      </w: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728"/>
        <w:gridCol w:w="742"/>
        <w:gridCol w:w="720"/>
        <w:gridCol w:w="720"/>
        <w:gridCol w:w="720"/>
        <w:gridCol w:w="720"/>
        <w:gridCol w:w="720"/>
        <w:gridCol w:w="720"/>
        <w:gridCol w:w="720"/>
        <w:gridCol w:w="720"/>
        <w:gridCol w:w="720"/>
        <w:gridCol w:w="720"/>
        <w:gridCol w:w="720"/>
      </w:tblGrid>
      <w:tr w:rsidR="00E60820" w:rsidRPr="009F773B" w:rsidTr="00E60820">
        <w:tc>
          <w:tcPr>
            <w:tcW w:w="1728" w:type="dxa"/>
            <w:tcBorders>
              <w:top w:val="single" w:sz="12" w:space="0" w:color="auto"/>
              <w:bottom w:val="single" w:sz="12" w:space="0" w:color="auto"/>
              <w:right w:val="single" w:sz="12" w:space="0" w:color="auto"/>
            </w:tcBorders>
            <w:shd w:val="clear" w:color="auto" w:fill="D9D9D9" w:themeFill="background1" w:themeFillShade="D9"/>
          </w:tcPr>
          <w:p w:rsidR="00E60820" w:rsidRPr="006F2C20" w:rsidRDefault="00E60820" w:rsidP="00E60820">
            <w:pPr>
              <w:spacing w:after="0" w:line="240" w:lineRule="auto"/>
              <w:ind w:firstLine="0"/>
              <w:jc w:val="center"/>
              <w:rPr>
                <w:b/>
                <w:sz w:val="15"/>
                <w:szCs w:val="15"/>
              </w:rPr>
            </w:pPr>
          </w:p>
        </w:tc>
        <w:tc>
          <w:tcPr>
            <w:tcW w:w="742" w:type="dxa"/>
            <w:tcBorders>
              <w:top w:val="single" w:sz="12" w:space="0" w:color="auto"/>
              <w:left w:val="single" w:sz="12" w:space="0" w:color="auto"/>
              <w:bottom w:val="single" w:sz="12" w:space="0" w:color="auto"/>
            </w:tcBorders>
            <w:shd w:val="clear" w:color="auto" w:fill="D9D9D9" w:themeFill="background1" w:themeFillShade="D9"/>
          </w:tcPr>
          <w:p w:rsidR="00E60820" w:rsidRPr="009F773B" w:rsidRDefault="00E60820" w:rsidP="00E60820">
            <w:pPr>
              <w:spacing w:after="0" w:line="240" w:lineRule="auto"/>
              <w:ind w:firstLine="0"/>
              <w:jc w:val="center"/>
              <w:rPr>
                <w:b/>
                <w:sz w:val="15"/>
                <w:szCs w:val="15"/>
              </w:rPr>
            </w:pPr>
            <w:r w:rsidRPr="009F773B">
              <w:rPr>
                <w:b/>
                <w:sz w:val="15"/>
                <w:szCs w:val="15"/>
              </w:rPr>
              <w:t>1 mėn.</w:t>
            </w:r>
          </w:p>
        </w:tc>
        <w:tc>
          <w:tcPr>
            <w:tcW w:w="720" w:type="dxa"/>
            <w:tcBorders>
              <w:top w:val="single" w:sz="12" w:space="0" w:color="auto"/>
              <w:bottom w:val="single" w:sz="12" w:space="0" w:color="auto"/>
            </w:tcBorders>
            <w:shd w:val="clear" w:color="auto" w:fill="D9D9D9" w:themeFill="background1" w:themeFillShade="D9"/>
          </w:tcPr>
          <w:p w:rsidR="00E60820" w:rsidRPr="009F773B" w:rsidRDefault="00E60820" w:rsidP="00E60820">
            <w:pPr>
              <w:spacing w:after="0" w:line="240" w:lineRule="auto"/>
              <w:ind w:firstLine="0"/>
              <w:jc w:val="center"/>
              <w:rPr>
                <w:b/>
                <w:sz w:val="15"/>
                <w:szCs w:val="15"/>
              </w:rPr>
            </w:pPr>
            <w:r w:rsidRPr="009F773B">
              <w:rPr>
                <w:b/>
                <w:sz w:val="15"/>
                <w:szCs w:val="15"/>
              </w:rPr>
              <w:t>2 mėn.</w:t>
            </w:r>
          </w:p>
        </w:tc>
        <w:tc>
          <w:tcPr>
            <w:tcW w:w="720" w:type="dxa"/>
            <w:tcBorders>
              <w:top w:val="single" w:sz="12" w:space="0" w:color="auto"/>
              <w:bottom w:val="single" w:sz="12" w:space="0" w:color="auto"/>
            </w:tcBorders>
            <w:shd w:val="clear" w:color="auto" w:fill="D9D9D9" w:themeFill="background1" w:themeFillShade="D9"/>
          </w:tcPr>
          <w:p w:rsidR="00E60820" w:rsidRPr="009F773B" w:rsidRDefault="00E60820" w:rsidP="00E60820">
            <w:pPr>
              <w:spacing w:after="0" w:line="240" w:lineRule="auto"/>
              <w:ind w:firstLine="0"/>
              <w:jc w:val="center"/>
              <w:rPr>
                <w:b/>
                <w:sz w:val="15"/>
                <w:szCs w:val="15"/>
              </w:rPr>
            </w:pPr>
            <w:r w:rsidRPr="009F773B">
              <w:rPr>
                <w:b/>
                <w:sz w:val="15"/>
                <w:szCs w:val="15"/>
              </w:rPr>
              <w:t>3 mėn.</w:t>
            </w:r>
          </w:p>
        </w:tc>
        <w:tc>
          <w:tcPr>
            <w:tcW w:w="720" w:type="dxa"/>
            <w:tcBorders>
              <w:top w:val="single" w:sz="12" w:space="0" w:color="auto"/>
              <w:bottom w:val="single" w:sz="12" w:space="0" w:color="auto"/>
            </w:tcBorders>
            <w:shd w:val="clear" w:color="auto" w:fill="D9D9D9" w:themeFill="background1" w:themeFillShade="D9"/>
          </w:tcPr>
          <w:p w:rsidR="00E60820" w:rsidRPr="009F773B" w:rsidRDefault="00E60820" w:rsidP="00E60820">
            <w:pPr>
              <w:spacing w:after="0" w:line="240" w:lineRule="auto"/>
              <w:ind w:firstLine="0"/>
              <w:jc w:val="center"/>
              <w:rPr>
                <w:b/>
                <w:sz w:val="15"/>
                <w:szCs w:val="15"/>
              </w:rPr>
            </w:pPr>
            <w:r w:rsidRPr="009F773B">
              <w:rPr>
                <w:b/>
                <w:sz w:val="15"/>
                <w:szCs w:val="15"/>
              </w:rPr>
              <w:t>4 mėn.</w:t>
            </w:r>
          </w:p>
        </w:tc>
        <w:tc>
          <w:tcPr>
            <w:tcW w:w="720" w:type="dxa"/>
            <w:tcBorders>
              <w:top w:val="single" w:sz="12" w:space="0" w:color="auto"/>
              <w:bottom w:val="single" w:sz="12" w:space="0" w:color="auto"/>
            </w:tcBorders>
            <w:shd w:val="clear" w:color="auto" w:fill="D9D9D9" w:themeFill="background1" w:themeFillShade="D9"/>
          </w:tcPr>
          <w:p w:rsidR="00E60820" w:rsidRPr="009F773B" w:rsidRDefault="00E60820" w:rsidP="00E60820">
            <w:pPr>
              <w:spacing w:after="0" w:line="240" w:lineRule="auto"/>
              <w:ind w:firstLine="0"/>
              <w:jc w:val="center"/>
              <w:rPr>
                <w:b/>
                <w:sz w:val="15"/>
                <w:szCs w:val="15"/>
              </w:rPr>
            </w:pPr>
            <w:r w:rsidRPr="009F773B">
              <w:rPr>
                <w:b/>
                <w:sz w:val="15"/>
                <w:szCs w:val="15"/>
              </w:rPr>
              <w:t>5 mėn.</w:t>
            </w:r>
          </w:p>
        </w:tc>
        <w:tc>
          <w:tcPr>
            <w:tcW w:w="720" w:type="dxa"/>
            <w:tcBorders>
              <w:top w:val="single" w:sz="12" w:space="0" w:color="auto"/>
              <w:bottom w:val="single" w:sz="12" w:space="0" w:color="auto"/>
            </w:tcBorders>
            <w:shd w:val="clear" w:color="auto" w:fill="D9D9D9" w:themeFill="background1" w:themeFillShade="D9"/>
          </w:tcPr>
          <w:p w:rsidR="00E60820" w:rsidRPr="009F773B" w:rsidRDefault="00E60820" w:rsidP="00E60820">
            <w:pPr>
              <w:spacing w:after="0" w:line="240" w:lineRule="auto"/>
              <w:ind w:firstLine="0"/>
              <w:jc w:val="center"/>
              <w:rPr>
                <w:b/>
                <w:sz w:val="15"/>
                <w:szCs w:val="15"/>
              </w:rPr>
            </w:pPr>
            <w:r w:rsidRPr="009F773B">
              <w:rPr>
                <w:b/>
                <w:sz w:val="15"/>
                <w:szCs w:val="15"/>
              </w:rPr>
              <w:t>6 mėn.</w:t>
            </w:r>
          </w:p>
        </w:tc>
        <w:tc>
          <w:tcPr>
            <w:tcW w:w="720" w:type="dxa"/>
            <w:tcBorders>
              <w:top w:val="single" w:sz="12" w:space="0" w:color="auto"/>
              <w:bottom w:val="single" w:sz="12" w:space="0" w:color="auto"/>
            </w:tcBorders>
            <w:shd w:val="clear" w:color="auto" w:fill="D9D9D9" w:themeFill="background1" w:themeFillShade="D9"/>
          </w:tcPr>
          <w:p w:rsidR="00E60820" w:rsidRPr="009F773B" w:rsidRDefault="00E60820" w:rsidP="00E60820">
            <w:pPr>
              <w:spacing w:after="0" w:line="240" w:lineRule="auto"/>
              <w:ind w:firstLine="0"/>
              <w:jc w:val="center"/>
              <w:rPr>
                <w:b/>
                <w:sz w:val="15"/>
                <w:szCs w:val="15"/>
              </w:rPr>
            </w:pPr>
            <w:r w:rsidRPr="009F773B">
              <w:rPr>
                <w:b/>
                <w:sz w:val="15"/>
                <w:szCs w:val="15"/>
              </w:rPr>
              <w:t>7 mėn.</w:t>
            </w:r>
          </w:p>
        </w:tc>
        <w:tc>
          <w:tcPr>
            <w:tcW w:w="720" w:type="dxa"/>
            <w:tcBorders>
              <w:top w:val="single" w:sz="12" w:space="0" w:color="auto"/>
              <w:bottom w:val="single" w:sz="12" w:space="0" w:color="auto"/>
            </w:tcBorders>
            <w:shd w:val="clear" w:color="auto" w:fill="D9D9D9" w:themeFill="background1" w:themeFillShade="D9"/>
          </w:tcPr>
          <w:p w:rsidR="00E60820" w:rsidRPr="009F773B" w:rsidRDefault="00E60820" w:rsidP="00E60820">
            <w:pPr>
              <w:spacing w:after="0" w:line="240" w:lineRule="auto"/>
              <w:ind w:firstLine="0"/>
              <w:jc w:val="center"/>
              <w:rPr>
                <w:b/>
                <w:sz w:val="15"/>
                <w:szCs w:val="15"/>
              </w:rPr>
            </w:pPr>
            <w:r w:rsidRPr="009F773B">
              <w:rPr>
                <w:b/>
                <w:sz w:val="15"/>
                <w:szCs w:val="15"/>
              </w:rPr>
              <w:t>8 mėn.</w:t>
            </w:r>
          </w:p>
        </w:tc>
        <w:tc>
          <w:tcPr>
            <w:tcW w:w="720" w:type="dxa"/>
            <w:tcBorders>
              <w:top w:val="single" w:sz="12" w:space="0" w:color="auto"/>
              <w:bottom w:val="single" w:sz="12" w:space="0" w:color="auto"/>
            </w:tcBorders>
            <w:shd w:val="clear" w:color="auto" w:fill="D9D9D9" w:themeFill="background1" w:themeFillShade="D9"/>
          </w:tcPr>
          <w:p w:rsidR="00E60820" w:rsidRPr="009F773B" w:rsidRDefault="00E60820" w:rsidP="00E60820">
            <w:pPr>
              <w:spacing w:after="0" w:line="240" w:lineRule="auto"/>
              <w:ind w:firstLine="0"/>
              <w:jc w:val="center"/>
              <w:rPr>
                <w:b/>
                <w:sz w:val="15"/>
                <w:szCs w:val="15"/>
              </w:rPr>
            </w:pPr>
            <w:r w:rsidRPr="009F773B">
              <w:rPr>
                <w:b/>
                <w:sz w:val="15"/>
                <w:szCs w:val="15"/>
              </w:rPr>
              <w:t>9 mėn.</w:t>
            </w:r>
          </w:p>
        </w:tc>
        <w:tc>
          <w:tcPr>
            <w:tcW w:w="720" w:type="dxa"/>
            <w:tcBorders>
              <w:top w:val="single" w:sz="12" w:space="0" w:color="auto"/>
              <w:bottom w:val="single" w:sz="12" w:space="0" w:color="auto"/>
            </w:tcBorders>
            <w:shd w:val="clear" w:color="auto" w:fill="D9D9D9" w:themeFill="background1" w:themeFillShade="D9"/>
          </w:tcPr>
          <w:p w:rsidR="00E60820" w:rsidRPr="009F773B" w:rsidRDefault="00E60820" w:rsidP="00E60820">
            <w:pPr>
              <w:spacing w:after="0" w:line="240" w:lineRule="auto"/>
              <w:ind w:firstLine="0"/>
              <w:jc w:val="center"/>
              <w:rPr>
                <w:b/>
                <w:sz w:val="15"/>
                <w:szCs w:val="15"/>
              </w:rPr>
            </w:pPr>
            <w:r w:rsidRPr="009F773B">
              <w:rPr>
                <w:b/>
                <w:sz w:val="15"/>
                <w:szCs w:val="15"/>
              </w:rPr>
              <w:t>10 mėn.</w:t>
            </w:r>
          </w:p>
        </w:tc>
        <w:tc>
          <w:tcPr>
            <w:tcW w:w="720" w:type="dxa"/>
            <w:tcBorders>
              <w:top w:val="single" w:sz="12" w:space="0" w:color="auto"/>
              <w:bottom w:val="single" w:sz="12" w:space="0" w:color="auto"/>
            </w:tcBorders>
            <w:shd w:val="clear" w:color="auto" w:fill="D9D9D9" w:themeFill="background1" w:themeFillShade="D9"/>
          </w:tcPr>
          <w:p w:rsidR="00E60820" w:rsidRPr="009F773B" w:rsidRDefault="00E60820" w:rsidP="00E60820">
            <w:pPr>
              <w:spacing w:after="0" w:line="240" w:lineRule="auto"/>
              <w:ind w:firstLine="0"/>
              <w:jc w:val="center"/>
              <w:rPr>
                <w:b/>
                <w:sz w:val="15"/>
                <w:szCs w:val="15"/>
              </w:rPr>
            </w:pPr>
            <w:r w:rsidRPr="009F773B">
              <w:rPr>
                <w:b/>
                <w:sz w:val="15"/>
                <w:szCs w:val="15"/>
              </w:rPr>
              <w:t>11 mėn.</w:t>
            </w:r>
          </w:p>
        </w:tc>
        <w:tc>
          <w:tcPr>
            <w:tcW w:w="720" w:type="dxa"/>
            <w:tcBorders>
              <w:top w:val="single" w:sz="12" w:space="0" w:color="auto"/>
              <w:bottom w:val="single" w:sz="12" w:space="0" w:color="auto"/>
            </w:tcBorders>
            <w:shd w:val="clear" w:color="auto" w:fill="D9D9D9" w:themeFill="background1" w:themeFillShade="D9"/>
          </w:tcPr>
          <w:p w:rsidR="00E60820" w:rsidRPr="009F773B" w:rsidRDefault="00E60820" w:rsidP="00E60820">
            <w:pPr>
              <w:spacing w:after="0" w:line="240" w:lineRule="auto"/>
              <w:ind w:firstLine="0"/>
              <w:jc w:val="center"/>
              <w:rPr>
                <w:b/>
                <w:sz w:val="15"/>
                <w:szCs w:val="15"/>
              </w:rPr>
            </w:pPr>
            <w:r w:rsidRPr="009F773B">
              <w:rPr>
                <w:b/>
                <w:sz w:val="15"/>
                <w:szCs w:val="15"/>
              </w:rPr>
              <w:t>12 mėn.</w:t>
            </w:r>
          </w:p>
        </w:tc>
      </w:tr>
      <w:tr w:rsidR="00E60820" w:rsidRPr="009F773B" w:rsidTr="00E60820">
        <w:tc>
          <w:tcPr>
            <w:tcW w:w="1728" w:type="dxa"/>
            <w:tcBorders>
              <w:top w:val="single" w:sz="12" w:space="0" w:color="auto"/>
              <w:bottom w:val="single" w:sz="2" w:space="0" w:color="auto"/>
              <w:right w:val="single" w:sz="12" w:space="0" w:color="auto"/>
            </w:tcBorders>
            <w:shd w:val="clear" w:color="auto" w:fill="FFB9B9"/>
          </w:tcPr>
          <w:p w:rsidR="00E60820" w:rsidRPr="006F2C20" w:rsidRDefault="00E60820" w:rsidP="00E60820">
            <w:pPr>
              <w:spacing w:after="0" w:line="240" w:lineRule="auto"/>
              <w:ind w:firstLine="0"/>
              <w:jc w:val="center"/>
              <w:rPr>
                <w:b/>
                <w:i/>
                <w:sz w:val="15"/>
                <w:szCs w:val="15"/>
              </w:rPr>
            </w:pPr>
            <w:r w:rsidRPr="006F2C20">
              <w:rPr>
                <w:b/>
                <w:i/>
                <w:sz w:val="15"/>
                <w:szCs w:val="15"/>
              </w:rPr>
              <w:t>6</w:t>
            </w:r>
            <w:r>
              <w:rPr>
                <w:b/>
                <w:i/>
                <w:sz w:val="15"/>
                <w:szCs w:val="15"/>
              </w:rPr>
              <w:t>-7</w:t>
            </w:r>
            <w:r w:rsidRPr="006F2C20">
              <w:rPr>
                <w:b/>
                <w:i/>
                <w:sz w:val="15"/>
                <w:szCs w:val="15"/>
              </w:rPr>
              <w:t> mėn.</w:t>
            </w:r>
            <w:r>
              <w:rPr>
                <w:b/>
                <w:i/>
                <w:sz w:val="15"/>
                <w:szCs w:val="15"/>
              </w:rPr>
              <w:t xml:space="preserve"> trukmės teisė</w:t>
            </w:r>
          </w:p>
        </w:tc>
        <w:tc>
          <w:tcPr>
            <w:tcW w:w="742" w:type="dxa"/>
            <w:tcBorders>
              <w:top w:val="single" w:sz="12" w:space="0" w:color="auto"/>
              <w:left w:val="single" w:sz="12" w:space="0" w:color="auto"/>
              <w:bottom w:val="single" w:sz="2" w:space="0" w:color="auto"/>
            </w:tcBorders>
            <w:shd w:val="clear" w:color="auto" w:fill="FFB9B9"/>
          </w:tcPr>
          <w:p w:rsidR="00E60820" w:rsidRPr="009A3E5F" w:rsidRDefault="00E60820" w:rsidP="00E60820">
            <w:pPr>
              <w:spacing w:after="0" w:line="240" w:lineRule="auto"/>
              <w:ind w:firstLine="0"/>
              <w:jc w:val="center"/>
              <w:rPr>
                <w:b/>
                <w:i/>
                <w:sz w:val="15"/>
                <w:szCs w:val="15"/>
              </w:rPr>
            </w:pPr>
            <w:r w:rsidRPr="009A3E5F">
              <w:rPr>
                <w:b/>
                <w:i/>
                <w:sz w:val="15"/>
                <w:szCs w:val="15"/>
              </w:rPr>
              <w:t>NDI</w:t>
            </w:r>
          </w:p>
        </w:tc>
        <w:tc>
          <w:tcPr>
            <w:tcW w:w="3600" w:type="dxa"/>
            <w:gridSpan w:val="5"/>
            <w:tcBorders>
              <w:top w:val="single" w:sz="12" w:space="0" w:color="auto"/>
              <w:bottom w:val="single" w:sz="2" w:space="0" w:color="auto"/>
            </w:tcBorders>
            <w:shd w:val="clear" w:color="auto" w:fill="FFB9B9"/>
          </w:tcPr>
          <w:p w:rsidR="00E60820" w:rsidRPr="009A3E5F" w:rsidRDefault="00E60820" w:rsidP="00E60820">
            <w:pPr>
              <w:spacing w:after="0" w:line="240" w:lineRule="auto"/>
              <w:ind w:firstLine="0"/>
              <w:jc w:val="center"/>
              <w:rPr>
                <w:b/>
                <w:i/>
                <w:sz w:val="15"/>
                <w:szCs w:val="15"/>
              </w:rPr>
            </w:pPr>
            <w:r w:rsidRPr="009A3E5F">
              <w:rPr>
                <w:b/>
                <w:i/>
                <w:sz w:val="15"/>
                <w:szCs w:val="15"/>
              </w:rPr>
              <w:t>ATL. + PNDI</w:t>
            </w:r>
          </w:p>
        </w:tc>
        <w:tc>
          <w:tcPr>
            <w:tcW w:w="720" w:type="dxa"/>
            <w:tcBorders>
              <w:top w:val="single" w:sz="12" w:space="0" w:color="auto"/>
              <w:bottom w:val="single" w:sz="2" w:space="0" w:color="auto"/>
            </w:tcBorders>
            <w:shd w:val="clear" w:color="auto" w:fill="FFB9B9"/>
          </w:tcPr>
          <w:p w:rsidR="00E60820" w:rsidRPr="009A3E5F" w:rsidRDefault="00E60820" w:rsidP="00E60820">
            <w:pPr>
              <w:spacing w:after="0" w:line="240" w:lineRule="auto"/>
              <w:ind w:firstLine="0"/>
              <w:jc w:val="center"/>
              <w:rPr>
                <w:b/>
                <w:i/>
                <w:sz w:val="15"/>
                <w:szCs w:val="15"/>
              </w:rPr>
            </w:pPr>
            <w:r w:rsidRPr="009A3E5F">
              <w:rPr>
                <w:b/>
                <w:i/>
                <w:sz w:val="15"/>
                <w:szCs w:val="15"/>
              </w:rPr>
              <w:t>-</w:t>
            </w:r>
          </w:p>
        </w:tc>
        <w:tc>
          <w:tcPr>
            <w:tcW w:w="720" w:type="dxa"/>
            <w:tcBorders>
              <w:top w:val="single" w:sz="12" w:space="0" w:color="auto"/>
              <w:bottom w:val="single" w:sz="2" w:space="0" w:color="auto"/>
            </w:tcBorders>
            <w:shd w:val="clear" w:color="auto" w:fill="FFB9B9"/>
          </w:tcPr>
          <w:p w:rsidR="00E60820" w:rsidRPr="009A3E5F" w:rsidRDefault="00E60820" w:rsidP="00E60820">
            <w:pPr>
              <w:spacing w:after="0" w:line="240" w:lineRule="auto"/>
              <w:ind w:firstLine="0"/>
              <w:jc w:val="center"/>
              <w:rPr>
                <w:b/>
                <w:i/>
                <w:sz w:val="15"/>
                <w:szCs w:val="15"/>
              </w:rPr>
            </w:pPr>
            <w:r w:rsidRPr="009A3E5F">
              <w:rPr>
                <w:b/>
                <w:i/>
                <w:sz w:val="15"/>
                <w:szCs w:val="15"/>
              </w:rPr>
              <w:t>-</w:t>
            </w:r>
          </w:p>
        </w:tc>
        <w:tc>
          <w:tcPr>
            <w:tcW w:w="720" w:type="dxa"/>
            <w:tcBorders>
              <w:top w:val="single" w:sz="1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1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1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1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r>
      <w:tr w:rsidR="00E60820" w:rsidRPr="009F773B" w:rsidTr="00E60820">
        <w:tc>
          <w:tcPr>
            <w:tcW w:w="1728" w:type="dxa"/>
            <w:tcBorders>
              <w:top w:val="single" w:sz="2" w:space="0" w:color="auto"/>
              <w:bottom w:val="single" w:sz="2" w:space="0" w:color="auto"/>
              <w:right w:val="single" w:sz="12" w:space="0" w:color="auto"/>
            </w:tcBorders>
            <w:shd w:val="clear" w:color="auto" w:fill="FFB9B9"/>
          </w:tcPr>
          <w:p w:rsidR="00E60820" w:rsidRPr="006F2C20" w:rsidRDefault="00E60820" w:rsidP="00E60820">
            <w:pPr>
              <w:spacing w:after="0" w:line="240" w:lineRule="auto"/>
              <w:ind w:firstLine="0"/>
              <w:jc w:val="center"/>
              <w:rPr>
                <w:b/>
                <w:i/>
                <w:sz w:val="15"/>
                <w:szCs w:val="15"/>
              </w:rPr>
            </w:pPr>
            <w:r w:rsidRPr="006F2C20">
              <w:rPr>
                <w:b/>
                <w:i/>
                <w:sz w:val="15"/>
                <w:szCs w:val="15"/>
              </w:rPr>
              <w:t>6</w:t>
            </w:r>
            <w:r>
              <w:rPr>
                <w:b/>
                <w:i/>
                <w:sz w:val="15"/>
                <w:szCs w:val="15"/>
              </w:rPr>
              <w:t>-7</w:t>
            </w:r>
            <w:r w:rsidRPr="006F2C20">
              <w:rPr>
                <w:b/>
                <w:i/>
                <w:sz w:val="15"/>
                <w:szCs w:val="15"/>
              </w:rPr>
              <w:t> mėn.</w:t>
            </w:r>
            <w:r>
              <w:rPr>
                <w:b/>
                <w:i/>
                <w:sz w:val="15"/>
                <w:szCs w:val="15"/>
              </w:rPr>
              <w:t xml:space="preserve"> trukmės teisė</w:t>
            </w:r>
          </w:p>
        </w:tc>
        <w:tc>
          <w:tcPr>
            <w:tcW w:w="1462" w:type="dxa"/>
            <w:gridSpan w:val="2"/>
            <w:tcBorders>
              <w:top w:val="single" w:sz="2" w:space="0" w:color="auto"/>
              <w:left w:val="single" w:sz="12" w:space="0" w:color="auto"/>
              <w:bottom w:val="single" w:sz="2" w:space="0" w:color="auto"/>
            </w:tcBorders>
            <w:shd w:val="clear" w:color="auto" w:fill="FFB9B9"/>
          </w:tcPr>
          <w:p w:rsidR="00E60820" w:rsidRPr="009A3E5F" w:rsidRDefault="00E60820" w:rsidP="00E60820">
            <w:pPr>
              <w:spacing w:after="0" w:line="240" w:lineRule="auto"/>
              <w:ind w:firstLine="0"/>
              <w:jc w:val="center"/>
              <w:rPr>
                <w:b/>
                <w:i/>
                <w:sz w:val="15"/>
                <w:szCs w:val="15"/>
              </w:rPr>
            </w:pPr>
            <w:r w:rsidRPr="009A3E5F">
              <w:rPr>
                <w:b/>
                <w:i/>
                <w:sz w:val="15"/>
                <w:szCs w:val="15"/>
              </w:rPr>
              <w:t>NDI</w:t>
            </w:r>
          </w:p>
        </w:tc>
        <w:tc>
          <w:tcPr>
            <w:tcW w:w="3600" w:type="dxa"/>
            <w:gridSpan w:val="5"/>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i/>
                <w:sz w:val="15"/>
                <w:szCs w:val="15"/>
              </w:rPr>
            </w:pPr>
            <w:r w:rsidRPr="009A3E5F">
              <w:rPr>
                <w:b/>
                <w:i/>
                <w:sz w:val="15"/>
                <w:szCs w:val="15"/>
              </w:rPr>
              <w:t>ATL. + PNDI</w:t>
            </w:r>
          </w:p>
        </w:tc>
        <w:tc>
          <w:tcPr>
            <w:tcW w:w="720" w:type="dxa"/>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r>
      <w:tr w:rsidR="00E60820" w:rsidRPr="009F773B" w:rsidTr="00E60820">
        <w:tc>
          <w:tcPr>
            <w:tcW w:w="1728" w:type="dxa"/>
            <w:tcBorders>
              <w:top w:val="single" w:sz="2" w:space="0" w:color="auto"/>
              <w:bottom w:val="single" w:sz="2" w:space="0" w:color="auto"/>
              <w:right w:val="single" w:sz="12" w:space="0" w:color="auto"/>
            </w:tcBorders>
            <w:shd w:val="clear" w:color="auto" w:fill="FFB9B9"/>
          </w:tcPr>
          <w:p w:rsidR="00E60820" w:rsidRPr="007F3854" w:rsidRDefault="00E60820" w:rsidP="00E60820">
            <w:pPr>
              <w:spacing w:after="0" w:line="240" w:lineRule="auto"/>
              <w:ind w:firstLine="0"/>
              <w:jc w:val="center"/>
              <w:rPr>
                <w:b/>
                <w:i/>
                <w:sz w:val="15"/>
                <w:szCs w:val="15"/>
              </w:rPr>
            </w:pPr>
            <w:r w:rsidRPr="006F2C20">
              <w:rPr>
                <w:b/>
                <w:i/>
                <w:sz w:val="15"/>
                <w:szCs w:val="15"/>
              </w:rPr>
              <w:t>6</w:t>
            </w:r>
            <w:r>
              <w:rPr>
                <w:b/>
                <w:i/>
                <w:sz w:val="15"/>
                <w:szCs w:val="15"/>
              </w:rPr>
              <w:t>-7</w:t>
            </w:r>
            <w:r w:rsidRPr="006F2C20">
              <w:rPr>
                <w:b/>
                <w:i/>
                <w:sz w:val="15"/>
                <w:szCs w:val="15"/>
              </w:rPr>
              <w:t> mėn.</w:t>
            </w:r>
            <w:r>
              <w:rPr>
                <w:b/>
                <w:i/>
                <w:sz w:val="15"/>
                <w:szCs w:val="15"/>
              </w:rPr>
              <w:t xml:space="preserve"> trukmės teisė</w:t>
            </w:r>
          </w:p>
        </w:tc>
        <w:tc>
          <w:tcPr>
            <w:tcW w:w="2182" w:type="dxa"/>
            <w:gridSpan w:val="3"/>
            <w:tcBorders>
              <w:top w:val="single" w:sz="2" w:space="0" w:color="auto"/>
              <w:left w:val="single" w:sz="12" w:space="0" w:color="auto"/>
              <w:bottom w:val="single" w:sz="2" w:space="0" w:color="auto"/>
            </w:tcBorders>
            <w:shd w:val="clear" w:color="auto" w:fill="FFB9B9"/>
          </w:tcPr>
          <w:p w:rsidR="00E60820" w:rsidRPr="009A3E5F" w:rsidRDefault="00E60820" w:rsidP="00E60820">
            <w:pPr>
              <w:spacing w:after="0" w:line="240" w:lineRule="auto"/>
              <w:ind w:firstLine="0"/>
              <w:jc w:val="center"/>
              <w:rPr>
                <w:b/>
                <w:i/>
                <w:sz w:val="15"/>
                <w:szCs w:val="15"/>
              </w:rPr>
            </w:pPr>
            <w:r w:rsidRPr="009A3E5F">
              <w:rPr>
                <w:b/>
                <w:i/>
                <w:sz w:val="15"/>
                <w:szCs w:val="15"/>
              </w:rPr>
              <w:t>NDI</w:t>
            </w:r>
          </w:p>
        </w:tc>
        <w:tc>
          <w:tcPr>
            <w:tcW w:w="3600" w:type="dxa"/>
            <w:gridSpan w:val="5"/>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i/>
                <w:sz w:val="15"/>
                <w:szCs w:val="15"/>
              </w:rPr>
            </w:pPr>
            <w:r w:rsidRPr="009A3E5F">
              <w:rPr>
                <w:b/>
                <w:i/>
                <w:sz w:val="15"/>
                <w:szCs w:val="15"/>
              </w:rPr>
              <w:t>ATL. + PNDI</w:t>
            </w:r>
          </w:p>
        </w:tc>
        <w:tc>
          <w:tcPr>
            <w:tcW w:w="720" w:type="dxa"/>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r>
      <w:tr w:rsidR="00E60820" w:rsidRPr="009F773B" w:rsidTr="00E60820">
        <w:tc>
          <w:tcPr>
            <w:tcW w:w="1728" w:type="dxa"/>
            <w:tcBorders>
              <w:top w:val="single" w:sz="2" w:space="0" w:color="auto"/>
              <w:bottom w:val="single" w:sz="2" w:space="0" w:color="auto"/>
              <w:right w:val="single" w:sz="12" w:space="0" w:color="auto"/>
            </w:tcBorders>
            <w:shd w:val="clear" w:color="auto" w:fill="FFB9B9"/>
          </w:tcPr>
          <w:p w:rsidR="00E60820" w:rsidRPr="007F3854" w:rsidRDefault="00E60820" w:rsidP="00E60820">
            <w:pPr>
              <w:spacing w:after="0" w:line="240" w:lineRule="auto"/>
              <w:ind w:firstLine="0"/>
              <w:jc w:val="center"/>
              <w:rPr>
                <w:b/>
                <w:i/>
                <w:sz w:val="15"/>
                <w:szCs w:val="15"/>
              </w:rPr>
            </w:pPr>
            <w:r w:rsidRPr="006F2C20">
              <w:rPr>
                <w:b/>
                <w:i/>
                <w:sz w:val="15"/>
                <w:szCs w:val="15"/>
              </w:rPr>
              <w:t>6</w:t>
            </w:r>
            <w:r>
              <w:rPr>
                <w:b/>
                <w:i/>
                <w:sz w:val="15"/>
                <w:szCs w:val="15"/>
              </w:rPr>
              <w:t>-7</w:t>
            </w:r>
            <w:r w:rsidRPr="006F2C20">
              <w:rPr>
                <w:b/>
                <w:i/>
                <w:sz w:val="15"/>
                <w:szCs w:val="15"/>
              </w:rPr>
              <w:t> mėn.</w:t>
            </w:r>
            <w:r>
              <w:rPr>
                <w:b/>
                <w:i/>
                <w:sz w:val="15"/>
                <w:szCs w:val="15"/>
              </w:rPr>
              <w:t xml:space="preserve"> trukmės teisė</w:t>
            </w:r>
          </w:p>
        </w:tc>
        <w:tc>
          <w:tcPr>
            <w:tcW w:w="2902" w:type="dxa"/>
            <w:gridSpan w:val="4"/>
            <w:tcBorders>
              <w:top w:val="single" w:sz="2" w:space="0" w:color="auto"/>
              <w:left w:val="single" w:sz="1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NDI</w:t>
            </w:r>
          </w:p>
        </w:tc>
        <w:tc>
          <w:tcPr>
            <w:tcW w:w="1440" w:type="dxa"/>
            <w:gridSpan w:val="2"/>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i/>
                <w:sz w:val="15"/>
                <w:szCs w:val="15"/>
              </w:rPr>
            </w:pPr>
            <w:r w:rsidRPr="009A3E5F">
              <w:rPr>
                <w:b/>
                <w:i/>
                <w:sz w:val="15"/>
                <w:szCs w:val="15"/>
              </w:rPr>
              <w:t>ATL. + PNDI</w:t>
            </w:r>
          </w:p>
        </w:tc>
        <w:tc>
          <w:tcPr>
            <w:tcW w:w="720" w:type="dxa"/>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r>
      <w:tr w:rsidR="00E60820" w:rsidRPr="009F773B" w:rsidTr="00E60820">
        <w:tc>
          <w:tcPr>
            <w:tcW w:w="1728" w:type="dxa"/>
            <w:tcBorders>
              <w:top w:val="single" w:sz="2" w:space="0" w:color="auto"/>
              <w:bottom w:val="single" w:sz="2" w:space="0" w:color="auto"/>
              <w:right w:val="single" w:sz="12" w:space="0" w:color="auto"/>
            </w:tcBorders>
            <w:shd w:val="clear" w:color="auto" w:fill="FFB9B9"/>
          </w:tcPr>
          <w:p w:rsidR="00E60820" w:rsidRPr="007F3854" w:rsidRDefault="00E60820" w:rsidP="00E60820">
            <w:pPr>
              <w:spacing w:after="0" w:line="240" w:lineRule="auto"/>
              <w:ind w:firstLine="0"/>
              <w:jc w:val="center"/>
              <w:rPr>
                <w:b/>
                <w:i/>
                <w:sz w:val="15"/>
                <w:szCs w:val="15"/>
              </w:rPr>
            </w:pPr>
            <w:r w:rsidRPr="006F2C20">
              <w:rPr>
                <w:b/>
                <w:i/>
                <w:sz w:val="15"/>
                <w:szCs w:val="15"/>
              </w:rPr>
              <w:t>6</w:t>
            </w:r>
            <w:r>
              <w:rPr>
                <w:b/>
                <w:i/>
                <w:sz w:val="15"/>
                <w:szCs w:val="15"/>
              </w:rPr>
              <w:t>-7</w:t>
            </w:r>
            <w:r w:rsidRPr="006F2C20">
              <w:rPr>
                <w:b/>
                <w:i/>
                <w:sz w:val="15"/>
                <w:szCs w:val="15"/>
              </w:rPr>
              <w:t> mėn.</w:t>
            </w:r>
            <w:r>
              <w:rPr>
                <w:b/>
                <w:i/>
                <w:sz w:val="15"/>
                <w:szCs w:val="15"/>
              </w:rPr>
              <w:t xml:space="preserve"> trukmės teisė</w:t>
            </w:r>
          </w:p>
        </w:tc>
        <w:tc>
          <w:tcPr>
            <w:tcW w:w="3622" w:type="dxa"/>
            <w:gridSpan w:val="5"/>
            <w:tcBorders>
              <w:top w:val="single" w:sz="2" w:space="0" w:color="auto"/>
              <w:left w:val="single" w:sz="12" w:space="0" w:color="auto"/>
              <w:bottom w:val="single" w:sz="2" w:space="0" w:color="auto"/>
            </w:tcBorders>
            <w:shd w:val="clear" w:color="auto" w:fill="FFB9B9"/>
          </w:tcPr>
          <w:p w:rsidR="00E60820" w:rsidRPr="009A3E5F" w:rsidRDefault="00E60820" w:rsidP="00E60820">
            <w:pPr>
              <w:spacing w:after="0" w:line="240" w:lineRule="auto"/>
              <w:ind w:firstLine="0"/>
              <w:jc w:val="center"/>
              <w:rPr>
                <w:b/>
                <w:i/>
                <w:sz w:val="15"/>
                <w:szCs w:val="15"/>
              </w:rPr>
            </w:pPr>
            <w:r w:rsidRPr="009A3E5F">
              <w:rPr>
                <w:b/>
                <w:i/>
                <w:sz w:val="15"/>
                <w:szCs w:val="15"/>
              </w:rPr>
              <w:t>NDI</w:t>
            </w:r>
          </w:p>
        </w:tc>
        <w:tc>
          <w:tcPr>
            <w:tcW w:w="1440" w:type="dxa"/>
            <w:gridSpan w:val="2"/>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i/>
                <w:sz w:val="15"/>
                <w:szCs w:val="15"/>
              </w:rPr>
            </w:pPr>
            <w:r w:rsidRPr="009A3E5F">
              <w:rPr>
                <w:b/>
                <w:i/>
                <w:sz w:val="15"/>
                <w:szCs w:val="15"/>
              </w:rPr>
              <w:t>ATL. + PNDI</w:t>
            </w:r>
          </w:p>
        </w:tc>
        <w:tc>
          <w:tcPr>
            <w:tcW w:w="720" w:type="dxa"/>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2" w:space="0" w:color="auto"/>
              <w:bottom w:val="single" w:sz="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r>
      <w:tr w:rsidR="00E60820" w:rsidRPr="009F773B" w:rsidTr="00E60820">
        <w:tc>
          <w:tcPr>
            <w:tcW w:w="1728" w:type="dxa"/>
            <w:tcBorders>
              <w:top w:val="single" w:sz="2" w:space="0" w:color="auto"/>
              <w:bottom w:val="single" w:sz="12" w:space="0" w:color="auto"/>
              <w:right w:val="single" w:sz="12" w:space="0" w:color="auto"/>
            </w:tcBorders>
            <w:shd w:val="clear" w:color="auto" w:fill="FFB9B9"/>
          </w:tcPr>
          <w:p w:rsidR="00E60820" w:rsidRPr="007F3854" w:rsidRDefault="00E60820" w:rsidP="00E60820">
            <w:pPr>
              <w:spacing w:after="0" w:line="240" w:lineRule="auto"/>
              <w:ind w:firstLine="0"/>
              <w:jc w:val="center"/>
              <w:rPr>
                <w:b/>
                <w:i/>
                <w:sz w:val="15"/>
                <w:szCs w:val="15"/>
              </w:rPr>
            </w:pPr>
            <w:r>
              <w:rPr>
                <w:b/>
                <w:i/>
                <w:sz w:val="15"/>
                <w:szCs w:val="15"/>
              </w:rPr>
              <w:t>7</w:t>
            </w:r>
            <w:r w:rsidRPr="006F2C20">
              <w:rPr>
                <w:b/>
                <w:i/>
                <w:sz w:val="15"/>
                <w:szCs w:val="15"/>
              </w:rPr>
              <w:t> mėn.</w:t>
            </w:r>
            <w:r>
              <w:rPr>
                <w:b/>
                <w:i/>
                <w:sz w:val="15"/>
                <w:szCs w:val="15"/>
              </w:rPr>
              <w:t xml:space="preserve"> trukmės teisė</w:t>
            </w:r>
          </w:p>
        </w:tc>
        <w:tc>
          <w:tcPr>
            <w:tcW w:w="4342" w:type="dxa"/>
            <w:gridSpan w:val="6"/>
            <w:tcBorders>
              <w:top w:val="single" w:sz="2" w:space="0" w:color="auto"/>
              <w:left w:val="single" w:sz="12" w:space="0" w:color="auto"/>
              <w:bottom w:val="single" w:sz="12" w:space="0" w:color="auto"/>
            </w:tcBorders>
            <w:shd w:val="clear" w:color="auto" w:fill="FFB9B9"/>
          </w:tcPr>
          <w:p w:rsidR="00E60820" w:rsidRPr="009A3E5F" w:rsidRDefault="00E60820" w:rsidP="00E60820">
            <w:pPr>
              <w:spacing w:after="0" w:line="240" w:lineRule="auto"/>
              <w:ind w:firstLine="0"/>
              <w:jc w:val="center"/>
              <w:rPr>
                <w:b/>
                <w:i/>
                <w:sz w:val="15"/>
                <w:szCs w:val="15"/>
              </w:rPr>
            </w:pPr>
            <w:r w:rsidRPr="009A3E5F">
              <w:rPr>
                <w:b/>
                <w:i/>
                <w:sz w:val="15"/>
                <w:szCs w:val="15"/>
              </w:rPr>
              <w:t>NDI</w:t>
            </w:r>
          </w:p>
        </w:tc>
        <w:tc>
          <w:tcPr>
            <w:tcW w:w="1440" w:type="dxa"/>
            <w:gridSpan w:val="2"/>
            <w:tcBorders>
              <w:top w:val="single" w:sz="2" w:space="0" w:color="auto"/>
              <w:bottom w:val="single" w:sz="12" w:space="0" w:color="auto"/>
            </w:tcBorders>
            <w:shd w:val="clear" w:color="auto" w:fill="FFB9B9"/>
          </w:tcPr>
          <w:p w:rsidR="00E60820" w:rsidRPr="009A3E5F" w:rsidRDefault="00E60820" w:rsidP="00E60820">
            <w:pPr>
              <w:spacing w:after="0" w:line="240" w:lineRule="auto"/>
              <w:ind w:firstLine="0"/>
              <w:jc w:val="center"/>
              <w:rPr>
                <w:b/>
                <w:i/>
                <w:sz w:val="15"/>
                <w:szCs w:val="15"/>
              </w:rPr>
            </w:pPr>
            <w:r w:rsidRPr="009A3E5F">
              <w:rPr>
                <w:b/>
                <w:i/>
                <w:sz w:val="15"/>
                <w:szCs w:val="15"/>
              </w:rPr>
              <w:t>ATL. + PNDI</w:t>
            </w:r>
          </w:p>
        </w:tc>
        <w:tc>
          <w:tcPr>
            <w:tcW w:w="720" w:type="dxa"/>
            <w:tcBorders>
              <w:top w:val="single" w:sz="2" w:space="0" w:color="auto"/>
              <w:bottom w:val="single" w:sz="1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2" w:space="0" w:color="auto"/>
              <w:bottom w:val="single" w:sz="1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2" w:space="0" w:color="auto"/>
              <w:bottom w:val="single" w:sz="1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c>
          <w:tcPr>
            <w:tcW w:w="720" w:type="dxa"/>
            <w:tcBorders>
              <w:top w:val="single" w:sz="2" w:space="0" w:color="auto"/>
              <w:bottom w:val="single" w:sz="12" w:space="0" w:color="auto"/>
            </w:tcBorders>
            <w:shd w:val="clear" w:color="auto" w:fill="FFB9B9"/>
          </w:tcPr>
          <w:p w:rsidR="00E60820" w:rsidRPr="009A3E5F" w:rsidRDefault="00E60820" w:rsidP="00E60820">
            <w:pPr>
              <w:spacing w:after="0" w:line="240" w:lineRule="auto"/>
              <w:ind w:firstLine="0"/>
              <w:jc w:val="center"/>
              <w:rPr>
                <w:b/>
                <w:sz w:val="15"/>
                <w:szCs w:val="15"/>
              </w:rPr>
            </w:pPr>
            <w:r w:rsidRPr="009A3E5F">
              <w:rPr>
                <w:b/>
                <w:sz w:val="15"/>
                <w:szCs w:val="15"/>
              </w:rPr>
              <w:t>-</w:t>
            </w:r>
          </w:p>
        </w:tc>
      </w:tr>
      <w:tr w:rsidR="00E60820" w:rsidRPr="009F773B" w:rsidTr="00E60820">
        <w:tc>
          <w:tcPr>
            <w:tcW w:w="1728" w:type="dxa"/>
            <w:tcBorders>
              <w:top w:val="single" w:sz="12" w:space="0" w:color="auto"/>
              <w:bottom w:val="single" w:sz="2" w:space="0" w:color="auto"/>
              <w:right w:val="single" w:sz="12" w:space="0" w:color="auto"/>
            </w:tcBorders>
            <w:shd w:val="clear" w:color="auto" w:fill="F8C8F5"/>
          </w:tcPr>
          <w:p w:rsidR="00E60820" w:rsidRPr="007F3854" w:rsidRDefault="00E60820" w:rsidP="00E60820">
            <w:pPr>
              <w:spacing w:after="0" w:line="240" w:lineRule="auto"/>
              <w:ind w:firstLine="0"/>
              <w:jc w:val="center"/>
              <w:rPr>
                <w:b/>
                <w:i/>
                <w:sz w:val="15"/>
                <w:szCs w:val="15"/>
              </w:rPr>
            </w:pPr>
            <w:r>
              <w:rPr>
                <w:b/>
                <w:i/>
                <w:sz w:val="15"/>
                <w:szCs w:val="15"/>
              </w:rPr>
              <w:t>8-9 mėn. trukmės teisė</w:t>
            </w:r>
          </w:p>
        </w:tc>
        <w:tc>
          <w:tcPr>
            <w:tcW w:w="742" w:type="dxa"/>
            <w:tcBorders>
              <w:top w:val="single" w:sz="12" w:space="0" w:color="auto"/>
              <w:left w:val="single" w:sz="1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NDI</w:t>
            </w:r>
          </w:p>
        </w:tc>
        <w:tc>
          <w:tcPr>
            <w:tcW w:w="5040" w:type="dxa"/>
            <w:gridSpan w:val="7"/>
            <w:tcBorders>
              <w:top w:val="single" w:sz="1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ATL. + PNDI</w:t>
            </w:r>
          </w:p>
        </w:tc>
        <w:tc>
          <w:tcPr>
            <w:tcW w:w="720" w:type="dxa"/>
            <w:tcBorders>
              <w:top w:val="single" w:sz="1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w:t>
            </w:r>
          </w:p>
        </w:tc>
        <w:tc>
          <w:tcPr>
            <w:tcW w:w="720" w:type="dxa"/>
            <w:tcBorders>
              <w:top w:val="single" w:sz="1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w:t>
            </w:r>
          </w:p>
        </w:tc>
        <w:tc>
          <w:tcPr>
            <w:tcW w:w="720" w:type="dxa"/>
            <w:tcBorders>
              <w:top w:val="single" w:sz="1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w:t>
            </w:r>
          </w:p>
        </w:tc>
        <w:tc>
          <w:tcPr>
            <w:tcW w:w="720" w:type="dxa"/>
            <w:tcBorders>
              <w:top w:val="single" w:sz="1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w:t>
            </w:r>
          </w:p>
        </w:tc>
      </w:tr>
      <w:tr w:rsidR="00E60820" w:rsidRPr="009F773B" w:rsidTr="00E60820">
        <w:tc>
          <w:tcPr>
            <w:tcW w:w="1728" w:type="dxa"/>
            <w:tcBorders>
              <w:top w:val="single" w:sz="2" w:space="0" w:color="auto"/>
              <w:bottom w:val="single" w:sz="2" w:space="0" w:color="auto"/>
              <w:right w:val="single" w:sz="12" w:space="0" w:color="auto"/>
            </w:tcBorders>
            <w:shd w:val="clear" w:color="auto" w:fill="F8C8F5"/>
          </w:tcPr>
          <w:p w:rsidR="00E60820" w:rsidRPr="007F3854" w:rsidRDefault="00E60820" w:rsidP="00E60820">
            <w:pPr>
              <w:spacing w:after="0" w:line="240" w:lineRule="auto"/>
              <w:ind w:firstLine="0"/>
              <w:jc w:val="center"/>
              <w:rPr>
                <w:b/>
                <w:i/>
                <w:sz w:val="15"/>
                <w:szCs w:val="15"/>
              </w:rPr>
            </w:pPr>
            <w:r>
              <w:rPr>
                <w:b/>
                <w:i/>
                <w:sz w:val="15"/>
                <w:szCs w:val="15"/>
              </w:rPr>
              <w:t>8-9 mėn. trukmės teisė</w:t>
            </w:r>
          </w:p>
        </w:tc>
        <w:tc>
          <w:tcPr>
            <w:tcW w:w="1462" w:type="dxa"/>
            <w:gridSpan w:val="2"/>
            <w:tcBorders>
              <w:top w:val="single" w:sz="2" w:space="0" w:color="auto"/>
              <w:left w:val="single" w:sz="1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NDI</w:t>
            </w:r>
          </w:p>
        </w:tc>
        <w:tc>
          <w:tcPr>
            <w:tcW w:w="5040" w:type="dxa"/>
            <w:gridSpan w:val="7"/>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ATL. + PNDI</w:t>
            </w:r>
          </w:p>
        </w:tc>
        <w:tc>
          <w:tcPr>
            <w:tcW w:w="720" w:type="dxa"/>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w:t>
            </w:r>
          </w:p>
        </w:tc>
        <w:tc>
          <w:tcPr>
            <w:tcW w:w="720" w:type="dxa"/>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w:t>
            </w:r>
          </w:p>
        </w:tc>
        <w:tc>
          <w:tcPr>
            <w:tcW w:w="720" w:type="dxa"/>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w:t>
            </w:r>
          </w:p>
        </w:tc>
      </w:tr>
      <w:tr w:rsidR="00E60820" w:rsidRPr="009F773B" w:rsidTr="00E60820">
        <w:tc>
          <w:tcPr>
            <w:tcW w:w="1728" w:type="dxa"/>
            <w:tcBorders>
              <w:top w:val="single" w:sz="2" w:space="0" w:color="auto"/>
              <w:bottom w:val="single" w:sz="2" w:space="0" w:color="auto"/>
              <w:right w:val="single" w:sz="12" w:space="0" w:color="auto"/>
            </w:tcBorders>
            <w:shd w:val="clear" w:color="auto" w:fill="F8C8F5"/>
          </w:tcPr>
          <w:p w:rsidR="00E60820" w:rsidRPr="007F3854" w:rsidRDefault="00E60820" w:rsidP="00E60820">
            <w:pPr>
              <w:spacing w:after="0" w:line="240" w:lineRule="auto"/>
              <w:ind w:firstLine="0"/>
              <w:jc w:val="center"/>
              <w:rPr>
                <w:b/>
                <w:i/>
                <w:sz w:val="15"/>
                <w:szCs w:val="15"/>
              </w:rPr>
            </w:pPr>
            <w:r>
              <w:rPr>
                <w:b/>
                <w:i/>
                <w:sz w:val="15"/>
                <w:szCs w:val="15"/>
              </w:rPr>
              <w:t>8-9 mėn. trukmės teisė</w:t>
            </w:r>
          </w:p>
        </w:tc>
        <w:tc>
          <w:tcPr>
            <w:tcW w:w="2182" w:type="dxa"/>
            <w:gridSpan w:val="3"/>
            <w:tcBorders>
              <w:top w:val="single" w:sz="2" w:space="0" w:color="auto"/>
              <w:left w:val="single" w:sz="1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NDI</w:t>
            </w:r>
          </w:p>
        </w:tc>
        <w:tc>
          <w:tcPr>
            <w:tcW w:w="5040" w:type="dxa"/>
            <w:gridSpan w:val="7"/>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ATL. + PNDI</w:t>
            </w:r>
          </w:p>
        </w:tc>
        <w:tc>
          <w:tcPr>
            <w:tcW w:w="720" w:type="dxa"/>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w:t>
            </w:r>
          </w:p>
        </w:tc>
        <w:tc>
          <w:tcPr>
            <w:tcW w:w="720" w:type="dxa"/>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w:t>
            </w:r>
          </w:p>
        </w:tc>
      </w:tr>
      <w:tr w:rsidR="00E60820" w:rsidRPr="009F773B" w:rsidTr="00E60820">
        <w:tc>
          <w:tcPr>
            <w:tcW w:w="1728" w:type="dxa"/>
            <w:tcBorders>
              <w:top w:val="single" w:sz="2" w:space="0" w:color="auto"/>
              <w:bottom w:val="single" w:sz="2" w:space="0" w:color="auto"/>
              <w:right w:val="single" w:sz="12" w:space="0" w:color="auto"/>
            </w:tcBorders>
            <w:shd w:val="clear" w:color="auto" w:fill="F8C8F5"/>
          </w:tcPr>
          <w:p w:rsidR="00E60820" w:rsidRPr="007F3854" w:rsidRDefault="00E60820" w:rsidP="00E60820">
            <w:pPr>
              <w:spacing w:after="0" w:line="240" w:lineRule="auto"/>
              <w:ind w:firstLine="0"/>
              <w:jc w:val="center"/>
              <w:rPr>
                <w:b/>
                <w:i/>
                <w:sz w:val="15"/>
                <w:szCs w:val="15"/>
              </w:rPr>
            </w:pPr>
            <w:r>
              <w:rPr>
                <w:b/>
                <w:i/>
                <w:sz w:val="15"/>
                <w:szCs w:val="15"/>
              </w:rPr>
              <w:t>8-9 mėn. trukmės teisė</w:t>
            </w:r>
          </w:p>
        </w:tc>
        <w:tc>
          <w:tcPr>
            <w:tcW w:w="2902" w:type="dxa"/>
            <w:gridSpan w:val="4"/>
            <w:tcBorders>
              <w:top w:val="single" w:sz="2" w:space="0" w:color="auto"/>
              <w:left w:val="single" w:sz="1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NDI</w:t>
            </w:r>
          </w:p>
        </w:tc>
        <w:tc>
          <w:tcPr>
            <w:tcW w:w="5040" w:type="dxa"/>
            <w:gridSpan w:val="7"/>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ATL. + PNDI</w:t>
            </w:r>
          </w:p>
        </w:tc>
        <w:tc>
          <w:tcPr>
            <w:tcW w:w="720" w:type="dxa"/>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w:t>
            </w:r>
          </w:p>
        </w:tc>
      </w:tr>
      <w:tr w:rsidR="00E60820" w:rsidRPr="009F773B" w:rsidTr="00E60820">
        <w:tc>
          <w:tcPr>
            <w:tcW w:w="1728" w:type="dxa"/>
            <w:tcBorders>
              <w:top w:val="single" w:sz="2" w:space="0" w:color="auto"/>
              <w:bottom w:val="single" w:sz="2" w:space="0" w:color="auto"/>
              <w:right w:val="single" w:sz="12" w:space="0" w:color="auto"/>
            </w:tcBorders>
            <w:shd w:val="clear" w:color="auto" w:fill="F8C8F5"/>
          </w:tcPr>
          <w:p w:rsidR="00E60820" w:rsidRPr="007F3854" w:rsidRDefault="00E60820" w:rsidP="00E60820">
            <w:pPr>
              <w:spacing w:after="0" w:line="240" w:lineRule="auto"/>
              <w:ind w:firstLine="0"/>
              <w:jc w:val="center"/>
              <w:rPr>
                <w:b/>
                <w:i/>
                <w:sz w:val="15"/>
                <w:szCs w:val="15"/>
              </w:rPr>
            </w:pPr>
            <w:r>
              <w:rPr>
                <w:b/>
                <w:i/>
                <w:sz w:val="15"/>
                <w:szCs w:val="15"/>
              </w:rPr>
              <w:t>8-9 mėn. trukmės teisė</w:t>
            </w:r>
          </w:p>
        </w:tc>
        <w:tc>
          <w:tcPr>
            <w:tcW w:w="3622" w:type="dxa"/>
            <w:gridSpan w:val="5"/>
            <w:tcBorders>
              <w:top w:val="single" w:sz="2" w:space="0" w:color="auto"/>
              <w:left w:val="single" w:sz="1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NDI</w:t>
            </w:r>
          </w:p>
        </w:tc>
        <w:tc>
          <w:tcPr>
            <w:tcW w:w="2160" w:type="dxa"/>
            <w:gridSpan w:val="3"/>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ATL. + PNDI</w:t>
            </w:r>
          </w:p>
        </w:tc>
        <w:tc>
          <w:tcPr>
            <w:tcW w:w="720" w:type="dxa"/>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w:t>
            </w:r>
          </w:p>
        </w:tc>
        <w:tc>
          <w:tcPr>
            <w:tcW w:w="720" w:type="dxa"/>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w:t>
            </w:r>
          </w:p>
        </w:tc>
        <w:tc>
          <w:tcPr>
            <w:tcW w:w="720" w:type="dxa"/>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w:t>
            </w:r>
          </w:p>
        </w:tc>
        <w:tc>
          <w:tcPr>
            <w:tcW w:w="720" w:type="dxa"/>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w:t>
            </w:r>
          </w:p>
        </w:tc>
      </w:tr>
      <w:tr w:rsidR="00E60820" w:rsidRPr="009F773B" w:rsidTr="00E60820">
        <w:tc>
          <w:tcPr>
            <w:tcW w:w="1728" w:type="dxa"/>
            <w:tcBorders>
              <w:top w:val="single" w:sz="2" w:space="0" w:color="auto"/>
              <w:bottom w:val="single" w:sz="2" w:space="0" w:color="auto"/>
              <w:right w:val="single" w:sz="12" w:space="0" w:color="auto"/>
            </w:tcBorders>
            <w:shd w:val="clear" w:color="auto" w:fill="F8C8F5"/>
          </w:tcPr>
          <w:p w:rsidR="00E60820" w:rsidRPr="007F3854" w:rsidRDefault="00E60820" w:rsidP="00E60820">
            <w:pPr>
              <w:spacing w:after="0" w:line="240" w:lineRule="auto"/>
              <w:ind w:firstLine="0"/>
              <w:jc w:val="center"/>
              <w:rPr>
                <w:b/>
                <w:i/>
                <w:sz w:val="15"/>
                <w:szCs w:val="15"/>
              </w:rPr>
            </w:pPr>
            <w:r>
              <w:rPr>
                <w:b/>
                <w:i/>
                <w:sz w:val="15"/>
                <w:szCs w:val="15"/>
              </w:rPr>
              <w:t>8-9 mėn. trukmės teisė</w:t>
            </w:r>
          </w:p>
        </w:tc>
        <w:tc>
          <w:tcPr>
            <w:tcW w:w="4342" w:type="dxa"/>
            <w:gridSpan w:val="6"/>
            <w:tcBorders>
              <w:top w:val="single" w:sz="2" w:space="0" w:color="auto"/>
              <w:left w:val="single" w:sz="1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NDI</w:t>
            </w:r>
          </w:p>
        </w:tc>
        <w:tc>
          <w:tcPr>
            <w:tcW w:w="2160" w:type="dxa"/>
            <w:gridSpan w:val="3"/>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ATL. + PNDI</w:t>
            </w:r>
          </w:p>
        </w:tc>
        <w:tc>
          <w:tcPr>
            <w:tcW w:w="720" w:type="dxa"/>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w:t>
            </w:r>
          </w:p>
        </w:tc>
        <w:tc>
          <w:tcPr>
            <w:tcW w:w="720" w:type="dxa"/>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w:t>
            </w:r>
          </w:p>
        </w:tc>
        <w:tc>
          <w:tcPr>
            <w:tcW w:w="720" w:type="dxa"/>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w:t>
            </w:r>
          </w:p>
        </w:tc>
      </w:tr>
      <w:tr w:rsidR="00E60820" w:rsidRPr="009F773B" w:rsidTr="00E60820">
        <w:tc>
          <w:tcPr>
            <w:tcW w:w="1728" w:type="dxa"/>
            <w:tcBorders>
              <w:top w:val="single" w:sz="2" w:space="0" w:color="auto"/>
              <w:bottom w:val="single" w:sz="2" w:space="0" w:color="auto"/>
              <w:right w:val="single" w:sz="12" w:space="0" w:color="auto"/>
            </w:tcBorders>
            <w:shd w:val="clear" w:color="auto" w:fill="F8C8F5"/>
          </w:tcPr>
          <w:p w:rsidR="00E60820" w:rsidRPr="007F3854" w:rsidRDefault="00E60820" w:rsidP="00E60820">
            <w:pPr>
              <w:spacing w:after="0" w:line="240" w:lineRule="auto"/>
              <w:ind w:firstLine="0"/>
              <w:jc w:val="center"/>
              <w:rPr>
                <w:b/>
                <w:i/>
                <w:sz w:val="15"/>
                <w:szCs w:val="15"/>
              </w:rPr>
            </w:pPr>
            <w:r>
              <w:rPr>
                <w:b/>
                <w:i/>
                <w:sz w:val="15"/>
                <w:szCs w:val="15"/>
              </w:rPr>
              <w:t>8-9 mėn. trukmės teisė</w:t>
            </w:r>
          </w:p>
        </w:tc>
        <w:tc>
          <w:tcPr>
            <w:tcW w:w="5062" w:type="dxa"/>
            <w:gridSpan w:val="7"/>
            <w:tcBorders>
              <w:top w:val="single" w:sz="2" w:space="0" w:color="auto"/>
              <w:left w:val="single" w:sz="1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NDI</w:t>
            </w:r>
          </w:p>
        </w:tc>
        <w:tc>
          <w:tcPr>
            <w:tcW w:w="2160" w:type="dxa"/>
            <w:gridSpan w:val="3"/>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ATL. + PNDI</w:t>
            </w:r>
          </w:p>
        </w:tc>
        <w:tc>
          <w:tcPr>
            <w:tcW w:w="720" w:type="dxa"/>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w:t>
            </w:r>
          </w:p>
        </w:tc>
        <w:tc>
          <w:tcPr>
            <w:tcW w:w="720" w:type="dxa"/>
            <w:tcBorders>
              <w:top w:val="single" w:sz="2" w:space="0" w:color="auto"/>
              <w:bottom w:val="single" w:sz="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w:t>
            </w:r>
          </w:p>
        </w:tc>
      </w:tr>
      <w:tr w:rsidR="00E60820" w:rsidRPr="009F773B" w:rsidTr="00E60820">
        <w:tc>
          <w:tcPr>
            <w:tcW w:w="1728" w:type="dxa"/>
            <w:tcBorders>
              <w:top w:val="single" w:sz="2" w:space="0" w:color="auto"/>
              <w:bottom w:val="single" w:sz="12" w:space="0" w:color="auto"/>
              <w:right w:val="single" w:sz="12" w:space="0" w:color="auto"/>
            </w:tcBorders>
            <w:shd w:val="clear" w:color="auto" w:fill="F8C8F5"/>
          </w:tcPr>
          <w:p w:rsidR="00E60820" w:rsidRPr="007F3854" w:rsidRDefault="00E60820" w:rsidP="00E60820">
            <w:pPr>
              <w:spacing w:after="0" w:line="240" w:lineRule="auto"/>
              <w:ind w:firstLine="0"/>
              <w:jc w:val="center"/>
              <w:rPr>
                <w:b/>
                <w:i/>
                <w:sz w:val="15"/>
                <w:szCs w:val="15"/>
              </w:rPr>
            </w:pPr>
            <w:r>
              <w:rPr>
                <w:b/>
                <w:i/>
                <w:sz w:val="15"/>
                <w:szCs w:val="15"/>
              </w:rPr>
              <w:t>9 mėn. trukmės teisė</w:t>
            </w:r>
          </w:p>
        </w:tc>
        <w:tc>
          <w:tcPr>
            <w:tcW w:w="5782" w:type="dxa"/>
            <w:gridSpan w:val="8"/>
            <w:tcBorders>
              <w:top w:val="single" w:sz="2" w:space="0" w:color="auto"/>
              <w:left w:val="single" w:sz="12" w:space="0" w:color="auto"/>
              <w:bottom w:val="single" w:sz="1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NDI</w:t>
            </w:r>
          </w:p>
        </w:tc>
        <w:tc>
          <w:tcPr>
            <w:tcW w:w="2160" w:type="dxa"/>
            <w:gridSpan w:val="3"/>
            <w:tcBorders>
              <w:top w:val="single" w:sz="2" w:space="0" w:color="auto"/>
              <w:bottom w:val="single" w:sz="1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ATL. + PNDI</w:t>
            </w:r>
          </w:p>
        </w:tc>
        <w:tc>
          <w:tcPr>
            <w:tcW w:w="720" w:type="dxa"/>
            <w:tcBorders>
              <w:top w:val="single" w:sz="2" w:space="0" w:color="auto"/>
              <w:bottom w:val="single" w:sz="12" w:space="0" w:color="auto"/>
            </w:tcBorders>
            <w:shd w:val="clear" w:color="auto" w:fill="F8C8F5"/>
          </w:tcPr>
          <w:p w:rsidR="00E60820" w:rsidRPr="009A3E5F" w:rsidRDefault="00E60820" w:rsidP="00E60820">
            <w:pPr>
              <w:spacing w:after="0" w:line="240" w:lineRule="auto"/>
              <w:ind w:firstLine="0"/>
              <w:jc w:val="center"/>
              <w:rPr>
                <w:b/>
                <w:i/>
                <w:sz w:val="15"/>
                <w:szCs w:val="15"/>
              </w:rPr>
            </w:pPr>
            <w:r w:rsidRPr="009A3E5F">
              <w:rPr>
                <w:b/>
                <w:i/>
                <w:sz w:val="15"/>
                <w:szCs w:val="15"/>
              </w:rPr>
              <w:t>-</w:t>
            </w:r>
          </w:p>
        </w:tc>
      </w:tr>
    </w:tbl>
    <w:p w:rsidR="00E60820" w:rsidRDefault="00E60820" w:rsidP="00E60820">
      <w:pPr>
        <w:spacing w:after="100" w:line="240" w:lineRule="auto"/>
        <w:contextualSpacing w:val="0"/>
        <w:rPr>
          <w:sz w:val="20"/>
        </w:rPr>
      </w:pPr>
      <w:r w:rsidRPr="007F2BD3">
        <w:rPr>
          <w:b/>
          <w:sz w:val="20"/>
        </w:rPr>
        <w:t>Šaltinis</w:t>
      </w:r>
      <w:r w:rsidRPr="007F2BD3">
        <w:rPr>
          <w:sz w:val="20"/>
        </w:rPr>
        <w:t>: sudaryta šio darbo autorės</w:t>
      </w:r>
    </w:p>
    <w:p w:rsidR="00E60820" w:rsidRPr="007F2BD3" w:rsidRDefault="00E60820" w:rsidP="00E60820">
      <w:r>
        <w:t xml:space="preserve">Kaip matyti </w:t>
      </w:r>
      <w:r w:rsidRPr="00CB1531">
        <w:t>iš 2 lentelės, teisė</w:t>
      </w:r>
      <w:r>
        <w:t xml:space="preserve"> į papildomą išmoką taptų naudingiausia, įsidarbinus per pirmuosius mėnesius, nes tada ne tik didėtų finansinė gerovė, bet ir atsirastų daugiau laiko integracijai į darbo rinką.</w:t>
      </w:r>
    </w:p>
    <w:p w:rsidR="00E60820" w:rsidRPr="00166FEC" w:rsidRDefault="00E60820" w:rsidP="00F76A05">
      <w:pPr>
        <w:pStyle w:val="Referatai"/>
        <w:pBdr>
          <w:top w:val="thinThickSmallGap" w:sz="24" w:space="1" w:color="auto"/>
        </w:pBdr>
        <w:spacing w:after="0"/>
        <w:ind w:firstLine="0"/>
        <w:contextualSpacing w:val="0"/>
        <w:jc w:val="center"/>
        <w:rPr>
          <w:rFonts w:ascii="Elephant" w:hAnsi="Elephant"/>
          <w:b/>
          <w:color w:val="EA0000"/>
        </w:rPr>
      </w:pPr>
      <w:r w:rsidRPr="00166FEC">
        <w:rPr>
          <w:rFonts w:ascii="Elephant" w:hAnsi="Elephant"/>
          <w:b/>
          <w:color w:val="EA0000"/>
        </w:rPr>
        <w:lastRenderedPageBreak/>
        <w:t>ANKETA</w:t>
      </w:r>
    </w:p>
    <w:p w:rsidR="00E60820" w:rsidRPr="004A2DEA" w:rsidRDefault="00E60820" w:rsidP="00E60820">
      <w:pPr>
        <w:pStyle w:val="Referatai"/>
        <w:spacing w:after="60"/>
        <w:ind w:firstLine="562"/>
        <w:rPr>
          <w:i/>
          <w:sz w:val="20"/>
          <w:szCs w:val="20"/>
        </w:rPr>
      </w:pPr>
      <w:r w:rsidRPr="004A2DEA">
        <w:rPr>
          <w:i/>
          <w:sz w:val="20"/>
          <w:szCs w:val="20"/>
        </w:rPr>
        <w:t xml:space="preserve">Gerb. respondente, Mykolo </w:t>
      </w:r>
      <w:proofErr w:type="spellStart"/>
      <w:r w:rsidRPr="004A2DEA">
        <w:rPr>
          <w:i/>
          <w:sz w:val="20"/>
          <w:szCs w:val="20"/>
        </w:rPr>
        <w:t>Romerio</w:t>
      </w:r>
      <w:proofErr w:type="spellEnd"/>
      <w:r w:rsidRPr="004A2DEA">
        <w:rPr>
          <w:i/>
          <w:sz w:val="20"/>
          <w:szCs w:val="20"/>
        </w:rPr>
        <w:t xml:space="preserve"> universiteto studentė atlieka tyrimą, kurio </w:t>
      </w:r>
      <w:r w:rsidRPr="00D107E0">
        <w:rPr>
          <w:b/>
          <w:i/>
          <w:color w:val="EA0000"/>
          <w:sz w:val="20"/>
          <w:szCs w:val="20"/>
        </w:rPr>
        <w:t>tikslas</w:t>
      </w:r>
      <w:r w:rsidRPr="004A2DEA">
        <w:rPr>
          <w:i/>
          <w:sz w:val="20"/>
          <w:szCs w:val="20"/>
        </w:rPr>
        <w:t xml:space="preserve"> – išsiaiškinti, </w:t>
      </w:r>
      <w:r>
        <w:rPr>
          <w:i/>
          <w:sz w:val="20"/>
          <w:szCs w:val="20"/>
        </w:rPr>
        <w:t xml:space="preserve">kaip </w:t>
      </w:r>
      <w:r w:rsidRPr="003F2F78">
        <w:rPr>
          <w:b/>
          <w:i/>
          <w:sz w:val="20"/>
          <w:szCs w:val="20"/>
        </w:rPr>
        <w:t xml:space="preserve">bedarbio pašalpas </w:t>
      </w:r>
      <w:r>
        <w:rPr>
          <w:b/>
          <w:i/>
          <w:sz w:val="20"/>
          <w:szCs w:val="20"/>
        </w:rPr>
        <w:t xml:space="preserve">ir / ar socialinę paramą </w:t>
      </w:r>
      <w:r w:rsidRPr="003F2F78">
        <w:rPr>
          <w:b/>
          <w:i/>
          <w:sz w:val="20"/>
          <w:szCs w:val="20"/>
        </w:rPr>
        <w:t>gaunantys Lietuvos piliečiai</w:t>
      </w:r>
      <w:r>
        <w:rPr>
          <w:i/>
          <w:sz w:val="20"/>
          <w:szCs w:val="20"/>
        </w:rPr>
        <w:t xml:space="preserve"> vertina savo elgseną.</w:t>
      </w:r>
      <w:r w:rsidRPr="004A2DEA">
        <w:rPr>
          <w:i/>
          <w:sz w:val="20"/>
          <w:szCs w:val="20"/>
        </w:rPr>
        <w:t xml:space="preserve"> Nuoširdūs Jūsų atsakymai padės nustatyti, kurie veiksniai yra vertinami geriau, o kurie – blogiau, ir taip leis suformuoti bendrą suvokimą apie</w:t>
      </w:r>
      <w:r>
        <w:rPr>
          <w:i/>
          <w:sz w:val="20"/>
          <w:szCs w:val="20"/>
        </w:rPr>
        <w:t xml:space="preserve"> tai, kokie veiksniai nulemia naudojimąsi socialinės apsaugos lėšomis</w:t>
      </w:r>
      <w:r w:rsidRPr="004A2DEA">
        <w:rPr>
          <w:i/>
          <w:sz w:val="20"/>
          <w:szCs w:val="20"/>
        </w:rPr>
        <w:t xml:space="preserve">. Duomenys bus panaudoti, rašant baigiamąjį </w:t>
      </w:r>
      <w:r>
        <w:rPr>
          <w:i/>
          <w:sz w:val="20"/>
          <w:szCs w:val="20"/>
        </w:rPr>
        <w:t xml:space="preserve">magistro </w:t>
      </w:r>
      <w:r w:rsidRPr="004A2DEA">
        <w:rPr>
          <w:i/>
          <w:sz w:val="20"/>
          <w:szCs w:val="20"/>
        </w:rPr>
        <w:t>darbą.</w:t>
      </w:r>
    </w:p>
    <w:p w:rsidR="00E60820" w:rsidRPr="004D6065" w:rsidRDefault="00E60820" w:rsidP="00E60820">
      <w:pPr>
        <w:pStyle w:val="Referatai"/>
        <w:spacing w:after="60"/>
        <w:rPr>
          <w:b/>
          <w:sz w:val="20"/>
          <w:szCs w:val="20"/>
        </w:rPr>
      </w:pPr>
      <w:r w:rsidRPr="004D6065">
        <w:rPr>
          <w:b/>
          <w:i/>
          <w:sz w:val="20"/>
          <w:szCs w:val="20"/>
          <w:u w:val="single"/>
        </w:rPr>
        <w:t xml:space="preserve">Užtikriname, jog atsakymai bus laikomi anonimiškais ir </w:t>
      </w:r>
      <w:r>
        <w:rPr>
          <w:b/>
          <w:i/>
          <w:sz w:val="20"/>
          <w:szCs w:val="20"/>
          <w:u w:val="single"/>
        </w:rPr>
        <w:t xml:space="preserve">atskiri </w:t>
      </w:r>
      <w:r w:rsidRPr="005004C1">
        <w:rPr>
          <w:b/>
          <w:i/>
          <w:sz w:val="20"/>
          <w:szCs w:val="20"/>
          <w:u w:val="single"/>
        </w:rPr>
        <w:t>respondentai</w:t>
      </w:r>
      <w:r w:rsidRPr="004D6065">
        <w:rPr>
          <w:b/>
          <w:i/>
          <w:sz w:val="20"/>
          <w:szCs w:val="20"/>
          <w:u w:val="single"/>
        </w:rPr>
        <w:t xml:space="preserve"> nebus identifikuojami išvadose</w:t>
      </w:r>
      <w:r w:rsidRPr="004D6065">
        <w:rPr>
          <w:b/>
          <w:sz w:val="20"/>
          <w:szCs w:val="20"/>
        </w:rPr>
        <w:t>!</w:t>
      </w:r>
    </w:p>
    <w:p w:rsidR="00E60820" w:rsidRPr="00350BC0" w:rsidRDefault="00E60820" w:rsidP="00F76A05">
      <w:pPr>
        <w:pStyle w:val="Referatai"/>
        <w:spacing w:before="160" w:after="60"/>
        <w:ind w:left="547" w:firstLine="0"/>
        <w:rPr>
          <w:b/>
          <w:color w:val="EA0000"/>
          <w:sz w:val="19"/>
          <w:szCs w:val="19"/>
          <w:u w:val="single"/>
        </w:rPr>
      </w:pPr>
      <w:r w:rsidRPr="00350BC0">
        <w:rPr>
          <w:b/>
          <w:color w:val="EA0000"/>
          <w:sz w:val="19"/>
          <w:szCs w:val="19"/>
          <w:u w:val="single"/>
        </w:rPr>
        <w:t>BENDROJI INFORMACIJA</w:t>
      </w:r>
    </w:p>
    <w:p w:rsidR="00E60820" w:rsidRPr="002225A6" w:rsidRDefault="00E60820" w:rsidP="00E60820">
      <w:pPr>
        <w:framePr w:w="2653" w:hSpace="180" w:wrap="around" w:vAnchor="text" w:hAnchor="page" w:x="8611" w:y="1"/>
        <w:pBdr>
          <w:top w:val="single" w:sz="12" w:space="2" w:color="E20000"/>
          <w:left w:val="single" w:sz="12" w:space="2" w:color="E20000"/>
          <w:bottom w:val="single" w:sz="12" w:space="2" w:color="E20000"/>
          <w:right w:val="single" w:sz="12" w:space="2" w:color="E20000"/>
        </w:pBdr>
        <w:shd w:val="solid" w:color="FFFFFF" w:fill="FFFFFF"/>
        <w:rPr>
          <w:sz w:val="20"/>
        </w:rPr>
      </w:pPr>
    </w:p>
    <w:p w:rsidR="00E60820" w:rsidRDefault="00E60820" w:rsidP="00E60820">
      <w:pPr>
        <w:pStyle w:val="Referatai"/>
        <w:spacing w:after="60"/>
        <w:ind w:firstLine="562"/>
        <w:rPr>
          <w:sz w:val="20"/>
          <w:szCs w:val="20"/>
        </w:rPr>
      </w:pPr>
      <w:r w:rsidRPr="008C2164">
        <w:rPr>
          <w:b/>
          <w:sz w:val="20"/>
          <w:szCs w:val="20"/>
        </w:rPr>
        <w:t>Jūsų amžius</w:t>
      </w:r>
      <w:r>
        <w:rPr>
          <w:sz w:val="20"/>
          <w:szCs w:val="20"/>
        </w:rPr>
        <w:t xml:space="preserve">: </w:t>
      </w:r>
    </w:p>
    <w:p w:rsidR="00E60820" w:rsidRDefault="00E60820" w:rsidP="00E60820">
      <w:pPr>
        <w:pStyle w:val="Referatai"/>
        <w:spacing w:line="240" w:lineRule="auto"/>
        <w:ind w:firstLine="562"/>
        <w:rPr>
          <w:sz w:val="20"/>
          <w:szCs w:val="20"/>
        </w:rPr>
      </w:pPr>
      <w:r w:rsidRPr="000A0676">
        <w:rPr>
          <w:b/>
          <w:sz w:val="20"/>
          <w:szCs w:val="20"/>
        </w:rPr>
        <w:t>Jūsų išsilavinimas</w:t>
      </w:r>
      <w:r w:rsidRPr="004D6065">
        <w:rPr>
          <w:sz w:val="20"/>
          <w:szCs w:val="20"/>
        </w:rPr>
        <w:t>:</w:t>
      </w:r>
    </w:p>
    <w:p w:rsidR="00E60820" w:rsidRPr="00470D5F" w:rsidRDefault="00D84BC4" w:rsidP="00E60820">
      <w:pPr>
        <w:spacing w:after="60" w:line="240" w:lineRule="auto"/>
        <w:textAlignment w:val="top"/>
        <w:rPr>
          <w:sz w:val="19"/>
          <w:szCs w:val="19"/>
        </w:rPr>
      </w:pPr>
      <w:r w:rsidRPr="00470D5F">
        <w:rPr>
          <w:sz w:val="19"/>
          <w:szCs w:val="19"/>
        </w:rPr>
        <w:object w:dxaOrig="0" w:dyaOrig="0">
          <v:shape id="_x0000_i1119" type="#_x0000_t75" style="width:20.25pt;height:18pt" o:ole="">
            <v:imagedata r:id="rId49" o:title=""/>
          </v:shape>
          <w:control r:id="rId50" w:name="DefaultOcxName631121" w:shapeid="_x0000_i1119"/>
        </w:object>
      </w:r>
      <w:r w:rsidR="00E60820" w:rsidRPr="00470D5F">
        <w:rPr>
          <w:sz w:val="19"/>
          <w:szCs w:val="19"/>
        </w:rPr>
        <w:t>pradinis (4 klasės);</w:t>
      </w:r>
    </w:p>
    <w:p w:rsidR="00E60820" w:rsidRPr="00470D5F" w:rsidRDefault="00D84BC4" w:rsidP="00E60820">
      <w:pPr>
        <w:spacing w:after="60" w:line="240" w:lineRule="auto"/>
        <w:textAlignment w:val="top"/>
        <w:rPr>
          <w:sz w:val="19"/>
          <w:szCs w:val="19"/>
        </w:rPr>
      </w:pPr>
      <w:r w:rsidRPr="00470D5F">
        <w:rPr>
          <w:sz w:val="19"/>
          <w:szCs w:val="19"/>
        </w:rPr>
        <w:object w:dxaOrig="0" w:dyaOrig="0">
          <v:shape id="_x0000_i1122" type="#_x0000_t75" style="width:20.25pt;height:18pt" o:ole="">
            <v:imagedata r:id="rId49" o:title=""/>
          </v:shape>
          <w:control r:id="rId51" w:name="DefaultOcxName63421" w:shapeid="_x0000_i1122"/>
        </w:object>
      </w:r>
      <w:r w:rsidR="00E60820" w:rsidRPr="00470D5F">
        <w:rPr>
          <w:sz w:val="19"/>
          <w:szCs w:val="19"/>
        </w:rPr>
        <w:t>pagrindinis (10 klasių);</w:t>
      </w:r>
    </w:p>
    <w:p w:rsidR="00E60820" w:rsidRPr="00470D5F" w:rsidRDefault="00D84BC4" w:rsidP="00E60820">
      <w:pPr>
        <w:spacing w:after="60" w:line="240" w:lineRule="auto"/>
        <w:textAlignment w:val="top"/>
        <w:rPr>
          <w:sz w:val="19"/>
          <w:szCs w:val="19"/>
        </w:rPr>
      </w:pPr>
      <w:r w:rsidRPr="00470D5F">
        <w:rPr>
          <w:sz w:val="19"/>
          <w:szCs w:val="19"/>
        </w:rPr>
        <w:object w:dxaOrig="0" w:dyaOrig="0">
          <v:shape id="_x0000_i1125" type="#_x0000_t75" style="width:20.25pt;height:18pt" o:ole="">
            <v:imagedata r:id="rId49" o:title=""/>
          </v:shape>
          <w:control r:id="rId52" w:name="DefaultOcxName64321" w:shapeid="_x0000_i1125"/>
        </w:object>
      </w:r>
      <w:r w:rsidR="00E60820" w:rsidRPr="00470D5F">
        <w:rPr>
          <w:sz w:val="19"/>
          <w:szCs w:val="19"/>
        </w:rPr>
        <w:t>vidurinis (12 klasių);</w:t>
      </w:r>
    </w:p>
    <w:p w:rsidR="00E60820" w:rsidRPr="00470D5F" w:rsidRDefault="00D84BC4" w:rsidP="00E60820">
      <w:pPr>
        <w:spacing w:after="60" w:line="240" w:lineRule="auto"/>
        <w:textAlignment w:val="top"/>
        <w:rPr>
          <w:sz w:val="19"/>
          <w:szCs w:val="19"/>
        </w:rPr>
      </w:pPr>
      <w:r w:rsidRPr="00470D5F">
        <w:rPr>
          <w:sz w:val="19"/>
          <w:szCs w:val="19"/>
        </w:rPr>
        <w:object w:dxaOrig="0" w:dyaOrig="0">
          <v:shape id="_x0000_i1128" type="#_x0000_t75" style="width:20.25pt;height:18pt" o:ole="">
            <v:imagedata r:id="rId49" o:title=""/>
          </v:shape>
          <w:control r:id="rId53" w:name="DefaultOcxName6342" w:shapeid="_x0000_i1128"/>
        </w:object>
      </w:r>
      <w:r w:rsidR="00E60820" w:rsidRPr="00470D5F">
        <w:rPr>
          <w:sz w:val="19"/>
          <w:szCs w:val="19"/>
        </w:rPr>
        <w:t>aukštesnysis;</w:t>
      </w:r>
    </w:p>
    <w:p w:rsidR="00E60820" w:rsidRPr="00975A7E" w:rsidRDefault="00D84BC4" w:rsidP="00E60820">
      <w:pPr>
        <w:spacing w:after="60" w:line="240" w:lineRule="auto"/>
        <w:textAlignment w:val="top"/>
        <w:rPr>
          <w:sz w:val="19"/>
          <w:szCs w:val="19"/>
        </w:rPr>
      </w:pPr>
      <w:r w:rsidRPr="00975A7E">
        <w:rPr>
          <w:sz w:val="19"/>
          <w:szCs w:val="19"/>
        </w:rPr>
        <w:object w:dxaOrig="0" w:dyaOrig="0">
          <v:shape id="_x0000_i1131" type="#_x0000_t75" style="width:20.25pt;height:18pt" o:ole="">
            <v:imagedata r:id="rId49" o:title=""/>
          </v:shape>
          <w:control r:id="rId54" w:name="DefaultOcxName6311212" w:shapeid="_x0000_i1131"/>
        </w:object>
      </w:r>
      <w:r w:rsidR="00E60820" w:rsidRPr="00975A7E">
        <w:rPr>
          <w:sz w:val="19"/>
          <w:szCs w:val="19"/>
        </w:rPr>
        <w:t>nebaigtas aukštasis;</w:t>
      </w:r>
    </w:p>
    <w:p w:rsidR="00E60820" w:rsidRDefault="00D84BC4" w:rsidP="00E60820">
      <w:pPr>
        <w:spacing w:after="60" w:line="240" w:lineRule="auto"/>
        <w:textAlignment w:val="top"/>
        <w:rPr>
          <w:sz w:val="19"/>
          <w:szCs w:val="19"/>
        </w:rPr>
      </w:pPr>
      <w:r w:rsidRPr="00470D5F">
        <w:rPr>
          <w:sz w:val="19"/>
          <w:szCs w:val="19"/>
        </w:rPr>
        <w:object w:dxaOrig="0" w:dyaOrig="0">
          <v:shape id="_x0000_i1134" type="#_x0000_t75" style="width:20.25pt;height:18pt" o:ole="">
            <v:imagedata r:id="rId49" o:title=""/>
          </v:shape>
          <w:control r:id="rId55" w:name="DefaultOcxName64323" w:shapeid="_x0000_i1134"/>
        </w:object>
      </w:r>
      <w:r w:rsidR="00E60820">
        <w:rPr>
          <w:sz w:val="19"/>
          <w:szCs w:val="19"/>
        </w:rPr>
        <w:t>aukštasis (neuniversitetinis);</w:t>
      </w:r>
    </w:p>
    <w:p w:rsidR="00E60820" w:rsidRPr="00FC0B80" w:rsidRDefault="00D84BC4" w:rsidP="00E60820">
      <w:pPr>
        <w:spacing w:after="60" w:line="240" w:lineRule="auto"/>
        <w:textAlignment w:val="top"/>
        <w:rPr>
          <w:sz w:val="19"/>
          <w:szCs w:val="19"/>
        </w:rPr>
      </w:pPr>
      <w:r w:rsidRPr="00FC0B80">
        <w:rPr>
          <w:sz w:val="19"/>
          <w:szCs w:val="19"/>
        </w:rPr>
        <w:object w:dxaOrig="0" w:dyaOrig="0">
          <v:shape id="_x0000_i1137" type="#_x0000_t75" style="width:20.25pt;height:18pt" o:ole="">
            <v:imagedata r:id="rId49" o:title=""/>
          </v:shape>
          <w:control r:id="rId56" w:name="DefaultOcxName63421211112" w:shapeid="_x0000_i1137"/>
        </w:object>
      </w:r>
      <w:r w:rsidR="00E60820">
        <w:rPr>
          <w:sz w:val="19"/>
          <w:szCs w:val="19"/>
        </w:rPr>
        <w:t>aukštasis (universitetinis).</w:t>
      </w:r>
    </w:p>
    <w:p w:rsidR="00E60820" w:rsidRDefault="00E60820" w:rsidP="00E60820">
      <w:pPr>
        <w:spacing w:line="240" w:lineRule="auto"/>
        <w:textAlignment w:val="top"/>
        <w:rPr>
          <w:sz w:val="20"/>
        </w:rPr>
      </w:pPr>
      <w:r w:rsidRPr="009C2E28">
        <w:rPr>
          <w:b/>
          <w:sz w:val="20"/>
        </w:rPr>
        <w:t>Jūsų šeimos sudėtis</w:t>
      </w:r>
      <w:r>
        <w:rPr>
          <w:sz w:val="20"/>
        </w:rPr>
        <w:t>:</w:t>
      </w:r>
    </w:p>
    <w:p w:rsidR="00E60820" w:rsidRPr="00470D5F" w:rsidRDefault="00E60820" w:rsidP="00E60820">
      <w:pPr>
        <w:framePr w:w="2653" w:hSpace="180" w:wrap="around" w:vAnchor="text" w:hAnchor="page" w:x="8611" w:y="1"/>
        <w:pBdr>
          <w:top w:val="single" w:sz="12" w:space="2" w:color="E20000"/>
          <w:left w:val="single" w:sz="12" w:space="2" w:color="E20000"/>
          <w:bottom w:val="single" w:sz="12" w:space="2" w:color="E20000"/>
          <w:right w:val="single" w:sz="12" w:space="2" w:color="E20000"/>
        </w:pBdr>
        <w:shd w:val="solid" w:color="FFFFFF" w:fill="FFFFFF"/>
        <w:rPr>
          <w:sz w:val="19"/>
          <w:szCs w:val="19"/>
        </w:rPr>
      </w:pPr>
    </w:p>
    <w:p w:rsidR="00E60820" w:rsidRPr="00470D5F" w:rsidRDefault="00D84BC4" w:rsidP="00E60820">
      <w:pPr>
        <w:spacing w:after="60" w:line="240" w:lineRule="auto"/>
        <w:textAlignment w:val="top"/>
        <w:rPr>
          <w:sz w:val="19"/>
          <w:szCs w:val="19"/>
        </w:rPr>
      </w:pPr>
      <w:r w:rsidRPr="00470D5F">
        <w:rPr>
          <w:sz w:val="19"/>
          <w:szCs w:val="19"/>
        </w:rPr>
        <w:object w:dxaOrig="0" w:dyaOrig="0">
          <v:shape id="_x0000_i1140" type="#_x0000_t75" style="width:20.25pt;height:18pt" o:ole="">
            <v:imagedata r:id="rId49" o:title=""/>
          </v:shape>
          <w:control r:id="rId57" w:name="DefaultOcxName6311213122" w:shapeid="_x0000_i1140"/>
        </w:object>
      </w:r>
      <w:r w:rsidR="00E60820">
        <w:rPr>
          <w:sz w:val="19"/>
          <w:szCs w:val="19"/>
        </w:rPr>
        <w:t>gyvenu su tėvais ir (ar) broliais, seserimis (</w:t>
      </w:r>
      <w:r w:rsidR="00E60820" w:rsidRPr="00933984">
        <w:rPr>
          <w:sz w:val="19"/>
          <w:szCs w:val="19"/>
          <w:u w:val="single"/>
        </w:rPr>
        <w:t>nurodykite</w:t>
      </w:r>
      <w:r w:rsidR="00E60820">
        <w:rPr>
          <w:sz w:val="19"/>
          <w:szCs w:val="19"/>
          <w:u w:val="single"/>
        </w:rPr>
        <w:t xml:space="preserve"> tikslų jų skaičių</w:t>
      </w:r>
      <w:r w:rsidR="00E60820">
        <w:rPr>
          <w:sz w:val="19"/>
          <w:szCs w:val="19"/>
        </w:rPr>
        <w:t>)</w:t>
      </w:r>
      <w:r w:rsidR="00E60820" w:rsidRPr="00470D5F">
        <w:rPr>
          <w:sz w:val="19"/>
          <w:szCs w:val="19"/>
        </w:rPr>
        <w:t>;</w:t>
      </w:r>
      <w:r w:rsidR="00E60820">
        <w:rPr>
          <w:sz w:val="19"/>
          <w:szCs w:val="19"/>
        </w:rPr>
        <w:t xml:space="preserve"> </w:t>
      </w:r>
    </w:p>
    <w:p w:rsidR="00E60820" w:rsidRPr="00470D5F" w:rsidRDefault="00D84BC4" w:rsidP="00E60820">
      <w:pPr>
        <w:spacing w:after="60" w:line="240" w:lineRule="auto"/>
        <w:textAlignment w:val="top"/>
        <w:rPr>
          <w:sz w:val="19"/>
          <w:szCs w:val="19"/>
        </w:rPr>
      </w:pPr>
      <w:r w:rsidRPr="00470D5F">
        <w:rPr>
          <w:sz w:val="19"/>
          <w:szCs w:val="19"/>
        </w:rPr>
        <w:object w:dxaOrig="0" w:dyaOrig="0">
          <v:shape id="_x0000_i1143" type="#_x0000_t75" style="width:20.25pt;height:18pt" o:ole="">
            <v:imagedata r:id="rId49" o:title=""/>
          </v:shape>
          <w:control r:id="rId58" w:name="DefaultOcxName631121312" w:shapeid="_x0000_i1143"/>
        </w:object>
      </w:r>
      <w:r w:rsidR="00E60820" w:rsidRPr="00470D5F">
        <w:rPr>
          <w:sz w:val="19"/>
          <w:szCs w:val="19"/>
        </w:rPr>
        <w:t>gyvenu vienas (-a);</w:t>
      </w:r>
    </w:p>
    <w:p w:rsidR="00E60820" w:rsidRPr="00470D5F" w:rsidRDefault="00E60820" w:rsidP="00E60820">
      <w:pPr>
        <w:framePr w:w="2653" w:hSpace="180" w:wrap="around" w:vAnchor="text" w:hAnchor="page" w:x="8611" w:y="1"/>
        <w:pBdr>
          <w:top w:val="single" w:sz="12" w:space="2" w:color="E20000"/>
          <w:left w:val="single" w:sz="12" w:space="2" w:color="E20000"/>
          <w:bottom w:val="single" w:sz="12" w:space="2" w:color="E20000"/>
          <w:right w:val="single" w:sz="12" w:space="2" w:color="E20000"/>
        </w:pBdr>
        <w:shd w:val="solid" w:color="FFFFFF" w:fill="FFFFFF"/>
        <w:rPr>
          <w:sz w:val="19"/>
          <w:szCs w:val="19"/>
        </w:rPr>
      </w:pPr>
    </w:p>
    <w:p w:rsidR="00E60820" w:rsidRPr="00470D5F" w:rsidRDefault="00D84BC4" w:rsidP="00E60820">
      <w:pPr>
        <w:spacing w:after="60" w:line="240" w:lineRule="auto"/>
        <w:textAlignment w:val="top"/>
        <w:rPr>
          <w:sz w:val="19"/>
          <w:szCs w:val="19"/>
        </w:rPr>
      </w:pPr>
      <w:r w:rsidRPr="00470D5F">
        <w:rPr>
          <w:sz w:val="19"/>
          <w:szCs w:val="19"/>
        </w:rPr>
        <w:object w:dxaOrig="0" w:dyaOrig="0">
          <v:shape id="_x0000_i1146" type="#_x0000_t75" style="width:20.25pt;height:18pt" o:ole="">
            <v:imagedata r:id="rId49" o:title=""/>
          </v:shape>
          <w:control r:id="rId59" w:name="DefaultOcxName6311213111" w:shapeid="_x0000_i1146"/>
        </w:object>
      </w:r>
      <w:r w:rsidR="00E60820" w:rsidRPr="00470D5F">
        <w:rPr>
          <w:sz w:val="19"/>
          <w:szCs w:val="19"/>
        </w:rPr>
        <w:t>gyvenu vienas (-a) su vaikais (</w:t>
      </w:r>
      <w:r w:rsidR="00E60820" w:rsidRPr="0074413E">
        <w:rPr>
          <w:sz w:val="19"/>
          <w:szCs w:val="19"/>
          <w:u w:val="single"/>
        </w:rPr>
        <w:t>nurodykite vaikų skaičių</w:t>
      </w:r>
      <w:r w:rsidR="00E60820" w:rsidRPr="00470D5F">
        <w:rPr>
          <w:sz w:val="19"/>
          <w:szCs w:val="19"/>
        </w:rPr>
        <w:t xml:space="preserve">); </w:t>
      </w:r>
    </w:p>
    <w:p w:rsidR="00E60820" w:rsidRPr="00470D5F" w:rsidRDefault="00D84BC4" w:rsidP="00E60820">
      <w:pPr>
        <w:spacing w:after="60" w:line="240" w:lineRule="auto"/>
        <w:textAlignment w:val="top"/>
        <w:rPr>
          <w:sz w:val="19"/>
          <w:szCs w:val="19"/>
        </w:rPr>
      </w:pPr>
      <w:r w:rsidRPr="00470D5F">
        <w:rPr>
          <w:sz w:val="19"/>
          <w:szCs w:val="19"/>
        </w:rPr>
        <w:object w:dxaOrig="0" w:dyaOrig="0">
          <v:shape id="_x0000_i1149" type="#_x0000_t75" style="width:20.25pt;height:18pt" o:ole="">
            <v:imagedata r:id="rId49" o:title=""/>
          </v:shape>
          <w:control r:id="rId60" w:name="DefaultOcxName63421211" w:shapeid="_x0000_i1149"/>
        </w:object>
      </w:r>
      <w:r w:rsidR="00E60820" w:rsidRPr="00470D5F">
        <w:rPr>
          <w:sz w:val="19"/>
          <w:szCs w:val="19"/>
        </w:rPr>
        <w:t>gyvenu su žmona (drauge) / vyru (draugu);</w:t>
      </w:r>
    </w:p>
    <w:p w:rsidR="00E60820" w:rsidRPr="00470D5F" w:rsidRDefault="00E60820" w:rsidP="00E60820">
      <w:pPr>
        <w:framePr w:w="2653" w:hSpace="180" w:wrap="around" w:vAnchor="text" w:hAnchor="page" w:x="8611" w:y="1"/>
        <w:pBdr>
          <w:top w:val="single" w:sz="12" w:space="2" w:color="E20000"/>
          <w:left w:val="single" w:sz="12" w:space="2" w:color="E20000"/>
          <w:bottom w:val="single" w:sz="12" w:space="2" w:color="E20000"/>
          <w:right w:val="single" w:sz="12" w:space="2" w:color="E20000"/>
        </w:pBdr>
        <w:shd w:val="solid" w:color="FFFFFF" w:fill="FFFFFF"/>
        <w:rPr>
          <w:sz w:val="19"/>
          <w:szCs w:val="19"/>
        </w:rPr>
      </w:pPr>
    </w:p>
    <w:p w:rsidR="00E60820" w:rsidRPr="00470D5F" w:rsidRDefault="00D84BC4" w:rsidP="00B86D8C">
      <w:pPr>
        <w:spacing w:after="60" w:line="240" w:lineRule="auto"/>
        <w:textAlignment w:val="top"/>
        <w:rPr>
          <w:sz w:val="19"/>
          <w:szCs w:val="19"/>
        </w:rPr>
      </w:pPr>
      <w:r w:rsidRPr="00470D5F">
        <w:rPr>
          <w:sz w:val="19"/>
          <w:szCs w:val="19"/>
        </w:rPr>
        <w:object w:dxaOrig="0" w:dyaOrig="0">
          <v:shape id="_x0000_i1152" type="#_x0000_t75" style="width:20.25pt;height:18pt" o:ole="">
            <v:imagedata r:id="rId49" o:title=""/>
          </v:shape>
          <w:control r:id="rId61" w:name="DefaultOcxName6342311" w:shapeid="_x0000_i1152"/>
        </w:object>
      </w:r>
      <w:r w:rsidR="00E60820" w:rsidRPr="00470D5F">
        <w:rPr>
          <w:sz w:val="19"/>
          <w:szCs w:val="19"/>
        </w:rPr>
        <w:t>gyvename dviese su vaikais (</w:t>
      </w:r>
      <w:r w:rsidR="00E60820" w:rsidRPr="0074413E">
        <w:rPr>
          <w:sz w:val="19"/>
          <w:szCs w:val="19"/>
          <w:u w:val="single"/>
        </w:rPr>
        <w:t>nurodykite vaikų skaičių</w:t>
      </w:r>
      <w:r w:rsidR="00E60820" w:rsidRPr="00470D5F">
        <w:rPr>
          <w:sz w:val="19"/>
          <w:szCs w:val="19"/>
        </w:rPr>
        <w:t xml:space="preserve">). </w:t>
      </w:r>
    </w:p>
    <w:p w:rsidR="00E60820" w:rsidRDefault="00E60820" w:rsidP="00E60820">
      <w:pPr>
        <w:spacing w:line="240" w:lineRule="auto"/>
        <w:textAlignment w:val="top"/>
        <w:rPr>
          <w:sz w:val="20"/>
        </w:rPr>
      </w:pPr>
      <w:r w:rsidRPr="00FE1A76">
        <w:rPr>
          <w:b/>
          <w:sz w:val="20"/>
        </w:rPr>
        <w:t xml:space="preserve">Jūsų šeimos </w:t>
      </w:r>
      <w:r>
        <w:rPr>
          <w:b/>
          <w:sz w:val="20"/>
        </w:rPr>
        <w:t xml:space="preserve">vidutinės </w:t>
      </w:r>
      <w:r w:rsidRPr="00FE1A76">
        <w:rPr>
          <w:b/>
          <w:sz w:val="20"/>
        </w:rPr>
        <w:t xml:space="preserve">pajamos per </w:t>
      </w:r>
      <w:r w:rsidRPr="00974680">
        <w:rPr>
          <w:b/>
          <w:sz w:val="20"/>
        </w:rPr>
        <w:t>mėnesį „į rankas“</w:t>
      </w:r>
      <w:r>
        <w:rPr>
          <w:sz w:val="20"/>
        </w:rPr>
        <w:t xml:space="preserve"> (su pašalpomis):</w:t>
      </w:r>
    </w:p>
    <w:p w:rsidR="00E60820" w:rsidRPr="00470D5F" w:rsidRDefault="00D84BC4" w:rsidP="00E60820">
      <w:pPr>
        <w:spacing w:after="60" w:line="240" w:lineRule="auto"/>
        <w:textAlignment w:val="top"/>
        <w:rPr>
          <w:sz w:val="19"/>
          <w:szCs w:val="19"/>
        </w:rPr>
      </w:pPr>
      <w:r w:rsidRPr="00470D5F">
        <w:rPr>
          <w:sz w:val="19"/>
          <w:szCs w:val="19"/>
        </w:rPr>
        <w:object w:dxaOrig="0" w:dyaOrig="0">
          <v:shape id="_x0000_i1155" type="#_x0000_t75" style="width:20.25pt;height:18pt" o:ole="">
            <v:imagedata r:id="rId49" o:title=""/>
          </v:shape>
          <w:control r:id="rId62" w:name="DefaultOcxName6311213121" w:shapeid="_x0000_i1155"/>
        </w:object>
      </w:r>
      <w:r w:rsidR="00E60820">
        <w:rPr>
          <w:sz w:val="19"/>
          <w:szCs w:val="19"/>
        </w:rPr>
        <w:t>nuo 350 iki 650 Lt</w:t>
      </w:r>
      <w:r w:rsidR="00E60820" w:rsidRPr="00470D5F">
        <w:rPr>
          <w:sz w:val="19"/>
          <w:szCs w:val="19"/>
        </w:rPr>
        <w:t>;</w:t>
      </w:r>
    </w:p>
    <w:p w:rsidR="00E60820" w:rsidRDefault="00D84BC4" w:rsidP="00E60820">
      <w:pPr>
        <w:spacing w:after="60" w:line="240" w:lineRule="auto"/>
        <w:textAlignment w:val="top"/>
        <w:rPr>
          <w:sz w:val="19"/>
          <w:szCs w:val="19"/>
        </w:rPr>
      </w:pPr>
      <w:r w:rsidRPr="00470D5F">
        <w:rPr>
          <w:sz w:val="19"/>
          <w:szCs w:val="19"/>
        </w:rPr>
        <w:object w:dxaOrig="0" w:dyaOrig="0">
          <v:shape id="_x0000_i1158" type="#_x0000_t75" style="width:20.25pt;height:18pt" o:ole="">
            <v:imagedata r:id="rId49" o:title=""/>
          </v:shape>
          <w:control r:id="rId63" w:name="DefaultOcxName63423111" w:shapeid="_x0000_i1158"/>
        </w:object>
      </w:r>
      <w:r w:rsidR="00E60820">
        <w:rPr>
          <w:sz w:val="19"/>
          <w:szCs w:val="19"/>
        </w:rPr>
        <w:t>nuo 651 iki 1 000 Lt;</w:t>
      </w:r>
    </w:p>
    <w:p w:rsidR="00E60820" w:rsidRPr="00FC0B80" w:rsidRDefault="00D84BC4" w:rsidP="00E60820">
      <w:pPr>
        <w:spacing w:after="60" w:line="240" w:lineRule="auto"/>
        <w:textAlignment w:val="top"/>
        <w:rPr>
          <w:sz w:val="19"/>
          <w:szCs w:val="19"/>
        </w:rPr>
      </w:pPr>
      <w:r w:rsidRPr="00FC0B80">
        <w:rPr>
          <w:sz w:val="19"/>
          <w:szCs w:val="19"/>
        </w:rPr>
        <w:object w:dxaOrig="0" w:dyaOrig="0">
          <v:shape id="_x0000_i1161" type="#_x0000_t75" style="width:20.25pt;height:18pt" o:ole="">
            <v:imagedata r:id="rId49" o:title=""/>
          </v:shape>
          <w:control r:id="rId64" w:name="DefaultOcxName63112131211" w:shapeid="_x0000_i1161"/>
        </w:object>
      </w:r>
      <w:r w:rsidR="00E60820">
        <w:rPr>
          <w:sz w:val="19"/>
          <w:szCs w:val="19"/>
        </w:rPr>
        <w:t>nuo 1 001 iki 1 5</w:t>
      </w:r>
      <w:r w:rsidR="00E60820" w:rsidRPr="00FC0B80">
        <w:rPr>
          <w:sz w:val="19"/>
          <w:szCs w:val="19"/>
        </w:rPr>
        <w:t>00 Lt;</w:t>
      </w:r>
    </w:p>
    <w:p w:rsidR="00E60820" w:rsidRPr="00FC0B80" w:rsidRDefault="00D84BC4" w:rsidP="00E60820">
      <w:pPr>
        <w:spacing w:after="60" w:line="240" w:lineRule="auto"/>
        <w:textAlignment w:val="top"/>
        <w:rPr>
          <w:sz w:val="19"/>
          <w:szCs w:val="19"/>
        </w:rPr>
      </w:pPr>
      <w:r w:rsidRPr="00FC0B80">
        <w:rPr>
          <w:sz w:val="19"/>
          <w:szCs w:val="19"/>
        </w:rPr>
        <w:object w:dxaOrig="0" w:dyaOrig="0">
          <v:shape id="_x0000_i1164" type="#_x0000_t75" style="width:20.25pt;height:18pt" o:ole="">
            <v:imagedata r:id="rId49" o:title=""/>
          </v:shape>
          <w:control r:id="rId65" w:name="DefaultOcxName631121311111" w:shapeid="_x0000_i1164"/>
        </w:object>
      </w:r>
      <w:r w:rsidR="00E60820">
        <w:rPr>
          <w:sz w:val="19"/>
          <w:szCs w:val="19"/>
        </w:rPr>
        <w:t>nuo 1 501 iki 2 0</w:t>
      </w:r>
      <w:r w:rsidR="00E60820" w:rsidRPr="00FC0B80">
        <w:rPr>
          <w:sz w:val="19"/>
          <w:szCs w:val="19"/>
        </w:rPr>
        <w:t xml:space="preserve">00 Lt; </w:t>
      </w:r>
    </w:p>
    <w:p w:rsidR="00E60820" w:rsidRDefault="00D84BC4" w:rsidP="00E60820">
      <w:pPr>
        <w:spacing w:after="60" w:line="240" w:lineRule="auto"/>
        <w:textAlignment w:val="top"/>
        <w:rPr>
          <w:sz w:val="19"/>
          <w:szCs w:val="19"/>
        </w:rPr>
      </w:pPr>
      <w:r w:rsidRPr="00FC0B80">
        <w:rPr>
          <w:sz w:val="19"/>
          <w:szCs w:val="19"/>
        </w:rPr>
        <w:object w:dxaOrig="0" w:dyaOrig="0">
          <v:shape id="_x0000_i1167" type="#_x0000_t75" style="width:20.25pt;height:18pt" o:ole="">
            <v:imagedata r:id="rId49" o:title=""/>
          </v:shape>
          <w:control r:id="rId66" w:name="DefaultOcxName6342121111" w:shapeid="_x0000_i1167"/>
        </w:object>
      </w:r>
      <w:r w:rsidR="00E60820">
        <w:rPr>
          <w:sz w:val="19"/>
          <w:szCs w:val="19"/>
        </w:rPr>
        <w:t>nuo 2 0</w:t>
      </w:r>
      <w:r w:rsidR="00E60820" w:rsidRPr="00FC0B80">
        <w:rPr>
          <w:sz w:val="19"/>
          <w:szCs w:val="19"/>
        </w:rPr>
        <w:t xml:space="preserve">01 iki </w:t>
      </w:r>
      <w:r w:rsidR="00E60820">
        <w:rPr>
          <w:sz w:val="19"/>
          <w:szCs w:val="19"/>
        </w:rPr>
        <w:t>2 5</w:t>
      </w:r>
      <w:r w:rsidR="00E60820" w:rsidRPr="00FC0B80">
        <w:rPr>
          <w:sz w:val="19"/>
          <w:szCs w:val="19"/>
        </w:rPr>
        <w:t>00 Lt;</w:t>
      </w:r>
    </w:p>
    <w:p w:rsidR="00E60820" w:rsidRPr="00FC0B80" w:rsidRDefault="00D84BC4" w:rsidP="00E60820">
      <w:pPr>
        <w:spacing w:after="60" w:line="240" w:lineRule="auto"/>
        <w:textAlignment w:val="top"/>
        <w:rPr>
          <w:sz w:val="19"/>
          <w:szCs w:val="19"/>
        </w:rPr>
      </w:pPr>
      <w:r w:rsidRPr="00FC0B80">
        <w:rPr>
          <w:sz w:val="19"/>
          <w:szCs w:val="19"/>
        </w:rPr>
        <w:object w:dxaOrig="0" w:dyaOrig="0">
          <v:shape id="_x0000_i1170" type="#_x0000_t75" style="width:20.25pt;height:18pt" o:ole="">
            <v:imagedata r:id="rId49" o:title=""/>
          </v:shape>
          <w:control r:id="rId67" w:name="DefaultOcxName63421211111" w:shapeid="_x0000_i1170"/>
        </w:object>
      </w:r>
      <w:r w:rsidR="00E60820">
        <w:rPr>
          <w:sz w:val="19"/>
          <w:szCs w:val="19"/>
        </w:rPr>
        <w:t>nuo 2 5</w:t>
      </w:r>
      <w:r w:rsidR="00E60820" w:rsidRPr="00FC0B80">
        <w:rPr>
          <w:sz w:val="19"/>
          <w:szCs w:val="19"/>
        </w:rPr>
        <w:t xml:space="preserve">01 iki </w:t>
      </w:r>
      <w:r w:rsidR="00E60820">
        <w:rPr>
          <w:sz w:val="19"/>
          <w:szCs w:val="19"/>
        </w:rPr>
        <w:t>3 0</w:t>
      </w:r>
      <w:r w:rsidR="00E60820" w:rsidRPr="00FC0B80">
        <w:rPr>
          <w:sz w:val="19"/>
          <w:szCs w:val="19"/>
        </w:rPr>
        <w:t>00 Lt;</w:t>
      </w:r>
    </w:p>
    <w:p w:rsidR="00E60820" w:rsidRPr="00FC0B80" w:rsidRDefault="00D84BC4" w:rsidP="00E60820">
      <w:pPr>
        <w:spacing w:after="60" w:line="240" w:lineRule="auto"/>
        <w:textAlignment w:val="top"/>
        <w:rPr>
          <w:sz w:val="19"/>
          <w:szCs w:val="19"/>
        </w:rPr>
      </w:pPr>
      <w:r w:rsidRPr="00FC0B80">
        <w:rPr>
          <w:sz w:val="19"/>
          <w:szCs w:val="19"/>
        </w:rPr>
        <w:object w:dxaOrig="0" w:dyaOrig="0">
          <v:shape id="_x0000_i1173" type="#_x0000_t75" style="width:20.25pt;height:18pt" o:ole="">
            <v:imagedata r:id="rId49" o:title=""/>
          </v:shape>
          <w:control r:id="rId68" w:name="DefaultOcxName6342311111" w:shapeid="_x0000_i1173"/>
        </w:object>
      </w:r>
      <w:r w:rsidR="00E60820">
        <w:rPr>
          <w:sz w:val="19"/>
          <w:szCs w:val="19"/>
        </w:rPr>
        <w:t>didesnės negu 3</w:t>
      </w:r>
      <w:r w:rsidR="00E60820" w:rsidRPr="00FC0B80">
        <w:rPr>
          <w:sz w:val="19"/>
          <w:szCs w:val="19"/>
        </w:rPr>
        <w:t> 000 Lt.</w:t>
      </w:r>
    </w:p>
    <w:p w:rsidR="00E60820" w:rsidRDefault="00E60820" w:rsidP="00E60820">
      <w:pPr>
        <w:pStyle w:val="Referatai"/>
        <w:spacing w:line="240" w:lineRule="auto"/>
        <w:ind w:left="533" w:firstLine="0"/>
        <w:rPr>
          <w:sz w:val="20"/>
          <w:szCs w:val="20"/>
        </w:rPr>
      </w:pPr>
      <w:r>
        <w:rPr>
          <w:b/>
          <w:sz w:val="20"/>
          <w:szCs w:val="20"/>
        </w:rPr>
        <w:t xml:space="preserve">Jūsų sukauptas darbo stažas </w:t>
      </w:r>
      <w:r w:rsidRPr="0015243D">
        <w:rPr>
          <w:sz w:val="20"/>
          <w:szCs w:val="20"/>
        </w:rPr>
        <w:t>(patirtis)</w:t>
      </w:r>
      <w:r>
        <w:rPr>
          <w:sz w:val="20"/>
          <w:szCs w:val="20"/>
        </w:rPr>
        <w:t>:</w:t>
      </w:r>
    </w:p>
    <w:p w:rsidR="00E60820" w:rsidRPr="00470D5F" w:rsidRDefault="00D84BC4" w:rsidP="00E60820">
      <w:pPr>
        <w:spacing w:after="60" w:line="240" w:lineRule="auto"/>
        <w:textAlignment w:val="top"/>
        <w:rPr>
          <w:sz w:val="19"/>
          <w:szCs w:val="19"/>
        </w:rPr>
      </w:pPr>
      <w:r w:rsidRPr="00470D5F">
        <w:rPr>
          <w:sz w:val="19"/>
          <w:szCs w:val="19"/>
        </w:rPr>
        <w:object w:dxaOrig="0" w:dyaOrig="0">
          <v:shape id="_x0000_i1176" type="#_x0000_t75" style="width:20.25pt;height:18pt" o:ole="">
            <v:imagedata r:id="rId49" o:title=""/>
          </v:shape>
          <w:control r:id="rId69" w:name="DefaultOcxName63112131" w:shapeid="_x0000_i1176"/>
        </w:object>
      </w:r>
      <w:r w:rsidR="00E60820" w:rsidRPr="00470D5F">
        <w:rPr>
          <w:sz w:val="19"/>
          <w:szCs w:val="19"/>
        </w:rPr>
        <w:t>neturiu jokios darbo patirties;</w:t>
      </w:r>
    </w:p>
    <w:p w:rsidR="00E60820" w:rsidRPr="00470D5F" w:rsidRDefault="00D84BC4" w:rsidP="00E60820">
      <w:pPr>
        <w:spacing w:after="60" w:line="240" w:lineRule="auto"/>
        <w:textAlignment w:val="top"/>
        <w:rPr>
          <w:sz w:val="19"/>
          <w:szCs w:val="19"/>
        </w:rPr>
      </w:pPr>
      <w:r w:rsidRPr="00470D5F">
        <w:rPr>
          <w:sz w:val="19"/>
          <w:szCs w:val="19"/>
        </w:rPr>
        <w:object w:dxaOrig="0" w:dyaOrig="0">
          <v:shape id="_x0000_i1179" type="#_x0000_t75" style="width:20.25pt;height:18pt" o:ole="">
            <v:imagedata r:id="rId49" o:title=""/>
          </v:shape>
          <w:control r:id="rId70" w:name="DefaultOcxName631121311" w:shapeid="_x0000_i1179"/>
        </w:object>
      </w:r>
      <w:r w:rsidR="00E60820" w:rsidRPr="00470D5F">
        <w:rPr>
          <w:sz w:val="19"/>
          <w:szCs w:val="19"/>
        </w:rPr>
        <w:t>mažesnis negu 1,5 metų;</w:t>
      </w:r>
    </w:p>
    <w:p w:rsidR="00E60820" w:rsidRPr="00470D5F" w:rsidRDefault="00D84BC4" w:rsidP="00E60820">
      <w:pPr>
        <w:spacing w:after="60" w:line="240" w:lineRule="auto"/>
        <w:textAlignment w:val="top"/>
        <w:rPr>
          <w:sz w:val="19"/>
          <w:szCs w:val="19"/>
        </w:rPr>
      </w:pPr>
      <w:r w:rsidRPr="00470D5F">
        <w:rPr>
          <w:sz w:val="19"/>
          <w:szCs w:val="19"/>
        </w:rPr>
        <w:object w:dxaOrig="0" w:dyaOrig="0">
          <v:shape id="_x0000_i1182" type="#_x0000_t75" style="width:20.25pt;height:18pt" o:ole="">
            <v:imagedata r:id="rId49" o:title=""/>
          </v:shape>
          <w:control r:id="rId71" w:name="DefaultOcxName6342121" w:shapeid="_x0000_i1182"/>
        </w:object>
      </w:r>
      <w:r w:rsidR="00E60820" w:rsidRPr="00470D5F">
        <w:rPr>
          <w:sz w:val="19"/>
          <w:szCs w:val="19"/>
        </w:rPr>
        <w:t>nuo 1,5 iki 25 metų;</w:t>
      </w:r>
    </w:p>
    <w:p w:rsidR="00E60820" w:rsidRPr="00470D5F" w:rsidRDefault="00D84BC4" w:rsidP="00E60820">
      <w:pPr>
        <w:spacing w:after="60" w:line="240" w:lineRule="auto"/>
        <w:textAlignment w:val="top"/>
        <w:rPr>
          <w:sz w:val="19"/>
          <w:szCs w:val="19"/>
        </w:rPr>
      </w:pPr>
      <w:r w:rsidRPr="00470D5F">
        <w:rPr>
          <w:sz w:val="19"/>
          <w:szCs w:val="19"/>
        </w:rPr>
        <w:object w:dxaOrig="0" w:dyaOrig="0">
          <v:shape id="_x0000_i1185" type="#_x0000_t75" style="width:20.25pt;height:18pt" o:ole="">
            <v:imagedata r:id="rId49" o:title=""/>
          </v:shape>
          <w:control r:id="rId72" w:name="DefaultOcxName6432121" w:shapeid="_x0000_i1185"/>
        </w:object>
      </w:r>
      <w:r w:rsidR="00E60820" w:rsidRPr="00470D5F">
        <w:rPr>
          <w:sz w:val="19"/>
          <w:szCs w:val="19"/>
        </w:rPr>
        <w:t>nuo 25 iki 30 metų;</w:t>
      </w:r>
    </w:p>
    <w:p w:rsidR="00E60820" w:rsidRPr="00470D5F" w:rsidRDefault="00D84BC4" w:rsidP="00E60820">
      <w:pPr>
        <w:spacing w:after="60" w:line="240" w:lineRule="auto"/>
        <w:textAlignment w:val="top"/>
        <w:rPr>
          <w:sz w:val="19"/>
          <w:szCs w:val="19"/>
        </w:rPr>
      </w:pPr>
      <w:r w:rsidRPr="00470D5F">
        <w:rPr>
          <w:sz w:val="19"/>
          <w:szCs w:val="19"/>
        </w:rPr>
        <w:object w:dxaOrig="0" w:dyaOrig="0">
          <v:shape id="_x0000_i1188" type="#_x0000_t75" style="width:20.25pt;height:18pt" o:ole="">
            <v:imagedata r:id="rId49" o:title=""/>
          </v:shape>
          <w:control r:id="rId73" w:name="DefaultOcxName634231" w:shapeid="_x0000_i1188"/>
        </w:object>
      </w:r>
      <w:r w:rsidR="00E60820" w:rsidRPr="00470D5F">
        <w:rPr>
          <w:sz w:val="19"/>
          <w:szCs w:val="19"/>
        </w:rPr>
        <w:t>nuo 30 iki 35 metų;</w:t>
      </w:r>
    </w:p>
    <w:p w:rsidR="00E60820" w:rsidRDefault="00D84BC4" w:rsidP="00E60820">
      <w:pPr>
        <w:spacing w:after="60" w:line="240" w:lineRule="auto"/>
        <w:textAlignment w:val="top"/>
        <w:rPr>
          <w:sz w:val="19"/>
          <w:szCs w:val="19"/>
        </w:rPr>
      </w:pPr>
      <w:r w:rsidRPr="00470D5F">
        <w:rPr>
          <w:sz w:val="19"/>
          <w:szCs w:val="19"/>
        </w:rPr>
        <w:object w:dxaOrig="0" w:dyaOrig="0">
          <v:shape id="_x0000_i1191" type="#_x0000_t75" style="width:20.25pt;height:18pt" o:ole="">
            <v:imagedata r:id="rId49" o:title=""/>
          </v:shape>
          <w:control r:id="rId74" w:name="DefaultOcxName64324" w:shapeid="_x0000_i1191"/>
        </w:object>
      </w:r>
      <w:r w:rsidR="00E60820">
        <w:rPr>
          <w:sz w:val="19"/>
          <w:szCs w:val="19"/>
        </w:rPr>
        <w:t>didesnis negu 35 metai.</w:t>
      </w:r>
    </w:p>
    <w:p w:rsidR="00E60820" w:rsidRPr="00F15C25" w:rsidRDefault="00E60820" w:rsidP="00E60820">
      <w:pPr>
        <w:pBdr>
          <w:bottom w:val="thickThinSmallGap" w:sz="24" w:space="1" w:color="auto"/>
        </w:pBdr>
        <w:spacing w:after="60"/>
        <w:textAlignment w:val="top"/>
        <w:rPr>
          <w:sz w:val="6"/>
          <w:szCs w:val="6"/>
        </w:rPr>
      </w:pPr>
    </w:p>
    <w:p w:rsidR="00E60820" w:rsidRPr="006E76B0" w:rsidRDefault="00E60820" w:rsidP="00E60820">
      <w:pPr>
        <w:pStyle w:val="Referatai"/>
        <w:pBdr>
          <w:top w:val="thinThickSmallGap" w:sz="24" w:space="1" w:color="auto"/>
        </w:pBdr>
        <w:spacing w:line="240" w:lineRule="auto"/>
        <w:ind w:firstLine="0"/>
        <w:rPr>
          <w:b/>
          <w:sz w:val="4"/>
          <w:szCs w:val="4"/>
        </w:rPr>
      </w:pPr>
    </w:p>
    <w:p w:rsidR="00E60820" w:rsidRPr="00E0139B" w:rsidRDefault="00E60820" w:rsidP="001F0D24">
      <w:pPr>
        <w:pStyle w:val="Referatai"/>
        <w:spacing w:line="240" w:lineRule="auto"/>
        <w:ind w:left="533" w:firstLine="0"/>
        <w:rPr>
          <w:sz w:val="20"/>
          <w:szCs w:val="20"/>
        </w:rPr>
      </w:pPr>
      <w:r>
        <w:rPr>
          <w:b/>
          <w:sz w:val="20"/>
          <w:szCs w:val="20"/>
        </w:rPr>
        <w:t>Nurodykite, k</w:t>
      </w:r>
      <w:r w:rsidRPr="00892ABC">
        <w:rPr>
          <w:b/>
          <w:sz w:val="20"/>
          <w:szCs w:val="20"/>
        </w:rPr>
        <w:t xml:space="preserve">aip </w:t>
      </w:r>
      <w:r>
        <w:rPr>
          <w:b/>
          <w:sz w:val="20"/>
          <w:szCs w:val="20"/>
        </w:rPr>
        <w:t>ilgai gaunate bedarbio pašalpą / socialinę paramą</w:t>
      </w:r>
      <w:r>
        <w:rPr>
          <w:sz w:val="20"/>
          <w:szCs w:val="20"/>
        </w:rPr>
        <w:t>:</w:t>
      </w:r>
    </w:p>
    <w:p w:rsidR="00E60820" w:rsidRPr="00470D5F" w:rsidRDefault="00D84BC4" w:rsidP="00B86D8C">
      <w:pPr>
        <w:spacing w:after="60" w:line="240" w:lineRule="auto"/>
        <w:textAlignment w:val="top"/>
        <w:rPr>
          <w:sz w:val="19"/>
          <w:szCs w:val="19"/>
        </w:rPr>
      </w:pPr>
      <w:r w:rsidRPr="00470D5F">
        <w:rPr>
          <w:sz w:val="19"/>
          <w:szCs w:val="19"/>
        </w:rPr>
        <w:object w:dxaOrig="0" w:dyaOrig="0">
          <v:shape id="_x0000_i1194" type="#_x0000_t75" style="width:20.25pt;height:18pt" o:ole="">
            <v:imagedata r:id="rId49" o:title=""/>
          </v:shape>
          <w:control r:id="rId75" w:name="DefaultOcxName6311213" w:shapeid="_x0000_i1194"/>
        </w:object>
      </w:r>
      <w:r w:rsidR="00E60820" w:rsidRPr="00470D5F">
        <w:rPr>
          <w:sz w:val="19"/>
          <w:szCs w:val="19"/>
        </w:rPr>
        <w:t>daugiau nei 1 mėnesį;</w:t>
      </w:r>
    </w:p>
    <w:p w:rsidR="00E60820" w:rsidRPr="00470D5F" w:rsidRDefault="00D84BC4" w:rsidP="00B86D8C">
      <w:pPr>
        <w:spacing w:after="60" w:line="240" w:lineRule="auto"/>
        <w:textAlignment w:val="top"/>
        <w:rPr>
          <w:sz w:val="19"/>
          <w:szCs w:val="19"/>
        </w:rPr>
      </w:pPr>
      <w:r w:rsidRPr="00470D5F">
        <w:rPr>
          <w:sz w:val="19"/>
          <w:szCs w:val="19"/>
        </w:rPr>
        <w:object w:dxaOrig="0" w:dyaOrig="0">
          <v:shape id="_x0000_i1197" type="#_x0000_t75" style="width:20.25pt;height:18pt" o:ole="">
            <v:imagedata r:id="rId49" o:title=""/>
          </v:shape>
          <w:control r:id="rId76" w:name="DefaultOcxName634212" w:shapeid="_x0000_i1197"/>
        </w:object>
      </w:r>
      <w:r w:rsidR="00E60820" w:rsidRPr="00470D5F">
        <w:rPr>
          <w:sz w:val="19"/>
          <w:szCs w:val="19"/>
        </w:rPr>
        <w:t>nuo 1 iki 3 mėnesių;</w:t>
      </w:r>
    </w:p>
    <w:p w:rsidR="00E60820" w:rsidRPr="00470D5F" w:rsidRDefault="00D84BC4" w:rsidP="00B86D8C">
      <w:pPr>
        <w:spacing w:after="60" w:line="240" w:lineRule="auto"/>
        <w:textAlignment w:val="top"/>
        <w:rPr>
          <w:sz w:val="19"/>
          <w:szCs w:val="19"/>
        </w:rPr>
      </w:pPr>
      <w:r w:rsidRPr="00470D5F">
        <w:rPr>
          <w:sz w:val="19"/>
          <w:szCs w:val="19"/>
        </w:rPr>
        <w:object w:dxaOrig="0" w:dyaOrig="0">
          <v:shape id="_x0000_i1200" type="#_x0000_t75" style="width:20.25pt;height:18pt" o:ole="">
            <v:imagedata r:id="rId49" o:title=""/>
          </v:shape>
          <w:control r:id="rId77" w:name="DefaultOcxName643212" w:shapeid="_x0000_i1200"/>
        </w:object>
      </w:r>
      <w:r w:rsidR="00E60820" w:rsidRPr="00470D5F">
        <w:rPr>
          <w:sz w:val="19"/>
          <w:szCs w:val="19"/>
        </w:rPr>
        <w:t>nuo 3 iki 6 mėnesių;</w:t>
      </w:r>
    </w:p>
    <w:p w:rsidR="00E60820" w:rsidRPr="00470D5F" w:rsidRDefault="00D84BC4" w:rsidP="00B86D8C">
      <w:pPr>
        <w:spacing w:after="60" w:line="240" w:lineRule="auto"/>
        <w:textAlignment w:val="top"/>
        <w:rPr>
          <w:sz w:val="19"/>
          <w:szCs w:val="19"/>
        </w:rPr>
      </w:pPr>
      <w:r w:rsidRPr="00470D5F">
        <w:rPr>
          <w:sz w:val="19"/>
          <w:szCs w:val="19"/>
        </w:rPr>
        <w:object w:dxaOrig="0" w:dyaOrig="0">
          <v:shape id="_x0000_i1203" type="#_x0000_t75" style="width:20.25pt;height:18pt" o:ole="">
            <v:imagedata r:id="rId49" o:title=""/>
          </v:shape>
          <w:control r:id="rId78" w:name="DefaultOcxName63423" w:shapeid="_x0000_i1203"/>
        </w:object>
      </w:r>
      <w:r w:rsidR="00E60820" w:rsidRPr="00470D5F">
        <w:rPr>
          <w:sz w:val="19"/>
          <w:szCs w:val="19"/>
        </w:rPr>
        <w:t>nuo 6 mėnesių iki metų;</w:t>
      </w:r>
    </w:p>
    <w:p w:rsidR="00E60820" w:rsidRDefault="00D84BC4" w:rsidP="00B86D8C">
      <w:pPr>
        <w:spacing w:after="60" w:line="240" w:lineRule="auto"/>
        <w:textAlignment w:val="top"/>
        <w:rPr>
          <w:sz w:val="19"/>
          <w:szCs w:val="19"/>
        </w:rPr>
      </w:pPr>
      <w:r w:rsidRPr="00470D5F">
        <w:rPr>
          <w:sz w:val="19"/>
          <w:szCs w:val="19"/>
        </w:rPr>
        <w:object w:dxaOrig="0" w:dyaOrig="0">
          <v:shape id="_x0000_i1206" type="#_x0000_t75" style="width:20.25pt;height:18pt" o:ole="">
            <v:imagedata r:id="rId49" o:title=""/>
          </v:shape>
          <w:control r:id="rId79" w:name="DefaultOcxName6432" w:shapeid="_x0000_i1206"/>
        </w:object>
      </w:r>
      <w:r w:rsidR="00E60820" w:rsidRPr="00470D5F">
        <w:rPr>
          <w:sz w:val="19"/>
          <w:szCs w:val="19"/>
        </w:rPr>
        <w:t>daugiau kaip metus.</w:t>
      </w:r>
    </w:p>
    <w:p w:rsidR="00E60820" w:rsidRPr="0073598B" w:rsidRDefault="00E60820" w:rsidP="001F0D24">
      <w:pPr>
        <w:spacing w:line="240" w:lineRule="auto"/>
        <w:textAlignment w:val="top"/>
        <w:rPr>
          <w:sz w:val="20"/>
        </w:rPr>
      </w:pPr>
      <w:r w:rsidRPr="0073598B">
        <w:rPr>
          <w:b/>
          <w:sz w:val="20"/>
        </w:rPr>
        <w:t>Ar esate patenkintas gaunama bedarbio pašalpa</w:t>
      </w:r>
      <w:r>
        <w:rPr>
          <w:b/>
          <w:sz w:val="20"/>
        </w:rPr>
        <w:t> / socialine parama, jų</w:t>
      </w:r>
      <w:r w:rsidRPr="0073598B">
        <w:rPr>
          <w:b/>
          <w:sz w:val="20"/>
        </w:rPr>
        <w:t xml:space="preserve"> mokėjimo trukme?</w:t>
      </w:r>
    </w:p>
    <w:p w:rsidR="00E60820" w:rsidRPr="00470D5F" w:rsidRDefault="00D84BC4" w:rsidP="00B86D8C">
      <w:pPr>
        <w:spacing w:after="60" w:line="240" w:lineRule="auto"/>
        <w:textAlignment w:val="top"/>
        <w:rPr>
          <w:sz w:val="19"/>
          <w:szCs w:val="19"/>
        </w:rPr>
      </w:pPr>
      <w:r w:rsidRPr="00470D5F">
        <w:rPr>
          <w:sz w:val="19"/>
          <w:szCs w:val="19"/>
        </w:rPr>
        <w:object w:dxaOrig="0" w:dyaOrig="0">
          <v:shape id="_x0000_i1209" type="#_x0000_t75" style="width:20.25pt;height:18pt" o:ole="">
            <v:imagedata r:id="rId49" o:title=""/>
          </v:shape>
          <w:control r:id="rId80" w:name="DefaultOcxName63112132" w:shapeid="_x0000_i1209"/>
        </w:object>
      </w:r>
      <w:r w:rsidR="00E60820">
        <w:rPr>
          <w:sz w:val="19"/>
          <w:szCs w:val="19"/>
        </w:rPr>
        <w:t>taip, patenkintas</w:t>
      </w:r>
      <w:r w:rsidR="00E60820" w:rsidRPr="00470D5F">
        <w:rPr>
          <w:sz w:val="19"/>
          <w:szCs w:val="19"/>
        </w:rPr>
        <w:t>;</w:t>
      </w:r>
    </w:p>
    <w:p w:rsidR="00E60820" w:rsidRDefault="00D84BC4" w:rsidP="00B86D8C">
      <w:pPr>
        <w:spacing w:after="60" w:line="240" w:lineRule="auto"/>
        <w:textAlignment w:val="top"/>
        <w:rPr>
          <w:sz w:val="19"/>
          <w:szCs w:val="19"/>
        </w:rPr>
      </w:pPr>
      <w:r w:rsidRPr="00470D5F">
        <w:rPr>
          <w:sz w:val="19"/>
          <w:szCs w:val="19"/>
        </w:rPr>
        <w:object w:dxaOrig="0" w:dyaOrig="0">
          <v:shape id="_x0000_i1212" type="#_x0000_t75" style="width:20.25pt;height:18pt" o:ole="">
            <v:imagedata r:id="rId49" o:title=""/>
          </v:shape>
          <w:control r:id="rId81" w:name="DefaultOcxName6342122" w:shapeid="_x0000_i1212"/>
        </w:object>
      </w:r>
      <w:r w:rsidR="00E60820">
        <w:rPr>
          <w:sz w:val="19"/>
          <w:szCs w:val="19"/>
        </w:rPr>
        <w:t>ne, nepatenkintas*.</w:t>
      </w:r>
    </w:p>
    <w:p w:rsidR="00E60820" w:rsidRPr="00470D5F" w:rsidRDefault="00E60820" w:rsidP="00E60820">
      <w:pPr>
        <w:framePr w:w="9879" w:h="802" w:hRule="exact" w:hSpace="180" w:wrap="around" w:vAnchor="text" w:hAnchor="page" w:x="1373" w:y="1"/>
        <w:pBdr>
          <w:top w:val="single" w:sz="12" w:space="2" w:color="E20000"/>
          <w:left w:val="single" w:sz="12" w:space="2" w:color="E20000"/>
          <w:bottom w:val="single" w:sz="12" w:space="2" w:color="E20000"/>
          <w:right w:val="single" w:sz="12" w:space="2" w:color="E20000"/>
        </w:pBdr>
        <w:shd w:val="solid" w:color="FFFFFF" w:fill="FFFFFF"/>
        <w:rPr>
          <w:sz w:val="19"/>
          <w:szCs w:val="19"/>
        </w:rPr>
      </w:pPr>
      <w:r w:rsidRPr="00CE7C66">
        <w:rPr>
          <w:sz w:val="19"/>
          <w:szCs w:val="19"/>
        </w:rPr>
        <w:t>*</w:t>
      </w:r>
      <w:r w:rsidRPr="005C44F3">
        <w:rPr>
          <w:sz w:val="19"/>
          <w:szCs w:val="19"/>
          <w:u w:val="single"/>
        </w:rPr>
        <w:t>Pakomentuokite</w:t>
      </w:r>
      <w:r>
        <w:rPr>
          <w:sz w:val="19"/>
          <w:szCs w:val="19"/>
        </w:rPr>
        <w:t>:</w:t>
      </w:r>
    </w:p>
    <w:p w:rsidR="00E60820" w:rsidRPr="00350BC0" w:rsidRDefault="00E60820" w:rsidP="00E60820">
      <w:pPr>
        <w:pStyle w:val="Referatai"/>
        <w:ind w:left="547" w:firstLine="0"/>
        <w:rPr>
          <w:b/>
          <w:color w:val="EA0000"/>
          <w:sz w:val="19"/>
          <w:szCs w:val="19"/>
          <w:u w:val="single"/>
        </w:rPr>
      </w:pPr>
      <w:r w:rsidRPr="00350BC0">
        <w:rPr>
          <w:b/>
          <w:color w:val="EA0000"/>
          <w:sz w:val="19"/>
          <w:szCs w:val="19"/>
          <w:u w:val="single"/>
        </w:rPr>
        <w:t>VIDINIŲ VEIKSNIŲ ĮVERTINIMAS</w:t>
      </w:r>
    </w:p>
    <w:p w:rsidR="00E60820" w:rsidRPr="00D35A44" w:rsidRDefault="00E60820" w:rsidP="00E60820">
      <w:pPr>
        <w:pStyle w:val="Referatai"/>
        <w:ind w:firstLine="562"/>
        <w:rPr>
          <w:sz w:val="19"/>
          <w:szCs w:val="19"/>
        </w:rPr>
      </w:pPr>
      <w:r w:rsidRPr="00D35A44">
        <w:rPr>
          <w:b/>
          <w:i/>
          <w:sz w:val="19"/>
          <w:szCs w:val="19"/>
        </w:rPr>
        <w:t>Įvertinkite penkių balų skale</w:t>
      </w:r>
      <w:r w:rsidRPr="00D35A44">
        <w:rPr>
          <w:i/>
          <w:sz w:val="19"/>
          <w:szCs w:val="19"/>
        </w:rPr>
        <w:t>, kiek sutinkate su nurodytu teiginiu</w:t>
      </w:r>
      <w:r>
        <w:rPr>
          <w:i/>
          <w:sz w:val="19"/>
          <w:szCs w:val="19"/>
        </w:rPr>
        <w:t xml:space="preserve"> (kiek tai aktualu Jūsų gyvenime)</w:t>
      </w:r>
      <w:r w:rsidRPr="00D35A44">
        <w:rPr>
          <w:i/>
          <w:sz w:val="19"/>
          <w:szCs w:val="19"/>
        </w:rPr>
        <w:t xml:space="preserve">, </w:t>
      </w:r>
      <w:r>
        <w:rPr>
          <w:i/>
          <w:sz w:val="19"/>
          <w:szCs w:val="19"/>
        </w:rPr>
        <w:t>kur: 1 – visiškai sutinku; 2 – sutinku; 3 – nei sutinku, nei nesutinku; 4 – nesutinku; 5 – visiškai nesutinku.</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9369"/>
        <w:gridCol w:w="665"/>
      </w:tblGrid>
      <w:tr w:rsidR="00E60820" w:rsidRPr="00CE48FA" w:rsidTr="00CE48FA">
        <w:trPr>
          <w:trHeight w:val="177"/>
        </w:trPr>
        <w:tc>
          <w:tcPr>
            <w:tcW w:w="9369" w:type="dxa"/>
            <w:tcBorders>
              <w:top w:val="single" w:sz="12" w:space="0" w:color="auto"/>
              <w:bottom w:val="single" w:sz="12" w:space="0" w:color="auto"/>
              <w:right w:val="single" w:sz="12" w:space="0" w:color="auto"/>
            </w:tcBorders>
            <w:shd w:val="clear" w:color="auto" w:fill="BFBFBF"/>
          </w:tcPr>
          <w:p w:rsidR="00E60820" w:rsidRPr="00CE48FA" w:rsidRDefault="00E60820" w:rsidP="00CE48FA">
            <w:pPr>
              <w:pStyle w:val="Referatai"/>
              <w:spacing w:after="0" w:line="240" w:lineRule="auto"/>
              <w:ind w:firstLine="0"/>
              <w:jc w:val="center"/>
              <w:rPr>
                <w:rFonts w:cs="Times New Roman"/>
                <w:b/>
                <w:sz w:val="18"/>
                <w:szCs w:val="18"/>
              </w:rPr>
            </w:pPr>
            <w:r w:rsidRPr="00CE48FA">
              <w:rPr>
                <w:rFonts w:cs="Times New Roman"/>
                <w:b/>
                <w:sz w:val="18"/>
                <w:szCs w:val="18"/>
              </w:rPr>
              <w:t>VIDINIAI VEIKSNIAI</w:t>
            </w:r>
          </w:p>
        </w:tc>
        <w:tc>
          <w:tcPr>
            <w:tcW w:w="665" w:type="dxa"/>
            <w:tcBorders>
              <w:top w:val="single" w:sz="12" w:space="0" w:color="auto"/>
              <w:left w:val="single" w:sz="12" w:space="0" w:color="auto"/>
              <w:bottom w:val="single" w:sz="12" w:space="0" w:color="auto"/>
            </w:tcBorders>
            <w:shd w:val="clear" w:color="auto" w:fill="BFBFBF"/>
          </w:tcPr>
          <w:p w:rsidR="00E60820" w:rsidRPr="00CE48FA" w:rsidRDefault="00E60820" w:rsidP="00CE48FA">
            <w:pPr>
              <w:pStyle w:val="Referatai"/>
              <w:tabs>
                <w:tab w:val="left" w:pos="324"/>
              </w:tabs>
              <w:spacing w:after="0" w:line="240" w:lineRule="auto"/>
              <w:ind w:firstLine="0"/>
              <w:rPr>
                <w:rFonts w:cs="Times New Roman"/>
                <w:b/>
                <w:sz w:val="18"/>
                <w:szCs w:val="18"/>
              </w:rPr>
            </w:pPr>
            <w:r w:rsidRPr="00CE48FA">
              <w:rPr>
                <w:rFonts w:cs="Times New Roman"/>
                <w:b/>
                <w:sz w:val="18"/>
                <w:szCs w:val="18"/>
              </w:rPr>
              <w:t>Įvert.</w:t>
            </w:r>
          </w:p>
        </w:tc>
      </w:tr>
      <w:tr w:rsidR="00E60820" w:rsidRPr="00CE48FA" w:rsidTr="00E60820">
        <w:tc>
          <w:tcPr>
            <w:tcW w:w="9369" w:type="dxa"/>
            <w:tcBorders>
              <w:top w:val="single" w:sz="12" w:space="0" w:color="auto"/>
              <w:bottom w:val="single" w:sz="6" w:space="0" w:color="auto"/>
              <w:right w:val="single" w:sz="12" w:space="0" w:color="auto"/>
            </w:tcBorders>
            <w:shd w:val="clear" w:color="auto" w:fill="B8CCE4"/>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rPr>
              <w:t xml:space="preserve">Pašalpos nieko nekainuoja, todėl </w:t>
            </w:r>
            <w:r w:rsidRPr="00CE48FA">
              <w:rPr>
                <w:rFonts w:cs="Times New Roman"/>
                <w:i/>
                <w:sz w:val="18"/>
                <w:szCs w:val="18"/>
                <w:u w:val="single"/>
              </w:rPr>
              <w:t>reikia įdėti visas pastangas</w:t>
            </w:r>
            <w:r w:rsidRPr="00CE48FA">
              <w:rPr>
                <w:rFonts w:cs="Times New Roman"/>
                <w:i/>
                <w:sz w:val="18"/>
                <w:szCs w:val="18"/>
              </w:rPr>
              <w:t>, kad jas gautum</w:t>
            </w:r>
          </w:p>
        </w:tc>
        <w:tc>
          <w:tcPr>
            <w:tcW w:w="665" w:type="dxa"/>
            <w:tcBorders>
              <w:top w:val="single" w:sz="12" w:space="0" w:color="auto"/>
              <w:left w:val="single" w:sz="12" w:space="0" w:color="auto"/>
              <w:bottom w:val="single" w:sz="6" w:space="0" w:color="auto"/>
            </w:tcBorders>
            <w:shd w:val="clear" w:color="auto" w:fill="B8CCE4"/>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69" w:type="dxa"/>
            <w:tcBorders>
              <w:top w:val="single" w:sz="6" w:space="0" w:color="auto"/>
              <w:bottom w:val="single" w:sz="6" w:space="0" w:color="auto"/>
              <w:right w:val="single" w:sz="12" w:space="0" w:color="auto"/>
            </w:tcBorders>
            <w:shd w:val="clear" w:color="auto" w:fill="B8CCE4"/>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rPr>
              <w:t xml:space="preserve">Žmogumi pirmiausia turi rūpintis valstybė, todėl ji privalo mokėti </w:t>
            </w:r>
            <w:r w:rsidRPr="00CE48FA">
              <w:rPr>
                <w:rFonts w:cs="Times New Roman"/>
                <w:i/>
                <w:sz w:val="18"/>
                <w:szCs w:val="18"/>
                <w:u w:val="single"/>
              </w:rPr>
              <w:t>kuo didesnes</w:t>
            </w:r>
            <w:r w:rsidRPr="00CE48FA">
              <w:rPr>
                <w:rFonts w:cs="Times New Roman"/>
                <w:i/>
                <w:sz w:val="18"/>
                <w:szCs w:val="18"/>
              </w:rPr>
              <w:t xml:space="preserve"> pašalpas</w:t>
            </w:r>
          </w:p>
        </w:tc>
        <w:tc>
          <w:tcPr>
            <w:tcW w:w="665" w:type="dxa"/>
            <w:tcBorders>
              <w:top w:val="single" w:sz="6" w:space="0" w:color="auto"/>
              <w:left w:val="single" w:sz="12" w:space="0" w:color="auto"/>
              <w:bottom w:val="single" w:sz="6" w:space="0" w:color="auto"/>
            </w:tcBorders>
            <w:shd w:val="clear" w:color="auto" w:fill="B8CCE4"/>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69" w:type="dxa"/>
            <w:tcBorders>
              <w:top w:val="single" w:sz="6" w:space="0" w:color="auto"/>
              <w:bottom w:val="single" w:sz="6" w:space="0" w:color="auto"/>
              <w:right w:val="single" w:sz="12" w:space="0" w:color="auto"/>
            </w:tcBorders>
            <w:shd w:val="clear" w:color="auto" w:fill="B8CCE4"/>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rPr>
              <w:t xml:space="preserve">Pašalpos yra reikalingos tam, kad galėtum </w:t>
            </w:r>
            <w:r w:rsidRPr="00CE48FA">
              <w:rPr>
                <w:rFonts w:cs="Times New Roman"/>
                <w:i/>
                <w:sz w:val="18"/>
                <w:szCs w:val="18"/>
                <w:u w:val="single"/>
              </w:rPr>
              <w:t>pagerinti</w:t>
            </w:r>
            <w:r w:rsidRPr="00CE48FA">
              <w:rPr>
                <w:rFonts w:cs="Times New Roman"/>
                <w:i/>
                <w:sz w:val="18"/>
                <w:szCs w:val="18"/>
              </w:rPr>
              <w:t xml:space="preserve"> savo šeimos gyvenimą</w:t>
            </w:r>
          </w:p>
        </w:tc>
        <w:tc>
          <w:tcPr>
            <w:tcW w:w="665" w:type="dxa"/>
            <w:tcBorders>
              <w:top w:val="single" w:sz="6" w:space="0" w:color="auto"/>
              <w:left w:val="single" w:sz="12" w:space="0" w:color="auto"/>
              <w:bottom w:val="single" w:sz="6" w:space="0" w:color="auto"/>
            </w:tcBorders>
            <w:shd w:val="clear" w:color="auto" w:fill="B8CCE4"/>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69" w:type="dxa"/>
            <w:tcBorders>
              <w:top w:val="single" w:sz="6" w:space="0" w:color="auto"/>
              <w:bottom w:val="single" w:sz="6" w:space="0" w:color="auto"/>
              <w:right w:val="single" w:sz="12" w:space="0" w:color="auto"/>
            </w:tcBorders>
            <w:shd w:val="clear" w:color="auto" w:fill="B8CCE4"/>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rPr>
              <w:t>Nemėgstu dirbti, todėl</w:t>
            </w:r>
            <w:r w:rsidRPr="00CE48FA">
              <w:rPr>
                <w:rFonts w:cs="Times New Roman"/>
                <w:i/>
                <w:sz w:val="18"/>
                <w:szCs w:val="18"/>
                <w:u w:val="single"/>
              </w:rPr>
              <w:t xml:space="preserve"> nepakankamai stengiuosi</w:t>
            </w:r>
            <w:r w:rsidRPr="00CE48FA">
              <w:rPr>
                <w:rFonts w:cs="Times New Roman"/>
                <w:i/>
                <w:sz w:val="18"/>
                <w:szCs w:val="18"/>
              </w:rPr>
              <w:t>, kad nebūčiau bedarbis</w:t>
            </w:r>
          </w:p>
        </w:tc>
        <w:tc>
          <w:tcPr>
            <w:tcW w:w="665" w:type="dxa"/>
            <w:tcBorders>
              <w:top w:val="single" w:sz="6" w:space="0" w:color="auto"/>
              <w:left w:val="single" w:sz="12" w:space="0" w:color="auto"/>
              <w:bottom w:val="single" w:sz="6" w:space="0" w:color="auto"/>
            </w:tcBorders>
            <w:shd w:val="clear" w:color="auto" w:fill="B8CCE4"/>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69" w:type="dxa"/>
            <w:tcBorders>
              <w:top w:val="single" w:sz="6" w:space="0" w:color="auto"/>
              <w:bottom w:val="single" w:sz="6" w:space="0" w:color="auto"/>
              <w:right w:val="single" w:sz="12" w:space="0" w:color="auto"/>
            </w:tcBorders>
            <w:shd w:val="clear" w:color="auto" w:fill="B8CCE4"/>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rPr>
              <w:t xml:space="preserve">Gauti pašalpą </w:t>
            </w:r>
            <w:r w:rsidRPr="00CE48FA">
              <w:rPr>
                <w:rFonts w:cs="Times New Roman"/>
                <w:i/>
                <w:sz w:val="18"/>
                <w:szCs w:val="18"/>
                <w:u w:val="single"/>
              </w:rPr>
              <w:t>yra daug geriau</w:t>
            </w:r>
            <w:r w:rsidRPr="00CE48FA">
              <w:rPr>
                <w:rFonts w:cs="Times New Roman"/>
                <w:i/>
                <w:sz w:val="18"/>
                <w:szCs w:val="18"/>
              </w:rPr>
              <w:t xml:space="preserve"> nei dirbti už minimalų atlyginimą, nes tai mažiau žeidžia orumą</w:t>
            </w:r>
          </w:p>
        </w:tc>
        <w:tc>
          <w:tcPr>
            <w:tcW w:w="665" w:type="dxa"/>
            <w:tcBorders>
              <w:top w:val="single" w:sz="6" w:space="0" w:color="auto"/>
              <w:left w:val="single" w:sz="12" w:space="0" w:color="auto"/>
              <w:bottom w:val="single" w:sz="6" w:space="0" w:color="auto"/>
            </w:tcBorders>
            <w:shd w:val="clear" w:color="auto" w:fill="B8CCE4"/>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69" w:type="dxa"/>
            <w:tcBorders>
              <w:top w:val="single" w:sz="6" w:space="0" w:color="auto"/>
              <w:bottom w:val="single" w:sz="6" w:space="0" w:color="auto"/>
              <w:right w:val="single" w:sz="12" w:space="0" w:color="auto"/>
            </w:tcBorders>
            <w:shd w:val="clear" w:color="auto" w:fill="B8CCE4"/>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rPr>
              <w:t xml:space="preserve">Darbo ieškausi </w:t>
            </w:r>
            <w:r w:rsidRPr="00CE48FA">
              <w:rPr>
                <w:rFonts w:cs="Times New Roman"/>
                <w:i/>
                <w:sz w:val="18"/>
                <w:szCs w:val="18"/>
                <w:u w:val="single"/>
              </w:rPr>
              <w:t>nepakankamai aktyviai</w:t>
            </w:r>
            <w:r w:rsidRPr="00CE48FA">
              <w:rPr>
                <w:rFonts w:cs="Times New Roman"/>
                <w:i/>
                <w:sz w:val="18"/>
                <w:szCs w:val="18"/>
              </w:rPr>
              <w:t>, retai dalyvauju mokymuose, todėl ir neįsidarbinu</w:t>
            </w:r>
          </w:p>
        </w:tc>
        <w:tc>
          <w:tcPr>
            <w:tcW w:w="665" w:type="dxa"/>
            <w:tcBorders>
              <w:top w:val="single" w:sz="6" w:space="0" w:color="auto"/>
              <w:left w:val="single" w:sz="12" w:space="0" w:color="auto"/>
              <w:bottom w:val="single" w:sz="6" w:space="0" w:color="auto"/>
            </w:tcBorders>
            <w:shd w:val="clear" w:color="auto" w:fill="B8CCE4"/>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69" w:type="dxa"/>
            <w:tcBorders>
              <w:top w:val="single" w:sz="6" w:space="0" w:color="auto"/>
              <w:bottom w:val="single" w:sz="6" w:space="0" w:color="auto"/>
              <w:right w:val="single" w:sz="12" w:space="0" w:color="auto"/>
            </w:tcBorders>
            <w:shd w:val="clear" w:color="auto" w:fill="B8CCE4"/>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rPr>
              <w:t xml:space="preserve">Esu </w:t>
            </w:r>
            <w:r w:rsidRPr="00CE48FA">
              <w:rPr>
                <w:rFonts w:cs="Times New Roman"/>
                <w:i/>
                <w:sz w:val="18"/>
                <w:szCs w:val="18"/>
                <w:u w:val="single"/>
              </w:rPr>
              <w:t>vertas geresnių</w:t>
            </w:r>
            <w:r w:rsidRPr="00CE48FA">
              <w:rPr>
                <w:rFonts w:cs="Times New Roman"/>
                <w:i/>
                <w:sz w:val="18"/>
                <w:szCs w:val="18"/>
              </w:rPr>
              <w:t xml:space="preserve"> (nei siūloma) pareigų ir didesnio atlyginimo, todėl </w:t>
            </w:r>
            <w:r w:rsidRPr="00CE48FA">
              <w:rPr>
                <w:rFonts w:cs="Times New Roman"/>
                <w:i/>
                <w:sz w:val="18"/>
                <w:szCs w:val="18"/>
                <w:u w:val="single"/>
              </w:rPr>
              <w:t>neskubu</w:t>
            </w:r>
            <w:r w:rsidRPr="00CE48FA">
              <w:rPr>
                <w:rFonts w:cs="Times New Roman"/>
                <w:i/>
                <w:sz w:val="18"/>
                <w:szCs w:val="18"/>
              </w:rPr>
              <w:t xml:space="preserve"> įsidarbinti</w:t>
            </w:r>
          </w:p>
        </w:tc>
        <w:tc>
          <w:tcPr>
            <w:tcW w:w="665" w:type="dxa"/>
            <w:tcBorders>
              <w:top w:val="single" w:sz="6" w:space="0" w:color="auto"/>
              <w:left w:val="single" w:sz="12" w:space="0" w:color="auto"/>
              <w:bottom w:val="single" w:sz="6" w:space="0" w:color="auto"/>
            </w:tcBorders>
            <w:shd w:val="clear" w:color="auto" w:fill="B8CCE4"/>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69" w:type="dxa"/>
            <w:tcBorders>
              <w:top w:val="single" w:sz="6" w:space="0" w:color="auto"/>
              <w:bottom w:val="single" w:sz="6" w:space="0" w:color="auto"/>
              <w:right w:val="single" w:sz="12" w:space="0" w:color="auto"/>
            </w:tcBorders>
            <w:shd w:val="clear" w:color="auto" w:fill="B8CCE4"/>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rPr>
              <w:t xml:space="preserve">Tai, kad draugai gauna pašalpas, </w:t>
            </w:r>
            <w:r w:rsidRPr="00CE48FA">
              <w:rPr>
                <w:rFonts w:cs="Times New Roman"/>
                <w:i/>
                <w:sz w:val="18"/>
                <w:szCs w:val="18"/>
                <w:u w:val="single"/>
              </w:rPr>
              <w:t>mane skatina</w:t>
            </w:r>
            <w:r w:rsidRPr="00CE48FA">
              <w:rPr>
                <w:rFonts w:cs="Times New Roman"/>
                <w:i/>
                <w:sz w:val="18"/>
                <w:szCs w:val="18"/>
              </w:rPr>
              <w:t xml:space="preserve"> domėtis jų gavimo sąlygomis ir </w:t>
            </w:r>
            <w:r w:rsidRPr="00CE48FA">
              <w:rPr>
                <w:rFonts w:cs="Times New Roman"/>
                <w:i/>
                <w:sz w:val="18"/>
                <w:szCs w:val="18"/>
                <w:u w:val="single"/>
              </w:rPr>
              <w:t>bandyti jas gauti</w:t>
            </w:r>
          </w:p>
        </w:tc>
        <w:tc>
          <w:tcPr>
            <w:tcW w:w="665" w:type="dxa"/>
            <w:tcBorders>
              <w:top w:val="single" w:sz="6" w:space="0" w:color="auto"/>
              <w:left w:val="single" w:sz="12" w:space="0" w:color="auto"/>
              <w:bottom w:val="single" w:sz="6" w:space="0" w:color="auto"/>
            </w:tcBorders>
            <w:shd w:val="clear" w:color="auto" w:fill="B8CCE4"/>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69" w:type="dxa"/>
            <w:tcBorders>
              <w:top w:val="single" w:sz="6" w:space="0" w:color="auto"/>
              <w:bottom w:val="single" w:sz="6" w:space="0" w:color="auto"/>
              <w:right w:val="single" w:sz="12" w:space="0" w:color="auto"/>
            </w:tcBorders>
            <w:shd w:val="clear" w:color="auto" w:fill="B8CCE4"/>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rPr>
              <w:t xml:space="preserve">Pinigai yra itin svarbūs mano gyvenime, todėl stengiuosi jų gauti </w:t>
            </w:r>
            <w:r w:rsidRPr="00CE48FA">
              <w:rPr>
                <w:rFonts w:cs="Times New Roman"/>
                <w:i/>
                <w:sz w:val="18"/>
                <w:szCs w:val="18"/>
                <w:u w:val="single"/>
              </w:rPr>
              <w:t>bet kokiomis (ir neteisėtomis) priemonėmis</w:t>
            </w:r>
          </w:p>
        </w:tc>
        <w:tc>
          <w:tcPr>
            <w:tcW w:w="665" w:type="dxa"/>
            <w:tcBorders>
              <w:top w:val="single" w:sz="6" w:space="0" w:color="auto"/>
              <w:left w:val="single" w:sz="12" w:space="0" w:color="auto"/>
              <w:bottom w:val="single" w:sz="6" w:space="0" w:color="auto"/>
            </w:tcBorders>
            <w:shd w:val="clear" w:color="auto" w:fill="B8CCE4"/>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69" w:type="dxa"/>
            <w:tcBorders>
              <w:top w:val="single" w:sz="6" w:space="0" w:color="auto"/>
              <w:bottom w:val="single" w:sz="6" w:space="0" w:color="auto"/>
              <w:right w:val="single" w:sz="12" w:space="0" w:color="auto"/>
            </w:tcBorders>
            <w:shd w:val="clear" w:color="auto" w:fill="CCC0D9"/>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u w:val="single"/>
              </w:rPr>
              <w:t>Nesu</w:t>
            </w:r>
            <w:r w:rsidRPr="00CE48FA">
              <w:rPr>
                <w:rFonts w:cs="Times New Roman"/>
                <w:i/>
                <w:sz w:val="18"/>
                <w:szCs w:val="18"/>
              </w:rPr>
              <w:t xml:space="preserve"> labai </w:t>
            </w:r>
            <w:r w:rsidRPr="00CE48FA">
              <w:rPr>
                <w:rFonts w:cs="Times New Roman"/>
                <w:i/>
                <w:sz w:val="18"/>
                <w:szCs w:val="18"/>
                <w:u w:val="single"/>
              </w:rPr>
              <w:t>išsilavinęs</w:t>
            </w:r>
            <w:r w:rsidRPr="00CE48FA">
              <w:rPr>
                <w:rFonts w:cs="Times New Roman"/>
                <w:i/>
                <w:sz w:val="18"/>
                <w:szCs w:val="18"/>
              </w:rPr>
              <w:t xml:space="preserve">, todėl tai man </w:t>
            </w:r>
            <w:r w:rsidRPr="00CE48FA">
              <w:rPr>
                <w:rFonts w:cs="Times New Roman"/>
                <w:i/>
                <w:sz w:val="18"/>
                <w:szCs w:val="18"/>
                <w:u w:val="single"/>
              </w:rPr>
              <w:t>labiausiai trukdo</w:t>
            </w:r>
            <w:r w:rsidRPr="00CE48FA">
              <w:rPr>
                <w:rFonts w:cs="Times New Roman"/>
                <w:i/>
                <w:sz w:val="18"/>
                <w:szCs w:val="18"/>
              </w:rPr>
              <w:t>, norint gauti bet kokį (net ir menkai apmokamą) darbą</w:t>
            </w:r>
          </w:p>
        </w:tc>
        <w:tc>
          <w:tcPr>
            <w:tcW w:w="665" w:type="dxa"/>
            <w:tcBorders>
              <w:top w:val="single" w:sz="6" w:space="0" w:color="auto"/>
              <w:left w:val="single" w:sz="12" w:space="0" w:color="auto"/>
              <w:bottom w:val="single" w:sz="6" w:space="0" w:color="auto"/>
            </w:tcBorders>
            <w:shd w:val="clear" w:color="auto" w:fill="CCC0D9"/>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69" w:type="dxa"/>
            <w:tcBorders>
              <w:top w:val="single" w:sz="6" w:space="0" w:color="auto"/>
              <w:bottom w:val="single" w:sz="6" w:space="0" w:color="auto"/>
              <w:right w:val="single" w:sz="12" w:space="0" w:color="auto"/>
            </w:tcBorders>
            <w:shd w:val="clear" w:color="auto" w:fill="CCC0D9"/>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rPr>
              <w:t xml:space="preserve">Mano profesija </w:t>
            </w:r>
            <w:r w:rsidRPr="00CE48FA">
              <w:rPr>
                <w:rFonts w:cs="Times New Roman"/>
                <w:i/>
                <w:sz w:val="18"/>
                <w:szCs w:val="18"/>
                <w:u w:val="single"/>
              </w:rPr>
              <w:t>nėra reikalinga</w:t>
            </w:r>
            <w:r w:rsidRPr="00CE48FA">
              <w:rPr>
                <w:rFonts w:cs="Times New Roman"/>
                <w:i/>
                <w:sz w:val="18"/>
                <w:szCs w:val="18"/>
              </w:rPr>
              <w:t xml:space="preserve"> darbo rinkoje, todėl tai daro </w:t>
            </w:r>
            <w:r w:rsidRPr="00CE48FA">
              <w:rPr>
                <w:rFonts w:cs="Times New Roman"/>
                <w:i/>
                <w:sz w:val="18"/>
                <w:szCs w:val="18"/>
                <w:u w:val="single"/>
              </w:rPr>
              <w:t>didžiausią įtaką</w:t>
            </w:r>
            <w:r w:rsidRPr="00CE48FA">
              <w:rPr>
                <w:rFonts w:cs="Times New Roman"/>
                <w:i/>
                <w:sz w:val="18"/>
                <w:szCs w:val="18"/>
              </w:rPr>
              <w:t xml:space="preserve"> mano nesugebėjimui įsidarbinti</w:t>
            </w:r>
          </w:p>
        </w:tc>
        <w:tc>
          <w:tcPr>
            <w:tcW w:w="665" w:type="dxa"/>
            <w:tcBorders>
              <w:top w:val="single" w:sz="6" w:space="0" w:color="auto"/>
              <w:left w:val="single" w:sz="12" w:space="0" w:color="auto"/>
              <w:bottom w:val="single" w:sz="6" w:space="0" w:color="auto"/>
            </w:tcBorders>
            <w:shd w:val="clear" w:color="auto" w:fill="CCC0D9"/>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69" w:type="dxa"/>
            <w:tcBorders>
              <w:top w:val="single" w:sz="6" w:space="0" w:color="auto"/>
              <w:bottom w:val="single" w:sz="6" w:space="0" w:color="auto"/>
              <w:right w:val="single" w:sz="12" w:space="0" w:color="auto"/>
            </w:tcBorders>
            <w:shd w:val="clear" w:color="auto" w:fill="CCC0D9"/>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rPr>
              <w:t xml:space="preserve">Esu </w:t>
            </w:r>
            <w:r w:rsidRPr="00CE48FA">
              <w:rPr>
                <w:rFonts w:cs="Times New Roman"/>
                <w:i/>
                <w:sz w:val="18"/>
                <w:szCs w:val="18"/>
                <w:u w:val="single"/>
              </w:rPr>
              <w:t>praradęs</w:t>
            </w:r>
            <w:r w:rsidRPr="00CE48FA">
              <w:rPr>
                <w:rFonts w:cs="Times New Roman"/>
                <w:i/>
                <w:sz w:val="18"/>
                <w:szCs w:val="18"/>
              </w:rPr>
              <w:t xml:space="preserve"> (arba neturiu) darbinius </w:t>
            </w:r>
            <w:r w:rsidRPr="00CE48FA">
              <w:rPr>
                <w:rFonts w:cs="Times New Roman"/>
                <w:i/>
                <w:sz w:val="18"/>
                <w:szCs w:val="18"/>
                <w:u w:val="single"/>
              </w:rPr>
              <w:t>įgūdžius</w:t>
            </w:r>
            <w:r w:rsidRPr="00CE48FA">
              <w:rPr>
                <w:rFonts w:cs="Times New Roman"/>
                <w:i/>
                <w:sz w:val="18"/>
                <w:szCs w:val="18"/>
              </w:rPr>
              <w:t xml:space="preserve">, todėl tai man yra </w:t>
            </w:r>
            <w:r w:rsidRPr="00CE48FA">
              <w:rPr>
                <w:rFonts w:cs="Times New Roman"/>
                <w:i/>
                <w:sz w:val="18"/>
                <w:szCs w:val="18"/>
                <w:u w:val="single"/>
              </w:rPr>
              <w:t>didžiausia kliūtis</w:t>
            </w:r>
            <w:r w:rsidRPr="00CE48FA">
              <w:rPr>
                <w:rFonts w:cs="Times New Roman"/>
                <w:i/>
                <w:sz w:val="18"/>
                <w:szCs w:val="18"/>
              </w:rPr>
              <w:t>, norint sėkmingai įsidarbinti</w:t>
            </w:r>
          </w:p>
        </w:tc>
        <w:tc>
          <w:tcPr>
            <w:tcW w:w="665" w:type="dxa"/>
            <w:tcBorders>
              <w:top w:val="single" w:sz="6" w:space="0" w:color="auto"/>
              <w:left w:val="single" w:sz="12" w:space="0" w:color="auto"/>
              <w:bottom w:val="single" w:sz="6" w:space="0" w:color="auto"/>
            </w:tcBorders>
            <w:shd w:val="clear" w:color="auto" w:fill="CCC0D9"/>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69" w:type="dxa"/>
            <w:tcBorders>
              <w:top w:val="single" w:sz="6" w:space="0" w:color="auto"/>
              <w:bottom w:val="single" w:sz="6" w:space="0" w:color="auto"/>
              <w:right w:val="single" w:sz="12" w:space="0" w:color="auto"/>
            </w:tcBorders>
            <w:shd w:val="clear" w:color="auto" w:fill="CCC0D9"/>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u w:val="single"/>
              </w:rPr>
              <w:t>Neturiu darbo patirties</w:t>
            </w:r>
            <w:r w:rsidRPr="00CE48FA">
              <w:rPr>
                <w:rFonts w:cs="Times New Roman"/>
                <w:i/>
                <w:sz w:val="18"/>
                <w:szCs w:val="18"/>
              </w:rPr>
              <w:t xml:space="preserve">, todėl tai yra </w:t>
            </w:r>
            <w:r w:rsidRPr="00CE48FA">
              <w:rPr>
                <w:rFonts w:cs="Times New Roman"/>
                <w:i/>
                <w:sz w:val="18"/>
                <w:szCs w:val="18"/>
                <w:u w:val="single"/>
              </w:rPr>
              <w:t>pagrindinė priežastis</w:t>
            </w:r>
            <w:r w:rsidRPr="00CE48FA">
              <w:rPr>
                <w:rFonts w:cs="Times New Roman"/>
                <w:i/>
                <w:sz w:val="18"/>
                <w:szCs w:val="18"/>
              </w:rPr>
              <w:t>, kodėl darbdaviai nenori manęs samdyti</w:t>
            </w:r>
          </w:p>
        </w:tc>
        <w:tc>
          <w:tcPr>
            <w:tcW w:w="665" w:type="dxa"/>
            <w:tcBorders>
              <w:top w:val="single" w:sz="6" w:space="0" w:color="auto"/>
              <w:left w:val="single" w:sz="12" w:space="0" w:color="auto"/>
              <w:bottom w:val="single" w:sz="6" w:space="0" w:color="auto"/>
            </w:tcBorders>
            <w:shd w:val="clear" w:color="auto" w:fill="CCC0D9"/>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69" w:type="dxa"/>
            <w:tcBorders>
              <w:top w:val="single" w:sz="6" w:space="0" w:color="auto"/>
              <w:bottom w:val="single" w:sz="6" w:space="0" w:color="auto"/>
              <w:right w:val="single" w:sz="12" w:space="0" w:color="auto"/>
            </w:tcBorders>
            <w:shd w:val="clear" w:color="auto" w:fill="CCC0D9"/>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u w:val="single"/>
              </w:rPr>
              <w:t>Neturiu galimybės</w:t>
            </w:r>
            <w:r w:rsidRPr="00CE48FA">
              <w:rPr>
                <w:rFonts w:cs="Times New Roman"/>
                <w:i/>
                <w:sz w:val="18"/>
                <w:szCs w:val="18"/>
              </w:rPr>
              <w:t xml:space="preserve"> patikėti vaikų (ar senų tėvų) priežiūros kitiems asmenims, todėl negaliu įsidarbinti</w:t>
            </w:r>
          </w:p>
        </w:tc>
        <w:tc>
          <w:tcPr>
            <w:tcW w:w="665" w:type="dxa"/>
            <w:tcBorders>
              <w:top w:val="single" w:sz="6" w:space="0" w:color="auto"/>
              <w:left w:val="single" w:sz="12" w:space="0" w:color="auto"/>
              <w:bottom w:val="single" w:sz="6" w:space="0" w:color="auto"/>
            </w:tcBorders>
            <w:shd w:val="clear" w:color="auto" w:fill="CCC0D9"/>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69" w:type="dxa"/>
            <w:tcBorders>
              <w:top w:val="single" w:sz="6" w:space="0" w:color="auto"/>
              <w:bottom w:val="single" w:sz="6" w:space="0" w:color="auto"/>
              <w:right w:val="single" w:sz="12" w:space="0" w:color="auto"/>
            </w:tcBorders>
            <w:shd w:val="clear" w:color="auto" w:fill="CCC0D9"/>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u w:val="single"/>
              </w:rPr>
              <w:t>Gyvenu šia diena</w:t>
            </w:r>
            <w:r w:rsidRPr="00CE48FA">
              <w:rPr>
                <w:rFonts w:cs="Times New Roman"/>
                <w:i/>
                <w:sz w:val="18"/>
                <w:szCs w:val="18"/>
              </w:rPr>
              <w:t xml:space="preserve">, todėl, jei yra galimybė, </w:t>
            </w:r>
            <w:r w:rsidRPr="00CE48FA">
              <w:rPr>
                <w:rFonts w:cs="Times New Roman"/>
                <w:i/>
                <w:sz w:val="18"/>
                <w:szCs w:val="18"/>
                <w:u w:val="single"/>
              </w:rPr>
              <w:t>stengiuosi</w:t>
            </w:r>
            <w:r w:rsidRPr="00CE48FA">
              <w:rPr>
                <w:rFonts w:cs="Times New Roman"/>
                <w:i/>
                <w:sz w:val="18"/>
                <w:szCs w:val="18"/>
              </w:rPr>
              <w:t xml:space="preserve"> bent trumpam </w:t>
            </w:r>
            <w:r w:rsidRPr="00CE48FA">
              <w:rPr>
                <w:rFonts w:cs="Times New Roman"/>
                <w:i/>
                <w:sz w:val="18"/>
                <w:szCs w:val="18"/>
                <w:u w:val="single"/>
              </w:rPr>
              <w:t>pagyventi iš „kitų kišenės“</w:t>
            </w:r>
          </w:p>
        </w:tc>
        <w:tc>
          <w:tcPr>
            <w:tcW w:w="665" w:type="dxa"/>
            <w:tcBorders>
              <w:top w:val="single" w:sz="6" w:space="0" w:color="auto"/>
              <w:left w:val="single" w:sz="12" w:space="0" w:color="auto"/>
              <w:bottom w:val="single" w:sz="6" w:space="0" w:color="auto"/>
            </w:tcBorders>
            <w:shd w:val="clear" w:color="auto" w:fill="CCC0D9"/>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69" w:type="dxa"/>
            <w:tcBorders>
              <w:top w:val="single" w:sz="6" w:space="0" w:color="auto"/>
              <w:bottom w:val="single" w:sz="12" w:space="0" w:color="auto"/>
              <w:right w:val="single" w:sz="12" w:space="0" w:color="auto"/>
            </w:tcBorders>
            <w:shd w:val="clear" w:color="auto" w:fill="CCC0D9"/>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rPr>
              <w:t xml:space="preserve">Darbas iš žmogaus reikalauja daug pastangų ir laiko, </w:t>
            </w:r>
            <w:r w:rsidRPr="00CE48FA">
              <w:rPr>
                <w:rFonts w:cs="Times New Roman"/>
                <w:i/>
                <w:sz w:val="18"/>
                <w:szCs w:val="18"/>
                <w:u w:val="single"/>
              </w:rPr>
              <w:t>kurio aš neturiu</w:t>
            </w:r>
            <w:r w:rsidRPr="00CE48FA">
              <w:rPr>
                <w:rFonts w:cs="Times New Roman"/>
                <w:i/>
                <w:sz w:val="18"/>
                <w:szCs w:val="18"/>
              </w:rPr>
              <w:t>, todėl ir negaliu įsidarbinti</w:t>
            </w:r>
          </w:p>
        </w:tc>
        <w:tc>
          <w:tcPr>
            <w:tcW w:w="665" w:type="dxa"/>
            <w:tcBorders>
              <w:top w:val="single" w:sz="6" w:space="0" w:color="auto"/>
              <w:left w:val="single" w:sz="12" w:space="0" w:color="auto"/>
              <w:bottom w:val="single" w:sz="12" w:space="0" w:color="auto"/>
            </w:tcBorders>
            <w:shd w:val="clear" w:color="auto" w:fill="CCC0D9"/>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bl>
    <w:p w:rsidR="00E60820" w:rsidRPr="00350BC0" w:rsidRDefault="00E60820" w:rsidP="00E60820">
      <w:pPr>
        <w:pStyle w:val="Referatai"/>
        <w:ind w:left="547" w:firstLine="0"/>
        <w:rPr>
          <w:b/>
          <w:color w:val="EA0000"/>
          <w:sz w:val="19"/>
          <w:szCs w:val="19"/>
          <w:u w:val="single"/>
        </w:rPr>
      </w:pPr>
      <w:r w:rsidRPr="00350BC0">
        <w:rPr>
          <w:b/>
          <w:color w:val="EA0000"/>
          <w:sz w:val="19"/>
          <w:szCs w:val="19"/>
          <w:u w:val="single"/>
        </w:rPr>
        <w:t>IŠORINIŲ VEIKSNIŲ ĮVERTINIMAS</w:t>
      </w:r>
    </w:p>
    <w:p w:rsidR="00E60820" w:rsidRPr="009F28F7" w:rsidRDefault="00E60820" w:rsidP="00E60820">
      <w:pPr>
        <w:pStyle w:val="Referatai"/>
        <w:ind w:firstLine="562"/>
        <w:rPr>
          <w:sz w:val="19"/>
          <w:szCs w:val="19"/>
        </w:rPr>
      </w:pPr>
      <w:r w:rsidRPr="009F28F7">
        <w:rPr>
          <w:b/>
          <w:i/>
          <w:sz w:val="19"/>
          <w:szCs w:val="19"/>
        </w:rPr>
        <w:t>Įvertinkite penkių balų skale</w:t>
      </w:r>
      <w:r w:rsidRPr="009F28F7">
        <w:rPr>
          <w:i/>
          <w:sz w:val="19"/>
          <w:szCs w:val="19"/>
        </w:rPr>
        <w:t>, kiek sutinkate su nurodytu teiginiu</w:t>
      </w:r>
      <w:r>
        <w:rPr>
          <w:i/>
          <w:sz w:val="19"/>
          <w:szCs w:val="19"/>
        </w:rPr>
        <w:t xml:space="preserve"> (kiek tai aktualu Jūsų gyvenime)</w:t>
      </w:r>
      <w:r w:rsidRPr="009F28F7">
        <w:rPr>
          <w:i/>
          <w:sz w:val="19"/>
          <w:szCs w:val="19"/>
        </w:rPr>
        <w:t xml:space="preserve">, </w:t>
      </w:r>
      <w:r>
        <w:rPr>
          <w:i/>
          <w:sz w:val="19"/>
          <w:szCs w:val="19"/>
        </w:rPr>
        <w:t>kur: 1 – visiškai sutinku; 2 – sutinku; 3 – nei sutinku, nei nesutinku; 4 – nesutinku; 5 – visiškai nesutinku.</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9378"/>
        <w:gridCol w:w="656"/>
      </w:tblGrid>
      <w:tr w:rsidR="00E60820" w:rsidRPr="00CE48FA" w:rsidTr="00E60820">
        <w:tc>
          <w:tcPr>
            <w:tcW w:w="9378" w:type="dxa"/>
            <w:tcBorders>
              <w:top w:val="single" w:sz="12" w:space="0" w:color="auto"/>
              <w:bottom w:val="single" w:sz="12" w:space="0" w:color="auto"/>
              <w:right w:val="single" w:sz="12" w:space="0" w:color="auto"/>
            </w:tcBorders>
            <w:shd w:val="clear" w:color="auto" w:fill="BFBFBF"/>
          </w:tcPr>
          <w:p w:rsidR="00E60820" w:rsidRPr="00CE48FA" w:rsidRDefault="00E60820" w:rsidP="00CE48FA">
            <w:pPr>
              <w:pStyle w:val="Referatai"/>
              <w:spacing w:after="0" w:line="240" w:lineRule="auto"/>
              <w:ind w:firstLine="0"/>
              <w:jc w:val="center"/>
              <w:rPr>
                <w:rFonts w:cs="Times New Roman"/>
                <w:b/>
                <w:sz w:val="18"/>
                <w:szCs w:val="18"/>
              </w:rPr>
            </w:pPr>
            <w:r w:rsidRPr="00CE48FA">
              <w:rPr>
                <w:rFonts w:cs="Times New Roman"/>
                <w:b/>
                <w:sz w:val="18"/>
                <w:szCs w:val="18"/>
              </w:rPr>
              <w:t>VIDINIAI VEIKSNIAI</w:t>
            </w:r>
          </w:p>
        </w:tc>
        <w:tc>
          <w:tcPr>
            <w:tcW w:w="656" w:type="dxa"/>
            <w:tcBorders>
              <w:top w:val="single" w:sz="12" w:space="0" w:color="auto"/>
              <w:left w:val="single" w:sz="12" w:space="0" w:color="auto"/>
              <w:bottom w:val="single" w:sz="12" w:space="0" w:color="auto"/>
            </w:tcBorders>
            <w:shd w:val="clear" w:color="auto" w:fill="BFBFBF"/>
          </w:tcPr>
          <w:p w:rsidR="00E60820" w:rsidRPr="00CE48FA" w:rsidRDefault="00E60820" w:rsidP="00CE48FA">
            <w:pPr>
              <w:pStyle w:val="Referatai"/>
              <w:tabs>
                <w:tab w:val="left" w:pos="324"/>
              </w:tabs>
              <w:spacing w:after="0" w:line="240" w:lineRule="auto"/>
              <w:ind w:firstLine="0"/>
              <w:rPr>
                <w:rFonts w:cs="Times New Roman"/>
                <w:b/>
                <w:sz w:val="18"/>
                <w:szCs w:val="18"/>
              </w:rPr>
            </w:pPr>
            <w:r w:rsidRPr="00CE48FA">
              <w:rPr>
                <w:rFonts w:cs="Times New Roman"/>
                <w:b/>
                <w:sz w:val="18"/>
                <w:szCs w:val="18"/>
              </w:rPr>
              <w:t>Įvert.</w:t>
            </w:r>
          </w:p>
        </w:tc>
      </w:tr>
      <w:tr w:rsidR="00E60820" w:rsidRPr="00CE48FA" w:rsidTr="00E60820">
        <w:tc>
          <w:tcPr>
            <w:tcW w:w="9378" w:type="dxa"/>
            <w:tcBorders>
              <w:top w:val="single" w:sz="12" w:space="0" w:color="auto"/>
              <w:bottom w:val="single" w:sz="6" w:space="0" w:color="auto"/>
              <w:right w:val="single" w:sz="12" w:space="0" w:color="auto"/>
            </w:tcBorders>
            <w:shd w:val="clear" w:color="auto" w:fill="E5B8B7"/>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rPr>
              <w:t xml:space="preserve">Tai, kad šalyje yra didelis nedarbas, man </w:t>
            </w:r>
            <w:r w:rsidRPr="00CE48FA">
              <w:rPr>
                <w:rFonts w:cs="Times New Roman"/>
                <w:i/>
                <w:sz w:val="18"/>
                <w:szCs w:val="18"/>
                <w:u w:val="single"/>
              </w:rPr>
              <w:t>labiausiai trukdo</w:t>
            </w:r>
            <w:r w:rsidRPr="00CE48FA">
              <w:rPr>
                <w:rFonts w:cs="Times New Roman"/>
                <w:i/>
                <w:sz w:val="18"/>
                <w:szCs w:val="18"/>
              </w:rPr>
              <w:t xml:space="preserve"> užsidirbti</w:t>
            </w:r>
          </w:p>
        </w:tc>
        <w:tc>
          <w:tcPr>
            <w:tcW w:w="656" w:type="dxa"/>
            <w:tcBorders>
              <w:top w:val="single" w:sz="12" w:space="0" w:color="auto"/>
              <w:left w:val="single" w:sz="12" w:space="0" w:color="auto"/>
              <w:bottom w:val="single" w:sz="6" w:space="0" w:color="auto"/>
            </w:tcBorders>
            <w:shd w:val="clear" w:color="auto" w:fill="E5B8B7"/>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78" w:type="dxa"/>
            <w:tcBorders>
              <w:top w:val="single" w:sz="6" w:space="0" w:color="auto"/>
              <w:bottom w:val="single" w:sz="6" w:space="0" w:color="auto"/>
              <w:right w:val="single" w:sz="12" w:space="0" w:color="auto"/>
            </w:tcBorders>
            <w:shd w:val="clear" w:color="auto" w:fill="E5B8B7"/>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rPr>
              <w:t xml:space="preserve">Esu UŽ tai, kad atlyginimai mokami „vokeliuose“, todėl ir pats </w:t>
            </w:r>
            <w:r w:rsidRPr="00CE48FA">
              <w:rPr>
                <w:rFonts w:cs="Times New Roman"/>
                <w:i/>
                <w:sz w:val="18"/>
                <w:szCs w:val="18"/>
                <w:u w:val="single"/>
              </w:rPr>
              <w:t>nevengiu</w:t>
            </w:r>
            <w:r w:rsidRPr="00CE48FA">
              <w:rPr>
                <w:rFonts w:cs="Times New Roman"/>
                <w:i/>
                <w:sz w:val="18"/>
                <w:szCs w:val="18"/>
              </w:rPr>
              <w:t xml:space="preserve"> padirbėti nelegaliai</w:t>
            </w:r>
          </w:p>
        </w:tc>
        <w:tc>
          <w:tcPr>
            <w:tcW w:w="656" w:type="dxa"/>
            <w:tcBorders>
              <w:top w:val="single" w:sz="6" w:space="0" w:color="auto"/>
              <w:left w:val="single" w:sz="12" w:space="0" w:color="auto"/>
              <w:bottom w:val="single" w:sz="6" w:space="0" w:color="auto"/>
            </w:tcBorders>
            <w:shd w:val="clear" w:color="auto" w:fill="E5B8B7"/>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78" w:type="dxa"/>
            <w:tcBorders>
              <w:top w:val="single" w:sz="6" w:space="0" w:color="auto"/>
              <w:bottom w:val="single" w:sz="6" w:space="0" w:color="auto"/>
              <w:right w:val="single" w:sz="12" w:space="0" w:color="auto"/>
            </w:tcBorders>
            <w:shd w:val="clear" w:color="auto" w:fill="E5B8B7"/>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rPr>
              <w:t xml:space="preserve">Mokesčiai yra gerokai per dideli, todėl </w:t>
            </w:r>
            <w:r w:rsidRPr="00CE48FA">
              <w:rPr>
                <w:rFonts w:cs="Times New Roman"/>
                <w:i/>
                <w:sz w:val="18"/>
                <w:szCs w:val="18"/>
                <w:u w:val="single"/>
              </w:rPr>
              <w:t>stengiuosi nuslėpti</w:t>
            </w:r>
            <w:r w:rsidRPr="00CE48FA">
              <w:rPr>
                <w:rFonts w:cs="Times New Roman"/>
                <w:i/>
                <w:sz w:val="18"/>
                <w:szCs w:val="18"/>
              </w:rPr>
              <w:t xml:space="preserve"> bent dalį pajamų, kad išgyvenčiau</w:t>
            </w:r>
          </w:p>
        </w:tc>
        <w:tc>
          <w:tcPr>
            <w:tcW w:w="656" w:type="dxa"/>
            <w:tcBorders>
              <w:top w:val="single" w:sz="6" w:space="0" w:color="auto"/>
              <w:left w:val="single" w:sz="12" w:space="0" w:color="auto"/>
              <w:bottom w:val="single" w:sz="6" w:space="0" w:color="auto"/>
            </w:tcBorders>
            <w:shd w:val="clear" w:color="auto" w:fill="E5B8B7"/>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78" w:type="dxa"/>
            <w:tcBorders>
              <w:top w:val="single" w:sz="6" w:space="0" w:color="auto"/>
              <w:bottom w:val="single" w:sz="6" w:space="0" w:color="auto"/>
              <w:right w:val="single" w:sz="12" w:space="0" w:color="auto"/>
            </w:tcBorders>
            <w:shd w:val="clear" w:color="auto" w:fill="E5B8B7"/>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rPr>
              <w:t xml:space="preserve">Jeigu gaučiau „minimumą“, pinigų padaugėtų nežymiai (nes netekčiau pašalpų), todėl </w:t>
            </w:r>
            <w:r w:rsidRPr="00CE48FA">
              <w:rPr>
                <w:rFonts w:cs="Times New Roman"/>
                <w:i/>
                <w:sz w:val="18"/>
                <w:szCs w:val="18"/>
                <w:u w:val="single"/>
              </w:rPr>
              <w:t>stengčiausi neįsidarbinti</w:t>
            </w:r>
          </w:p>
        </w:tc>
        <w:tc>
          <w:tcPr>
            <w:tcW w:w="656" w:type="dxa"/>
            <w:tcBorders>
              <w:top w:val="single" w:sz="6" w:space="0" w:color="auto"/>
              <w:left w:val="single" w:sz="12" w:space="0" w:color="auto"/>
              <w:bottom w:val="single" w:sz="6" w:space="0" w:color="auto"/>
            </w:tcBorders>
            <w:shd w:val="clear" w:color="auto" w:fill="E5B8B7"/>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78" w:type="dxa"/>
            <w:tcBorders>
              <w:top w:val="single" w:sz="6" w:space="0" w:color="auto"/>
              <w:bottom w:val="single" w:sz="6" w:space="0" w:color="auto"/>
              <w:right w:val="single" w:sz="12" w:space="0" w:color="auto"/>
            </w:tcBorders>
            <w:shd w:val="clear" w:color="auto" w:fill="E5B8B7"/>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rPr>
              <w:t xml:space="preserve">Esu visiškai </w:t>
            </w:r>
            <w:r w:rsidRPr="00CE48FA">
              <w:rPr>
                <w:rFonts w:cs="Times New Roman"/>
                <w:i/>
                <w:sz w:val="18"/>
                <w:szCs w:val="18"/>
                <w:u w:val="single"/>
              </w:rPr>
              <w:t>patenkintas</w:t>
            </w:r>
            <w:r w:rsidRPr="00CE48FA">
              <w:rPr>
                <w:rFonts w:cs="Times New Roman"/>
                <w:i/>
                <w:sz w:val="18"/>
                <w:szCs w:val="18"/>
              </w:rPr>
              <w:t xml:space="preserve"> pašalpų mokėjimo trukme, nes galiu </w:t>
            </w:r>
            <w:r w:rsidRPr="00CE48FA">
              <w:rPr>
                <w:rFonts w:cs="Times New Roman"/>
                <w:i/>
                <w:sz w:val="18"/>
                <w:szCs w:val="18"/>
                <w:u w:val="single"/>
              </w:rPr>
              <w:t>pakankamai ilgai</w:t>
            </w:r>
            <w:r w:rsidRPr="00CE48FA">
              <w:rPr>
                <w:rFonts w:cs="Times New Roman"/>
                <w:i/>
                <w:sz w:val="18"/>
                <w:szCs w:val="18"/>
              </w:rPr>
              <w:t xml:space="preserve"> išgyventi nedirbdamas</w:t>
            </w:r>
          </w:p>
        </w:tc>
        <w:tc>
          <w:tcPr>
            <w:tcW w:w="656" w:type="dxa"/>
            <w:tcBorders>
              <w:top w:val="single" w:sz="6" w:space="0" w:color="auto"/>
              <w:left w:val="single" w:sz="12" w:space="0" w:color="auto"/>
              <w:bottom w:val="single" w:sz="6" w:space="0" w:color="auto"/>
            </w:tcBorders>
            <w:shd w:val="clear" w:color="auto" w:fill="E5B8B7"/>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78" w:type="dxa"/>
            <w:tcBorders>
              <w:top w:val="single" w:sz="6" w:space="0" w:color="auto"/>
              <w:bottom w:val="single" w:sz="6" w:space="0" w:color="auto"/>
              <w:right w:val="single" w:sz="12" w:space="0" w:color="auto"/>
            </w:tcBorders>
            <w:shd w:val="clear" w:color="auto" w:fill="FBD4B4"/>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rPr>
              <w:t xml:space="preserve">Pašalpų gavėjas turi </w:t>
            </w:r>
            <w:r w:rsidRPr="00CE48FA">
              <w:rPr>
                <w:rFonts w:cs="Times New Roman"/>
                <w:i/>
                <w:sz w:val="18"/>
                <w:szCs w:val="18"/>
                <w:u w:val="single"/>
              </w:rPr>
              <w:t>mažai</w:t>
            </w:r>
            <w:r w:rsidRPr="00CE48FA">
              <w:rPr>
                <w:rFonts w:cs="Times New Roman"/>
                <w:i/>
                <w:sz w:val="18"/>
                <w:szCs w:val="18"/>
              </w:rPr>
              <w:t xml:space="preserve"> pareigų – kad gaučiau pinigų, man reikėjo tik užsiregistruoti darbo biržoje</w:t>
            </w:r>
          </w:p>
        </w:tc>
        <w:tc>
          <w:tcPr>
            <w:tcW w:w="656" w:type="dxa"/>
            <w:tcBorders>
              <w:top w:val="single" w:sz="6" w:space="0" w:color="auto"/>
              <w:left w:val="single" w:sz="12" w:space="0" w:color="auto"/>
              <w:bottom w:val="single" w:sz="6" w:space="0" w:color="auto"/>
            </w:tcBorders>
            <w:shd w:val="clear" w:color="auto" w:fill="FBD4B4"/>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E60820">
        <w:tc>
          <w:tcPr>
            <w:tcW w:w="9378" w:type="dxa"/>
            <w:tcBorders>
              <w:top w:val="single" w:sz="6" w:space="0" w:color="auto"/>
              <w:bottom w:val="single" w:sz="6" w:space="0" w:color="auto"/>
              <w:right w:val="single" w:sz="12" w:space="0" w:color="auto"/>
            </w:tcBorders>
            <w:shd w:val="clear" w:color="auto" w:fill="FBD4B4"/>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rPr>
              <w:t xml:space="preserve">Pašalpų gavėjas </w:t>
            </w:r>
            <w:r w:rsidRPr="00CE48FA">
              <w:rPr>
                <w:rFonts w:cs="Times New Roman"/>
                <w:i/>
                <w:sz w:val="18"/>
                <w:szCs w:val="18"/>
                <w:u w:val="single"/>
              </w:rPr>
              <w:t>nėra baudžiamas</w:t>
            </w:r>
            <w:r w:rsidRPr="00CE48FA">
              <w:rPr>
                <w:rFonts w:cs="Times New Roman"/>
                <w:i/>
                <w:sz w:val="18"/>
                <w:szCs w:val="18"/>
              </w:rPr>
              <w:t xml:space="preserve">, kai pašalpomis naudojasi neteisėtai, todėl </w:t>
            </w:r>
            <w:r w:rsidRPr="00CE48FA">
              <w:rPr>
                <w:rFonts w:cs="Times New Roman"/>
                <w:i/>
                <w:sz w:val="18"/>
                <w:szCs w:val="18"/>
                <w:u w:val="single"/>
              </w:rPr>
              <w:t>reikia stengtis</w:t>
            </w:r>
            <w:r w:rsidRPr="00CE48FA">
              <w:rPr>
                <w:rFonts w:cs="Times New Roman"/>
                <w:i/>
                <w:sz w:val="18"/>
                <w:szCs w:val="18"/>
              </w:rPr>
              <w:t xml:space="preserve"> gauti pašalpą</w:t>
            </w:r>
          </w:p>
        </w:tc>
        <w:tc>
          <w:tcPr>
            <w:tcW w:w="656" w:type="dxa"/>
            <w:tcBorders>
              <w:top w:val="single" w:sz="6" w:space="0" w:color="auto"/>
              <w:left w:val="single" w:sz="12" w:space="0" w:color="auto"/>
              <w:bottom w:val="single" w:sz="6" w:space="0" w:color="auto"/>
            </w:tcBorders>
            <w:shd w:val="clear" w:color="auto" w:fill="FBD4B4"/>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r w:rsidR="00E60820" w:rsidRPr="00CE48FA" w:rsidTr="00CE48FA">
        <w:trPr>
          <w:trHeight w:val="147"/>
        </w:trPr>
        <w:tc>
          <w:tcPr>
            <w:tcW w:w="9378" w:type="dxa"/>
            <w:tcBorders>
              <w:top w:val="single" w:sz="6" w:space="0" w:color="auto"/>
              <w:bottom w:val="single" w:sz="12" w:space="0" w:color="auto"/>
              <w:right w:val="single" w:sz="12" w:space="0" w:color="auto"/>
            </w:tcBorders>
            <w:shd w:val="clear" w:color="auto" w:fill="FBD4B4"/>
          </w:tcPr>
          <w:p w:rsidR="00E60820" w:rsidRPr="00CE48FA" w:rsidRDefault="00E60820" w:rsidP="00CE48FA">
            <w:pPr>
              <w:pStyle w:val="Referatai"/>
              <w:spacing w:after="0" w:line="240" w:lineRule="auto"/>
              <w:ind w:firstLine="0"/>
              <w:rPr>
                <w:rFonts w:cs="Times New Roman"/>
                <w:i/>
                <w:sz w:val="18"/>
                <w:szCs w:val="18"/>
              </w:rPr>
            </w:pPr>
            <w:r w:rsidRPr="00CE48FA">
              <w:rPr>
                <w:rFonts w:cs="Times New Roman"/>
                <w:i/>
                <w:sz w:val="18"/>
                <w:szCs w:val="18"/>
              </w:rPr>
              <w:t xml:space="preserve">Nors ir </w:t>
            </w:r>
            <w:r w:rsidRPr="00CE48FA">
              <w:rPr>
                <w:rFonts w:cs="Times New Roman"/>
                <w:i/>
                <w:sz w:val="18"/>
                <w:szCs w:val="18"/>
                <w:u w:val="single"/>
              </w:rPr>
              <w:t>ne visada</w:t>
            </w:r>
            <w:r w:rsidRPr="00CE48FA">
              <w:rPr>
                <w:rFonts w:cs="Times New Roman"/>
                <w:i/>
                <w:sz w:val="18"/>
                <w:szCs w:val="18"/>
              </w:rPr>
              <w:t xml:space="preserve"> mokėjau visus mokesčius, vis tiek manau, kad turiu pilną teisę į socialines pašalpas</w:t>
            </w:r>
          </w:p>
        </w:tc>
        <w:tc>
          <w:tcPr>
            <w:tcW w:w="656" w:type="dxa"/>
            <w:tcBorders>
              <w:top w:val="single" w:sz="6" w:space="0" w:color="auto"/>
              <w:left w:val="single" w:sz="12" w:space="0" w:color="auto"/>
              <w:bottom w:val="single" w:sz="12" w:space="0" w:color="auto"/>
            </w:tcBorders>
            <w:shd w:val="clear" w:color="auto" w:fill="FBD4B4"/>
          </w:tcPr>
          <w:p w:rsidR="00E60820" w:rsidRPr="00CE48FA" w:rsidRDefault="00E60820" w:rsidP="00CE48FA">
            <w:pPr>
              <w:pStyle w:val="Referatai"/>
              <w:tabs>
                <w:tab w:val="left" w:pos="324"/>
              </w:tabs>
              <w:spacing w:after="0" w:line="240" w:lineRule="auto"/>
              <w:ind w:firstLine="0"/>
              <w:jc w:val="center"/>
              <w:rPr>
                <w:rFonts w:cs="Times New Roman"/>
                <w:color w:val="0070C0"/>
                <w:sz w:val="18"/>
                <w:szCs w:val="18"/>
              </w:rPr>
            </w:pPr>
          </w:p>
        </w:tc>
      </w:tr>
    </w:tbl>
    <w:p w:rsidR="00E60820" w:rsidRDefault="00E60820" w:rsidP="00E60820">
      <w:pPr>
        <w:pStyle w:val="Referatai"/>
        <w:spacing w:after="60" w:line="240" w:lineRule="auto"/>
        <w:ind w:firstLine="533"/>
        <w:rPr>
          <w:sz w:val="20"/>
          <w:szCs w:val="20"/>
        </w:rPr>
      </w:pPr>
      <w:r>
        <w:rPr>
          <w:b/>
          <w:sz w:val="20"/>
          <w:szCs w:val="20"/>
        </w:rPr>
        <w:t>Nurodykite pagrindinę priežastį, kas Jums trukdo pakankamai užsidirbti patiems</w:t>
      </w:r>
      <w:r>
        <w:rPr>
          <w:sz w:val="20"/>
          <w:szCs w:val="20"/>
        </w:rPr>
        <w:t xml:space="preserve"> (</w:t>
      </w:r>
      <w:r w:rsidRPr="004D0F9C">
        <w:rPr>
          <w:sz w:val="20"/>
          <w:szCs w:val="20"/>
          <w:u w:val="single"/>
        </w:rPr>
        <w:t>pakomentuokite</w:t>
      </w:r>
      <w:r>
        <w:rPr>
          <w:sz w:val="20"/>
          <w:szCs w:val="20"/>
        </w:rPr>
        <w:t>):</w:t>
      </w:r>
    </w:p>
    <w:p w:rsidR="00E60820" w:rsidRPr="00470D5F" w:rsidRDefault="00E60820" w:rsidP="00E60820">
      <w:pPr>
        <w:framePr w:w="9879" w:h="802" w:hRule="exact" w:hSpace="180" w:wrap="around" w:vAnchor="text" w:hAnchor="page" w:x="1373" w:y="7"/>
        <w:pBdr>
          <w:top w:val="single" w:sz="12" w:space="2" w:color="E20000"/>
          <w:left w:val="single" w:sz="12" w:space="2" w:color="E20000"/>
          <w:bottom w:val="single" w:sz="12" w:space="2" w:color="E20000"/>
          <w:right w:val="single" w:sz="12" w:space="2" w:color="E20000"/>
        </w:pBdr>
        <w:shd w:val="solid" w:color="FFFFFF" w:fill="FFFFFF"/>
        <w:rPr>
          <w:sz w:val="19"/>
          <w:szCs w:val="19"/>
        </w:rPr>
      </w:pPr>
    </w:p>
    <w:p w:rsidR="00E60820" w:rsidRPr="00AA000D" w:rsidRDefault="00E60820" w:rsidP="00E60820">
      <w:pPr>
        <w:pStyle w:val="Referatai"/>
        <w:pBdr>
          <w:bottom w:val="thickThinSmallGap" w:sz="24" w:space="1" w:color="auto"/>
        </w:pBdr>
        <w:spacing w:line="240" w:lineRule="auto"/>
        <w:ind w:firstLine="0"/>
        <w:jc w:val="center"/>
        <w:rPr>
          <w:b/>
          <w:color w:val="EA0000"/>
          <w:sz w:val="28"/>
          <w:szCs w:val="28"/>
        </w:rPr>
      </w:pPr>
      <w:r w:rsidRPr="00AA000D">
        <w:rPr>
          <w:b/>
          <w:color w:val="EA0000"/>
          <w:sz w:val="28"/>
          <w:szCs w:val="28"/>
        </w:rPr>
        <w:t>DĖKOJAME UŽ BENDRADARBIAVIMĄ!</w:t>
      </w:r>
    </w:p>
    <w:p w:rsidR="006F3F1C" w:rsidRPr="00F72D09" w:rsidRDefault="006F3F1C" w:rsidP="006F3F1C">
      <w:pPr>
        <w:pStyle w:val="Referatai"/>
        <w:pBdr>
          <w:top w:val="thinThickSmallGap" w:sz="24" w:space="1" w:color="auto"/>
        </w:pBdr>
        <w:spacing w:line="240" w:lineRule="auto"/>
        <w:ind w:firstLine="0"/>
        <w:jc w:val="center"/>
        <w:rPr>
          <w:rFonts w:ascii="Elephant" w:hAnsi="Elephant"/>
          <w:sz w:val="22"/>
          <w:szCs w:val="22"/>
        </w:rPr>
      </w:pPr>
    </w:p>
    <w:p w:rsidR="006F3F1C" w:rsidRPr="0050159C" w:rsidRDefault="006F3F1C" w:rsidP="006F3F1C">
      <w:pPr>
        <w:pStyle w:val="Referatai"/>
        <w:spacing w:after="60"/>
        <w:ind w:firstLine="0"/>
        <w:jc w:val="center"/>
        <w:rPr>
          <w:rFonts w:ascii="Elephant" w:hAnsi="Elephant"/>
          <w:b/>
          <w:color w:val="E20000"/>
          <w:sz w:val="28"/>
          <w:szCs w:val="28"/>
        </w:rPr>
      </w:pPr>
      <w:r w:rsidRPr="0050159C">
        <w:rPr>
          <w:rFonts w:ascii="Elephant" w:hAnsi="Elephant"/>
          <w:b/>
          <w:color w:val="E20000"/>
          <w:sz w:val="28"/>
          <w:szCs w:val="28"/>
        </w:rPr>
        <w:t>INTERVIU GAIR</w:t>
      </w:r>
      <w:r w:rsidRPr="0050159C">
        <w:rPr>
          <w:b/>
          <w:color w:val="E20000"/>
          <w:sz w:val="28"/>
          <w:szCs w:val="28"/>
        </w:rPr>
        <w:t>Ė</w:t>
      </w:r>
      <w:r w:rsidRPr="0050159C">
        <w:rPr>
          <w:rFonts w:ascii="Elephant" w:hAnsi="Elephant"/>
          <w:b/>
          <w:color w:val="E20000"/>
          <w:sz w:val="28"/>
          <w:szCs w:val="28"/>
        </w:rPr>
        <w:t>S, 2012</w:t>
      </w:r>
    </w:p>
    <w:p w:rsidR="006F3F1C" w:rsidRPr="001D4928" w:rsidRDefault="006F3F1C" w:rsidP="006F3F1C">
      <w:pPr>
        <w:pStyle w:val="Referatai"/>
        <w:spacing w:after="60"/>
        <w:ind w:firstLine="0"/>
        <w:jc w:val="center"/>
        <w:rPr>
          <w:rFonts w:cs="Times New Roman"/>
          <w:b/>
        </w:rPr>
      </w:pPr>
      <w:r w:rsidRPr="001D4928">
        <w:rPr>
          <w:rFonts w:cs="Times New Roman"/>
          <w:b/>
        </w:rPr>
        <w:t>„</w:t>
      </w:r>
      <w:r>
        <w:rPr>
          <w:rFonts w:cs="Times New Roman"/>
          <w:b/>
        </w:rPr>
        <w:t>Nedarbo socialinio draudimo išmokų bei socialinės paramos gavėjų elgsenos gerinimas“</w:t>
      </w:r>
    </w:p>
    <w:p w:rsidR="006F3F1C" w:rsidRPr="00FF0686" w:rsidRDefault="006F3F1C" w:rsidP="006F3F1C">
      <w:pPr>
        <w:pStyle w:val="Referatai"/>
        <w:spacing w:after="60"/>
        <w:ind w:firstLine="0"/>
        <w:jc w:val="center"/>
        <w:rPr>
          <w:sz w:val="20"/>
          <w:szCs w:val="20"/>
        </w:rPr>
      </w:pPr>
      <w:r w:rsidRPr="00FF0686">
        <w:rPr>
          <w:sz w:val="20"/>
          <w:szCs w:val="20"/>
        </w:rPr>
        <w:t>Magistro baigiamasis darbas. Pagalbinė tiriamosios dalies priemonė</w:t>
      </w:r>
    </w:p>
    <w:p w:rsidR="006F3F1C" w:rsidRPr="00FF0686" w:rsidRDefault="006F3F1C" w:rsidP="006F3F1C">
      <w:pPr>
        <w:spacing w:before="240" w:after="60"/>
        <w:ind w:firstLine="562"/>
        <w:rPr>
          <w:sz w:val="20"/>
        </w:rPr>
      </w:pPr>
      <w:r w:rsidRPr="00FF0686">
        <w:rPr>
          <w:sz w:val="20"/>
        </w:rPr>
        <w:t xml:space="preserve">Šie interviu atliekami po </w:t>
      </w:r>
      <w:r w:rsidRPr="00775EFC">
        <w:rPr>
          <w:sz w:val="20"/>
          <w:u w:val="single"/>
        </w:rPr>
        <w:t>nedarbo socialinio draudimo išmokas</w:t>
      </w:r>
      <w:r w:rsidRPr="00775EFC">
        <w:rPr>
          <w:sz w:val="20"/>
        </w:rPr>
        <w:t xml:space="preserve"> ir / ar </w:t>
      </w:r>
      <w:r w:rsidRPr="00775EFC">
        <w:rPr>
          <w:sz w:val="20"/>
          <w:u w:val="single"/>
        </w:rPr>
        <w:t>socialinę paramą</w:t>
      </w:r>
      <w:r w:rsidRPr="00775EFC">
        <w:rPr>
          <w:sz w:val="20"/>
        </w:rPr>
        <w:t xml:space="preserve"> gaunančių</w:t>
      </w:r>
      <w:r>
        <w:rPr>
          <w:sz w:val="20"/>
        </w:rPr>
        <w:t xml:space="preserve"> šalies piliečių (toliau – socialinių išmokų ir pramos gavėjų) nuomonių tyrimo</w:t>
      </w:r>
      <w:r w:rsidRPr="00FF0686">
        <w:rPr>
          <w:sz w:val="20"/>
        </w:rPr>
        <w:t>.</w:t>
      </w:r>
      <w:r>
        <w:rPr>
          <w:sz w:val="20"/>
        </w:rPr>
        <w:t xml:space="preserve"> Ankstesniu tyrimu buvo siekiam</w:t>
      </w:r>
      <w:r w:rsidRPr="00FF0686">
        <w:rPr>
          <w:sz w:val="20"/>
        </w:rPr>
        <w:t xml:space="preserve">a atskleisti, kaip </w:t>
      </w:r>
      <w:r>
        <w:rPr>
          <w:sz w:val="20"/>
        </w:rPr>
        <w:t xml:space="preserve">patys bedarbiai ir socialinės paramos </w:t>
      </w:r>
      <w:r w:rsidRPr="00FF0686">
        <w:rPr>
          <w:sz w:val="20"/>
        </w:rPr>
        <w:t xml:space="preserve">gavėjai vertina savo </w:t>
      </w:r>
      <w:r>
        <w:rPr>
          <w:sz w:val="20"/>
        </w:rPr>
        <w:t xml:space="preserve">finansinę elgseną </w:t>
      </w:r>
      <w:r w:rsidRPr="00FF0686">
        <w:rPr>
          <w:sz w:val="20"/>
        </w:rPr>
        <w:t xml:space="preserve">ir kokie veiksniai daro didžiausią įtaką jų </w:t>
      </w:r>
      <w:r>
        <w:rPr>
          <w:i/>
          <w:sz w:val="20"/>
        </w:rPr>
        <w:t xml:space="preserve">sprendimui </w:t>
      </w:r>
      <w:r w:rsidRPr="00FF0686">
        <w:rPr>
          <w:sz w:val="20"/>
        </w:rPr>
        <w:t xml:space="preserve">pajamas formuoti iš </w:t>
      </w:r>
      <w:r>
        <w:rPr>
          <w:sz w:val="20"/>
        </w:rPr>
        <w:t>socialinės</w:t>
      </w:r>
      <w:r w:rsidRPr="00FF0686">
        <w:rPr>
          <w:sz w:val="20"/>
        </w:rPr>
        <w:t xml:space="preserve"> apsaugos lėšų – žvelgiant į jas tiek kaip į pagrindines, tiek kaip į papildomas pajamas.</w:t>
      </w:r>
    </w:p>
    <w:p w:rsidR="006F3F1C" w:rsidRPr="00FF0686" w:rsidRDefault="006F3F1C" w:rsidP="006F3F1C">
      <w:pPr>
        <w:spacing w:before="60" w:after="240"/>
        <w:ind w:firstLine="562"/>
        <w:rPr>
          <w:sz w:val="20"/>
        </w:rPr>
      </w:pPr>
      <w:r w:rsidRPr="00FF0686">
        <w:rPr>
          <w:b/>
          <w:i/>
          <w:color w:val="E20000"/>
          <w:sz w:val="20"/>
        </w:rPr>
        <w:t>Šio tyrimo tikslas</w:t>
      </w:r>
      <w:r w:rsidRPr="00FF0686">
        <w:rPr>
          <w:sz w:val="20"/>
        </w:rPr>
        <w:t xml:space="preserve"> yra išsiaiškinti, kaip specialistai-savo srities žinovai vertina nedarbo </w:t>
      </w:r>
      <w:r>
        <w:rPr>
          <w:sz w:val="20"/>
        </w:rPr>
        <w:t>socialinio draudimo išmokas ir / ar socialinę paramą gaunančių</w:t>
      </w:r>
      <w:r w:rsidRPr="00FF0686">
        <w:rPr>
          <w:sz w:val="20"/>
        </w:rPr>
        <w:t xml:space="preserve"> asmenų</w:t>
      </w:r>
      <w:r>
        <w:rPr>
          <w:sz w:val="20"/>
        </w:rPr>
        <w:t xml:space="preserve"> sprendimus</w:t>
      </w:r>
      <w:r w:rsidRPr="00FF0686">
        <w:rPr>
          <w:sz w:val="20"/>
        </w:rPr>
        <w:t xml:space="preserve">, ir suformuoti bendrą suvokimą apie gyventojų finansinę elgseną socialinės apsaugos srityje. Šis tyrimas </w:t>
      </w:r>
      <w:r>
        <w:rPr>
          <w:sz w:val="20"/>
        </w:rPr>
        <w:t>taip pat</w:t>
      </w:r>
      <w:r w:rsidRPr="00FF0686">
        <w:rPr>
          <w:sz w:val="20"/>
        </w:rPr>
        <w:t xml:space="preserve"> reikalingas, norint </w:t>
      </w:r>
      <w:r>
        <w:rPr>
          <w:sz w:val="20"/>
        </w:rPr>
        <w:t xml:space="preserve">įsitikinti šalies piliečių </w:t>
      </w:r>
      <w:r w:rsidRPr="00FF0686">
        <w:rPr>
          <w:sz w:val="20"/>
        </w:rPr>
        <w:t>apklausos rezultatų patikimumu.</w:t>
      </w:r>
    </w:p>
    <w:p w:rsidR="006F3F1C" w:rsidRPr="00FF0686" w:rsidRDefault="006F3F1C" w:rsidP="006F3F1C">
      <w:pPr>
        <w:spacing w:before="60" w:after="60"/>
        <w:ind w:firstLine="562"/>
        <w:rPr>
          <w:sz w:val="20"/>
        </w:rPr>
      </w:pPr>
      <w:r w:rsidRPr="00FF0686">
        <w:rPr>
          <w:b/>
          <w:i/>
          <w:sz w:val="20"/>
        </w:rPr>
        <w:t>Pagrindinis dėmesys skiriamas šioms temoms</w:t>
      </w:r>
      <w:r w:rsidRPr="00FF0686">
        <w:rPr>
          <w:sz w:val="20"/>
        </w:rPr>
        <w:t>:</w:t>
      </w:r>
    </w:p>
    <w:p w:rsidR="006F3F1C" w:rsidRPr="00FF0686" w:rsidRDefault="006F3F1C" w:rsidP="006F3F1C">
      <w:pPr>
        <w:spacing w:after="60"/>
        <w:ind w:firstLine="562"/>
        <w:rPr>
          <w:sz w:val="20"/>
        </w:rPr>
      </w:pPr>
      <w:r w:rsidRPr="00FF0686">
        <w:rPr>
          <w:b/>
          <w:sz w:val="20"/>
        </w:rPr>
        <w:t>A.</w:t>
      </w:r>
      <w:r w:rsidRPr="00FF0686">
        <w:rPr>
          <w:sz w:val="20"/>
        </w:rPr>
        <w:t> </w:t>
      </w:r>
      <w:r>
        <w:rPr>
          <w:sz w:val="20"/>
        </w:rPr>
        <w:t>Nedarbo socialinio draudimo išmokų</w:t>
      </w:r>
      <w:r w:rsidRPr="00FF0686">
        <w:rPr>
          <w:sz w:val="20"/>
        </w:rPr>
        <w:t xml:space="preserve"> </w:t>
      </w:r>
      <w:r>
        <w:rPr>
          <w:sz w:val="20"/>
        </w:rPr>
        <w:t xml:space="preserve">ir socialinės paramos </w:t>
      </w:r>
      <w:r w:rsidRPr="00FF0686">
        <w:rPr>
          <w:sz w:val="20"/>
        </w:rPr>
        <w:t xml:space="preserve">gavėjų </w:t>
      </w:r>
      <w:r>
        <w:rPr>
          <w:sz w:val="20"/>
        </w:rPr>
        <w:t xml:space="preserve">finansinei </w:t>
      </w:r>
      <w:r w:rsidRPr="00FF0686">
        <w:rPr>
          <w:sz w:val="20"/>
        </w:rPr>
        <w:t>elgsenai įtaką darantys veiksniai;</w:t>
      </w:r>
    </w:p>
    <w:p w:rsidR="006F3F1C" w:rsidRPr="00FF0686" w:rsidRDefault="006F3F1C" w:rsidP="006F3F1C">
      <w:pPr>
        <w:spacing w:after="60"/>
        <w:ind w:firstLine="562"/>
        <w:rPr>
          <w:sz w:val="20"/>
        </w:rPr>
      </w:pPr>
      <w:r w:rsidRPr="00FF0686">
        <w:rPr>
          <w:b/>
          <w:sz w:val="20"/>
        </w:rPr>
        <w:t>B.</w:t>
      </w:r>
      <w:r w:rsidRPr="00FF0686">
        <w:rPr>
          <w:sz w:val="20"/>
        </w:rPr>
        <w:t> </w:t>
      </w:r>
      <w:r>
        <w:rPr>
          <w:sz w:val="20"/>
        </w:rPr>
        <w:t>Nedarbo socialinio draudimo išmokų</w:t>
      </w:r>
      <w:r w:rsidRPr="00FF0686">
        <w:rPr>
          <w:sz w:val="20"/>
        </w:rPr>
        <w:t xml:space="preserve"> </w:t>
      </w:r>
      <w:r>
        <w:rPr>
          <w:sz w:val="20"/>
        </w:rPr>
        <w:t xml:space="preserve">ir socialinės paramos </w:t>
      </w:r>
      <w:r w:rsidRPr="00FF0686">
        <w:rPr>
          <w:sz w:val="20"/>
        </w:rPr>
        <w:t xml:space="preserve">gavėjų </w:t>
      </w:r>
      <w:r>
        <w:rPr>
          <w:sz w:val="20"/>
        </w:rPr>
        <w:t xml:space="preserve">pastangos </w:t>
      </w:r>
      <w:r w:rsidRPr="00FF0686">
        <w:rPr>
          <w:sz w:val="20"/>
        </w:rPr>
        <w:t>pakeisti savo socialinį statusą.</w:t>
      </w:r>
    </w:p>
    <w:p w:rsidR="006F3F1C" w:rsidRPr="00FF0686" w:rsidRDefault="006F3F1C" w:rsidP="006F3F1C">
      <w:pPr>
        <w:spacing w:after="160"/>
        <w:ind w:firstLine="562"/>
        <w:rPr>
          <w:sz w:val="20"/>
        </w:rPr>
      </w:pPr>
      <w:r w:rsidRPr="00FF0686">
        <w:rPr>
          <w:sz w:val="20"/>
        </w:rPr>
        <w:t xml:space="preserve">Taigi </w:t>
      </w:r>
      <w:r w:rsidRPr="00FF0686">
        <w:rPr>
          <w:b/>
          <w:i/>
          <w:color w:val="E20000"/>
          <w:sz w:val="20"/>
        </w:rPr>
        <w:t>interviu tikslas</w:t>
      </w:r>
      <w:r w:rsidRPr="00FF0686">
        <w:rPr>
          <w:sz w:val="20"/>
        </w:rPr>
        <w:t xml:space="preserve"> yra </w:t>
      </w:r>
      <w:r>
        <w:rPr>
          <w:sz w:val="20"/>
        </w:rPr>
        <w:t>išsiaiškinti, kok</w:t>
      </w:r>
      <w:r w:rsidRPr="00FF0686">
        <w:rPr>
          <w:sz w:val="20"/>
        </w:rPr>
        <w:t xml:space="preserve">ie veiksniai </w:t>
      </w:r>
      <w:r>
        <w:rPr>
          <w:sz w:val="20"/>
        </w:rPr>
        <w:t xml:space="preserve">labiausiai lemia socialinių išmokų ir paramos </w:t>
      </w:r>
      <w:r w:rsidRPr="00FF0686">
        <w:rPr>
          <w:sz w:val="20"/>
        </w:rPr>
        <w:t>gavėjų</w:t>
      </w:r>
      <w:r>
        <w:rPr>
          <w:sz w:val="20"/>
        </w:rPr>
        <w:t xml:space="preserve"> elgseną socialinės apsaugos srityje</w:t>
      </w:r>
      <w:r w:rsidRPr="00FF0686">
        <w:rPr>
          <w:sz w:val="20"/>
        </w:rPr>
        <w:t xml:space="preserve">, ir kartu nustatyti, kokios yra </w:t>
      </w:r>
      <w:r w:rsidRPr="00DC340D">
        <w:rPr>
          <w:color w:val="000000"/>
          <w:sz w:val="20"/>
        </w:rPr>
        <w:t xml:space="preserve">asmeninių pastangų </w:t>
      </w:r>
      <w:r w:rsidRPr="00DC340D">
        <w:rPr>
          <w:i/>
          <w:color w:val="000000"/>
          <w:sz w:val="20"/>
        </w:rPr>
        <w:t xml:space="preserve">tikslui </w:t>
      </w:r>
      <w:r w:rsidRPr="008D03AC">
        <w:rPr>
          <w:color w:val="000000"/>
          <w:sz w:val="20"/>
        </w:rPr>
        <w:t>pasiekti</w:t>
      </w:r>
      <w:r>
        <w:rPr>
          <w:color w:val="000000"/>
          <w:sz w:val="20"/>
        </w:rPr>
        <w:t xml:space="preserve">, t. y. įsidarbinti, </w:t>
      </w:r>
      <w:r w:rsidRPr="008D03AC">
        <w:rPr>
          <w:color w:val="000000"/>
          <w:sz w:val="20"/>
        </w:rPr>
        <w:t>tendencijos</w:t>
      </w:r>
      <w:r w:rsidRPr="00DC340D">
        <w:rPr>
          <w:color w:val="000000"/>
          <w:sz w:val="20"/>
        </w:rPr>
        <w:t>.</w:t>
      </w:r>
    </w:p>
    <w:p w:rsidR="00D25CE7" w:rsidRDefault="006F3F1C" w:rsidP="006F3F1C">
      <w:pPr>
        <w:ind w:firstLine="0"/>
      </w:pPr>
      <w:r>
        <w:rPr>
          <w:noProof/>
          <w:lang w:val="en-US"/>
        </w:rPr>
        <w:drawing>
          <wp:inline distT="0" distB="0" distL="0" distR="0">
            <wp:extent cx="6505575" cy="4029075"/>
            <wp:effectExtent l="19050" t="0" r="9525" b="0"/>
            <wp:docPr id="1679" name="Picture 1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9"/>
                    <pic:cNvPicPr>
                      <a:picLocks noChangeAspect="1" noChangeArrowheads="1"/>
                    </pic:cNvPicPr>
                  </pic:nvPicPr>
                  <pic:blipFill>
                    <a:blip r:embed="rId82" cstate="print"/>
                    <a:srcRect/>
                    <a:stretch>
                      <a:fillRect/>
                    </a:stretch>
                  </pic:blipFill>
                  <pic:spPr bwMode="auto">
                    <a:xfrm>
                      <a:off x="0" y="0"/>
                      <a:ext cx="6505575" cy="4029075"/>
                    </a:xfrm>
                    <a:prstGeom prst="rect">
                      <a:avLst/>
                    </a:prstGeom>
                    <a:noFill/>
                    <a:ln w="9525">
                      <a:noFill/>
                      <a:miter lim="800000"/>
                      <a:headEnd/>
                      <a:tailEnd/>
                    </a:ln>
                  </pic:spPr>
                </pic:pic>
              </a:graphicData>
            </a:graphic>
          </wp:inline>
        </w:drawing>
      </w:r>
    </w:p>
    <w:p w:rsidR="006F3F1C" w:rsidRDefault="006F3F1C" w:rsidP="006F3F1C">
      <w:pPr>
        <w:pBdr>
          <w:bottom w:val="thickThinSmallGap" w:sz="24" w:space="1" w:color="auto"/>
        </w:pBdr>
        <w:spacing w:after="60"/>
        <w:jc w:val="center"/>
        <w:rPr>
          <w:b/>
          <w:color w:val="E20000"/>
          <w:lang w:val="en-US"/>
        </w:rPr>
      </w:pPr>
      <w:r w:rsidRPr="003058A8">
        <w:rPr>
          <w:b/>
          <w:color w:val="E20000"/>
        </w:rPr>
        <w:t>Užtikriname, jog atsakymai bus laikomi anonimiškais ir individualūs respondentai nebus identifikuojami išvadose</w:t>
      </w:r>
      <w:r w:rsidRPr="003058A8">
        <w:rPr>
          <w:b/>
          <w:color w:val="E20000"/>
          <w:lang w:val="en-US"/>
        </w:rPr>
        <w:t>!</w:t>
      </w:r>
    </w:p>
    <w:p w:rsidR="006F3F1C" w:rsidRPr="00EB4A08" w:rsidRDefault="006F3F1C" w:rsidP="006F3F1C">
      <w:pPr>
        <w:pStyle w:val="Referatai"/>
        <w:pBdr>
          <w:top w:val="thinThickSmallGap" w:sz="24" w:space="2" w:color="auto"/>
        </w:pBdr>
        <w:spacing w:line="240" w:lineRule="auto"/>
        <w:ind w:firstLine="0"/>
        <w:rPr>
          <w:sz w:val="2"/>
          <w:szCs w:val="2"/>
        </w:rPr>
      </w:pPr>
    </w:p>
    <w:p w:rsidR="006F3F1C" w:rsidRPr="002225A6" w:rsidRDefault="006F3F1C" w:rsidP="006F3F1C">
      <w:pPr>
        <w:framePr w:w="5596" w:hSpace="180" w:wrap="around" w:vAnchor="text" w:hAnchor="page" w:x="5671" w:y="334"/>
        <w:pBdr>
          <w:top w:val="single" w:sz="12" w:space="2" w:color="E20000"/>
          <w:left w:val="single" w:sz="12" w:space="2" w:color="E20000"/>
          <w:bottom w:val="single" w:sz="12" w:space="2" w:color="E20000"/>
          <w:right w:val="single" w:sz="12" w:space="2" w:color="E20000"/>
        </w:pBdr>
        <w:shd w:val="solid" w:color="FFFFFF" w:fill="FFFFFF"/>
        <w:rPr>
          <w:sz w:val="20"/>
        </w:rPr>
      </w:pPr>
    </w:p>
    <w:p w:rsidR="006F3F1C" w:rsidRPr="00435B98" w:rsidRDefault="006F3F1C" w:rsidP="00EB4A08">
      <w:pPr>
        <w:pStyle w:val="Referatai"/>
        <w:spacing w:after="0"/>
        <w:ind w:firstLine="562"/>
        <w:rPr>
          <w:b/>
          <w:color w:val="E20000"/>
          <w:sz w:val="19"/>
          <w:szCs w:val="19"/>
          <w:u w:val="single"/>
        </w:rPr>
      </w:pPr>
      <w:r w:rsidRPr="00435B98">
        <w:rPr>
          <w:b/>
          <w:color w:val="E20000"/>
          <w:sz w:val="19"/>
          <w:szCs w:val="19"/>
          <w:u w:val="single"/>
        </w:rPr>
        <w:t>BENDROJI INFORMACIJA</w:t>
      </w:r>
    </w:p>
    <w:p w:rsidR="006F3F1C" w:rsidRPr="00721351" w:rsidRDefault="006F3F1C" w:rsidP="00EB4A08">
      <w:pPr>
        <w:pStyle w:val="Referatai"/>
        <w:spacing w:before="60" w:after="80" w:line="240" w:lineRule="auto"/>
        <w:ind w:firstLine="562"/>
        <w:contextualSpacing w:val="0"/>
        <w:rPr>
          <w:sz w:val="20"/>
          <w:szCs w:val="20"/>
        </w:rPr>
      </w:pPr>
      <w:r w:rsidRPr="00721351">
        <w:rPr>
          <w:b/>
          <w:sz w:val="20"/>
          <w:szCs w:val="20"/>
        </w:rPr>
        <w:t>Jūsų p</w:t>
      </w:r>
      <w:r>
        <w:rPr>
          <w:b/>
          <w:sz w:val="20"/>
          <w:szCs w:val="20"/>
        </w:rPr>
        <w:t>areigos</w:t>
      </w:r>
      <w:r w:rsidRPr="00721351">
        <w:rPr>
          <w:sz w:val="20"/>
          <w:szCs w:val="20"/>
        </w:rPr>
        <w:t>:</w:t>
      </w:r>
    </w:p>
    <w:p w:rsidR="006F3F1C" w:rsidRPr="00721351" w:rsidRDefault="006F3F1C" w:rsidP="006F3F1C">
      <w:pPr>
        <w:pStyle w:val="Referatai"/>
        <w:spacing w:before="60" w:after="120" w:line="240" w:lineRule="auto"/>
        <w:ind w:firstLine="562"/>
        <w:rPr>
          <w:sz w:val="20"/>
          <w:szCs w:val="20"/>
        </w:rPr>
      </w:pPr>
      <w:r w:rsidRPr="00721351">
        <w:rPr>
          <w:b/>
          <w:sz w:val="20"/>
          <w:szCs w:val="20"/>
        </w:rPr>
        <w:t>Jūsų išsilavinim</w:t>
      </w:r>
      <w:r>
        <w:rPr>
          <w:b/>
          <w:sz w:val="20"/>
          <w:szCs w:val="20"/>
        </w:rPr>
        <w:t>as</w:t>
      </w:r>
      <w:r w:rsidRPr="00721351">
        <w:rPr>
          <w:sz w:val="20"/>
          <w:szCs w:val="20"/>
        </w:rPr>
        <w:t>:</w:t>
      </w:r>
    </w:p>
    <w:p w:rsidR="006F3F1C" w:rsidRPr="00871F4E" w:rsidRDefault="00D84BC4" w:rsidP="00560E1E">
      <w:pPr>
        <w:spacing w:after="60" w:line="240" w:lineRule="auto"/>
        <w:textAlignment w:val="top"/>
        <w:rPr>
          <w:sz w:val="20"/>
        </w:rPr>
      </w:pPr>
      <w:r w:rsidRPr="00871F4E">
        <w:rPr>
          <w:sz w:val="20"/>
        </w:rPr>
        <w:object w:dxaOrig="0" w:dyaOrig="0">
          <v:shape id="_x0000_i1215" type="#_x0000_t75" style="width:20.25pt;height:18pt" o:ole="">
            <v:imagedata r:id="rId49" o:title=""/>
          </v:shape>
          <w:control r:id="rId83" w:name="DefaultOcxName63422" w:shapeid="_x0000_i1215"/>
        </w:object>
      </w:r>
      <w:r w:rsidR="006F3F1C" w:rsidRPr="00871F4E">
        <w:rPr>
          <w:sz w:val="20"/>
        </w:rPr>
        <w:t>aukštesnysis;</w:t>
      </w:r>
    </w:p>
    <w:p w:rsidR="006F3F1C" w:rsidRPr="00871F4E" w:rsidRDefault="00D84BC4" w:rsidP="00560E1E">
      <w:pPr>
        <w:spacing w:after="60" w:line="240" w:lineRule="auto"/>
        <w:textAlignment w:val="top"/>
        <w:rPr>
          <w:sz w:val="20"/>
        </w:rPr>
      </w:pPr>
      <w:r w:rsidRPr="00871F4E">
        <w:rPr>
          <w:sz w:val="20"/>
        </w:rPr>
        <w:object w:dxaOrig="0" w:dyaOrig="0">
          <v:shape id="_x0000_i1218" type="#_x0000_t75" style="width:20.25pt;height:18pt" o:ole="">
            <v:imagedata r:id="rId49" o:title=""/>
          </v:shape>
          <w:control r:id="rId84" w:name="DefaultOcxName64322" w:shapeid="_x0000_i1218"/>
        </w:object>
      </w:r>
      <w:r w:rsidR="006F3F1C" w:rsidRPr="00871F4E">
        <w:rPr>
          <w:sz w:val="20"/>
        </w:rPr>
        <w:t>aukštasis (neuniversitetinis);</w:t>
      </w:r>
    </w:p>
    <w:p w:rsidR="006F3F1C" w:rsidRPr="00871F4E" w:rsidRDefault="00D84BC4" w:rsidP="00560E1E">
      <w:pPr>
        <w:spacing w:after="60" w:line="240" w:lineRule="auto"/>
        <w:textAlignment w:val="top"/>
        <w:rPr>
          <w:sz w:val="20"/>
        </w:rPr>
      </w:pPr>
      <w:r w:rsidRPr="00871F4E">
        <w:rPr>
          <w:sz w:val="20"/>
        </w:rPr>
        <w:object w:dxaOrig="0" w:dyaOrig="0">
          <v:shape id="_x0000_i1221" type="#_x0000_t75" style="width:20.25pt;height:18pt" o:ole="">
            <v:imagedata r:id="rId49" o:title=""/>
          </v:shape>
          <w:control r:id="rId85" w:name="DefaultOcxName63112" w:shapeid="_x0000_i1221"/>
        </w:object>
      </w:r>
      <w:r w:rsidR="006F3F1C" w:rsidRPr="00871F4E">
        <w:rPr>
          <w:sz w:val="20"/>
        </w:rPr>
        <w:t>aukštasis (universitetinis).</w:t>
      </w:r>
    </w:p>
    <w:p w:rsidR="006F3F1C" w:rsidRDefault="006F3F1C" w:rsidP="00836ED4">
      <w:pPr>
        <w:spacing w:after="80" w:line="240" w:lineRule="auto"/>
        <w:contextualSpacing w:val="0"/>
        <w:textAlignment w:val="top"/>
        <w:rPr>
          <w:b/>
          <w:sz w:val="20"/>
        </w:rPr>
      </w:pPr>
      <w:r w:rsidRPr="005E1008">
        <w:rPr>
          <w:b/>
          <w:sz w:val="20"/>
        </w:rPr>
        <w:t xml:space="preserve">Ar sutinkate su teiginiu, jog: „VISI nedarbo </w:t>
      </w:r>
      <w:r>
        <w:rPr>
          <w:b/>
          <w:sz w:val="20"/>
        </w:rPr>
        <w:t xml:space="preserve">socialinio </w:t>
      </w:r>
      <w:r w:rsidRPr="005E1008">
        <w:rPr>
          <w:b/>
          <w:sz w:val="20"/>
        </w:rPr>
        <w:t>draudimo išmokas</w:t>
      </w:r>
      <w:r>
        <w:rPr>
          <w:b/>
          <w:sz w:val="20"/>
        </w:rPr>
        <w:t xml:space="preserve"> ir / ar socialinę paramą gaunantys žmonė</w:t>
      </w:r>
      <w:r w:rsidRPr="005E1008">
        <w:rPr>
          <w:b/>
          <w:sz w:val="20"/>
        </w:rPr>
        <w:t xml:space="preserve">s </w:t>
      </w:r>
      <w:r>
        <w:rPr>
          <w:b/>
          <w:sz w:val="20"/>
        </w:rPr>
        <w:t xml:space="preserve">TEISĖTAI ir </w:t>
      </w:r>
      <w:r w:rsidRPr="005E1008">
        <w:rPr>
          <w:b/>
          <w:sz w:val="20"/>
        </w:rPr>
        <w:t>PAGRĮSTAI naudojasi teise į socialinę gerovę</w:t>
      </w:r>
      <w:r>
        <w:rPr>
          <w:b/>
          <w:sz w:val="20"/>
        </w:rPr>
        <w:t>“?</w:t>
      </w:r>
    </w:p>
    <w:p w:rsidR="006F3F1C" w:rsidRPr="00871F4E" w:rsidRDefault="00D84BC4" w:rsidP="00560E1E">
      <w:pPr>
        <w:spacing w:after="60" w:line="240" w:lineRule="auto"/>
        <w:textAlignment w:val="top"/>
        <w:rPr>
          <w:sz w:val="20"/>
        </w:rPr>
      </w:pPr>
      <w:r w:rsidRPr="00871F4E">
        <w:rPr>
          <w:sz w:val="20"/>
        </w:rPr>
        <w:object w:dxaOrig="0" w:dyaOrig="0">
          <v:shape id="_x0000_i1224" type="#_x0000_t75" style="width:20.25pt;height:18pt" o:ole="">
            <v:imagedata r:id="rId49" o:title=""/>
          </v:shape>
          <w:control r:id="rId86" w:name="DefaultOcxName634211" w:shapeid="_x0000_i1224"/>
        </w:object>
      </w:r>
      <w:r w:rsidR="006F3F1C">
        <w:rPr>
          <w:sz w:val="20"/>
        </w:rPr>
        <w:t>taip</w:t>
      </w:r>
      <w:r w:rsidR="006F3F1C" w:rsidRPr="00871F4E">
        <w:rPr>
          <w:sz w:val="20"/>
        </w:rPr>
        <w:t>;</w:t>
      </w:r>
    </w:p>
    <w:p w:rsidR="006F3F1C" w:rsidRPr="00871F4E" w:rsidRDefault="00D84BC4" w:rsidP="00EB4A08">
      <w:pPr>
        <w:spacing w:after="0" w:line="240" w:lineRule="auto"/>
        <w:textAlignment w:val="top"/>
        <w:rPr>
          <w:sz w:val="20"/>
        </w:rPr>
      </w:pPr>
      <w:r w:rsidRPr="00871F4E">
        <w:rPr>
          <w:sz w:val="20"/>
        </w:rPr>
        <w:object w:dxaOrig="0" w:dyaOrig="0">
          <v:shape id="_x0000_i1227" type="#_x0000_t75" style="width:20.25pt;height:18pt" o:ole="">
            <v:imagedata r:id="rId49" o:title=""/>
          </v:shape>
          <w:control r:id="rId87" w:name="DefaultOcxName643211" w:shapeid="_x0000_i1227"/>
        </w:object>
      </w:r>
      <w:r w:rsidR="006F3F1C">
        <w:rPr>
          <w:sz w:val="20"/>
        </w:rPr>
        <w:t>ne.</w:t>
      </w:r>
    </w:p>
    <w:p w:rsidR="006F3F1C" w:rsidRPr="00435B98" w:rsidRDefault="006F3F1C" w:rsidP="006F3F1C">
      <w:pPr>
        <w:pStyle w:val="Referatai"/>
        <w:spacing w:after="60"/>
        <w:rPr>
          <w:b/>
          <w:color w:val="E20000"/>
          <w:sz w:val="19"/>
          <w:szCs w:val="19"/>
          <w:u w:val="single"/>
        </w:rPr>
      </w:pPr>
      <w:r w:rsidRPr="00435B98">
        <w:rPr>
          <w:b/>
          <w:color w:val="E20000"/>
          <w:sz w:val="19"/>
          <w:szCs w:val="19"/>
          <w:u w:val="single"/>
        </w:rPr>
        <w:t>SOCIALINIŲ IŠMOKŲ IR PARAMOS GAVĖJŲ ELGSENAI ĮTAKĄ DARANTYS VEIKSNIAI</w:t>
      </w:r>
    </w:p>
    <w:p w:rsidR="006F3F1C" w:rsidRPr="00871F4E" w:rsidRDefault="006F3F1C" w:rsidP="00BA3CE3">
      <w:pPr>
        <w:pStyle w:val="Referatai"/>
        <w:spacing w:before="20" w:after="0"/>
        <w:ind w:firstLine="562"/>
        <w:rPr>
          <w:sz w:val="20"/>
          <w:szCs w:val="20"/>
        </w:rPr>
      </w:pPr>
      <w:r w:rsidRPr="00D504B6">
        <w:rPr>
          <w:b/>
          <w:i/>
          <w:sz w:val="20"/>
          <w:szCs w:val="20"/>
        </w:rPr>
        <w:t xml:space="preserve">Išreitinguokite </w:t>
      </w:r>
      <w:r w:rsidRPr="00D504B6">
        <w:rPr>
          <w:b/>
          <w:i/>
          <w:sz w:val="20"/>
          <w:szCs w:val="20"/>
          <w:u w:val="single"/>
        </w:rPr>
        <w:t>visus</w:t>
      </w:r>
      <w:r w:rsidRPr="00D504B6">
        <w:rPr>
          <w:b/>
          <w:i/>
          <w:sz w:val="20"/>
          <w:szCs w:val="20"/>
        </w:rPr>
        <w:t xml:space="preserve"> emocinius-psichologinius veiksnius</w:t>
      </w:r>
      <w:r w:rsidRPr="00871F4E">
        <w:rPr>
          <w:i/>
          <w:sz w:val="20"/>
          <w:szCs w:val="20"/>
        </w:rPr>
        <w:t xml:space="preserve"> pagal tai, </w:t>
      </w:r>
      <w:r w:rsidRPr="00871F4E">
        <w:rPr>
          <w:i/>
          <w:sz w:val="20"/>
          <w:szCs w:val="20"/>
          <w:u w:val="single"/>
        </w:rPr>
        <w:t xml:space="preserve">kiek </w:t>
      </w:r>
      <w:r w:rsidRPr="00B06FFA">
        <w:rPr>
          <w:i/>
          <w:sz w:val="20"/>
          <w:szCs w:val="20"/>
          <w:u w:val="single"/>
        </w:rPr>
        <w:t>jie</w:t>
      </w:r>
      <w:r>
        <w:rPr>
          <w:i/>
          <w:sz w:val="20"/>
          <w:szCs w:val="20"/>
          <w:u w:val="single"/>
        </w:rPr>
        <w:t xml:space="preserve"> (</w:t>
      </w:r>
      <w:r w:rsidRPr="00B06FFA">
        <w:rPr>
          <w:i/>
          <w:sz w:val="20"/>
          <w:szCs w:val="20"/>
          <w:u w:val="single"/>
        </w:rPr>
        <w:t>atkreipiant dėmesį į pateiktą teiginį</w:t>
      </w:r>
      <w:r>
        <w:rPr>
          <w:i/>
          <w:sz w:val="20"/>
          <w:szCs w:val="20"/>
          <w:u w:val="single"/>
        </w:rPr>
        <w:t>) yra svarbūs</w:t>
      </w:r>
      <w:r w:rsidRPr="00890F8A">
        <w:rPr>
          <w:i/>
          <w:sz w:val="20"/>
          <w:szCs w:val="20"/>
        </w:rPr>
        <w:t xml:space="preserve"> </w:t>
      </w:r>
      <w:r>
        <w:rPr>
          <w:i/>
          <w:sz w:val="20"/>
          <w:szCs w:val="20"/>
        </w:rPr>
        <w:t xml:space="preserve"> žmogaus </w:t>
      </w:r>
      <w:r w:rsidRPr="00871F4E">
        <w:rPr>
          <w:i/>
          <w:sz w:val="20"/>
          <w:szCs w:val="20"/>
        </w:rPr>
        <w:t>pasir</w:t>
      </w:r>
      <w:r>
        <w:rPr>
          <w:i/>
          <w:sz w:val="20"/>
          <w:szCs w:val="20"/>
        </w:rPr>
        <w:t>inkimui pajamas formuoti iš socialinės</w:t>
      </w:r>
      <w:r w:rsidRPr="00871F4E">
        <w:rPr>
          <w:i/>
          <w:sz w:val="20"/>
          <w:szCs w:val="20"/>
        </w:rPr>
        <w:t xml:space="preserve"> apsaugos lėšų, kur: 1 – </w:t>
      </w:r>
      <w:r>
        <w:rPr>
          <w:i/>
          <w:sz w:val="20"/>
          <w:szCs w:val="20"/>
        </w:rPr>
        <w:t>labiausiai</w:t>
      </w:r>
      <w:r w:rsidRPr="00C25F46">
        <w:rPr>
          <w:i/>
          <w:sz w:val="20"/>
          <w:szCs w:val="20"/>
        </w:rPr>
        <w:t xml:space="preserve">, </w:t>
      </w:r>
      <w:r>
        <w:rPr>
          <w:i/>
          <w:sz w:val="20"/>
          <w:szCs w:val="20"/>
        </w:rPr>
        <w:t>o 9</w:t>
      </w:r>
      <w:r w:rsidRPr="00C25F46">
        <w:rPr>
          <w:i/>
          <w:sz w:val="20"/>
          <w:szCs w:val="20"/>
        </w:rPr>
        <w:t xml:space="preserve"> – mažiausiai.</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8"/>
        <w:gridCol w:w="450"/>
      </w:tblGrid>
      <w:tr w:rsidR="006F3F1C" w:rsidRPr="00EB4A08" w:rsidTr="00BA3CE3">
        <w:tc>
          <w:tcPr>
            <w:tcW w:w="10368" w:type="dxa"/>
            <w:gridSpan w:val="2"/>
            <w:tcBorders>
              <w:top w:val="single" w:sz="12" w:space="0" w:color="auto"/>
              <w:left w:val="single" w:sz="12" w:space="0" w:color="auto"/>
              <w:bottom w:val="single" w:sz="12" w:space="0" w:color="auto"/>
              <w:right w:val="single" w:sz="12" w:space="0" w:color="auto"/>
              <w:tl2br w:val="nil"/>
            </w:tcBorders>
            <w:shd w:val="clear" w:color="auto" w:fill="7F7F7F"/>
          </w:tcPr>
          <w:p w:rsidR="006F3F1C" w:rsidRPr="00EB4A08" w:rsidRDefault="006F3F1C" w:rsidP="00560E1E">
            <w:pPr>
              <w:spacing w:after="0" w:line="240" w:lineRule="auto"/>
              <w:jc w:val="center"/>
              <w:rPr>
                <w:b/>
                <w:color w:val="000000"/>
                <w:sz w:val="18"/>
                <w:szCs w:val="18"/>
              </w:rPr>
            </w:pPr>
            <w:r w:rsidRPr="00EB4A08">
              <w:rPr>
                <w:b/>
                <w:sz w:val="18"/>
                <w:szCs w:val="18"/>
              </w:rPr>
              <w:t>VIDINIAI VEIKSNIAI: emociniai-psichologiniai veiksniai</w:t>
            </w:r>
          </w:p>
        </w:tc>
      </w:tr>
      <w:tr w:rsidR="006F3F1C" w:rsidRPr="00EB4A08" w:rsidTr="00BA3CE3">
        <w:tc>
          <w:tcPr>
            <w:tcW w:w="9918" w:type="dxa"/>
            <w:tcBorders>
              <w:top w:val="single" w:sz="12" w:space="0" w:color="auto"/>
              <w:left w:val="single" w:sz="12" w:space="0" w:color="auto"/>
              <w:right w:val="single" w:sz="12" w:space="0" w:color="auto"/>
              <w:tl2br w:val="nil"/>
            </w:tcBorders>
            <w:shd w:val="clear" w:color="auto" w:fill="B8CCE4"/>
          </w:tcPr>
          <w:p w:rsidR="006F3F1C" w:rsidRPr="00EB4A08" w:rsidRDefault="006F3F1C" w:rsidP="00560E1E">
            <w:pPr>
              <w:spacing w:after="0" w:line="240" w:lineRule="auto"/>
              <w:jc w:val="center"/>
              <w:rPr>
                <w:i/>
                <w:sz w:val="18"/>
                <w:szCs w:val="18"/>
              </w:rPr>
            </w:pPr>
            <w:r w:rsidRPr="00EB4A08">
              <w:rPr>
                <w:b/>
                <w:i/>
                <w:sz w:val="18"/>
                <w:szCs w:val="18"/>
              </w:rPr>
              <w:t>Mentalinių sąskaitų egzistavimas</w:t>
            </w:r>
            <w:r w:rsidRPr="00EB4A08">
              <w:rPr>
                <w:i/>
                <w:sz w:val="18"/>
                <w:szCs w:val="18"/>
              </w:rPr>
              <w:t>: tikėjimas, jog socialinės išmokos ir parama „nieko nekainuoja“</w:t>
            </w:r>
          </w:p>
        </w:tc>
        <w:tc>
          <w:tcPr>
            <w:tcW w:w="450" w:type="dxa"/>
            <w:tcBorders>
              <w:top w:val="single" w:sz="12" w:space="0" w:color="auto"/>
              <w:left w:val="single" w:sz="12" w:space="0" w:color="auto"/>
              <w:right w:val="single" w:sz="12" w:space="0" w:color="auto"/>
            </w:tcBorders>
            <w:shd w:val="clear" w:color="auto" w:fill="B8CCE4"/>
            <w:vAlign w:val="center"/>
          </w:tcPr>
          <w:p w:rsidR="006F3F1C" w:rsidRPr="00EB4A08" w:rsidRDefault="006F3F1C" w:rsidP="00560E1E">
            <w:pPr>
              <w:spacing w:after="0" w:line="240" w:lineRule="auto"/>
              <w:jc w:val="center"/>
              <w:rPr>
                <w:b/>
                <w:sz w:val="18"/>
                <w:szCs w:val="18"/>
              </w:rPr>
            </w:pPr>
          </w:p>
        </w:tc>
      </w:tr>
      <w:tr w:rsidR="006F3F1C" w:rsidRPr="00EB4A08" w:rsidTr="00BA3CE3">
        <w:tc>
          <w:tcPr>
            <w:tcW w:w="9918" w:type="dxa"/>
            <w:tcBorders>
              <w:left w:val="single" w:sz="12" w:space="0" w:color="auto"/>
              <w:right w:val="single" w:sz="12" w:space="0" w:color="auto"/>
              <w:tl2br w:val="nil"/>
            </w:tcBorders>
            <w:shd w:val="clear" w:color="auto" w:fill="B8CCE4"/>
          </w:tcPr>
          <w:p w:rsidR="006F3F1C" w:rsidRPr="00EB4A08" w:rsidRDefault="006F3F1C" w:rsidP="00560E1E">
            <w:pPr>
              <w:spacing w:after="0" w:line="240" w:lineRule="auto"/>
              <w:jc w:val="center"/>
              <w:rPr>
                <w:i/>
                <w:sz w:val="18"/>
                <w:szCs w:val="18"/>
              </w:rPr>
            </w:pPr>
            <w:r w:rsidRPr="00EB4A08">
              <w:rPr>
                <w:b/>
                <w:i/>
                <w:sz w:val="18"/>
                <w:szCs w:val="18"/>
              </w:rPr>
              <w:t>Sovietinis mentalitetas</w:t>
            </w:r>
            <w:r w:rsidRPr="00EB4A08">
              <w:rPr>
                <w:i/>
                <w:sz w:val="18"/>
                <w:szCs w:val="18"/>
              </w:rPr>
              <w:t>: manymas, jog socialinę gerovę pirmiausia turi užtikrinti valstybė, o ne pats žmogus</w:t>
            </w:r>
          </w:p>
        </w:tc>
        <w:tc>
          <w:tcPr>
            <w:tcW w:w="450" w:type="dxa"/>
            <w:tcBorders>
              <w:left w:val="single" w:sz="12" w:space="0" w:color="auto"/>
              <w:right w:val="single" w:sz="12" w:space="0" w:color="auto"/>
            </w:tcBorders>
            <w:shd w:val="clear" w:color="auto" w:fill="B8CCE4"/>
            <w:vAlign w:val="center"/>
          </w:tcPr>
          <w:p w:rsidR="006F3F1C" w:rsidRPr="00EB4A08" w:rsidRDefault="006F3F1C" w:rsidP="00560E1E">
            <w:pPr>
              <w:spacing w:after="0" w:line="240" w:lineRule="auto"/>
              <w:jc w:val="center"/>
              <w:rPr>
                <w:b/>
                <w:sz w:val="18"/>
                <w:szCs w:val="18"/>
              </w:rPr>
            </w:pPr>
          </w:p>
        </w:tc>
      </w:tr>
      <w:tr w:rsidR="006F3F1C" w:rsidRPr="00EB4A08" w:rsidTr="00BA3CE3">
        <w:tc>
          <w:tcPr>
            <w:tcW w:w="9918" w:type="dxa"/>
            <w:tcBorders>
              <w:left w:val="single" w:sz="12" w:space="0" w:color="auto"/>
              <w:right w:val="single" w:sz="12" w:space="0" w:color="auto"/>
            </w:tcBorders>
            <w:shd w:val="clear" w:color="auto" w:fill="B8CCE4"/>
          </w:tcPr>
          <w:p w:rsidR="006F3F1C" w:rsidRPr="00EB4A08" w:rsidRDefault="006F3F1C" w:rsidP="00560E1E">
            <w:pPr>
              <w:spacing w:after="0" w:line="240" w:lineRule="auto"/>
              <w:jc w:val="center"/>
              <w:rPr>
                <w:i/>
                <w:sz w:val="18"/>
                <w:szCs w:val="18"/>
              </w:rPr>
            </w:pPr>
            <w:r w:rsidRPr="00EB4A08">
              <w:rPr>
                <w:b/>
                <w:i/>
                <w:sz w:val="18"/>
                <w:szCs w:val="18"/>
              </w:rPr>
              <w:t>Amoralus šeimyniškumas</w:t>
            </w:r>
            <w:r w:rsidRPr="00EB4A08">
              <w:rPr>
                <w:i/>
                <w:sz w:val="18"/>
                <w:szCs w:val="18"/>
              </w:rPr>
              <w:t>: siekis pasirūpinti, pirmiausia, savo šeimos materialine gerove (paminant solidarumą)</w:t>
            </w:r>
          </w:p>
        </w:tc>
        <w:tc>
          <w:tcPr>
            <w:tcW w:w="450" w:type="dxa"/>
            <w:tcBorders>
              <w:left w:val="single" w:sz="12" w:space="0" w:color="auto"/>
              <w:right w:val="single" w:sz="12" w:space="0" w:color="auto"/>
            </w:tcBorders>
            <w:shd w:val="clear" w:color="auto" w:fill="B8CCE4"/>
            <w:vAlign w:val="center"/>
          </w:tcPr>
          <w:p w:rsidR="006F3F1C" w:rsidRPr="00EB4A08" w:rsidRDefault="006F3F1C" w:rsidP="00560E1E">
            <w:pPr>
              <w:spacing w:after="0" w:line="240" w:lineRule="auto"/>
              <w:jc w:val="center"/>
              <w:rPr>
                <w:b/>
                <w:sz w:val="18"/>
                <w:szCs w:val="18"/>
              </w:rPr>
            </w:pPr>
          </w:p>
        </w:tc>
      </w:tr>
      <w:tr w:rsidR="006F3F1C" w:rsidRPr="00EB4A08" w:rsidTr="00BA3CE3">
        <w:tc>
          <w:tcPr>
            <w:tcW w:w="9918" w:type="dxa"/>
            <w:tcBorders>
              <w:left w:val="single" w:sz="12" w:space="0" w:color="auto"/>
              <w:right w:val="single" w:sz="12" w:space="0" w:color="auto"/>
            </w:tcBorders>
            <w:shd w:val="clear" w:color="auto" w:fill="B8CCE4"/>
          </w:tcPr>
          <w:p w:rsidR="006F3F1C" w:rsidRPr="00EB4A08" w:rsidRDefault="006F3F1C" w:rsidP="00560E1E">
            <w:pPr>
              <w:spacing w:after="0" w:line="240" w:lineRule="auto"/>
              <w:jc w:val="center"/>
              <w:rPr>
                <w:b/>
                <w:i/>
                <w:sz w:val="18"/>
                <w:szCs w:val="18"/>
              </w:rPr>
            </w:pPr>
            <w:r w:rsidRPr="00EB4A08">
              <w:rPr>
                <w:b/>
                <w:i/>
                <w:sz w:val="18"/>
                <w:szCs w:val="18"/>
              </w:rPr>
              <w:t>Poreikiai</w:t>
            </w:r>
            <w:r w:rsidRPr="00EB4A08">
              <w:rPr>
                <w:i/>
                <w:sz w:val="18"/>
                <w:szCs w:val="18"/>
              </w:rPr>
              <w:t>: siekis patenkinti tik pirminius poreikius, ignoruojant tiek pripažinimo jausmą, tiek ir savirealizaciją</w:t>
            </w:r>
          </w:p>
        </w:tc>
        <w:tc>
          <w:tcPr>
            <w:tcW w:w="450" w:type="dxa"/>
            <w:tcBorders>
              <w:left w:val="single" w:sz="12" w:space="0" w:color="auto"/>
              <w:right w:val="single" w:sz="12" w:space="0" w:color="auto"/>
            </w:tcBorders>
            <w:shd w:val="clear" w:color="auto" w:fill="B8CCE4"/>
            <w:vAlign w:val="center"/>
          </w:tcPr>
          <w:p w:rsidR="006F3F1C" w:rsidRPr="00EB4A08" w:rsidRDefault="006F3F1C" w:rsidP="00560E1E">
            <w:pPr>
              <w:spacing w:after="0" w:line="240" w:lineRule="auto"/>
              <w:jc w:val="center"/>
              <w:rPr>
                <w:b/>
                <w:sz w:val="18"/>
                <w:szCs w:val="18"/>
              </w:rPr>
            </w:pPr>
          </w:p>
        </w:tc>
      </w:tr>
      <w:tr w:rsidR="006F3F1C" w:rsidRPr="00EB4A08" w:rsidTr="00BA3CE3">
        <w:tc>
          <w:tcPr>
            <w:tcW w:w="9918" w:type="dxa"/>
            <w:tcBorders>
              <w:left w:val="single" w:sz="12" w:space="0" w:color="auto"/>
              <w:bottom w:val="single" w:sz="4" w:space="0" w:color="auto"/>
              <w:right w:val="single" w:sz="12" w:space="0" w:color="auto"/>
            </w:tcBorders>
            <w:shd w:val="clear" w:color="auto" w:fill="B8CCE4"/>
          </w:tcPr>
          <w:p w:rsidR="006F3F1C" w:rsidRPr="00EB4A08" w:rsidRDefault="006F3F1C" w:rsidP="00560E1E">
            <w:pPr>
              <w:spacing w:after="0" w:line="240" w:lineRule="auto"/>
              <w:jc w:val="center"/>
              <w:rPr>
                <w:i/>
                <w:sz w:val="18"/>
                <w:szCs w:val="18"/>
              </w:rPr>
            </w:pPr>
            <w:r w:rsidRPr="00EB4A08">
              <w:rPr>
                <w:b/>
                <w:i/>
                <w:sz w:val="18"/>
                <w:szCs w:val="18"/>
              </w:rPr>
              <w:t>Orumas</w:t>
            </w:r>
            <w:r w:rsidRPr="00EB4A08">
              <w:rPr>
                <w:i/>
                <w:sz w:val="18"/>
                <w:szCs w:val="18"/>
              </w:rPr>
              <w:t>: nesugebėjimas priimti poreikių neatitinkančio darbo, kas dažniausiai siejama su minimaliu atlyginimu</w:t>
            </w:r>
          </w:p>
        </w:tc>
        <w:tc>
          <w:tcPr>
            <w:tcW w:w="450" w:type="dxa"/>
            <w:tcBorders>
              <w:left w:val="single" w:sz="12" w:space="0" w:color="auto"/>
              <w:bottom w:val="single" w:sz="4" w:space="0" w:color="auto"/>
              <w:right w:val="single" w:sz="12" w:space="0" w:color="auto"/>
            </w:tcBorders>
            <w:shd w:val="clear" w:color="auto" w:fill="B8CCE4"/>
            <w:vAlign w:val="center"/>
          </w:tcPr>
          <w:p w:rsidR="006F3F1C" w:rsidRPr="00EB4A08" w:rsidRDefault="006F3F1C" w:rsidP="00560E1E">
            <w:pPr>
              <w:spacing w:after="0" w:line="240" w:lineRule="auto"/>
              <w:jc w:val="center"/>
              <w:rPr>
                <w:b/>
                <w:sz w:val="18"/>
                <w:szCs w:val="18"/>
              </w:rPr>
            </w:pPr>
          </w:p>
        </w:tc>
      </w:tr>
      <w:tr w:rsidR="006F3F1C" w:rsidRPr="00EB4A08" w:rsidTr="00BA3CE3">
        <w:tc>
          <w:tcPr>
            <w:tcW w:w="9918" w:type="dxa"/>
            <w:tcBorders>
              <w:left w:val="single" w:sz="12" w:space="0" w:color="auto"/>
              <w:bottom w:val="single" w:sz="4" w:space="0" w:color="auto"/>
              <w:right w:val="single" w:sz="12" w:space="0" w:color="auto"/>
            </w:tcBorders>
            <w:shd w:val="clear" w:color="auto" w:fill="B8CCE4"/>
          </w:tcPr>
          <w:p w:rsidR="006F3F1C" w:rsidRPr="00EB4A08" w:rsidRDefault="006F3F1C" w:rsidP="00560E1E">
            <w:pPr>
              <w:spacing w:after="0" w:line="240" w:lineRule="auto"/>
              <w:jc w:val="center"/>
              <w:rPr>
                <w:i/>
                <w:sz w:val="18"/>
                <w:szCs w:val="18"/>
              </w:rPr>
            </w:pPr>
            <w:r w:rsidRPr="00EB4A08">
              <w:rPr>
                <w:b/>
                <w:i/>
                <w:sz w:val="18"/>
                <w:szCs w:val="18"/>
              </w:rPr>
              <w:t>Motyvacijos stoka</w:t>
            </w:r>
            <w:r w:rsidRPr="00EB4A08">
              <w:rPr>
                <w:i/>
                <w:sz w:val="18"/>
                <w:szCs w:val="18"/>
              </w:rPr>
              <w:t>: paskatų ieškotis darbo, mokytis ar tobulintis (sekti paskui mokslo pažangą) nebuvimas</w:t>
            </w:r>
          </w:p>
        </w:tc>
        <w:tc>
          <w:tcPr>
            <w:tcW w:w="450" w:type="dxa"/>
            <w:tcBorders>
              <w:left w:val="single" w:sz="12" w:space="0" w:color="auto"/>
              <w:bottom w:val="single" w:sz="4" w:space="0" w:color="auto"/>
              <w:right w:val="single" w:sz="12" w:space="0" w:color="auto"/>
            </w:tcBorders>
            <w:shd w:val="clear" w:color="auto" w:fill="B8CCE4"/>
            <w:vAlign w:val="center"/>
          </w:tcPr>
          <w:p w:rsidR="006F3F1C" w:rsidRPr="00EB4A08" w:rsidRDefault="006F3F1C" w:rsidP="00560E1E">
            <w:pPr>
              <w:spacing w:after="0" w:line="240" w:lineRule="auto"/>
              <w:jc w:val="center"/>
              <w:rPr>
                <w:b/>
                <w:sz w:val="18"/>
                <w:szCs w:val="18"/>
              </w:rPr>
            </w:pPr>
          </w:p>
        </w:tc>
      </w:tr>
      <w:tr w:rsidR="006F3F1C" w:rsidRPr="00EB4A08" w:rsidTr="00BA3CE3">
        <w:tc>
          <w:tcPr>
            <w:tcW w:w="9918" w:type="dxa"/>
            <w:tcBorders>
              <w:left w:val="single" w:sz="12" w:space="0" w:color="auto"/>
              <w:bottom w:val="single" w:sz="4" w:space="0" w:color="auto"/>
              <w:right w:val="single" w:sz="12" w:space="0" w:color="auto"/>
            </w:tcBorders>
            <w:shd w:val="clear" w:color="auto" w:fill="B8CCE4"/>
          </w:tcPr>
          <w:p w:rsidR="006F3F1C" w:rsidRPr="00EB4A08" w:rsidRDefault="006F3F1C" w:rsidP="00560E1E">
            <w:pPr>
              <w:spacing w:after="0" w:line="240" w:lineRule="auto"/>
              <w:jc w:val="center"/>
              <w:rPr>
                <w:sz w:val="18"/>
                <w:szCs w:val="18"/>
              </w:rPr>
            </w:pPr>
            <w:r w:rsidRPr="00EB4A08">
              <w:rPr>
                <w:b/>
                <w:i/>
                <w:sz w:val="18"/>
                <w:szCs w:val="18"/>
              </w:rPr>
              <w:t>Perdėta savikliova</w:t>
            </w:r>
            <w:r w:rsidRPr="00EB4A08">
              <w:rPr>
                <w:i/>
                <w:sz w:val="18"/>
                <w:szCs w:val="18"/>
              </w:rPr>
              <w:t>: polinkis save laikyti geriausiu ir dėl to nesiimti „juodo“ ar menkai apmokamo darbo</w:t>
            </w:r>
          </w:p>
        </w:tc>
        <w:tc>
          <w:tcPr>
            <w:tcW w:w="450" w:type="dxa"/>
            <w:tcBorders>
              <w:left w:val="single" w:sz="12" w:space="0" w:color="auto"/>
              <w:bottom w:val="single" w:sz="4" w:space="0" w:color="auto"/>
              <w:right w:val="single" w:sz="12" w:space="0" w:color="auto"/>
            </w:tcBorders>
            <w:shd w:val="clear" w:color="auto" w:fill="B8CCE4"/>
            <w:vAlign w:val="center"/>
          </w:tcPr>
          <w:p w:rsidR="006F3F1C" w:rsidRPr="00EB4A08" w:rsidRDefault="006F3F1C" w:rsidP="00560E1E">
            <w:pPr>
              <w:spacing w:after="0" w:line="240" w:lineRule="auto"/>
              <w:jc w:val="center"/>
              <w:rPr>
                <w:b/>
                <w:sz w:val="18"/>
                <w:szCs w:val="18"/>
              </w:rPr>
            </w:pPr>
          </w:p>
        </w:tc>
      </w:tr>
      <w:tr w:rsidR="006F3F1C" w:rsidRPr="00EB4A08" w:rsidTr="00BA3CE3">
        <w:tc>
          <w:tcPr>
            <w:tcW w:w="9918" w:type="dxa"/>
            <w:tcBorders>
              <w:left w:val="single" w:sz="12" w:space="0" w:color="auto"/>
              <w:right w:val="single" w:sz="12" w:space="0" w:color="auto"/>
            </w:tcBorders>
            <w:shd w:val="clear" w:color="auto" w:fill="B8CCE4"/>
          </w:tcPr>
          <w:p w:rsidR="006F3F1C" w:rsidRPr="00EB4A08" w:rsidRDefault="006F3F1C" w:rsidP="00560E1E">
            <w:pPr>
              <w:spacing w:after="0" w:line="240" w:lineRule="auto"/>
              <w:jc w:val="center"/>
              <w:rPr>
                <w:b/>
                <w:i/>
                <w:sz w:val="18"/>
                <w:szCs w:val="18"/>
              </w:rPr>
            </w:pPr>
            <w:r w:rsidRPr="00EB4A08">
              <w:rPr>
                <w:b/>
                <w:i/>
                <w:sz w:val="18"/>
                <w:szCs w:val="18"/>
              </w:rPr>
              <w:t>Grupių įtaka</w:t>
            </w:r>
            <w:r w:rsidRPr="00EB4A08">
              <w:rPr>
                <w:i/>
                <w:sz w:val="18"/>
                <w:szCs w:val="18"/>
              </w:rPr>
              <w:t>: siekis gauti išmoką ar paramą vien dėl to, kad tokią elgseną propaguoja aplinkiniai</w:t>
            </w:r>
          </w:p>
        </w:tc>
        <w:tc>
          <w:tcPr>
            <w:tcW w:w="450" w:type="dxa"/>
            <w:tcBorders>
              <w:left w:val="single" w:sz="12" w:space="0" w:color="auto"/>
              <w:right w:val="single" w:sz="12" w:space="0" w:color="auto"/>
            </w:tcBorders>
            <w:shd w:val="clear" w:color="auto" w:fill="B8CCE4"/>
            <w:vAlign w:val="center"/>
          </w:tcPr>
          <w:p w:rsidR="006F3F1C" w:rsidRPr="00EB4A08" w:rsidRDefault="006F3F1C" w:rsidP="00560E1E">
            <w:pPr>
              <w:spacing w:after="0" w:line="240" w:lineRule="auto"/>
              <w:jc w:val="center"/>
              <w:rPr>
                <w:b/>
                <w:sz w:val="18"/>
                <w:szCs w:val="18"/>
              </w:rPr>
            </w:pPr>
          </w:p>
        </w:tc>
      </w:tr>
      <w:tr w:rsidR="006F3F1C" w:rsidRPr="00EB4A08" w:rsidTr="00BA3CE3">
        <w:tc>
          <w:tcPr>
            <w:tcW w:w="9918" w:type="dxa"/>
            <w:tcBorders>
              <w:left w:val="single" w:sz="12" w:space="0" w:color="auto"/>
              <w:bottom w:val="single" w:sz="12" w:space="0" w:color="auto"/>
              <w:right w:val="single" w:sz="12" w:space="0" w:color="auto"/>
            </w:tcBorders>
            <w:shd w:val="clear" w:color="auto" w:fill="B8CCE4"/>
          </w:tcPr>
          <w:p w:rsidR="006F3F1C" w:rsidRPr="00EB4A08" w:rsidRDefault="006F3F1C" w:rsidP="00560E1E">
            <w:pPr>
              <w:spacing w:after="0" w:line="240" w:lineRule="auto"/>
              <w:jc w:val="center"/>
              <w:rPr>
                <w:i/>
                <w:sz w:val="18"/>
                <w:szCs w:val="18"/>
              </w:rPr>
            </w:pPr>
            <w:r w:rsidRPr="00EB4A08">
              <w:rPr>
                <w:b/>
                <w:i/>
                <w:sz w:val="18"/>
                <w:szCs w:val="18"/>
              </w:rPr>
              <w:t>Vertybės</w:t>
            </w:r>
            <w:r w:rsidRPr="00EB4A08">
              <w:rPr>
                <w:i/>
                <w:sz w:val="18"/>
                <w:szCs w:val="18"/>
              </w:rPr>
              <w:t>: moralinių vertybių nuosmukis, materialinių vertybių išaukštinimas (godumas)</w:t>
            </w:r>
          </w:p>
        </w:tc>
        <w:tc>
          <w:tcPr>
            <w:tcW w:w="450" w:type="dxa"/>
            <w:tcBorders>
              <w:left w:val="single" w:sz="12" w:space="0" w:color="auto"/>
              <w:bottom w:val="single" w:sz="12" w:space="0" w:color="auto"/>
              <w:right w:val="single" w:sz="12" w:space="0" w:color="auto"/>
            </w:tcBorders>
            <w:shd w:val="clear" w:color="auto" w:fill="B8CCE4"/>
            <w:vAlign w:val="center"/>
          </w:tcPr>
          <w:p w:rsidR="006F3F1C" w:rsidRPr="00EB4A08" w:rsidRDefault="006F3F1C" w:rsidP="00560E1E">
            <w:pPr>
              <w:spacing w:after="0" w:line="240" w:lineRule="auto"/>
              <w:jc w:val="center"/>
              <w:rPr>
                <w:b/>
                <w:sz w:val="18"/>
                <w:szCs w:val="18"/>
              </w:rPr>
            </w:pPr>
          </w:p>
        </w:tc>
      </w:tr>
    </w:tbl>
    <w:p w:rsidR="006F3F1C" w:rsidRPr="00871F4E" w:rsidRDefault="006F3F1C" w:rsidP="00F10FB6">
      <w:pPr>
        <w:pStyle w:val="Referatai"/>
        <w:spacing w:before="20" w:after="0"/>
        <w:ind w:firstLine="562"/>
        <w:contextualSpacing w:val="0"/>
        <w:rPr>
          <w:sz w:val="20"/>
          <w:szCs w:val="20"/>
        </w:rPr>
      </w:pPr>
      <w:r w:rsidRPr="002313FE">
        <w:rPr>
          <w:b/>
          <w:i/>
          <w:sz w:val="20"/>
          <w:szCs w:val="20"/>
        </w:rPr>
        <w:t xml:space="preserve">Išreitinguokite </w:t>
      </w:r>
      <w:r w:rsidRPr="002313FE">
        <w:rPr>
          <w:b/>
          <w:i/>
          <w:sz w:val="20"/>
          <w:szCs w:val="20"/>
          <w:u w:val="single"/>
        </w:rPr>
        <w:t>visus</w:t>
      </w:r>
      <w:r w:rsidRPr="002313FE">
        <w:rPr>
          <w:b/>
          <w:i/>
          <w:sz w:val="20"/>
          <w:szCs w:val="20"/>
        </w:rPr>
        <w:t xml:space="preserve"> socialinius-demografinius veiksnius</w:t>
      </w:r>
      <w:r w:rsidRPr="00871F4E">
        <w:rPr>
          <w:i/>
          <w:sz w:val="20"/>
          <w:szCs w:val="20"/>
        </w:rPr>
        <w:t xml:space="preserve"> pagal tai, </w:t>
      </w:r>
      <w:r w:rsidRPr="00F162C0">
        <w:rPr>
          <w:i/>
          <w:sz w:val="20"/>
          <w:szCs w:val="20"/>
          <w:u w:val="single"/>
        </w:rPr>
        <w:t xml:space="preserve">kiek </w:t>
      </w:r>
      <w:r>
        <w:rPr>
          <w:i/>
          <w:sz w:val="20"/>
          <w:szCs w:val="20"/>
          <w:u w:val="single"/>
        </w:rPr>
        <w:t>jie (</w:t>
      </w:r>
      <w:r w:rsidRPr="00F162C0">
        <w:rPr>
          <w:i/>
          <w:sz w:val="20"/>
          <w:szCs w:val="20"/>
          <w:u w:val="single"/>
        </w:rPr>
        <w:t>atkreipiant dėmesį į pateiktą teiginį</w:t>
      </w:r>
      <w:r>
        <w:rPr>
          <w:i/>
          <w:sz w:val="20"/>
          <w:szCs w:val="20"/>
          <w:u w:val="single"/>
        </w:rPr>
        <w:t>)</w:t>
      </w:r>
      <w:r w:rsidRPr="00F162C0">
        <w:rPr>
          <w:i/>
          <w:sz w:val="20"/>
          <w:szCs w:val="20"/>
          <w:u w:val="single"/>
        </w:rPr>
        <w:t xml:space="preserve"> yra</w:t>
      </w:r>
      <w:r>
        <w:rPr>
          <w:i/>
          <w:sz w:val="20"/>
          <w:szCs w:val="20"/>
          <w:u w:val="single"/>
        </w:rPr>
        <w:t xml:space="preserve"> svarbūs</w:t>
      </w:r>
      <w:r>
        <w:rPr>
          <w:i/>
          <w:sz w:val="20"/>
          <w:szCs w:val="20"/>
        </w:rPr>
        <w:t xml:space="preserve">  žmogaus </w:t>
      </w:r>
      <w:r w:rsidRPr="00871F4E">
        <w:rPr>
          <w:i/>
          <w:sz w:val="20"/>
          <w:szCs w:val="20"/>
        </w:rPr>
        <w:t>pasir</w:t>
      </w:r>
      <w:r>
        <w:rPr>
          <w:i/>
          <w:sz w:val="20"/>
          <w:szCs w:val="20"/>
        </w:rPr>
        <w:t>inkimui pajamas formuoti iš socialinės</w:t>
      </w:r>
      <w:r w:rsidRPr="00871F4E">
        <w:rPr>
          <w:i/>
          <w:sz w:val="20"/>
          <w:szCs w:val="20"/>
        </w:rPr>
        <w:t xml:space="preserve"> apsaugos lėšų, kur: 1 – </w:t>
      </w:r>
      <w:r w:rsidRPr="00DE4C67">
        <w:rPr>
          <w:i/>
          <w:sz w:val="20"/>
          <w:szCs w:val="20"/>
        </w:rPr>
        <w:t xml:space="preserve">labiausiai, </w:t>
      </w:r>
      <w:r>
        <w:rPr>
          <w:i/>
          <w:sz w:val="20"/>
          <w:szCs w:val="20"/>
        </w:rPr>
        <w:t>o 7</w:t>
      </w:r>
      <w:r w:rsidRPr="00DE4C67">
        <w:rPr>
          <w:i/>
          <w:sz w:val="20"/>
          <w:szCs w:val="20"/>
        </w:rPr>
        <w:t xml:space="preserve"> – mažiausiai.</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8"/>
        <w:gridCol w:w="450"/>
      </w:tblGrid>
      <w:tr w:rsidR="006F3F1C" w:rsidRPr="00EB4A08" w:rsidTr="00BA3CE3">
        <w:tc>
          <w:tcPr>
            <w:tcW w:w="10368" w:type="dxa"/>
            <w:gridSpan w:val="2"/>
            <w:tcBorders>
              <w:top w:val="single" w:sz="12" w:space="0" w:color="auto"/>
              <w:left w:val="single" w:sz="12" w:space="0" w:color="auto"/>
              <w:bottom w:val="single" w:sz="12" w:space="0" w:color="auto"/>
              <w:right w:val="single" w:sz="12" w:space="0" w:color="auto"/>
              <w:tl2br w:val="nil"/>
            </w:tcBorders>
            <w:shd w:val="clear" w:color="auto" w:fill="7F7F7F"/>
          </w:tcPr>
          <w:p w:rsidR="006F3F1C" w:rsidRPr="00EB4A08" w:rsidRDefault="006F3F1C" w:rsidP="00560E1E">
            <w:pPr>
              <w:spacing w:after="0" w:line="240" w:lineRule="auto"/>
              <w:jc w:val="center"/>
              <w:rPr>
                <w:b/>
                <w:color w:val="000000"/>
                <w:sz w:val="18"/>
                <w:szCs w:val="18"/>
              </w:rPr>
            </w:pPr>
            <w:r w:rsidRPr="00EB4A08">
              <w:rPr>
                <w:b/>
                <w:sz w:val="18"/>
                <w:szCs w:val="18"/>
              </w:rPr>
              <w:t>VIDINIAI VEIKSNIAI: socialiniai-demografiniai veiksniai</w:t>
            </w:r>
          </w:p>
        </w:tc>
      </w:tr>
      <w:tr w:rsidR="006F3F1C" w:rsidRPr="00EB4A08" w:rsidTr="00BA3CE3">
        <w:tc>
          <w:tcPr>
            <w:tcW w:w="9918" w:type="dxa"/>
            <w:tcBorders>
              <w:top w:val="single" w:sz="12" w:space="0" w:color="auto"/>
              <w:left w:val="single" w:sz="12" w:space="0" w:color="auto"/>
              <w:right w:val="single" w:sz="12" w:space="0" w:color="auto"/>
              <w:tl2br w:val="nil"/>
            </w:tcBorders>
            <w:shd w:val="clear" w:color="auto" w:fill="CCC0D9"/>
          </w:tcPr>
          <w:p w:rsidR="006F3F1C" w:rsidRPr="00EB4A08" w:rsidRDefault="006F3F1C" w:rsidP="00560E1E">
            <w:pPr>
              <w:spacing w:after="0" w:line="240" w:lineRule="auto"/>
              <w:jc w:val="center"/>
              <w:rPr>
                <w:i/>
                <w:sz w:val="18"/>
                <w:szCs w:val="18"/>
              </w:rPr>
            </w:pPr>
            <w:r w:rsidRPr="00EB4A08">
              <w:rPr>
                <w:b/>
                <w:i/>
                <w:sz w:val="18"/>
                <w:szCs w:val="18"/>
              </w:rPr>
              <w:t>Išsilavinimas</w:t>
            </w:r>
            <w:r w:rsidRPr="00EB4A08">
              <w:rPr>
                <w:i/>
                <w:sz w:val="18"/>
                <w:szCs w:val="18"/>
              </w:rPr>
              <w:t>: prastas išsilavinimas tampa didžiausia kliūtimi, siekiant susirasti bet kokį darbą</w:t>
            </w:r>
          </w:p>
        </w:tc>
        <w:tc>
          <w:tcPr>
            <w:tcW w:w="450" w:type="dxa"/>
            <w:tcBorders>
              <w:top w:val="single" w:sz="12" w:space="0" w:color="auto"/>
              <w:left w:val="single" w:sz="12" w:space="0" w:color="auto"/>
              <w:right w:val="single" w:sz="12" w:space="0" w:color="auto"/>
            </w:tcBorders>
            <w:shd w:val="clear" w:color="auto" w:fill="CCC0D9"/>
            <w:vAlign w:val="center"/>
          </w:tcPr>
          <w:p w:rsidR="006F3F1C" w:rsidRPr="00EB4A08" w:rsidRDefault="006F3F1C" w:rsidP="00560E1E">
            <w:pPr>
              <w:spacing w:after="0" w:line="240" w:lineRule="auto"/>
              <w:jc w:val="center"/>
              <w:rPr>
                <w:b/>
                <w:sz w:val="18"/>
                <w:szCs w:val="18"/>
              </w:rPr>
            </w:pPr>
          </w:p>
        </w:tc>
      </w:tr>
      <w:tr w:rsidR="006F3F1C" w:rsidRPr="00EB4A08" w:rsidTr="00BA3CE3">
        <w:tc>
          <w:tcPr>
            <w:tcW w:w="9918" w:type="dxa"/>
            <w:tcBorders>
              <w:left w:val="single" w:sz="12" w:space="0" w:color="auto"/>
              <w:right w:val="single" w:sz="12" w:space="0" w:color="auto"/>
              <w:tl2br w:val="nil"/>
            </w:tcBorders>
            <w:shd w:val="clear" w:color="auto" w:fill="CCC0D9"/>
          </w:tcPr>
          <w:p w:rsidR="006F3F1C" w:rsidRPr="00EB4A08" w:rsidRDefault="006F3F1C" w:rsidP="00560E1E">
            <w:pPr>
              <w:spacing w:after="0" w:line="240" w:lineRule="auto"/>
              <w:jc w:val="center"/>
              <w:rPr>
                <w:i/>
                <w:sz w:val="18"/>
                <w:szCs w:val="18"/>
              </w:rPr>
            </w:pPr>
            <w:r w:rsidRPr="00EB4A08">
              <w:rPr>
                <w:b/>
                <w:i/>
                <w:sz w:val="18"/>
                <w:szCs w:val="18"/>
              </w:rPr>
              <w:t>Profesija</w:t>
            </w:r>
            <w:r w:rsidRPr="00EB4A08">
              <w:rPr>
                <w:i/>
                <w:sz w:val="18"/>
                <w:szCs w:val="18"/>
              </w:rPr>
              <w:t>: nepaklausi profesija tampa didžiausiu trukdžiu, tiek norint įsilieti, tiek ir sugrįžti į darbo rinką</w:t>
            </w:r>
          </w:p>
        </w:tc>
        <w:tc>
          <w:tcPr>
            <w:tcW w:w="450" w:type="dxa"/>
            <w:tcBorders>
              <w:left w:val="single" w:sz="12" w:space="0" w:color="auto"/>
              <w:right w:val="single" w:sz="12" w:space="0" w:color="auto"/>
            </w:tcBorders>
            <w:shd w:val="clear" w:color="auto" w:fill="CCC0D9"/>
            <w:vAlign w:val="center"/>
          </w:tcPr>
          <w:p w:rsidR="006F3F1C" w:rsidRPr="00EB4A08" w:rsidRDefault="006F3F1C" w:rsidP="00560E1E">
            <w:pPr>
              <w:spacing w:after="0" w:line="240" w:lineRule="auto"/>
              <w:jc w:val="center"/>
              <w:rPr>
                <w:b/>
                <w:sz w:val="18"/>
                <w:szCs w:val="18"/>
              </w:rPr>
            </w:pPr>
          </w:p>
        </w:tc>
      </w:tr>
      <w:tr w:rsidR="006F3F1C" w:rsidRPr="00EB4A08" w:rsidTr="00BA3CE3">
        <w:tc>
          <w:tcPr>
            <w:tcW w:w="9918" w:type="dxa"/>
            <w:tcBorders>
              <w:left w:val="single" w:sz="12" w:space="0" w:color="auto"/>
              <w:right w:val="single" w:sz="12" w:space="0" w:color="auto"/>
              <w:tl2br w:val="nil"/>
            </w:tcBorders>
            <w:shd w:val="clear" w:color="auto" w:fill="CCC0D9"/>
          </w:tcPr>
          <w:p w:rsidR="006F3F1C" w:rsidRPr="00EB4A08" w:rsidRDefault="006F3F1C" w:rsidP="00560E1E">
            <w:pPr>
              <w:spacing w:after="0" w:line="240" w:lineRule="auto"/>
              <w:jc w:val="center"/>
              <w:rPr>
                <w:b/>
                <w:i/>
                <w:sz w:val="18"/>
                <w:szCs w:val="18"/>
              </w:rPr>
            </w:pPr>
            <w:r w:rsidRPr="00EB4A08">
              <w:rPr>
                <w:b/>
                <w:i/>
                <w:sz w:val="18"/>
                <w:szCs w:val="18"/>
              </w:rPr>
              <w:t>Įgūdžiai, kompetencija</w:t>
            </w:r>
            <w:r w:rsidRPr="00EB4A08">
              <w:rPr>
                <w:i/>
                <w:sz w:val="18"/>
                <w:szCs w:val="18"/>
              </w:rPr>
              <w:t>: įgūdžių įgijimas (ar prarastų susigrąžinimas) reikalauja laiko, dėl to tampa sunku įsidarbinti</w:t>
            </w:r>
          </w:p>
        </w:tc>
        <w:tc>
          <w:tcPr>
            <w:tcW w:w="450" w:type="dxa"/>
            <w:tcBorders>
              <w:left w:val="single" w:sz="12" w:space="0" w:color="auto"/>
              <w:right w:val="single" w:sz="12" w:space="0" w:color="auto"/>
            </w:tcBorders>
            <w:shd w:val="clear" w:color="auto" w:fill="CCC0D9"/>
            <w:vAlign w:val="center"/>
          </w:tcPr>
          <w:p w:rsidR="006F3F1C" w:rsidRPr="00EB4A08" w:rsidRDefault="006F3F1C" w:rsidP="00560E1E">
            <w:pPr>
              <w:spacing w:after="0" w:line="240" w:lineRule="auto"/>
              <w:jc w:val="center"/>
              <w:rPr>
                <w:b/>
                <w:sz w:val="18"/>
                <w:szCs w:val="18"/>
              </w:rPr>
            </w:pPr>
          </w:p>
        </w:tc>
      </w:tr>
      <w:tr w:rsidR="006F3F1C" w:rsidRPr="00EB4A08" w:rsidTr="00BA3CE3">
        <w:tc>
          <w:tcPr>
            <w:tcW w:w="9918" w:type="dxa"/>
            <w:tcBorders>
              <w:left w:val="single" w:sz="12" w:space="0" w:color="auto"/>
              <w:right w:val="single" w:sz="12" w:space="0" w:color="auto"/>
            </w:tcBorders>
            <w:shd w:val="clear" w:color="auto" w:fill="CCC0D9"/>
          </w:tcPr>
          <w:p w:rsidR="006F3F1C" w:rsidRPr="00EB4A08" w:rsidRDefault="006F3F1C" w:rsidP="00560E1E">
            <w:pPr>
              <w:spacing w:after="0" w:line="240" w:lineRule="auto"/>
              <w:jc w:val="center"/>
              <w:rPr>
                <w:i/>
                <w:sz w:val="18"/>
                <w:szCs w:val="18"/>
              </w:rPr>
            </w:pPr>
            <w:r w:rsidRPr="00EB4A08">
              <w:rPr>
                <w:b/>
                <w:i/>
                <w:sz w:val="18"/>
                <w:szCs w:val="18"/>
              </w:rPr>
              <w:t>Darbo patirtis</w:t>
            </w:r>
            <w:r w:rsidRPr="00EB4A08">
              <w:rPr>
                <w:i/>
                <w:sz w:val="18"/>
                <w:szCs w:val="18"/>
              </w:rPr>
              <w:t>: darbdaviai nelinkę investuoti į patirties neturinčius žmones, todėl įsiliejimas į darbo rinką užtrunka</w:t>
            </w:r>
          </w:p>
        </w:tc>
        <w:tc>
          <w:tcPr>
            <w:tcW w:w="450" w:type="dxa"/>
            <w:tcBorders>
              <w:left w:val="single" w:sz="12" w:space="0" w:color="auto"/>
              <w:right w:val="single" w:sz="12" w:space="0" w:color="auto"/>
            </w:tcBorders>
            <w:shd w:val="clear" w:color="auto" w:fill="CCC0D9"/>
            <w:vAlign w:val="center"/>
          </w:tcPr>
          <w:p w:rsidR="006F3F1C" w:rsidRPr="00EB4A08" w:rsidRDefault="006F3F1C" w:rsidP="00560E1E">
            <w:pPr>
              <w:spacing w:after="0" w:line="240" w:lineRule="auto"/>
              <w:jc w:val="center"/>
              <w:rPr>
                <w:b/>
                <w:sz w:val="18"/>
                <w:szCs w:val="18"/>
              </w:rPr>
            </w:pPr>
          </w:p>
        </w:tc>
      </w:tr>
      <w:tr w:rsidR="006F3F1C" w:rsidRPr="00EB4A08" w:rsidTr="00BA3CE3">
        <w:tc>
          <w:tcPr>
            <w:tcW w:w="9918" w:type="dxa"/>
            <w:tcBorders>
              <w:left w:val="single" w:sz="12" w:space="0" w:color="auto"/>
              <w:bottom w:val="single" w:sz="4" w:space="0" w:color="auto"/>
              <w:right w:val="single" w:sz="12" w:space="0" w:color="auto"/>
            </w:tcBorders>
            <w:shd w:val="clear" w:color="auto" w:fill="CCC0D9"/>
          </w:tcPr>
          <w:p w:rsidR="006F3F1C" w:rsidRPr="00EB4A08" w:rsidRDefault="006F3F1C" w:rsidP="00560E1E">
            <w:pPr>
              <w:spacing w:after="0" w:line="240" w:lineRule="auto"/>
              <w:jc w:val="center"/>
              <w:rPr>
                <w:i/>
                <w:sz w:val="18"/>
                <w:szCs w:val="18"/>
              </w:rPr>
            </w:pPr>
            <w:r w:rsidRPr="00EB4A08">
              <w:rPr>
                <w:b/>
                <w:i/>
                <w:sz w:val="18"/>
                <w:szCs w:val="18"/>
              </w:rPr>
              <w:t>Šeimos dydis, struktūra</w:t>
            </w:r>
            <w:r w:rsidRPr="00EB4A08">
              <w:rPr>
                <w:i/>
                <w:sz w:val="18"/>
                <w:szCs w:val="18"/>
              </w:rPr>
              <w:t>: mažų vaikų / senų tėvų priežiūra reikalauja laiko, kas užkerta kelią įsidarbinimui apskritai</w:t>
            </w:r>
          </w:p>
        </w:tc>
        <w:tc>
          <w:tcPr>
            <w:tcW w:w="450" w:type="dxa"/>
            <w:tcBorders>
              <w:left w:val="single" w:sz="12" w:space="0" w:color="auto"/>
              <w:bottom w:val="single" w:sz="4" w:space="0" w:color="auto"/>
              <w:right w:val="single" w:sz="12" w:space="0" w:color="auto"/>
            </w:tcBorders>
            <w:shd w:val="clear" w:color="auto" w:fill="CCC0D9"/>
            <w:vAlign w:val="center"/>
          </w:tcPr>
          <w:p w:rsidR="006F3F1C" w:rsidRPr="00EB4A08" w:rsidRDefault="006F3F1C" w:rsidP="00560E1E">
            <w:pPr>
              <w:spacing w:after="0" w:line="240" w:lineRule="auto"/>
              <w:jc w:val="center"/>
              <w:rPr>
                <w:b/>
                <w:sz w:val="18"/>
                <w:szCs w:val="18"/>
              </w:rPr>
            </w:pPr>
          </w:p>
        </w:tc>
      </w:tr>
      <w:tr w:rsidR="006F3F1C" w:rsidRPr="00EB4A08" w:rsidTr="00BA3CE3">
        <w:tc>
          <w:tcPr>
            <w:tcW w:w="9918" w:type="dxa"/>
            <w:tcBorders>
              <w:left w:val="single" w:sz="12" w:space="0" w:color="auto"/>
              <w:bottom w:val="single" w:sz="4" w:space="0" w:color="auto"/>
              <w:right w:val="single" w:sz="12" w:space="0" w:color="auto"/>
            </w:tcBorders>
            <w:shd w:val="clear" w:color="auto" w:fill="CCC0D9"/>
          </w:tcPr>
          <w:p w:rsidR="006F3F1C" w:rsidRPr="00EB4A08" w:rsidRDefault="006F3F1C" w:rsidP="00560E1E">
            <w:pPr>
              <w:spacing w:after="0" w:line="240" w:lineRule="auto"/>
              <w:jc w:val="center"/>
              <w:rPr>
                <w:i/>
                <w:sz w:val="18"/>
                <w:szCs w:val="18"/>
              </w:rPr>
            </w:pPr>
            <w:r w:rsidRPr="00EB4A08">
              <w:rPr>
                <w:b/>
                <w:i/>
                <w:sz w:val="18"/>
                <w:szCs w:val="18"/>
              </w:rPr>
              <w:t>Jaunatviškas maksimalizmas</w:t>
            </w:r>
            <w:r w:rsidRPr="00EB4A08">
              <w:rPr>
                <w:i/>
                <w:sz w:val="18"/>
                <w:szCs w:val="18"/>
              </w:rPr>
              <w:t>: naudos vaikymasis, negalvojant apie rytojų, skatina naudotis socialine apsauga</w:t>
            </w:r>
          </w:p>
        </w:tc>
        <w:tc>
          <w:tcPr>
            <w:tcW w:w="450" w:type="dxa"/>
            <w:tcBorders>
              <w:left w:val="single" w:sz="12" w:space="0" w:color="auto"/>
              <w:bottom w:val="single" w:sz="4" w:space="0" w:color="auto"/>
              <w:right w:val="single" w:sz="12" w:space="0" w:color="auto"/>
            </w:tcBorders>
            <w:shd w:val="clear" w:color="auto" w:fill="CCC0D9"/>
            <w:vAlign w:val="center"/>
          </w:tcPr>
          <w:p w:rsidR="006F3F1C" w:rsidRPr="00EB4A08" w:rsidRDefault="006F3F1C" w:rsidP="00560E1E">
            <w:pPr>
              <w:spacing w:after="0" w:line="240" w:lineRule="auto"/>
              <w:jc w:val="center"/>
              <w:rPr>
                <w:b/>
                <w:sz w:val="18"/>
                <w:szCs w:val="18"/>
              </w:rPr>
            </w:pPr>
          </w:p>
        </w:tc>
      </w:tr>
      <w:tr w:rsidR="006F3F1C" w:rsidRPr="00EB4A08" w:rsidTr="00BA3CE3">
        <w:tc>
          <w:tcPr>
            <w:tcW w:w="9918" w:type="dxa"/>
            <w:tcBorders>
              <w:left w:val="single" w:sz="12" w:space="0" w:color="auto"/>
              <w:bottom w:val="single" w:sz="12" w:space="0" w:color="auto"/>
              <w:right w:val="single" w:sz="12" w:space="0" w:color="auto"/>
            </w:tcBorders>
            <w:shd w:val="clear" w:color="auto" w:fill="CCC0D9"/>
          </w:tcPr>
          <w:p w:rsidR="006F3F1C" w:rsidRPr="00EB4A08" w:rsidRDefault="006F3F1C" w:rsidP="00560E1E">
            <w:pPr>
              <w:spacing w:after="0" w:line="240" w:lineRule="auto"/>
              <w:jc w:val="center"/>
              <w:rPr>
                <w:i/>
                <w:sz w:val="18"/>
                <w:szCs w:val="18"/>
              </w:rPr>
            </w:pPr>
            <w:r w:rsidRPr="00EB4A08">
              <w:rPr>
                <w:b/>
                <w:i/>
                <w:sz w:val="18"/>
                <w:szCs w:val="18"/>
              </w:rPr>
              <w:t>Gyvenimo būdas</w:t>
            </w:r>
            <w:r w:rsidRPr="00EB4A08">
              <w:rPr>
                <w:i/>
                <w:sz w:val="18"/>
                <w:szCs w:val="18"/>
              </w:rPr>
              <w:t>: teikiant prioritetą laisvalaikiui, poreikis darbui pasitraukia į paskesniąją poziciją</w:t>
            </w:r>
          </w:p>
        </w:tc>
        <w:tc>
          <w:tcPr>
            <w:tcW w:w="450" w:type="dxa"/>
            <w:tcBorders>
              <w:left w:val="single" w:sz="12" w:space="0" w:color="auto"/>
              <w:bottom w:val="single" w:sz="12" w:space="0" w:color="auto"/>
              <w:right w:val="single" w:sz="12" w:space="0" w:color="auto"/>
            </w:tcBorders>
            <w:shd w:val="clear" w:color="auto" w:fill="CCC0D9"/>
            <w:vAlign w:val="center"/>
          </w:tcPr>
          <w:p w:rsidR="006F3F1C" w:rsidRPr="00EB4A08" w:rsidRDefault="006F3F1C" w:rsidP="00560E1E">
            <w:pPr>
              <w:spacing w:after="0" w:line="240" w:lineRule="auto"/>
              <w:jc w:val="center"/>
              <w:rPr>
                <w:b/>
                <w:sz w:val="18"/>
                <w:szCs w:val="18"/>
              </w:rPr>
            </w:pPr>
          </w:p>
        </w:tc>
      </w:tr>
    </w:tbl>
    <w:p w:rsidR="006F3F1C" w:rsidRPr="00391AF6" w:rsidRDefault="006F3F1C" w:rsidP="00F10FB6">
      <w:pPr>
        <w:pStyle w:val="Referatai"/>
        <w:spacing w:before="20" w:after="0"/>
        <w:ind w:firstLine="562"/>
        <w:contextualSpacing w:val="0"/>
        <w:rPr>
          <w:i/>
          <w:sz w:val="20"/>
          <w:szCs w:val="20"/>
        </w:rPr>
      </w:pPr>
      <w:r w:rsidRPr="002313FE">
        <w:rPr>
          <w:b/>
          <w:i/>
          <w:sz w:val="20"/>
          <w:szCs w:val="20"/>
        </w:rPr>
        <w:t xml:space="preserve">Išreitinguokite </w:t>
      </w:r>
      <w:r w:rsidRPr="002313FE">
        <w:rPr>
          <w:b/>
          <w:i/>
          <w:sz w:val="20"/>
          <w:szCs w:val="20"/>
          <w:u w:val="single"/>
        </w:rPr>
        <w:t>visus</w:t>
      </w:r>
      <w:r>
        <w:rPr>
          <w:b/>
          <w:i/>
          <w:sz w:val="20"/>
          <w:szCs w:val="20"/>
        </w:rPr>
        <w:t xml:space="preserve"> </w:t>
      </w:r>
      <w:r w:rsidRPr="002313FE">
        <w:rPr>
          <w:b/>
          <w:i/>
          <w:sz w:val="20"/>
          <w:szCs w:val="20"/>
        </w:rPr>
        <w:t>ekonominės aplinkos veiksnius</w:t>
      </w:r>
      <w:r w:rsidRPr="00391AF6">
        <w:rPr>
          <w:i/>
          <w:sz w:val="20"/>
          <w:szCs w:val="20"/>
        </w:rPr>
        <w:t xml:space="preserve"> pagal tai, </w:t>
      </w:r>
      <w:r w:rsidRPr="002313FE">
        <w:rPr>
          <w:i/>
          <w:sz w:val="20"/>
          <w:szCs w:val="20"/>
          <w:u w:val="single"/>
        </w:rPr>
        <w:t>kiek jie (atkreipiant dėmesį į pateiktą teiginį)</w:t>
      </w:r>
      <w:r>
        <w:rPr>
          <w:i/>
          <w:sz w:val="20"/>
          <w:szCs w:val="20"/>
          <w:u w:val="single"/>
        </w:rPr>
        <w:t xml:space="preserve"> yra svarbūs</w:t>
      </w:r>
      <w:r>
        <w:rPr>
          <w:i/>
          <w:sz w:val="20"/>
          <w:szCs w:val="20"/>
        </w:rPr>
        <w:t xml:space="preserve"> žmogaus </w:t>
      </w:r>
      <w:r w:rsidRPr="00391AF6">
        <w:rPr>
          <w:i/>
          <w:sz w:val="20"/>
          <w:szCs w:val="20"/>
        </w:rPr>
        <w:t>pasir</w:t>
      </w:r>
      <w:r>
        <w:rPr>
          <w:i/>
          <w:sz w:val="20"/>
          <w:szCs w:val="20"/>
        </w:rPr>
        <w:t>inkimui pajamas formuoti iš socialinės</w:t>
      </w:r>
      <w:r w:rsidRPr="00391AF6">
        <w:rPr>
          <w:i/>
          <w:sz w:val="20"/>
          <w:szCs w:val="20"/>
        </w:rPr>
        <w:t xml:space="preserve"> apsaugos lėšų, kur: 1 – </w:t>
      </w:r>
      <w:r w:rsidRPr="001643E6">
        <w:rPr>
          <w:i/>
          <w:sz w:val="20"/>
          <w:szCs w:val="20"/>
        </w:rPr>
        <w:t xml:space="preserve">labiausiai, o </w:t>
      </w:r>
      <w:r>
        <w:rPr>
          <w:i/>
          <w:sz w:val="20"/>
          <w:szCs w:val="20"/>
        </w:rPr>
        <w:t>5</w:t>
      </w:r>
      <w:r w:rsidRPr="001643E6">
        <w:rPr>
          <w:i/>
          <w:sz w:val="20"/>
          <w:szCs w:val="20"/>
        </w:rPr>
        <w:t xml:space="preserve"> – mažiausiai.</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8"/>
        <w:gridCol w:w="450"/>
      </w:tblGrid>
      <w:tr w:rsidR="006F3F1C" w:rsidRPr="00EB4A08" w:rsidTr="00BA3CE3">
        <w:tc>
          <w:tcPr>
            <w:tcW w:w="10368" w:type="dxa"/>
            <w:gridSpan w:val="2"/>
            <w:tcBorders>
              <w:top w:val="single" w:sz="12" w:space="0" w:color="auto"/>
              <w:left w:val="single" w:sz="12" w:space="0" w:color="auto"/>
              <w:bottom w:val="single" w:sz="12" w:space="0" w:color="auto"/>
              <w:right w:val="single" w:sz="12" w:space="0" w:color="auto"/>
              <w:tl2br w:val="nil"/>
            </w:tcBorders>
            <w:shd w:val="clear" w:color="auto" w:fill="7F7F7F"/>
          </w:tcPr>
          <w:p w:rsidR="006F3F1C" w:rsidRPr="00EB4A08" w:rsidRDefault="006F3F1C" w:rsidP="00560E1E">
            <w:pPr>
              <w:spacing w:after="0" w:line="240" w:lineRule="auto"/>
              <w:jc w:val="center"/>
              <w:rPr>
                <w:b/>
                <w:color w:val="000000"/>
                <w:sz w:val="18"/>
                <w:szCs w:val="18"/>
              </w:rPr>
            </w:pPr>
            <w:r w:rsidRPr="00EB4A08">
              <w:rPr>
                <w:b/>
                <w:sz w:val="18"/>
                <w:szCs w:val="18"/>
              </w:rPr>
              <w:t>IŠORINIAI VEIKSNIAI: ekonominiai veiksniai</w:t>
            </w:r>
          </w:p>
        </w:tc>
      </w:tr>
      <w:tr w:rsidR="006F3F1C" w:rsidRPr="00EB4A08" w:rsidTr="00BA3CE3">
        <w:tc>
          <w:tcPr>
            <w:tcW w:w="9918" w:type="dxa"/>
            <w:tcBorders>
              <w:top w:val="single" w:sz="12" w:space="0" w:color="auto"/>
              <w:left w:val="single" w:sz="12" w:space="0" w:color="auto"/>
              <w:bottom w:val="single" w:sz="2" w:space="0" w:color="auto"/>
              <w:right w:val="single" w:sz="12" w:space="0" w:color="auto"/>
              <w:tl2br w:val="nil"/>
            </w:tcBorders>
            <w:shd w:val="clear" w:color="auto" w:fill="E5B8B7"/>
          </w:tcPr>
          <w:p w:rsidR="006F3F1C" w:rsidRPr="00EB4A08" w:rsidRDefault="006F3F1C" w:rsidP="00560E1E">
            <w:pPr>
              <w:spacing w:after="0" w:line="240" w:lineRule="auto"/>
              <w:jc w:val="center"/>
              <w:rPr>
                <w:i/>
                <w:sz w:val="18"/>
                <w:szCs w:val="18"/>
              </w:rPr>
            </w:pPr>
            <w:r w:rsidRPr="00EB4A08">
              <w:rPr>
                <w:b/>
                <w:i/>
                <w:sz w:val="18"/>
                <w:szCs w:val="18"/>
              </w:rPr>
              <w:t>Gyventojų užimtumo pokyčiai</w:t>
            </w:r>
            <w:r w:rsidRPr="00EB4A08">
              <w:rPr>
                <w:i/>
                <w:sz w:val="18"/>
                <w:szCs w:val="18"/>
              </w:rPr>
              <w:t>: esant dideliam nedarbui šalyje, tampa sunku susirasti bet kokį darbą</w:t>
            </w:r>
          </w:p>
        </w:tc>
        <w:tc>
          <w:tcPr>
            <w:tcW w:w="450" w:type="dxa"/>
            <w:tcBorders>
              <w:top w:val="single" w:sz="12" w:space="0" w:color="auto"/>
              <w:left w:val="single" w:sz="12" w:space="0" w:color="auto"/>
              <w:bottom w:val="single" w:sz="2" w:space="0" w:color="auto"/>
              <w:right w:val="single" w:sz="12" w:space="0" w:color="auto"/>
            </w:tcBorders>
            <w:shd w:val="clear" w:color="auto" w:fill="E5B8B7"/>
            <w:vAlign w:val="center"/>
          </w:tcPr>
          <w:p w:rsidR="006F3F1C" w:rsidRPr="00EB4A08" w:rsidRDefault="006F3F1C" w:rsidP="00560E1E">
            <w:pPr>
              <w:spacing w:after="0" w:line="240" w:lineRule="auto"/>
              <w:jc w:val="center"/>
              <w:rPr>
                <w:b/>
                <w:sz w:val="18"/>
                <w:szCs w:val="18"/>
              </w:rPr>
            </w:pPr>
          </w:p>
        </w:tc>
      </w:tr>
      <w:tr w:rsidR="006F3F1C" w:rsidRPr="00EB4A08" w:rsidTr="00BA3CE3">
        <w:tc>
          <w:tcPr>
            <w:tcW w:w="9918" w:type="dxa"/>
            <w:tcBorders>
              <w:top w:val="single" w:sz="2" w:space="0" w:color="auto"/>
              <w:left w:val="single" w:sz="12" w:space="0" w:color="auto"/>
              <w:bottom w:val="single" w:sz="2" w:space="0" w:color="auto"/>
              <w:right w:val="single" w:sz="12" w:space="0" w:color="auto"/>
              <w:tl2br w:val="nil"/>
            </w:tcBorders>
            <w:shd w:val="clear" w:color="auto" w:fill="E5B8B7"/>
          </w:tcPr>
          <w:p w:rsidR="006F3F1C" w:rsidRPr="00EB4A08" w:rsidRDefault="006F3F1C" w:rsidP="00560E1E">
            <w:pPr>
              <w:spacing w:after="0" w:line="240" w:lineRule="auto"/>
              <w:jc w:val="center"/>
              <w:rPr>
                <w:i/>
                <w:sz w:val="18"/>
                <w:szCs w:val="18"/>
              </w:rPr>
            </w:pPr>
            <w:r w:rsidRPr="00EB4A08">
              <w:rPr>
                <w:b/>
                <w:i/>
                <w:sz w:val="18"/>
                <w:szCs w:val="18"/>
              </w:rPr>
              <w:t>Šešėlinės ekonomikos lygis</w:t>
            </w:r>
            <w:r w:rsidRPr="00EB4A08">
              <w:rPr>
                <w:i/>
                <w:sz w:val="18"/>
                <w:szCs w:val="18"/>
              </w:rPr>
              <w:t>: esant dideliam šešėlinės ekonomikos mastui, atsiranda poreikis nuslėpti pajamas</w:t>
            </w:r>
          </w:p>
        </w:tc>
        <w:tc>
          <w:tcPr>
            <w:tcW w:w="450" w:type="dxa"/>
            <w:tcBorders>
              <w:top w:val="single" w:sz="2" w:space="0" w:color="auto"/>
              <w:left w:val="single" w:sz="12" w:space="0" w:color="auto"/>
              <w:bottom w:val="single" w:sz="2" w:space="0" w:color="auto"/>
              <w:right w:val="single" w:sz="12" w:space="0" w:color="auto"/>
            </w:tcBorders>
            <w:shd w:val="clear" w:color="auto" w:fill="E5B8B7"/>
            <w:vAlign w:val="center"/>
          </w:tcPr>
          <w:p w:rsidR="006F3F1C" w:rsidRPr="00EB4A08" w:rsidRDefault="006F3F1C" w:rsidP="00560E1E">
            <w:pPr>
              <w:spacing w:after="0" w:line="240" w:lineRule="auto"/>
              <w:jc w:val="center"/>
              <w:rPr>
                <w:b/>
                <w:sz w:val="18"/>
                <w:szCs w:val="18"/>
              </w:rPr>
            </w:pPr>
          </w:p>
        </w:tc>
      </w:tr>
      <w:tr w:rsidR="006F3F1C" w:rsidRPr="00EB4A08" w:rsidTr="00BA3CE3">
        <w:tc>
          <w:tcPr>
            <w:tcW w:w="9918" w:type="dxa"/>
            <w:tcBorders>
              <w:top w:val="single" w:sz="2" w:space="0" w:color="auto"/>
              <w:left w:val="single" w:sz="12" w:space="0" w:color="auto"/>
              <w:bottom w:val="single" w:sz="2" w:space="0" w:color="auto"/>
              <w:right w:val="single" w:sz="12" w:space="0" w:color="auto"/>
              <w:tl2br w:val="nil"/>
            </w:tcBorders>
            <w:shd w:val="clear" w:color="auto" w:fill="E5B8B7"/>
          </w:tcPr>
          <w:p w:rsidR="006F3F1C" w:rsidRPr="00EB4A08" w:rsidRDefault="006F3F1C" w:rsidP="00560E1E">
            <w:pPr>
              <w:spacing w:after="0" w:line="240" w:lineRule="auto"/>
              <w:jc w:val="center"/>
              <w:rPr>
                <w:i/>
                <w:sz w:val="18"/>
                <w:szCs w:val="18"/>
              </w:rPr>
            </w:pPr>
            <w:r w:rsidRPr="00EB4A08">
              <w:rPr>
                <w:b/>
                <w:i/>
                <w:sz w:val="18"/>
                <w:szCs w:val="18"/>
              </w:rPr>
              <w:t>Mokesčių našta</w:t>
            </w:r>
            <w:r w:rsidRPr="00EB4A08">
              <w:rPr>
                <w:i/>
                <w:sz w:val="18"/>
                <w:szCs w:val="18"/>
              </w:rPr>
              <w:t>: esant didelei mokesčių naštai, atsiranda noras protestuoti prieš šalyje vykdomą mokesčių politiką</w:t>
            </w:r>
          </w:p>
        </w:tc>
        <w:tc>
          <w:tcPr>
            <w:tcW w:w="450" w:type="dxa"/>
            <w:tcBorders>
              <w:top w:val="single" w:sz="2" w:space="0" w:color="auto"/>
              <w:left w:val="single" w:sz="12" w:space="0" w:color="auto"/>
              <w:bottom w:val="single" w:sz="2" w:space="0" w:color="auto"/>
              <w:right w:val="single" w:sz="12" w:space="0" w:color="auto"/>
            </w:tcBorders>
            <w:shd w:val="clear" w:color="auto" w:fill="E5B8B7"/>
            <w:vAlign w:val="center"/>
          </w:tcPr>
          <w:p w:rsidR="006F3F1C" w:rsidRPr="00EB4A08" w:rsidRDefault="006F3F1C" w:rsidP="00560E1E">
            <w:pPr>
              <w:spacing w:after="0" w:line="240" w:lineRule="auto"/>
              <w:jc w:val="center"/>
              <w:rPr>
                <w:b/>
                <w:sz w:val="18"/>
                <w:szCs w:val="18"/>
              </w:rPr>
            </w:pPr>
          </w:p>
        </w:tc>
      </w:tr>
      <w:tr w:rsidR="006F3F1C" w:rsidRPr="00EB4A08" w:rsidTr="00BA3CE3">
        <w:tc>
          <w:tcPr>
            <w:tcW w:w="9918" w:type="dxa"/>
            <w:tcBorders>
              <w:top w:val="single" w:sz="2" w:space="0" w:color="auto"/>
              <w:left w:val="single" w:sz="12" w:space="0" w:color="auto"/>
              <w:bottom w:val="single" w:sz="2" w:space="0" w:color="auto"/>
              <w:right w:val="single" w:sz="12" w:space="0" w:color="auto"/>
              <w:tl2br w:val="nil"/>
            </w:tcBorders>
            <w:shd w:val="clear" w:color="auto" w:fill="E5B8B7"/>
          </w:tcPr>
          <w:p w:rsidR="006F3F1C" w:rsidRPr="00EB4A08" w:rsidRDefault="006F3F1C" w:rsidP="00560E1E">
            <w:pPr>
              <w:spacing w:after="0" w:line="240" w:lineRule="auto"/>
              <w:jc w:val="center"/>
              <w:rPr>
                <w:i/>
                <w:sz w:val="18"/>
                <w:szCs w:val="18"/>
              </w:rPr>
            </w:pPr>
            <w:r w:rsidRPr="00EB4A08">
              <w:rPr>
                <w:b/>
                <w:i/>
                <w:sz w:val="18"/>
                <w:szCs w:val="18"/>
              </w:rPr>
              <w:t>Skurdo „spąstai“</w:t>
            </w:r>
            <w:r w:rsidRPr="00EB4A08">
              <w:rPr>
                <w:i/>
                <w:sz w:val="18"/>
                <w:szCs w:val="18"/>
              </w:rPr>
              <w:t>: pradėjus dirbti, finansinė padėtis – dėl socialinės paramos teikimo nutraukimo – pagerėja nežymiai</w:t>
            </w:r>
          </w:p>
        </w:tc>
        <w:tc>
          <w:tcPr>
            <w:tcW w:w="450" w:type="dxa"/>
            <w:tcBorders>
              <w:top w:val="single" w:sz="2" w:space="0" w:color="auto"/>
              <w:left w:val="single" w:sz="12" w:space="0" w:color="auto"/>
              <w:bottom w:val="single" w:sz="2" w:space="0" w:color="auto"/>
              <w:right w:val="single" w:sz="12" w:space="0" w:color="auto"/>
            </w:tcBorders>
            <w:shd w:val="clear" w:color="auto" w:fill="E5B8B7"/>
            <w:vAlign w:val="center"/>
          </w:tcPr>
          <w:p w:rsidR="006F3F1C" w:rsidRPr="00EB4A08" w:rsidRDefault="006F3F1C" w:rsidP="00560E1E">
            <w:pPr>
              <w:spacing w:after="0" w:line="240" w:lineRule="auto"/>
              <w:jc w:val="center"/>
              <w:rPr>
                <w:b/>
                <w:sz w:val="18"/>
                <w:szCs w:val="18"/>
              </w:rPr>
            </w:pPr>
          </w:p>
        </w:tc>
      </w:tr>
      <w:tr w:rsidR="006F3F1C" w:rsidRPr="00EB4A08" w:rsidTr="00BA3CE3">
        <w:tc>
          <w:tcPr>
            <w:tcW w:w="9918" w:type="dxa"/>
            <w:tcBorders>
              <w:top w:val="single" w:sz="2" w:space="0" w:color="auto"/>
              <w:left w:val="single" w:sz="12" w:space="0" w:color="auto"/>
              <w:bottom w:val="single" w:sz="12" w:space="0" w:color="auto"/>
              <w:right w:val="single" w:sz="12" w:space="0" w:color="auto"/>
              <w:tl2br w:val="nil"/>
            </w:tcBorders>
            <w:shd w:val="clear" w:color="auto" w:fill="E5B8B7"/>
          </w:tcPr>
          <w:p w:rsidR="006F3F1C" w:rsidRPr="00EB4A08" w:rsidRDefault="006F3F1C" w:rsidP="00560E1E">
            <w:pPr>
              <w:spacing w:after="0" w:line="240" w:lineRule="auto"/>
              <w:jc w:val="center"/>
              <w:rPr>
                <w:i/>
                <w:sz w:val="18"/>
                <w:szCs w:val="18"/>
              </w:rPr>
            </w:pPr>
            <w:r w:rsidRPr="00EB4A08">
              <w:rPr>
                <w:b/>
                <w:i/>
                <w:sz w:val="18"/>
                <w:szCs w:val="18"/>
              </w:rPr>
              <w:t>Išmokos mokėjimo trukmė</w:t>
            </w:r>
            <w:r w:rsidRPr="00EB4A08">
              <w:rPr>
                <w:i/>
                <w:sz w:val="18"/>
                <w:szCs w:val="18"/>
              </w:rPr>
              <w:t>: esant didelei išmokos mokėjimo ar paramos teikimo trukmei, neskatinamas užimtumas</w:t>
            </w:r>
          </w:p>
        </w:tc>
        <w:tc>
          <w:tcPr>
            <w:tcW w:w="450" w:type="dxa"/>
            <w:tcBorders>
              <w:top w:val="single" w:sz="2" w:space="0" w:color="auto"/>
              <w:left w:val="single" w:sz="12" w:space="0" w:color="auto"/>
              <w:bottom w:val="single" w:sz="12" w:space="0" w:color="auto"/>
              <w:right w:val="single" w:sz="12" w:space="0" w:color="auto"/>
            </w:tcBorders>
            <w:shd w:val="clear" w:color="auto" w:fill="E5B8B7"/>
            <w:vAlign w:val="center"/>
          </w:tcPr>
          <w:p w:rsidR="006F3F1C" w:rsidRPr="00EB4A08" w:rsidRDefault="006F3F1C" w:rsidP="00560E1E">
            <w:pPr>
              <w:spacing w:after="0" w:line="240" w:lineRule="auto"/>
              <w:jc w:val="center"/>
              <w:rPr>
                <w:b/>
                <w:sz w:val="18"/>
                <w:szCs w:val="18"/>
              </w:rPr>
            </w:pPr>
          </w:p>
        </w:tc>
      </w:tr>
    </w:tbl>
    <w:p w:rsidR="006F3F1C" w:rsidRPr="00391AF6" w:rsidRDefault="006F3F1C" w:rsidP="00F10FB6">
      <w:pPr>
        <w:pStyle w:val="Referatai"/>
        <w:spacing w:before="20" w:after="0"/>
        <w:ind w:firstLine="562"/>
        <w:contextualSpacing w:val="0"/>
        <w:rPr>
          <w:i/>
          <w:sz w:val="20"/>
          <w:szCs w:val="20"/>
        </w:rPr>
      </w:pPr>
      <w:r w:rsidRPr="007543F9">
        <w:rPr>
          <w:b/>
          <w:i/>
          <w:sz w:val="20"/>
          <w:szCs w:val="20"/>
        </w:rPr>
        <w:t>Išreitinguokite</w:t>
      </w:r>
      <w:r>
        <w:rPr>
          <w:b/>
          <w:i/>
          <w:sz w:val="20"/>
          <w:szCs w:val="20"/>
        </w:rPr>
        <w:t xml:space="preserve"> </w:t>
      </w:r>
      <w:r w:rsidRPr="007543F9">
        <w:rPr>
          <w:b/>
          <w:i/>
          <w:sz w:val="20"/>
          <w:szCs w:val="20"/>
          <w:u w:val="single"/>
        </w:rPr>
        <w:t>visus</w:t>
      </w:r>
      <w:r w:rsidRPr="007543F9">
        <w:rPr>
          <w:b/>
          <w:i/>
          <w:sz w:val="20"/>
          <w:szCs w:val="20"/>
        </w:rPr>
        <w:t xml:space="preserve"> teisinius-politinius veiksnius</w:t>
      </w:r>
      <w:r w:rsidRPr="00391AF6">
        <w:rPr>
          <w:i/>
          <w:sz w:val="20"/>
          <w:szCs w:val="20"/>
        </w:rPr>
        <w:t xml:space="preserve"> pagal tai, </w:t>
      </w:r>
      <w:r w:rsidRPr="00BB6B70">
        <w:rPr>
          <w:i/>
          <w:sz w:val="20"/>
          <w:szCs w:val="20"/>
          <w:u w:val="single"/>
        </w:rPr>
        <w:t>kiek jie (atkreipiant dėmesį į pateiktą teiginį) yra svarbūs</w:t>
      </w:r>
      <w:r>
        <w:rPr>
          <w:i/>
          <w:sz w:val="20"/>
          <w:szCs w:val="20"/>
        </w:rPr>
        <w:t xml:space="preserve"> žmogaus</w:t>
      </w:r>
      <w:r w:rsidRPr="00391AF6">
        <w:rPr>
          <w:i/>
          <w:sz w:val="20"/>
          <w:szCs w:val="20"/>
        </w:rPr>
        <w:t xml:space="preserve"> pasir</w:t>
      </w:r>
      <w:r>
        <w:rPr>
          <w:i/>
          <w:sz w:val="20"/>
          <w:szCs w:val="20"/>
        </w:rPr>
        <w:t>inkimui pajamas formuoti iš socialinės</w:t>
      </w:r>
      <w:r w:rsidRPr="00391AF6">
        <w:rPr>
          <w:i/>
          <w:sz w:val="20"/>
          <w:szCs w:val="20"/>
        </w:rPr>
        <w:t xml:space="preserve"> apsaugos lėšų, kur: 1 – </w:t>
      </w:r>
      <w:r w:rsidRPr="001643E6">
        <w:rPr>
          <w:i/>
          <w:sz w:val="20"/>
          <w:szCs w:val="20"/>
        </w:rPr>
        <w:t xml:space="preserve">labiausiai, o </w:t>
      </w:r>
      <w:r>
        <w:rPr>
          <w:i/>
          <w:sz w:val="20"/>
          <w:szCs w:val="20"/>
        </w:rPr>
        <w:t>3</w:t>
      </w:r>
      <w:r w:rsidRPr="001643E6">
        <w:rPr>
          <w:i/>
          <w:sz w:val="20"/>
          <w:szCs w:val="20"/>
        </w:rPr>
        <w:t xml:space="preserve"> – mažiausiai.</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8"/>
        <w:gridCol w:w="450"/>
      </w:tblGrid>
      <w:tr w:rsidR="006F3F1C" w:rsidRPr="00EB4A08" w:rsidTr="00BA3CE3">
        <w:tc>
          <w:tcPr>
            <w:tcW w:w="10368" w:type="dxa"/>
            <w:gridSpan w:val="2"/>
            <w:tcBorders>
              <w:top w:val="single" w:sz="12" w:space="0" w:color="auto"/>
              <w:left w:val="single" w:sz="12" w:space="0" w:color="auto"/>
              <w:bottom w:val="single" w:sz="12" w:space="0" w:color="auto"/>
              <w:right w:val="single" w:sz="12" w:space="0" w:color="auto"/>
              <w:tl2br w:val="nil"/>
            </w:tcBorders>
            <w:shd w:val="clear" w:color="auto" w:fill="7F7F7F"/>
          </w:tcPr>
          <w:p w:rsidR="006F3F1C" w:rsidRPr="00EB4A08" w:rsidRDefault="006F3F1C" w:rsidP="00BA3CE3">
            <w:pPr>
              <w:spacing w:after="0" w:line="240" w:lineRule="auto"/>
              <w:jc w:val="center"/>
              <w:rPr>
                <w:b/>
                <w:color w:val="000000"/>
                <w:sz w:val="18"/>
                <w:szCs w:val="18"/>
              </w:rPr>
            </w:pPr>
            <w:r w:rsidRPr="00EB4A08">
              <w:rPr>
                <w:b/>
                <w:sz w:val="18"/>
                <w:szCs w:val="18"/>
              </w:rPr>
              <w:t>IŠORINIAI VEIKSNIAI: teisiniai-politiniai veiksniai</w:t>
            </w:r>
          </w:p>
        </w:tc>
      </w:tr>
      <w:tr w:rsidR="006F3F1C" w:rsidRPr="00EB4A08" w:rsidTr="00BA3CE3">
        <w:tc>
          <w:tcPr>
            <w:tcW w:w="9918" w:type="dxa"/>
            <w:tcBorders>
              <w:top w:val="single" w:sz="12" w:space="0" w:color="auto"/>
              <w:left w:val="single" w:sz="12" w:space="0" w:color="auto"/>
              <w:bottom w:val="single" w:sz="2" w:space="0" w:color="auto"/>
              <w:right w:val="single" w:sz="12" w:space="0" w:color="auto"/>
              <w:tl2br w:val="nil"/>
            </w:tcBorders>
            <w:shd w:val="clear" w:color="auto" w:fill="FBD4B4"/>
          </w:tcPr>
          <w:p w:rsidR="006F3F1C" w:rsidRPr="00EB4A08" w:rsidRDefault="006F3F1C" w:rsidP="00BA3CE3">
            <w:pPr>
              <w:spacing w:after="0" w:line="240" w:lineRule="auto"/>
              <w:jc w:val="center"/>
              <w:rPr>
                <w:i/>
                <w:sz w:val="18"/>
                <w:szCs w:val="18"/>
              </w:rPr>
            </w:pPr>
            <w:r w:rsidRPr="00EB4A08">
              <w:rPr>
                <w:b/>
                <w:i/>
                <w:sz w:val="18"/>
                <w:szCs w:val="18"/>
              </w:rPr>
              <w:t>Socialinės apsaugos sistema</w:t>
            </w:r>
            <w:r w:rsidRPr="00EB4A08">
              <w:rPr>
                <w:i/>
                <w:sz w:val="18"/>
                <w:szCs w:val="18"/>
              </w:rPr>
              <w:t>: pati sistema neigiamai veikia asmeninę atsakomybę, neskatina užimtumo</w:t>
            </w:r>
          </w:p>
        </w:tc>
        <w:tc>
          <w:tcPr>
            <w:tcW w:w="450" w:type="dxa"/>
            <w:tcBorders>
              <w:top w:val="single" w:sz="12" w:space="0" w:color="auto"/>
              <w:left w:val="single" w:sz="12" w:space="0" w:color="auto"/>
              <w:bottom w:val="single" w:sz="2" w:space="0" w:color="auto"/>
              <w:right w:val="single" w:sz="12" w:space="0" w:color="auto"/>
            </w:tcBorders>
            <w:shd w:val="clear" w:color="auto" w:fill="FBD4B4"/>
            <w:vAlign w:val="center"/>
          </w:tcPr>
          <w:p w:rsidR="006F3F1C" w:rsidRPr="00EB4A08" w:rsidRDefault="006F3F1C" w:rsidP="00BA3CE3">
            <w:pPr>
              <w:spacing w:after="0" w:line="240" w:lineRule="auto"/>
              <w:jc w:val="center"/>
              <w:rPr>
                <w:b/>
                <w:sz w:val="18"/>
                <w:szCs w:val="18"/>
              </w:rPr>
            </w:pPr>
          </w:p>
        </w:tc>
      </w:tr>
      <w:tr w:rsidR="006F3F1C" w:rsidRPr="00EB4A08" w:rsidTr="00BA3CE3">
        <w:tc>
          <w:tcPr>
            <w:tcW w:w="9918" w:type="dxa"/>
            <w:tcBorders>
              <w:top w:val="single" w:sz="2" w:space="0" w:color="auto"/>
              <w:left w:val="single" w:sz="12" w:space="0" w:color="auto"/>
              <w:bottom w:val="single" w:sz="2" w:space="0" w:color="auto"/>
              <w:right w:val="single" w:sz="12" w:space="0" w:color="auto"/>
              <w:tl2br w:val="nil"/>
            </w:tcBorders>
            <w:shd w:val="clear" w:color="auto" w:fill="FBD4B4"/>
          </w:tcPr>
          <w:p w:rsidR="006F3F1C" w:rsidRPr="00EB4A08" w:rsidRDefault="006F3F1C" w:rsidP="00BA3CE3">
            <w:pPr>
              <w:spacing w:after="0" w:line="240" w:lineRule="auto"/>
              <w:jc w:val="center"/>
              <w:rPr>
                <w:i/>
                <w:sz w:val="18"/>
                <w:szCs w:val="18"/>
              </w:rPr>
            </w:pPr>
            <w:r w:rsidRPr="00EB4A08">
              <w:rPr>
                <w:b/>
                <w:i/>
                <w:sz w:val="18"/>
                <w:szCs w:val="18"/>
              </w:rPr>
              <w:t>Įstatymų spragos</w:t>
            </w:r>
            <w:r w:rsidRPr="00EB4A08">
              <w:rPr>
                <w:i/>
                <w:sz w:val="18"/>
                <w:szCs w:val="18"/>
              </w:rPr>
              <w:t>: nesant tinkamai apibrėžtai atsakomybei, socialine parama skatinama pasinaudoti neteisėtai</w:t>
            </w:r>
          </w:p>
        </w:tc>
        <w:tc>
          <w:tcPr>
            <w:tcW w:w="450" w:type="dxa"/>
            <w:tcBorders>
              <w:top w:val="single" w:sz="2" w:space="0" w:color="auto"/>
              <w:left w:val="single" w:sz="12" w:space="0" w:color="auto"/>
              <w:bottom w:val="single" w:sz="2" w:space="0" w:color="auto"/>
              <w:right w:val="single" w:sz="12" w:space="0" w:color="auto"/>
            </w:tcBorders>
            <w:shd w:val="clear" w:color="auto" w:fill="FBD4B4"/>
            <w:vAlign w:val="center"/>
          </w:tcPr>
          <w:p w:rsidR="006F3F1C" w:rsidRPr="00EB4A08" w:rsidRDefault="006F3F1C" w:rsidP="00BA3CE3">
            <w:pPr>
              <w:spacing w:after="0" w:line="240" w:lineRule="auto"/>
              <w:jc w:val="center"/>
              <w:rPr>
                <w:b/>
                <w:sz w:val="18"/>
                <w:szCs w:val="18"/>
              </w:rPr>
            </w:pPr>
          </w:p>
        </w:tc>
      </w:tr>
      <w:tr w:rsidR="006F3F1C" w:rsidRPr="00EB4A08" w:rsidTr="00BA3CE3">
        <w:tc>
          <w:tcPr>
            <w:tcW w:w="9918" w:type="dxa"/>
            <w:tcBorders>
              <w:top w:val="single" w:sz="2" w:space="0" w:color="auto"/>
              <w:left w:val="single" w:sz="12" w:space="0" w:color="auto"/>
              <w:bottom w:val="single" w:sz="12" w:space="0" w:color="auto"/>
              <w:right w:val="single" w:sz="12" w:space="0" w:color="auto"/>
              <w:tl2br w:val="nil"/>
            </w:tcBorders>
            <w:shd w:val="clear" w:color="auto" w:fill="FBD4B4"/>
          </w:tcPr>
          <w:p w:rsidR="006F3F1C" w:rsidRPr="00EB4A08" w:rsidRDefault="006F3F1C" w:rsidP="00BA3CE3">
            <w:pPr>
              <w:spacing w:after="0" w:line="240" w:lineRule="auto"/>
              <w:jc w:val="center"/>
              <w:rPr>
                <w:b/>
                <w:i/>
                <w:sz w:val="18"/>
                <w:szCs w:val="18"/>
              </w:rPr>
            </w:pPr>
            <w:r w:rsidRPr="00EB4A08">
              <w:rPr>
                <w:b/>
                <w:i/>
                <w:sz w:val="18"/>
                <w:szCs w:val="18"/>
              </w:rPr>
              <w:t>Solidarumo stoka</w:t>
            </w:r>
            <w:r w:rsidRPr="00EB4A08">
              <w:rPr>
                <w:i/>
                <w:sz w:val="18"/>
                <w:szCs w:val="18"/>
              </w:rPr>
              <w:t>: žmonės tik prisidengia solidarumu: reikalauja, bet patys prie gerovės kūrimo neprisideda</w:t>
            </w:r>
          </w:p>
        </w:tc>
        <w:tc>
          <w:tcPr>
            <w:tcW w:w="450" w:type="dxa"/>
            <w:tcBorders>
              <w:top w:val="single" w:sz="2" w:space="0" w:color="auto"/>
              <w:left w:val="single" w:sz="12" w:space="0" w:color="auto"/>
              <w:bottom w:val="single" w:sz="12" w:space="0" w:color="auto"/>
              <w:right w:val="single" w:sz="12" w:space="0" w:color="auto"/>
            </w:tcBorders>
            <w:shd w:val="clear" w:color="auto" w:fill="FBD4B4"/>
            <w:vAlign w:val="center"/>
          </w:tcPr>
          <w:p w:rsidR="006F3F1C" w:rsidRPr="00EB4A08" w:rsidRDefault="006F3F1C" w:rsidP="00BA3CE3">
            <w:pPr>
              <w:spacing w:after="0" w:line="240" w:lineRule="auto"/>
              <w:jc w:val="center"/>
              <w:rPr>
                <w:b/>
                <w:sz w:val="18"/>
                <w:szCs w:val="18"/>
              </w:rPr>
            </w:pPr>
          </w:p>
        </w:tc>
      </w:tr>
    </w:tbl>
    <w:p w:rsidR="006F3F1C" w:rsidRDefault="006F3F1C" w:rsidP="006F3F1C">
      <w:pPr>
        <w:pStyle w:val="Referatai"/>
        <w:pBdr>
          <w:bottom w:val="thickThinSmallGap" w:sz="24" w:space="1" w:color="auto"/>
        </w:pBdr>
        <w:ind w:firstLine="562"/>
        <w:rPr>
          <w:sz w:val="10"/>
          <w:szCs w:val="10"/>
        </w:rPr>
      </w:pPr>
    </w:p>
    <w:p w:rsidR="006F3F1C" w:rsidRPr="00DC24E1" w:rsidRDefault="006F3F1C" w:rsidP="006F3F1C">
      <w:pPr>
        <w:pStyle w:val="Referatai"/>
        <w:pBdr>
          <w:bottom w:val="thickThinSmallGap" w:sz="24" w:space="1" w:color="auto"/>
        </w:pBdr>
        <w:ind w:firstLine="562"/>
        <w:rPr>
          <w:sz w:val="10"/>
          <w:szCs w:val="10"/>
        </w:rPr>
      </w:pPr>
    </w:p>
    <w:p w:rsidR="00836ED4" w:rsidRPr="00A00A8F" w:rsidRDefault="00836ED4" w:rsidP="00836ED4">
      <w:pPr>
        <w:pStyle w:val="Referatai"/>
        <w:pBdr>
          <w:top w:val="thinThickSmallGap" w:sz="18" w:space="1" w:color="auto"/>
        </w:pBdr>
        <w:ind w:firstLine="562"/>
        <w:rPr>
          <w:sz w:val="4"/>
          <w:szCs w:val="4"/>
        </w:rPr>
      </w:pPr>
    </w:p>
    <w:p w:rsidR="00836ED4" w:rsidRPr="00BB6B70" w:rsidRDefault="00836ED4" w:rsidP="00836ED4">
      <w:pPr>
        <w:pStyle w:val="Referatai"/>
        <w:spacing w:after="60"/>
        <w:ind w:firstLine="562"/>
        <w:rPr>
          <w:b/>
          <w:color w:val="E20000"/>
          <w:sz w:val="19"/>
          <w:szCs w:val="19"/>
          <w:u w:val="single"/>
        </w:rPr>
      </w:pPr>
      <w:r w:rsidRPr="00BB6B70">
        <w:rPr>
          <w:b/>
          <w:color w:val="E20000"/>
          <w:sz w:val="19"/>
          <w:szCs w:val="19"/>
          <w:u w:val="single"/>
        </w:rPr>
        <w:t>SOCIALINIŲ IŠMOKŲ IR PARAMOS GAVĖJŲ ELGSENAI ĮTAKĄ DARANČIŲ VEIKSNIŲ ĮVERTINIMAS</w:t>
      </w:r>
    </w:p>
    <w:p w:rsidR="00836ED4" w:rsidRPr="006B50CF" w:rsidRDefault="00836ED4" w:rsidP="00836ED4">
      <w:pPr>
        <w:pStyle w:val="Referatai"/>
        <w:ind w:firstLine="562"/>
        <w:rPr>
          <w:i/>
          <w:sz w:val="20"/>
          <w:szCs w:val="20"/>
        </w:rPr>
      </w:pPr>
      <w:r w:rsidRPr="00FD3189">
        <w:rPr>
          <w:b/>
          <w:i/>
          <w:sz w:val="20"/>
          <w:szCs w:val="20"/>
        </w:rPr>
        <w:t xml:space="preserve">Suteikite </w:t>
      </w:r>
      <w:r w:rsidRPr="00FD3189">
        <w:rPr>
          <w:b/>
          <w:i/>
          <w:sz w:val="20"/>
          <w:szCs w:val="20"/>
          <w:u w:val="single"/>
        </w:rPr>
        <w:t>kiekvienam</w:t>
      </w:r>
      <w:r w:rsidRPr="00FD3189">
        <w:rPr>
          <w:b/>
          <w:i/>
          <w:sz w:val="20"/>
          <w:szCs w:val="20"/>
        </w:rPr>
        <w:t xml:space="preserve"> pateiktam veiksniui</w:t>
      </w:r>
      <w:r w:rsidRPr="006B50CF">
        <w:rPr>
          <w:i/>
          <w:sz w:val="20"/>
          <w:szCs w:val="20"/>
        </w:rPr>
        <w:t xml:space="preserve"> </w:t>
      </w:r>
      <w:r>
        <w:rPr>
          <w:b/>
          <w:i/>
          <w:sz w:val="20"/>
          <w:szCs w:val="20"/>
        </w:rPr>
        <w:t xml:space="preserve">svorį </w:t>
      </w:r>
      <w:r w:rsidRPr="006B50CF">
        <w:rPr>
          <w:i/>
          <w:sz w:val="20"/>
          <w:szCs w:val="20"/>
        </w:rPr>
        <w:t xml:space="preserve">pagal konkretaus veiksnio </w:t>
      </w:r>
      <w:r>
        <w:rPr>
          <w:i/>
          <w:sz w:val="20"/>
          <w:szCs w:val="20"/>
        </w:rPr>
        <w:t>indėlį galutiniam rezultatui, t. y. žmogaus sprendimui pajamas formuoti iš socialinės apsaugos lėšų, kur: 1 – labai svarus; 2 – vidutiniškai svarus;</w:t>
      </w:r>
      <w:r w:rsidRPr="006B50CF">
        <w:rPr>
          <w:i/>
          <w:sz w:val="20"/>
          <w:szCs w:val="20"/>
        </w:rPr>
        <w:t xml:space="preserve"> 3 – mažai</w:t>
      </w:r>
      <w:r>
        <w:rPr>
          <w:i/>
          <w:sz w:val="20"/>
          <w:szCs w:val="20"/>
        </w:rPr>
        <w:t xml:space="preserve"> svarus</w:t>
      </w:r>
      <w:r w:rsidRPr="006B50CF">
        <w:rPr>
          <w:i/>
          <w:sz w:val="20"/>
          <w:szCs w:val="20"/>
        </w:rPr>
        <w:t>.</w:t>
      </w:r>
    </w:p>
    <w:p w:rsidR="00836ED4" w:rsidRPr="006B50CF" w:rsidRDefault="00836ED4" w:rsidP="00836ED4">
      <w:pPr>
        <w:pStyle w:val="Referatai"/>
        <w:ind w:firstLine="562"/>
        <w:rPr>
          <w:i/>
          <w:sz w:val="20"/>
          <w:szCs w:val="20"/>
        </w:rPr>
      </w:pPr>
      <w:r w:rsidRPr="006B50CF">
        <w:rPr>
          <w:b/>
          <w:i/>
          <w:sz w:val="20"/>
          <w:szCs w:val="20"/>
        </w:rPr>
        <w:t>Įvertinkite veiksnius</w:t>
      </w:r>
      <w:r w:rsidRPr="006B50CF">
        <w:rPr>
          <w:i/>
          <w:sz w:val="20"/>
          <w:szCs w:val="20"/>
        </w:rPr>
        <w:t xml:space="preserve"> pagal </w:t>
      </w:r>
      <w:r w:rsidRPr="006B50CF">
        <w:rPr>
          <w:i/>
          <w:sz w:val="20"/>
          <w:szCs w:val="20"/>
          <w:u w:val="single"/>
        </w:rPr>
        <w:t>šiuometinę</w:t>
      </w:r>
      <w:r w:rsidRPr="006B50CF">
        <w:rPr>
          <w:i/>
          <w:sz w:val="20"/>
          <w:szCs w:val="20"/>
        </w:rPr>
        <w:t xml:space="preserve"> jų daromą įtaką</w:t>
      </w:r>
      <w:r>
        <w:rPr>
          <w:i/>
          <w:sz w:val="20"/>
          <w:szCs w:val="20"/>
        </w:rPr>
        <w:t xml:space="preserve"> gyventojų</w:t>
      </w:r>
      <w:r w:rsidRPr="006B50CF">
        <w:rPr>
          <w:i/>
          <w:sz w:val="20"/>
          <w:szCs w:val="20"/>
        </w:rPr>
        <w:t xml:space="preserve"> pasirinkimui pajamas formuoti iš </w:t>
      </w:r>
      <w:r>
        <w:rPr>
          <w:i/>
          <w:sz w:val="20"/>
          <w:szCs w:val="20"/>
        </w:rPr>
        <w:t>socialinės apsaugos lėšų</w:t>
      </w:r>
      <w:r w:rsidRPr="006B50CF">
        <w:rPr>
          <w:i/>
          <w:sz w:val="20"/>
          <w:szCs w:val="20"/>
        </w:rPr>
        <w:t>, kur: 1 – labai didelė įtaka; 2 – didelė įtaka; 3 – vidutinė įtaka; 4 – maža įtaka; 5 – labai maža įtaka.</w:t>
      </w:r>
      <w:r>
        <w:rPr>
          <w:i/>
          <w:sz w:val="20"/>
          <w:szCs w:val="20"/>
        </w:rPr>
        <w:t xml:space="preserve"> Tuo pačiu principu </w:t>
      </w:r>
      <w:r w:rsidRPr="005C7253">
        <w:rPr>
          <w:b/>
          <w:i/>
          <w:sz w:val="20"/>
          <w:szCs w:val="20"/>
        </w:rPr>
        <w:t>įvertinkite</w:t>
      </w:r>
      <w:r>
        <w:rPr>
          <w:i/>
          <w:sz w:val="20"/>
          <w:szCs w:val="20"/>
        </w:rPr>
        <w:t>, kaip šie veiksniai veikia racionalaus žmogaus, – kuris elgiasi teisėtai ir pagrįstai, – sprendimus.</w:t>
      </w:r>
    </w:p>
    <w:tbl>
      <w:tblPr>
        <w:tblW w:w="100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758"/>
        <w:gridCol w:w="360"/>
        <w:gridCol w:w="990"/>
        <w:gridCol w:w="990"/>
      </w:tblGrid>
      <w:tr w:rsidR="00836ED4" w:rsidRPr="00C71449" w:rsidTr="00836ED4">
        <w:trPr>
          <w:trHeight w:val="528"/>
        </w:trPr>
        <w:tc>
          <w:tcPr>
            <w:tcW w:w="7758" w:type="dxa"/>
            <w:tcBorders>
              <w:top w:val="single" w:sz="12" w:space="0" w:color="auto"/>
              <w:left w:val="single" w:sz="12" w:space="0" w:color="auto"/>
              <w:bottom w:val="single" w:sz="12" w:space="0" w:color="auto"/>
              <w:right w:val="single" w:sz="12" w:space="0" w:color="auto"/>
            </w:tcBorders>
            <w:shd w:val="clear" w:color="auto" w:fill="BFBFBF"/>
            <w:vAlign w:val="center"/>
          </w:tcPr>
          <w:p w:rsidR="00836ED4" w:rsidRPr="00C71449" w:rsidRDefault="00836ED4" w:rsidP="00C71449">
            <w:pPr>
              <w:spacing w:after="0" w:line="240" w:lineRule="auto"/>
              <w:ind w:firstLine="0"/>
              <w:jc w:val="center"/>
              <w:rPr>
                <w:b/>
                <w:sz w:val="18"/>
                <w:szCs w:val="18"/>
              </w:rPr>
            </w:pPr>
            <w:r w:rsidRPr="00C71449">
              <w:rPr>
                <w:b/>
                <w:sz w:val="18"/>
                <w:szCs w:val="18"/>
              </w:rPr>
              <w:t>Veiksniai</w:t>
            </w:r>
          </w:p>
        </w:tc>
        <w:tc>
          <w:tcPr>
            <w:tcW w:w="360" w:type="dxa"/>
            <w:tcBorders>
              <w:top w:val="single" w:sz="12" w:space="0" w:color="auto"/>
              <w:left w:val="single" w:sz="12" w:space="0" w:color="auto"/>
              <w:right w:val="single" w:sz="12" w:space="0" w:color="auto"/>
            </w:tcBorders>
            <w:shd w:val="clear" w:color="auto" w:fill="BFBFBF"/>
            <w:textDirection w:val="btLr"/>
            <w:vAlign w:val="center"/>
          </w:tcPr>
          <w:p w:rsidR="00836ED4" w:rsidRPr="00C71449" w:rsidRDefault="00836ED4" w:rsidP="00C71449">
            <w:pPr>
              <w:spacing w:after="0" w:line="240" w:lineRule="auto"/>
              <w:ind w:left="29" w:right="29" w:firstLine="0"/>
              <w:rPr>
                <w:b/>
                <w:i/>
                <w:sz w:val="18"/>
                <w:szCs w:val="18"/>
              </w:rPr>
            </w:pPr>
            <w:r w:rsidRPr="00C71449">
              <w:rPr>
                <w:b/>
                <w:i/>
                <w:sz w:val="18"/>
                <w:szCs w:val="18"/>
              </w:rPr>
              <w:t>Svoris</w:t>
            </w:r>
          </w:p>
        </w:tc>
        <w:tc>
          <w:tcPr>
            <w:tcW w:w="990" w:type="dxa"/>
            <w:tcBorders>
              <w:top w:val="single" w:sz="12" w:space="0" w:color="auto"/>
              <w:left w:val="single" w:sz="12" w:space="0" w:color="auto"/>
            </w:tcBorders>
            <w:shd w:val="clear" w:color="auto" w:fill="BFBFBF"/>
          </w:tcPr>
          <w:p w:rsidR="00836ED4" w:rsidRPr="00C71449" w:rsidRDefault="00836ED4" w:rsidP="00C71449">
            <w:pPr>
              <w:spacing w:after="0" w:line="240" w:lineRule="auto"/>
              <w:ind w:left="-115" w:right="-115" w:firstLine="0"/>
              <w:jc w:val="center"/>
              <w:rPr>
                <w:b/>
                <w:i/>
                <w:color w:val="0070C0"/>
                <w:sz w:val="18"/>
                <w:szCs w:val="18"/>
              </w:rPr>
            </w:pPr>
            <w:r w:rsidRPr="00C71449">
              <w:rPr>
                <w:b/>
                <w:i/>
                <w:color w:val="0070C0"/>
                <w:sz w:val="18"/>
                <w:szCs w:val="18"/>
              </w:rPr>
              <w:t>Šiuometinė elgsena</w:t>
            </w:r>
          </w:p>
        </w:tc>
        <w:tc>
          <w:tcPr>
            <w:tcW w:w="990" w:type="dxa"/>
            <w:tcBorders>
              <w:top w:val="single" w:sz="12" w:space="0" w:color="auto"/>
              <w:left w:val="single" w:sz="12" w:space="0" w:color="auto"/>
            </w:tcBorders>
            <w:shd w:val="clear" w:color="auto" w:fill="BFBFBF"/>
          </w:tcPr>
          <w:p w:rsidR="00836ED4" w:rsidRPr="00C71449" w:rsidRDefault="00836ED4" w:rsidP="00C71449">
            <w:pPr>
              <w:spacing w:after="0" w:line="240" w:lineRule="auto"/>
              <w:ind w:left="-115" w:right="-115" w:firstLine="0"/>
              <w:jc w:val="center"/>
              <w:rPr>
                <w:b/>
                <w:i/>
                <w:color w:val="E20000"/>
                <w:sz w:val="18"/>
                <w:szCs w:val="18"/>
              </w:rPr>
            </w:pPr>
            <w:r w:rsidRPr="00C71449">
              <w:rPr>
                <w:b/>
                <w:i/>
                <w:color w:val="E20000"/>
                <w:sz w:val="18"/>
                <w:szCs w:val="18"/>
              </w:rPr>
              <w:t>Racionali elgsena</w:t>
            </w:r>
          </w:p>
        </w:tc>
      </w:tr>
      <w:tr w:rsidR="00836ED4" w:rsidRPr="00C71449" w:rsidTr="00836ED4">
        <w:tc>
          <w:tcPr>
            <w:tcW w:w="7758" w:type="dxa"/>
            <w:tcBorders>
              <w:top w:val="single" w:sz="12" w:space="0" w:color="auto"/>
              <w:bottom w:val="single" w:sz="4" w:space="0" w:color="auto"/>
              <w:right w:val="single" w:sz="12" w:space="0" w:color="auto"/>
            </w:tcBorders>
            <w:shd w:val="clear" w:color="auto" w:fill="B8CCE4"/>
          </w:tcPr>
          <w:p w:rsidR="00836ED4" w:rsidRPr="00C71449" w:rsidRDefault="00836ED4" w:rsidP="00C71449">
            <w:pPr>
              <w:spacing w:after="0" w:line="240" w:lineRule="auto"/>
              <w:ind w:firstLine="0"/>
              <w:rPr>
                <w:i/>
                <w:sz w:val="18"/>
                <w:szCs w:val="18"/>
              </w:rPr>
            </w:pPr>
            <w:r w:rsidRPr="00C71449">
              <w:rPr>
                <w:b/>
                <w:i/>
                <w:sz w:val="18"/>
                <w:szCs w:val="18"/>
              </w:rPr>
              <w:t>Mentalinių sąskaitų buvimas</w:t>
            </w:r>
            <w:r w:rsidRPr="00C71449">
              <w:rPr>
                <w:i/>
                <w:sz w:val="18"/>
                <w:szCs w:val="18"/>
              </w:rPr>
              <w:t>: tikėjimas, jog socialinės išmokos ir parama „nieko nekainuoja“</w:t>
            </w:r>
          </w:p>
        </w:tc>
        <w:tc>
          <w:tcPr>
            <w:tcW w:w="360" w:type="dxa"/>
            <w:tcBorders>
              <w:top w:val="single" w:sz="12" w:space="0" w:color="auto"/>
              <w:right w:val="single" w:sz="12" w:space="0" w:color="auto"/>
            </w:tcBorders>
            <w:shd w:val="clear" w:color="auto" w:fill="B8CCE4"/>
          </w:tcPr>
          <w:p w:rsidR="00836ED4" w:rsidRPr="00C71449" w:rsidRDefault="00836ED4" w:rsidP="00C71449">
            <w:pPr>
              <w:spacing w:after="0" w:line="240" w:lineRule="auto"/>
              <w:ind w:firstLine="0"/>
              <w:jc w:val="center"/>
              <w:rPr>
                <w:b/>
                <w:sz w:val="18"/>
                <w:szCs w:val="18"/>
              </w:rPr>
            </w:pPr>
          </w:p>
        </w:tc>
        <w:tc>
          <w:tcPr>
            <w:tcW w:w="990" w:type="dxa"/>
            <w:tcBorders>
              <w:top w:val="single" w:sz="12" w:space="0" w:color="auto"/>
              <w:left w:val="single" w:sz="12" w:space="0" w:color="auto"/>
            </w:tcBorders>
            <w:shd w:val="clear" w:color="auto" w:fill="B8CCE4"/>
            <w:vAlign w:val="center"/>
          </w:tcPr>
          <w:p w:rsidR="00836ED4" w:rsidRPr="00C71449" w:rsidRDefault="00836ED4" w:rsidP="00C71449">
            <w:pPr>
              <w:spacing w:after="0" w:line="240" w:lineRule="auto"/>
              <w:ind w:firstLine="0"/>
              <w:jc w:val="center"/>
              <w:rPr>
                <w:b/>
                <w:color w:val="FF0000"/>
                <w:sz w:val="18"/>
                <w:szCs w:val="18"/>
              </w:rPr>
            </w:pPr>
          </w:p>
        </w:tc>
        <w:tc>
          <w:tcPr>
            <w:tcW w:w="990" w:type="dxa"/>
            <w:tcBorders>
              <w:top w:val="single" w:sz="12" w:space="0" w:color="auto"/>
              <w:left w:val="single" w:sz="12" w:space="0" w:color="auto"/>
            </w:tcBorders>
            <w:shd w:val="clear" w:color="auto" w:fill="B8CCE4"/>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7758" w:type="dxa"/>
            <w:tcBorders>
              <w:top w:val="single" w:sz="4" w:space="0" w:color="auto"/>
              <w:bottom w:val="single" w:sz="4" w:space="0" w:color="auto"/>
              <w:right w:val="single" w:sz="12" w:space="0" w:color="auto"/>
            </w:tcBorders>
            <w:shd w:val="clear" w:color="auto" w:fill="B8CCE4"/>
          </w:tcPr>
          <w:p w:rsidR="00836ED4" w:rsidRPr="00C71449" w:rsidRDefault="00836ED4" w:rsidP="00C71449">
            <w:pPr>
              <w:spacing w:after="0" w:line="240" w:lineRule="auto"/>
              <w:ind w:firstLine="0"/>
              <w:rPr>
                <w:i/>
                <w:sz w:val="18"/>
                <w:szCs w:val="18"/>
              </w:rPr>
            </w:pPr>
            <w:r w:rsidRPr="00C71449">
              <w:rPr>
                <w:b/>
                <w:i/>
                <w:sz w:val="18"/>
                <w:szCs w:val="18"/>
              </w:rPr>
              <w:t>Sovietinis mentalitetas</w:t>
            </w:r>
            <w:r w:rsidRPr="00C71449">
              <w:rPr>
                <w:i/>
                <w:sz w:val="18"/>
                <w:szCs w:val="18"/>
              </w:rPr>
              <w:t>: manymas, jog socialinę gerovę pirmiausia turi užtikrinti valstybė</w:t>
            </w:r>
          </w:p>
        </w:tc>
        <w:tc>
          <w:tcPr>
            <w:tcW w:w="360" w:type="dxa"/>
            <w:tcBorders>
              <w:right w:val="single" w:sz="12" w:space="0" w:color="auto"/>
            </w:tcBorders>
            <w:shd w:val="clear" w:color="auto" w:fill="B8CCE4"/>
          </w:tcPr>
          <w:p w:rsidR="00836ED4" w:rsidRPr="00C71449" w:rsidRDefault="00836ED4" w:rsidP="00C71449">
            <w:pPr>
              <w:spacing w:after="0" w:line="240" w:lineRule="auto"/>
              <w:ind w:firstLine="0"/>
              <w:jc w:val="center"/>
              <w:rPr>
                <w:b/>
                <w:sz w:val="18"/>
                <w:szCs w:val="18"/>
              </w:rPr>
            </w:pPr>
          </w:p>
        </w:tc>
        <w:tc>
          <w:tcPr>
            <w:tcW w:w="990" w:type="dxa"/>
            <w:tcBorders>
              <w:left w:val="single" w:sz="12" w:space="0" w:color="auto"/>
            </w:tcBorders>
            <w:shd w:val="clear" w:color="auto" w:fill="B8CCE4"/>
            <w:vAlign w:val="center"/>
          </w:tcPr>
          <w:p w:rsidR="00836ED4" w:rsidRPr="00C71449" w:rsidRDefault="00836ED4" w:rsidP="00C71449">
            <w:pPr>
              <w:spacing w:after="0" w:line="240" w:lineRule="auto"/>
              <w:ind w:firstLine="0"/>
              <w:jc w:val="center"/>
              <w:rPr>
                <w:b/>
                <w:color w:val="FF0000"/>
                <w:sz w:val="18"/>
                <w:szCs w:val="18"/>
              </w:rPr>
            </w:pPr>
          </w:p>
        </w:tc>
        <w:tc>
          <w:tcPr>
            <w:tcW w:w="990" w:type="dxa"/>
            <w:tcBorders>
              <w:left w:val="single" w:sz="12" w:space="0" w:color="auto"/>
            </w:tcBorders>
            <w:shd w:val="clear" w:color="auto" w:fill="B8CCE4"/>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7758" w:type="dxa"/>
            <w:tcBorders>
              <w:top w:val="single" w:sz="4" w:space="0" w:color="auto"/>
              <w:bottom w:val="single" w:sz="4" w:space="0" w:color="auto"/>
              <w:right w:val="single" w:sz="12" w:space="0" w:color="auto"/>
            </w:tcBorders>
            <w:shd w:val="clear" w:color="auto" w:fill="B8CCE4"/>
          </w:tcPr>
          <w:p w:rsidR="00836ED4" w:rsidRPr="00C71449" w:rsidRDefault="00836ED4" w:rsidP="00C71449">
            <w:pPr>
              <w:spacing w:after="0" w:line="240" w:lineRule="auto"/>
              <w:ind w:firstLine="0"/>
              <w:rPr>
                <w:i/>
                <w:sz w:val="18"/>
                <w:szCs w:val="18"/>
              </w:rPr>
            </w:pPr>
            <w:r w:rsidRPr="00C71449">
              <w:rPr>
                <w:b/>
                <w:i/>
                <w:sz w:val="18"/>
                <w:szCs w:val="18"/>
              </w:rPr>
              <w:t>Amoralus šeimyniškumas</w:t>
            </w:r>
            <w:r w:rsidRPr="00C71449">
              <w:rPr>
                <w:i/>
                <w:sz w:val="18"/>
                <w:szCs w:val="18"/>
              </w:rPr>
              <w:t>: siekis pasirūpinti savo šeimos gerove, nepaisant kitų žmonių gerovės</w:t>
            </w:r>
          </w:p>
        </w:tc>
        <w:tc>
          <w:tcPr>
            <w:tcW w:w="360" w:type="dxa"/>
            <w:tcBorders>
              <w:right w:val="single" w:sz="12" w:space="0" w:color="auto"/>
            </w:tcBorders>
            <w:shd w:val="clear" w:color="auto" w:fill="B8CCE4"/>
          </w:tcPr>
          <w:p w:rsidR="00836ED4" w:rsidRPr="00C71449" w:rsidRDefault="00836ED4" w:rsidP="00C71449">
            <w:pPr>
              <w:spacing w:after="0" w:line="240" w:lineRule="auto"/>
              <w:ind w:firstLine="0"/>
              <w:jc w:val="center"/>
              <w:rPr>
                <w:b/>
                <w:sz w:val="18"/>
                <w:szCs w:val="18"/>
              </w:rPr>
            </w:pPr>
          </w:p>
        </w:tc>
        <w:tc>
          <w:tcPr>
            <w:tcW w:w="990" w:type="dxa"/>
            <w:tcBorders>
              <w:left w:val="single" w:sz="12" w:space="0" w:color="auto"/>
            </w:tcBorders>
            <w:shd w:val="clear" w:color="auto" w:fill="B8CCE4"/>
            <w:vAlign w:val="center"/>
          </w:tcPr>
          <w:p w:rsidR="00836ED4" w:rsidRPr="00C71449" w:rsidRDefault="00836ED4" w:rsidP="00C71449">
            <w:pPr>
              <w:spacing w:after="0" w:line="240" w:lineRule="auto"/>
              <w:ind w:firstLine="0"/>
              <w:jc w:val="center"/>
              <w:rPr>
                <w:b/>
                <w:color w:val="FF0000"/>
                <w:sz w:val="18"/>
                <w:szCs w:val="18"/>
              </w:rPr>
            </w:pPr>
          </w:p>
        </w:tc>
        <w:tc>
          <w:tcPr>
            <w:tcW w:w="990" w:type="dxa"/>
            <w:tcBorders>
              <w:left w:val="single" w:sz="12" w:space="0" w:color="auto"/>
            </w:tcBorders>
            <w:shd w:val="clear" w:color="auto" w:fill="B8CCE4"/>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7758" w:type="dxa"/>
            <w:tcBorders>
              <w:top w:val="single" w:sz="4" w:space="0" w:color="auto"/>
              <w:bottom w:val="single" w:sz="4" w:space="0" w:color="auto"/>
              <w:right w:val="single" w:sz="12" w:space="0" w:color="auto"/>
            </w:tcBorders>
            <w:shd w:val="clear" w:color="auto" w:fill="B8CCE4"/>
          </w:tcPr>
          <w:p w:rsidR="00836ED4" w:rsidRPr="00C71449" w:rsidRDefault="00836ED4" w:rsidP="00C71449">
            <w:pPr>
              <w:spacing w:after="0" w:line="240" w:lineRule="auto"/>
              <w:ind w:firstLine="0"/>
              <w:rPr>
                <w:b/>
                <w:i/>
                <w:sz w:val="18"/>
                <w:szCs w:val="18"/>
              </w:rPr>
            </w:pPr>
            <w:r w:rsidRPr="00C71449">
              <w:rPr>
                <w:b/>
                <w:i/>
                <w:sz w:val="18"/>
                <w:szCs w:val="18"/>
              </w:rPr>
              <w:t>Minimalūs poreikiai</w:t>
            </w:r>
            <w:r w:rsidRPr="00C71449">
              <w:rPr>
                <w:i/>
                <w:sz w:val="18"/>
                <w:szCs w:val="18"/>
              </w:rPr>
              <w:t>: siekis patenkinti tik pirminius poreikius, ignoruojant aukštesnius poreikius</w:t>
            </w:r>
          </w:p>
        </w:tc>
        <w:tc>
          <w:tcPr>
            <w:tcW w:w="360" w:type="dxa"/>
            <w:tcBorders>
              <w:right w:val="single" w:sz="12" w:space="0" w:color="auto"/>
            </w:tcBorders>
            <w:shd w:val="clear" w:color="auto" w:fill="B8CCE4"/>
          </w:tcPr>
          <w:p w:rsidR="00836ED4" w:rsidRPr="00C71449" w:rsidRDefault="00836ED4" w:rsidP="00C71449">
            <w:pPr>
              <w:spacing w:after="0" w:line="240" w:lineRule="auto"/>
              <w:ind w:firstLine="0"/>
              <w:jc w:val="center"/>
              <w:rPr>
                <w:b/>
                <w:sz w:val="18"/>
                <w:szCs w:val="18"/>
              </w:rPr>
            </w:pPr>
          </w:p>
        </w:tc>
        <w:tc>
          <w:tcPr>
            <w:tcW w:w="990" w:type="dxa"/>
            <w:tcBorders>
              <w:left w:val="single" w:sz="12" w:space="0" w:color="auto"/>
            </w:tcBorders>
            <w:shd w:val="clear" w:color="auto" w:fill="B8CCE4"/>
            <w:vAlign w:val="center"/>
          </w:tcPr>
          <w:p w:rsidR="00836ED4" w:rsidRPr="00C71449" w:rsidRDefault="00836ED4" w:rsidP="00C71449">
            <w:pPr>
              <w:spacing w:after="0" w:line="240" w:lineRule="auto"/>
              <w:ind w:firstLine="0"/>
              <w:jc w:val="center"/>
              <w:rPr>
                <w:b/>
                <w:color w:val="FF0000"/>
                <w:sz w:val="18"/>
                <w:szCs w:val="18"/>
              </w:rPr>
            </w:pPr>
          </w:p>
        </w:tc>
        <w:tc>
          <w:tcPr>
            <w:tcW w:w="990" w:type="dxa"/>
            <w:tcBorders>
              <w:left w:val="single" w:sz="12" w:space="0" w:color="auto"/>
            </w:tcBorders>
            <w:shd w:val="clear" w:color="auto" w:fill="B8CCE4"/>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7758" w:type="dxa"/>
            <w:tcBorders>
              <w:top w:val="single" w:sz="4" w:space="0" w:color="auto"/>
              <w:bottom w:val="single" w:sz="4" w:space="0" w:color="auto"/>
              <w:right w:val="single" w:sz="12" w:space="0" w:color="auto"/>
            </w:tcBorders>
            <w:shd w:val="clear" w:color="auto" w:fill="B8CCE4"/>
          </w:tcPr>
          <w:p w:rsidR="00836ED4" w:rsidRPr="00C71449" w:rsidRDefault="00836ED4" w:rsidP="00C71449">
            <w:pPr>
              <w:spacing w:after="0" w:line="240" w:lineRule="auto"/>
              <w:ind w:firstLine="0"/>
              <w:rPr>
                <w:i/>
                <w:sz w:val="18"/>
                <w:szCs w:val="18"/>
              </w:rPr>
            </w:pPr>
            <w:r w:rsidRPr="00C71449">
              <w:rPr>
                <w:b/>
                <w:i/>
                <w:sz w:val="18"/>
                <w:szCs w:val="18"/>
              </w:rPr>
              <w:t>Orumas</w:t>
            </w:r>
            <w:r w:rsidRPr="00C71449">
              <w:rPr>
                <w:i/>
                <w:sz w:val="18"/>
                <w:szCs w:val="18"/>
              </w:rPr>
              <w:t>: nesugebėjimas priimti poreikių neatitinkančio darbo ir dirbti už minimalų atlyginimą</w:t>
            </w:r>
          </w:p>
        </w:tc>
        <w:tc>
          <w:tcPr>
            <w:tcW w:w="360" w:type="dxa"/>
            <w:tcBorders>
              <w:right w:val="single" w:sz="12" w:space="0" w:color="auto"/>
            </w:tcBorders>
            <w:shd w:val="clear" w:color="auto" w:fill="B8CCE4"/>
          </w:tcPr>
          <w:p w:rsidR="00836ED4" w:rsidRPr="00C71449" w:rsidRDefault="00836ED4" w:rsidP="00C71449">
            <w:pPr>
              <w:spacing w:after="0" w:line="240" w:lineRule="auto"/>
              <w:ind w:firstLine="0"/>
              <w:jc w:val="center"/>
              <w:rPr>
                <w:b/>
                <w:sz w:val="18"/>
                <w:szCs w:val="18"/>
              </w:rPr>
            </w:pPr>
          </w:p>
        </w:tc>
        <w:tc>
          <w:tcPr>
            <w:tcW w:w="990" w:type="dxa"/>
            <w:tcBorders>
              <w:left w:val="single" w:sz="12" w:space="0" w:color="auto"/>
            </w:tcBorders>
            <w:shd w:val="clear" w:color="auto" w:fill="B8CCE4"/>
            <w:vAlign w:val="center"/>
          </w:tcPr>
          <w:p w:rsidR="00836ED4" w:rsidRPr="00C71449" w:rsidRDefault="00836ED4" w:rsidP="00C71449">
            <w:pPr>
              <w:spacing w:after="0" w:line="240" w:lineRule="auto"/>
              <w:ind w:firstLine="0"/>
              <w:jc w:val="center"/>
              <w:rPr>
                <w:b/>
                <w:color w:val="FF0000"/>
                <w:sz w:val="18"/>
                <w:szCs w:val="18"/>
              </w:rPr>
            </w:pPr>
          </w:p>
        </w:tc>
        <w:tc>
          <w:tcPr>
            <w:tcW w:w="990" w:type="dxa"/>
            <w:tcBorders>
              <w:left w:val="single" w:sz="12" w:space="0" w:color="auto"/>
            </w:tcBorders>
            <w:shd w:val="clear" w:color="auto" w:fill="B8CCE4"/>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7758" w:type="dxa"/>
            <w:tcBorders>
              <w:top w:val="single" w:sz="4" w:space="0" w:color="auto"/>
              <w:bottom w:val="single" w:sz="4" w:space="0" w:color="auto"/>
              <w:right w:val="single" w:sz="12" w:space="0" w:color="auto"/>
            </w:tcBorders>
            <w:shd w:val="clear" w:color="auto" w:fill="B8CCE4"/>
          </w:tcPr>
          <w:p w:rsidR="00836ED4" w:rsidRPr="00C71449" w:rsidRDefault="00836ED4" w:rsidP="00C71449">
            <w:pPr>
              <w:spacing w:after="0" w:line="240" w:lineRule="auto"/>
              <w:ind w:firstLine="0"/>
              <w:rPr>
                <w:i/>
                <w:sz w:val="18"/>
                <w:szCs w:val="18"/>
              </w:rPr>
            </w:pPr>
            <w:r w:rsidRPr="00C71449">
              <w:rPr>
                <w:b/>
                <w:i/>
                <w:sz w:val="18"/>
                <w:szCs w:val="18"/>
              </w:rPr>
              <w:t>Motyvacijos stoka</w:t>
            </w:r>
            <w:r w:rsidRPr="00C71449">
              <w:rPr>
                <w:i/>
                <w:sz w:val="18"/>
                <w:szCs w:val="18"/>
              </w:rPr>
              <w:t>: paskatų ieškotis darbo ar tobulintis (sekti paskui mokslo pažangą) nebuvimas</w:t>
            </w:r>
          </w:p>
        </w:tc>
        <w:tc>
          <w:tcPr>
            <w:tcW w:w="360" w:type="dxa"/>
            <w:tcBorders>
              <w:right w:val="single" w:sz="12" w:space="0" w:color="auto"/>
            </w:tcBorders>
            <w:shd w:val="clear" w:color="auto" w:fill="B8CCE4"/>
          </w:tcPr>
          <w:p w:rsidR="00836ED4" w:rsidRPr="00C71449" w:rsidRDefault="00836ED4" w:rsidP="00C71449">
            <w:pPr>
              <w:spacing w:after="0" w:line="240" w:lineRule="auto"/>
              <w:ind w:firstLine="0"/>
              <w:jc w:val="center"/>
              <w:rPr>
                <w:b/>
                <w:sz w:val="18"/>
                <w:szCs w:val="18"/>
              </w:rPr>
            </w:pPr>
          </w:p>
        </w:tc>
        <w:tc>
          <w:tcPr>
            <w:tcW w:w="990" w:type="dxa"/>
            <w:tcBorders>
              <w:left w:val="single" w:sz="12" w:space="0" w:color="auto"/>
            </w:tcBorders>
            <w:shd w:val="clear" w:color="auto" w:fill="B8CCE4"/>
            <w:vAlign w:val="center"/>
          </w:tcPr>
          <w:p w:rsidR="00836ED4" w:rsidRPr="00C71449" w:rsidRDefault="00836ED4" w:rsidP="00C71449">
            <w:pPr>
              <w:spacing w:after="0" w:line="240" w:lineRule="auto"/>
              <w:ind w:firstLine="0"/>
              <w:jc w:val="center"/>
              <w:rPr>
                <w:b/>
                <w:color w:val="FF0000"/>
                <w:sz w:val="18"/>
                <w:szCs w:val="18"/>
              </w:rPr>
            </w:pPr>
          </w:p>
        </w:tc>
        <w:tc>
          <w:tcPr>
            <w:tcW w:w="990" w:type="dxa"/>
            <w:tcBorders>
              <w:left w:val="single" w:sz="12" w:space="0" w:color="auto"/>
            </w:tcBorders>
            <w:shd w:val="clear" w:color="auto" w:fill="B8CCE4"/>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7758" w:type="dxa"/>
            <w:tcBorders>
              <w:top w:val="single" w:sz="4" w:space="0" w:color="auto"/>
              <w:bottom w:val="single" w:sz="4" w:space="0" w:color="auto"/>
              <w:right w:val="single" w:sz="12" w:space="0" w:color="auto"/>
            </w:tcBorders>
            <w:shd w:val="clear" w:color="auto" w:fill="B8CCE4"/>
          </w:tcPr>
          <w:p w:rsidR="00836ED4" w:rsidRPr="00C71449" w:rsidRDefault="00836ED4" w:rsidP="00C71449">
            <w:pPr>
              <w:spacing w:after="0" w:line="240" w:lineRule="auto"/>
              <w:ind w:firstLine="0"/>
              <w:rPr>
                <w:sz w:val="18"/>
                <w:szCs w:val="18"/>
              </w:rPr>
            </w:pPr>
            <w:r w:rsidRPr="00C71449">
              <w:rPr>
                <w:b/>
                <w:i/>
                <w:sz w:val="18"/>
                <w:szCs w:val="18"/>
              </w:rPr>
              <w:t>Perdėta savikliova</w:t>
            </w:r>
            <w:r w:rsidRPr="00C71449">
              <w:rPr>
                <w:i/>
                <w:sz w:val="18"/>
                <w:szCs w:val="18"/>
              </w:rPr>
              <w:t>: polinkis save laikyti geriausiu ir dėl to nesiimti menkai apmokamo darbo</w:t>
            </w:r>
          </w:p>
        </w:tc>
        <w:tc>
          <w:tcPr>
            <w:tcW w:w="360" w:type="dxa"/>
            <w:tcBorders>
              <w:right w:val="single" w:sz="12" w:space="0" w:color="auto"/>
            </w:tcBorders>
            <w:shd w:val="clear" w:color="auto" w:fill="B8CCE4"/>
          </w:tcPr>
          <w:p w:rsidR="00836ED4" w:rsidRPr="00C71449" w:rsidRDefault="00836ED4" w:rsidP="00C71449">
            <w:pPr>
              <w:spacing w:after="0" w:line="240" w:lineRule="auto"/>
              <w:ind w:firstLine="0"/>
              <w:jc w:val="center"/>
              <w:rPr>
                <w:b/>
                <w:sz w:val="18"/>
                <w:szCs w:val="18"/>
              </w:rPr>
            </w:pPr>
          </w:p>
        </w:tc>
        <w:tc>
          <w:tcPr>
            <w:tcW w:w="990" w:type="dxa"/>
            <w:tcBorders>
              <w:left w:val="single" w:sz="12" w:space="0" w:color="auto"/>
            </w:tcBorders>
            <w:shd w:val="clear" w:color="auto" w:fill="B8CCE4"/>
            <w:vAlign w:val="center"/>
          </w:tcPr>
          <w:p w:rsidR="00836ED4" w:rsidRPr="00C71449" w:rsidRDefault="00836ED4" w:rsidP="00C71449">
            <w:pPr>
              <w:spacing w:after="0" w:line="240" w:lineRule="auto"/>
              <w:ind w:firstLine="0"/>
              <w:jc w:val="center"/>
              <w:rPr>
                <w:b/>
                <w:color w:val="FF0000"/>
                <w:sz w:val="18"/>
                <w:szCs w:val="18"/>
              </w:rPr>
            </w:pPr>
          </w:p>
        </w:tc>
        <w:tc>
          <w:tcPr>
            <w:tcW w:w="990" w:type="dxa"/>
            <w:tcBorders>
              <w:left w:val="single" w:sz="12" w:space="0" w:color="auto"/>
            </w:tcBorders>
            <w:shd w:val="clear" w:color="auto" w:fill="B8CCE4"/>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7758" w:type="dxa"/>
            <w:tcBorders>
              <w:top w:val="single" w:sz="4" w:space="0" w:color="auto"/>
              <w:bottom w:val="single" w:sz="4" w:space="0" w:color="auto"/>
              <w:right w:val="single" w:sz="12" w:space="0" w:color="auto"/>
            </w:tcBorders>
            <w:shd w:val="clear" w:color="auto" w:fill="B8CCE4"/>
          </w:tcPr>
          <w:p w:rsidR="00836ED4" w:rsidRPr="00C71449" w:rsidRDefault="00836ED4" w:rsidP="00C71449">
            <w:pPr>
              <w:spacing w:after="0" w:line="240" w:lineRule="auto"/>
              <w:ind w:firstLine="0"/>
              <w:rPr>
                <w:b/>
                <w:i/>
                <w:sz w:val="18"/>
                <w:szCs w:val="18"/>
              </w:rPr>
            </w:pPr>
            <w:r w:rsidRPr="00C71449">
              <w:rPr>
                <w:b/>
                <w:i/>
                <w:sz w:val="18"/>
                <w:szCs w:val="18"/>
              </w:rPr>
              <w:t>Grupių įtaka</w:t>
            </w:r>
            <w:r w:rsidRPr="00C71449">
              <w:rPr>
                <w:i/>
                <w:sz w:val="18"/>
                <w:szCs w:val="18"/>
              </w:rPr>
              <w:t>: siekis gauti išmoką ar paramą vien dėl to, kad tokią elgseną propaguoja aplinkiniai</w:t>
            </w:r>
          </w:p>
        </w:tc>
        <w:tc>
          <w:tcPr>
            <w:tcW w:w="360" w:type="dxa"/>
            <w:tcBorders>
              <w:right w:val="single" w:sz="12" w:space="0" w:color="auto"/>
            </w:tcBorders>
            <w:shd w:val="clear" w:color="auto" w:fill="B8CCE4"/>
          </w:tcPr>
          <w:p w:rsidR="00836ED4" w:rsidRPr="00C71449" w:rsidRDefault="00836ED4" w:rsidP="00C71449">
            <w:pPr>
              <w:spacing w:after="0" w:line="240" w:lineRule="auto"/>
              <w:ind w:firstLine="0"/>
              <w:jc w:val="center"/>
              <w:rPr>
                <w:b/>
                <w:sz w:val="18"/>
                <w:szCs w:val="18"/>
              </w:rPr>
            </w:pPr>
          </w:p>
        </w:tc>
        <w:tc>
          <w:tcPr>
            <w:tcW w:w="990" w:type="dxa"/>
            <w:tcBorders>
              <w:left w:val="single" w:sz="12" w:space="0" w:color="auto"/>
            </w:tcBorders>
            <w:shd w:val="clear" w:color="auto" w:fill="B8CCE4"/>
            <w:vAlign w:val="center"/>
          </w:tcPr>
          <w:p w:rsidR="00836ED4" w:rsidRPr="00C71449" w:rsidRDefault="00836ED4" w:rsidP="00C71449">
            <w:pPr>
              <w:spacing w:after="0" w:line="240" w:lineRule="auto"/>
              <w:ind w:firstLine="0"/>
              <w:jc w:val="center"/>
              <w:rPr>
                <w:b/>
                <w:color w:val="FF0000"/>
                <w:sz w:val="18"/>
                <w:szCs w:val="18"/>
              </w:rPr>
            </w:pPr>
          </w:p>
        </w:tc>
        <w:tc>
          <w:tcPr>
            <w:tcW w:w="990" w:type="dxa"/>
            <w:tcBorders>
              <w:left w:val="single" w:sz="12" w:space="0" w:color="auto"/>
            </w:tcBorders>
            <w:shd w:val="clear" w:color="auto" w:fill="B8CCE4"/>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7758" w:type="dxa"/>
            <w:tcBorders>
              <w:top w:val="single" w:sz="4" w:space="0" w:color="auto"/>
              <w:bottom w:val="single" w:sz="12" w:space="0" w:color="auto"/>
              <w:right w:val="single" w:sz="12" w:space="0" w:color="auto"/>
            </w:tcBorders>
            <w:shd w:val="clear" w:color="auto" w:fill="B8CCE4"/>
          </w:tcPr>
          <w:p w:rsidR="00836ED4" w:rsidRPr="00C71449" w:rsidRDefault="00836ED4" w:rsidP="00C71449">
            <w:pPr>
              <w:spacing w:after="0" w:line="240" w:lineRule="auto"/>
              <w:ind w:firstLine="0"/>
              <w:rPr>
                <w:i/>
                <w:sz w:val="18"/>
                <w:szCs w:val="18"/>
              </w:rPr>
            </w:pPr>
            <w:r w:rsidRPr="00C71449">
              <w:rPr>
                <w:b/>
                <w:i/>
                <w:sz w:val="18"/>
                <w:szCs w:val="18"/>
              </w:rPr>
              <w:t>Vertybių pasikeitimas</w:t>
            </w:r>
            <w:r w:rsidRPr="00C71449">
              <w:rPr>
                <w:i/>
                <w:sz w:val="18"/>
                <w:szCs w:val="18"/>
              </w:rPr>
              <w:t>: moralinių vertybių nuosmukis, materialiųjų išaukštinimas (godumas)</w:t>
            </w:r>
          </w:p>
        </w:tc>
        <w:tc>
          <w:tcPr>
            <w:tcW w:w="360" w:type="dxa"/>
            <w:tcBorders>
              <w:bottom w:val="single" w:sz="12" w:space="0" w:color="auto"/>
              <w:right w:val="single" w:sz="12" w:space="0" w:color="auto"/>
            </w:tcBorders>
            <w:shd w:val="clear" w:color="auto" w:fill="B8CCE4"/>
          </w:tcPr>
          <w:p w:rsidR="00836ED4" w:rsidRPr="00C71449" w:rsidRDefault="00836ED4" w:rsidP="00C71449">
            <w:pPr>
              <w:spacing w:after="0" w:line="240" w:lineRule="auto"/>
              <w:ind w:firstLine="0"/>
              <w:jc w:val="center"/>
              <w:rPr>
                <w:b/>
                <w:sz w:val="18"/>
                <w:szCs w:val="18"/>
              </w:rPr>
            </w:pPr>
          </w:p>
        </w:tc>
        <w:tc>
          <w:tcPr>
            <w:tcW w:w="990" w:type="dxa"/>
            <w:tcBorders>
              <w:left w:val="single" w:sz="12" w:space="0" w:color="auto"/>
              <w:bottom w:val="single" w:sz="12" w:space="0" w:color="auto"/>
            </w:tcBorders>
            <w:shd w:val="clear" w:color="auto" w:fill="B8CCE4"/>
            <w:vAlign w:val="center"/>
          </w:tcPr>
          <w:p w:rsidR="00836ED4" w:rsidRPr="00C71449" w:rsidRDefault="00836ED4" w:rsidP="00C71449">
            <w:pPr>
              <w:spacing w:after="0" w:line="240" w:lineRule="auto"/>
              <w:ind w:firstLine="0"/>
              <w:jc w:val="center"/>
              <w:rPr>
                <w:b/>
                <w:color w:val="FF0000"/>
                <w:sz w:val="18"/>
                <w:szCs w:val="18"/>
              </w:rPr>
            </w:pPr>
          </w:p>
        </w:tc>
        <w:tc>
          <w:tcPr>
            <w:tcW w:w="990" w:type="dxa"/>
            <w:tcBorders>
              <w:left w:val="single" w:sz="12" w:space="0" w:color="auto"/>
              <w:bottom w:val="single" w:sz="12" w:space="0" w:color="auto"/>
            </w:tcBorders>
            <w:shd w:val="clear" w:color="auto" w:fill="B8CCE4"/>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10098" w:type="dxa"/>
            <w:gridSpan w:val="4"/>
            <w:tcBorders>
              <w:top w:val="single" w:sz="12" w:space="0" w:color="auto"/>
              <w:bottom w:val="single" w:sz="12" w:space="0" w:color="auto"/>
            </w:tcBorders>
            <w:shd w:val="clear" w:color="auto" w:fill="auto"/>
          </w:tcPr>
          <w:p w:rsidR="00836ED4" w:rsidRPr="00C71449" w:rsidRDefault="00836ED4" w:rsidP="00C71449">
            <w:pPr>
              <w:spacing w:after="0" w:line="240" w:lineRule="auto"/>
              <w:ind w:firstLine="0"/>
              <w:rPr>
                <w:b/>
                <w:i/>
                <w:sz w:val="18"/>
                <w:szCs w:val="18"/>
              </w:rPr>
            </w:pPr>
            <w:r w:rsidRPr="00C71449">
              <w:rPr>
                <w:b/>
                <w:i/>
                <w:sz w:val="18"/>
                <w:szCs w:val="18"/>
              </w:rPr>
              <w:t xml:space="preserve">Kurių veiksnių įtaka, Jūsų manymu, per pastaruosius 5 metus </w:t>
            </w:r>
            <w:r w:rsidRPr="00C71449">
              <w:rPr>
                <w:b/>
                <w:i/>
                <w:sz w:val="18"/>
                <w:szCs w:val="18"/>
                <w:u w:val="single"/>
              </w:rPr>
              <w:t>padidėjo</w:t>
            </w:r>
            <w:r w:rsidRPr="00C71449">
              <w:rPr>
                <w:b/>
                <w:i/>
                <w:sz w:val="18"/>
                <w:szCs w:val="18"/>
              </w:rPr>
              <w:t xml:space="preserve">, o kurių – </w:t>
            </w:r>
            <w:r w:rsidRPr="00C71449">
              <w:rPr>
                <w:b/>
                <w:i/>
                <w:sz w:val="18"/>
                <w:szCs w:val="18"/>
                <w:u w:val="single"/>
              </w:rPr>
              <w:t>sumažėjo</w:t>
            </w:r>
            <w:r w:rsidRPr="00C71449">
              <w:rPr>
                <w:b/>
                <w:i/>
                <w:sz w:val="18"/>
                <w:szCs w:val="18"/>
              </w:rPr>
              <w:t>?</w:t>
            </w:r>
          </w:p>
          <w:p w:rsidR="00836ED4" w:rsidRPr="00C71449" w:rsidRDefault="00836ED4" w:rsidP="00C71449">
            <w:pPr>
              <w:spacing w:after="0" w:line="240" w:lineRule="auto"/>
              <w:ind w:firstLine="0"/>
              <w:rPr>
                <w:color w:val="0070C0"/>
                <w:sz w:val="18"/>
                <w:szCs w:val="18"/>
              </w:rPr>
            </w:pPr>
          </w:p>
          <w:p w:rsidR="00836ED4" w:rsidRPr="00C71449" w:rsidRDefault="00836ED4" w:rsidP="00C71449">
            <w:pPr>
              <w:spacing w:after="0" w:line="240" w:lineRule="auto"/>
              <w:ind w:firstLine="0"/>
              <w:rPr>
                <w:color w:val="0070C0"/>
                <w:sz w:val="18"/>
                <w:szCs w:val="18"/>
              </w:rPr>
            </w:pPr>
          </w:p>
        </w:tc>
      </w:tr>
    </w:tbl>
    <w:p w:rsidR="00836ED4" w:rsidRPr="00605FF8" w:rsidRDefault="00836ED4" w:rsidP="00836ED4">
      <w:pPr>
        <w:pStyle w:val="Referatai"/>
        <w:rPr>
          <w:i/>
          <w:sz w:val="10"/>
          <w:szCs w:val="10"/>
        </w:rPr>
      </w:pPr>
    </w:p>
    <w:tbl>
      <w:tblPr>
        <w:tblW w:w="100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758"/>
        <w:gridCol w:w="360"/>
        <w:gridCol w:w="990"/>
        <w:gridCol w:w="990"/>
      </w:tblGrid>
      <w:tr w:rsidR="00836ED4" w:rsidRPr="00C71449" w:rsidTr="00836ED4">
        <w:trPr>
          <w:cantSplit/>
          <w:trHeight w:val="533"/>
        </w:trPr>
        <w:tc>
          <w:tcPr>
            <w:tcW w:w="7758" w:type="dxa"/>
            <w:tcBorders>
              <w:top w:val="single" w:sz="12" w:space="0" w:color="auto"/>
              <w:left w:val="single" w:sz="12" w:space="0" w:color="auto"/>
              <w:bottom w:val="single" w:sz="12" w:space="0" w:color="auto"/>
              <w:right w:val="single" w:sz="12" w:space="0" w:color="auto"/>
            </w:tcBorders>
            <w:shd w:val="clear" w:color="auto" w:fill="BFBFBF"/>
            <w:vAlign w:val="center"/>
          </w:tcPr>
          <w:p w:rsidR="00836ED4" w:rsidRPr="00C71449" w:rsidRDefault="00836ED4" w:rsidP="00C71449">
            <w:pPr>
              <w:spacing w:after="0" w:line="240" w:lineRule="auto"/>
              <w:ind w:firstLine="0"/>
              <w:jc w:val="center"/>
              <w:rPr>
                <w:b/>
                <w:sz w:val="18"/>
                <w:szCs w:val="18"/>
              </w:rPr>
            </w:pPr>
            <w:r w:rsidRPr="00C71449">
              <w:rPr>
                <w:b/>
                <w:sz w:val="18"/>
                <w:szCs w:val="18"/>
              </w:rPr>
              <w:t>Veiksniai</w:t>
            </w:r>
          </w:p>
        </w:tc>
        <w:tc>
          <w:tcPr>
            <w:tcW w:w="360" w:type="dxa"/>
            <w:tcBorders>
              <w:top w:val="single" w:sz="12" w:space="0" w:color="auto"/>
              <w:left w:val="single" w:sz="12" w:space="0" w:color="auto"/>
              <w:right w:val="single" w:sz="12" w:space="0" w:color="auto"/>
            </w:tcBorders>
            <w:shd w:val="clear" w:color="auto" w:fill="BFBFBF"/>
            <w:textDirection w:val="btLr"/>
            <w:vAlign w:val="center"/>
          </w:tcPr>
          <w:p w:rsidR="00836ED4" w:rsidRPr="00C71449" w:rsidRDefault="00836ED4" w:rsidP="00C71449">
            <w:pPr>
              <w:spacing w:after="0" w:line="240" w:lineRule="auto"/>
              <w:ind w:left="29" w:right="29" w:firstLine="0"/>
              <w:rPr>
                <w:b/>
                <w:i/>
                <w:sz w:val="18"/>
                <w:szCs w:val="18"/>
              </w:rPr>
            </w:pPr>
            <w:r w:rsidRPr="00C71449">
              <w:rPr>
                <w:b/>
                <w:i/>
                <w:sz w:val="18"/>
                <w:szCs w:val="18"/>
              </w:rPr>
              <w:t>Svoris</w:t>
            </w:r>
          </w:p>
        </w:tc>
        <w:tc>
          <w:tcPr>
            <w:tcW w:w="990" w:type="dxa"/>
            <w:tcBorders>
              <w:top w:val="single" w:sz="12" w:space="0" w:color="auto"/>
              <w:left w:val="single" w:sz="12" w:space="0" w:color="auto"/>
            </w:tcBorders>
            <w:shd w:val="clear" w:color="auto" w:fill="BFBFBF"/>
          </w:tcPr>
          <w:p w:rsidR="00836ED4" w:rsidRPr="00C71449" w:rsidRDefault="00836ED4" w:rsidP="00C71449">
            <w:pPr>
              <w:spacing w:before="40" w:after="0" w:line="240" w:lineRule="auto"/>
              <w:ind w:left="-115" w:right="-115" w:firstLine="0"/>
              <w:jc w:val="center"/>
              <w:rPr>
                <w:b/>
                <w:i/>
                <w:color w:val="0070C0"/>
                <w:sz w:val="18"/>
                <w:szCs w:val="18"/>
              </w:rPr>
            </w:pPr>
            <w:r w:rsidRPr="00C71449">
              <w:rPr>
                <w:b/>
                <w:i/>
                <w:color w:val="0070C0"/>
                <w:sz w:val="18"/>
                <w:szCs w:val="18"/>
              </w:rPr>
              <w:t>Šiuometinė elgsena</w:t>
            </w:r>
          </w:p>
        </w:tc>
        <w:tc>
          <w:tcPr>
            <w:tcW w:w="990" w:type="dxa"/>
            <w:tcBorders>
              <w:top w:val="single" w:sz="12" w:space="0" w:color="auto"/>
              <w:left w:val="single" w:sz="12" w:space="0" w:color="auto"/>
            </w:tcBorders>
            <w:shd w:val="clear" w:color="auto" w:fill="BFBFBF"/>
          </w:tcPr>
          <w:p w:rsidR="00836ED4" w:rsidRPr="00C71449" w:rsidRDefault="00836ED4" w:rsidP="00C71449">
            <w:pPr>
              <w:spacing w:before="40" w:after="0" w:line="240" w:lineRule="auto"/>
              <w:ind w:left="-115" w:right="-115" w:firstLine="0"/>
              <w:jc w:val="center"/>
              <w:rPr>
                <w:b/>
                <w:i/>
                <w:color w:val="E20000"/>
                <w:sz w:val="18"/>
                <w:szCs w:val="18"/>
              </w:rPr>
            </w:pPr>
            <w:r w:rsidRPr="00C71449">
              <w:rPr>
                <w:b/>
                <w:i/>
                <w:color w:val="E20000"/>
                <w:sz w:val="18"/>
                <w:szCs w:val="18"/>
              </w:rPr>
              <w:t>Racionali elgsena</w:t>
            </w:r>
          </w:p>
        </w:tc>
      </w:tr>
      <w:tr w:rsidR="00836ED4" w:rsidRPr="00C71449" w:rsidTr="00836ED4">
        <w:tc>
          <w:tcPr>
            <w:tcW w:w="7758" w:type="dxa"/>
            <w:tcBorders>
              <w:top w:val="single" w:sz="12" w:space="0" w:color="auto"/>
              <w:bottom w:val="single" w:sz="4" w:space="0" w:color="auto"/>
              <w:right w:val="single" w:sz="12" w:space="0" w:color="auto"/>
            </w:tcBorders>
            <w:shd w:val="clear" w:color="auto" w:fill="CCC0D9"/>
          </w:tcPr>
          <w:p w:rsidR="00836ED4" w:rsidRPr="00C71449" w:rsidRDefault="00836ED4" w:rsidP="00C71449">
            <w:pPr>
              <w:spacing w:after="0" w:line="240" w:lineRule="auto"/>
              <w:ind w:firstLine="0"/>
              <w:rPr>
                <w:i/>
                <w:sz w:val="18"/>
                <w:szCs w:val="18"/>
              </w:rPr>
            </w:pPr>
            <w:r w:rsidRPr="00C71449">
              <w:rPr>
                <w:b/>
                <w:i/>
                <w:sz w:val="18"/>
                <w:szCs w:val="18"/>
              </w:rPr>
              <w:t>Išsilavinimo stoka</w:t>
            </w:r>
            <w:r w:rsidRPr="00C71449">
              <w:rPr>
                <w:i/>
                <w:sz w:val="18"/>
                <w:szCs w:val="18"/>
              </w:rPr>
              <w:t>: prastas išsilavinimas tampa didele kliūtimi, norint susirasti bet kokį darbą</w:t>
            </w:r>
          </w:p>
        </w:tc>
        <w:tc>
          <w:tcPr>
            <w:tcW w:w="360" w:type="dxa"/>
            <w:tcBorders>
              <w:top w:val="single" w:sz="12" w:space="0" w:color="auto"/>
              <w:bottom w:val="single" w:sz="4" w:space="0" w:color="auto"/>
              <w:right w:val="single" w:sz="12" w:space="0" w:color="auto"/>
            </w:tcBorders>
            <w:shd w:val="clear" w:color="auto" w:fill="CCC0D9"/>
          </w:tcPr>
          <w:p w:rsidR="00836ED4" w:rsidRPr="00C71449" w:rsidRDefault="00836ED4" w:rsidP="00C71449">
            <w:pPr>
              <w:spacing w:after="0" w:line="240" w:lineRule="auto"/>
              <w:ind w:firstLine="0"/>
              <w:jc w:val="center"/>
              <w:rPr>
                <w:b/>
                <w:sz w:val="18"/>
                <w:szCs w:val="18"/>
              </w:rPr>
            </w:pPr>
          </w:p>
        </w:tc>
        <w:tc>
          <w:tcPr>
            <w:tcW w:w="990" w:type="dxa"/>
            <w:tcBorders>
              <w:top w:val="single" w:sz="12" w:space="0" w:color="auto"/>
              <w:left w:val="single" w:sz="12" w:space="0" w:color="auto"/>
              <w:bottom w:val="single" w:sz="4" w:space="0" w:color="auto"/>
            </w:tcBorders>
            <w:shd w:val="clear" w:color="auto" w:fill="CCC0D9"/>
            <w:vAlign w:val="center"/>
          </w:tcPr>
          <w:p w:rsidR="00836ED4" w:rsidRPr="00C71449" w:rsidRDefault="00836ED4" w:rsidP="00C71449">
            <w:pPr>
              <w:spacing w:after="0" w:line="240" w:lineRule="auto"/>
              <w:ind w:firstLine="0"/>
              <w:jc w:val="center"/>
              <w:rPr>
                <w:b/>
                <w:color w:val="0070C0"/>
                <w:sz w:val="18"/>
                <w:szCs w:val="18"/>
              </w:rPr>
            </w:pPr>
          </w:p>
        </w:tc>
        <w:tc>
          <w:tcPr>
            <w:tcW w:w="990" w:type="dxa"/>
            <w:tcBorders>
              <w:top w:val="single" w:sz="12" w:space="0" w:color="auto"/>
              <w:left w:val="single" w:sz="12" w:space="0" w:color="auto"/>
              <w:bottom w:val="single" w:sz="4" w:space="0" w:color="auto"/>
            </w:tcBorders>
            <w:shd w:val="clear" w:color="auto" w:fill="CCC0D9"/>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7758" w:type="dxa"/>
            <w:tcBorders>
              <w:top w:val="single" w:sz="4" w:space="0" w:color="auto"/>
              <w:bottom w:val="single" w:sz="4" w:space="0" w:color="auto"/>
              <w:right w:val="single" w:sz="12" w:space="0" w:color="auto"/>
            </w:tcBorders>
            <w:shd w:val="clear" w:color="auto" w:fill="CCC0D9"/>
          </w:tcPr>
          <w:p w:rsidR="00836ED4" w:rsidRPr="00C71449" w:rsidRDefault="00836ED4" w:rsidP="00C71449">
            <w:pPr>
              <w:spacing w:after="0" w:line="240" w:lineRule="auto"/>
              <w:ind w:firstLine="0"/>
              <w:rPr>
                <w:i/>
                <w:sz w:val="18"/>
                <w:szCs w:val="18"/>
              </w:rPr>
            </w:pPr>
            <w:r w:rsidRPr="00C71449">
              <w:rPr>
                <w:b/>
                <w:i/>
                <w:sz w:val="18"/>
                <w:szCs w:val="18"/>
              </w:rPr>
              <w:t>Nepaklausi profesija</w:t>
            </w:r>
            <w:r w:rsidRPr="00C71449">
              <w:rPr>
                <w:i/>
                <w:sz w:val="18"/>
                <w:szCs w:val="18"/>
              </w:rPr>
              <w:t>: nepaklausi profesija tampa dideliu trukdžiu, norint patekti į darbo rinką</w:t>
            </w:r>
          </w:p>
        </w:tc>
        <w:tc>
          <w:tcPr>
            <w:tcW w:w="360" w:type="dxa"/>
            <w:tcBorders>
              <w:top w:val="single" w:sz="4" w:space="0" w:color="auto"/>
              <w:bottom w:val="single" w:sz="4" w:space="0" w:color="auto"/>
              <w:right w:val="single" w:sz="12" w:space="0" w:color="auto"/>
            </w:tcBorders>
            <w:shd w:val="clear" w:color="auto" w:fill="CCC0D9"/>
          </w:tcPr>
          <w:p w:rsidR="00836ED4" w:rsidRPr="00C71449" w:rsidRDefault="00836ED4" w:rsidP="00C71449">
            <w:pPr>
              <w:spacing w:after="0" w:line="240" w:lineRule="auto"/>
              <w:ind w:firstLine="0"/>
              <w:jc w:val="center"/>
              <w:rPr>
                <w:b/>
                <w:sz w:val="18"/>
                <w:szCs w:val="18"/>
              </w:rPr>
            </w:pPr>
          </w:p>
        </w:tc>
        <w:tc>
          <w:tcPr>
            <w:tcW w:w="990" w:type="dxa"/>
            <w:tcBorders>
              <w:top w:val="single" w:sz="4" w:space="0" w:color="auto"/>
              <w:left w:val="single" w:sz="12" w:space="0" w:color="auto"/>
              <w:bottom w:val="single" w:sz="4" w:space="0" w:color="auto"/>
            </w:tcBorders>
            <w:shd w:val="clear" w:color="auto" w:fill="CCC0D9"/>
            <w:vAlign w:val="center"/>
          </w:tcPr>
          <w:p w:rsidR="00836ED4" w:rsidRPr="00C71449" w:rsidRDefault="00836ED4" w:rsidP="00C71449">
            <w:pPr>
              <w:spacing w:after="0" w:line="240" w:lineRule="auto"/>
              <w:ind w:firstLine="0"/>
              <w:jc w:val="center"/>
              <w:rPr>
                <w:b/>
                <w:color w:val="0070C0"/>
                <w:sz w:val="18"/>
                <w:szCs w:val="18"/>
              </w:rPr>
            </w:pPr>
          </w:p>
        </w:tc>
        <w:tc>
          <w:tcPr>
            <w:tcW w:w="990" w:type="dxa"/>
            <w:tcBorders>
              <w:top w:val="single" w:sz="4" w:space="0" w:color="auto"/>
              <w:left w:val="single" w:sz="12" w:space="0" w:color="auto"/>
              <w:bottom w:val="single" w:sz="4" w:space="0" w:color="auto"/>
            </w:tcBorders>
            <w:shd w:val="clear" w:color="auto" w:fill="CCC0D9"/>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7758" w:type="dxa"/>
            <w:tcBorders>
              <w:top w:val="single" w:sz="4" w:space="0" w:color="auto"/>
              <w:bottom w:val="single" w:sz="4" w:space="0" w:color="auto"/>
              <w:right w:val="single" w:sz="12" w:space="0" w:color="auto"/>
            </w:tcBorders>
            <w:shd w:val="clear" w:color="auto" w:fill="CCC0D9"/>
          </w:tcPr>
          <w:p w:rsidR="00836ED4" w:rsidRPr="00C71449" w:rsidRDefault="00836ED4" w:rsidP="00C71449">
            <w:pPr>
              <w:spacing w:after="0" w:line="240" w:lineRule="auto"/>
              <w:ind w:firstLine="0"/>
              <w:rPr>
                <w:b/>
                <w:i/>
                <w:sz w:val="18"/>
                <w:szCs w:val="18"/>
              </w:rPr>
            </w:pPr>
            <w:r w:rsidRPr="00C71449">
              <w:rPr>
                <w:b/>
                <w:i/>
                <w:sz w:val="18"/>
                <w:szCs w:val="18"/>
              </w:rPr>
              <w:t>Įgūdžių, kompetencijos trūkumas</w:t>
            </w:r>
            <w:r w:rsidRPr="00C71449">
              <w:rPr>
                <w:i/>
                <w:sz w:val="18"/>
                <w:szCs w:val="18"/>
              </w:rPr>
              <w:t>: įgūdžių įgijimas (ar susigrąžinimas) reikalauja daug laiko</w:t>
            </w:r>
          </w:p>
        </w:tc>
        <w:tc>
          <w:tcPr>
            <w:tcW w:w="360" w:type="dxa"/>
            <w:tcBorders>
              <w:top w:val="single" w:sz="4" w:space="0" w:color="auto"/>
              <w:bottom w:val="single" w:sz="4" w:space="0" w:color="auto"/>
              <w:right w:val="single" w:sz="12" w:space="0" w:color="auto"/>
            </w:tcBorders>
            <w:shd w:val="clear" w:color="auto" w:fill="CCC0D9"/>
          </w:tcPr>
          <w:p w:rsidR="00836ED4" w:rsidRPr="00C71449" w:rsidRDefault="00836ED4" w:rsidP="00C71449">
            <w:pPr>
              <w:spacing w:after="0" w:line="240" w:lineRule="auto"/>
              <w:ind w:firstLine="0"/>
              <w:jc w:val="center"/>
              <w:rPr>
                <w:b/>
                <w:sz w:val="18"/>
                <w:szCs w:val="18"/>
              </w:rPr>
            </w:pPr>
          </w:p>
        </w:tc>
        <w:tc>
          <w:tcPr>
            <w:tcW w:w="990" w:type="dxa"/>
            <w:tcBorders>
              <w:top w:val="single" w:sz="4" w:space="0" w:color="auto"/>
              <w:left w:val="single" w:sz="12" w:space="0" w:color="auto"/>
              <w:bottom w:val="single" w:sz="4" w:space="0" w:color="auto"/>
            </w:tcBorders>
            <w:shd w:val="clear" w:color="auto" w:fill="CCC0D9"/>
            <w:vAlign w:val="center"/>
          </w:tcPr>
          <w:p w:rsidR="00836ED4" w:rsidRPr="00C71449" w:rsidRDefault="00836ED4" w:rsidP="00C71449">
            <w:pPr>
              <w:spacing w:after="0" w:line="240" w:lineRule="auto"/>
              <w:ind w:firstLine="0"/>
              <w:jc w:val="center"/>
              <w:rPr>
                <w:b/>
                <w:color w:val="0070C0"/>
                <w:sz w:val="18"/>
                <w:szCs w:val="18"/>
              </w:rPr>
            </w:pPr>
          </w:p>
        </w:tc>
        <w:tc>
          <w:tcPr>
            <w:tcW w:w="990" w:type="dxa"/>
            <w:tcBorders>
              <w:top w:val="single" w:sz="4" w:space="0" w:color="auto"/>
              <w:left w:val="single" w:sz="12" w:space="0" w:color="auto"/>
              <w:bottom w:val="single" w:sz="4" w:space="0" w:color="auto"/>
            </w:tcBorders>
            <w:shd w:val="clear" w:color="auto" w:fill="CCC0D9"/>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7758" w:type="dxa"/>
            <w:tcBorders>
              <w:top w:val="single" w:sz="4" w:space="0" w:color="auto"/>
              <w:bottom w:val="single" w:sz="4" w:space="0" w:color="auto"/>
              <w:right w:val="single" w:sz="12" w:space="0" w:color="auto"/>
            </w:tcBorders>
            <w:shd w:val="clear" w:color="auto" w:fill="CCC0D9"/>
          </w:tcPr>
          <w:p w:rsidR="00836ED4" w:rsidRPr="00C71449" w:rsidRDefault="00836ED4" w:rsidP="00C71449">
            <w:pPr>
              <w:spacing w:after="0" w:line="240" w:lineRule="auto"/>
              <w:ind w:firstLine="0"/>
              <w:rPr>
                <w:i/>
                <w:sz w:val="18"/>
                <w:szCs w:val="18"/>
              </w:rPr>
            </w:pPr>
            <w:r w:rsidRPr="00C71449">
              <w:rPr>
                <w:b/>
                <w:i/>
                <w:sz w:val="18"/>
                <w:szCs w:val="18"/>
              </w:rPr>
              <w:t>Minimali darbo patirtis</w:t>
            </w:r>
            <w:r w:rsidRPr="00C71449">
              <w:rPr>
                <w:i/>
                <w:sz w:val="18"/>
                <w:szCs w:val="18"/>
              </w:rPr>
              <w:t>: darbdaviai nėra linkę įdarbinti patirties neturinčių žmonių</w:t>
            </w:r>
          </w:p>
        </w:tc>
        <w:tc>
          <w:tcPr>
            <w:tcW w:w="360" w:type="dxa"/>
            <w:tcBorders>
              <w:top w:val="single" w:sz="4" w:space="0" w:color="auto"/>
              <w:bottom w:val="single" w:sz="4" w:space="0" w:color="auto"/>
              <w:right w:val="single" w:sz="12" w:space="0" w:color="auto"/>
            </w:tcBorders>
            <w:shd w:val="clear" w:color="auto" w:fill="CCC0D9"/>
          </w:tcPr>
          <w:p w:rsidR="00836ED4" w:rsidRPr="00C71449" w:rsidRDefault="00836ED4" w:rsidP="00C71449">
            <w:pPr>
              <w:spacing w:after="0" w:line="240" w:lineRule="auto"/>
              <w:ind w:firstLine="0"/>
              <w:jc w:val="center"/>
              <w:rPr>
                <w:b/>
                <w:sz w:val="18"/>
                <w:szCs w:val="18"/>
              </w:rPr>
            </w:pPr>
          </w:p>
        </w:tc>
        <w:tc>
          <w:tcPr>
            <w:tcW w:w="990" w:type="dxa"/>
            <w:tcBorders>
              <w:top w:val="single" w:sz="4" w:space="0" w:color="auto"/>
              <w:left w:val="single" w:sz="12" w:space="0" w:color="auto"/>
              <w:bottom w:val="single" w:sz="4" w:space="0" w:color="auto"/>
            </w:tcBorders>
            <w:shd w:val="clear" w:color="auto" w:fill="CCC0D9"/>
            <w:vAlign w:val="center"/>
          </w:tcPr>
          <w:p w:rsidR="00836ED4" w:rsidRPr="00C71449" w:rsidRDefault="00836ED4" w:rsidP="00C71449">
            <w:pPr>
              <w:spacing w:after="0" w:line="240" w:lineRule="auto"/>
              <w:ind w:firstLine="0"/>
              <w:jc w:val="center"/>
              <w:rPr>
                <w:b/>
                <w:color w:val="0070C0"/>
                <w:sz w:val="18"/>
                <w:szCs w:val="18"/>
              </w:rPr>
            </w:pPr>
          </w:p>
        </w:tc>
        <w:tc>
          <w:tcPr>
            <w:tcW w:w="990" w:type="dxa"/>
            <w:tcBorders>
              <w:top w:val="single" w:sz="4" w:space="0" w:color="auto"/>
              <w:left w:val="single" w:sz="12" w:space="0" w:color="auto"/>
              <w:bottom w:val="single" w:sz="4" w:space="0" w:color="auto"/>
            </w:tcBorders>
            <w:shd w:val="clear" w:color="auto" w:fill="CCC0D9"/>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7758" w:type="dxa"/>
            <w:tcBorders>
              <w:top w:val="single" w:sz="4" w:space="0" w:color="auto"/>
              <w:bottom w:val="single" w:sz="4" w:space="0" w:color="auto"/>
              <w:right w:val="single" w:sz="12" w:space="0" w:color="auto"/>
            </w:tcBorders>
            <w:shd w:val="clear" w:color="auto" w:fill="CCC0D9"/>
          </w:tcPr>
          <w:p w:rsidR="00836ED4" w:rsidRPr="00C71449" w:rsidRDefault="00836ED4" w:rsidP="00C71449">
            <w:pPr>
              <w:spacing w:after="0" w:line="240" w:lineRule="auto"/>
              <w:ind w:firstLine="0"/>
              <w:rPr>
                <w:i/>
                <w:sz w:val="18"/>
                <w:szCs w:val="18"/>
              </w:rPr>
            </w:pPr>
            <w:r w:rsidRPr="00C71449">
              <w:rPr>
                <w:b/>
                <w:i/>
                <w:sz w:val="18"/>
                <w:szCs w:val="18"/>
              </w:rPr>
              <w:t>Šeimos dydis, struktūra</w:t>
            </w:r>
            <w:r w:rsidRPr="00C71449">
              <w:rPr>
                <w:i/>
                <w:sz w:val="18"/>
                <w:szCs w:val="18"/>
              </w:rPr>
              <w:t>: šeimos narių priežiūra reikalauja laiko, kas užkerta kelią įsidarbinimui</w:t>
            </w:r>
          </w:p>
        </w:tc>
        <w:tc>
          <w:tcPr>
            <w:tcW w:w="360" w:type="dxa"/>
            <w:tcBorders>
              <w:top w:val="single" w:sz="4" w:space="0" w:color="auto"/>
              <w:bottom w:val="single" w:sz="4" w:space="0" w:color="auto"/>
              <w:right w:val="single" w:sz="12" w:space="0" w:color="auto"/>
            </w:tcBorders>
            <w:shd w:val="clear" w:color="auto" w:fill="CCC0D9"/>
          </w:tcPr>
          <w:p w:rsidR="00836ED4" w:rsidRPr="00C71449" w:rsidRDefault="00836ED4" w:rsidP="00C71449">
            <w:pPr>
              <w:spacing w:after="0" w:line="240" w:lineRule="auto"/>
              <w:ind w:firstLine="0"/>
              <w:jc w:val="center"/>
              <w:rPr>
                <w:b/>
                <w:sz w:val="18"/>
                <w:szCs w:val="18"/>
              </w:rPr>
            </w:pPr>
          </w:p>
        </w:tc>
        <w:tc>
          <w:tcPr>
            <w:tcW w:w="990" w:type="dxa"/>
            <w:tcBorders>
              <w:top w:val="single" w:sz="4" w:space="0" w:color="auto"/>
              <w:left w:val="single" w:sz="12" w:space="0" w:color="auto"/>
              <w:bottom w:val="single" w:sz="4" w:space="0" w:color="auto"/>
            </w:tcBorders>
            <w:shd w:val="clear" w:color="auto" w:fill="CCC0D9"/>
            <w:vAlign w:val="center"/>
          </w:tcPr>
          <w:p w:rsidR="00836ED4" w:rsidRPr="00C71449" w:rsidRDefault="00836ED4" w:rsidP="00C71449">
            <w:pPr>
              <w:spacing w:after="0" w:line="240" w:lineRule="auto"/>
              <w:ind w:firstLine="0"/>
              <w:jc w:val="center"/>
              <w:rPr>
                <w:b/>
                <w:color w:val="0070C0"/>
                <w:sz w:val="18"/>
                <w:szCs w:val="18"/>
              </w:rPr>
            </w:pPr>
          </w:p>
        </w:tc>
        <w:tc>
          <w:tcPr>
            <w:tcW w:w="990" w:type="dxa"/>
            <w:tcBorders>
              <w:top w:val="single" w:sz="4" w:space="0" w:color="auto"/>
              <w:left w:val="single" w:sz="12" w:space="0" w:color="auto"/>
              <w:bottom w:val="single" w:sz="4" w:space="0" w:color="auto"/>
            </w:tcBorders>
            <w:shd w:val="clear" w:color="auto" w:fill="CCC0D9"/>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7758" w:type="dxa"/>
            <w:tcBorders>
              <w:top w:val="single" w:sz="4" w:space="0" w:color="auto"/>
              <w:bottom w:val="single" w:sz="4" w:space="0" w:color="auto"/>
              <w:right w:val="single" w:sz="12" w:space="0" w:color="auto"/>
            </w:tcBorders>
            <w:shd w:val="clear" w:color="auto" w:fill="CCC0D9"/>
          </w:tcPr>
          <w:p w:rsidR="00836ED4" w:rsidRPr="00C71449" w:rsidRDefault="00836ED4" w:rsidP="00C71449">
            <w:pPr>
              <w:spacing w:after="0" w:line="240" w:lineRule="auto"/>
              <w:ind w:firstLine="0"/>
              <w:rPr>
                <w:i/>
                <w:sz w:val="18"/>
                <w:szCs w:val="18"/>
              </w:rPr>
            </w:pPr>
            <w:r w:rsidRPr="00C71449">
              <w:rPr>
                <w:b/>
                <w:i/>
                <w:sz w:val="18"/>
                <w:szCs w:val="18"/>
              </w:rPr>
              <w:t>Jaunatviškas maksimalizmas</w:t>
            </w:r>
            <w:r w:rsidRPr="00C71449">
              <w:rPr>
                <w:i/>
                <w:sz w:val="18"/>
                <w:szCs w:val="18"/>
              </w:rPr>
              <w:t>: naudos vaikymasis skatina pajamas formuoti iš valstybės lėšų</w:t>
            </w:r>
          </w:p>
        </w:tc>
        <w:tc>
          <w:tcPr>
            <w:tcW w:w="360" w:type="dxa"/>
            <w:tcBorders>
              <w:top w:val="single" w:sz="4" w:space="0" w:color="auto"/>
              <w:bottom w:val="single" w:sz="4" w:space="0" w:color="auto"/>
              <w:right w:val="single" w:sz="12" w:space="0" w:color="auto"/>
            </w:tcBorders>
            <w:shd w:val="clear" w:color="auto" w:fill="CCC0D9"/>
          </w:tcPr>
          <w:p w:rsidR="00836ED4" w:rsidRPr="00C71449" w:rsidRDefault="00836ED4" w:rsidP="00C71449">
            <w:pPr>
              <w:spacing w:after="0" w:line="240" w:lineRule="auto"/>
              <w:ind w:firstLine="0"/>
              <w:jc w:val="center"/>
              <w:rPr>
                <w:b/>
                <w:sz w:val="18"/>
                <w:szCs w:val="18"/>
              </w:rPr>
            </w:pPr>
          </w:p>
        </w:tc>
        <w:tc>
          <w:tcPr>
            <w:tcW w:w="990" w:type="dxa"/>
            <w:tcBorders>
              <w:top w:val="single" w:sz="4" w:space="0" w:color="auto"/>
              <w:left w:val="single" w:sz="12" w:space="0" w:color="auto"/>
              <w:bottom w:val="single" w:sz="4" w:space="0" w:color="auto"/>
            </w:tcBorders>
            <w:shd w:val="clear" w:color="auto" w:fill="CCC0D9"/>
            <w:vAlign w:val="center"/>
          </w:tcPr>
          <w:p w:rsidR="00836ED4" w:rsidRPr="00C71449" w:rsidRDefault="00836ED4" w:rsidP="00C71449">
            <w:pPr>
              <w:spacing w:after="0" w:line="240" w:lineRule="auto"/>
              <w:ind w:firstLine="0"/>
              <w:jc w:val="center"/>
              <w:rPr>
                <w:b/>
                <w:color w:val="0070C0"/>
                <w:sz w:val="18"/>
                <w:szCs w:val="18"/>
              </w:rPr>
            </w:pPr>
          </w:p>
        </w:tc>
        <w:tc>
          <w:tcPr>
            <w:tcW w:w="990" w:type="dxa"/>
            <w:tcBorders>
              <w:top w:val="single" w:sz="4" w:space="0" w:color="auto"/>
              <w:left w:val="single" w:sz="12" w:space="0" w:color="auto"/>
              <w:bottom w:val="single" w:sz="4" w:space="0" w:color="auto"/>
            </w:tcBorders>
            <w:shd w:val="clear" w:color="auto" w:fill="CCC0D9"/>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7758" w:type="dxa"/>
            <w:tcBorders>
              <w:top w:val="single" w:sz="4" w:space="0" w:color="auto"/>
              <w:bottom w:val="single" w:sz="4" w:space="0" w:color="auto"/>
              <w:right w:val="single" w:sz="12" w:space="0" w:color="auto"/>
            </w:tcBorders>
            <w:shd w:val="clear" w:color="auto" w:fill="CCC0D9"/>
          </w:tcPr>
          <w:p w:rsidR="00836ED4" w:rsidRPr="00C71449" w:rsidRDefault="00836ED4" w:rsidP="00C71449">
            <w:pPr>
              <w:spacing w:after="0" w:line="240" w:lineRule="auto"/>
              <w:ind w:firstLine="0"/>
              <w:rPr>
                <w:i/>
                <w:sz w:val="18"/>
                <w:szCs w:val="18"/>
              </w:rPr>
            </w:pPr>
            <w:r w:rsidRPr="00C71449">
              <w:rPr>
                <w:b/>
                <w:i/>
                <w:sz w:val="18"/>
                <w:szCs w:val="18"/>
              </w:rPr>
              <w:t>Gyvenimo būdas</w:t>
            </w:r>
            <w:r w:rsidRPr="00C71449">
              <w:rPr>
                <w:i/>
                <w:sz w:val="18"/>
                <w:szCs w:val="18"/>
              </w:rPr>
              <w:t>: teikiant prioritetą laisvalaikiui, poreikis darbui pasitraukia į tolimesnę poziciją</w:t>
            </w:r>
          </w:p>
        </w:tc>
        <w:tc>
          <w:tcPr>
            <w:tcW w:w="360" w:type="dxa"/>
            <w:tcBorders>
              <w:top w:val="single" w:sz="4" w:space="0" w:color="auto"/>
              <w:bottom w:val="single" w:sz="4" w:space="0" w:color="auto"/>
              <w:right w:val="single" w:sz="12" w:space="0" w:color="auto"/>
            </w:tcBorders>
            <w:shd w:val="clear" w:color="auto" w:fill="CCC0D9"/>
          </w:tcPr>
          <w:p w:rsidR="00836ED4" w:rsidRPr="00C71449" w:rsidRDefault="00836ED4" w:rsidP="00C71449">
            <w:pPr>
              <w:spacing w:after="0" w:line="240" w:lineRule="auto"/>
              <w:ind w:firstLine="0"/>
              <w:jc w:val="center"/>
              <w:rPr>
                <w:b/>
                <w:sz w:val="18"/>
                <w:szCs w:val="18"/>
              </w:rPr>
            </w:pPr>
          </w:p>
        </w:tc>
        <w:tc>
          <w:tcPr>
            <w:tcW w:w="990" w:type="dxa"/>
            <w:tcBorders>
              <w:top w:val="single" w:sz="4" w:space="0" w:color="auto"/>
              <w:left w:val="single" w:sz="12" w:space="0" w:color="auto"/>
              <w:bottom w:val="single" w:sz="4" w:space="0" w:color="auto"/>
            </w:tcBorders>
            <w:shd w:val="clear" w:color="auto" w:fill="CCC0D9"/>
            <w:vAlign w:val="center"/>
          </w:tcPr>
          <w:p w:rsidR="00836ED4" w:rsidRPr="00C71449" w:rsidRDefault="00836ED4" w:rsidP="00C71449">
            <w:pPr>
              <w:spacing w:after="0" w:line="240" w:lineRule="auto"/>
              <w:ind w:firstLine="0"/>
              <w:jc w:val="center"/>
              <w:rPr>
                <w:b/>
                <w:color w:val="0070C0"/>
                <w:sz w:val="18"/>
                <w:szCs w:val="18"/>
              </w:rPr>
            </w:pPr>
          </w:p>
        </w:tc>
        <w:tc>
          <w:tcPr>
            <w:tcW w:w="990" w:type="dxa"/>
            <w:tcBorders>
              <w:top w:val="single" w:sz="4" w:space="0" w:color="auto"/>
              <w:left w:val="single" w:sz="12" w:space="0" w:color="auto"/>
              <w:bottom w:val="single" w:sz="4" w:space="0" w:color="auto"/>
            </w:tcBorders>
            <w:shd w:val="clear" w:color="auto" w:fill="CCC0D9"/>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10098" w:type="dxa"/>
            <w:gridSpan w:val="4"/>
            <w:tcBorders>
              <w:top w:val="single" w:sz="12" w:space="0" w:color="auto"/>
              <w:bottom w:val="single" w:sz="12" w:space="0" w:color="auto"/>
            </w:tcBorders>
            <w:shd w:val="clear" w:color="auto" w:fill="auto"/>
          </w:tcPr>
          <w:p w:rsidR="00836ED4" w:rsidRPr="00C71449" w:rsidRDefault="00836ED4" w:rsidP="00C71449">
            <w:pPr>
              <w:spacing w:after="0" w:line="240" w:lineRule="auto"/>
              <w:ind w:firstLine="0"/>
              <w:rPr>
                <w:b/>
                <w:i/>
                <w:sz w:val="18"/>
                <w:szCs w:val="18"/>
              </w:rPr>
            </w:pPr>
            <w:r w:rsidRPr="00C71449">
              <w:rPr>
                <w:b/>
                <w:i/>
                <w:sz w:val="18"/>
                <w:szCs w:val="18"/>
              </w:rPr>
              <w:t xml:space="preserve">Kurių veiksnių įtaka, Jūsų manymu, per pastaruosius 5 metus </w:t>
            </w:r>
            <w:r w:rsidRPr="00C71449">
              <w:rPr>
                <w:b/>
                <w:i/>
                <w:sz w:val="18"/>
                <w:szCs w:val="18"/>
                <w:u w:val="single"/>
              </w:rPr>
              <w:t>padidėjo</w:t>
            </w:r>
            <w:r w:rsidRPr="00C71449">
              <w:rPr>
                <w:b/>
                <w:i/>
                <w:sz w:val="18"/>
                <w:szCs w:val="18"/>
              </w:rPr>
              <w:t xml:space="preserve">, o kurių – </w:t>
            </w:r>
            <w:r w:rsidRPr="00C71449">
              <w:rPr>
                <w:b/>
                <w:i/>
                <w:sz w:val="18"/>
                <w:szCs w:val="18"/>
                <w:u w:val="single"/>
              </w:rPr>
              <w:t>sumažėjo</w:t>
            </w:r>
            <w:r w:rsidRPr="00C71449">
              <w:rPr>
                <w:b/>
                <w:i/>
                <w:sz w:val="18"/>
                <w:szCs w:val="18"/>
              </w:rPr>
              <w:t>?</w:t>
            </w:r>
          </w:p>
          <w:p w:rsidR="00836ED4" w:rsidRPr="00C71449" w:rsidRDefault="00836ED4" w:rsidP="00C71449">
            <w:pPr>
              <w:spacing w:after="0" w:line="240" w:lineRule="auto"/>
              <w:ind w:firstLine="0"/>
              <w:rPr>
                <w:sz w:val="18"/>
                <w:szCs w:val="18"/>
              </w:rPr>
            </w:pPr>
          </w:p>
          <w:p w:rsidR="00836ED4" w:rsidRPr="00C71449" w:rsidRDefault="00836ED4" w:rsidP="00C71449">
            <w:pPr>
              <w:spacing w:after="0" w:line="240" w:lineRule="auto"/>
              <w:ind w:firstLine="0"/>
              <w:rPr>
                <w:sz w:val="18"/>
                <w:szCs w:val="18"/>
              </w:rPr>
            </w:pPr>
          </w:p>
        </w:tc>
      </w:tr>
    </w:tbl>
    <w:p w:rsidR="00836ED4" w:rsidRPr="00605FF8" w:rsidRDefault="00836ED4" w:rsidP="00836ED4">
      <w:pPr>
        <w:pStyle w:val="Referatai"/>
        <w:rPr>
          <w:i/>
          <w:sz w:val="10"/>
          <w:szCs w:val="10"/>
        </w:rPr>
      </w:pPr>
    </w:p>
    <w:tbl>
      <w:tblPr>
        <w:tblW w:w="100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758"/>
        <w:gridCol w:w="360"/>
        <w:gridCol w:w="990"/>
        <w:gridCol w:w="990"/>
      </w:tblGrid>
      <w:tr w:rsidR="00836ED4" w:rsidRPr="00C71449" w:rsidTr="00836ED4">
        <w:trPr>
          <w:cantSplit/>
          <w:trHeight w:val="533"/>
        </w:trPr>
        <w:tc>
          <w:tcPr>
            <w:tcW w:w="7758" w:type="dxa"/>
            <w:tcBorders>
              <w:top w:val="single" w:sz="12" w:space="0" w:color="auto"/>
              <w:left w:val="single" w:sz="12" w:space="0" w:color="auto"/>
              <w:bottom w:val="single" w:sz="12" w:space="0" w:color="auto"/>
              <w:right w:val="single" w:sz="12" w:space="0" w:color="auto"/>
            </w:tcBorders>
            <w:shd w:val="clear" w:color="auto" w:fill="BFBFBF"/>
            <w:vAlign w:val="center"/>
          </w:tcPr>
          <w:p w:rsidR="00836ED4" w:rsidRPr="00C71449" w:rsidRDefault="00836ED4" w:rsidP="00C71449">
            <w:pPr>
              <w:spacing w:after="0" w:line="240" w:lineRule="auto"/>
              <w:ind w:firstLine="0"/>
              <w:jc w:val="center"/>
              <w:rPr>
                <w:b/>
                <w:sz w:val="18"/>
                <w:szCs w:val="18"/>
              </w:rPr>
            </w:pPr>
            <w:r w:rsidRPr="00C71449">
              <w:rPr>
                <w:b/>
                <w:sz w:val="18"/>
                <w:szCs w:val="18"/>
              </w:rPr>
              <w:t>Veiksniai</w:t>
            </w:r>
          </w:p>
        </w:tc>
        <w:tc>
          <w:tcPr>
            <w:tcW w:w="360" w:type="dxa"/>
            <w:tcBorders>
              <w:top w:val="single" w:sz="12" w:space="0" w:color="auto"/>
              <w:left w:val="single" w:sz="12" w:space="0" w:color="auto"/>
              <w:right w:val="single" w:sz="12" w:space="0" w:color="auto"/>
            </w:tcBorders>
            <w:shd w:val="clear" w:color="auto" w:fill="BFBFBF"/>
            <w:textDirection w:val="btLr"/>
            <w:vAlign w:val="center"/>
          </w:tcPr>
          <w:p w:rsidR="00836ED4" w:rsidRPr="00C71449" w:rsidRDefault="00836ED4" w:rsidP="00C71449">
            <w:pPr>
              <w:spacing w:after="0" w:line="240" w:lineRule="auto"/>
              <w:ind w:left="29" w:right="29" w:firstLine="0"/>
              <w:rPr>
                <w:b/>
                <w:i/>
                <w:sz w:val="18"/>
                <w:szCs w:val="18"/>
              </w:rPr>
            </w:pPr>
            <w:r w:rsidRPr="00C71449">
              <w:rPr>
                <w:b/>
                <w:i/>
                <w:sz w:val="18"/>
                <w:szCs w:val="18"/>
              </w:rPr>
              <w:t>Svoris</w:t>
            </w:r>
          </w:p>
        </w:tc>
        <w:tc>
          <w:tcPr>
            <w:tcW w:w="990" w:type="dxa"/>
            <w:tcBorders>
              <w:top w:val="single" w:sz="12" w:space="0" w:color="auto"/>
              <w:left w:val="single" w:sz="12" w:space="0" w:color="auto"/>
            </w:tcBorders>
            <w:shd w:val="clear" w:color="auto" w:fill="BFBFBF"/>
          </w:tcPr>
          <w:p w:rsidR="00836ED4" w:rsidRPr="00C71449" w:rsidRDefault="00836ED4" w:rsidP="00C71449">
            <w:pPr>
              <w:spacing w:after="0" w:line="240" w:lineRule="auto"/>
              <w:ind w:left="-115" w:right="-115" w:firstLine="0"/>
              <w:jc w:val="center"/>
              <w:rPr>
                <w:b/>
                <w:i/>
                <w:color w:val="0070C0"/>
                <w:sz w:val="18"/>
                <w:szCs w:val="18"/>
              </w:rPr>
            </w:pPr>
            <w:r w:rsidRPr="00C71449">
              <w:rPr>
                <w:b/>
                <w:i/>
                <w:color w:val="0070C0"/>
                <w:sz w:val="18"/>
                <w:szCs w:val="18"/>
              </w:rPr>
              <w:t>Šiuometinė elgsena</w:t>
            </w:r>
          </w:p>
        </w:tc>
        <w:tc>
          <w:tcPr>
            <w:tcW w:w="990" w:type="dxa"/>
            <w:tcBorders>
              <w:top w:val="single" w:sz="12" w:space="0" w:color="auto"/>
              <w:left w:val="single" w:sz="12" w:space="0" w:color="auto"/>
            </w:tcBorders>
            <w:shd w:val="clear" w:color="auto" w:fill="BFBFBF"/>
          </w:tcPr>
          <w:p w:rsidR="00836ED4" w:rsidRPr="00C71449" w:rsidRDefault="00836ED4" w:rsidP="00C71449">
            <w:pPr>
              <w:spacing w:after="0" w:line="240" w:lineRule="auto"/>
              <w:ind w:left="-115" w:right="-108" w:firstLine="0"/>
              <w:jc w:val="center"/>
              <w:rPr>
                <w:i/>
                <w:color w:val="E20000"/>
                <w:sz w:val="18"/>
                <w:szCs w:val="18"/>
              </w:rPr>
            </w:pPr>
            <w:r w:rsidRPr="00C71449">
              <w:rPr>
                <w:b/>
                <w:i/>
                <w:color w:val="E20000"/>
                <w:sz w:val="18"/>
                <w:szCs w:val="18"/>
              </w:rPr>
              <w:t>Racionali elgsena</w:t>
            </w:r>
          </w:p>
        </w:tc>
      </w:tr>
      <w:tr w:rsidR="00836ED4" w:rsidRPr="00C71449" w:rsidTr="00836ED4">
        <w:tc>
          <w:tcPr>
            <w:tcW w:w="7758" w:type="dxa"/>
            <w:tcBorders>
              <w:top w:val="single" w:sz="12" w:space="0" w:color="auto"/>
              <w:bottom w:val="single" w:sz="4" w:space="0" w:color="auto"/>
              <w:right w:val="single" w:sz="12" w:space="0" w:color="auto"/>
            </w:tcBorders>
            <w:shd w:val="clear" w:color="auto" w:fill="E5B8B7"/>
          </w:tcPr>
          <w:p w:rsidR="00836ED4" w:rsidRPr="00C71449" w:rsidRDefault="00836ED4" w:rsidP="00C71449">
            <w:pPr>
              <w:spacing w:after="0" w:line="240" w:lineRule="auto"/>
              <w:ind w:firstLine="0"/>
              <w:rPr>
                <w:i/>
                <w:sz w:val="18"/>
                <w:szCs w:val="18"/>
              </w:rPr>
            </w:pPr>
            <w:r w:rsidRPr="00C71449">
              <w:rPr>
                <w:b/>
                <w:i/>
                <w:sz w:val="18"/>
                <w:szCs w:val="18"/>
              </w:rPr>
              <w:t>Gyventojų užimtumo pokyčiai</w:t>
            </w:r>
            <w:r w:rsidRPr="00C71449">
              <w:rPr>
                <w:i/>
                <w:sz w:val="18"/>
                <w:szCs w:val="18"/>
              </w:rPr>
              <w:t>: esant dideliam nedarbui, tampa sunku susirasti bet kokį darbą</w:t>
            </w:r>
          </w:p>
        </w:tc>
        <w:tc>
          <w:tcPr>
            <w:tcW w:w="360" w:type="dxa"/>
            <w:tcBorders>
              <w:top w:val="single" w:sz="12" w:space="0" w:color="auto"/>
              <w:bottom w:val="single" w:sz="4" w:space="0" w:color="auto"/>
              <w:right w:val="single" w:sz="12" w:space="0" w:color="auto"/>
            </w:tcBorders>
            <w:shd w:val="clear" w:color="auto" w:fill="E5B8B7"/>
          </w:tcPr>
          <w:p w:rsidR="00836ED4" w:rsidRPr="00C71449" w:rsidRDefault="00836ED4" w:rsidP="00C71449">
            <w:pPr>
              <w:spacing w:after="0" w:line="240" w:lineRule="auto"/>
              <w:ind w:firstLine="0"/>
              <w:jc w:val="center"/>
              <w:rPr>
                <w:b/>
                <w:sz w:val="18"/>
                <w:szCs w:val="18"/>
              </w:rPr>
            </w:pPr>
          </w:p>
        </w:tc>
        <w:tc>
          <w:tcPr>
            <w:tcW w:w="990" w:type="dxa"/>
            <w:tcBorders>
              <w:top w:val="single" w:sz="12" w:space="0" w:color="auto"/>
              <w:left w:val="single" w:sz="12" w:space="0" w:color="auto"/>
              <w:bottom w:val="single" w:sz="4" w:space="0" w:color="auto"/>
            </w:tcBorders>
            <w:shd w:val="clear" w:color="auto" w:fill="E5B8B7"/>
            <w:vAlign w:val="center"/>
          </w:tcPr>
          <w:p w:rsidR="00836ED4" w:rsidRPr="00C71449" w:rsidRDefault="00836ED4" w:rsidP="00C71449">
            <w:pPr>
              <w:spacing w:after="0" w:line="240" w:lineRule="auto"/>
              <w:ind w:firstLine="0"/>
              <w:jc w:val="center"/>
              <w:rPr>
                <w:b/>
                <w:color w:val="0070C0"/>
                <w:sz w:val="18"/>
                <w:szCs w:val="18"/>
              </w:rPr>
            </w:pPr>
          </w:p>
        </w:tc>
        <w:tc>
          <w:tcPr>
            <w:tcW w:w="990" w:type="dxa"/>
            <w:tcBorders>
              <w:top w:val="single" w:sz="12" w:space="0" w:color="auto"/>
              <w:left w:val="single" w:sz="12" w:space="0" w:color="auto"/>
              <w:bottom w:val="single" w:sz="4" w:space="0" w:color="auto"/>
            </w:tcBorders>
            <w:shd w:val="clear" w:color="auto" w:fill="E5B8B7"/>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7758" w:type="dxa"/>
            <w:tcBorders>
              <w:top w:val="single" w:sz="4" w:space="0" w:color="auto"/>
              <w:bottom w:val="single" w:sz="4" w:space="0" w:color="auto"/>
              <w:right w:val="single" w:sz="12" w:space="0" w:color="auto"/>
            </w:tcBorders>
            <w:shd w:val="clear" w:color="auto" w:fill="E5B8B7"/>
          </w:tcPr>
          <w:p w:rsidR="00836ED4" w:rsidRPr="00C71449" w:rsidRDefault="00836ED4" w:rsidP="00C71449">
            <w:pPr>
              <w:spacing w:after="0" w:line="240" w:lineRule="auto"/>
              <w:ind w:firstLine="0"/>
              <w:rPr>
                <w:i/>
                <w:sz w:val="18"/>
                <w:szCs w:val="18"/>
              </w:rPr>
            </w:pPr>
            <w:r w:rsidRPr="00C71449">
              <w:rPr>
                <w:b/>
                <w:i/>
                <w:sz w:val="18"/>
                <w:szCs w:val="18"/>
              </w:rPr>
              <w:t>Šešėlinės ekonomikos lygis</w:t>
            </w:r>
            <w:r w:rsidRPr="00C71449">
              <w:rPr>
                <w:i/>
                <w:sz w:val="18"/>
                <w:szCs w:val="18"/>
              </w:rPr>
              <w:t>: egzistuojant „šešėliui“, atsiranda poreikis nuslėpti pajamas</w:t>
            </w:r>
          </w:p>
        </w:tc>
        <w:tc>
          <w:tcPr>
            <w:tcW w:w="360" w:type="dxa"/>
            <w:tcBorders>
              <w:top w:val="single" w:sz="4" w:space="0" w:color="auto"/>
              <w:bottom w:val="single" w:sz="4" w:space="0" w:color="auto"/>
              <w:right w:val="single" w:sz="12" w:space="0" w:color="auto"/>
            </w:tcBorders>
            <w:shd w:val="clear" w:color="auto" w:fill="E5B8B7"/>
          </w:tcPr>
          <w:p w:rsidR="00836ED4" w:rsidRPr="00C71449" w:rsidRDefault="00836ED4" w:rsidP="00C71449">
            <w:pPr>
              <w:spacing w:after="0" w:line="240" w:lineRule="auto"/>
              <w:ind w:firstLine="0"/>
              <w:jc w:val="center"/>
              <w:rPr>
                <w:b/>
                <w:sz w:val="18"/>
                <w:szCs w:val="18"/>
              </w:rPr>
            </w:pPr>
          </w:p>
        </w:tc>
        <w:tc>
          <w:tcPr>
            <w:tcW w:w="990" w:type="dxa"/>
            <w:tcBorders>
              <w:top w:val="single" w:sz="4" w:space="0" w:color="auto"/>
              <w:left w:val="single" w:sz="12" w:space="0" w:color="auto"/>
              <w:bottom w:val="single" w:sz="4" w:space="0" w:color="auto"/>
            </w:tcBorders>
            <w:shd w:val="clear" w:color="auto" w:fill="E5B8B7"/>
            <w:vAlign w:val="center"/>
          </w:tcPr>
          <w:p w:rsidR="00836ED4" w:rsidRPr="00C71449" w:rsidRDefault="00836ED4" w:rsidP="00C71449">
            <w:pPr>
              <w:spacing w:after="0" w:line="240" w:lineRule="auto"/>
              <w:ind w:firstLine="0"/>
              <w:jc w:val="center"/>
              <w:rPr>
                <w:b/>
                <w:color w:val="0070C0"/>
                <w:sz w:val="18"/>
                <w:szCs w:val="18"/>
              </w:rPr>
            </w:pPr>
          </w:p>
        </w:tc>
        <w:tc>
          <w:tcPr>
            <w:tcW w:w="990" w:type="dxa"/>
            <w:tcBorders>
              <w:top w:val="single" w:sz="4" w:space="0" w:color="auto"/>
              <w:left w:val="single" w:sz="12" w:space="0" w:color="auto"/>
              <w:bottom w:val="single" w:sz="4" w:space="0" w:color="auto"/>
            </w:tcBorders>
            <w:shd w:val="clear" w:color="auto" w:fill="E5B8B7"/>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7758" w:type="dxa"/>
            <w:tcBorders>
              <w:top w:val="single" w:sz="4" w:space="0" w:color="auto"/>
              <w:bottom w:val="single" w:sz="4" w:space="0" w:color="auto"/>
              <w:right w:val="single" w:sz="12" w:space="0" w:color="auto"/>
            </w:tcBorders>
            <w:shd w:val="clear" w:color="auto" w:fill="E5B8B7"/>
          </w:tcPr>
          <w:p w:rsidR="00836ED4" w:rsidRPr="00C71449" w:rsidRDefault="00836ED4" w:rsidP="00C71449">
            <w:pPr>
              <w:spacing w:after="0" w:line="240" w:lineRule="auto"/>
              <w:ind w:firstLine="0"/>
              <w:rPr>
                <w:i/>
                <w:sz w:val="18"/>
                <w:szCs w:val="18"/>
              </w:rPr>
            </w:pPr>
            <w:r w:rsidRPr="00C71449">
              <w:rPr>
                <w:b/>
                <w:i/>
                <w:sz w:val="18"/>
                <w:szCs w:val="18"/>
              </w:rPr>
              <w:t>Mokesčių našta</w:t>
            </w:r>
            <w:r w:rsidRPr="00C71449">
              <w:rPr>
                <w:i/>
                <w:sz w:val="18"/>
                <w:szCs w:val="18"/>
              </w:rPr>
              <w:t>: esant didelei mokesčių naštai, atsiranda noras protestuoti prieš vykdomą politiką</w:t>
            </w:r>
          </w:p>
        </w:tc>
        <w:tc>
          <w:tcPr>
            <w:tcW w:w="360" w:type="dxa"/>
            <w:tcBorders>
              <w:top w:val="single" w:sz="4" w:space="0" w:color="auto"/>
              <w:bottom w:val="single" w:sz="4" w:space="0" w:color="auto"/>
              <w:right w:val="single" w:sz="12" w:space="0" w:color="auto"/>
            </w:tcBorders>
            <w:shd w:val="clear" w:color="auto" w:fill="E5B8B7"/>
          </w:tcPr>
          <w:p w:rsidR="00836ED4" w:rsidRPr="00C71449" w:rsidRDefault="00836ED4" w:rsidP="00C71449">
            <w:pPr>
              <w:spacing w:after="0" w:line="240" w:lineRule="auto"/>
              <w:ind w:firstLine="0"/>
              <w:jc w:val="center"/>
              <w:rPr>
                <w:b/>
                <w:sz w:val="18"/>
                <w:szCs w:val="18"/>
              </w:rPr>
            </w:pPr>
          </w:p>
        </w:tc>
        <w:tc>
          <w:tcPr>
            <w:tcW w:w="990" w:type="dxa"/>
            <w:tcBorders>
              <w:top w:val="single" w:sz="4" w:space="0" w:color="auto"/>
              <w:left w:val="single" w:sz="12" w:space="0" w:color="auto"/>
              <w:bottom w:val="single" w:sz="4" w:space="0" w:color="auto"/>
            </w:tcBorders>
            <w:shd w:val="clear" w:color="auto" w:fill="E5B8B7"/>
            <w:vAlign w:val="center"/>
          </w:tcPr>
          <w:p w:rsidR="00836ED4" w:rsidRPr="00C71449" w:rsidRDefault="00836ED4" w:rsidP="00C71449">
            <w:pPr>
              <w:spacing w:after="0" w:line="240" w:lineRule="auto"/>
              <w:ind w:firstLine="0"/>
              <w:jc w:val="center"/>
              <w:rPr>
                <w:b/>
                <w:color w:val="0070C0"/>
                <w:sz w:val="18"/>
                <w:szCs w:val="18"/>
              </w:rPr>
            </w:pPr>
          </w:p>
        </w:tc>
        <w:tc>
          <w:tcPr>
            <w:tcW w:w="990" w:type="dxa"/>
            <w:tcBorders>
              <w:top w:val="single" w:sz="4" w:space="0" w:color="auto"/>
              <w:left w:val="single" w:sz="12" w:space="0" w:color="auto"/>
              <w:bottom w:val="single" w:sz="4" w:space="0" w:color="auto"/>
            </w:tcBorders>
            <w:shd w:val="clear" w:color="auto" w:fill="E5B8B7"/>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7758" w:type="dxa"/>
            <w:tcBorders>
              <w:top w:val="single" w:sz="4" w:space="0" w:color="auto"/>
              <w:bottom w:val="single" w:sz="4" w:space="0" w:color="auto"/>
              <w:right w:val="single" w:sz="12" w:space="0" w:color="auto"/>
            </w:tcBorders>
            <w:shd w:val="clear" w:color="auto" w:fill="E5B8B7"/>
          </w:tcPr>
          <w:p w:rsidR="00836ED4" w:rsidRPr="00C71449" w:rsidRDefault="00836ED4" w:rsidP="00C71449">
            <w:pPr>
              <w:spacing w:after="0" w:line="240" w:lineRule="auto"/>
              <w:ind w:firstLine="0"/>
              <w:rPr>
                <w:i/>
                <w:sz w:val="18"/>
                <w:szCs w:val="18"/>
              </w:rPr>
            </w:pPr>
            <w:r w:rsidRPr="00C71449">
              <w:rPr>
                <w:b/>
                <w:i/>
                <w:sz w:val="18"/>
                <w:szCs w:val="18"/>
              </w:rPr>
              <w:t>Skurdo „spąstai“</w:t>
            </w:r>
            <w:r w:rsidRPr="00C71449">
              <w:rPr>
                <w:i/>
                <w:sz w:val="18"/>
                <w:szCs w:val="18"/>
              </w:rPr>
              <w:t>: pradėjus dirbti už „minimumą“, realiai finansinė padėtis pagerėja nežymiai</w:t>
            </w:r>
          </w:p>
        </w:tc>
        <w:tc>
          <w:tcPr>
            <w:tcW w:w="360" w:type="dxa"/>
            <w:tcBorders>
              <w:top w:val="single" w:sz="4" w:space="0" w:color="auto"/>
              <w:bottom w:val="single" w:sz="4" w:space="0" w:color="auto"/>
              <w:right w:val="single" w:sz="12" w:space="0" w:color="auto"/>
            </w:tcBorders>
            <w:shd w:val="clear" w:color="auto" w:fill="E5B8B7"/>
          </w:tcPr>
          <w:p w:rsidR="00836ED4" w:rsidRPr="00C71449" w:rsidRDefault="00836ED4" w:rsidP="00C71449">
            <w:pPr>
              <w:spacing w:after="0" w:line="240" w:lineRule="auto"/>
              <w:ind w:firstLine="0"/>
              <w:jc w:val="center"/>
              <w:rPr>
                <w:b/>
                <w:sz w:val="18"/>
                <w:szCs w:val="18"/>
              </w:rPr>
            </w:pPr>
          </w:p>
        </w:tc>
        <w:tc>
          <w:tcPr>
            <w:tcW w:w="990" w:type="dxa"/>
            <w:tcBorders>
              <w:top w:val="single" w:sz="4" w:space="0" w:color="auto"/>
              <w:left w:val="single" w:sz="12" w:space="0" w:color="auto"/>
              <w:bottom w:val="single" w:sz="4" w:space="0" w:color="auto"/>
            </w:tcBorders>
            <w:shd w:val="clear" w:color="auto" w:fill="E5B8B7"/>
            <w:vAlign w:val="center"/>
          </w:tcPr>
          <w:p w:rsidR="00836ED4" w:rsidRPr="00C71449" w:rsidRDefault="00836ED4" w:rsidP="00C71449">
            <w:pPr>
              <w:spacing w:after="0" w:line="240" w:lineRule="auto"/>
              <w:ind w:firstLine="0"/>
              <w:jc w:val="center"/>
              <w:rPr>
                <w:b/>
                <w:color w:val="0070C0"/>
                <w:sz w:val="18"/>
                <w:szCs w:val="18"/>
              </w:rPr>
            </w:pPr>
          </w:p>
        </w:tc>
        <w:tc>
          <w:tcPr>
            <w:tcW w:w="990" w:type="dxa"/>
            <w:tcBorders>
              <w:top w:val="single" w:sz="4" w:space="0" w:color="auto"/>
              <w:left w:val="single" w:sz="12" w:space="0" w:color="auto"/>
              <w:bottom w:val="single" w:sz="4" w:space="0" w:color="auto"/>
            </w:tcBorders>
            <w:shd w:val="clear" w:color="auto" w:fill="E5B8B7"/>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7758" w:type="dxa"/>
            <w:tcBorders>
              <w:top w:val="single" w:sz="4" w:space="0" w:color="auto"/>
              <w:bottom w:val="single" w:sz="4" w:space="0" w:color="auto"/>
              <w:right w:val="single" w:sz="12" w:space="0" w:color="auto"/>
            </w:tcBorders>
            <w:shd w:val="clear" w:color="auto" w:fill="E5B8B7"/>
          </w:tcPr>
          <w:p w:rsidR="00836ED4" w:rsidRPr="00C71449" w:rsidRDefault="00836ED4" w:rsidP="00C71449">
            <w:pPr>
              <w:spacing w:after="0" w:line="240" w:lineRule="auto"/>
              <w:ind w:firstLine="0"/>
              <w:rPr>
                <w:i/>
                <w:sz w:val="18"/>
                <w:szCs w:val="18"/>
              </w:rPr>
            </w:pPr>
            <w:r w:rsidRPr="00C71449">
              <w:rPr>
                <w:b/>
                <w:i/>
                <w:sz w:val="18"/>
                <w:szCs w:val="18"/>
              </w:rPr>
              <w:t>Išmokos mokėjimo trukmė</w:t>
            </w:r>
            <w:r w:rsidRPr="00C71449">
              <w:rPr>
                <w:i/>
                <w:sz w:val="18"/>
                <w:szCs w:val="18"/>
              </w:rPr>
              <w:t>: esant didelei išmokos mokėjimo trukmei, neskatinamas užimtumas</w:t>
            </w:r>
          </w:p>
        </w:tc>
        <w:tc>
          <w:tcPr>
            <w:tcW w:w="360" w:type="dxa"/>
            <w:tcBorders>
              <w:top w:val="single" w:sz="4" w:space="0" w:color="auto"/>
              <w:bottom w:val="single" w:sz="4" w:space="0" w:color="auto"/>
              <w:right w:val="single" w:sz="12" w:space="0" w:color="auto"/>
            </w:tcBorders>
            <w:shd w:val="clear" w:color="auto" w:fill="E5B8B7"/>
          </w:tcPr>
          <w:p w:rsidR="00836ED4" w:rsidRPr="00C71449" w:rsidRDefault="00836ED4" w:rsidP="00C71449">
            <w:pPr>
              <w:spacing w:after="0" w:line="240" w:lineRule="auto"/>
              <w:ind w:firstLine="0"/>
              <w:jc w:val="center"/>
              <w:rPr>
                <w:b/>
                <w:sz w:val="18"/>
                <w:szCs w:val="18"/>
              </w:rPr>
            </w:pPr>
          </w:p>
        </w:tc>
        <w:tc>
          <w:tcPr>
            <w:tcW w:w="990" w:type="dxa"/>
            <w:tcBorders>
              <w:top w:val="single" w:sz="4" w:space="0" w:color="auto"/>
              <w:left w:val="single" w:sz="12" w:space="0" w:color="auto"/>
              <w:bottom w:val="single" w:sz="4" w:space="0" w:color="auto"/>
            </w:tcBorders>
            <w:shd w:val="clear" w:color="auto" w:fill="E5B8B7"/>
            <w:vAlign w:val="center"/>
          </w:tcPr>
          <w:p w:rsidR="00836ED4" w:rsidRPr="00C71449" w:rsidRDefault="00836ED4" w:rsidP="00C71449">
            <w:pPr>
              <w:spacing w:after="0" w:line="240" w:lineRule="auto"/>
              <w:ind w:firstLine="0"/>
              <w:jc w:val="center"/>
              <w:rPr>
                <w:b/>
                <w:color w:val="0070C0"/>
                <w:sz w:val="18"/>
                <w:szCs w:val="18"/>
              </w:rPr>
            </w:pPr>
          </w:p>
        </w:tc>
        <w:tc>
          <w:tcPr>
            <w:tcW w:w="990" w:type="dxa"/>
            <w:tcBorders>
              <w:top w:val="single" w:sz="4" w:space="0" w:color="auto"/>
              <w:left w:val="single" w:sz="12" w:space="0" w:color="auto"/>
              <w:bottom w:val="single" w:sz="4" w:space="0" w:color="auto"/>
            </w:tcBorders>
            <w:shd w:val="clear" w:color="auto" w:fill="E5B8B7"/>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10098" w:type="dxa"/>
            <w:gridSpan w:val="4"/>
            <w:tcBorders>
              <w:top w:val="single" w:sz="12" w:space="0" w:color="auto"/>
              <w:bottom w:val="single" w:sz="12" w:space="0" w:color="auto"/>
            </w:tcBorders>
            <w:shd w:val="clear" w:color="auto" w:fill="auto"/>
          </w:tcPr>
          <w:p w:rsidR="00836ED4" w:rsidRPr="00C71449" w:rsidRDefault="00836ED4" w:rsidP="00C71449">
            <w:pPr>
              <w:spacing w:after="0" w:line="240" w:lineRule="auto"/>
              <w:ind w:firstLine="0"/>
              <w:rPr>
                <w:b/>
                <w:i/>
                <w:sz w:val="18"/>
                <w:szCs w:val="18"/>
              </w:rPr>
            </w:pPr>
            <w:r w:rsidRPr="00C71449">
              <w:rPr>
                <w:b/>
                <w:i/>
                <w:sz w:val="18"/>
                <w:szCs w:val="18"/>
              </w:rPr>
              <w:t xml:space="preserve">Kurių veiksnių įtaka, Jūsų manymu, per pastaruosius 5 metus </w:t>
            </w:r>
            <w:r w:rsidRPr="00C71449">
              <w:rPr>
                <w:b/>
                <w:i/>
                <w:sz w:val="18"/>
                <w:szCs w:val="18"/>
                <w:u w:val="single"/>
              </w:rPr>
              <w:t>padidėjo</w:t>
            </w:r>
            <w:r w:rsidRPr="00C71449">
              <w:rPr>
                <w:b/>
                <w:i/>
                <w:sz w:val="18"/>
                <w:szCs w:val="18"/>
              </w:rPr>
              <w:t xml:space="preserve">, o kurių – </w:t>
            </w:r>
            <w:r w:rsidRPr="00C71449">
              <w:rPr>
                <w:b/>
                <w:i/>
                <w:sz w:val="18"/>
                <w:szCs w:val="18"/>
                <w:u w:val="single"/>
              </w:rPr>
              <w:t>sumažėjo</w:t>
            </w:r>
            <w:r w:rsidRPr="00C71449">
              <w:rPr>
                <w:b/>
                <w:i/>
                <w:sz w:val="18"/>
                <w:szCs w:val="18"/>
              </w:rPr>
              <w:t>?</w:t>
            </w:r>
          </w:p>
          <w:p w:rsidR="00836ED4" w:rsidRPr="00C71449" w:rsidRDefault="00836ED4" w:rsidP="00C71449">
            <w:pPr>
              <w:spacing w:after="0" w:line="240" w:lineRule="auto"/>
              <w:ind w:firstLine="0"/>
              <w:rPr>
                <w:color w:val="0070C0"/>
                <w:sz w:val="18"/>
                <w:szCs w:val="18"/>
              </w:rPr>
            </w:pPr>
          </w:p>
          <w:p w:rsidR="00836ED4" w:rsidRPr="00C71449" w:rsidRDefault="00836ED4" w:rsidP="00C71449">
            <w:pPr>
              <w:spacing w:after="0" w:line="240" w:lineRule="auto"/>
              <w:ind w:firstLine="0"/>
              <w:rPr>
                <w:color w:val="0070C0"/>
                <w:sz w:val="18"/>
                <w:szCs w:val="18"/>
              </w:rPr>
            </w:pPr>
          </w:p>
        </w:tc>
      </w:tr>
    </w:tbl>
    <w:p w:rsidR="00836ED4" w:rsidRPr="00605FF8" w:rsidRDefault="00836ED4" w:rsidP="00836ED4">
      <w:pPr>
        <w:pStyle w:val="Referatai"/>
        <w:rPr>
          <w:i/>
          <w:sz w:val="10"/>
          <w:szCs w:val="10"/>
        </w:rPr>
      </w:pPr>
    </w:p>
    <w:tbl>
      <w:tblPr>
        <w:tblW w:w="100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758"/>
        <w:gridCol w:w="360"/>
        <w:gridCol w:w="990"/>
        <w:gridCol w:w="990"/>
      </w:tblGrid>
      <w:tr w:rsidR="00836ED4" w:rsidRPr="00C71449" w:rsidTr="00836ED4">
        <w:trPr>
          <w:trHeight w:val="537"/>
        </w:trPr>
        <w:tc>
          <w:tcPr>
            <w:tcW w:w="7758" w:type="dxa"/>
            <w:tcBorders>
              <w:top w:val="single" w:sz="12" w:space="0" w:color="auto"/>
              <w:left w:val="single" w:sz="12" w:space="0" w:color="auto"/>
              <w:bottom w:val="single" w:sz="12" w:space="0" w:color="auto"/>
              <w:right w:val="single" w:sz="12" w:space="0" w:color="auto"/>
            </w:tcBorders>
            <w:shd w:val="clear" w:color="auto" w:fill="BFBFBF"/>
            <w:vAlign w:val="center"/>
          </w:tcPr>
          <w:p w:rsidR="00836ED4" w:rsidRPr="00C71449" w:rsidRDefault="00836ED4" w:rsidP="00C71449">
            <w:pPr>
              <w:spacing w:after="0" w:line="240" w:lineRule="auto"/>
              <w:ind w:firstLine="0"/>
              <w:jc w:val="center"/>
              <w:rPr>
                <w:b/>
                <w:sz w:val="18"/>
                <w:szCs w:val="18"/>
              </w:rPr>
            </w:pPr>
            <w:r w:rsidRPr="00C71449">
              <w:rPr>
                <w:b/>
                <w:sz w:val="18"/>
                <w:szCs w:val="18"/>
              </w:rPr>
              <w:t>Veiksniai</w:t>
            </w:r>
          </w:p>
        </w:tc>
        <w:tc>
          <w:tcPr>
            <w:tcW w:w="360" w:type="dxa"/>
            <w:tcBorders>
              <w:top w:val="single" w:sz="12" w:space="0" w:color="auto"/>
              <w:left w:val="single" w:sz="12" w:space="0" w:color="auto"/>
              <w:right w:val="single" w:sz="12" w:space="0" w:color="auto"/>
            </w:tcBorders>
            <w:shd w:val="clear" w:color="auto" w:fill="BFBFBF"/>
            <w:textDirection w:val="btLr"/>
            <w:vAlign w:val="center"/>
          </w:tcPr>
          <w:p w:rsidR="00836ED4" w:rsidRPr="00C71449" w:rsidRDefault="00836ED4" w:rsidP="00C71449">
            <w:pPr>
              <w:spacing w:after="0" w:line="240" w:lineRule="auto"/>
              <w:ind w:left="29" w:right="29" w:firstLine="0"/>
              <w:rPr>
                <w:b/>
                <w:i/>
                <w:sz w:val="18"/>
                <w:szCs w:val="18"/>
              </w:rPr>
            </w:pPr>
            <w:r w:rsidRPr="00C71449">
              <w:rPr>
                <w:b/>
                <w:i/>
                <w:sz w:val="18"/>
                <w:szCs w:val="18"/>
              </w:rPr>
              <w:t>Svoris</w:t>
            </w:r>
          </w:p>
        </w:tc>
        <w:tc>
          <w:tcPr>
            <w:tcW w:w="990" w:type="dxa"/>
            <w:tcBorders>
              <w:top w:val="single" w:sz="12" w:space="0" w:color="auto"/>
              <w:left w:val="single" w:sz="12" w:space="0" w:color="auto"/>
            </w:tcBorders>
            <w:shd w:val="clear" w:color="auto" w:fill="BFBFBF"/>
          </w:tcPr>
          <w:p w:rsidR="00836ED4" w:rsidRPr="00C71449" w:rsidRDefault="00836ED4" w:rsidP="00C71449">
            <w:pPr>
              <w:spacing w:before="40" w:after="0" w:line="240" w:lineRule="auto"/>
              <w:ind w:left="-115" w:right="-108" w:firstLine="0"/>
              <w:jc w:val="center"/>
              <w:rPr>
                <w:b/>
                <w:i/>
                <w:color w:val="0070C0"/>
                <w:sz w:val="18"/>
                <w:szCs w:val="18"/>
              </w:rPr>
            </w:pPr>
            <w:r w:rsidRPr="00C71449">
              <w:rPr>
                <w:b/>
                <w:i/>
                <w:color w:val="0070C0"/>
                <w:sz w:val="18"/>
                <w:szCs w:val="18"/>
              </w:rPr>
              <w:t>Šiuometinė elgsena</w:t>
            </w:r>
          </w:p>
        </w:tc>
        <w:tc>
          <w:tcPr>
            <w:tcW w:w="990" w:type="dxa"/>
            <w:tcBorders>
              <w:top w:val="single" w:sz="12" w:space="0" w:color="auto"/>
              <w:left w:val="single" w:sz="12" w:space="0" w:color="auto"/>
            </w:tcBorders>
            <w:shd w:val="clear" w:color="auto" w:fill="BFBFBF"/>
          </w:tcPr>
          <w:p w:rsidR="00836ED4" w:rsidRPr="00C71449" w:rsidRDefault="00836ED4" w:rsidP="00C71449">
            <w:pPr>
              <w:spacing w:before="40" w:after="0" w:line="240" w:lineRule="auto"/>
              <w:ind w:left="-115" w:right="-108" w:firstLine="0"/>
              <w:jc w:val="center"/>
              <w:rPr>
                <w:b/>
                <w:i/>
                <w:color w:val="E20000"/>
                <w:sz w:val="18"/>
                <w:szCs w:val="18"/>
              </w:rPr>
            </w:pPr>
            <w:r w:rsidRPr="00C71449">
              <w:rPr>
                <w:b/>
                <w:i/>
                <w:color w:val="E20000"/>
                <w:sz w:val="18"/>
                <w:szCs w:val="18"/>
              </w:rPr>
              <w:t>Racionali elgsena</w:t>
            </w:r>
          </w:p>
        </w:tc>
      </w:tr>
      <w:tr w:rsidR="00836ED4" w:rsidRPr="00C71449" w:rsidTr="00836ED4">
        <w:tc>
          <w:tcPr>
            <w:tcW w:w="7758" w:type="dxa"/>
            <w:tcBorders>
              <w:top w:val="single" w:sz="12" w:space="0" w:color="auto"/>
              <w:bottom w:val="single" w:sz="4" w:space="0" w:color="auto"/>
              <w:right w:val="single" w:sz="12" w:space="0" w:color="auto"/>
            </w:tcBorders>
            <w:shd w:val="clear" w:color="auto" w:fill="FBD4B4"/>
          </w:tcPr>
          <w:p w:rsidR="00836ED4" w:rsidRPr="00C71449" w:rsidRDefault="00836ED4" w:rsidP="00C71449">
            <w:pPr>
              <w:spacing w:after="0" w:line="240" w:lineRule="auto"/>
              <w:ind w:firstLine="0"/>
              <w:rPr>
                <w:i/>
                <w:sz w:val="18"/>
                <w:szCs w:val="18"/>
              </w:rPr>
            </w:pPr>
            <w:r w:rsidRPr="00C71449">
              <w:rPr>
                <w:b/>
                <w:i/>
                <w:sz w:val="18"/>
                <w:szCs w:val="18"/>
              </w:rPr>
              <w:t>Socialinės apsaugos sistema</w:t>
            </w:r>
            <w:r w:rsidRPr="00C71449">
              <w:rPr>
                <w:i/>
                <w:sz w:val="18"/>
                <w:szCs w:val="18"/>
              </w:rPr>
              <w:t>: neigiamai veikia asmeninę atsakomybę, neskatina užimtumo</w:t>
            </w:r>
          </w:p>
        </w:tc>
        <w:tc>
          <w:tcPr>
            <w:tcW w:w="360" w:type="dxa"/>
            <w:tcBorders>
              <w:top w:val="single" w:sz="12" w:space="0" w:color="auto"/>
              <w:bottom w:val="single" w:sz="4" w:space="0" w:color="auto"/>
              <w:right w:val="single" w:sz="12" w:space="0" w:color="auto"/>
            </w:tcBorders>
            <w:shd w:val="clear" w:color="auto" w:fill="FBD4B4"/>
          </w:tcPr>
          <w:p w:rsidR="00836ED4" w:rsidRPr="00C71449" w:rsidRDefault="00836ED4" w:rsidP="00C71449">
            <w:pPr>
              <w:spacing w:after="0" w:line="240" w:lineRule="auto"/>
              <w:ind w:firstLine="0"/>
              <w:jc w:val="center"/>
              <w:rPr>
                <w:b/>
                <w:sz w:val="18"/>
                <w:szCs w:val="18"/>
              </w:rPr>
            </w:pPr>
          </w:p>
        </w:tc>
        <w:tc>
          <w:tcPr>
            <w:tcW w:w="990" w:type="dxa"/>
            <w:tcBorders>
              <w:top w:val="single" w:sz="12" w:space="0" w:color="auto"/>
              <w:left w:val="single" w:sz="12" w:space="0" w:color="auto"/>
              <w:bottom w:val="single" w:sz="4" w:space="0" w:color="auto"/>
            </w:tcBorders>
            <w:shd w:val="clear" w:color="auto" w:fill="FBD4B4"/>
            <w:vAlign w:val="center"/>
          </w:tcPr>
          <w:p w:rsidR="00836ED4" w:rsidRPr="00C71449" w:rsidRDefault="00836ED4" w:rsidP="00C71449">
            <w:pPr>
              <w:spacing w:after="0" w:line="240" w:lineRule="auto"/>
              <w:ind w:firstLine="0"/>
              <w:jc w:val="center"/>
              <w:rPr>
                <w:b/>
                <w:color w:val="0070C0"/>
                <w:sz w:val="18"/>
                <w:szCs w:val="18"/>
              </w:rPr>
            </w:pPr>
          </w:p>
        </w:tc>
        <w:tc>
          <w:tcPr>
            <w:tcW w:w="990" w:type="dxa"/>
            <w:tcBorders>
              <w:top w:val="single" w:sz="12" w:space="0" w:color="auto"/>
              <w:left w:val="single" w:sz="12" w:space="0" w:color="auto"/>
              <w:bottom w:val="single" w:sz="4" w:space="0" w:color="auto"/>
            </w:tcBorders>
            <w:shd w:val="clear" w:color="auto" w:fill="FBD4B4"/>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7758" w:type="dxa"/>
            <w:tcBorders>
              <w:top w:val="single" w:sz="4" w:space="0" w:color="auto"/>
              <w:bottom w:val="single" w:sz="4" w:space="0" w:color="auto"/>
              <w:right w:val="single" w:sz="12" w:space="0" w:color="auto"/>
            </w:tcBorders>
            <w:shd w:val="clear" w:color="auto" w:fill="FBD4B4"/>
          </w:tcPr>
          <w:p w:rsidR="00836ED4" w:rsidRPr="00C71449" w:rsidRDefault="00836ED4" w:rsidP="00C71449">
            <w:pPr>
              <w:spacing w:after="0" w:line="240" w:lineRule="auto"/>
              <w:ind w:firstLine="0"/>
              <w:rPr>
                <w:i/>
                <w:sz w:val="18"/>
                <w:szCs w:val="18"/>
              </w:rPr>
            </w:pPr>
            <w:r w:rsidRPr="00C71449">
              <w:rPr>
                <w:b/>
                <w:i/>
                <w:sz w:val="18"/>
                <w:szCs w:val="18"/>
              </w:rPr>
              <w:t>Įstatymų spragos</w:t>
            </w:r>
            <w:r w:rsidRPr="00C71449">
              <w:rPr>
                <w:i/>
                <w:sz w:val="18"/>
                <w:szCs w:val="18"/>
              </w:rPr>
              <w:t>: parama skatinama naudotis neteisėtai, nes atsakomybė tinkamai neapibrėžta</w:t>
            </w:r>
          </w:p>
        </w:tc>
        <w:tc>
          <w:tcPr>
            <w:tcW w:w="360" w:type="dxa"/>
            <w:tcBorders>
              <w:top w:val="single" w:sz="4" w:space="0" w:color="auto"/>
              <w:bottom w:val="single" w:sz="4" w:space="0" w:color="auto"/>
              <w:right w:val="single" w:sz="12" w:space="0" w:color="auto"/>
            </w:tcBorders>
            <w:shd w:val="clear" w:color="auto" w:fill="FBD4B4"/>
          </w:tcPr>
          <w:p w:rsidR="00836ED4" w:rsidRPr="00C71449" w:rsidRDefault="00836ED4" w:rsidP="00C71449">
            <w:pPr>
              <w:spacing w:after="0" w:line="240" w:lineRule="auto"/>
              <w:ind w:firstLine="0"/>
              <w:jc w:val="center"/>
              <w:rPr>
                <w:b/>
                <w:sz w:val="18"/>
                <w:szCs w:val="18"/>
              </w:rPr>
            </w:pPr>
          </w:p>
        </w:tc>
        <w:tc>
          <w:tcPr>
            <w:tcW w:w="990" w:type="dxa"/>
            <w:tcBorders>
              <w:top w:val="single" w:sz="4" w:space="0" w:color="auto"/>
              <w:left w:val="single" w:sz="12" w:space="0" w:color="auto"/>
              <w:bottom w:val="single" w:sz="4" w:space="0" w:color="auto"/>
            </w:tcBorders>
            <w:shd w:val="clear" w:color="auto" w:fill="FBD4B4"/>
            <w:vAlign w:val="center"/>
          </w:tcPr>
          <w:p w:rsidR="00836ED4" w:rsidRPr="00C71449" w:rsidRDefault="00836ED4" w:rsidP="00C71449">
            <w:pPr>
              <w:spacing w:after="0" w:line="240" w:lineRule="auto"/>
              <w:ind w:firstLine="0"/>
              <w:jc w:val="center"/>
              <w:rPr>
                <w:b/>
                <w:color w:val="0070C0"/>
                <w:sz w:val="18"/>
                <w:szCs w:val="18"/>
              </w:rPr>
            </w:pPr>
          </w:p>
        </w:tc>
        <w:tc>
          <w:tcPr>
            <w:tcW w:w="990" w:type="dxa"/>
            <w:tcBorders>
              <w:top w:val="single" w:sz="4" w:space="0" w:color="auto"/>
              <w:left w:val="single" w:sz="12" w:space="0" w:color="auto"/>
              <w:bottom w:val="single" w:sz="4" w:space="0" w:color="auto"/>
            </w:tcBorders>
            <w:shd w:val="clear" w:color="auto" w:fill="FBD4B4"/>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7758" w:type="dxa"/>
            <w:tcBorders>
              <w:top w:val="single" w:sz="4" w:space="0" w:color="auto"/>
              <w:bottom w:val="single" w:sz="4" w:space="0" w:color="auto"/>
              <w:right w:val="single" w:sz="12" w:space="0" w:color="auto"/>
            </w:tcBorders>
            <w:shd w:val="clear" w:color="auto" w:fill="FBD4B4"/>
          </w:tcPr>
          <w:p w:rsidR="00836ED4" w:rsidRPr="00C71449" w:rsidRDefault="00836ED4" w:rsidP="00C71449">
            <w:pPr>
              <w:spacing w:after="0" w:line="240" w:lineRule="auto"/>
              <w:ind w:firstLine="0"/>
              <w:rPr>
                <w:b/>
                <w:i/>
                <w:sz w:val="18"/>
                <w:szCs w:val="18"/>
              </w:rPr>
            </w:pPr>
            <w:r w:rsidRPr="00C71449">
              <w:rPr>
                <w:b/>
                <w:i/>
                <w:sz w:val="18"/>
                <w:szCs w:val="18"/>
              </w:rPr>
              <w:t>Solidarumo stoka</w:t>
            </w:r>
            <w:r w:rsidRPr="00C71449">
              <w:rPr>
                <w:i/>
                <w:sz w:val="18"/>
                <w:szCs w:val="18"/>
              </w:rPr>
              <w:t xml:space="preserve">: vyrauja tariamas solidarumas – daugiau reikalaujama nei įdedama pastangų </w:t>
            </w:r>
          </w:p>
        </w:tc>
        <w:tc>
          <w:tcPr>
            <w:tcW w:w="360" w:type="dxa"/>
            <w:tcBorders>
              <w:top w:val="single" w:sz="4" w:space="0" w:color="auto"/>
              <w:bottom w:val="single" w:sz="4" w:space="0" w:color="auto"/>
              <w:right w:val="single" w:sz="12" w:space="0" w:color="auto"/>
            </w:tcBorders>
            <w:shd w:val="clear" w:color="auto" w:fill="FBD4B4"/>
          </w:tcPr>
          <w:p w:rsidR="00836ED4" w:rsidRPr="00C71449" w:rsidRDefault="00836ED4" w:rsidP="00C71449">
            <w:pPr>
              <w:spacing w:after="0" w:line="240" w:lineRule="auto"/>
              <w:ind w:firstLine="0"/>
              <w:jc w:val="center"/>
              <w:rPr>
                <w:b/>
                <w:sz w:val="18"/>
                <w:szCs w:val="18"/>
              </w:rPr>
            </w:pPr>
          </w:p>
        </w:tc>
        <w:tc>
          <w:tcPr>
            <w:tcW w:w="990" w:type="dxa"/>
            <w:tcBorders>
              <w:top w:val="single" w:sz="4" w:space="0" w:color="auto"/>
              <w:left w:val="single" w:sz="12" w:space="0" w:color="auto"/>
              <w:bottom w:val="single" w:sz="4" w:space="0" w:color="auto"/>
            </w:tcBorders>
            <w:shd w:val="clear" w:color="auto" w:fill="FBD4B4"/>
            <w:vAlign w:val="center"/>
          </w:tcPr>
          <w:p w:rsidR="00836ED4" w:rsidRPr="00C71449" w:rsidRDefault="00836ED4" w:rsidP="00C71449">
            <w:pPr>
              <w:spacing w:after="0" w:line="240" w:lineRule="auto"/>
              <w:ind w:firstLine="0"/>
              <w:jc w:val="center"/>
              <w:rPr>
                <w:b/>
                <w:color w:val="0070C0"/>
                <w:sz w:val="18"/>
                <w:szCs w:val="18"/>
              </w:rPr>
            </w:pPr>
          </w:p>
        </w:tc>
        <w:tc>
          <w:tcPr>
            <w:tcW w:w="990" w:type="dxa"/>
            <w:tcBorders>
              <w:top w:val="single" w:sz="4" w:space="0" w:color="auto"/>
              <w:left w:val="single" w:sz="12" w:space="0" w:color="auto"/>
              <w:bottom w:val="single" w:sz="4" w:space="0" w:color="auto"/>
            </w:tcBorders>
            <w:shd w:val="clear" w:color="auto" w:fill="FBD4B4"/>
            <w:vAlign w:val="center"/>
          </w:tcPr>
          <w:p w:rsidR="00836ED4" w:rsidRPr="00C71449" w:rsidRDefault="00836ED4" w:rsidP="00C71449">
            <w:pPr>
              <w:spacing w:after="0" w:line="240" w:lineRule="auto"/>
              <w:ind w:firstLine="0"/>
              <w:jc w:val="center"/>
              <w:rPr>
                <w:b/>
                <w:color w:val="FF0000"/>
                <w:sz w:val="18"/>
                <w:szCs w:val="18"/>
              </w:rPr>
            </w:pPr>
          </w:p>
        </w:tc>
      </w:tr>
      <w:tr w:rsidR="00836ED4" w:rsidRPr="00C71449" w:rsidTr="00836ED4">
        <w:tc>
          <w:tcPr>
            <w:tcW w:w="10098" w:type="dxa"/>
            <w:gridSpan w:val="4"/>
            <w:tcBorders>
              <w:top w:val="single" w:sz="12" w:space="0" w:color="auto"/>
              <w:bottom w:val="single" w:sz="12" w:space="0" w:color="auto"/>
            </w:tcBorders>
            <w:shd w:val="clear" w:color="auto" w:fill="auto"/>
          </w:tcPr>
          <w:p w:rsidR="00836ED4" w:rsidRPr="00C71449" w:rsidRDefault="00836ED4" w:rsidP="00C71449">
            <w:pPr>
              <w:spacing w:after="0" w:line="240" w:lineRule="auto"/>
              <w:ind w:firstLine="0"/>
              <w:rPr>
                <w:b/>
                <w:i/>
                <w:sz w:val="18"/>
                <w:szCs w:val="18"/>
              </w:rPr>
            </w:pPr>
            <w:r w:rsidRPr="00C71449">
              <w:rPr>
                <w:b/>
                <w:i/>
                <w:sz w:val="18"/>
                <w:szCs w:val="18"/>
              </w:rPr>
              <w:t xml:space="preserve">Kurių veiksnių įtaka, Jūsų manymu, per pastaruosius 5 metus </w:t>
            </w:r>
            <w:r w:rsidRPr="00C71449">
              <w:rPr>
                <w:b/>
                <w:i/>
                <w:sz w:val="18"/>
                <w:szCs w:val="18"/>
                <w:u w:val="single"/>
              </w:rPr>
              <w:t>padidėjo</w:t>
            </w:r>
            <w:r w:rsidRPr="00C71449">
              <w:rPr>
                <w:b/>
                <w:i/>
                <w:sz w:val="18"/>
                <w:szCs w:val="18"/>
              </w:rPr>
              <w:t xml:space="preserve">, o kurių – </w:t>
            </w:r>
            <w:r w:rsidRPr="00C71449">
              <w:rPr>
                <w:b/>
                <w:i/>
                <w:sz w:val="18"/>
                <w:szCs w:val="18"/>
                <w:u w:val="single"/>
              </w:rPr>
              <w:t>sumažėjo</w:t>
            </w:r>
            <w:r w:rsidRPr="00C71449">
              <w:rPr>
                <w:b/>
                <w:i/>
                <w:sz w:val="18"/>
                <w:szCs w:val="18"/>
              </w:rPr>
              <w:t>?</w:t>
            </w:r>
          </w:p>
          <w:p w:rsidR="00836ED4" w:rsidRPr="00C71449" w:rsidRDefault="00836ED4" w:rsidP="00C71449">
            <w:pPr>
              <w:spacing w:after="0" w:line="240" w:lineRule="auto"/>
              <w:ind w:firstLine="0"/>
              <w:rPr>
                <w:color w:val="0070C0"/>
                <w:sz w:val="18"/>
                <w:szCs w:val="18"/>
              </w:rPr>
            </w:pPr>
          </w:p>
          <w:p w:rsidR="00836ED4" w:rsidRPr="00C71449" w:rsidRDefault="00836ED4" w:rsidP="00C71449">
            <w:pPr>
              <w:spacing w:after="0" w:line="240" w:lineRule="auto"/>
              <w:ind w:firstLine="0"/>
              <w:rPr>
                <w:color w:val="0070C0"/>
                <w:sz w:val="18"/>
                <w:szCs w:val="18"/>
              </w:rPr>
            </w:pPr>
          </w:p>
        </w:tc>
      </w:tr>
    </w:tbl>
    <w:p w:rsidR="00836ED4" w:rsidRPr="00650805" w:rsidRDefault="00836ED4" w:rsidP="00836ED4">
      <w:pPr>
        <w:pStyle w:val="Referatai"/>
        <w:pBdr>
          <w:bottom w:val="thickThinSmallGap" w:sz="24" w:space="1" w:color="auto"/>
        </w:pBdr>
        <w:rPr>
          <w:sz w:val="8"/>
          <w:szCs w:val="8"/>
        </w:rPr>
      </w:pPr>
    </w:p>
    <w:p w:rsidR="00C71449" w:rsidRPr="00E166EC" w:rsidRDefault="00C71449" w:rsidP="00C71449">
      <w:pPr>
        <w:pStyle w:val="Referatai"/>
        <w:pBdr>
          <w:top w:val="thinThickSmallGap" w:sz="18" w:space="1" w:color="auto"/>
        </w:pBdr>
        <w:ind w:firstLine="562"/>
        <w:rPr>
          <w:b/>
          <w:sz w:val="4"/>
          <w:szCs w:val="4"/>
        </w:rPr>
      </w:pPr>
    </w:p>
    <w:p w:rsidR="00C71449" w:rsidRPr="00435B98" w:rsidRDefault="00C71449" w:rsidP="00C71449">
      <w:pPr>
        <w:pStyle w:val="Referatai"/>
        <w:spacing w:after="60"/>
        <w:ind w:firstLine="562"/>
        <w:rPr>
          <w:b/>
          <w:color w:val="E20000"/>
          <w:sz w:val="19"/>
          <w:szCs w:val="19"/>
          <w:u w:val="single"/>
        </w:rPr>
      </w:pPr>
      <w:r w:rsidRPr="00435B98">
        <w:rPr>
          <w:b/>
          <w:color w:val="E20000"/>
          <w:sz w:val="19"/>
          <w:szCs w:val="19"/>
          <w:u w:val="single"/>
        </w:rPr>
        <w:lastRenderedPageBreak/>
        <w:t>PASTANGŲ PAKEISTI SAVO SOCIALINĮ STATUSĄ ĮVERTINIMAS</w:t>
      </w:r>
    </w:p>
    <w:p w:rsidR="00C71449" w:rsidRPr="006C5C44" w:rsidRDefault="00C71449" w:rsidP="00C71449">
      <w:pPr>
        <w:pStyle w:val="Referatai"/>
        <w:ind w:firstLine="562"/>
        <w:rPr>
          <w:i/>
          <w:sz w:val="20"/>
          <w:szCs w:val="20"/>
        </w:rPr>
      </w:pPr>
      <w:r>
        <w:rPr>
          <w:b/>
          <w:i/>
          <w:sz w:val="20"/>
          <w:szCs w:val="20"/>
        </w:rPr>
        <w:t>Įvertinkite penkių</w:t>
      </w:r>
      <w:r w:rsidRPr="006C5C44">
        <w:rPr>
          <w:b/>
          <w:i/>
          <w:sz w:val="20"/>
          <w:szCs w:val="20"/>
        </w:rPr>
        <w:t xml:space="preserve"> balų skal</w:t>
      </w:r>
      <w:r>
        <w:rPr>
          <w:b/>
          <w:i/>
          <w:sz w:val="20"/>
          <w:szCs w:val="20"/>
        </w:rPr>
        <w:t>e</w:t>
      </w:r>
      <w:r w:rsidRPr="006C5C44">
        <w:rPr>
          <w:i/>
          <w:sz w:val="20"/>
          <w:szCs w:val="20"/>
        </w:rPr>
        <w:t xml:space="preserve">, kiek sutinkate su </w:t>
      </w:r>
      <w:r>
        <w:rPr>
          <w:i/>
          <w:sz w:val="20"/>
          <w:szCs w:val="20"/>
        </w:rPr>
        <w:t xml:space="preserve">pateiktu </w:t>
      </w:r>
      <w:r w:rsidRPr="006C5C44">
        <w:rPr>
          <w:i/>
          <w:sz w:val="20"/>
          <w:szCs w:val="20"/>
        </w:rPr>
        <w:t>teiginiu, kur: 1 – visiškai ne</w:t>
      </w:r>
      <w:r>
        <w:rPr>
          <w:i/>
          <w:sz w:val="20"/>
          <w:szCs w:val="20"/>
        </w:rPr>
        <w:t>sutinku;</w:t>
      </w:r>
      <w:r w:rsidRPr="006C5C44">
        <w:rPr>
          <w:i/>
          <w:sz w:val="20"/>
          <w:szCs w:val="20"/>
        </w:rPr>
        <w:t xml:space="preserve"> 2 –</w:t>
      </w:r>
      <w:r>
        <w:rPr>
          <w:i/>
          <w:sz w:val="20"/>
          <w:szCs w:val="20"/>
        </w:rPr>
        <w:t xml:space="preserve"> </w:t>
      </w:r>
      <w:r w:rsidRPr="006C5C44">
        <w:rPr>
          <w:i/>
          <w:sz w:val="20"/>
          <w:szCs w:val="20"/>
        </w:rPr>
        <w:t>ne</w:t>
      </w:r>
      <w:r>
        <w:rPr>
          <w:i/>
          <w:sz w:val="20"/>
          <w:szCs w:val="20"/>
        </w:rPr>
        <w:t xml:space="preserve">sutinku; 3 – tik iš dalies </w:t>
      </w:r>
      <w:r w:rsidRPr="006C5C44">
        <w:rPr>
          <w:i/>
          <w:sz w:val="20"/>
          <w:szCs w:val="20"/>
        </w:rPr>
        <w:t>sut</w:t>
      </w:r>
      <w:r>
        <w:rPr>
          <w:i/>
          <w:sz w:val="20"/>
          <w:szCs w:val="20"/>
        </w:rPr>
        <w:t>inku (neutrali nuomonė šiuo klausimu); 4 – sutinku;</w:t>
      </w:r>
      <w:r w:rsidRPr="006C5C44">
        <w:rPr>
          <w:i/>
          <w:sz w:val="20"/>
          <w:szCs w:val="20"/>
        </w:rPr>
        <w:t xml:space="preserve"> 5 – visiškai sutinku.</w:t>
      </w:r>
    </w:p>
    <w:tbl>
      <w:tblPr>
        <w:tblW w:w="104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0008"/>
        <w:gridCol w:w="450"/>
      </w:tblGrid>
      <w:tr w:rsidR="00C71449" w:rsidRPr="00CD5C7C" w:rsidTr="00CD5C7C">
        <w:tc>
          <w:tcPr>
            <w:tcW w:w="10008" w:type="dxa"/>
            <w:shd w:val="clear" w:color="auto" w:fill="BFBFBF"/>
          </w:tcPr>
          <w:p w:rsidR="00C71449" w:rsidRPr="00CD5C7C" w:rsidRDefault="00C71449" w:rsidP="00C71449">
            <w:pPr>
              <w:pStyle w:val="Referatai"/>
              <w:spacing w:after="0" w:line="240" w:lineRule="auto"/>
              <w:ind w:firstLine="0"/>
              <w:rPr>
                <w:rFonts w:cs="Times New Roman"/>
                <w:sz w:val="18"/>
                <w:szCs w:val="18"/>
              </w:rPr>
            </w:pPr>
            <w:r w:rsidRPr="00CD5C7C">
              <w:rPr>
                <w:rFonts w:cs="Times New Roman"/>
                <w:b/>
                <w:sz w:val="18"/>
                <w:szCs w:val="18"/>
              </w:rPr>
              <w:t>Požiūris į socialinę apsaugą</w:t>
            </w:r>
            <w:r w:rsidRPr="00CD5C7C">
              <w:rPr>
                <w:rFonts w:cs="Times New Roman"/>
                <w:sz w:val="18"/>
                <w:szCs w:val="18"/>
              </w:rPr>
              <w:t>: didžioji dauguma socialinių išmokų ir paramos gavėjų keičia požiūrį į socialinę apsaugą, todėl pradeda jausti asmeninę atsakomybę už savo finansines problemas ir jų sprendimą.</w:t>
            </w:r>
          </w:p>
        </w:tc>
        <w:tc>
          <w:tcPr>
            <w:tcW w:w="450" w:type="dxa"/>
            <w:shd w:val="clear" w:color="auto" w:fill="auto"/>
            <w:vAlign w:val="center"/>
          </w:tcPr>
          <w:p w:rsidR="00C71449" w:rsidRPr="00CD5C7C" w:rsidRDefault="00C71449" w:rsidP="00C71449">
            <w:pPr>
              <w:pStyle w:val="Referatai"/>
              <w:spacing w:after="0" w:line="240" w:lineRule="auto"/>
              <w:ind w:firstLine="0"/>
              <w:jc w:val="center"/>
              <w:rPr>
                <w:rFonts w:cs="Times New Roman"/>
                <w:b/>
                <w:color w:val="0070C0"/>
                <w:sz w:val="18"/>
                <w:szCs w:val="18"/>
              </w:rPr>
            </w:pPr>
          </w:p>
        </w:tc>
      </w:tr>
      <w:tr w:rsidR="00C71449" w:rsidRPr="00CD5C7C" w:rsidTr="00CD5C7C">
        <w:trPr>
          <w:trHeight w:val="166"/>
        </w:trPr>
        <w:tc>
          <w:tcPr>
            <w:tcW w:w="10458" w:type="dxa"/>
            <w:gridSpan w:val="2"/>
            <w:shd w:val="clear" w:color="auto" w:fill="auto"/>
          </w:tcPr>
          <w:p w:rsidR="00C71449" w:rsidRPr="00CD5C7C" w:rsidRDefault="00C71449" w:rsidP="00C71449">
            <w:pPr>
              <w:pStyle w:val="Referatai"/>
              <w:spacing w:after="0" w:line="240" w:lineRule="auto"/>
              <w:ind w:firstLine="0"/>
              <w:rPr>
                <w:rFonts w:cs="Times New Roman"/>
                <w:i/>
                <w:sz w:val="18"/>
                <w:szCs w:val="18"/>
              </w:rPr>
            </w:pPr>
            <w:r w:rsidRPr="00CD5C7C">
              <w:rPr>
                <w:rFonts w:cs="Times New Roman"/>
                <w:i/>
                <w:sz w:val="18"/>
                <w:szCs w:val="18"/>
              </w:rPr>
              <w:t>Jeigu teiginį įvertinote &lt; 3, nurodykite, kaip būtų galima pakeisti gyventojų požiūrį į socialinę apsaugą:</w:t>
            </w:r>
          </w:p>
          <w:p w:rsidR="00C71449" w:rsidRPr="00CD5C7C" w:rsidRDefault="00C71449" w:rsidP="00C71449">
            <w:pPr>
              <w:pStyle w:val="Referatai"/>
              <w:spacing w:after="0" w:line="240" w:lineRule="auto"/>
              <w:ind w:firstLine="0"/>
              <w:rPr>
                <w:rFonts w:cs="Times New Roman"/>
                <w:color w:val="0070C0"/>
                <w:sz w:val="18"/>
                <w:szCs w:val="18"/>
              </w:rPr>
            </w:pPr>
          </w:p>
          <w:p w:rsidR="00C71449" w:rsidRPr="00CD5C7C" w:rsidRDefault="00C71449" w:rsidP="00C71449">
            <w:pPr>
              <w:pStyle w:val="Referatai"/>
              <w:spacing w:after="0" w:line="240" w:lineRule="auto"/>
              <w:ind w:firstLine="0"/>
              <w:rPr>
                <w:rFonts w:cs="Times New Roman"/>
                <w:color w:val="0070C0"/>
                <w:sz w:val="18"/>
                <w:szCs w:val="18"/>
              </w:rPr>
            </w:pPr>
          </w:p>
        </w:tc>
      </w:tr>
      <w:tr w:rsidR="00C71449" w:rsidRPr="00CD5C7C" w:rsidTr="00CD5C7C">
        <w:tc>
          <w:tcPr>
            <w:tcW w:w="10008" w:type="dxa"/>
            <w:shd w:val="clear" w:color="auto" w:fill="BFBFBF"/>
          </w:tcPr>
          <w:p w:rsidR="00C71449" w:rsidRPr="00CD5C7C" w:rsidRDefault="00C71449" w:rsidP="00C71449">
            <w:pPr>
              <w:pStyle w:val="Referatai"/>
              <w:spacing w:after="0" w:line="240" w:lineRule="auto"/>
              <w:ind w:firstLine="0"/>
              <w:rPr>
                <w:rFonts w:cs="Times New Roman"/>
                <w:sz w:val="18"/>
                <w:szCs w:val="18"/>
              </w:rPr>
            </w:pPr>
            <w:r w:rsidRPr="00CD5C7C">
              <w:rPr>
                <w:rFonts w:cs="Times New Roman"/>
                <w:b/>
                <w:sz w:val="18"/>
                <w:szCs w:val="18"/>
              </w:rPr>
              <w:t>Motyvacija</w:t>
            </w:r>
            <w:r w:rsidRPr="00CD5C7C">
              <w:rPr>
                <w:rFonts w:cs="Times New Roman"/>
                <w:sz w:val="18"/>
                <w:szCs w:val="18"/>
              </w:rPr>
              <w:t>: didžioji dauguma socialinių išmokų ir paramos gavėjų jaučia poreikį darbui, todėl aktyviai ieškosi darbo, noriai dalyvauja profesiniuose mokymuose ar remiamojo įdarbinimo priemonėse.</w:t>
            </w:r>
          </w:p>
        </w:tc>
        <w:tc>
          <w:tcPr>
            <w:tcW w:w="450" w:type="dxa"/>
            <w:shd w:val="clear" w:color="auto" w:fill="auto"/>
            <w:vAlign w:val="center"/>
          </w:tcPr>
          <w:p w:rsidR="00C71449" w:rsidRPr="00CD5C7C" w:rsidRDefault="00C71449" w:rsidP="00C71449">
            <w:pPr>
              <w:pStyle w:val="Referatai"/>
              <w:spacing w:after="0" w:line="240" w:lineRule="auto"/>
              <w:ind w:firstLine="0"/>
              <w:jc w:val="center"/>
              <w:rPr>
                <w:rFonts w:cs="Times New Roman"/>
                <w:b/>
                <w:color w:val="0070C0"/>
                <w:sz w:val="18"/>
                <w:szCs w:val="18"/>
              </w:rPr>
            </w:pPr>
          </w:p>
        </w:tc>
      </w:tr>
      <w:tr w:rsidR="00C71449" w:rsidRPr="00CD5C7C" w:rsidTr="00CD5C7C">
        <w:trPr>
          <w:trHeight w:val="166"/>
        </w:trPr>
        <w:tc>
          <w:tcPr>
            <w:tcW w:w="10458" w:type="dxa"/>
            <w:gridSpan w:val="2"/>
            <w:shd w:val="clear" w:color="auto" w:fill="auto"/>
          </w:tcPr>
          <w:p w:rsidR="00C71449" w:rsidRPr="00CD5C7C" w:rsidRDefault="00C71449" w:rsidP="00C71449">
            <w:pPr>
              <w:pStyle w:val="Referatai"/>
              <w:spacing w:after="0" w:line="240" w:lineRule="auto"/>
              <w:ind w:firstLine="0"/>
              <w:rPr>
                <w:rFonts w:cs="Times New Roman"/>
                <w:i/>
                <w:sz w:val="18"/>
                <w:szCs w:val="18"/>
              </w:rPr>
            </w:pPr>
            <w:r w:rsidRPr="00CD5C7C">
              <w:rPr>
                <w:rFonts w:cs="Times New Roman"/>
                <w:i/>
                <w:sz w:val="18"/>
                <w:szCs w:val="18"/>
              </w:rPr>
              <w:t>Jeigu teiginį įvertinote &lt; 3, nurodykite, kas galėtų pakeisti situaciją:</w:t>
            </w:r>
          </w:p>
          <w:p w:rsidR="00C71449" w:rsidRPr="00CD5C7C" w:rsidRDefault="00C71449" w:rsidP="00C71449">
            <w:pPr>
              <w:pStyle w:val="Referatai"/>
              <w:spacing w:after="0" w:line="240" w:lineRule="auto"/>
              <w:ind w:firstLine="0"/>
              <w:rPr>
                <w:rFonts w:cs="Times New Roman"/>
                <w:color w:val="0070C0"/>
                <w:sz w:val="18"/>
                <w:szCs w:val="18"/>
              </w:rPr>
            </w:pPr>
          </w:p>
          <w:p w:rsidR="00C71449" w:rsidRPr="00CD5C7C" w:rsidRDefault="00C71449" w:rsidP="00C71449">
            <w:pPr>
              <w:pStyle w:val="Referatai"/>
              <w:spacing w:after="0" w:line="240" w:lineRule="auto"/>
              <w:ind w:firstLine="0"/>
              <w:rPr>
                <w:rFonts w:cs="Times New Roman"/>
                <w:color w:val="0070C0"/>
                <w:sz w:val="18"/>
                <w:szCs w:val="18"/>
              </w:rPr>
            </w:pPr>
          </w:p>
        </w:tc>
      </w:tr>
      <w:tr w:rsidR="00C71449" w:rsidRPr="00CD5C7C" w:rsidTr="00CD5C7C">
        <w:tc>
          <w:tcPr>
            <w:tcW w:w="10008" w:type="dxa"/>
            <w:shd w:val="clear" w:color="auto" w:fill="BFBFBF"/>
          </w:tcPr>
          <w:p w:rsidR="00C71449" w:rsidRPr="00CD5C7C" w:rsidRDefault="00C71449" w:rsidP="00C71449">
            <w:pPr>
              <w:pStyle w:val="Referatai"/>
              <w:spacing w:after="0" w:line="240" w:lineRule="auto"/>
              <w:ind w:firstLine="0"/>
              <w:rPr>
                <w:rFonts w:cs="Times New Roman"/>
                <w:sz w:val="18"/>
                <w:szCs w:val="18"/>
              </w:rPr>
            </w:pPr>
            <w:r w:rsidRPr="00CD5C7C">
              <w:rPr>
                <w:rFonts w:cs="Times New Roman"/>
                <w:b/>
                <w:sz w:val="18"/>
                <w:szCs w:val="18"/>
              </w:rPr>
              <w:t>Prioritetai</w:t>
            </w:r>
            <w:r w:rsidRPr="00CD5C7C">
              <w:rPr>
                <w:rFonts w:cs="Times New Roman"/>
                <w:sz w:val="18"/>
                <w:szCs w:val="18"/>
              </w:rPr>
              <w:t>: didžioji dauguma socialinių išmokų ir paramos gavėjų prioritetą teikia profesiniam tobulėjimui, o ne laikiniems, sezoniniams, ar viešiesiems darbams.</w:t>
            </w:r>
          </w:p>
        </w:tc>
        <w:tc>
          <w:tcPr>
            <w:tcW w:w="450" w:type="dxa"/>
            <w:shd w:val="clear" w:color="auto" w:fill="auto"/>
            <w:vAlign w:val="center"/>
          </w:tcPr>
          <w:p w:rsidR="00C71449" w:rsidRPr="00CD5C7C" w:rsidRDefault="00C71449" w:rsidP="00C71449">
            <w:pPr>
              <w:pStyle w:val="Referatai"/>
              <w:spacing w:after="0" w:line="240" w:lineRule="auto"/>
              <w:ind w:firstLine="0"/>
              <w:jc w:val="center"/>
              <w:rPr>
                <w:rFonts w:cs="Times New Roman"/>
                <w:b/>
                <w:color w:val="0070C0"/>
                <w:sz w:val="18"/>
                <w:szCs w:val="18"/>
              </w:rPr>
            </w:pPr>
          </w:p>
        </w:tc>
      </w:tr>
      <w:tr w:rsidR="00C71449" w:rsidRPr="00CD5C7C" w:rsidTr="00CD5C7C">
        <w:trPr>
          <w:trHeight w:val="157"/>
        </w:trPr>
        <w:tc>
          <w:tcPr>
            <w:tcW w:w="10458" w:type="dxa"/>
            <w:gridSpan w:val="2"/>
            <w:shd w:val="clear" w:color="auto" w:fill="auto"/>
          </w:tcPr>
          <w:p w:rsidR="00C71449" w:rsidRPr="00CD5C7C" w:rsidRDefault="00C71449" w:rsidP="00C71449">
            <w:pPr>
              <w:pStyle w:val="Referatai"/>
              <w:spacing w:after="0" w:line="240" w:lineRule="auto"/>
              <w:ind w:firstLine="0"/>
              <w:rPr>
                <w:rFonts w:cs="Times New Roman"/>
                <w:i/>
                <w:sz w:val="18"/>
                <w:szCs w:val="18"/>
              </w:rPr>
            </w:pPr>
            <w:r w:rsidRPr="00CD5C7C">
              <w:rPr>
                <w:rFonts w:cs="Times New Roman"/>
                <w:i/>
                <w:sz w:val="18"/>
                <w:szCs w:val="18"/>
              </w:rPr>
              <w:t>Jeigu teiginį įvertinote &lt; 3, nurodykite, ką reikėtų padaryti, kad jų prioritetai pasikeistų:</w:t>
            </w:r>
          </w:p>
          <w:p w:rsidR="00C71449" w:rsidRPr="00CD5C7C" w:rsidRDefault="00C71449" w:rsidP="00C71449">
            <w:pPr>
              <w:pStyle w:val="Referatai"/>
              <w:spacing w:after="0" w:line="240" w:lineRule="auto"/>
              <w:ind w:firstLine="0"/>
              <w:rPr>
                <w:rFonts w:cs="Times New Roman"/>
                <w:color w:val="0070C0"/>
                <w:sz w:val="18"/>
                <w:szCs w:val="18"/>
              </w:rPr>
            </w:pPr>
          </w:p>
          <w:p w:rsidR="00C71449" w:rsidRPr="00CD5C7C" w:rsidRDefault="00C71449" w:rsidP="00C71449">
            <w:pPr>
              <w:pStyle w:val="Referatai"/>
              <w:spacing w:after="0" w:line="240" w:lineRule="auto"/>
              <w:ind w:firstLine="0"/>
              <w:rPr>
                <w:rFonts w:cs="Times New Roman"/>
                <w:color w:val="0070C0"/>
                <w:sz w:val="18"/>
                <w:szCs w:val="18"/>
              </w:rPr>
            </w:pPr>
          </w:p>
        </w:tc>
      </w:tr>
      <w:tr w:rsidR="00C71449" w:rsidRPr="00CD5C7C" w:rsidTr="00CD5C7C">
        <w:tc>
          <w:tcPr>
            <w:tcW w:w="10008" w:type="dxa"/>
            <w:shd w:val="clear" w:color="auto" w:fill="BFBFBF"/>
          </w:tcPr>
          <w:p w:rsidR="00C71449" w:rsidRPr="00CD5C7C" w:rsidRDefault="00C71449" w:rsidP="00C71449">
            <w:pPr>
              <w:pStyle w:val="Referatai"/>
              <w:spacing w:after="0" w:line="240" w:lineRule="auto"/>
              <w:ind w:firstLine="0"/>
              <w:rPr>
                <w:rFonts w:cs="Times New Roman"/>
                <w:sz w:val="18"/>
                <w:szCs w:val="18"/>
              </w:rPr>
            </w:pPr>
            <w:r w:rsidRPr="00CD5C7C">
              <w:rPr>
                <w:rFonts w:cs="Times New Roman"/>
                <w:b/>
                <w:sz w:val="18"/>
                <w:szCs w:val="18"/>
              </w:rPr>
              <w:t>Išsilavinimas, profesija</w:t>
            </w:r>
            <w:r w:rsidRPr="00CD5C7C">
              <w:rPr>
                <w:rFonts w:cs="Times New Roman"/>
                <w:sz w:val="18"/>
                <w:szCs w:val="18"/>
              </w:rPr>
              <w:t>: didžioji dauguma socialinių išmokų ir paramos gavėjų stengiasi įgyti (kitą) išsilavinimą, pakeisti profesiją, kad būtų labiau patrauklūs darbo rinkai.</w:t>
            </w:r>
          </w:p>
        </w:tc>
        <w:tc>
          <w:tcPr>
            <w:tcW w:w="450" w:type="dxa"/>
            <w:shd w:val="clear" w:color="auto" w:fill="auto"/>
            <w:vAlign w:val="center"/>
          </w:tcPr>
          <w:p w:rsidR="00C71449" w:rsidRPr="00CD5C7C" w:rsidRDefault="00C71449" w:rsidP="00C71449">
            <w:pPr>
              <w:pStyle w:val="Referatai"/>
              <w:spacing w:after="0" w:line="240" w:lineRule="auto"/>
              <w:ind w:firstLine="0"/>
              <w:jc w:val="center"/>
              <w:rPr>
                <w:rFonts w:cs="Times New Roman"/>
                <w:b/>
                <w:color w:val="0070C0"/>
                <w:sz w:val="18"/>
                <w:szCs w:val="18"/>
              </w:rPr>
            </w:pPr>
          </w:p>
        </w:tc>
      </w:tr>
      <w:tr w:rsidR="00C71449" w:rsidRPr="00CD5C7C" w:rsidTr="00CD5C7C">
        <w:trPr>
          <w:trHeight w:val="139"/>
        </w:trPr>
        <w:tc>
          <w:tcPr>
            <w:tcW w:w="10458" w:type="dxa"/>
            <w:gridSpan w:val="2"/>
            <w:shd w:val="clear" w:color="auto" w:fill="auto"/>
          </w:tcPr>
          <w:p w:rsidR="00C71449" w:rsidRPr="00CD5C7C" w:rsidRDefault="00C71449" w:rsidP="00C71449">
            <w:pPr>
              <w:pStyle w:val="Referatai"/>
              <w:spacing w:after="0" w:line="240" w:lineRule="auto"/>
              <w:ind w:firstLine="0"/>
              <w:rPr>
                <w:rFonts w:cs="Times New Roman"/>
                <w:i/>
                <w:sz w:val="18"/>
                <w:szCs w:val="18"/>
              </w:rPr>
            </w:pPr>
            <w:r w:rsidRPr="00CD5C7C">
              <w:rPr>
                <w:rFonts w:cs="Times New Roman"/>
                <w:i/>
                <w:sz w:val="18"/>
                <w:szCs w:val="18"/>
              </w:rPr>
              <w:t>Jeigu teiginį įvertinote &lt; 3, nurodykite, kodėl socialinių išmokų ir paramos gavėjai nesistengia pasikeisti:</w:t>
            </w:r>
          </w:p>
          <w:p w:rsidR="00C71449" w:rsidRPr="00CD5C7C" w:rsidRDefault="00C71449" w:rsidP="00C71449">
            <w:pPr>
              <w:pStyle w:val="Referatai"/>
              <w:spacing w:after="0" w:line="240" w:lineRule="auto"/>
              <w:ind w:firstLine="0"/>
              <w:rPr>
                <w:rFonts w:cs="Times New Roman"/>
                <w:color w:val="0070C0"/>
                <w:sz w:val="18"/>
                <w:szCs w:val="18"/>
              </w:rPr>
            </w:pPr>
          </w:p>
          <w:p w:rsidR="00C71449" w:rsidRPr="00CD5C7C" w:rsidRDefault="00C71449" w:rsidP="00C71449">
            <w:pPr>
              <w:pStyle w:val="Referatai"/>
              <w:spacing w:after="0" w:line="240" w:lineRule="auto"/>
              <w:ind w:firstLine="0"/>
              <w:rPr>
                <w:rFonts w:cs="Times New Roman"/>
                <w:color w:val="0070C0"/>
                <w:sz w:val="18"/>
                <w:szCs w:val="18"/>
              </w:rPr>
            </w:pPr>
          </w:p>
        </w:tc>
      </w:tr>
      <w:tr w:rsidR="00C71449" w:rsidRPr="00CD5C7C" w:rsidTr="00CD5C7C">
        <w:tc>
          <w:tcPr>
            <w:tcW w:w="10008" w:type="dxa"/>
            <w:shd w:val="clear" w:color="auto" w:fill="BFBFBF"/>
          </w:tcPr>
          <w:p w:rsidR="00C71449" w:rsidRPr="00CD5C7C" w:rsidRDefault="00C71449" w:rsidP="00C71449">
            <w:pPr>
              <w:pStyle w:val="Referatai"/>
              <w:spacing w:after="0" w:line="240" w:lineRule="auto"/>
              <w:ind w:firstLine="0"/>
              <w:rPr>
                <w:rFonts w:cs="Times New Roman"/>
                <w:sz w:val="18"/>
                <w:szCs w:val="18"/>
              </w:rPr>
            </w:pPr>
            <w:r w:rsidRPr="00CD5C7C">
              <w:rPr>
                <w:rFonts w:cs="Times New Roman"/>
                <w:b/>
                <w:sz w:val="18"/>
                <w:szCs w:val="18"/>
              </w:rPr>
              <w:t>Skurdo „spąstai“</w:t>
            </w:r>
            <w:r w:rsidRPr="00CD5C7C">
              <w:rPr>
                <w:rFonts w:cs="Times New Roman"/>
                <w:sz w:val="18"/>
                <w:szCs w:val="18"/>
              </w:rPr>
              <w:t>: didžioji dauguma socialinių išmokų ir paramos gavėjų nevengia darbo už minimalų atlyginimą, nes suvokia, jog, įdėjus pastangų, situacija po kiek laiko gali pasikeisti.</w:t>
            </w:r>
          </w:p>
        </w:tc>
        <w:tc>
          <w:tcPr>
            <w:tcW w:w="450" w:type="dxa"/>
            <w:shd w:val="clear" w:color="auto" w:fill="auto"/>
            <w:vAlign w:val="center"/>
          </w:tcPr>
          <w:p w:rsidR="00C71449" w:rsidRPr="00CD5C7C" w:rsidRDefault="00C71449" w:rsidP="00C71449">
            <w:pPr>
              <w:pStyle w:val="Referatai"/>
              <w:spacing w:after="0" w:line="240" w:lineRule="auto"/>
              <w:ind w:firstLine="0"/>
              <w:jc w:val="center"/>
              <w:rPr>
                <w:rFonts w:cs="Times New Roman"/>
                <w:b/>
                <w:color w:val="0070C0"/>
                <w:sz w:val="18"/>
                <w:szCs w:val="18"/>
              </w:rPr>
            </w:pPr>
          </w:p>
        </w:tc>
      </w:tr>
      <w:tr w:rsidR="00C71449" w:rsidRPr="00CD5C7C" w:rsidTr="00CD5C7C">
        <w:tc>
          <w:tcPr>
            <w:tcW w:w="10458" w:type="dxa"/>
            <w:gridSpan w:val="2"/>
            <w:shd w:val="clear" w:color="auto" w:fill="auto"/>
          </w:tcPr>
          <w:p w:rsidR="00C71449" w:rsidRPr="00CD5C7C" w:rsidRDefault="00C71449" w:rsidP="00C71449">
            <w:pPr>
              <w:pStyle w:val="Referatai"/>
              <w:spacing w:after="0" w:line="240" w:lineRule="auto"/>
              <w:ind w:firstLine="0"/>
              <w:rPr>
                <w:rFonts w:cs="Times New Roman"/>
                <w:i/>
                <w:sz w:val="18"/>
                <w:szCs w:val="18"/>
              </w:rPr>
            </w:pPr>
            <w:r w:rsidRPr="00CD5C7C">
              <w:rPr>
                <w:rFonts w:cs="Times New Roman"/>
                <w:i/>
                <w:sz w:val="18"/>
                <w:szCs w:val="18"/>
              </w:rPr>
              <w:t>Jeigu teiginį įvertinote &lt; 3, nurodykite, kaip skurdo „spąstų“ daromą įtaką būtų galima sumažinti:</w:t>
            </w:r>
          </w:p>
          <w:p w:rsidR="00C71449" w:rsidRPr="00CD5C7C" w:rsidRDefault="00C71449" w:rsidP="00C71449">
            <w:pPr>
              <w:pStyle w:val="Referatai"/>
              <w:spacing w:after="0" w:line="240" w:lineRule="auto"/>
              <w:ind w:firstLine="0"/>
              <w:rPr>
                <w:rFonts w:cs="Times New Roman"/>
                <w:color w:val="0070C0"/>
                <w:sz w:val="18"/>
                <w:szCs w:val="18"/>
              </w:rPr>
            </w:pPr>
          </w:p>
          <w:p w:rsidR="00C71449" w:rsidRPr="00CD5C7C" w:rsidRDefault="00C71449" w:rsidP="00C71449">
            <w:pPr>
              <w:pStyle w:val="Referatai"/>
              <w:spacing w:after="0" w:line="240" w:lineRule="auto"/>
              <w:ind w:firstLine="0"/>
              <w:rPr>
                <w:rFonts w:cs="Times New Roman"/>
                <w:color w:val="0070C0"/>
                <w:sz w:val="18"/>
                <w:szCs w:val="18"/>
              </w:rPr>
            </w:pPr>
          </w:p>
        </w:tc>
      </w:tr>
      <w:tr w:rsidR="00C71449" w:rsidRPr="00CD5C7C" w:rsidTr="00CD5C7C">
        <w:tc>
          <w:tcPr>
            <w:tcW w:w="10008" w:type="dxa"/>
            <w:shd w:val="clear" w:color="auto" w:fill="BFBFBF"/>
          </w:tcPr>
          <w:p w:rsidR="00C71449" w:rsidRPr="00CD5C7C" w:rsidRDefault="00C71449" w:rsidP="00C71449">
            <w:pPr>
              <w:pStyle w:val="Referatai"/>
              <w:spacing w:after="0" w:line="240" w:lineRule="auto"/>
              <w:ind w:firstLine="0"/>
              <w:rPr>
                <w:rFonts w:cs="Times New Roman"/>
                <w:sz w:val="18"/>
                <w:szCs w:val="18"/>
              </w:rPr>
            </w:pPr>
            <w:r w:rsidRPr="00CD5C7C">
              <w:rPr>
                <w:rFonts w:cs="Times New Roman"/>
                <w:b/>
                <w:sz w:val="18"/>
                <w:szCs w:val="18"/>
              </w:rPr>
              <w:t>Neoficialiosios pajamos</w:t>
            </w:r>
            <w:r w:rsidRPr="00CD5C7C">
              <w:rPr>
                <w:rFonts w:cs="Times New Roman"/>
                <w:sz w:val="18"/>
                <w:szCs w:val="18"/>
              </w:rPr>
              <w:t xml:space="preserve">: didžioji dauguma socialines išmokas ir / ar paramą gaunančių žmonių atsisako valstybės teikiamų lėšų, kai jų </w:t>
            </w:r>
            <w:r w:rsidRPr="00CD5C7C">
              <w:rPr>
                <w:rFonts w:cs="Times New Roman"/>
                <w:i/>
                <w:sz w:val="18"/>
                <w:szCs w:val="18"/>
              </w:rPr>
              <w:t>neoficialiosios</w:t>
            </w:r>
            <w:r w:rsidRPr="00CD5C7C">
              <w:rPr>
                <w:rFonts w:cs="Times New Roman"/>
                <w:sz w:val="18"/>
                <w:szCs w:val="18"/>
              </w:rPr>
              <w:t xml:space="preserve"> pajamos tampa pastovios ir viršija suminį socialinių išmokų ir / ar paramos dydį.</w:t>
            </w:r>
          </w:p>
        </w:tc>
        <w:tc>
          <w:tcPr>
            <w:tcW w:w="450" w:type="dxa"/>
            <w:shd w:val="clear" w:color="auto" w:fill="auto"/>
            <w:vAlign w:val="center"/>
          </w:tcPr>
          <w:p w:rsidR="00C71449" w:rsidRPr="00CD5C7C" w:rsidRDefault="00C71449" w:rsidP="00C71449">
            <w:pPr>
              <w:pStyle w:val="Referatai"/>
              <w:spacing w:after="0" w:line="240" w:lineRule="auto"/>
              <w:ind w:firstLine="0"/>
              <w:jc w:val="center"/>
              <w:rPr>
                <w:rFonts w:cs="Times New Roman"/>
                <w:b/>
                <w:color w:val="0070C0"/>
                <w:sz w:val="18"/>
                <w:szCs w:val="18"/>
              </w:rPr>
            </w:pPr>
          </w:p>
        </w:tc>
      </w:tr>
      <w:tr w:rsidR="00C71449" w:rsidRPr="00CD5C7C" w:rsidTr="00CD5C7C">
        <w:trPr>
          <w:trHeight w:val="157"/>
        </w:trPr>
        <w:tc>
          <w:tcPr>
            <w:tcW w:w="10458" w:type="dxa"/>
            <w:gridSpan w:val="2"/>
            <w:shd w:val="clear" w:color="auto" w:fill="auto"/>
          </w:tcPr>
          <w:p w:rsidR="00C71449" w:rsidRPr="00CD5C7C" w:rsidRDefault="00C71449" w:rsidP="00C71449">
            <w:pPr>
              <w:pStyle w:val="Referatai"/>
              <w:spacing w:after="0" w:line="240" w:lineRule="auto"/>
              <w:ind w:firstLine="0"/>
              <w:rPr>
                <w:rFonts w:cs="Times New Roman"/>
                <w:i/>
                <w:sz w:val="18"/>
                <w:szCs w:val="18"/>
              </w:rPr>
            </w:pPr>
            <w:r w:rsidRPr="00CD5C7C">
              <w:rPr>
                <w:rFonts w:cs="Times New Roman"/>
                <w:i/>
                <w:sz w:val="18"/>
                <w:szCs w:val="18"/>
              </w:rPr>
              <w:t>Jeigu teiginį įvertinote &lt; 3, nurodykite, ką reikėtų padaryti, kad žmogaus moralinės nuostatos pasikeistų:</w:t>
            </w:r>
          </w:p>
          <w:p w:rsidR="00C71449" w:rsidRPr="00CD5C7C" w:rsidRDefault="00C71449" w:rsidP="00C71449">
            <w:pPr>
              <w:pStyle w:val="Referatai"/>
              <w:spacing w:after="0" w:line="240" w:lineRule="auto"/>
              <w:ind w:firstLine="0"/>
              <w:rPr>
                <w:rFonts w:cs="Times New Roman"/>
                <w:color w:val="0070C0"/>
                <w:sz w:val="18"/>
                <w:szCs w:val="18"/>
              </w:rPr>
            </w:pPr>
          </w:p>
          <w:p w:rsidR="00C71449" w:rsidRPr="00CD5C7C" w:rsidRDefault="00C71449" w:rsidP="00C71449">
            <w:pPr>
              <w:pStyle w:val="Referatai"/>
              <w:spacing w:after="0" w:line="240" w:lineRule="auto"/>
              <w:ind w:firstLine="0"/>
              <w:rPr>
                <w:rFonts w:cs="Times New Roman"/>
                <w:color w:val="0070C0"/>
                <w:sz w:val="18"/>
                <w:szCs w:val="18"/>
              </w:rPr>
            </w:pPr>
          </w:p>
        </w:tc>
      </w:tr>
      <w:tr w:rsidR="00C71449" w:rsidRPr="00CD5C7C" w:rsidTr="00CD5C7C">
        <w:tc>
          <w:tcPr>
            <w:tcW w:w="10008" w:type="dxa"/>
            <w:shd w:val="clear" w:color="auto" w:fill="BFBFBF"/>
          </w:tcPr>
          <w:p w:rsidR="00C71449" w:rsidRPr="00CD5C7C" w:rsidRDefault="00C71449" w:rsidP="00C71449">
            <w:pPr>
              <w:pStyle w:val="Referatai"/>
              <w:spacing w:after="0" w:line="240" w:lineRule="auto"/>
              <w:ind w:firstLine="0"/>
              <w:rPr>
                <w:rFonts w:cs="Times New Roman"/>
                <w:sz w:val="18"/>
                <w:szCs w:val="18"/>
              </w:rPr>
            </w:pPr>
            <w:r w:rsidRPr="00CD5C7C">
              <w:rPr>
                <w:rFonts w:cs="Times New Roman"/>
                <w:b/>
                <w:sz w:val="18"/>
                <w:szCs w:val="18"/>
              </w:rPr>
              <w:t>Pareigos</w:t>
            </w:r>
            <w:r w:rsidRPr="00CD5C7C">
              <w:rPr>
                <w:rFonts w:cs="Times New Roman"/>
                <w:sz w:val="18"/>
                <w:szCs w:val="18"/>
              </w:rPr>
              <w:t>: didžioji dauguma socialinių išmokų ir paramos gavėjų atlieka jiems priskirtas pareigas (pvz., informuoja teritorinę darbo biržą apie įsidarbinimo faktą ir pan.).</w:t>
            </w:r>
          </w:p>
        </w:tc>
        <w:tc>
          <w:tcPr>
            <w:tcW w:w="450" w:type="dxa"/>
            <w:shd w:val="clear" w:color="auto" w:fill="auto"/>
            <w:vAlign w:val="center"/>
          </w:tcPr>
          <w:p w:rsidR="00C71449" w:rsidRPr="00CD5C7C" w:rsidRDefault="00C71449" w:rsidP="00C71449">
            <w:pPr>
              <w:pStyle w:val="Referatai"/>
              <w:spacing w:after="0" w:line="240" w:lineRule="auto"/>
              <w:ind w:firstLine="0"/>
              <w:jc w:val="center"/>
              <w:rPr>
                <w:rFonts w:cs="Times New Roman"/>
                <w:b/>
                <w:color w:val="0070C0"/>
                <w:sz w:val="18"/>
                <w:szCs w:val="18"/>
              </w:rPr>
            </w:pPr>
          </w:p>
        </w:tc>
      </w:tr>
      <w:tr w:rsidR="00C71449" w:rsidRPr="00CD5C7C" w:rsidTr="00CD5C7C">
        <w:tc>
          <w:tcPr>
            <w:tcW w:w="10458" w:type="dxa"/>
            <w:gridSpan w:val="2"/>
            <w:shd w:val="clear" w:color="auto" w:fill="auto"/>
          </w:tcPr>
          <w:p w:rsidR="00C71449" w:rsidRPr="00CD5C7C" w:rsidRDefault="00C71449" w:rsidP="00C71449">
            <w:pPr>
              <w:pStyle w:val="Referatai"/>
              <w:spacing w:after="0" w:line="240" w:lineRule="auto"/>
              <w:ind w:firstLine="0"/>
              <w:rPr>
                <w:rFonts w:cs="Times New Roman"/>
                <w:i/>
                <w:sz w:val="18"/>
                <w:szCs w:val="18"/>
              </w:rPr>
            </w:pPr>
            <w:r w:rsidRPr="00CD5C7C">
              <w:rPr>
                <w:rFonts w:cs="Times New Roman"/>
                <w:i/>
                <w:sz w:val="18"/>
                <w:szCs w:val="18"/>
              </w:rPr>
              <w:t>Jeigu teiginį įvertinote &lt; 3, nurodykite, kokios pareigos ir kodėl dažniausiai nėra atliekamos:</w:t>
            </w:r>
          </w:p>
          <w:p w:rsidR="00C71449" w:rsidRPr="00CD5C7C" w:rsidRDefault="00C71449" w:rsidP="00C71449">
            <w:pPr>
              <w:pStyle w:val="Referatai"/>
              <w:spacing w:after="0" w:line="240" w:lineRule="auto"/>
              <w:ind w:firstLine="0"/>
              <w:rPr>
                <w:rFonts w:cs="Times New Roman"/>
                <w:color w:val="0070C0"/>
                <w:sz w:val="18"/>
                <w:szCs w:val="18"/>
              </w:rPr>
            </w:pPr>
          </w:p>
          <w:p w:rsidR="00C71449" w:rsidRPr="00CD5C7C" w:rsidRDefault="00C71449" w:rsidP="00C71449">
            <w:pPr>
              <w:pStyle w:val="Referatai"/>
              <w:spacing w:after="0" w:line="240" w:lineRule="auto"/>
              <w:ind w:firstLine="0"/>
              <w:rPr>
                <w:rFonts w:cs="Times New Roman"/>
                <w:color w:val="0070C0"/>
                <w:sz w:val="18"/>
                <w:szCs w:val="18"/>
              </w:rPr>
            </w:pPr>
          </w:p>
        </w:tc>
      </w:tr>
      <w:tr w:rsidR="00C71449" w:rsidRPr="00CD5C7C" w:rsidTr="00CD5C7C">
        <w:tc>
          <w:tcPr>
            <w:tcW w:w="10008" w:type="dxa"/>
            <w:shd w:val="clear" w:color="auto" w:fill="BFBFBF"/>
          </w:tcPr>
          <w:p w:rsidR="00C71449" w:rsidRPr="00CD5C7C" w:rsidRDefault="00C71449" w:rsidP="00C71449">
            <w:pPr>
              <w:pStyle w:val="Referatai"/>
              <w:spacing w:after="0" w:line="240" w:lineRule="auto"/>
              <w:ind w:firstLine="0"/>
              <w:rPr>
                <w:rFonts w:cs="Times New Roman"/>
                <w:sz w:val="18"/>
                <w:szCs w:val="18"/>
              </w:rPr>
            </w:pPr>
            <w:r w:rsidRPr="00CD5C7C">
              <w:rPr>
                <w:rFonts w:cs="Times New Roman"/>
                <w:b/>
                <w:sz w:val="18"/>
                <w:szCs w:val="18"/>
              </w:rPr>
              <w:t>Įstatymai</w:t>
            </w:r>
            <w:r w:rsidRPr="00CD5C7C">
              <w:rPr>
                <w:rFonts w:cs="Times New Roman"/>
                <w:sz w:val="18"/>
                <w:szCs w:val="18"/>
              </w:rPr>
              <w:t>: didžioji dauguma socialinių išmokų ir paramos gavėjų paiso teisės aktų, todėl nesistengia „apeiti“ įstatymų nuostatų ir socialine gerove naudojasi tik tokiu mastu, kokiu jiems priklauso.</w:t>
            </w:r>
          </w:p>
        </w:tc>
        <w:tc>
          <w:tcPr>
            <w:tcW w:w="450" w:type="dxa"/>
            <w:shd w:val="clear" w:color="auto" w:fill="auto"/>
            <w:vAlign w:val="center"/>
          </w:tcPr>
          <w:p w:rsidR="00C71449" w:rsidRPr="00CD5C7C" w:rsidRDefault="00C71449" w:rsidP="00C71449">
            <w:pPr>
              <w:pStyle w:val="Referatai"/>
              <w:spacing w:after="0" w:line="240" w:lineRule="auto"/>
              <w:ind w:firstLine="0"/>
              <w:jc w:val="center"/>
              <w:rPr>
                <w:rFonts w:cs="Times New Roman"/>
                <w:b/>
                <w:color w:val="0070C0"/>
                <w:sz w:val="18"/>
                <w:szCs w:val="18"/>
              </w:rPr>
            </w:pPr>
          </w:p>
        </w:tc>
      </w:tr>
      <w:tr w:rsidR="00C71449" w:rsidRPr="00CD5C7C" w:rsidTr="00CD5C7C">
        <w:tc>
          <w:tcPr>
            <w:tcW w:w="10458" w:type="dxa"/>
            <w:gridSpan w:val="2"/>
            <w:shd w:val="clear" w:color="auto" w:fill="auto"/>
          </w:tcPr>
          <w:p w:rsidR="00C71449" w:rsidRPr="00CD5C7C" w:rsidRDefault="00C71449" w:rsidP="00C71449">
            <w:pPr>
              <w:pStyle w:val="Referatai"/>
              <w:spacing w:after="0" w:line="240" w:lineRule="auto"/>
              <w:ind w:firstLine="0"/>
              <w:rPr>
                <w:rFonts w:cs="Times New Roman"/>
                <w:i/>
                <w:sz w:val="18"/>
                <w:szCs w:val="18"/>
              </w:rPr>
            </w:pPr>
            <w:r w:rsidRPr="00CD5C7C">
              <w:rPr>
                <w:rFonts w:cs="Times New Roman"/>
                <w:i/>
                <w:sz w:val="18"/>
                <w:szCs w:val="18"/>
              </w:rPr>
              <w:t>Jeigu teiginį įvertinote &lt; 3, nurodykite, ką reikėtų pakeisti, kad nebebūtų piktnaudžiaujama socialine gerove:</w:t>
            </w:r>
          </w:p>
          <w:p w:rsidR="00C71449" w:rsidRPr="00CD5C7C" w:rsidRDefault="00C71449" w:rsidP="00C71449">
            <w:pPr>
              <w:pStyle w:val="Referatai"/>
              <w:spacing w:after="0" w:line="240" w:lineRule="auto"/>
              <w:ind w:firstLine="0"/>
              <w:rPr>
                <w:rFonts w:cs="Times New Roman"/>
                <w:color w:val="0070C0"/>
                <w:sz w:val="18"/>
                <w:szCs w:val="18"/>
              </w:rPr>
            </w:pPr>
          </w:p>
          <w:p w:rsidR="00C71449" w:rsidRPr="00CD5C7C" w:rsidRDefault="00C71449" w:rsidP="00C71449">
            <w:pPr>
              <w:pStyle w:val="Referatai"/>
              <w:spacing w:after="0" w:line="240" w:lineRule="auto"/>
              <w:ind w:firstLine="0"/>
              <w:rPr>
                <w:rFonts w:cs="Times New Roman"/>
                <w:color w:val="0070C0"/>
                <w:sz w:val="18"/>
                <w:szCs w:val="18"/>
              </w:rPr>
            </w:pPr>
          </w:p>
        </w:tc>
      </w:tr>
      <w:tr w:rsidR="00C71449" w:rsidRPr="00CD5C7C" w:rsidTr="00CD5C7C">
        <w:tc>
          <w:tcPr>
            <w:tcW w:w="10008" w:type="dxa"/>
            <w:shd w:val="clear" w:color="auto" w:fill="BFBFBF"/>
          </w:tcPr>
          <w:p w:rsidR="00C71449" w:rsidRPr="00CD5C7C" w:rsidRDefault="00C71449" w:rsidP="00C71449">
            <w:pPr>
              <w:pStyle w:val="Referatai"/>
              <w:spacing w:after="0" w:line="240" w:lineRule="auto"/>
              <w:ind w:firstLine="0"/>
              <w:rPr>
                <w:rFonts w:cs="Times New Roman"/>
                <w:sz w:val="18"/>
                <w:szCs w:val="18"/>
              </w:rPr>
            </w:pPr>
            <w:r w:rsidRPr="00CD5C7C">
              <w:rPr>
                <w:rFonts w:cs="Times New Roman"/>
                <w:b/>
                <w:sz w:val="18"/>
                <w:szCs w:val="18"/>
              </w:rPr>
              <w:t>Kliūtys</w:t>
            </w:r>
            <w:r w:rsidRPr="00CD5C7C">
              <w:rPr>
                <w:rFonts w:cs="Times New Roman"/>
                <w:sz w:val="18"/>
                <w:szCs w:val="18"/>
              </w:rPr>
              <w:t>: didžioji dauguma socialinių išmokų ir paramos gavėjų stengiasi pašalinti (ar bent sumažinti) kliūtis, neleidžiančias įsilieti į darbo rinką (pvz., vaikų priežiūrą patiki giminaičiams; jei yra galimybė, pakeičia gyvenamąją vietą ir pan.).</w:t>
            </w:r>
          </w:p>
        </w:tc>
        <w:tc>
          <w:tcPr>
            <w:tcW w:w="450" w:type="dxa"/>
            <w:shd w:val="clear" w:color="auto" w:fill="auto"/>
            <w:vAlign w:val="center"/>
          </w:tcPr>
          <w:p w:rsidR="00C71449" w:rsidRPr="00CD5C7C" w:rsidRDefault="00C71449" w:rsidP="00C71449">
            <w:pPr>
              <w:pStyle w:val="Referatai"/>
              <w:spacing w:after="0" w:line="240" w:lineRule="auto"/>
              <w:ind w:firstLine="0"/>
              <w:jc w:val="center"/>
              <w:rPr>
                <w:rFonts w:cs="Times New Roman"/>
                <w:b/>
                <w:color w:val="0070C0"/>
                <w:sz w:val="18"/>
                <w:szCs w:val="18"/>
              </w:rPr>
            </w:pPr>
          </w:p>
        </w:tc>
      </w:tr>
      <w:tr w:rsidR="00C71449" w:rsidRPr="00CD5C7C" w:rsidTr="00CD5C7C">
        <w:tc>
          <w:tcPr>
            <w:tcW w:w="10458" w:type="dxa"/>
            <w:gridSpan w:val="2"/>
            <w:shd w:val="clear" w:color="auto" w:fill="auto"/>
          </w:tcPr>
          <w:p w:rsidR="00C71449" w:rsidRPr="00CD5C7C" w:rsidRDefault="00C71449" w:rsidP="00C71449">
            <w:pPr>
              <w:pStyle w:val="Referatai"/>
              <w:spacing w:after="0" w:line="240" w:lineRule="auto"/>
              <w:ind w:firstLine="0"/>
              <w:rPr>
                <w:rFonts w:cs="Times New Roman"/>
                <w:i/>
                <w:sz w:val="18"/>
                <w:szCs w:val="18"/>
              </w:rPr>
            </w:pPr>
            <w:r w:rsidRPr="00CD5C7C">
              <w:rPr>
                <w:rFonts w:cs="Times New Roman"/>
                <w:i/>
                <w:sz w:val="18"/>
                <w:szCs w:val="18"/>
              </w:rPr>
              <w:t>Jeigu teiginį įvertinote &lt; 3, nurodykite, kokių kliūčių šalinimu turėtų susirūpinti Valstybė:</w:t>
            </w:r>
          </w:p>
          <w:p w:rsidR="00C71449" w:rsidRPr="00CD5C7C" w:rsidRDefault="00C71449" w:rsidP="00C71449">
            <w:pPr>
              <w:pStyle w:val="Referatai"/>
              <w:spacing w:after="0" w:line="240" w:lineRule="auto"/>
              <w:ind w:firstLine="0"/>
              <w:rPr>
                <w:rFonts w:cs="Times New Roman"/>
                <w:color w:val="0070C0"/>
                <w:sz w:val="18"/>
                <w:szCs w:val="18"/>
              </w:rPr>
            </w:pPr>
          </w:p>
          <w:p w:rsidR="00C71449" w:rsidRPr="00CD5C7C" w:rsidRDefault="00C71449" w:rsidP="00C71449">
            <w:pPr>
              <w:pStyle w:val="Referatai"/>
              <w:spacing w:after="0" w:line="240" w:lineRule="auto"/>
              <w:ind w:firstLine="0"/>
              <w:rPr>
                <w:rFonts w:cs="Times New Roman"/>
                <w:color w:val="0070C0"/>
                <w:sz w:val="18"/>
                <w:szCs w:val="18"/>
              </w:rPr>
            </w:pPr>
          </w:p>
        </w:tc>
      </w:tr>
      <w:tr w:rsidR="00C71449" w:rsidRPr="00CD5C7C" w:rsidTr="00CD5C7C">
        <w:tc>
          <w:tcPr>
            <w:tcW w:w="10008" w:type="dxa"/>
            <w:shd w:val="clear" w:color="auto" w:fill="BFBFBF"/>
          </w:tcPr>
          <w:p w:rsidR="00C71449" w:rsidRPr="00CD5C7C" w:rsidRDefault="00C71449" w:rsidP="00C71449">
            <w:pPr>
              <w:pStyle w:val="Referatai"/>
              <w:spacing w:after="0" w:line="240" w:lineRule="auto"/>
              <w:ind w:firstLine="0"/>
              <w:rPr>
                <w:rFonts w:cs="Times New Roman"/>
                <w:sz w:val="18"/>
                <w:szCs w:val="18"/>
              </w:rPr>
            </w:pPr>
            <w:r w:rsidRPr="00CD5C7C">
              <w:rPr>
                <w:rFonts w:cs="Times New Roman"/>
                <w:b/>
                <w:sz w:val="18"/>
                <w:szCs w:val="18"/>
              </w:rPr>
              <w:t>Laikas</w:t>
            </w:r>
            <w:r w:rsidRPr="00CD5C7C">
              <w:rPr>
                <w:rFonts w:cs="Times New Roman"/>
                <w:sz w:val="18"/>
                <w:szCs w:val="18"/>
              </w:rPr>
              <w:t>: didžioji dauguma socialinių išmokų ir paramos gavėjų stengiasi įsidarbinti anksčiau laiko nei pasibaigia išmokų mokėjimo terminas ar keičiasi paramos teikimo sąlygos, t. y. socialine gerove stengiasi naudotis kuo trumpesnį laiką.</w:t>
            </w:r>
          </w:p>
        </w:tc>
        <w:tc>
          <w:tcPr>
            <w:tcW w:w="450" w:type="dxa"/>
            <w:shd w:val="clear" w:color="auto" w:fill="auto"/>
            <w:vAlign w:val="center"/>
          </w:tcPr>
          <w:p w:rsidR="00C71449" w:rsidRPr="00CD5C7C" w:rsidRDefault="00C71449" w:rsidP="00C71449">
            <w:pPr>
              <w:pStyle w:val="Referatai"/>
              <w:spacing w:after="0" w:line="240" w:lineRule="auto"/>
              <w:ind w:firstLine="0"/>
              <w:jc w:val="center"/>
              <w:rPr>
                <w:rFonts w:cs="Times New Roman"/>
                <w:b/>
                <w:color w:val="0070C0"/>
                <w:sz w:val="18"/>
                <w:szCs w:val="18"/>
              </w:rPr>
            </w:pPr>
          </w:p>
        </w:tc>
      </w:tr>
      <w:tr w:rsidR="00C71449" w:rsidRPr="00CD5C7C" w:rsidTr="00CD5C7C">
        <w:tc>
          <w:tcPr>
            <w:tcW w:w="10458" w:type="dxa"/>
            <w:gridSpan w:val="2"/>
            <w:shd w:val="clear" w:color="auto" w:fill="auto"/>
          </w:tcPr>
          <w:p w:rsidR="00C71449" w:rsidRPr="00CD5C7C" w:rsidRDefault="00C71449" w:rsidP="00C71449">
            <w:pPr>
              <w:pStyle w:val="Referatai"/>
              <w:spacing w:after="0" w:line="240" w:lineRule="auto"/>
              <w:ind w:firstLine="0"/>
              <w:rPr>
                <w:rFonts w:cs="Times New Roman"/>
                <w:i/>
                <w:sz w:val="18"/>
                <w:szCs w:val="18"/>
              </w:rPr>
            </w:pPr>
            <w:r w:rsidRPr="00CD5C7C">
              <w:rPr>
                <w:rFonts w:cs="Times New Roman"/>
                <w:i/>
                <w:sz w:val="18"/>
                <w:szCs w:val="18"/>
              </w:rPr>
              <w:t>Jeigu teiginį įvertinote &lt; 3, nurodykite, kokios priemonės užtikrintų laiko veiksnio paisymą:</w:t>
            </w:r>
          </w:p>
          <w:p w:rsidR="00C71449" w:rsidRPr="00CD5C7C" w:rsidRDefault="00C71449" w:rsidP="00C71449">
            <w:pPr>
              <w:pStyle w:val="Referatai"/>
              <w:spacing w:after="0" w:line="240" w:lineRule="auto"/>
              <w:ind w:firstLine="0"/>
              <w:rPr>
                <w:rFonts w:cs="Times New Roman"/>
                <w:color w:val="0070C0"/>
                <w:sz w:val="18"/>
                <w:szCs w:val="18"/>
              </w:rPr>
            </w:pPr>
          </w:p>
          <w:p w:rsidR="00C71449" w:rsidRPr="00CD5C7C" w:rsidRDefault="00C71449" w:rsidP="00C71449">
            <w:pPr>
              <w:pStyle w:val="Referatai"/>
              <w:spacing w:after="0" w:line="240" w:lineRule="auto"/>
              <w:ind w:firstLine="0"/>
              <w:rPr>
                <w:rFonts w:cs="Times New Roman"/>
                <w:color w:val="0070C0"/>
                <w:sz w:val="18"/>
                <w:szCs w:val="18"/>
              </w:rPr>
            </w:pPr>
          </w:p>
        </w:tc>
      </w:tr>
      <w:tr w:rsidR="00C71449" w:rsidRPr="00CD5C7C" w:rsidTr="00CD5C7C">
        <w:tc>
          <w:tcPr>
            <w:tcW w:w="10458" w:type="dxa"/>
            <w:gridSpan w:val="2"/>
            <w:shd w:val="clear" w:color="auto" w:fill="D9D9D9"/>
          </w:tcPr>
          <w:p w:rsidR="00C71449" w:rsidRPr="00CD5C7C" w:rsidRDefault="00C71449" w:rsidP="00C71449">
            <w:pPr>
              <w:pStyle w:val="Referatai"/>
              <w:spacing w:after="0" w:line="240" w:lineRule="auto"/>
              <w:ind w:firstLine="0"/>
              <w:rPr>
                <w:rFonts w:cs="Times New Roman"/>
                <w:b/>
                <w:sz w:val="18"/>
                <w:szCs w:val="18"/>
              </w:rPr>
            </w:pPr>
            <w:r w:rsidRPr="00CD5C7C">
              <w:rPr>
                <w:rFonts w:cs="Times New Roman"/>
                <w:b/>
                <w:sz w:val="18"/>
                <w:szCs w:val="18"/>
              </w:rPr>
              <w:t>Jūsų pasiūlymai socialinių išmokų ir paramos gavėjų elgsenai gerinti</w:t>
            </w:r>
            <w:r w:rsidRPr="00CD5C7C">
              <w:rPr>
                <w:rFonts w:cs="Times New Roman"/>
                <w:sz w:val="18"/>
                <w:szCs w:val="18"/>
              </w:rPr>
              <w:t>:</w:t>
            </w:r>
          </w:p>
          <w:p w:rsidR="00C71449" w:rsidRPr="00CD5C7C" w:rsidRDefault="00C71449" w:rsidP="00C71449">
            <w:pPr>
              <w:pStyle w:val="Referatai"/>
              <w:spacing w:after="0" w:line="240" w:lineRule="auto"/>
              <w:ind w:firstLine="0"/>
              <w:rPr>
                <w:rFonts w:cs="Times New Roman"/>
                <w:color w:val="0070C0"/>
                <w:sz w:val="18"/>
                <w:szCs w:val="18"/>
              </w:rPr>
            </w:pPr>
          </w:p>
          <w:p w:rsidR="00C71449" w:rsidRPr="00CD5C7C" w:rsidRDefault="00C71449" w:rsidP="00C71449">
            <w:pPr>
              <w:pStyle w:val="Referatai"/>
              <w:spacing w:after="0" w:line="240" w:lineRule="auto"/>
              <w:ind w:firstLine="0"/>
              <w:rPr>
                <w:rFonts w:cs="Times New Roman"/>
                <w:color w:val="0070C0"/>
                <w:sz w:val="18"/>
                <w:szCs w:val="18"/>
              </w:rPr>
            </w:pPr>
          </w:p>
        </w:tc>
      </w:tr>
    </w:tbl>
    <w:p w:rsidR="006F3F1C" w:rsidRPr="0002065C" w:rsidRDefault="00C71449" w:rsidP="00CD5C7C">
      <w:pPr>
        <w:pBdr>
          <w:bottom w:val="thickThinSmallGap" w:sz="24" w:space="1" w:color="auto"/>
        </w:pBdr>
        <w:spacing w:before="240"/>
        <w:contextualSpacing w:val="0"/>
        <w:jc w:val="center"/>
      </w:pPr>
      <w:r w:rsidRPr="006343F6">
        <w:rPr>
          <w:b/>
          <w:color w:val="E20000"/>
          <w:sz w:val="28"/>
          <w:szCs w:val="28"/>
        </w:rPr>
        <w:t>DĖKOJAME UŽ BENDRADARBIAVIMĄ!</w:t>
      </w:r>
    </w:p>
    <w:sectPr w:rsidR="006F3F1C" w:rsidRPr="0002065C" w:rsidSect="00E60820">
      <w:pgSz w:w="12240" w:h="15840"/>
      <w:pgMar w:top="1134" w:right="567"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38E" w:rsidRDefault="00B2438E" w:rsidP="00B21BAC">
      <w:pPr>
        <w:spacing w:after="0" w:line="240" w:lineRule="auto"/>
      </w:pPr>
      <w:r>
        <w:separator/>
      </w:r>
    </w:p>
  </w:endnote>
  <w:endnote w:type="continuationSeparator" w:id="0">
    <w:p w:rsidR="00B2438E" w:rsidRDefault="00B2438E" w:rsidP="00B21B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8E" w:rsidRDefault="00B243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8E" w:rsidRDefault="00B243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8E" w:rsidRDefault="00B243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38E" w:rsidRDefault="00B2438E" w:rsidP="00B21BAC">
      <w:pPr>
        <w:spacing w:after="0" w:line="240" w:lineRule="auto"/>
      </w:pPr>
      <w:r>
        <w:separator/>
      </w:r>
    </w:p>
  </w:footnote>
  <w:footnote w:type="continuationSeparator" w:id="0">
    <w:p w:rsidR="00B2438E" w:rsidRDefault="00B2438E" w:rsidP="00B21BAC">
      <w:pPr>
        <w:spacing w:after="0" w:line="240" w:lineRule="auto"/>
      </w:pPr>
      <w:r>
        <w:continuationSeparator/>
      </w:r>
    </w:p>
  </w:footnote>
  <w:footnote w:id="1">
    <w:p w:rsidR="00B2438E" w:rsidRDefault="00B2438E" w:rsidP="00CE5385">
      <w:pPr>
        <w:pStyle w:val="FootnoteText"/>
      </w:pPr>
      <w:r>
        <w:rPr>
          <w:rStyle w:val="FootnoteReference"/>
        </w:rPr>
        <w:footnoteRef/>
      </w:r>
      <w:r>
        <w:t xml:space="preserve"> </w:t>
      </w:r>
      <w:r w:rsidRPr="001B2AFE">
        <w:rPr>
          <w:i/>
        </w:rPr>
        <w:t>Kognityvinė psichologija</w:t>
      </w:r>
      <w:r>
        <w:t xml:space="preserve"> – mokslinis pažinimo tyrinėjimas, nagrinėjantis atmintį, dėmesį, suvokimą, žinių perteikimą, kūrybiškumą, problemų </w:t>
      </w:r>
      <w:r w:rsidRPr="00097A17">
        <w:t xml:space="preserve">sprendimą (cit. pagal </w:t>
      </w:r>
      <w:proofErr w:type="spellStart"/>
      <w:r w:rsidRPr="00097A17">
        <w:t>Bikas</w:t>
      </w:r>
      <w:proofErr w:type="spellEnd"/>
      <w:r w:rsidRPr="00097A17">
        <w:t>, Kavaliauskas 2010).</w:t>
      </w:r>
    </w:p>
  </w:footnote>
  <w:footnote w:id="2">
    <w:p w:rsidR="00B2438E" w:rsidRDefault="00B2438E" w:rsidP="000343AA">
      <w:pPr>
        <w:pStyle w:val="FootnoteText"/>
      </w:pPr>
      <w:r>
        <w:rPr>
          <w:rStyle w:val="FootnoteReference"/>
        </w:rPr>
        <w:footnoteRef/>
      </w:r>
      <w:r>
        <w:t xml:space="preserve"> </w:t>
      </w:r>
      <w:r w:rsidRPr="000359A6">
        <w:t xml:space="preserve">Lietuvos socialinis žemėlapis. Socialinės statistikos rodikliai: </w:t>
      </w:r>
      <w:r w:rsidRPr="000359A6">
        <w:rPr>
          <w:i/>
        </w:rPr>
        <w:t>baziniai socialiniai rodikliai</w:t>
      </w:r>
      <w:r>
        <w:t xml:space="preserve"> [interaktyvus] [žiūrėta 2012 10 08</w:t>
      </w:r>
      <w:r w:rsidRPr="000359A6">
        <w:t>].</w:t>
      </w:r>
    </w:p>
  </w:footnote>
  <w:footnote w:id="3">
    <w:p w:rsidR="00B2438E" w:rsidRPr="00FE0D6B" w:rsidRDefault="00B2438E" w:rsidP="00920D3B">
      <w:pPr>
        <w:pStyle w:val="FootnoteText"/>
      </w:pPr>
      <w:r w:rsidRPr="00FE0D6B">
        <w:rPr>
          <w:rStyle w:val="FootnoteReference"/>
        </w:rPr>
        <w:footnoteRef/>
      </w:r>
      <w:r>
        <w:t> </w:t>
      </w:r>
      <w:r w:rsidRPr="000359A6">
        <w:t xml:space="preserve">Lietuvos Respublikos statistikos departamentas. </w:t>
      </w:r>
      <w:r w:rsidRPr="000359A6">
        <w:rPr>
          <w:i/>
        </w:rPr>
        <w:t>Darbo užmokestis trečiąjį 2008 m. ketvirtį</w:t>
      </w:r>
      <w:r>
        <w:t xml:space="preserve"> [interaktyvus] [žiūrėta 2012 10 08];</w:t>
      </w:r>
      <w:r w:rsidRPr="006F4085">
        <w:rPr>
          <w:i/>
        </w:rPr>
        <w:t xml:space="preserve"> </w:t>
      </w:r>
      <w:r w:rsidRPr="0090355A">
        <w:rPr>
          <w:i/>
        </w:rPr>
        <w:t>Darbo užmokestis trečiąjį 2012 m. ketvirtį</w:t>
      </w:r>
      <w:r>
        <w:t xml:space="preserve"> [interaktyvus] </w:t>
      </w:r>
      <w:r w:rsidRPr="0046633D">
        <w:t>[žiūrėta 2012 11 26].</w:t>
      </w:r>
    </w:p>
  </w:footnote>
  <w:footnote w:id="4">
    <w:p w:rsidR="00B2438E" w:rsidRDefault="00B2438E" w:rsidP="00D1619E">
      <w:pPr>
        <w:pStyle w:val="FootnoteText"/>
      </w:pPr>
      <w:r>
        <w:rPr>
          <w:rStyle w:val="FootnoteReference"/>
        </w:rPr>
        <w:footnoteRef/>
      </w:r>
      <w:r>
        <w:rPr>
          <w:color w:val="FF0000"/>
        </w:rPr>
        <w:t> </w:t>
      </w:r>
      <w:r w:rsidRPr="000359A6">
        <w:t xml:space="preserve">Lietuvos socialinis žemėlapis. Socialinės statistikos rodikliai: </w:t>
      </w:r>
      <w:r w:rsidRPr="000359A6">
        <w:rPr>
          <w:i/>
        </w:rPr>
        <w:t>baziniai socialiniai rodikliai</w:t>
      </w:r>
      <w:r>
        <w:t xml:space="preserve"> [interaktyvus] [žiūrėta 2012 11 26].</w:t>
      </w:r>
    </w:p>
  </w:footnote>
  <w:footnote w:id="5">
    <w:p w:rsidR="00B2438E" w:rsidRDefault="00B2438E">
      <w:pPr>
        <w:pStyle w:val="FootnoteText"/>
      </w:pPr>
      <w:r>
        <w:rPr>
          <w:rStyle w:val="FootnoteReference"/>
        </w:rPr>
        <w:footnoteRef/>
      </w:r>
      <w:r>
        <w:t xml:space="preserve"> </w:t>
      </w:r>
      <w:r w:rsidRPr="0050276B">
        <w:rPr>
          <w:i/>
          <w:lang w:val="la-Latn"/>
        </w:rPr>
        <w:t>Ibid</w:t>
      </w:r>
      <w:r>
        <w:t>.</w:t>
      </w:r>
    </w:p>
  </w:footnote>
  <w:footnote w:id="6">
    <w:p w:rsidR="00B2438E" w:rsidRPr="00364400" w:rsidRDefault="00B2438E">
      <w:pPr>
        <w:pStyle w:val="FootnoteText"/>
      </w:pPr>
      <w:r>
        <w:rPr>
          <w:rStyle w:val="FootnoteReference"/>
        </w:rPr>
        <w:footnoteRef/>
      </w:r>
      <w:r>
        <w:t xml:space="preserve"> </w:t>
      </w:r>
      <w:r w:rsidRPr="00FE7C3F">
        <w:t xml:space="preserve">Nedarbo draudimo išmokos mokėjimo trukmė priklauso nuo bedarbio nedarbo draudimo stažo, įgyto iki įsiregistravimo darbo biržoje dienos. Jei </w:t>
      </w:r>
      <w:r>
        <w:t xml:space="preserve">šis stažas yra mažesnis nei 25 </w:t>
      </w:r>
      <w:r w:rsidRPr="00364400">
        <w:t>m., išmoka mokama 6 mėn., jei jis yra nuo 25 iki 30 m. – 7 mėn., jei nuo 30 iki 35 m. – 8 mėn., jei 35 metai ir daugiau – 9 mėn. (Nedarbo socialinio draudimo įstatymas 2004, 7 straipsnis).</w:t>
      </w:r>
    </w:p>
  </w:footnote>
  <w:footnote w:id="7">
    <w:p w:rsidR="00B2438E" w:rsidRDefault="00B2438E">
      <w:pPr>
        <w:pStyle w:val="FootnoteText"/>
      </w:pPr>
      <w:r w:rsidRPr="00364400">
        <w:rPr>
          <w:rStyle w:val="FootnoteReference"/>
        </w:rPr>
        <w:footnoteRef/>
      </w:r>
      <w:r w:rsidRPr="00364400">
        <w:t xml:space="preserve"> Nekintamo dydžio parama, remiantis Piniginės socialinės paramos nepasiturintiems gyventojams įstatymu (2003), gali būti teikiama 36 mėn. Suėjus 36 mėn., parama pradedama mažinti šio įstatymo 10 straipsnyje nustatyta tvarka.</w:t>
      </w:r>
    </w:p>
  </w:footnote>
  <w:footnote w:id="8">
    <w:p w:rsidR="00B2438E" w:rsidRPr="00952105" w:rsidRDefault="00B2438E" w:rsidP="002C5778">
      <w:pPr>
        <w:spacing w:after="0" w:line="240" w:lineRule="auto"/>
        <w:rPr>
          <w:sz w:val="20"/>
        </w:rPr>
      </w:pPr>
      <w:r w:rsidRPr="002C5778">
        <w:rPr>
          <w:rStyle w:val="FootnoteReference"/>
          <w:sz w:val="20"/>
        </w:rPr>
        <w:footnoteRef/>
      </w:r>
      <w:r w:rsidRPr="002C5778">
        <w:rPr>
          <w:sz w:val="20"/>
        </w:rPr>
        <w:t xml:space="preserve"> </w:t>
      </w:r>
      <w:r w:rsidRPr="009B4422">
        <w:rPr>
          <w:sz w:val="20"/>
        </w:rPr>
        <w:t>Nedarbo draudimo išmok</w:t>
      </w:r>
      <w:r>
        <w:rPr>
          <w:sz w:val="20"/>
        </w:rPr>
        <w:t>os mokėjimas yra nutraukiamas, jeigu</w:t>
      </w:r>
      <w:r w:rsidRPr="009B4422">
        <w:rPr>
          <w:sz w:val="20"/>
        </w:rPr>
        <w:t xml:space="preserve"> per nedarbo draudimo išmokos mokėj</w:t>
      </w:r>
      <w:r>
        <w:rPr>
          <w:sz w:val="20"/>
        </w:rPr>
        <w:t>imo laikotarpį bedarbis atsisako</w:t>
      </w:r>
      <w:r w:rsidRPr="009B4422">
        <w:rPr>
          <w:sz w:val="20"/>
        </w:rPr>
        <w:t xml:space="preserve"> </w:t>
      </w:r>
      <w:r>
        <w:rPr>
          <w:sz w:val="20"/>
        </w:rPr>
        <w:t xml:space="preserve">jam </w:t>
      </w:r>
      <w:r w:rsidRPr="009B4422">
        <w:rPr>
          <w:sz w:val="20"/>
        </w:rPr>
        <w:t xml:space="preserve">siūlomo tinkamo </w:t>
      </w:r>
      <w:r w:rsidRPr="00952105">
        <w:rPr>
          <w:sz w:val="20"/>
        </w:rPr>
        <w:t xml:space="preserve">darbo (Nedarbo socialinio draudimo įstatymas 2004, 11 straipsnis). </w:t>
      </w:r>
    </w:p>
  </w:footnote>
  <w:footnote w:id="9">
    <w:p w:rsidR="00B2438E" w:rsidRDefault="00B2438E">
      <w:pPr>
        <w:pStyle w:val="FootnoteText"/>
      </w:pPr>
      <w:r w:rsidRPr="00952105">
        <w:rPr>
          <w:rStyle w:val="FootnoteReference"/>
        </w:rPr>
        <w:footnoteRef/>
      </w:r>
      <w:r w:rsidRPr="00952105">
        <w:t xml:space="preserve"> Nedarbo draudimo išmoka iš naujo gali būti paskirta po 12 mėnesių nuo sprendimo nutraukti jos mokėjimą dienos, bedarbiui iš naujo įgijus teisę į nedarbo draudimo išmokos gavimą (Nedarbo socialinio draudimo įstatymas 2004, 12 straipsnis).</w:t>
      </w:r>
    </w:p>
  </w:footnote>
  <w:footnote w:id="10">
    <w:p w:rsidR="00B2438E" w:rsidRPr="009B5483" w:rsidRDefault="00B2438E" w:rsidP="00D76F05">
      <w:pPr>
        <w:pStyle w:val="FootnoteText"/>
      </w:pPr>
      <w:r>
        <w:rPr>
          <w:rStyle w:val="FootnoteReference"/>
        </w:rPr>
        <w:footnoteRef/>
      </w:r>
      <w:r>
        <w:t> </w:t>
      </w:r>
      <w:r w:rsidRPr="00AE0792">
        <w:t>Lietuvos socialinis žemėlapis. Socialinės statistikos rodikliai:</w:t>
      </w:r>
      <w:r w:rsidRPr="00AE0792">
        <w:rPr>
          <w:i/>
        </w:rPr>
        <w:t xml:space="preserve"> socialiniai-ekonominiai rodikliai</w:t>
      </w:r>
      <w:r w:rsidRPr="00AA483B">
        <w:rPr>
          <w:color w:val="FF0000"/>
        </w:rPr>
        <w:t xml:space="preserve"> </w:t>
      </w:r>
      <w:r w:rsidRPr="00A5670A">
        <w:t>[interaktyvus] [žiūrėta 2012 09 03</w:t>
      </w:r>
      <w:r>
        <w:t>].</w:t>
      </w:r>
    </w:p>
  </w:footnote>
  <w:footnote w:id="11">
    <w:p w:rsidR="00B2438E" w:rsidRDefault="00B2438E">
      <w:pPr>
        <w:pStyle w:val="FootnoteText"/>
      </w:pPr>
      <w:r>
        <w:rPr>
          <w:rStyle w:val="FootnoteReference"/>
        </w:rPr>
        <w:footnoteRef/>
      </w:r>
      <w:r>
        <w:t xml:space="preserve"> </w:t>
      </w:r>
      <w:r w:rsidRPr="00AE0792">
        <w:t>Lietuvos socialinis žemėlapis. S</w:t>
      </w:r>
      <w:r>
        <w:t xml:space="preserve">ocialinės statistikos rodikliai: </w:t>
      </w:r>
      <w:r w:rsidRPr="00AE0792">
        <w:rPr>
          <w:i/>
        </w:rPr>
        <w:t xml:space="preserve">socialinės paramos naudojimo </w:t>
      </w:r>
      <w:r w:rsidRPr="009B5483">
        <w:rPr>
          <w:i/>
        </w:rPr>
        <w:t>rodikliai</w:t>
      </w:r>
      <w:r w:rsidRPr="009B5483">
        <w:t xml:space="preserve"> [interaktyvus] [žiūrėta </w:t>
      </w:r>
      <w:r>
        <w:t>2012 09 03</w:t>
      </w:r>
      <w:r w:rsidRPr="009B5483">
        <w:t>].</w:t>
      </w:r>
    </w:p>
  </w:footnote>
  <w:footnote w:id="12">
    <w:p w:rsidR="00B2438E" w:rsidRDefault="00B2438E">
      <w:pPr>
        <w:pStyle w:val="FootnoteText"/>
      </w:pPr>
      <w:r>
        <w:rPr>
          <w:rStyle w:val="FootnoteReference"/>
        </w:rPr>
        <w:footnoteRef/>
      </w:r>
      <w:r>
        <w:t> P</w:t>
      </w:r>
      <w:r w:rsidRPr="006A102F">
        <w:t>iniginės socialinės paramos nepasiturintiems gyventojams įstatymo (2</w:t>
      </w:r>
      <w:r>
        <w:t>003) 17 straipsnis.</w:t>
      </w:r>
    </w:p>
  </w:footnote>
  <w:footnote w:id="13">
    <w:p w:rsidR="00B2438E" w:rsidRDefault="00B2438E">
      <w:pPr>
        <w:pStyle w:val="FootnoteText"/>
      </w:pPr>
      <w:r>
        <w:rPr>
          <w:rStyle w:val="FootnoteReference"/>
        </w:rPr>
        <w:footnoteRef/>
      </w:r>
      <w:r>
        <w:t> P</w:t>
      </w:r>
      <w:r w:rsidRPr="006A102F">
        <w:t>iniginės socialinės paramos nepasiturintiems gyventojam</w:t>
      </w:r>
      <w:r>
        <w:t>s įstatymo (2003) 7 straipsnis.</w:t>
      </w:r>
    </w:p>
  </w:footnote>
  <w:footnote w:id="14">
    <w:p w:rsidR="00B2438E" w:rsidRDefault="00B2438E">
      <w:pPr>
        <w:pStyle w:val="FootnoteText"/>
      </w:pPr>
      <w:r>
        <w:rPr>
          <w:rStyle w:val="FootnoteReference"/>
        </w:rPr>
        <w:footnoteRef/>
      </w:r>
      <w:r>
        <w:t xml:space="preserve"> Optimalios reikšmės buvo parinktos, atsižvelgiant į pateiktus (veiksnių) teiginius: kadangi visi teiginiai buvo pateikti, naudojant teigiamo pobūdžio formuluotes, tokiu atveju, sutinkant su teiginiuose pateikta informacija, pastangos pakeisti savo socialinį statusą turi būti vertinamos 5 balais – vadinasi, optimali, t. y. visiškai teisinga, elgsena, turėtų įgyti 50 balų reikšmę.</w:t>
      </w:r>
    </w:p>
  </w:footnote>
  <w:footnote w:id="15">
    <w:p w:rsidR="00B2438E" w:rsidRPr="00683458" w:rsidRDefault="00B2438E">
      <w:pPr>
        <w:pStyle w:val="FootnoteText"/>
      </w:pPr>
      <w:r>
        <w:rPr>
          <w:rStyle w:val="FootnoteReference"/>
        </w:rPr>
        <w:footnoteRef/>
      </w:r>
      <w:r>
        <w:t> </w:t>
      </w:r>
      <w:r w:rsidRPr="00683458">
        <w:t>Paprastumo dėlei bus aptariamos tik tų bedarbių (ne valstybės tarnautojų) teisės, pareigos ir atsakomybė, kurie, prieš įgydami tokį statusą, dirbo pagal darbo sutartis ir kuriems iki senatvės pensijos amžiaus yra likę daugiau kaip 5 metai.</w:t>
      </w:r>
    </w:p>
  </w:footnote>
  <w:footnote w:id="16">
    <w:p w:rsidR="00B2438E" w:rsidRPr="00683458" w:rsidRDefault="00B2438E" w:rsidP="00281533">
      <w:pPr>
        <w:pStyle w:val="FootnoteText"/>
      </w:pPr>
      <w:r w:rsidRPr="00683458">
        <w:rPr>
          <w:rStyle w:val="FootnoteReference"/>
        </w:rPr>
        <w:footnoteRef/>
      </w:r>
      <w:r>
        <w:t> </w:t>
      </w:r>
      <w:r w:rsidRPr="00683458">
        <w:t>Nedarbo socialinio draudimo įstatyme pasakyta, jog išmokos mokėjimo laikotarpis priklauso nuo nedarbo draudimo stažo, įgyto iki įsiregistravimo teritorinėje darbo biržoje dienos (7 straipsnis), tačiau dėl to, kad darbo stažo intervalai yra dideli, tokią pačią teisę, pavyzdžiui, į 6 mėn. išmokų mokėjimą, įgyja tiek 2 m. dirbęs, tiek ir 24 m. darbo stažą sukaupęs individas.</w:t>
      </w:r>
    </w:p>
  </w:footnote>
  <w:footnote w:id="17">
    <w:p w:rsidR="00B2438E" w:rsidRDefault="00B2438E">
      <w:pPr>
        <w:pStyle w:val="FootnoteText"/>
      </w:pPr>
      <w:r w:rsidRPr="00683458">
        <w:rPr>
          <w:rStyle w:val="FootnoteReference"/>
        </w:rPr>
        <w:footnoteRef/>
      </w:r>
      <w:r>
        <w:t> </w:t>
      </w:r>
      <w:r w:rsidRPr="00683458">
        <w:t xml:space="preserve">Dėl nustatytų „lubų“ žmonėms, generavusiems didesnes įplaukas, netektos pajamos yra kompensuojamos tik tam tikra dalimi, kas žymiai sumažina atotrūkį tarp tų asmenų, kurie didžiąją jų darbinio laikotarpio dalį gavo </w:t>
      </w:r>
      <w:r>
        <w:t xml:space="preserve">nedideles </w:t>
      </w:r>
      <w:r w:rsidRPr="00683458">
        <w:t>pajamas.</w:t>
      </w:r>
    </w:p>
  </w:footnote>
  <w:footnote w:id="18">
    <w:p w:rsidR="00B2438E" w:rsidRDefault="00B2438E">
      <w:pPr>
        <w:pStyle w:val="FootnoteText"/>
      </w:pPr>
      <w:r>
        <w:rPr>
          <w:rStyle w:val="FootnoteReference"/>
        </w:rPr>
        <w:footnoteRef/>
      </w:r>
      <w:r>
        <w:t> Iš bedarbių yra reikalaujama tik grąžinti patirtas išlaidas, bet jiems nėra taikoma administracinė ar kita atsakomybė.</w:t>
      </w:r>
    </w:p>
  </w:footnote>
  <w:footnote w:id="19">
    <w:p w:rsidR="00B2438E" w:rsidRDefault="00B2438E" w:rsidP="00512B87">
      <w:pPr>
        <w:pStyle w:val="FootnoteText"/>
      </w:pPr>
      <w:r>
        <w:rPr>
          <w:rStyle w:val="FootnoteReference"/>
        </w:rPr>
        <w:footnoteRef/>
      </w:r>
      <w:r>
        <w:t xml:space="preserve"> Viena iš tokių priežasčių gali būti vaiko, kuris nelanko ikimokyklinio ar priešmokyklinio ugdymo įstaigos, auginimas; arba sveikatos sutrikimai, patvirtinti iš gydytojo gautu medicinos </w:t>
      </w:r>
      <w:r w:rsidRPr="0080293D">
        <w:t>išrašu (Socialinės apsaugos ir darbo ministro įsakymas „Dėl telkimo visuomenei naudingai veiklai atlikti tvarkos aprašo patvirtinimo“ 2012, 11 straipsnis).</w:t>
      </w:r>
    </w:p>
  </w:footnote>
  <w:footnote w:id="20">
    <w:p w:rsidR="00B2438E" w:rsidRDefault="00B2438E">
      <w:pPr>
        <w:pStyle w:val="FootnoteText"/>
      </w:pPr>
      <w:r>
        <w:rPr>
          <w:rStyle w:val="FootnoteReference"/>
        </w:rPr>
        <w:footnoteRef/>
      </w:r>
      <w:r>
        <w:t xml:space="preserve"> Nors tekste vartojamas žodis „neskiriama“, iš to, kad mokėjimai gali būti atnaujinti, suvokiama, jog tai yra laikina.</w:t>
      </w:r>
    </w:p>
  </w:footnote>
  <w:footnote w:id="21">
    <w:p w:rsidR="00B2438E" w:rsidRPr="0080293D" w:rsidRDefault="00B2438E">
      <w:pPr>
        <w:pStyle w:val="FootnoteText"/>
      </w:pPr>
      <w:r w:rsidRPr="0080293D">
        <w:rPr>
          <w:rStyle w:val="FootnoteReference"/>
        </w:rPr>
        <w:footnoteRef/>
      </w:r>
      <w:r w:rsidRPr="0080293D">
        <w:t> Jeigu bendrai gyvenantys asmenys dirbo 12 mėn. per paskutinius 24 mėn., tada socialinės pašalpos gavimo laikotarpiai yra pradedami skaičiuoti iš naujo (Piniginės socialinės paramos nepasiturintiems gyventojams įstatymas 2003, 10 straipsnis).</w:t>
      </w:r>
    </w:p>
  </w:footnote>
  <w:footnote w:id="22">
    <w:p w:rsidR="00B2438E" w:rsidRPr="0080293D" w:rsidRDefault="00B2438E" w:rsidP="008E4A83">
      <w:pPr>
        <w:pStyle w:val="FootnoteText"/>
      </w:pPr>
      <w:r w:rsidRPr="0080293D">
        <w:rPr>
          <w:rStyle w:val="FootnoteReference"/>
        </w:rPr>
        <w:footnoteRef/>
      </w:r>
      <w:r w:rsidRPr="0080293D">
        <w:t> Jeigu bendrai gyvenantys asmenys augina vaikus, gaunant socialinę pašalpą ilgiau kaip 60 mėn., pašalpos dydis yra sumažinamas 40 proc. (Piniginės socialinės paramos nepasiturintiems gyventojams įstatymas 2003, 10 straipsnis).</w:t>
      </w:r>
    </w:p>
  </w:footnote>
  <w:footnote w:id="23">
    <w:p w:rsidR="00B2438E" w:rsidRPr="0080293D" w:rsidRDefault="00B2438E">
      <w:pPr>
        <w:pStyle w:val="FootnoteText"/>
      </w:pPr>
      <w:r>
        <w:rPr>
          <w:rStyle w:val="FootnoteReference"/>
        </w:rPr>
        <w:footnoteRef/>
      </w:r>
      <w:r>
        <w:t xml:space="preserve"> Dirba ne mažiau kaip 2 / 3 </w:t>
      </w:r>
      <w:r w:rsidRPr="00EC1CE2">
        <w:rPr>
          <w:i/>
        </w:rPr>
        <w:t>maksimalios darbo laiko trukmės</w:t>
      </w:r>
      <w:r>
        <w:t xml:space="preserve"> arba ne mažiau kaip </w:t>
      </w:r>
      <w:r>
        <w:rPr>
          <w:lang w:val="en-US"/>
        </w:rPr>
        <w:t>2 </w:t>
      </w:r>
      <w:r>
        <w:t xml:space="preserve">/ 3 laiko, skaičiuojant nuo darbo sutartyje nustatyto </w:t>
      </w:r>
      <w:r w:rsidRPr="003900BF">
        <w:rPr>
          <w:i/>
        </w:rPr>
        <w:t>ne viso darbo laiko</w:t>
      </w:r>
      <w:r>
        <w:t xml:space="preserve">, tačiau tokiu atveju ne viso darbo laiko trukmė turėtų būti ne trumpesnė kaip 2 / 3 </w:t>
      </w:r>
      <w:r w:rsidRPr="0080293D">
        <w:t>maksimalios darbo laiko trukmės (8 straipsnis), kitaip tariant, – žmogus turėtų dirbti ne trumpiau kaip 18 val. per savaitę.</w:t>
      </w:r>
    </w:p>
  </w:footnote>
  <w:footnote w:id="24">
    <w:p w:rsidR="00B2438E" w:rsidRDefault="00B2438E">
      <w:pPr>
        <w:pStyle w:val="FootnoteText"/>
      </w:pPr>
      <w:r>
        <w:rPr>
          <w:rStyle w:val="FootnoteReference"/>
        </w:rPr>
        <w:footnoteRef/>
      </w:r>
      <w:r>
        <w:t xml:space="preserve"> Žodis „skatinamas“ vartojamas tik šio darbo kontekste, pabrėžiant neadekvatų norimiems pasiekti tikslams kriterijų.</w:t>
      </w:r>
    </w:p>
  </w:footnote>
  <w:footnote w:id="25">
    <w:p w:rsidR="00B2438E" w:rsidRPr="00405707" w:rsidRDefault="00B2438E">
      <w:pPr>
        <w:pStyle w:val="FootnoteText"/>
      </w:pPr>
      <w:r w:rsidRPr="00405707">
        <w:rPr>
          <w:rStyle w:val="FootnoteReference"/>
        </w:rPr>
        <w:footnoteRef/>
      </w:r>
      <w:r w:rsidRPr="00405707">
        <w:t xml:space="preserve"> Žmogaus </w:t>
      </w:r>
      <w:r w:rsidRPr="00FC6202">
        <w:rPr>
          <w:i/>
        </w:rPr>
        <w:t>sąmoningas</w:t>
      </w:r>
      <w:r w:rsidRPr="00405707">
        <w:t xml:space="preserve"> pasitraukimas iš darbo galėtų būti tikrinamas</w:t>
      </w:r>
      <w:r>
        <w:t>, periodiškai</w:t>
      </w:r>
      <w:r w:rsidRPr="00405707">
        <w:t xml:space="preserve"> keič</w:t>
      </w:r>
      <w:r>
        <w:t>iantis informacija su darbdaviu dėl konkretaus darbuotojo darbo rezultatų, jo pastangų, atliekant jam priskirtas funkcijas, bei elgsenos įsidarbinimo pradžioje ir pabaigoje. Taip pat būtų galima atlikti šio žmogaus apklausą, kurios metu būtų atskleistos tikrosios išėjimo iš darbo priežastys.</w:t>
      </w:r>
    </w:p>
  </w:footnote>
  <w:footnote w:id="26">
    <w:p w:rsidR="00B2438E" w:rsidRDefault="00B2438E" w:rsidP="0089174F">
      <w:pPr>
        <w:pStyle w:val="FootnoteText"/>
      </w:pPr>
      <w:r>
        <w:rPr>
          <w:rStyle w:val="FootnoteReference"/>
        </w:rPr>
        <w:footnoteRef/>
      </w:r>
      <w:r>
        <w:t xml:space="preserve"> Pirmus tris mėnesius mokama visa nedarbo draudimo išmoka, o likusį išmokos mokėjimo laikotarpį – pastovi nedarbo draudimo išmokos dalis ir pusė kintamos nedarbo išmokos </w:t>
      </w:r>
      <w:r w:rsidRPr="0080293D">
        <w:t>dalies (Nedarbo socialinio draudimo įstatymas 2004, 8 straipsnis).</w:t>
      </w:r>
    </w:p>
  </w:footnote>
  <w:footnote w:id="27">
    <w:p w:rsidR="00B2438E" w:rsidRPr="008A7914" w:rsidRDefault="00B2438E">
      <w:pPr>
        <w:pStyle w:val="FootnoteText"/>
      </w:pPr>
      <w:r>
        <w:rPr>
          <w:rStyle w:val="FootnoteReference"/>
        </w:rPr>
        <w:footnoteRef/>
      </w:r>
      <w:r>
        <w:t xml:space="preserve"> </w:t>
      </w:r>
      <w:r w:rsidRPr="00885015">
        <w:t xml:space="preserve">Kita vertus, užuot vienišiems tėvams taikant lengvatas, – </w:t>
      </w:r>
      <w:r w:rsidRPr="00885015">
        <w:rPr>
          <w:i/>
        </w:rPr>
        <w:t>ir tokiu būdu prisidedant prie priklausomybės nuo pašalpos kūrimo</w:t>
      </w:r>
      <w:r w:rsidRPr="00885015">
        <w:t>, – teisingesnis žingsnis būtų kompensuoti dalį ikimokyklinės įstaigos lankymo išlaidų, šitaip sudarant sąlygas dalyvauti visuomenei naudingoje veikloje ir aktyviau ieškotis darbo – dėl atsiradusio laisvo laiko, kuris dabar skiriamas vaikų priežiūrai.</w:t>
      </w:r>
    </w:p>
  </w:footnote>
  <w:footnote w:id="28">
    <w:p w:rsidR="00B2438E" w:rsidRDefault="00B2438E">
      <w:pPr>
        <w:pStyle w:val="FootnoteText"/>
      </w:pPr>
      <w:r>
        <w:rPr>
          <w:rStyle w:val="FootnoteReference"/>
        </w:rPr>
        <w:footnoteRef/>
      </w:r>
      <w:r>
        <w:t xml:space="preserve"> Tokius faktus turėtų tikrinti ir socialinės paramos teikimo centrai, pavyzdžiui, bendradarbiaudami su prekybos centrais ir finansų įstaigomis: jei piniginė socialinė parama būtų teikiama netiesiogiai, t. y. pervedant lėšas parduotuvėms, ir būtų galima tikrinti asmens turimų sąskaitų ir lojalumo kortelių sumas, tada būtų galima įsitikinti, kokios yra vidutinės žmogaus išlaidos.</w:t>
      </w:r>
    </w:p>
  </w:footnote>
  <w:footnote w:id="29">
    <w:p w:rsidR="00B2438E" w:rsidRDefault="00B2438E">
      <w:pPr>
        <w:pStyle w:val="FootnoteText"/>
      </w:pPr>
      <w:r>
        <w:rPr>
          <w:rStyle w:val="FootnoteReference"/>
        </w:rPr>
        <w:footnoteRef/>
      </w:r>
      <w:r>
        <w:t xml:space="preserve"> Tam tikrą kontaktą su socialinės pašalpos gavėjais turintys asmenys gali suteikti tokios informacijos, kuri bylotų apie papildomas (ir, dažnai, nelegalias) pajamas, tokias kaip kambario nuoma ar nelegalus verslas (automobilių remontas ir pan.).</w:t>
      </w:r>
    </w:p>
  </w:footnote>
  <w:footnote w:id="30">
    <w:p w:rsidR="00B2438E" w:rsidRDefault="00B2438E">
      <w:pPr>
        <w:pStyle w:val="FootnoteText"/>
      </w:pPr>
      <w:r>
        <w:rPr>
          <w:rStyle w:val="FootnoteReference"/>
        </w:rPr>
        <w:footnoteRef/>
      </w:r>
      <w:r>
        <w:t xml:space="preserve"> Be pateisinamos priežasties atsisakius siūlomo tinkamo darbo </w:t>
      </w:r>
      <w:r w:rsidRPr="00E32327">
        <w:rPr>
          <w:i/>
        </w:rPr>
        <w:t>du kartus iš eilės</w:t>
      </w:r>
      <w:r>
        <w:t>, piniginės socialinės paramos teikimą, taip pat kaip ir nelegalaus darbo atveju, būtų galima nutraukti 1 m. laikotarpiui, kad žmogus turėtų iš naujo įgyti teisę į pašalpą.</w:t>
      </w:r>
    </w:p>
  </w:footnote>
  <w:footnote w:id="31">
    <w:p w:rsidR="00B2438E" w:rsidRPr="001A1441" w:rsidRDefault="00B2438E" w:rsidP="00510801">
      <w:pPr>
        <w:pStyle w:val="FootnoteText"/>
      </w:pPr>
      <w:r w:rsidRPr="001A1441">
        <w:rPr>
          <w:rStyle w:val="FootnoteReference"/>
        </w:rPr>
        <w:footnoteRef/>
      </w:r>
      <w:r w:rsidRPr="001A1441">
        <w:t xml:space="preserve"> Lietuvos Respublikos socialinės apsaugos ir darbo ministerija. </w:t>
      </w:r>
      <w:r w:rsidRPr="000B21F4">
        <w:rPr>
          <w:i/>
        </w:rPr>
        <w:t>Socialinė statistika</w:t>
      </w:r>
      <w:r w:rsidRPr="001A1441">
        <w:t xml:space="preserve"> [interakt</w:t>
      </w:r>
      <w:r>
        <w:t>yvus] [žiūrėta 2012 11 26].</w:t>
      </w:r>
    </w:p>
  </w:footnote>
  <w:footnote w:id="32">
    <w:p w:rsidR="00B2438E" w:rsidRPr="001A1441" w:rsidRDefault="00B2438E" w:rsidP="00510801">
      <w:pPr>
        <w:pStyle w:val="FootnoteText"/>
      </w:pPr>
      <w:r w:rsidRPr="001A1441">
        <w:rPr>
          <w:rStyle w:val="FootnoteReference"/>
        </w:rPr>
        <w:footnoteRef/>
      </w:r>
      <w:r w:rsidRPr="001A1441">
        <w:t> </w:t>
      </w:r>
      <w:r>
        <w:t>S</w:t>
      </w:r>
      <w:r w:rsidRPr="002A6DFF">
        <w:t>ocialinės paramos mokiniams įstatymo (2006) 5 straipsnis.</w:t>
      </w:r>
    </w:p>
  </w:footnote>
  <w:footnote w:id="33">
    <w:p w:rsidR="00B2438E" w:rsidRPr="001A1441" w:rsidRDefault="00B2438E" w:rsidP="00510801">
      <w:pPr>
        <w:pStyle w:val="FootnoteText"/>
      </w:pPr>
      <w:r w:rsidRPr="001A1441">
        <w:rPr>
          <w:rStyle w:val="FootnoteReference"/>
        </w:rPr>
        <w:footnoteRef/>
      </w:r>
      <w:r>
        <w:t> Socialinės paramos mokiniams įstatymo (2006) 8 straipsnis.</w:t>
      </w:r>
    </w:p>
  </w:footnote>
  <w:footnote w:id="34">
    <w:p w:rsidR="00B2438E" w:rsidRDefault="00B2438E" w:rsidP="00510801">
      <w:pPr>
        <w:pStyle w:val="FootnoteText"/>
      </w:pPr>
      <w:r>
        <w:rPr>
          <w:rStyle w:val="FootnoteReference"/>
        </w:rPr>
        <w:footnoteRef/>
      </w:r>
      <w:r>
        <w:t xml:space="preserve"> </w:t>
      </w:r>
      <w:r w:rsidRPr="001A1441">
        <w:t xml:space="preserve">Lietuvos Respublikos socialinės apsaugos ir darbo ministerija. </w:t>
      </w:r>
      <w:r w:rsidRPr="000B21F4">
        <w:rPr>
          <w:i/>
        </w:rPr>
        <w:t>Socialinė statistika</w:t>
      </w:r>
      <w:r w:rsidRPr="001A1441">
        <w:t xml:space="preserve"> [intera</w:t>
      </w:r>
      <w:r>
        <w:t>ktyvus] [žiūrėta 2012 11 26].</w:t>
      </w:r>
    </w:p>
  </w:footnote>
  <w:footnote w:id="35">
    <w:p w:rsidR="00B2438E" w:rsidRPr="001A1441" w:rsidRDefault="00B2438E" w:rsidP="00510801">
      <w:pPr>
        <w:pStyle w:val="FootnoteText"/>
      </w:pPr>
      <w:r w:rsidRPr="001A1441">
        <w:rPr>
          <w:rStyle w:val="FootnoteReference"/>
        </w:rPr>
        <w:footnoteRef/>
      </w:r>
      <w:r w:rsidRPr="001A1441">
        <w:t xml:space="preserve"> </w:t>
      </w:r>
      <w:r>
        <w:t>S</w:t>
      </w:r>
      <w:r w:rsidRPr="002A6DFF">
        <w:t>ocialinės paramos mokiniams įstatymo (2006) 7 straipsnis.</w:t>
      </w:r>
    </w:p>
  </w:footnote>
  <w:footnote w:id="36">
    <w:p w:rsidR="00B2438E" w:rsidRPr="001A1441" w:rsidRDefault="00B2438E" w:rsidP="00510801">
      <w:pPr>
        <w:pStyle w:val="FootnoteText"/>
      </w:pPr>
      <w:r w:rsidRPr="001A1441">
        <w:rPr>
          <w:rStyle w:val="FootnoteReference"/>
        </w:rPr>
        <w:footnoteRef/>
      </w:r>
      <w:r w:rsidRPr="001A1441">
        <w:t xml:space="preserve"> Vilniaus energija. </w:t>
      </w:r>
      <w:r w:rsidRPr="001A1441">
        <w:rPr>
          <w:i/>
        </w:rPr>
        <w:t>Šilumos suvartojimas 2010-2011 m.</w:t>
      </w:r>
      <w:r w:rsidRPr="001A1441">
        <w:t xml:space="preserve"> [interaktyvu</w:t>
      </w:r>
      <w:r>
        <w:t>s] [žiūrėta 2012 11 18].</w:t>
      </w:r>
    </w:p>
  </w:footnote>
  <w:footnote w:id="37">
    <w:p w:rsidR="00B2438E" w:rsidRPr="001A1441" w:rsidRDefault="00B2438E" w:rsidP="00510801">
      <w:pPr>
        <w:pStyle w:val="FootnoteText"/>
      </w:pPr>
      <w:r w:rsidRPr="001A1441">
        <w:rPr>
          <w:rStyle w:val="FootnoteReference"/>
        </w:rPr>
        <w:footnoteRef/>
      </w:r>
      <w:r w:rsidRPr="001A1441">
        <w:t xml:space="preserve"> </w:t>
      </w:r>
      <w:r w:rsidRPr="001A1441">
        <w:rPr>
          <w:i/>
          <w:lang w:val="la-Latn"/>
        </w:rPr>
        <w:t>Ibid</w:t>
      </w:r>
      <w:r w:rsidRPr="001A1441">
        <w:t>.</w:t>
      </w:r>
    </w:p>
  </w:footnote>
  <w:footnote w:id="38">
    <w:p w:rsidR="00B2438E" w:rsidRDefault="00B2438E" w:rsidP="00510801">
      <w:pPr>
        <w:pStyle w:val="FootnoteText"/>
      </w:pPr>
      <w:r w:rsidRPr="001A1441">
        <w:rPr>
          <w:rStyle w:val="FootnoteReference"/>
        </w:rPr>
        <w:footnoteRef/>
      </w:r>
      <w:r w:rsidRPr="001A1441">
        <w:t xml:space="preserve"> Vilniaus vandenys. </w:t>
      </w:r>
      <w:r w:rsidRPr="000B21F4">
        <w:rPr>
          <w:i/>
        </w:rPr>
        <w:t>Paslaugų kainos 2012 m.</w:t>
      </w:r>
      <w:r w:rsidRPr="001A1441">
        <w:t xml:space="preserve"> [interaktyvu</w:t>
      </w:r>
      <w:r>
        <w:t>s] [žiūrėta 2012 11 18].</w:t>
      </w:r>
    </w:p>
  </w:footnote>
  <w:footnote w:id="39">
    <w:p w:rsidR="00B2438E" w:rsidRDefault="00B2438E" w:rsidP="00672967">
      <w:pPr>
        <w:pStyle w:val="FootnoteText"/>
      </w:pPr>
      <w:r>
        <w:rPr>
          <w:rStyle w:val="FootnoteReference"/>
        </w:rPr>
        <w:footnoteRef/>
      </w:r>
      <w:r>
        <w:t xml:space="preserve"> Reikėtų pastebėti, jog gerovė turėtų būti dar didesnė, nes, laikui bėgant, NDI yra mažinama, kas padidina socialinės pašalpos dydį, nuo kurio ir yra skaičiuojamas papildomos pašalpos dydis.</w:t>
      </w:r>
    </w:p>
  </w:footnote>
  <w:footnote w:id="40">
    <w:p w:rsidR="00B2438E" w:rsidRDefault="00B2438E" w:rsidP="0015170B">
      <w:pPr>
        <w:pStyle w:val="FootnoteText"/>
      </w:pPr>
      <w:r>
        <w:rPr>
          <w:rStyle w:val="FootnoteReference"/>
        </w:rPr>
        <w:footnoteRef/>
      </w:r>
      <w:r>
        <w:t> </w:t>
      </w:r>
      <w:r>
        <w:rPr>
          <w:lang w:val="en-US"/>
        </w:rPr>
        <w:t xml:space="preserve">OECD. Benefits and Wages: Policies / </w:t>
      </w:r>
      <w:r>
        <w:rPr>
          <w:i/>
          <w:lang w:val="en-US"/>
        </w:rPr>
        <w:t>Unemployment Insurance Benefits</w:t>
      </w:r>
      <w:r>
        <w:rPr>
          <w:lang w:val="en-US"/>
        </w:rPr>
        <w:t xml:space="preserve">. – 2010 </w:t>
      </w:r>
      <w:r>
        <w:t>[interaktyvus] [žiūrėta 2012 11 06].</w:t>
      </w:r>
    </w:p>
  </w:footnote>
  <w:footnote w:id="41">
    <w:p w:rsidR="00B2438E" w:rsidRDefault="00B2438E" w:rsidP="0015170B">
      <w:pPr>
        <w:pStyle w:val="FootnoteText"/>
      </w:pPr>
      <w:r>
        <w:rPr>
          <w:rStyle w:val="FootnoteReference"/>
        </w:rPr>
        <w:footnoteRef/>
      </w:r>
      <w:r>
        <w:rPr>
          <w:lang w:val="en-US"/>
        </w:rPr>
        <w:t xml:space="preserve"> OECD. Benefits and Wages: Policies / </w:t>
      </w:r>
      <w:r>
        <w:rPr>
          <w:i/>
          <w:lang w:val="en-US"/>
        </w:rPr>
        <w:t>Unemployment Insurance Benefits</w:t>
      </w:r>
      <w:r>
        <w:rPr>
          <w:lang w:val="en-US"/>
        </w:rPr>
        <w:t xml:space="preserve">. – 2010 </w:t>
      </w:r>
      <w:r>
        <w:t>[interaktyvus] [žiūrėta 2012 11 06].</w:t>
      </w:r>
    </w:p>
  </w:footnote>
  <w:footnote w:id="42">
    <w:p w:rsidR="00B2438E" w:rsidRDefault="00B2438E" w:rsidP="0015170B">
      <w:pPr>
        <w:pStyle w:val="FootnoteText"/>
      </w:pPr>
      <w:r>
        <w:rPr>
          <w:rStyle w:val="FootnoteReference"/>
        </w:rPr>
        <w:footnoteRef/>
      </w:r>
      <w:r>
        <w:t> </w:t>
      </w:r>
      <w:r>
        <w:rPr>
          <w:lang w:val="en-US"/>
        </w:rPr>
        <w:t xml:space="preserve">OECD. Benefits and Wages: Policies / </w:t>
      </w:r>
      <w:r>
        <w:rPr>
          <w:i/>
          <w:lang w:val="en-US"/>
        </w:rPr>
        <w:t>Unemployment Insurance Benefits</w:t>
      </w:r>
      <w:r>
        <w:rPr>
          <w:lang w:val="en-US"/>
        </w:rPr>
        <w:t xml:space="preserve">. – 2010 </w:t>
      </w:r>
      <w:r>
        <w:t>[interaktyvus] [žiūrėta 2012 11 06].</w:t>
      </w:r>
    </w:p>
  </w:footnote>
  <w:footnote w:id="43">
    <w:p w:rsidR="00B2438E" w:rsidRDefault="00B2438E" w:rsidP="0015170B">
      <w:pPr>
        <w:pStyle w:val="FootnoteText"/>
      </w:pPr>
      <w:r>
        <w:rPr>
          <w:rStyle w:val="FootnoteReference"/>
        </w:rPr>
        <w:footnoteRef/>
      </w:r>
      <w:r>
        <w:t> </w:t>
      </w:r>
      <w:r>
        <w:rPr>
          <w:lang w:val="en-US"/>
        </w:rPr>
        <w:t xml:space="preserve">OECD. Benefits and Wages: Policies / </w:t>
      </w:r>
      <w:r>
        <w:rPr>
          <w:i/>
          <w:lang w:val="en-US"/>
        </w:rPr>
        <w:t>Social Assistance</w:t>
      </w:r>
      <w:r>
        <w:rPr>
          <w:lang w:val="en-US"/>
        </w:rPr>
        <w:t xml:space="preserve">. – 2010 </w:t>
      </w:r>
      <w:r>
        <w:t>[interaktyvus] [žiūrėta 2012 11 08].</w:t>
      </w:r>
    </w:p>
  </w:footnote>
  <w:footnote w:id="44">
    <w:p w:rsidR="00B2438E" w:rsidRDefault="00B2438E" w:rsidP="0015170B">
      <w:pPr>
        <w:pStyle w:val="FootnoteText"/>
      </w:pPr>
      <w:r>
        <w:rPr>
          <w:rStyle w:val="FootnoteReference"/>
        </w:rPr>
        <w:footnoteRef/>
      </w:r>
      <w:r>
        <w:t> </w:t>
      </w:r>
      <w:r>
        <w:rPr>
          <w:lang w:val="en-US"/>
        </w:rPr>
        <w:t xml:space="preserve">OECD. Benefits and Wages: Policies / </w:t>
      </w:r>
      <w:r>
        <w:rPr>
          <w:i/>
          <w:lang w:val="en-US"/>
        </w:rPr>
        <w:t>Housing Benefits</w:t>
      </w:r>
      <w:r>
        <w:rPr>
          <w:lang w:val="en-US"/>
        </w:rPr>
        <w:t xml:space="preserve">. – 2010 </w:t>
      </w:r>
      <w:r>
        <w:t>[interaktyvus] [žiūrėta 2012 11 08].</w:t>
      </w:r>
    </w:p>
  </w:footnote>
  <w:footnote w:id="45">
    <w:p w:rsidR="00B2438E" w:rsidRDefault="00B2438E" w:rsidP="0015170B">
      <w:pPr>
        <w:pStyle w:val="FootnoteText"/>
      </w:pPr>
      <w:r>
        <w:rPr>
          <w:rStyle w:val="FootnoteReference"/>
        </w:rPr>
        <w:footnoteRef/>
      </w:r>
      <w:r>
        <w:t> </w:t>
      </w:r>
      <w:r>
        <w:rPr>
          <w:lang w:val="en-US"/>
        </w:rPr>
        <w:t xml:space="preserve">OECD. Benefits and Wages: Policies / </w:t>
      </w:r>
      <w:r>
        <w:rPr>
          <w:i/>
          <w:lang w:val="en-US"/>
        </w:rPr>
        <w:t>Family benefits</w:t>
      </w:r>
      <w:r>
        <w:rPr>
          <w:lang w:val="en-US"/>
        </w:rPr>
        <w:t xml:space="preserve">. – 2010 </w:t>
      </w:r>
      <w:r>
        <w:t>[interaktyvus] [žiūrėta 2012 11 08].</w:t>
      </w:r>
    </w:p>
  </w:footnote>
  <w:footnote w:id="46">
    <w:p w:rsidR="00B2438E" w:rsidRDefault="00B2438E" w:rsidP="0015170B">
      <w:pPr>
        <w:pStyle w:val="FootnoteText"/>
      </w:pPr>
      <w:r>
        <w:rPr>
          <w:rStyle w:val="FootnoteReference"/>
        </w:rPr>
        <w:footnoteRef/>
      </w:r>
      <w:r>
        <w:t> </w:t>
      </w:r>
      <w:r>
        <w:rPr>
          <w:lang w:val="en-US"/>
        </w:rPr>
        <w:t xml:space="preserve">OECD. Benefits and Wages: Policies / </w:t>
      </w:r>
      <w:r>
        <w:rPr>
          <w:i/>
          <w:lang w:val="en-US"/>
        </w:rPr>
        <w:t>Family benefits</w:t>
      </w:r>
      <w:r>
        <w:rPr>
          <w:lang w:val="en-US"/>
        </w:rPr>
        <w:t xml:space="preserve">. – 2010 </w:t>
      </w:r>
      <w:r>
        <w:t>[interaktyvus] [žiūrėta 2012 11 08].</w:t>
      </w:r>
    </w:p>
  </w:footnote>
  <w:footnote w:id="47">
    <w:p w:rsidR="00B2438E" w:rsidRDefault="00B2438E" w:rsidP="0015170B">
      <w:pPr>
        <w:pStyle w:val="FootnoteText"/>
      </w:pPr>
      <w:r>
        <w:rPr>
          <w:rStyle w:val="FootnoteReference"/>
        </w:rPr>
        <w:footnoteRef/>
      </w:r>
      <w:r>
        <w:t> </w:t>
      </w:r>
      <w:r>
        <w:rPr>
          <w:lang w:val="en-US"/>
        </w:rPr>
        <w:t xml:space="preserve">OECD. Benefits and Wages: Policies / </w:t>
      </w:r>
      <w:r>
        <w:rPr>
          <w:i/>
          <w:lang w:val="en-US"/>
        </w:rPr>
        <w:t>Employment-Conditional Benefits</w:t>
      </w:r>
      <w:r>
        <w:rPr>
          <w:lang w:val="en-US"/>
        </w:rPr>
        <w:t xml:space="preserve">. – 2010 </w:t>
      </w:r>
      <w:r>
        <w:t>[interaktyvus] [žiūrėta 2012 11 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8E" w:rsidRDefault="00B243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79"/>
      <w:docPartObj>
        <w:docPartGallery w:val="Page Numbers (Top of Page)"/>
        <w:docPartUnique/>
      </w:docPartObj>
    </w:sdtPr>
    <w:sdtEndPr>
      <w:rPr>
        <w:sz w:val="20"/>
      </w:rPr>
    </w:sdtEndPr>
    <w:sdtContent>
      <w:p w:rsidR="00B2438E" w:rsidRPr="009A0623" w:rsidRDefault="00B2438E" w:rsidP="005A4F9E">
        <w:pPr>
          <w:pStyle w:val="Header"/>
          <w:jc w:val="right"/>
          <w:rPr>
            <w:sz w:val="20"/>
          </w:rPr>
        </w:pPr>
        <w:r w:rsidRPr="009A0623">
          <w:rPr>
            <w:sz w:val="20"/>
          </w:rPr>
          <w:fldChar w:fldCharType="begin"/>
        </w:r>
        <w:r w:rsidRPr="009A0623">
          <w:rPr>
            <w:sz w:val="20"/>
          </w:rPr>
          <w:instrText xml:space="preserve"> PAGE   \* MERGEFORMAT </w:instrText>
        </w:r>
        <w:r w:rsidRPr="009A0623">
          <w:rPr>
            <w:sz w:val="20"/>
          </w:rPr>
          <w:fldChar w:fldCharType="separate"/>
        </w:r>
        <w:r w:rsidR="00A8271C">
          <w:rPr>
            <w:noProof/>
            <w:sz w:val="20"/>
          </w:rPr>
          <w:t>84</w:t>
        </w:r>
        <w:r w:rsidRPr="009A0623">
          <w:rPr>
            <w:sz w:val="20"/>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8E" w:rsidRDefault="00B2438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8E" w:rsidRPr="00F61339" w:rsidRDefault="00B2438E" w:rsidP="00E969CD">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1FC1"/>
    <w:multiLevelType w:val="hybridMultilevel"/>
    <w:tmpl w:val="D7D80D60"/>
    <w:lvl w:ilvl="0" w:tplc="5ABC58B2">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BD70BD"/>
    <w:multiLevelType w:val="multilevel"/>
    <w:tmpl w:val="58064746"/>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46F55B5"/>
    <w:multiLevelType w:val="multilevel"/>
    <w:tmpl w:val="3EA0D8B8"/>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BC11492"/>
    <w:multiLevelType w:val="multilevel"/>
    <w:tmpl w:val="5A3E8AC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7A95C74"/>
    <w:multiLevelType w:val="hybridMultilevel"/>
    <w:tmpl w:val="3B3CD854"/>
    <w:lvl w:ilvl="0" w:tplc="A9BAEE3A">
      <w:start w:val="1"/>
      <w:numFmt w:val="decimal"/>
      <w:lvlText w:val="%1."/>
      <w:lvlJc w:val="left"/>
      <w:pPr>
        <w:ind w:left="1253" w:hanging="360"/>
      </w:pPr>
      <w:rPr>
        <w:b w:val="0"/>
        <w:i w:val="0"/>
        <w:color w:val="auto"/>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5">
    <w:nsid w:val="192141C6"/>
    <w:multiLevelType w:val="hybridMultilevel"/>
    <w:tmpl w:val="FC9A27F4"/>
    <w:lvl w:ilvl="0" w:tplc="3AE25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1E5C30"/>
    <w:multiLevelType w:val="hybridMultilevel"/>
    <w:tmpl w:val="CE786A54"/>
    <w:lvl w:ilvl="0" w:tplc="F48E784A">
      <w:start w:val="1"/>
      <w:numFmt w:val="bullet"/>
      <w:lvlText w:val=""/>
      <w:lvlJc w:val="left"/>
      <w:pPr>
        <w:ind w:left="1786" w:hanging="360"/>
      </w:pPr>
      <w:rPr>
        <w:rFonts w:ascii="Symbol" w:hAnsi="Symbol" w:hint="default"/>
        <w:sz w:val="19"/>
        <w:szCs w:val="19"/>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7">
    <w:nsid w:val="21BC737C"/>
    <w:multiLevelType w:val="hybridMultilevel"/>
    <w:tmpl w:val="47144F38"/>
    <w:lvl w:ilvl="0" w:tplc="52389840">
      <w:start w:val="1"/>
      <w:numFmt w:val="decimal"/>
      <w:lvlText w:val="%1)"/>
      <w:lvlJc w:val="left"/>
      <w:pPr>
        <w:ind w:left="2319" w:hanging="360"/>
      </w:pPr>
      <w:rPr>
        <w:rFonts w:hint="default"/>
        <w:sz w:val="24"/>
        <w:szCs w:val="24"/>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8">
    <w:nsid w:val="26BD61DC"/>
    <w:multiLevelType w:val="multilevel"/>
    <w:tmpl w:val="D298A6C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1.%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27687E57"/>
    <w:multiLevelType w:val="hybridMultilevel"/>
    <w:tmpl w:val="3760E2EA"/>
    <w:lvl w:ilvl="0" w:tplc="F0708974">
      <w:start w:val="1"/>
      <w:numFmt w:val="bullet"/>
      <w:lvlText w:val=""/>
      <w:lvlJc w:val="left"/>
      <w:pPr>
        <w:ind w:left="1260" w:hanging="360"/>
      </w:pPr>
      <w:rPr>
        <w:rFonts w:ascii="Symbol" w:hAnsi="Symbol" w:hint="default"/>
        <w:sz w:val="20"/>
        <w:szCs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2A540DE5"/>
    <w:multiLevelType w:val="hybridMultilevel"/>
    <w:tmpl w:val="8C04DFB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E6526F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2FD95A1F"/>
    <w:multiLevelType w:val="hybridMultilevel"/>
    <w:tmpl w:val="256E5DAA"/>
    <w:lvl w:ilvl="0" w:tplc="04090011">
      <w:start w:val="1"/>
      <w:numFmt w:val="decimal"/>
      <w:lvlText w:val="%1)"/>
      <w:lvlJc w:val="left"/>
      <w:pPr>
        <w:ind w:left="1253" w:hanging="360"/>
      </w:p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13">
    <w:nsid w:val="2FEB1273"/>
    <w:multiLevelType w:val="hybridMultilevel"/>
    <w:tmpl w:val="EABA9F24"/>
    <w:lvl w:ilvl="0" w:tplc="09D0AB94">
      <w:start w:val="1"/>
      <w:numFmt w:val="bullet"/>
      <w:lvlText w:val=""/>
      <w:lvlJc w:val="left"/>
      <w:pPr>
        <w:ind w:left="1792" w:hanging="360"/>
      </w:pPr>
      <w:rPr>
        <w:rFonts w:ascii="Symbol" w:hAnsi="Symbol" w:hint="default"/>
        <w:sz w:val="20"/>
        <w:szCs w:val="20"/>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4">
    <w:nsid w:val="309579CE"/>
    <w:multiLevelType w:val="hybridMultilevel"/>
    <w:tmpl w:val="005C3DCA"/>
    <w:lvl w:ilvl="0" w:tplc="F48E784A">
      <w:start w:val="1"/>
      <w:numFmt w:val="bullet"/>
      <w:lvlText w:val=""/>
      <w:lvlJc w:val="left"/>
      <w:pPr>
        <w:ind w:left="1253" w:hanging="360"/>
      </w:pPr>
      <w:rPr>
        <w:rFonts w:ascii="Symbol" w:hAnsi="Symbol" w:hint="default"/>
        <w:sz w:val="19"/>
        <w:szCs w:val="19"/>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5">
    <w:nsid w:val="32157D6D"/>
    <w:multiLevelType w:val="hybridMultilevel"/>
    <w:tmpl w:val="5890F698"/>
    <w:lvl w:ilvl="0" w:tplc="DA0814F6">
      <w:start w:val="1"/>
      <w:numFmt w:val="bullet"/>
      <w:lvlText w:val=""/>
      <w:lvlJc w:val="left"/>
      <w:pPr>
        <w:ind w:left="1253" w:hanging="360"/>
      </w:pPr>
      <w:rPr>
        <w:rFonts w:ascii="Symbol" w:hAnsi="Symbol" w:hint="default"/>
        <w:sz w:val="20"/>
        <w:szCs w:val="20"/>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6">
    <w:nsid w:val="334F0DE5"/>
    <w:multiLevelType w:val="hybridMultilevel"/>
    <w:tmpl w:val="7D62B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F3A2A"/>
    <w:multiLevelType w:val="hybridMultilevel"/>
    <w:tmpl w:val="B0CE65C8"/>
    <w:lvl w:ilvl="0" w:tplc="6270CE6C">
      <w:start w:val="1"/>
      <w:numFmt w:val="decimal"/>
      <w:lvlText w:val="%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8">
    <w:nsid w:val="3A6E49D7"/>
    <w:multiLevelType w:val="hybridMultilevel"/>
    <w:tmpl w:val="7F4C00E2"/>
    <w:lvl w:ilvl="0" w:tplc="0409000F">
      <w:start w:val="1"/>
      <w:numFmt w:val="decimal"/>
      <w:lvlText w:val="%1."/>
      <w:lvlJc w:val="left"/>
      <w:pPr>
        <w:ind w:left="1703" w:hanging="360"/>
      </w:pPr>
      <w:rPr>
        <w:rFonts w:hint="default"/>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19">
    <w:nsid w:val="3E5B5896"/>
    <w:multiLevelType w:val="hybridMultilevel"/>
    <w:tmpl w:val="8C8AEF56"/>
    <w:lvl w:ilvl="0" w:tplc="EB34DDE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082B7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452C59B1"/>
    <w:multiLevelType w:val="hybridMultilevel"/>
    <w:tmpl w:val="46940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BA3C8A"/>
    <w:multiLevelType w:val="hybridMultilevel"/>
    <w:tmpl w:val="FFA03DAE"/>
    <w:lvl w:ilvl="0" w:tplc="52389840">
      <w:start w:val="1"/>
      <w:numFmt w:val="decimal"/>
      <w:lvlText w:val="%1)"/>
      <w:lvlJc w:val="left"/>
      <w:pPr>
        <w:ind w:left="1786" w:hanging="360"/>
      </w:pPr>
      <w:rPr>
        <w:rFonts w:hint="default"/>
        <w:sz w:val="24"/>
        <w:szCs w:val="24"/>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3">
    <w:nsid w:val="4A1B2668"/>
    <w:multiLevelType w:val="hybridMultilevel"/>
    <w:tmpl w:val="5BF0677C"/>
    <w:lvl w:ilvl="0" w:tplc="8886E150">
      <w:start w:val="1"/>
      <w:numFmt w:val="bullet"/>
      <w:lvlText w:val=""/>
      <w:lvlJc w:val="left"/>
      <w:pPr>
        <w:ind w:left="1253" w:hanging="360"/>
      </w:pPr>
      <w:rPr>
        <w:rFonts w:ascii="Symbol" w:hAnsi="Symbol" w:hint="default"/>
        <w:sz w:val="16"/>
        <w:szCs w:val="16"/>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4">
    <w:nsid w:val="4D0F10D3"/>
    <w:multiLevelType w:val="multilevel"/>
    <w:tmpl w:val="ED78ADD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nsid w:val="522C22F1"/>
    <w:multiLevelType w:val="hybridMultilevel"/>
    <w:tmpl w:val="783E43AE"/>
    <w:lvl w:ilvl="0" w:tplc="CDC24424">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CE6E56"/>
    <w:multiLevelType w:val="hybridMultilevel"/>
    <w:tmpl w:val="4A761538"/>
    <w:lvl w:ilvl="0" w:tplc="24B0E624">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5A6158"/>
    <w:multiLevelType w:val="hybridMultilevel"/>
    <w:tmpl w:val="1D269E3C"/>
    <w:lvl w:ilvl="0" w:tplc="11A648B6">
      <w:start w:val="1"/>
      <w:numFmt w:val="bullet"/>
      <w:lvlText w:val=""/>
      <w:lvlJc w:val="left"/>
      <w:pPr>
        <w:ind w:left="1253" w:hanging="360"/>
      </w:pPr>
      <w:rPr>
        <w:rFonts w:ascii="Symbol" w:hAnsi="Symbol" w:hint="default"/>
        <w:color w:val="auto"/>
        <w:sz w:val="20"/>
        <w:szCs w:val="20"/>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8">
    <w:nsid w:val="539F4ABA"/>
    <w:multiLevelType w:val="multilevel"/>
    <w:tmpl w:val="E7F64812"/>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53EF4F50"/>
    <w:multiLevelType w:val="hybridMultilevel"/>
    <w:tmpl w:val="0ACCA4F8"/>
    <w:lvl w:ilvl="0" w:tplc="0409000F">
      <w:start w:val="1"/>
      <w:numFmt w:val="decimal"/>
      <w:lvlText w:val="%1."/>
      <w:lvlJc w:val="left"/>
      <w:pPr>
        <w:ind w:left="1253" w:hanging="360"/>
      </w:p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30">
    <w:nsid w:val="5ACB6A3A"/>
    <w:multiLevelType w:val="hybridMultilevel"/>
    <w:tmpl w:val="1A1CE6AC"/>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31">
    <w:nsid w:val="63F2799E"/>
    <w:multiLevelType w:val="hybridMultilevel"/>
    <w:tmpl w:val="69BA7B8C"/>
    <w:lvl w:ilvl="0" w:tplc="221A98D2">
      <w:start w:val="1"/>
      <w:numFmt w:val="bullet"/>
      <w:lvlText w:val=""/>
      <w:lvlJc w:val="left"/>
      <w:pPr>
        <w:ind w:left="1253" w:hanging="360"/>
      </w:pPr>
      <w:rPr>
        <w:rFonts w:ascii="Symbol" w:hAnsi="Symbol" w:hint="default"/>
        <w:sz w:val="19"/>
        <w:szCs w:val="19"/>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32">
    <w:nsid w:val="65BB10A4"/>
    <w:multiLevelType w:val="hybridMultilevel"/>
    <w:tmpl w:val="FFAE7D38"/>
    <w:lvl w:ilvl="0" w:tplc="A5D672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E22F3D"/>
    <w:multiLevelType w:val="hybridMultilevel"/>
    <w:tmpl w:val="C13E1494"/>
    <w:lvl w:ilvl="0" w:tplc="DA0814F6">
      <w:start w:val="1"/>
      <w:numFmt w:val="bullet"/>
      <w:lvlText w:val=""/>
      <w:lvlJc w:val="left"/>
      <w:pPr>
        <w:ind w:left="1786" w:hanging="360"/>
      </w:pPr>
      <w:rPr>
        <w:rFonts w:ascii="Symbol" w:hAnsi="Symbol" w:hint="default"/>
        <w:sz w:val="20"/>
        <w:szCs w:val="20"/>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34">
    <w:nsid w:val="6B905389"/>
    <w:multiLevelType w:val="hybridMultilevel"/>
    <w:tmpl w:val="9086FD44"/>
    <w:lvl w:ilvl="0" w:tplc="C3F04F58">
      <w:start w:val="1"/>
      <w:numFmt w:val="decimal"/>
      <w:lvlText w:val="%1)"/>
      <w:lvlJc w:val="left"/>
      <w:pPr>
        <w:ind w:left="1253" w:hanging="360"/>
      </w:pPr>
      <w:rPr>
        <w:rFonts w:hint="default"/>
        <w:sz w:val="24"/>
        <w:szCs w:val="24"/>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35">
    <w:nsid w:val="77E0165F"/>
    <w:multiLevelType w:val="hybridMultilevel"/>
    <w:tmpl w:val="6378660A"/>
    <w:lvl w:ilvl="0" w:tplc="E79AB4D4">
      <w:start w:val="1"/>
      <w:numFmt w:val="decimal"/>
      <w:lvlText w:val="%1."/>
      <w:lvlJc w:val="left"/>
      <w:pPr>
        <w:ind w:left="1253" w:hanging="360"/>
      </w:pPr>
      <w:rPr>
        <w:sz w:val="23"/>
        <w:szCs w:val="23"/>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36">
    <w:nsid w:val="7A350F13"/>
    <w:multiLevelType w:val="multilevel"/>
    <w:tmpl w:val="5B6EED12"/>
    <w:styleLink w:val="Style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7C9705C0"/>
    <w:multiLevelType w:val="hybridMultilevel"/>
    <w:tmpl w:val="874A8FE8"/>
    <w:lvl w:ilvl="0" w:tplc="64DA9ED6">
      <w:start w:val="1"/>
      <w:numFmt w:val="bullet"/>
      <w:lvlText w:val=""/>
      <w:lvlJc w:val="left"/>
      <w:pPr>
        <w:ind w:left="1253" w:hanging="360"/>
      </w:pPr>
      <w:rPr>
        <w:rFonts w:ascii="Symbol" w:hAnsi="Symbol" w:hint="default"/>
        <w:sz w:val="18"/>
        <w:szCs w:val="18"/>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38">
    <w:nsid w:val="7CA16E6A"/>
    <w:multiLevelType w:val="hybridMultilevel"/>
    <w:tmpl w:val="C1903500"/>
    <w:lvl w:ilvl="0" w:tplc="94C01332">
      <w:start w:val="1"/>
      <w:numFmt w:val="bullet"/>
      <w:lvlText w:val=""/>
      <w:lvlJc w:val="left"/>
      <w:pPr>
        <w:ind w:left="1253" w:hanging="360"/>
      </w:pPr>
      <w:rPr>
        <w:rFonts w:ascii="Symbol" w:hAnsi="Symbol" w:hint="default"/>
        <w:sz w:val="16"/>
        <w:szCs w:val="16"/>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39">
    <w:nsid w:val="7E583C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
  </w:num>
  <w:num w:numId="3">
    <w:abstractNumId w:val="1"/>
  </w:num>
  <w:num w:numId="4">
    <w:abstractNumId w:val="1"/>
  </w:num>
  <w:num w:numId="5">
    <w:abstractNumId w:val="32"/>
  </w:num>
  <w:num w:numId="6">
    <w:abstractNumId w:val="32"/>
  </w:num>
  <w:num w:numId="7">
    <w:abstractNumId w:val="1"/>
  </w:num>
  <w:num w:numId="8">
    <w:abstractNumId w:val="1"/>
  </w:num>
  <w:num w:numId="9">
    <w:abstractNumId w:val="1"/>
  </w:num>
  <w:num w:numId="10">
    <w:abstractNumId w:val="21"/>
  </w:num>
  <w:num w:numId="11">
    <w:abstractNumId w:val="13"/>
  </w:num>
  <w:num w:numId="12">
    <w:abstractNumId w:val="30"/>
  </w:num>
  <w:num w:numId="13">
    <w:abstractNumId w:val="14"/>
  </w:num>
  <w:num w:numId="14">
    <w:abstractNumId w:val="6"/>
  </w:num>
  <w:num w:numId="15">
    <w:abstractNumId w:val="10"/>
  </w:num>
  <w:num w:numId="16">
    <w:abstractNumId w:val="35"/>
  </w:num>
  <w:num w:numId="17">
    <w:abstractNumId w:val="4"/>
  </w:num>
  <w:num w:numId="18">
    <w:abstractNumId w:val="17"/>
  </w:num>
  <w:num w:numId="19">
    <w:abstractNumId w:val="27"/>
  </w:num>
  <w:num w:numId="20">
    <w:abstractNumId w:val="0"/>
  </w:num>
  <w:num w:numId="21">
    <w:abstractNumId w:val="18"/>
  </w:num>
  <w:num w:numId="22">
    <w:abstractNumId w:val="29"/>
  </w:num>
  <w:num w:numId="23">
    <w:abstractNumId w:val="31"/>
  </w:num>
  <w:num w:numId="24">
    <w:abstractNumId w:val="9"/>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
  </w:num>
  <w:num w:numId="28">
    <w:abstractNumId w:val="8"/>
  </w:num>
  <w:num w:numId="29">
    <w:abstractNumId w:val="20"/>
  </w:num>
  <w:num w:numId="30">
    <w:abstractNumId w:val="5"/>
  </w:num>
  <w:num w:numId="31">
    <w:abstractNumId w:val="25"/>
  </w:num>
  <w:num w:numId="32">
    <w:abstractNumId w:val="26"/>
  </w:num>
  <w:num w:numId="33">
    <w:abstractNumId w:val="39"/>
  </w:num>
  <w:num w:numId="34">
    <w:abstractNumId w:val="24"/>
  </w:num>
  <w:num w:numId="35">
    <w:abstractNumId w:val="11"/>
  </w:num>
  <w:num w:numId="36">
    <w:abstractNumId w:val="28"/>
  </w:num>
  <w:num w:numId="37">
    <w:abstractNumId w:val="2"/>
  </w:num>
  <w:num w:numId="38">
    <w:abstractNumId w:val="36"/>
  </w:num>
  <w:num w:numId="39">
    <w:abstractNumId w:val="24"/>
  </w:num>
  <w:num w:numId="40">
    <w:abstractNumId w:val="16"/>
  </w:num>
  <w:num w:numId="41">
    <w:abstractNumId w:val="12"/>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3"/>
  </w:num>
  <w:num w:numId="45">
    <w:abstractNumId w:val="34"/>
  </w:num>
  <w:num w:numId="46">
    <w:abstractNumId w:val="22"/>
  </w:num>
  <w:num w:numId="47">
    <w:abstractNumId w:val="37"/>
  </w:num>
  <w:num w:numId="48">
    <w:abstractNumId w:val="7"/>
  </w:num>
  <w:num w:numId="49">
    <w:abstractNumId w:val="38"/>
  </w:num>
  <w:num w:numId="5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35B2A"/>
    <w:rsid w:val="00000163"/>
    <w:rsid w:val="000001C2"/>
    <w:rsid w:val="00000545"/>
    <w:rsid w:val="00000565"/>
    <w:rsid w:val="00000585"/>
    <w:rsid w:val="00000688"/>
    <w:rsid w:val="00000A44"/>
    <w:rsid w:val="00000BA0"/>
    <w:rsid w:val="00000C2A"/>
    <w:rsid w:val="00000F5C"/>
    <w:rsid w:val="00001049"/>
    <w:rsid w:val="000010B8"/>
    <w:rsid w:val="000011BD"/>
    <w:rsid w:val="000011D6"/>
    <w:rsid w:val="000011F4"/>
    <w:rsid w:val="000012A4"/>
    <w:rsid w:val="000012E1"/>
    <w:rsid w:val="000013FA"/>
    <w:rsid w:val="00001746"/>
    <w:rsid w:val="000017AE"/>
    <w:rsid w:val="000018FD"/>
    <w:rsid w:val="00001A6A"/>
    <w:rsid w:val="00001AA6"/>
    <w:rsid w:val="00001C27"/>
    <w:rsid w:val="00001C7F"/>
    <w:rsid w:val="00001E1D"/>
    <w:rsid w:val="00001E6F"/>
    <w:rsid w:val="00001FD8"/>
    <w:rsid w:val="00002125"/>
    <w:rsid w:val="000022AF"/>
    <w:rsid w:val="00002326"/>
    <w:rsid w:val="00002340"/>
    <w:rsid w:val="000023C2"/>
    <w:rsid w:val="0000286E"/>
    <w:rsid w:val="00002A65"/>
    <w:rsid w:val="00002C6F"/>
    <w:rsid w:val="00002D87"/>
    <w:rsid w:val="0000377D"/>
    <w:rsid w:val="0000387D"/>
    <w:rsid w:val="0000395B"/>
    <w:rsid w:val="0000399D"/>
    <w:rsid w:val="00003A3F"/>
    <w:rsid w:val="00003C18"/>
    <w:rsid w:val="00003DF6"/>
    <w:rsid w:val="00003FEE"/>
    <w:rsid w:val="000040D1"/>
    <w:rsid w:val="00004195"/>
    <w:rsid w:val="0000420A"/>
    <w:rsid w:val="0000480F"/>
    <w:rsid w:val="00004944"/>
    <w:rsid w:val="00004986"/>
    <w:rsid w:val="000049B0"/>
    <w:rsid w:val="000049F8"/>
    <w:rsid w:val="00004B45"/>
    <w:rsid w:val="00004BD8"/>
    <w:rsid w:val="00004C3D"/>
    <w:rsid w:val="00004EE9"/>
    <w:rsid w:val="00004EEA"/>
    <w:rsid w:val="00005004"/>
    <w:rsid w:val="00005024"/>
    <w:rsid w:val="000050BC"/>
    <w:rsid w:val="000052E4"/>
    <w:rsid w:val="00005448"/>
    <w:rsid w:val="000058A1"/>
    <w:rsid w:val="00005BBF"/>
    <w:rsid w:val="00005D31"/>
    <w:rsid w:val="000060EF"/>
    <w:rsid w:val="0000610B"/>
    <w:rsid w:val="00006208"/>
    <w:rsid w:val="000062A4"/>
    <w:rsid w:val="000062DA"/>
    <w:rsid w:val="00006328"/>
    <w:rsid w:val="000063CE"/>
    <w:rsid w:val="000064DC"/>
    <w:rsid w:val="00006500"/>
    <w:rsid w:val="000065C7"/>
    <w:rsid w:val="00006709"/>
    <w:rsid w:val="00006930"/>
    <w:rsid w:val="00006C8E"/>
    <w:rsid w:val="00006F0D"/>
    <w:rsid w:val="00006F80"/>
    <w:rsid w:val="0000729B"/>
    <w:rsid w:val="0000737B"/>
    <w:rsid w:val="00007552"/>
    <w:rsid w:val="000075C4"/>
    <w:rsid w:val="000075E5"/>
    <w:rsid w:val="0000767D"/>
    <w:rsid w:val="00007C39"/>
    <w:rsid w:val="00007D81"/>
    <w:rsid w:val="00007D9B"/>
    <w:rsid w:val="00007FE3"/>
    <w:rsid w:val="000101D1"/>
    <w:rsid w:val="00010543"/>
    <w:rsid w:val="000108F5"/>
    <w:rsid w:val="00010A87"/>
    <w:rsid w:val="00010B9F"/>
    <w:rsid w:val="00010D91"/>
    <w:rsid w:val="00010FD0"/>
    <w:rsid w:val="00011122"/>
    <w:rsid w:val="00011851"/>
    <w:rsid w:val="000118C0"/>
    <w:rsid w:val="00012096"/>
    <w:rsid w:val="000120E9"/>
    <w:rsid w:val="00012204"/>
    <w:rsid w:val="0001221B"/>
    <w:rsid w:val="00012269"/>
    <w:rsid w:val="000127CC"/>
    <w:rsid w:val="00012808"/>
    <w:rsid w:val="000128C1"/>
    <w:rsid w:val="000128EF"/>
    <w:rsid w:val="000131C5"/>
    <w:rsid w:val="000132E1"/>
    <w:rsid w:val="0001349E"/>
    <w:rsid w:val="000135C1"/>
    <w:rsid w:val="00013630"/>
    <w:rsid w:val="0001367F"/>
    <w:rsid w:val="000137FB"/>
    <w:rsid w:val="0001390C"/>
    <w:rsid w:val="000139FA"/>
    <w:rsid w:val="00013B16"/>
    <w:rsid w:val="00013BB8"/>
    <w:rsid w:val="00013CD9"/>
    <w:rsid w:val="00013E77"/>
    <w:rsid w:val="00013FFB"/>
    <w:rsid w:val="000140A7"/>
    <w:rsid w:val="000140AA"/>
    <w:rsid w:val="000140B8"/>
    <w:rsid w:val="000141FB"/>
    <w:rsid w:val="0001441A"/>
    <w:rsid w:val="0001485A"/>
    <w:rsid w:val="00014D9F"/>
    <w:rsid w:val="00015136"/>
    <w:rsid w:val="00015406"/>
    <w:rsid w:val="0001573F"/>
    <w:rsid w:val="000158E9"/>
    <w:rsid w:val="000159FE"/>
    <w:rsid w:val="00015B56"/>
    <w:rsid w:val="00015C23"/>
    <w:rsid w:val="00015D04"/>
    <w:rsid w:val="00016002"/>
    <w:rsid w:val="000162C9"/>
    <w:rsid w:val="00016458"/>
    <w:rsid w:val="0001654C"/>
    <w:rsid w:val="000165E0"/>
    <w:rsid w:val="00016632"/>
    <w:rsid w:val="000167D2"/>
    <w:rsid w:val="00016A49"/>
    <w:rsid w:val="00016C2F"/>
    <w:rsid w:val="00017406"/>
    <w:rsid w:val="00017524"/>
    <w:rsid w:val="00017642"/>
    <w:rsid w:val="00017738"/>
    <w:rsid w:val="00017787"/>
    <w:rsid w:val="0001778F"/>
    <w:rsid w:val="0001787B"/>
    <w:rsid w:val="00017BCD"/>
    <w:rsid w:val="00017DE7"/>
    <w:rsid w:val="00020401"/>
    <w:rsid w:val="00020414"/>
    <w:rsid w:val="0002065C"/>
    <w:rsid w:val="00020EEB"/>
    <w:rsid w:val="000212AC"/>
    <w:rsid w:val="000212EC"/>
    <w:rsid w:val="00021387"/>
    <w:rsid w:val="0002165C"/>
    <w:rsid w:val="00021725"/>
    <w:rsid w:val="00021ABA"/>
    <w:rsid w:val="00021DC1"/>
    <w:rsid w:val="00022003"/>
    <w:rsid w:val="00022240"/>
    <w:rsid w:val="00022502"/>
    <w:rsid w:val="00022548"/>
    <w:rsid w:val="00022633"/>
    <w:rsid w:val="0002271C"/>
    <w:rsid w:val="00022763"/>
    <w:rsid w:val="000228D6"/>
    <w:rsid w:val="00022974"/>
    <w:rsid w:val="00022F08"/>
    <w:rsid w:val="0002306F"/>
    <w:rsid w:val="000232E3"/>
    <w:rsid w:val="0002384E"/>
    <w:rsid w:val="00024004"/>
    <w:rsid w:val="00024097"/>
    <w:rsid w:val="000241EA"/>
    <w:rsid w:val="000244DF"/>
    <w:rsid w:val="000245B7"/>
    <w:rsid w:val="0002460B"/>
    <w:rsid w:val="0002461A"/>
    <w:rsid w:val="00024CF3"/>
    <w:rsid w:val="00024D07"/>
    <w:rsid w:val="00024DF3"/>
    <w:rsid w:val="00024E63"/>
    <w:rsid w:val="000250B2"/>
    <w:rsid w:val="00025180"/>
    <w:rsid w:val="0002519A"/>
    <w:rsid w:val="000252D8"/>
    <w:rsid w:val="000252E1"/>
    <w:rsid w:val="00025BDF"/>
    <w:rsid w:val="00025D69"/>
    <w:rsid w:val="00025F38"/>
    <w:rsid w:val="00026183"/>
    <w:rsid w:val="000261BB"/>
    <w:rsid w:val="000264C1"/>
    <w:rsid w:val="000267E4"/>
    <w:rsid w:val="000269CF"/>
    <w:rsid w:val="00026A1B"/>
    <w:rsid w:val="00026C48"/>
    <w:rsid w:val="00027001"/>
    <w:rsid w:val="0002706C"/>
    <w:rsid w:val="00027449"/>
    <w:rsid w:val="000274AB"/>
    <w:rsid w:val="00027695"/>
    <w:rsid w:val="0002772A"/>
    <w:rsid w:val="00027808"/>
    <w:rsid w:val="00027D9A"/>
    <w:rsid w:val="00027F6B"/>
    <w:rsid w:val="00030070"/>
    <w:rsid w:val="0003010C"/>
    <w:rsid w:val="00030364"/>
    <w:rsid w:val="00030506"/>
    <w:rsid w:val="000307A4"/>
    <w:rsid w:val="000309A9"/>
    <w:rsid w:val="000309ED"/>
    <w:rsid w:val="00030A20"/>
    <w:rsid w:val="00030D61"/>
    <w:rsid w:val="000310DE"/>
    <w:rsid w:val="00031140"/>
    <w:rsid w:val="0003125F"/>
    <w:rsid w:val="000315CC"/>
    <w:rsid w:val="000316F8"/>
    <w:rsid w:val="000317F4"/>
    <w:rsid w:val="00031BCD"/>
    <w:rsid w:val="00031DC4"/>
    <w:rsid w:val="00031F56"/>
    <w:rsid w:val="000325D5"/>
    <w:rsid w:val="000329BD"/>
    <w:rsid w:val="00032B7C"/>
    <w:rsid w:val="00032E67"/>
    <w:rsid w:val="0003320C"/>
    <w:rsid w:val="000332C9"/>
    <w:rsid w:val="000334E1"/>
    <w:rsid w:val="0003357C"/>
    <w:rsid w:val="00033636"/>
    <w:rsid w:val="000336C9"/>
    <w:rsid w:val="000338F2"/>
    <w:rsid w:val="00033A44"/>
    <w:rsid w:val="00033C5F"/>
    <w:rsid w:val="00033CEE"/>
    <w:rsid w:val="00033D35"/>
    <w:rsid w:val="00033E48"/>
    <w:rsid w:val="000341E2"/>
    <w:rsid w:val="00034289"/>
    <w:rsid w:val="000342D7"/>
    <w:rsid w:val="00034315"/>
    <w:rsid w:val="000343AA"/>
    <w:rsid w:val="0003464E"/>
    <w:rsid w:val="00034879"/>
    <w:rsid w:val="000348AE"/>
    <w:rsid w:val="000348BF"/>
    <w:rsid w:val="00034977"/>
    <w:rsid w:val="000349E4"/>
    <w:rsid w:val="00034B7C"/>
    <w:rsid w:val="00034D0F"/>
    <w:rsid w:val="00035083"/>
    <w:rsid w:val="000351BA"/>
    <w:rsid w:val="000355CC"/>
    <w:rsid w:val="00035742"/>
    <w:rsid w:val="0003574C"/>
    <w:rsid w:val="00035946"/>
    <w:rsid w:val="000359A6"/>
    <w:rsid w:val="00035B1E"/>
    <w:rsid w:val="00035D71"/>
    <w:rsid w:val="00036015"/>
    <w:rsid w:val="00036109"/>
    <w:rsid w:val="00036248"/>
    <w:rsid w:val="00036332"/>
    <w:rsid w:val="00036354"/>
    <w:rsid w:val="0003675B"/>
    <w:rsid w:val="00036786"/>
    <w:rsid w:val="000367C4"/>
    <w:rsid w:val="0003688B"/>
    <w:rsid w:val="0003699B"/>
    <w:rsid w:val="00036B2A"/>
    <w:rsid w:val="00036BB2"/>
    <w:rsid w:val="00036CFA"/>
    <w:rsid w:val="0003729E"/>
    <w:rsid w:val="000372FC"/>
    <w:rsid w:val="0003733B"/>
    <w:rsid w:val="00037412"/>
    <w:rsid w:val="0003764F"/>
    <w:rsid w:val="0003766C"/>
    <w:rsid w:val="00037730"/>
    <w:rsid w:val="0003789A"/>
    <w:rsid w:val="00037BA1"/>
    <w:rsid w:val="00037C44"/>
    <w:rsid w:val="00037DF5"/>
    <w:rsid w:val="00037F16"/>
    <w:rsid w:val="0004006A"/>
    <w:rsid w:val="00040350"/>
    <w:rsid w:val="00040389"/>
    <w:rsid w:val="00040463"/>
    <w:rsid w:val="00040522"/>
    <w:rsid w:val="000405CE"/>
    <w:rsid w:val="00040DD8"/>
    <w:rsid w:val="00040F1F"/>
    <w:rsid w:val="0004113D"/>
    <w:rsid w:val="00041241"/>
    <w:rsid w:val="000413F3"/>
    <w:rsid w:val="00041550"/>
    <w:rsid w:val="00041851"/>
    <w:rsid w:val="000418F1"/>
    <w:rsid w:val="0004195E"/>
    <w:rsid w:val="00041DB5"/>
    <w:rsid w:val="00042030"/>
    <w:rsid w:val="0004223F"/>
    <w:rsid w:val="0004228C"/>
    <w:rsid w:val="000428C1"/>
    <w:rsid w:val="00042901"/>
    <w:rsid w:val="00042A7B"/>
    <w:rsid w:val="00042B21"/>
    <w:rsid w:val="00042B39"/>
    <w:rsid w:val="00042B90"/>
    <w:rsid w:val="00042D32"/>
    <w:rsid w:val="00042DA3"/>
    <w:rsid w:val="00042DD1"/>
    <w:rsid w:val="0004301D"/>
    <w:rsid w:val="000431CE"/>
    <w:rsid w:val="00043209"/>
    <w:rsid w:val="0004352C"/>
    <w:rsid w:val="00043640"/>
    <w:rsid w:val="000437B8"/>
    <w:rsid w:val="0004384A"/>
    <w:rsid w:val="00043B58"/>
    <w:rsid w:val="00043BB2"/>
    <w:rsid w:val="00043F44"/>
    <w:rsid w:val="00044187"/>
    <w:rsid w:val="00044B3E"/>
    <w:rsid w:val="00044D13"/>
    <w:rsid w:val="00044EEA"/>
    <w:rsid w:val="00044F75"/>
    <w:rsid w:val="000450FA"/>
    <w:rsid w:val="00045296"/>
    <w:rsid w:val="00045418"/>
    <w:rsid w:val="000454B8"/>
    <w:rsid w:val="000454F4"/>
    <w:rsid w:val="00045568"/>
    <w:rsid w:val="000455CC"/>
    <w:rsid w:val="00045694"/>
    <w:rsid w:val="000456A2"/>
    <w:rsid w:val="00045AED"/>
    <w:rsid w:val="00045C00"/>
    <w:rsid w:val="00045D17"/>
    <w:rsid w:val="00045ECE"/>
    <w:rsid w:val="00045FD3"/>
    <w:rsid w:val="0004613D"/>
    <w:rsid w:val="000461DE"/>
    <w:rsid w:val="0004648E"/>
    <w:rsid w:val="0004677C"/>
    <w:rsid w:val="00046827"/>
    <w:rsid w:val="000468BE"/>
    <w:rsid w:val="00046A25"/>
    <w:rsid w:val="00046D78"/>
    <w:rsid w:val="00046EB9"/>
    <w:rsid w:val="00046F57"/>
    <w:rsid w:val="000471E8"/>
    <w:rsid w:val="000472E6"/>
    <w:rsid w:val="00047404"/>
    <w:rsid w:val="000474FE"/>
    <w:rsid w:val="00047505"/>
    <w:rsid w:val="00047553"/>
    <w:rsid w:val="00047576"/>
    <w:rsid w:val="000475CF"/>
    <w:rsid w:val="000476C4"/>
    <w:rsid w:val="0004796D"/>
    <w:rsid w:val="00047B39"/>
    <w:rsid w:val="00047F2C"/>
    <w:rsid w:val="000500D2"/>
    <w:rsid w:val="00050228"/>
    <w:rsid w:val="00050331"/>
    <w:rsid w:val="0005074D"/>
    <w:rsid w:val="0005085D"/>
    <w:rsid w:val="00050A57"/>
    <w:rsid w:val="00050A9F"/>
    <w:rsid w:val="00050CAE"/>
    <w:rsid w:val="00051195"/>
    <w:rsid w:val="00051244"/>
    <w:rsid w:val="0005138F"/>
    <w:rsid w:val="00051438"/>
    <w:rsid w:val="0005153F"/>
    <w:rsid w:val="000515BF"/>
    <w:rsid w:val="00051759"/>
    <w:rsid w:val="000517A8"/>
    <w:rsid w:val="00051944"/>
    <w:rsid w:val="00051A5F"/>
    <w:rsid w:val="00051EEE"/>
    <w:rsid w:val="00051FAD"/>
    <w:rsid w:val="00052184"/>
    <w:rsid w:val="00052469"/>
    <w:rsid w:val="00052838"/>
    <w:rsid w:val="00052994"/>
    <w:rsid w:val="00052B82"/>
    <w:rsid w:val="00052BD2"/>
    <w:rsid w:val="00052CC7"/>
    <w:rsid w:val="00052E40"/>
    <w:rsid w:val="00052F2B"/>
    <w:rsid w:val="00052F32"/>
    <w:rsid w:val="0005301A"/>
    <w:rsid w:val="00053095"/>
    <w:rsid w:val="00053120"/>
    <w:rsid w:val="0005315E"/>
    <w:rsid w:val="0005355B"/>
    <w:rsid w:val="00053601"/>
    <w:rsid w:val="00053797"/>
    <w:rsid w:val="00053AC4"/>
    <w:rsid w:val="00053C32"/>
    <w:rsid w:val="00053E83"/>
    <w:rsid w:val="00053F87"/>
    <w:rsid w:val="00054019"/>
    <w:rsid w:val="00054214"/>
    <w:rsid w:val="0005424A"/>
    <w:rsid w:val="000543DE"/>
    <w:rsid w:val="00054415"/>
    <w:rsid w:val="000548BF"/>
    <w:rsid w:val="00054AFE"/>
    <w:rsid w:val="00055030"/>
    <w:rsid w:val="0005508A"/>
    <w:rsid w:val="000553C4"/>
    <w:rsid w:val="000553F6"/>
    <w:rsid w:val="000558EC"/>
    <w:rsid w:val="00055BB4"/>
    <w:rsid w:val="00055F1F"/>
    <w:rsid w:val="00055FA9"/>
    <w:rsid w:val="0005603F"/>
    <w:rsid w:val="00056117"/>
    <w:rsid w:val="000561B2"/>
    <w:rsid w:val="000561FC"/>
    <w:rsid w:val="0005622E"/>
    <w:rsid w:val="000562BA"/>
    <w:rsid w:val="000563F7"/>
    <w:rsid w:val="000563FF"/>
    <w:rsid w:val="0005666F"/>
    <w:rsid w:val="000566E5"/>
    <w:rsid w:val="00056811"/>
    <w:rsid w:val="00056841"/>
    <w:rsid w:val="00056893"/>
    <w:rsid w:val="000568E0"/>
    <w:rsid w:val="00056B4B"/>
    <w:rsid w:val="00056B85"/>
    <w:rsid w:val="00056C03"/>
    <w:rsid w:val="00056CA7"/>
    <w:rsid w:val="00057247"/>
    <w:rsid w:val="0005750E"/>
    <w:rsid w:val="0005779F"/>
    <w:rsid w:val="000577F0"/>
    <w:rsid w:val="0005782B"/>
    <w:rsid w:val="000578A5"/>
    <w:rsid w:val="00057B45"/>
    <w:rsid w:val="00057D76"/>
    <w:rsid w:val="0006005A"/>
    <w:rsid w:val="00060067"/>
    <w:rsid w:val="00060408"/>
    <w:rsid w:val="0006043B"/>
    <w:rsid w:val="0006053F"/>
    <w:rsid w:val="0006084F"/>
    <w:rsid w:val="00060A4A"/>
    <w:rsid w:val="00060B84"/>
    <w:rsid w:val="00060D01"/>
    <w:rsid w:val="00061049"/>
    <w:rsid w:val="00061494"/>
    <w:rsid w:val="000614D1"/>
    <w:rsid w:val="00061665"/>
    <w:rsid w:val="00061757"/>
    <w:rsid w:val="00061852"/>
    <w:rsid w:val="00061A13"/>
    <w:rsid w:val="00061AA7"/>
    <w:rsid w:val="00061CFC"/>
    <w:rsid w:val="00061D0B"/>
    <w:rsid w:val="00061E13"/>
    <w:rsid w:val="00061EAA"/>
    <w:rsid w:val="000620CD"/>
    <w:rsid w:val="00062171"/>
    <w:rsid w:val="000629F9"/>
    <w:rsid w:val="0006317F"/>
    <w:rsid w:val="00063739"/>
    <w:rsid w:val="000638F2"/>
    <w:rsid w:val="00063B65"/>
    <w:rsid w:val="00063BE7"/>
    <w:rsid w:val="00063BFB"/>
    <w:rsid w:val="00063C7D"/>
    <w:rsid w:val="00063D0E"/>
    <w:rsid w:val="00063FA9"/>
    <w:rsid w:val="00063FC8"/>
    <w:rsid w:val="00063FE9"/>
    <w:rsid w:val="00063FF4"/>
    <w:rsid w:val="00064008"/>
    <w:rsid w:val="0006409D"/>
    <w:rsid w:val="000640EA"/>
    <w:rsid w:val="0006470D"/>
    <w:rsid w:val="0006498E"/>
    <w:rsid w:val="00064A2E"/>
    <w:rsid w:val="00064ABC"/>
    <w:rsid w:val="00064C30"/>
    <w:rsid w:val="00064D65"/>
    <w:rsid w:val="00064D84"/>
    <w:rsid w:val="00064FD4"/>
    <w:rsid w:val="00065120"/>
    <w:rsid w:val="00065217"/>
    <w:rsid w:val="00065336"/>
    <w:rsid w:val="000654CB"/>
    <w:rsid w:val="000654CD"/>
    <w:rsid w:val="000654ED"/>
    <w:rsid w:val="0006598A"/>
    <w:rsid w:val="000659E5"/>
    <w:rsid w:val="00065C42"/>
    <w:rsid w:val="0006601E"/>
    <w:rsid w:val="00066054"/>
    <w:rsid w:val="0006612B"/>
    <w:rsid w:val="00066134"/>
    <w:rsid w:val="000662E5"/>
    <w:rsid w:val="00066394"/>
    <w:rsid w:val="000663A4"/>
    <w:rsid w:val="00066427"/>
    <w:rsid w:val="0006691A"/>
    <w:rsid w:val="000669A5"/>
    <w:rsid w:val="00066A69"/>
    <w:rsid w:val="00066A70"/>
    <w:rsid w:val="00066D05"/>
    <w:rsid w:val="00066E60"/>
    <w:rsid w:val="00066E68"/>
    <w:rsid w:val="00066F62"/>
    <w:rsid w:val="000672AA"/>
    <w:rsid w:val="0006737B"/>
    <w:rsid w:val="0006752D"/>
    <w:rsid w:val="00067556"/>
    <w:rsid w:val="000676F3"/>
    <w:rsid w:val="000676F8"/>
    <w:rsid w:val="00067851"/>
    <w:rsid w:val="000678B6"/>
    <w:rsid w:val="00067A09"/>
    <w:rsid w:val="00067C1F"/>
    <w:rsid w:val="00067C2A"/>
    <w:rsid w:val="00067C50"/>
    <w:rsid w:val="00067D56"/>
    <w:rsid w:val="00067D9C"/>
    <w:rsid w:val="00067FB4"/>
    <w:rsid w:val="000708F6"/>
    <w:rsid w:val="00070A30"/>
    <w:rsid w:val="00070A7E"/>
    <w:rsid w:val="00070CB6"/>
    <w:rsid w:val="00070E5E"/>
    <w:rsid w:val="00071092"/>
    <w:rsid w:val="00071463"/>
    <w:rsid w:val="000714AA"/>
    <w:rsid w:val="00071720"/>
    <w:rsid w:val="00071857"/>
    <w:rsid w:val="0007195B"/>
    <w:rsid w:val="00071A81"/>
    <w:rsid w:val="00071B38"/>
    <w:rsid w:val="00071CB0"/>
    <w:rsid w:val="00071D83"/>
    <w:rsid w:val="00071DA5"/>
    <w:rsid w:val="00071EBA"/>
    <w:rsid w:val="00072125"/>
    <w:rsid w:val="0007215D"/>
    <w:rsid w:val="00072216"/>
    <w:rsid w:val="00072223"/>
    <w:rsid w:val="0007237A"/>
    <w:rsid w:val="00072401"/>
    <w:rsid w:val="000724F9"/>
    <w:rsid w:val="00072659"/>
    <w:rsid w:val="00072682"/>
    <w:rsid w:val="000728FE"/>
    <w:rsid w:val="0007296C"/>
    <w:rsid w:val="000729C8"/>
    <w:rsid w:val="00072A13"/>
    <w:rsid w:val="00072C25"/>
    <w:rsid w:val="00072D6B"/>
    <w:rsid w:val="00073383"/>
    <w:rsid w:val="0007348C"/>
    <w:rsid w:val="000736A7"/>
    <w:rsid w:val="00073742"/>
    <w:rsid w:val="000737AB"/>
    <w:rsid w:val="00073815"/>
    <w:rsid w:val="00073877"/>
    <w:rsid w:val="0007393C"/>
    <w:rsid w:val="00073C72"/>
    <w:rsid w:val="00073D94"/>
    <w:rsid w:val="00073E62"/>
    <w:rsid w:val="00073F59"/>
    <w:rsid w:val="00073F6F"/>
    <w:rsid w:val="00073F92"/>
    <w:rsid w:val="00074A81"/>
    <w:rsid w:val="00074E09"/>
    <w:rsid w:val="00074F25"/>
    <w:rsid w:val="00075068"/>
    <w:rsid w:val="00075279"/>
    <w:rsid w:val="000754AE"/>
    <w:rsid w:val="000754D4"/>
    <w:rsid w:val="0007551C"/>
    <w:rsid w:val="000759F2"/>
    <w:rsid w:val="00075C3E"/>
    <w:rsid w:val="00075ECC"/>
    <w:rsid w:val="0007601B"/>
    <w:rsid w:val="000760C7"/>
    <w:rsid w:val="000762F3"/>
    <w:rsid w:val="000765E3"/>
    <w:rsid w:val="0007663A"/>
    <w:rsid w:val="00076776"/>
    <w:rsid w:val="0007696B"/>
    <w:rsid w:val="00076B3A"/>
    <w:rsid w:val="00076D1A"/>
    <w:rsid w:val="00076F69"/>
    <w:rsid w:val="00076F83"/>
    <w:rsid w:val="00077176"/>
    <w:rsid w:val="00077348"/>
    <w:rsid w:val="0007735C"/>
    <w:rsid w:val="0007757E"/>
    <w:rsid w:val="000779C9"/>
    <w:rsid w:val="00077A9D"/>
    <w:rsid w:val="00077B12"/>
    <w:rsid w:val="00077E1F"/>
    <w:rsid w:val="000801D8"/>
    <w:rsid w:val="00080207"/>
    <w:rsid w:val="000803DC"/>
    <w:rsid w:val="00080632"/>
    <w:rsid w:val="00080A1B"/>
    <w:rsid w:val="00080DB6"/>
    <w:rsid w:val="00080EEB"/>
    <w:rsid w:val="00080FFF"/>
    <w:rsid w:val="00081148"/>
    <w:rsid w:val="000811C2"/>
    <w:rsid w:val="000813EB"/>
    <w:rsid w:val="000815B0"/>
    <w:rsid w:val="00081625"/>
    <w:rsid w:val="00081734"/>
    <w:rsid w:val="000818B4"/>
    <w:rsid w:val="00081913"/>
    <w:rsid w:val="00081D99"/>
    <w:rsid w:val="000820C2"/>
    <w:rsid w:val="000821F4"/>
    <w:rsid w:val="0008222B"/>
    <w:rsid w:val="000823AF"/>
    <w:rsid w:val="000823B3"/>
    <w:rsid w:val="000825F3"/>
    <w:rsid w:val="000827EB"/>
    <w:rsid w:val="000828D4"/>
    <w:rsid w:val="0008293E"/>
    <w:rsid w:val="000829A9"/>
    <w:rsid w:val="00082B68"/>
    <w:rsid w:val="00082BDC"/>
    <w:rsid w:val="00082C8F"/>
    <w:rsid w:val="00082CEB"/>
    <w:rsid w:val="00082D64"/>
    <w:rsid w:val="00082DF2"/>
    <w:rsid w:val="00082F8C"/>
    <w:rsid w:val="00082FCD"/>
    <w:rsid w:val="00083095"/>
    <w:rsid w:val="000831CA"/>
    <w:rsid w:val="0008320A"/>
    <w:rsid w:val="0008322A"/>
    <w:rsid w:val="00083280"/>
    <w:rsid w:val="000832CB"/>
    <w:rsid w:val="00083644"/>
    <w:rsid w:val="00083660"/>
    <w:rsid w:val="0008366A"/>
    <w:rsid w:val="000838C2"/>
    <w:rsid w:val="000838D7"/>
    <w:rsid w:val="00083A0E"/>
    <w:rsid w:val="00083A2A"/>
    <w:rsid w:val="00083C25"/>
    <w:rsid w:val="00083ED9"/>
    <w:rsid w:val="00083F37"/>
    <w:rsid w:val="000842BB"/>
    <w:rsid w:val="0008439E"/>
    <w:rsid w:val="000843E4"/>
    <w:rsid w:val="00084557"/>
    <w:rsid w:val="00084871"/>
    <w:rsid w:val="00084935"/>
    <w:rsid w:val="00084969"/>
    <w:rsid w:val="00084A14"/>
    <w:rsid w:val="00084B85"/>
    <w:rsid w:val="00084CDE"/>
    <w:rsid w:val="00085175"/>
    <w:rsid w:val="000852B5"/>
    <w:rsid w:val="00085478"/>
    <w:rsid w:val="000854A9"/>
    <w:rsid w:val="0008577A"/>
    <w:rsid w:val="000857D6"/>
    <w:rsid w:val="000858B8"/>
    <w:rsid w:val="000859C0"/>
    <w:rsid w:val="00085B82"/>
    <w:rsid w:val="00085B9C"/>
    <w:rsid w:val="00085C96"/>
    <w:rsid w:val="00085F36"/>
    <w:rsid w:val="000861E7"/>
    <w:rsid w:val="00086339"/>
    <w:rsid w:val="000863DE"/>
    <w:rsid w:val="00086442"/>
    <w:rsid w:val="00086490"/>
    <w:rsid w:val="0008650A"/>
    <w:rsid w:val="00086598"/>
    <w:rsid w:val="000865BA"/>
    <w:rsid w:val="000866BE"/>
    <w:rsid w:val="00086813"/>
    <w:rsid w:val="0008682A"/>
    <w:rsid w:val="00086846"/>
    <w:rsid w:val="0008688A"/>
    <w:rsid w:val="0008699A"/>
    <w:rsid w:val="00086B4C"/>
    <w:rsid w:val="00086EE7"/>
    <w:rsid w:val="00086F95"/>
    <w:rsid w:val="0008709B"/>
    <w:rsid w:val="0008714B"/>
    <w:rsid w:val="0008714C"/>
    <w:rsid w:val="000872C3"/>
    <w:rsid w:val="00087687"/>
    <w:rsid w:val="00087792"/>
    <w:rsid w:val="000877AA"/>
    <w:rsid w:val="000877D3"/>
    <w:rsid w:val="00087896"/>
    <w:rsid w:val="00087A0B"/>
    <w:rsid w:val="00090274"/>
    <w:rsid w:val="000902EC"/>
    <w:rsid w:val="00090622"/>
    <w:rsid w:val="00090970"/>
    <w:rsid w:val="000909B7"/>
    <w:rsid w:val="00090A17"/>
    <w:rsid w:val="00090A2E"/>
    <w:rsid w:val="00090B28"/>
    <w:rsid w:val="00090C06"/>
    <w:rsid w:val="00090C48"/>
    <w:rsid w:val="00090E4A"/>
    <w:rsid w:val="00091100"/>
    <w:rsid w:val="0009137A"/>
    <w:rsid w:val="000913F9"/>
    <w:rsid w:val="00091470"/>
    <w:rsid w:val="00091480"/>
    <w:rsid w:val="0009153C"/>
    <w:rsid w:val="00091566"/>
    <w:rsid w:val="00091677"/>
    <w:rsid w:val="00091791"/>
    <w:rsid w:val="000917FF"/>
    <w:rsid w:val="000919D7"/>
    <w:rsid w:val="000919DF"/>
    <w:rsid w:val="000919FA"/>
    <w:rsid w:val="00091C12"/>
    <w:rsid w:val="00091D27"/>
    <w:rsid w:val="00091D90"/>
    <w:rsid w:val="00091E3E"/>
    <w:rsid w:val="00091FDA"/>
    <w:rsid w:val="0009232C"/>
    <w:rsid w:val="0009240B"/>
    <w:rsid w:val="00092766"/>
    <w:rsid w:val="000928DC"/>
    <w:rsid w:val="000928FD"/>
    <w:rsid w:val="00092A23"/>
    <w:rsid w:val="00092A37"/>
    <w:rsid w:val="00092BFA"/>
    <w:rsid w:val="00092E34"/>
    <w:rsid w:val="000932EF"/>
    <w:rsid w:val="000933A0"/>
    <w:rsid w:val="0009363B"/>
    <w:rsid w:val="000939C4"/>
    <w:rsid w:val="00093A73"/>
    <w:rsid w:val="00093B6D"/>
    <w:rsid w:val="00094029"/>
    <w:rsid w:val="0009404B"/>
    <w:rsid w:val="0009419C"/>
    <w:rsid w:val="00094791"/>
    <w:rsid w:val="0009480F"/>
    <w:rsid w:val="00094BDC"/>
    <w:rsid w:val="00094C50"/>
    <w:rsid w:val="00094E9D"/>
    <w:rsid w:val="00094F17"/>
    <w:rsid w:val="00095003"/>
    <w:rsid w:val="000952A5"/>
    <w:rsid w:val="000952E8"/>
    <w:rsid w:val="0009584F"/>
    <w:rsid w:val="0009588F"/>
    <w:rsid w:val="000958F3"/>
    <w:rsid w:val="00095A10"/>
    <w:rsid w:val="00095D28"/>
    <w:rsid w:val="00095DBD"/>
    <w:rsid w:val="00096158"/>
    <w:rsid w:val="000961FF"/>
    <w:rsid w:val="00096240"/>
    <w:rsid w:val="00096464"/>
    <w:rsid w:val="000966BB"/>
    <w:rsid w:val="00096758"/>
    <w:rsid w:val="000967FA"/>
    <w:rsid w:val="000969D5"/>
    <w:rsid w:val="00096A64"/>
    <w:rsid w:val="00096CBA"/>
    <w:rsid w:val="00096CEB"/>
    <w:rsid w:val="00096D05"/>
    <w:rsid w:val="00096D37"/>
    <w:rsid w:val="00096F1F"/>
    <w:rsid w:val="00096FAE"/>
    <w:rsid w:val="0009704A"/>
    <w:rsid w:val="0009715B"/>
    <w:rsid w:val="00097325"/>
    <w:rsid w:val="000976CC"/>
    <w:rsid w:val="0009792D"/>
    <w:rsid w:val="00097A17"/>
    <w:rsid w:val="00097E5E"/>
    <w:rsid w:val="00097EAB"/>
    <w:rsid w:val="00097FF7"/>
    <w:rsid w:val="000A0158"/>
    <w:rsid w:val="000A0199"/>
    <w:rsid w:val="000A0356"/>
    <w:rsid w:val="000A03C4"/>
    <w:rsid w:val="000A042E"/>
    <w:rsid w:val="000A05AC"/>
    <w:rsid w:val="000A05EB"/>
    <w:rsid w:val="000A06B8"/>
    <w:rsid w:val="000A083F"/>
    <w:rsid w:val="000A099F"/>
    <w:rsid w:val="000A0C57"/>
    <w:rsid w:val="000A0DCF"/>
    <w:rsid w:val="000A0E97"/>
    <w:rsid w:val="000A11FF"/>
    <w:rsid w:val="000A122D"/>
    <w:rsid w:val="000A15F5"/>
    <w:rsid w:val="000A1883"/>
    <w:rsid w:val="000A18B9"/>
    <w:rsid w:val="000A19FA"/>
    <w:rsid w:val="000A1AF8"/>
    <w:rsid w:val="000A2136"/>
    <w:rsid w:val="000A224A"/>
    <w:rsid w:val="000A2316"/>
    <w:rsid w:val="000A2319"/>
    <w:rsid w:val="000A243E"/>
    <w:rsid w:val="000A2473"/>
    <w:rsid w:val="000A264F"/>
    <w:rsid w:val="000A2D81"/>
    <w:rsid w:val="000A2E2F"/>
    <w:rsid w:val="000A2FE4"/>
    <w:rsid w:val="000A3006"/>
    <w:rsid w:val="000A3166"/>
    <w:rsid w:val="000A31AC"/>
    <w:rsid w:val="000A3398"/>
    <w:rsid w:val="000A3399"/>
    <w:rsid w:val="000A35AA"/>
    <w:rsid w:val="000A35FC"/>
    <w:rsid w:val="000A375F"/>
    <w:rsid w:val="000A3979"/>
    <w:rsid w:val="000A39FA"/>
    <w:rsid w:val="000A3CBE"/>
    <w:rsid w:val="000A3E6F"/>
    <w:rsid w:val="000A3F42"/>
    <w:rsid w:val="000A41C4"/>
    <w:rsid w:val="000A449B"/>
    <w:rsid w:val="000A468B"/>
    <w:rsid w:val="000A4741"/>
    <w:rsid w:val="000A4788"/>
    <w:rsid w:val="000A4936"/>
    <w:rsid w:val="000A495B"/>
    <w:rsid w:val="000A4A57"/>
    <w:rsid w:val="000A4ACF"/>
    <w:rsid w:val="000A4CA9"/>
    <w:rsid w:val="000A4DB7"/>
    <w:rsid w:val="000A4DE4"/>
    <w:rsid w:val="000A4EFC"/>
    <w:rsid w:val="000A51EC"/>
    <w:rsid w:val="000A525F"/>
    <w:rsid w:val="000A5308"/>
    <w:rsid w:val="000A5437"/>
    <w:rsid w:val="000A5760"/>
    <w:rsid w:val="000A5780"/>
    <w:rsid w:val="000A5BEA"/>
    <w:rsid w:val="000A5ED2"/>
    <w:rsid w:val="000A66CE"/>
    <w:rsid w:val="000A6774"/>
    <w:rsid w:val="000A6842"/>
    <w:rsid w:val="000A68D6"/>
    <w:rsid w:val="000A6901"/>
    <w:rsid w:val="000A6AF6"/>
    <w:rsid w:val="000A6B10"/>
    <w:rsid w:val="000A6B6B"/>
    <w:rsid w:val="000A6F1C"/>
    <w:rsid w:val="000A7293"/>
    <w:rsid w:val="000A74F6"/>
    <w:rsid w:val="000A75DE"/>
    <w:rsid w:val="000A7635"/>
    <w:rsid w:val="000A76A6"/>
    <w:rsid w:val="000A7AB8"/>
    <w:rsid w:val="000A7C48"/>
    <w:rsid w:val="000A7CF5"/>
    <w:rsid w:val="000A7DEF"/>
    <w:rsid w:val="000A7E14"/>
    <w:rsid w:val="000B02C7"/>
    <w:rsid w:val="000B02C9"/>
    <w:rsid w:val="000B041D"/>
    <w:rsid w:val="000B04EB"/>
    <w:rsid w:val="000B0A14"/>
    <w:rsid w:val="000B0BAB"/>
    <w:rsid w:val="000B0C63"/>
    <w:rsid w:val="000B0EA9"/>
    <w:rsid w:val="000B0EE0"/>
    <w:rsid w:val="000B1202"/>
    <w:rsid w:val="000B1393"/>
    <w:rsid w:val="000B167A"/>
    <w:rsid w:val="000B16C0"/>
    <w:rsid w:val="000B16FD"/>
    <w:rsid w:val="000B179A"/>
    <w:rsid w:val="000B1C28"/>
    <w:rsid w:val="000B1C42"/>
    <w:rsid w:val="000B1D2B"/>
    <w:rsid w:val="000B1DB6"/>
    <w:rsid w:val="000B1DBE"/>
    <w:rsid w:val="000B1F7C"/>
    <w:rsid w:val="000B2501"/>
    <w:rsid w:val="000B262C"/>
    <w:rsid w:val="000B2B85"/>
    <w:rsid w:val="000B2FD8"/>
    <w:rsid w:val="000B30E0"/>
    <w:rsid w:val="000B3213"/>
    <w:rsid w:val="000B34F2"/>
    <w:rsid w:val="000B3AD2"/>
    <w:rsid w:val="000B40E7"/>
    <w:rsid w:val="000B41E9"/>
    <w:rsid w:val="000B43FF"/>
    <w:rsid w:val="000B4653"/>
    <w:rsid w:val="000B4998"/>
    <w:rsid w:val="000B4A1C"/>
    <w:rsid w:val="000B4A73"/>
    <w:rsid w:val="000B4F20"/>
    <w:rsid w:val="000B5063"/>
    <w:rsid w:val="000B528D"/>
    <w:rsid w:val="000B56CF"/>
    <w:rsid w:val="000B582D"/>
    <w:rsid w:val="000B5906"/>
    <w:rsid w:val="000B5AB9"/>
    <w:rsid w:val="000B5E14"/>
    <w:rsid w:val="000B5EDF"/>
    <w:rsid w:val="000B5F0C"/>
    <w:rsid w:val="000B6266"/>
    <w:rsid w:val="000B6387"/>
    <w:rsid w:val="000B64BA"/>
    <w:rsid w:val="000B64E9"/>
    <w:rsid w:val="000B6564"/>
    <w:rsid w:val="000B66FF"/>
    <w:rsid w:val="000B67E7"/>
    <w:rsid w:val="000B6AAC"/>
    <w:rsid w:val="000B6DAA"/>
    <w:rsid w:val="000B6ED8"/>
    <w:rsid w:val="000B6FDC"/>
    <w:rsid w:val="000B77B8"/>
    <w:rsid w:val="000B77C0"/>
    <w:rsid w:val="000B788D"/>
    <w:rsid w:val="000B7D5B"/>
    <w:rsid w:val="000B7E99"/>
    <w:rsid w:val="000B7F8E"/>
    <w:rsid w:val="000C02FE"/>
    <w:rsid w:val="000C04AB"/>
    <w:rsid w:val="000C0564"/>
    <w:rsid w:val="000C060E"/>
    <w:rsid w:val="000C0647"/>
    <w:rsid w:val="000C087E"/>
    <w:rsid w:val="000C08FE"/>
    <w:rsid w:val="000C092B"/>
    <w:rsid w:val="000C0A81"/>
    <w:rsid w:val="000C0A83"/>
    <w:rsid w:val="000C0B81"/>
    <w:rsid w:val="000C0C03"/>
    <w:rsid w:val="000C11A3"/>
    <w:rsid w:val="000C127C"/>
    <w:rsid w:val="000C139C"/>
    <w:rsid w:val="000C145F"/>
    <w:rsid w:val="000C1535"/>
    <w:rsid w:val="000C1634"/>
    <w:rsid w:val="000C19CB"/>
    <w:rsid w:val="000C1C01"/>
    <w:rsid w:val="000C202D"/>
    <w:rsid w:val="000C2038"/>
    <w:rsid w:val="000C2586"/>
    <w:rsid w:val="000C2682"/>
    <w:rsid w:val="000C2778"/>
    <w:rsid w:val="000C27CD"/>
    <w:rsid w:val="000C2ADD"/>
    <w:rsid w:val="000C2B95"/>
    <w:rsid w:val="000C2DE6"/>
    <w:rsid w:val="000C2FAC"/>
    <w:rsid w:val="000C2FE8"/>
    <w:rsid w:val="000C3133"/>
    <w:rsid w:val="000C3276"/>
    <w:rsid w:val="000C33D3"/>
    <w:rsid w:val="000C369E"/>
    <w:rsid w:val="000C37F6"/>
    <w:rsid w:val="000C383E"/>
    <w:rsid w:val="000C3920"/>
    <w:rsid w:val="000C39AD"/>
    <w:rsid w:val="000C3B34"/>
    <w:rsid w:val="000C3C5A"/>
    <w:rsid w:val="000C3CD8"/>
    <w:rsid w:val="000C3CFE"/>
    <w:rsid w:val="000C3D28"/>
    <w:rsid w:val="000C417E"/>
    <w:rsid w:val="000C437B"/>
    <w:rsid w:val="000C4775"/>
    <w:rsid w:val="000C47C5"/>
    <w:rsid w:val="000C4EFD"/>
    <w:rsid w:val="000C52A9"/>
    <w:rsid w:val="000C52E7"/>
    <w:rsid w:val="000C52F5"/>
    <w:rsid w:val="000C537B"/>
    <w:rsid w:val="000C53C5"/>
    <w:rsid w:val="000C5550"/>
    <w:rsid w:val="000C56E2"/>
    <w:rsid w:val="000C5782"/>
    <w:rsid w:val="000C591C"/>
    <w:rsid w:val="000C5955"/>
    <w:rsid w:val="000C59BF"/>
    <w:rsid w:val="000C5A4B"/>
    <w:rsid w:val="000C5DDF"/>
    <w:rsid w:val="000C5F5D"/>
    <w:rsid w:val="000C6015"/>
    <w:rsid w:val="000C60BE"/>
    <w:rsid w:val="000C6187"/>
    <w:rsid w:val="000C62E5"/>
    <w:rsid w:val="000C638B"/>
    <w:rsid w:val="000C64DF"/>
    <w:rsid w:val="000C656F"/>
    <w:rsid w:val="000C676C"/>
    <w:rsid w:val="000C6B01"/>
    <w:rsid w:val="000C6DB7"/>
    <w:rsid w:val="000C7344"/>
    <w:rsid w:val="000C74B4"/>
    <w:rsid w:val="000C76C4"/>
    <w:rsid w:val="000C7856"/>
    <w:rsid w:val="000C787B"/>
    <w:rsid w:val="000C7EDD"/>
    <w:rsid w:val="000D0096"/>
    <w:rsid w:val="000D0367"/>
    <w:rsid w:val="000D0476"/>
    <w:rsid w:val="000D05F2"/>
    <w:rsid w:val="000D0780"/>
    <w:rsid w:val="000D079E"/>
    <w:rsid w:val="000D0C23"/>
    <w:rsid w:val="000D0C35"/>
    <w:rsid w:val="000D0CB9"/>
    <w:rsid w:val="000D0D98"/>
    <w:rsid w:val="000D0F74"/>
    <w:rsid w:val="000D116E"/>
    <w:rsid w:val="000D127B"/>
    <w:rsid w:val="000D12EC"/>
    <w:rsid w:val="000D1430"/>
    <w:rsid w:val="000D147E"/>
    <w:rsid w:val="000D1639"/>
    <w:rsid w:val="000D1648"/>
    <w:rsid w:val="000D17F7"/>
    <w:rsid w:val="000D18C5"/>
    <w:rsid w:val="000D1911"/>
    <w:rsid w:val="000D19FC"/>
    <w:rsid w:val="000D1AA3"/>
    <w:rsid w:val="000D1B3A"/>
    <w:rsid w:val="000D1DA1"/>
    <w:rsid w:val="000D2048"/>
    <w:rsid w:val="000D2075"/>
    <w:rsid w:val="000D21C3"/>
    <w:rsid w:val="000D2320"/>
    <w:rsid w:val="000D23F6"/>
    <w:rsid w:val="000D2729"/>
    <w:rsid w:val="000D296A"/>
    <w:rsid w:val="000D29A8"/>
    <w:rsid w:val="000D2BA1"/>
    <w:rsid w:val="000D2D0A"/>
    <w:rsid w:val="000D2E2C"/>
    <w:rsid w:val="000D3167"/>
    <w:rsid w:val="000D31DB"/>
    <w:rsid w:val="000D326C"/>
    <w:rsid w:val="000D3560"/>
    <w:rsid w:val="000D35EB"/>
    <w:rsid w:val="000D368C"/>
    <w:rsid w:val="000D3749"/>
    <w:rsid w:val="000D3939"/>
    <w:rsid w:val="000D3AE3"/>
    <w:rsid w:val="000D3FE8"/>
    <w:rsid w:val="000D4026"/>
    <w:rsid w:val="000D421D"/>
    <w:rsid w:val="000D455F"/>
    <w:rsid w:val="000D45F9"/>
    <w:rsid w:val="000D4808"/>
    <w:rsid w:val="000D4DEC"/>
    <w:rsid w:val="000D4E2F"/>
    <w:rsid w:val="000D5058"/>
    <w:rsid w:val="000D5345"/>
    <w:rsid w:val="000D5468"/>
    <w:rsid w:val="000D54FD"/>
    <w:rsid w:val="000D555A"/>
    <w:rsid w:val="000D557B"/>
    <w:rsid w:val="000D5695"/>
    <w:rsid w:val="000D56EE"/>
    <w:rsid w:val="000D5741"/>
    <w:rsid w:val="000D582A"/>
    <w:rsid w:val="000D5D5D"/>
    <w:rsid w:val="000D5E05"/>
    <w:rsid w:val="000D5E11"/>
    <w:rsid w:val="000D5F61"/>
    <w:rsid w:val="000D60A9"/>
    <w:rsid w:val="000D6133"/>
    <w:rsid w:val="000D617B"/>
    <w:rsid w:val="000D643A"/>
    <w:rsid w:val="000D67EB"/>
    <w:rsid w:val="000D6894"/>
    <w:rsid w:val="000D6951"/>
    <w:rsid w:val="000D69C0"/>
    <w:rsid w:val="000D6A97"/>
    <w:rsid w:val="000D6CAB"/>
    <w:rsid w:val="000D6FBA"/>
    <w:rsid w:val="000D7186"/>
    <w:rsid w:val="000D7432"/>
    <w:rsid w:val="000D7472"/>
    <w:rsid w:val="000D76E0"/>
    <w:rsid w:val="000D77A8"/>
    <w:rsid w:val="000D78CD"/>
    <w:rsid w:val="000D79A0"/>
    <w:rsid w:val="000D7A49"/>
    <w:rsid w:val="000D7BB4"/>
    <w:rsid w:val="000D7E55"/>
    <w:rsid w:val="000D7E78"/>
    <w:rsid w:val="000E014E"/>
    <w:rsid w:val="000E0985"/>
    <w:rsid w:val="000E0B49"/>
    <w:rsid w:val="000E0C4B"/>
    <w:rsid w:val="000E0D40"/>
    <w:rsid w:val="000E0E37"/>
    <w:rsid w:val="000E0E6A"/>
    <w:rsid w:val="000E0FD7"/>
    <w:rsid w:val="000E11A2"/>
    <w:rsid w:val="000E12B6"/>
    <w:rsid w:val="000E12BC"/>
    <w:rsid w:val="000E13A3"/>
    <w:rsid w:val="000E146B"/>
    <w:rsid w:val="000E14D1"/>
    <w:rsid w:val="000E1629"/>
    <w:rsid w:val="000E17E2"/>
    <w:rsid w:val="000E1A6F"/>
    <w:rsid w:val="000E1E07"/>
    <w:rsid w:val="000E22F3"/>
    <w:rsid w:val="000E2316"/>
    <w:rsid w:val="000E233C"/>
    <w:rsid w:val="000E246C"/>
    <w:rsid w:val="000E2836"/>
    <w:rsid w:val="000E289E"/>
    <w:rsid w:val="000E28E3"/>
    <w:rsid w:val="000E2B55"/>
    <w:rsid w:val="000E2BEE"/>
    <w:rsid w:val="000E3027"/>
    <w:rsid w:val="000E3420"/>
    <w:rsid w:val="000E3691"/>
    <w:rsid w:val="000E38A3"/>
    <w:rsid w:val="000E38CD"/>
    <w:rsid w:val="000E3925"/>
    <w:rsid w:val="000E3A77"/>
    <w:rsid w:val="000E3C45"/>
    <w:rsid w:val="000E3C93"/>
    <w:rsid w:val="000E3CE6"/>
    <w:rsid w:val="000E3DC2"/>
    <w:rsid w:val="000E4036"/>
    <w:rsid w:val="000E4392"/>
    <w:rsid w:val="000E4676"/>
    <w:rsid w:val="000E47FB"/>
    <w:rsid w:val="000E4922"/>
    <w:rsid w:val="000E4CAE"/>
    <w:rsid w:val="000E576A"/>
    <w:rsid w:val="000E576E"/>
    <w:rsid w:val="000E5CB0"/>
    <w:rsid w:val="000E5D01"/>
    <w:rsid w:val="000E5D9F"/>
    <w:rsid w:val="000E5F04"/>
    <w:rsid w:val="000E5F9B"/>
    <w:rsid w:val="000E6110"/>
    <w:rsid w:val="000E6205"/>
    <w:rsid w:val="000E6492"/>
    <w:rsid w:val="000E64C8"/>
    <w:rsid w:val="000E65C2"/>
    <w:rsid w:val="000E68ED"/>
    <w:rsid w:val="000E6C30"/>
    <w:rsid w:val="000E6E89"/>
    <w:rsid w:val="000E7366"/>
    <w:rsid w:val="000E7398"/>
    <w:rsid w:val="000E7DF6"/>
    <w:rsid w:val="000E7F4C"/>
    <w:rsid w:val="000F00FB"/>
    <w:rsid w:val="000F0173"/>
    <w:rsid w:val="000F01F6"/>
    <w:rsid w:val="000F04C9"/>
    <w:rsid w:val="000F068A"/>
    <w:rsid w:val="000F0783"/>
    <w:rsid w:val="000F07C9"/>
    <w:rsid w:val="000F0832"/>
    <w:rsid w:val="000F0A12"/>
    <w:rsid w:val="000F0A74"/>
    <w:rsid w:val="000F0C8B"/>
    <w:rsid w:val="000F0CF3"/>
    <w:rsid w:val="000F0D99"/>
    <w:rsid w:val="000F0F97"/>
    <w:rsid w:val="000F114F"/>
    <w:rsid w:val="000F1195"/>
    <w:rsid w:val="000F122E"/>
    <w:rsid w:val="000F1759"/>
    <w:rsid w:val="000F1895"/>
    <w:rsid w:val="000F1997"/>
    <w:rsid w:val="000F1A21"/>
    <w:rsid w:val="000F1A9F"/>
    <w:rsid w:val="000F1B89"/>
    <w:rsid w:val="000F1B90"/>
    <w:rsid w:val="000F1CBD"/>
    <w:rsid w:val="000F1D67"/>
    <w:rsid w:val="000F1E7F"/>
    <w:rsid w:val="000F2222"/>
    <w:rsid w:val="000F22D2"/>
    <w:rsid w:val="000F24E7"/>
    <w:rsid w:val="000F250E"/>
    <w:rsid w:val="000F262A"/>
    <w:rsid w:val="000F2935"/>
    <w:rsid w:val="000F2B3C"/>
    <w:rsid w:val="000F2BF5"/>
    <w:rsid w:val="000F2D75"/>
    <w:rsid w:val="000F2F48"/>
    <w:rsid w:val="000F2FCE"/>
    <w:rsid w:val="000F3103"/>
    <w:rsid w:val="000F3120"/>
    <w:rsid w:val="000F31D7"/>
    <w:rsid w:val="000F35D7"/>
    <w:rsid w:val="000F35DE"/>
    <w:rsid w:val="000F36DD"/>
    <w:rsid w:val="000F372F"/>
    <w:rsid w:val="000F3746"/>
    <w:rsid w:val="000F3999"/>
    <w:rsid w:val="000F39D2"/>
    <w:rsid w:val="000F3A13"/>
    <w:rsid w:val="000F3AFB"/>
    <w:rsid w:val="000F3B48"/>
    <w:rsid w:val="000F3D7C"/>
    <w:rsid w:val="000F3DBB"/>
    <w:rsid w:val="000F4066"/>
    <w:rsid w:val="000F40C0"/>
    <w:rsid w:val="000F442D"/>
    <w:rsid w:val="000F47D6"/>
    <w:rsid w:val="000F493F"/>
    <w:rsid w:val="000F4AB9"/>
    <w:rsid w:val="000F4B5C"/>
    <w:rsid w:val="000F4F16"/>
    <w:rsid w:val="000F4F87"/>
    <w:rsid w:val="000F50CF"/>
    <w:rsid w:val="000F5434"/>
    <w:rsid w:val="000F5481"/>
    <w:rsid w:val="000F54CF"/>
    <w:rsid w:val="000F551C"/>
    <w:rsid w:val="000F5712"/>
    <w:rsid w:val="000F583C"/>
    <w:rsid w:val="000F5B1E"/>
    <w:rsid w:val="000F5D50"/>
    <w:rsid w:val="000F5DCD"/>
    <w:rsid w:val="000F6103"/>
    <w:rsid w:val="000F61A8"/>
    <w:rsid w:val="000F630C"/>
    <w:rsid w:val="000F6467"/>
    <w:rsid w:val="000F6770"/>
    <w:rsid w:val="000F677C"/>
    <w:rsid w:val="000F68BC"/>
    <w:rsid w:val="000F6B39"/>
    <w:rsid w:val="000F6D42"/>
    <w:rsid w:val="000F6E83"/>
    <w:rsid w:val="000F705F"/>
    <w:rsid w:val="000F735B"/>
    <w:rsid w:val="000F7381"/>
    <w:rsid w:val="000F7493"/>
    <w:rsid w:val="000F78CA"/>
    <w:rsid w:val="000F7B73"/>
    <w:rsid w:val="000F7B85"/>
    <w:rsid w:val="000F7C35"/>
    <w:rsid w:val="000F7DA4"/>
    <w:rsid w:val="000F7E00"/>
    <w:rsid w:val="000F7EE3"/>
    <w:rsid w:val="00100112"/>
    <w:rsid w:val="0010058C"/>
    <w:rsid w:val="001005E5"/>
    <w:rsid w:val="00100686"/>
    <w:rsid w:val="00100696"/>
    <w:rsid w:val="001006B4"/>
    <w:rsid w:val="001006C9"/>
    <w:rsid w:val="001009C1"/>
    <w:rsid w:val="00100B62"/>
    <w:rsid w:val="00100CCB"/>
    <w:rsid w:val="00100E50"/>
    <w:rsid w:val="001016B1"/>
    <w:rsid w:val="00101807"/>
    <w:rsid w:val="0010191C"/>
    <w:rsid w:val="00101989"/>
    <w:rsid w:val="00101AA5"/>
    <w:rsid w:val="00101C85"/>
    <w:rsid w:val="00101EA8"/>
    <w:rsid w:val="00101F9F"/>
    <w:rsid w:val="00101FA5"/>
    <w:rsid w:val="00102047"/>
    <w:rsid w:val="001022FF"/>
    <w:rsid w:val="00102306"/>
    <w:rsid w:val="0010276D"/>
    <w:rsid w:val="00102A89"/>
    <w:rsid w:val="00102AAE"/>
    <w:rsid w:val="00102B60"/>
    <w:rsid w:val="00102BF4"/>
    <w:rsid w:val="00102BFE"/>
    <w:rsid w:val="001030BD"/>
    <w:rsid w:val="001030ED"/>
    <w:rsid w:val="0010327E"/>
    <w:rsid w:val="0010334F"/>
    <w:rsid w:val="0010380B"/>
    <w:rsid w:val="00103B07"/>
    <w:rsid w:val="00103BFD"/>
    <w:rsid w:val="00103F4A"/>
    <w:rsid w:val="00103F9E"/>
    <w:rsid w:val="0010400A"/>
    <w:rsid w:val="001042AA"/>
    <w:rsid w:val="00104337"/>
    <w:rsid w:val="00104888"/>
    <w:rsid w:val="00104F28"/>
    <w:rsid w:val="001050F9"/>
    <w:rsid w:val="00105205"/>
    <w:rsid w:val="0010551A"/>
    <w:rsid w:val="00105557"/>
    <w:rsid w:val="001055C8"/>
    <w:rsid w:val="00105752"/>
    <w:rsid w:val="0010610E"/>
    <w:rsid w:val="001064E2"/>
    <w:rsid w:val="00106839"/>
    <w:rsid w:val="00106A56"/>
    <w:rsid w:val="00106B9B"/>
    <w:rsid w:val="00106CE9"/>
    <w:rsid w:val="00106E52"/>
    <w:rsid w:val="0010709E"/>
    <w:rsid w:val="001070DE"/>
    <w:rsid w:val="001070E0"/>
    <w:rsid w:val="00107126"/>
    <w:rsid w:val="0010716E"/>
    <w:rsid w:val="0010759D"/>
    <w:rsid w:val="001075AF"/>
    <w:rsid w:val="00107F4A"/>
    <w:rsid w:val="001104AE"/>
    <w:rsid w:val="00110544"/>
    <w:rsid w:val="00110788"/>
    <w:rsid w:val="00110D0C"/>
    <w:rsid w:val="00110D1F"/>
    <w:rsid w:val="00110E35"/>
    <w:rsid w:val="001110E4"/>
    <w:rsid w:val="0011120E"/>
    <w:rsid w:val="00111537"/>
    <w:rsid w:val="00111847"/>
    <w:rsid w:val="0011199A"/>
    <w:rsid w:val="00111F71"/>
    <w:rsid w:val="001120BE"/>
    <w:rsid w:val="0011224A"/>
    <w:rsid w:val="001125CF"/>
    <w:rsid w:val="0011261C"/>
    <w:rsid w:val="001128C1"/>
    <w:rsid w:val="00112A1F"/>
    <w:rsid w:val="00112BF9"/>
    <w:rsid w:val="00112C78"/>
    <w:rsid w:val="00112C95"/>
    <w:rsid w:val="00112E99"/>
    <w:rsid w:val="00112F59"/>
    <w:rsid w:val="00113375"/>
    <w:rsid w:val="00113771"/>
    <w:rsid w:val="0011378A"/>
    <w:rsid w:val="001137BA"/>
    <w:rsid w:val="00113C58"/>
    <w:rsid w:val="00113C79"/>
    <w:rsid w:val="00113CFD"/>
    <w:rsid w:val="00114070"/>
    <w:rsid w:val="001142DA"/>
    <w:rsid w:val="001144CD"/>
    <w:rsid w:val="00114564"/>
    <w:rsid w:val="00114658"/>
    <w:rsid w:val="0011476E"/>
    <w:rsid w:val="001147BC"/>
    <w:rsid w:val="00114A16"/>
    <w:rsid w:val="00114BC4"/>
    <w:rsid w:val="00114CD9"/>
    <w:rsid w:val="001152EE"/>
    <w:rsid w:val="001153C9"/>
    <w:rsid w:val="0011559A"/>
    <w:rsid w:val="00115CA2"/>
    <w:rsid w:val="00115DFE"/>
    <w:rsid w:val="00115EE6"/>
    <w:rsid w:val="0011635F"/>
    <w:rsid w:val="00116410"/>
    <w:rsid w:val="001165AF"/>
    <w:rsid w:val="00116A22"/>
    <w:rsid w:val="00116BF5"/>
    <w:rsid w:val="00116D08"/>
    <w:rsid w:val="001170B5"/>
    <w:rsid w:val="0011717F"/>
    <w:rsid w:val="00117404"/>
    <w:rsid w:val="001177A6"/>
    <w:rsid w:val="00117BC4"/>
    <w:rsid w:val="00120533"/>
    <w:rsid w:val="001205CE"/>
    <w:rsid w:val="00120706"/>
    <w:rsid w:val="00120772"/>
    <w:rsid w:val="001208D5"/>
    <w:rsid w:val="00120AEC"/>
    <w:rsid w:val="00120C09"/>
    <w:rsid w:val="00120E00"/>
    <w:rsid w:val="00120E4A"/>
    <w:rsid w:val="00120F60"/>
    <w:rsid w:val="00121002"/>
    <w:rsid w:val="00121092"/>
    <w:rsid w:val="001211ED"/>
    <w:rsid w:val="001212F7"/>
    <w:rsid w:val="0012159F"/>
    <w:rsid w:val="001218C5"/>
    <w:rsid w:val="00121BAB"/>
    <w:rsid w:val="00121D83"/>
    <w:rsid w:val="00121DFC"/>
    <w:rsid w:val="001222AA"/>
    <w:rsid w:val="00122392"/>
    <w:rsid w:val="00122507"/>
    <w:rsid w:val="00122851"/>
    <w:rsid w:val="00122CA6"/>
    <w:rsid w:val="00122EAE"/>
    <w:rsid w:val="00123109"/>
    <w:rsid w:val="0012336F"/>
    <w:rsid w:val="0012338B"/>
    <w:rsid w:val="0012340F"/>
    <w:rsid w:val="00123703"/>
    <w:rsid w:val="00123886"/>
    <w:rsid w:val="001239E1"/>
    <w:rsid w:val="00123ED2"/>
    <w:rsid w:val="00123FA0"/>
    <w:rsid w:val="00123FB9"/>
    <w:rsid w:val="0012465A"/>
    <w:rsid w:val="001247F9"/>
    <w:rsid w:val="0012498A"/>
    <w:rsid w:val="00124C44"/>
    <w:rsid w:val="00124D9A"/>
    <w:rsid w:val="0012500C"/>
    <w:rsid w:val="00125037"/>
    <w:rsid w:val="0012510F"/>
    <w:rsid w:val="001251D4"/>
    <w:rsid w:val="0012522E"/>
    <w:rsid w:val="001252FF"/>
    <w:rsid w:val="001253D1"/>
    <w:rsid w:val="001256C7"/>
    <w:rsid w:val="00125A6D"/>
    <w:rsid w:val="00125B08"/>
    <w:rsid w:val="00125BAA"/>
    <w:rsid w:val="00125C32"/>
    <w:rsid w:val="00125EBF"/>
    <w:rsid w:val="00125EF4"/>
    <w:rsid w:val="00126086"/>
    <w:rsid w:val="00126129"/>
    <w:rsid w:val="001265E7"/>
    <w:rsid w:val="00126672"/>
    <w:rsid w:val="001268CC"/>
    <w:rsid w:val="00126B64"/>
    <w:rsid w:val="00126C48"/>
    <w:rsid w:val="00126D5B"/>
    <w:rsid w:val="00126D81"/>
    <w:rsid w:val="001271DD"/>
    <w:rsid w:val="0012727C"/>
    <w:rsid w:val="00127372"/>
    <w:rsid w:val="0012744E"/>
    <w:rsid w:val="00127674"/>
    <w:rsid w:val="0012774A"/>
    <w:rsid w:val="001279BF"/>
    <w:rsid w:val="00127B1E"/>
    <w:rsid w:val="00127B36"/>
    <w:rsid w:val="00130383"/>
    <w:rsid w:val="0013064D"/>
    <w:rsid w:val="001306A3"/>
    <w:rsid w:val="0013076A"/>
    <w:rsid w:val="001309DC"/>
    <w:rsid w:val="00130B13"/>
    <w:rsid w:val="00130E5E"/>
    <w:rsid w:val="00130FF0"/>
    <w:rsid w:val="0013107A"/>
    <w:rsid w:val="0013134B"/>
    <w:rsid w:val="0013183E"/>
    <w:rsid w:val="0013195A"/>
    <w:rsid w:val="0013195F"/>
    <w:rsid w:val="00131A2D"/>
    <w:rsid w:val="00131CF9"/>
    <w:rsid w:val="00131DF4"/>
    <w:rsid w:val="00131E61"/>
    <w:rsid w:val="00131E7B"/>
    <w:rsid w:val="00131F87"/>
    <w:rsid w:val="00132422"/>
    <w:rsid w:val="00132431"/>
    <w:rsid w:val="0013249E"/>
    <w:rsid w:val="001324B0"/>
    <w:rsid w:val="0013292D"/>
    <w:rsid w:val="00132BE2"/>
    <w:rsid w:val="00132D60"/>
    <w:rsid w:val="00132E4D"/>
    <w:rsid w:val="00132FE2"/>
    <w:rsid w:val="00133172"/>
    <w:rsid w:val="00133284"/>
    <w:rsid w:val="0013328A"/>
    <w:rsid w:val="0013342E"/>
    <w:rsid w:val="0013356F"/>
    <w:rsid w:val="00133684"/>
    <w:rsid w:val="00133BD1"/>
    <w:rsid w:val="00133C32"/>
    <w:rsid w:val="00134015"/>
    <w:rsid w:val="00134097"/>
    <w:rsid w:val="00134311"/>
    <w:rsid w:val="00134382"/>
    <w:rsid w:val="00134869"/>
    <w:rsid w:val="00134A74"/>
    <w:rsid w:val="00134AAC"/>
    <w:rsid w:val="00134CFC"/>
    <w:rsid w:val="00134E7F"/>
    <w:rsid w:val="00135695"/>
    <w:rsid w:val="00135801"/>
    <w:rsid w:val="001358F3"/>
    <w:rsid w:val="00135933"/>
    <w:rsid w:val="00135C56"/>
    <w:rsid w:val="00135E7B"/>
    <w:rsid w:val="00136365"/>
    <w:rsid w:val="001363AE"/>
    <w:rsid w:val="001363E0"/>
    <w:rsid w:val="001364CC"/>
    <w:rsid w:val="00136A83"/>
    <w:rsid w:val="00136B8A"/>
    <w:rsid w:val="00136C0F"/>
    <w:rsid w:val="00136C79"/>
    <w:rsid w:val="00136D8A"/>
    <w:rsid w:val="00136E37"/>
    <w:rsid w:val="00136FC3"/>
    <w:rsid w:val="0013718B"/>
    <w:rsid w:val="0013724D"/>
    <w:rsid w:val="00137279"/>
    <w:rsid w:val="001375CE"/>
    <w:rsid w:val="00137658"/>
    <w:rsid w:val="001376C7"/>
    <w:rsid w:val="0013796E"/>
    <w:rsid w:val="0013799D"/>
    <w:rsid w:val="00137AF6"/>
    <w:rsid w:val="00137B50"/>
    <w:rsid w:val="00137DEC"/>
    <w:rsid w:val="00140085"/>
    <w:rsid w:val="001401AC"/>
    <w:rsid w:val="001401E5"/>
    <w:rsid w:val="00140240"/>
    <w:rsid w:val="0014042C"/>
    <w:rsid w:val="0014062F"/>
    <w:rsid w:val="001409D2"/>
    <w:rsid w:val="00140A8D"/>
    <w:rsid w:val="00140B0F"/>
    <w:rsid w:val="00140CB8"/>
    <w:rsid w:val="00140E5E"/>
    <w:rsid w:val="00140E61"/>
    <w:rsid w:val="00140E71"/>
    <w:rsid w:val="001412D9"/>
    <w:rsid w:val="00141681"/>
    <w:rsid w:val="00141B65"/>
    <w:rsid w:val="00141CD8"/>
    <w:rsid w:val="00141DB7"/>
    <w:rsid w:val="00141DDE"/>
    <w:rsid w:val="001420DD"/>
    <w:rsid w:val="001421EA"/>
    <w:rsid w:val="0014254D"/>
    <w:rsid w:val="00142606"/>
    <w:rsid w:val="0014271F"/>
    <w:rsid w:val="001427A6"/>
    <w:rsid w:val="00142862"/>
    <w:rsid w:val="00142877"/>
    <w:rsid w:val="001428BE"/>
    <w:rsid w:val="00142BE1"/>
    <w:rsid w:val="00142E0C"/>
    <w:rsid w:val="0014309B"/>
    <w:rsid w:val="001430A1"/>
    <w:rsid w:val="001430FA"/>
    <w:rsid w:val="001432AD"/>
    <w:rsid w:val="00143404"/>
    <w:rsid w:val="0014361A"/>
    <w:rsid w:val="0014366C"/>
    <w:rsid w:val="001436E3"/>
    <w:rsid w:val="0014389C"/>
    <w:rsid w:val="001438C9"/>
    <w:rsid w:val="00143997"/>
    <w:rsid w:val="00143BB5"/>
    <w:rsid w:val="00143BC6"/>
    <w:rsid w:val="00143DB8"/>
    <w:rsid w:val="00143E2E"/>
    <w:rsid w:val="001442F6"/>
    <w:rsid w:val="00144360"/>
    <w:rsid w:val="00144515"/>
    <w:rsid w:val="00144564"/>
    <w:rsid w:val="0014471F"/>
    <w:rsid w:val="001448D0"/>
    <w:rsid w:val="0014493E"/>
    <w:rsid w:val="00144A8A"/>
    <w:rsid w:val="00144BB5"/>
    <w:rsid w:val="00144C2C"/>
    <w:rsid w:val="00144F0E"/>
    <w:rsid w:val="00145064"/>
    <w:rsid w:val="00145164"/>
    <w:rsid w:val="0014531B"/>
    <w:rsid w:val="001453D4"/>
    <w:rsid w:val="001454F1"/>
    <w:rsid w:val="001456AF"/>
    <w:rsid w:val="00145D26"/>
    <w:rsid w:val="00145D81"/>
    <w:rsid w:val="00145F28"/>
    <w:rsid w:val="0014609E"/>
    <w:rsid w:val="001462C5"/>
    <w:rsid w:val="001462D0"/>
    <w:rsid w:val="00146464"/>
    <w:rsid w:val="00146743"/>
    <w:rsid w:val="001469F0"/>
    <w:rsid w:val="00146A06"/>
    <w:rsid w:val="00146EB5"/>
    <w:rsid w:val="00147500"/>
    <w:rsid w:val="0014785E"/>
    <w:rsid w:val="0014786C"/>
    <w:rsid w:val="001479A9"/>
    <w:rsid w:val="00147A7D"/>
    <w:rsid w:val="00147B2E"/>
    <w:rsid w:val="00147B76"/>
    <w:rsid w:val="00147B94"/>
    <w:rsid w:val="00147DD8"/>
    <w:rsid w:val="00147E98"/>
    <w:rsid w:val="00147F74"/>
    <w:rsid w:val="00150013"/>
    <w:rsid w:val="00150104"/>
    <w:rsid w:val="00150527"/>
    <w:rsid w:val="00150636"/>
    <w:rsid w:val="001506BE"/>
    <w:rsid w:val="001506EE"/>
    <w:rsid w:val="0015073E"/>
    <w:rsid w:val="00150959"/>
    <w:rsid w:val="00150BBA"/>
    <w:rsid w:val="00150CC2"/>
    <w:rsid w:val="00150DCF"/>
    <w:rsid w:val="00150FD5"/>
    <w:rsid w:val="00151055"/>
    <w:rsid w:val="001511C2"/>
    <w:rsid w:val="001512EC"/>
    <w:rsid w:val="0015133B"/>
    <w:rsid w:val="001513D2"/>
    <w:rsid w:val="0015170B"/>
    <w:rsid w:val="001517F0"/>
    <w:rsid w:val="00151943"/>
    <w:rsid w:val="00151A03"/>
    <w:rsid w:val="00151A62"/>
    <w:rsid w:val="001523CF"/>
    <w:rsid w:val="00152509"/>
    <w:rsid w:val="00152516"/>
    <w:rsid w:val="00152576"/>
    <w:rsid w:val="0015269A"/>
    <w:rsid w:val="00152744"/>
    <w:rsid w:val="00152C6B"/>
    <w:rsid w:val="00152EDC"/>
    <w:rsid w:val="00152EDF"/>
    <w:rsid w:val="00153029"/>
    <w:rsid w:val="0015305B"/>
    <w:rsid w:val="001530E5"/>
    <w:rsid w:val="001531A2"/>
    <w:rsid w:val="00153359"/>
    <w:rsid w:val="001534A1"/>
    <w:rsid w:val="001537D2"/>
    <w:rsid w:val="001537F8"/>
    <w:rsid w:val="001539A6"/>
    <w:rsid w:val="001539F5"/>
    <w:rsid w:val="00153B20"/>
    <w:rsid w:val="00153BCD"/>
    <w:rsid w:val="00153BE4"/>
    <w:rsid w:val="00153F1E"/>
    <w:rsid w:val="001540AC"/>
    <w:rsid w:val="001540B5"/>
    <w:rsid w:val="001540C4"/>
    <w:rsid w:val="001540EC"/>
    <w:rsid w:val="0015411F"/>
    <w:rsid w:val="001542C3"/>
    <w:rsid w:val="00154364"/>
    <w:rsid w:val="00154441"/>
    <w:rsid w:val="0015491F"/>
    <w:rsid w:val="00154990"/>
    <w:rsid w:val="00154B16"/>
    <w:rsid w:val="00154C83"/>
    <w:rsid w:val="001552BC"/>
    <w:rsid w:val="00155314"/>
    <w:rsid w:val="0015532F"/>
    <w:rsid w:val="001553AF"/>
    <w:rsid w:val="00155575"/>
    <w:rsid w:val="00155863"/>
    <w:rsid w:val="0015590C"/>
    <w:rsid w:val="00155AAF"/>
    <w:rsid w:val="00155C0D"/>
    <w:rsid w:val="00155C71"/>
    <w:rsid w:val="00155C80"/>
    <w:rsid w:val="00155D87"/>
    <w:rsid w:val="00155E9B"/>
    <w:rsid w:val="001561FC"/>
    <w:rsid w:val="0015635B"/>
    <w:rsid w:val="00156453"/>
    <w:rsid w:val="0015646F"/>
    <w:rsid w:val="0015647E"/>
    <w:rsid w:val="00156538"/>
    <w:rsid w:val="0015668B"/>
    <w:rsid w:val="001566B9"/>
    <w:rsid w:val="00156DC9"/>
    <w:rsid w:val="00156E15"/>
    <w:rsid w:val="00156EA7"/>
    <w:rsid w:val="00156F53"/>
    <w:rsid w:val="00157018"/>
    <w:rsid w:val="001570CF"/>
    <w:rsid w:val="001570F2"/>
    <w:rsid w:val="00157162"/>
    <w:rsid w:val="0015719B"/>
    <w:rsid w:val="0015739B"/>
    <w:rsid w:val="0015753C"/>
    <w:rsid w:val="0015776D"/>
    <w:rsid w:val="00157993"/>
    <w:rsid w:val="0015799A"/>
    <w:rsid w:val="00157B02"/>
    <w:rsid w:val="00157C97"/>
    <w:rsid w:val="00157F23"/>
    <w:rsid w:val="00157F47"/>
    <w:rsid w:val="00157F69"/>
    <w:rsid w:val="001602C4"/>
    <w:rsid w:val="001604F2"/>
    <w:rsid w:val="00160723"/>
    <w:rsid w:val="00160A49"/>
    <w:rsid w:val="00160CAB"/>
    <w:rsid w:val="00160D54"/>
    <w:rsid w:val="00160E63"/>
    <w:rsid w:val="00160E86"/>
    <w:rsid w:val="00160FDA"/>
    <w:rsid w:val="00161069"/>
    <w:rsid w:val="001612F9"/>
    <w:rsid w:val="00161726"/>
    <w:rsid w:val="00161897"/>
    <w:rsid w:val="00161917"/>
    <w:rsid w:val="00161C0F"/>
    <w:rsid w:val="001620F6"/>
    <w:rsid w:val="0016220F"/>
    <w:rsid w:val="00162233"/>
    <w:rsid w:val="001624D6"/>
    <w:rsid w:val="00162535"/>
    <w:rsid w:val="00162640"/>
    <w:rsid w:val="001627D2"/>
    <w:rsid w:val="00162B10"/>
    <w:rsid w:val="00162D72"/>
    <w:rsid w:val="00162F90"/>
    <w:rsid w:val="0016335F"/>
    <w:rsid w:val="001634B8"/>
    <w:rsid w:val="0016360F"/>
    <w:rsid w:val="001636EC"/>
    <w:rsid w:val="0016372F"/>
    <w:rsid w:val="001637E5"/>
    <w:rsid w:val="00163862"/>
    <w:rsid w:val="0016395B"/>
    <w:rsid w:val="00163A93"/>
    <w:rsid w:val="00163AAD"/>
    <w:rsid w:val="00163B9C"/>
    <w:rsid w:val="00163EFD"/>
    <w:rsid w:val="001642DE"/>
    <w:rsid w:val="001642E1"/>
    <w:rsid w:val="0016470D"/>
    <w:rsid w:val="0016493F"/>
    <w:rsid w:val="001649E6"/>
    <w:rsid w:val="00164D5F"/>
    <w:rsid w:val="00164E5A"/>
    <w:rsid w:val="00165658"/>
    <w:rsid w:val="00165779"/>
    <w:rsid w:val="00165BC4"/>
    <w:rsid w:val="00165F97"/>
    <w:rsid w:val="001661F7"/>
    <w:rsid w:val="001663C2"/>
    <w:rsid w:val="001663C9"/>
    <w:rsid w:val="001663CB"/>
    <w:rsid w:val="00166490"/>
    <w:rsid w:val="0016654A"/>
    <w:rsid w:val="00166980"/>
    <w:rsid w:val="00166E97"/>
    <w:rsid w:val="00166FC5"/>
    <w:rsid w:val="00166FEC"/>
    <w:rsid w:val="0016726B"/>
    <w:rsid w:val="0016736D"/>
    <w:rsid w:val="0016753D"/>
    <w:rsid w:val="00167628"/>
    <w:rsid w:val="00167801"/>
    <w:rsid w:val="00167A22"/>
    <w:rsid w:val="00167B1B"/>
    <w:rsid w:val="00167C44"/>
    <w:rsid w:val="00167C60"/>
    <w:rsid w:val="00167DCA"/>
    <w:rsid w:val="001700EA"/>
    <w:rsid w:val="0017053C"/>
    <w:rsid w:val="001706A9"/>
    <w:rsid w:val="00170824"/>
    <w:rsid w:val="00170DC7"/>
    <w:rsid w:val="00170DFF"/>
    <w:rsid w:val="00170E43"/>
    <w:rsid w:val="00171016"/>
    <w:rsid w:val="0017122F"/>
    <w:rsid w:val="00171342"/>
    <w:rsid w:val="00171478"/>
    <w:rsid w:val="001714C3"/>
    <w:rsid w:val="001714CB"/>
    <w:rsid w:val="001715B1"/>
    <w:rsid w:val="001715CD"/>
    <w:rsid w:val="00171809"/>
    <w:rsid w:val="00171C25"/>
    <w:rsid w:val="00171EBA"/>
    <w:rsid w:val="00171F32"/>
    <w:rsid w:val="001722B6"/>
    <w:rsid w:val="001722ED"/>
    <w:rsid w:val="00172560"/>
    <w:rsid w:val="001725DA"/>
    <w:rsid w:val="0017264D"/>
    <w:rsid w:val="00172707"/>
    <w:rsid w:val="00172800"/>
    <w:rsid w:val="001729FA"/>
    <w:rsid w:val="00172C69"/>
    <w:rsid w:val="001730EA"/>
    <w:rsid w:val="00173259"/>
    <w:rsid w:val="0017326A"/>
    <w:rsid w:val="001737ED"/>
    <w:rsid w:val="00173B30"/>
    <w:rsid w:val="00173B9A"/>
    <w:rsid w:val="00173D1A"/>
    <w:rsid w:val="00173D2D"/>
    <w:rsid w:val="00174132"/>
    <w:rsid w:val="0017417E"/>
    <w:rsid w:val="0017418A"/>
    <w:rsid w:val="00174210"/>
    <w:rsid w:val="0017433B"/>
    <w:rsid w:val="001743C9"/>
    <w:rsid w:val="0017456D"/>
    <w:rsid w:val="001747A0"/>
    <w:rsid w:val="00174BDF"/>
    <w:rsid w:val="00174D16"/>
    <w:rsid w:val="00174E52"/>
    <w:rsid w:val="00175080"/>
    <w:rsid w:val="001750EA"/>
    <w:rsid w:val="00175148"/>
    <w:rsid w:val="001754E4"/>
    <w:rsid w:val="00175580"/>
    <w:rsid w:val="00175AA0"/>
    <w:rsid w:val="00175CEB"/>
    <w:rsid w:val="00175DB2"/>
    <w:rsid w:val="001762C1"/>
    <w:rsid w:val="0017650F"/>
    <w:rsid w:val="0017693B"/>
    <w:rsid w:val="00176969"/>
    <w:rsid w:val="001769A3"/>
    <w:rsid w:val="001769A6"/>
    <w:rsid w:val="00176B07"/>
    <w:rsid w:val="00176FE7"/>
    <w:rsid w:val="00177044"/>
    <w:rsid w:val="001774CA"/>
    <w:rsid w:val="00177714"/>
    <w:rsid w:val="00177AA2"/>
    <w:rsid w:val="00177BE9"/>
    <w:rsid w:val="00177D4F"/>
    <w:rsid w:val="00177E27"/>
    <w:rsid w:val="00177ED3"/>
    <w:rsid w:val="00177ED8"/>
    <w:rsid w:val="00180322"/>
    <w:rsid w:val="0018040F"/>
    <w:rsid w:val="00180D83"/>
    <w:rsid w:val="00181028"/>
    <w:rsid w:val="00181490"/>
    <w:rsid w:val="001814F0"/>
    <w:rsid w:val="0018171F"/>
    <w:rsid w:val="0018180C"/>
    <w:rsid w:val="0018189A"/>
    <w:rsid w:val="00181951"/>
    <w:rsid w:val="00181B7E"/>
    <w:rsid w:val="00181D69"/>
    <w:rsid w:val="0018225E"/>
    <w:rsid w:val="00182322"/>
    <w:rsid w:val="00182650"/>
    <w:rsid w:val="00182782"/>
    <w:rsid w:val="00182834"/>
    <w:rsid w:val="00182883"/>
    <w:rsid w:val="00182A9E"/>
    <w:rsid w:val="00182BA6"/>
    <w:rsid w:val="00182E96"/>
    <w:rsid w:val="00182EF4"/>
    <w:rsid w:val="00182FD2"/>
    <w:rsid w:val="0018312D"/>
    <w:rsid w:val="001832AC"/>
    <w:rsid w:val="00183358"/>
    <w:rsid w:val="0018343F"/>
    <w:rsid w:val="00183549"/>
    <w:rsid w:val="00183576"/>
    <w:rsid w:val="0018361C"/>
    <w:rsid w:val="001837C5"/>
    <w:rsid w:val="00183824"/>
    <w:rsid w:val="00183986"/>
    <w:rsid w:val="00183B2C"/>
    <w:rsid w:val="00183FB0"/>
    <w:rsid w:val="001841EB"/>
    <w:rsid w:val="0018425E"/>
    <w:rsid w:val="00184318"/>
    <w:rsid w:val="00184390"/>
    <w:rsid w:val="00184833"/>
    <w:rsid w:val="00184964"/>
    <w:rsid w:val="00184B88"/>
    <w:rsid w:val="00184BA5"/>
    <w:rsid w:val="00184BF7"/>
    <w:rsid w:val="00184C00"/>
    <w:rsid w:val="00184CA1"/>
    <w:rsid w:val="00184DC7"/>
    <w:rsid w:val="00184F40"/>
    <w:rsid w:val="00184F69"/>
    <w:rsid w:val="00185359"/>
    <w:rsid w:val="00185477"/>
    <w:rsid w:val="00185552"/>
    <w:rsid w:val="00185646"/>
    <w:rsid w:val="0018579F"/>
    <w:rsid w:val="00185854"/>
    <w:rsid w:val="0018588C"/>
    <w:rsid w:val="00185994"/>
    <w:rsid w:val="00185A09"/>
    <w:rsid w:val="00185C86"/>
    <w:rsid w:val="00185C92"/>
    <w:rsid w:val="00185DA0"/>
    <w:rsid w:val="00185FE0"/>
    <w:rsid w:val="0018607C"/>
    <w:rsid w:val="001860F6"/>
    <w:rsid w:val="0018612C"/>
    <w:rsid w:val="0018615B"/>
    <w:rsid w:val="00186162"/>
    <w:rsid w:val="001862C1"/>
    <w:rsid w:val="00186665"/>
    <w:rsid w:val="0018668F"/>
    <w:rsid w:val="00186A27"/>
    <w:rsid w:val="00186E0E"/>
    <w:rsid w:val="00187011"/>
    <w:rsid w:val="001871D0"/>
    <w:rsid w:val="00187383"/>
    <w:rsid w:val="0018743F"/>
    <w:rsid w:val="001877E0"/>
    <w:rsid w:val="00187815"/>
    <w:rsid w:val="001878D1"/>
    <w:rsid w:val="00187907"/>
    <w:rsid w:val="00187CF8"/>
    <w:rsid w:val="00187E56"/>
    <w:rsid w:val="00187F17"/>
    <w:rsid w:val="0019021A"/>
    <w:rsid w:val="0019027E"/>
    <w:rsid w:val="00190395"/>
    <w:rsid w:val="00190409"/>
    <w:rsid w:val="001904BC"/>
    <w:rsid w:val="001905DD"/>
    <w:rsid w:val="0019061C"/>
    <w:rsid w:val="001906AD"/>
    <w:rsid w:val="00190912"/>
    <w:rsid w:val="00190A63"/>
    <w:rsid w:val="00190A97"/>
    <w:rsid w:val="00190BFC"/>
    <w:rsid w:val="00190D51"/>
    <w:rsid w:val="00190D6B"/>
    <w:rsid w:val="001913E2"/>
    <w:rsid w:val="00191489"/>
    <w:rsid w:val="00191490"/>
    <w:rsid w:val="001914AB"/>
    <w:rsid w:val="001916D0"/>
    <w:rsid w:val="001918A1"/>
    <w:rsid w:val="00191A07"/>
    <w:rsid w:val="00191B92"/>
    <w:rsid w:val="00191D55"/>
    <w:rsid w:val="00191E65"/>
    <w:rsid w:val="00191F2D"/>
    <w:rsid w:val="00191FC3"/>
    <w:rsid w:val="00191FE9"/>
    <w:rsid w:val="0019213B"/>
    <w:rsid w:val="001921CF"/>
    <w:rsid w:val="00192407"/>
    <w:rsid w:val="0019257D"/>
    <w:rsid w:val="00192837"/>
    <w:rsid w:val="00192912"/>
    <w:rsid w:val="00192A53"/>
    <w:rsid w:val="00192BD8"/>
    <w:rsid w:val="00192C6A"/>
    <w:rsid w:val="00192E88"/>
    <w:rsid w:val="00192F12"/>
    <w:rsid w:val="00192FC9"/>
    <w:rsid w:val="001931BC"/>
    <w:rsid w:val="001931D5"/>
    <w:rsid w:val="0019336F"/>
    <w:rsid w:val="00193467"/>
    <w:rsid w:val="001934D8"/>
    <w:rsid w:val="0019373F"/>
    <w:rsid w:val="00193832"/>
    <w:rsid w:val="001938BF"/>
    <w:rsid w:val="00193995"/>
    <w:rsid w:val="00193A21"/>
    <w:rsid w:val="00193A6A"/>
    <w:rsid w:val="00193B98"/>
    <w:rsid w:val="00193D6E"/>
    <w:rsid w:val="00193E2B"/>
    <w:rsid w:val="0019419A"/>
    <w:rsid w:val="00194355"/>
    <w:rsid w:val="001943A4"/>
    <w:rsid w:val="00194493"/>
    <w:rsid w:val="00194560"/>
    <w:rsid w:val="00194607"/>
    <w:rsid w:val="00194898"/>
    <w:rsid w:val="00194AC6"/>
    <w:rsid w:val="00194DB6"/>
    <w:rsid w:val="00194FF4"/>
    <w:rsid w:val="001951E3"/>
    <w:rsid w:val="00195442"/>
    <w:rsid w:val="001957D1"/>
    <w:rsid w:val="0019586B"/>
    <w:rsid w:val="001958FB"/>
    <w:rsid w:val="00195B6B"/>
    <w:rsid w:val="00195CA0"/>
    <w:rsid w:val="00195D51"/>
    <w:rsid w:val="001960C7"/>
    <w:rsid w:val="00196236"/>
    <w:rsid w:val="001965AF"/>
    <w:rsid w:val="001966B0"/>
    <w:rsid w:val="001969E5"/>
    <w:rsid w:val="00196A85"/>
    <w:rsid w:val="00196A98"/>
    <w:rsid w:val="00196B3C"/>
    <w:rsid w:val="00196B47"/>
    <w:rsid w:val="00196DF3"/>
    <w:rsid w:val="001970E5"/>
    <w:rsid w:val="00197127"/>
    <w:rsid w:val="0019730D"/>
    <w:rsid w:val="0019737F"/>
    <w:rsid w:val="00197575"/>
    <w:rsid w:val="00197578"/>
    <w:rsid w:val="00197938"/>
    <w:rsid w:val="00197A50"/>
    <w:rsid w:val="00197DBB"/>
    <w:rsid w:val="00197E99"/>
    <w:rsid w:val="001A00A9"/>
    <w:rsid w:val="001A012C"/>
    <w:rsid w:val="001A05ED"/>
    <w:rsid w:val="001A07D6"/>
    <w:rsid w:val="001A0E82"/>
    <w:rsid w:val="001A1047"/>
    <w:rsid w:val="001A10EE"/>
    <w:rsid w:val="001A12E3"/>
    <w:rsid w:val="001A1475"/>
    <w:rsid w:val="001A1815"/>
    <w:rsid w:val="001A19B3"/>
    <w:rsid w:val="001A1AB6"/>
    <w:rsid w:val="001A1CC7"/>
    <w:rsid w:val="001A1DCD"/>
    <w:rsid w:val="001A20DC"/>
    <w:rsid w:val="001A2116"/>
    <w:rsid w:val="001A2358"/>
    <w:rsid w:val="001A26E6"/>
    <w:rsid w:val="001A2774"/>
    <w:rsid w:val="001A2AED"/>
    <w:rsid w:val="001A2B54"/>
    <w:rsid w:val="001A3010"/>
    <w:rsid w:val="001A30BF"/>
    <w:rsid w:val="001A3148"/>
    <w:rsid w:val="001A365C"/>
    <w:rsid w:val="001A3A28"/>
    <w:rsid w:val="001A3AEE"/>
    <w:rsid w:val="001A3BF9"/>
    <w:rsid w:val="001A3C5C"/>
    <w:rsid w:val="001A3FC9"/>
    <w:rsid w:val="001A3FD2"/>
    <w:rsid w:val="001A40DB"/>
    <w:rsid w:val="001A410E"/>
    <w:rsid w:val="001A434F"/>
    <w:rsid w:val="001A451D"/>
    <w:rsid w:val="001A47DC"/>
    <w:rsid w:val="001A484C"/>
    <w:rsid w:val="001A49BE"/>
    <w:rsid w:val="001A49F9"/>
    <w:rsid w:val="001A4AAC"/>
    <w:rsid w:val="001A4C14"/>
    <w:rsid w:val="001A4DD8"/>
    <w:rsid w:val="001A4E1F"/>
    <w:rsid w:val="001A52DB"/>
    <w:rsid w:val="001A53C8"/>
    <w:rsid w:val="001A55EE"/>
    <w:rsid w:val="001A5620"/>
    <w:rsid w:val="001A5691"/>
    <w:rsid w:val="001A579B"/>
    <w:rsid w:val="001A5811"/>
    <w:rsid w:val="001A5936"/>
    <w:rsid w:val="001A5A54"/>
    <w:rsid w:val="001A5A7A"/>
    <w:rsid w:val="001A5AF6"/>
    <w:rsid w:val="001A5CCA"/>
    <w:rsid w:val="001A5F32"/>
    <w:rsid w:val="001A5F84"/>
    <w:rsid w:val="001A621D"/>
    <w:rsid w:val="001A6271"/>
    <w:rsid w:val="001A64CD"/>
    <w:rsid w:val="001A675B"/>
    <w:rsid w:val="001A683D"/>
    <w:rsid w:val="001A6847"/>
    <w:rsid w:val="001A6918"/>
    <w:rsid w:val="001A6B77"/>
    <w:rsid w:val="001A6C47"/>
    <w:rsid w:val="001A6C6B"/>
    <w:rsid w:val="001A6E91"/>
    <w:rsid w:val="001A72AF"/>
    <w:rsid w:val="001A72B3"/>
    <w:rsid w:val="001A72D3"/>
    <w:rsid w:val="001A7420"/>
    <w:rsid w:val="001A7473"/>
    <w:rsid w:val="001A76C4"/>
    <w:rsid w:val="001A76C7"/>
    <w:rsid w:val="001A7815"/>
    <w:rsid w:val="001A7B1A"/>
    <w:rsid w:val="001A7BC2"/>
    <w:rsid w:val="001A7C94"/>
    <w:rsid w:val="001A7CB1"/>
    <w:rsid w:val="001A7CC6"/>
    <w:rsid w:val="001B01D7"/>
    <w:rsid w:val="001B0224"/>
    <w:rsid w:val="001B0261"/>
    <w:rsid w:val="001B06D8"/>
    <w:rsid w:val="001B08AF"/>
    <w:rsid w:val="001B0BEA"/>
    <w:rsid w:val="001B0C23"/>
    <w:rsid w:val="001B0D34"/>
    <w:rsid w:val="001B11AB"/>
    <w:rsid w:val="001B1362"/>
    <w:rsid w:val="001B1439"/>
    <w:rsid w:val="001B1726"/>
    <w:rsid w:val="001B175B"/>
    <w:rsid w:val="001B17C7"/>
    <w:rsid w:val="001B17FF"/>
    <w:rsid w:val="001B1998"/>
    <w:rsid w:val="001B1B04"/>
    <w:rsid w:val="001B1C87"/>
    <w:rsid w:val="001B1CFA"/>
    <w:rsid w:val="001B1F77"/>
    <w:rsid w:val="001B1FD4"/>
    <w:rsid w:val="001B210B"/>
    <w:rsid w:val="001B21F9"/>
    <w:rsid w:val="001B2248"/>
    <w:rsid w:val="001B2675"/>
    <w:rsid w:val="001B26AF"/>
    <w:rsid w:val="001B27F4"/>
    <w:rsid w:val="001B2897"/>
    <w:rsid w:val="001B295A"/>
    <w:rsid w:val="001B2AFE"/>
    <w:rsid w:val="001B2B8A"/>
    <w:rsid w:val="001B2C2A"/>
    <w:rsid w:val="001B2CE7"/>
    <w:rsid w:val="001B2E98"/>
    <w:rsid w:val="001B2ECE"/>
    <w:rsid w:val="001B2ED4"/>
    <w:rsid w:val="001B31AF"/>
    <w:rsid w:val="001B31C4"/>
    <w:rsid w:val="001B3363"/>
    <w:rsid w:val="001B346E"/>
    <w:rsid w:val="001B3746"/>
    <w:rsid w:val="001B3839"/>
    <w:rsid w:val="001B3B34"/>
    <w:rsid w:val="001B3C00"/>
    <w:rsid w:val="001B3E8A"/>
    <w:rsid w:val="001B3EEC"/>
    <w:rsid w:val="001B3F26"/>
    <w:rsid w:val="001B3F38"/>
    <w:rsid w:val="001B4053"/>
    <w:rsid w:val="001B40AA"/>
    <w:rsid w:val="001B43B6"/>
    <w:rsid w:val="001B4496"/>
    <w:rsid w:val="001B4499"/>
    <w:rsid w:val="001B46A9"/>
    <w:rsid w:val="001B4885"/>
    <w:rsid w:val="001B489B"/>
    <w:rsid w:val="001B4A75"/>
    <w:rsid w:val="001B4D60"/>
    <w:rsid w:val="001B4D62"/>
    <w:rsid w:val="001B4E0A"/>
    <w:rsid w:val="001B4FEE"/>
    <w:rsid w:val="001B50AA"/>
    <w:rsid w:val="001B52D4"/>
    <w:rsid w:val="001B53B7"/>
    <w:rsid w:val="001B544F"/>
    <w:rsid w:val="001B55C8"/>
    <w:rsid w:val="001B56B3"/>
    <w:rsid w:val="001B57B4"/>
    <w:rsid w:val="001B58DD"/>
    <w:rsid w:val="001B5B96"/>
    <w:rsid w:val="001B5DC8"/>
    <w:rsid w:val="001B6265"/>
    <w:rsid w:val="001B649A"/>
    <w:rsid w:val="001B6763"/>
    <w:rsid w:val="001B698B"/>
    <w:rsid w:val="001B6A25"/>
    <w:rsid w:val="001B6D3D"/>
    <w:rsid w:val="001B6E53"/>
    <w:rsid w:val="001B6F78"/>
    <w:rsid w:val="001B6F7A"/>
    <w:rsid w:val="001B70E8"/>
    <w:rsid w:val="001B719B"/>
    <w:rsid w:val="001B7C63"/>
    <w:rsid w:val="001B7DF6"/>
    <w:rsid w:val="001C0095"/>
    <w:rsid w:val="001C0635"/>
    <w:rsid w:val="001C08C4"/>
    <w:rsid w:val="001C0C13"/>
    <w:rsid w:val="001C0D6D"/>
    <w:rsid w:val="001C102B"/>
    <w:rsid w:val="001C1127"/>
    <w:rsid w:val="001C154D"/>
    <w:rsid w:val="001C15A5"/>
    <w:rsid w:val="001C15BE"/>
    <w:rsid w:val="001C185F"/>
    <w:rsid w:val="001C1A9E"/>
    <w:rsid w:val="001C1EA1"/>
    <w:rsid w:val="001C1EAB"/>
    <w:rsid w:val="001C1FC5"/>
    <w:rsid w:val="001C21F0"/>
    <w:rsid w:val="001C225D"/>
    <w:rsid w:val="001C25B8"/>
    <w:rsid w:val="001C25D0"/>
    <w:rsid w:val="001C2768"/>
    <w:rsid w:val="001C276E"/>
    <w:rsid w:val="001C292A"/>
    <w:rsid w:val="001C2FF1"/>
    <w:rsid w:val="001C3037"/>
    <w:rsid w:val="001C307D"/>
    <w:rsid w:val="001C31D5"/>
    <w:rsid w:val="001C33B9"/>
    <w:rsid w:val="001C371E"/>
    <w:rsid w:val="001C3780"/>
    <w:rsid w:val="001C388F"/>
    <w:rsid w:val="001C3A16"/>
    <w:rsid w:val="001C3CA7"/>
    <w:rsid w:val="001C3D4E"/>
    <w:rsid w:val="001C3D6C"/>
    <w:rsid w:val="001C3E86"/>
    <w:rsid w:val="001C3F39"/>
    <w:rsid w:val="001C3FCC"/>
    <w:rsid w:val="001C4196"/>
    <w:rsid w:val="001C4232"/>
    <w:rsid w:val="001C48A5"/>
    <w:rsid w:val="001C48FE"/>
    <w:rsid w:val="001C4962"/>
    <w:rsid w:val="001C49A7"/>
    <w:rsid w:val="001C4A5E"/>
    <w:rsid w:val="001C4CA0"/>
    <w:rsid w:val="001C4CBC"/>
    <w:rsid w:val="001C4CC8"/>
    <w:rsid w:val="001C4D0C"/>
    <w:rsid w:val="001C5121"/>
    <w:rsid w:val="001C57BC"/>
    <w:rsid w:val="001C62C2"/>
    <w:rsid w:val="001C62E3"/>
    <w:rsid w:val="001C64A8"/>
    <w:rsid w:val="001C64E0"/>
    <w:rsid w:val="001C6815"/>
    <w:rsid w:val="001C6B41"/>
    <w:rsid w:val="001C6C44"/>
    <w:rsid w:val="001C6DB8"/>
    <w:rsid w:val="001C716A"/>
    <w:rsid w:val="001C7188"/>
    <w:rsid w:val="001C7268"/>
    <w:rsid w:val="001C72B0"/>
    <w:rsid w:val="001C731A"/>
    <w:rsid w:val="001C7325"/>
    <w:rsid w:val="001C7598"/>
    <w:rsid w:val="001C7605"/>
    <w:rsid w:val="001C776A"/>
    <w:rsid w:val="001C7826"/>
    <w:rsid w:val="001C7B61"/>
    <w:rsid w:val="001C7CAA"/>
    <w:rsid w:val="001C7DD2"/>
    <w:rsid w:val="001D00D2"/>
    <w:rsid w:val="001D0915"/>
    <w:rsid w:val="001D0A76"/>
    <w:rsid w:val="001D0A8D"/>
    <w:rsid w:val="001D0CD1"/>
    <w:rsid w:val="001D0E5F"/>
    <w:rsid w:val="001D0F23"/>
    <w:rsid w:val="001D0F64"/>
    <w:rsid w:val="001D0FE1"/>
    <w:rsid w:val="001D0FF7"/>
    <w:rsid w:val="001D103E"/>
    <w:rsid w:val="001D1048"/>
    <w:rsid w:val="001D134F"/>
    <w:rsid w:val="001D142D"/>
    <w:rsid w:val="001D144A"/>
    <w:rsid w:val="001D1455"/>
    <w:rsid w:val="001D1673"/>
    <w:rsid w:val="001D188A"/>
    <w:rsid w:val="001D1A3C"/>
    <w:rsid w:val="001D1B66"/>
    <w:rsid w:val="001D1BA6"/>
    <w:rsid w:val="001D1BEA"/>
    <w:rsid w:val="001D1CF7"/>
    <w:rsid w:val="001D1FCA"/>
    <w:rsid w:val="001D24E6"/>
    <w:rsid w:val="001D24F3"/>
    <w:rsid w:val="001D2599"/>
    <w:rsid w:val="001D25AF"/>
    <w:rsid w:val="001D262A"/>
    <w:rsid w:val="001D2781"/>
    <w:rsid w:val="001D2F4E"/>
    <w:rsid w:val="001D3008"/>
    <w:rsid w:val="001D3193"/>
    <w:rsid w:val="001D321A"/>
    <w:rsid w:val="001D3236"/>
    <w:rsid w:val="001D33B4"/>
    <w:rsid w:val="001D3696"/>
    <w:rsid w:val="001D3DAA"/>
    <w:rsid w:val="001D420F"/>
    <w:rsid w:val="001D4244"/>
    <w:rsid w:val="001D42DF"/>
    <w:rsid w:val="001D434C"/>
    <w:rsid w:val="001D43AF"/>
    <w:rsid w:val="001D4586"/>
    <w:rsid w:val="001D459B"/>
    <w:rsid w:val="001D489B"/>
    <w:rsid w:val="001D48FF"/>
    <w:rsid w:val="001D4E3D"/>
    <w:rsid w:val="001D4FB4"/>
    <w:rsid w:val="001D51B8"/>
    <w:rsid w:val="001D5419"/>
    <w:rsid w:val="001D55DF"/>
    <w:rsid w:val="001D56AF"/>
    <w:rsid w:val="001D5826"/>
    <w:rsid w:val="001D58ED"/>
    <w:rsid w:val="001D5A37"/>
    <w:rsid w:val="001D5B82"/>
    <w:rsid w:val="001D6129"/>
    <w:rsid w:val="001D6937"/>
    <w:rsid w:val="001D6987"/>
    <w:rsid w:val="001D6BCC"/>
    <w:rsid w:val="001D72FE"/>
    <w:rsid w:val="001D74E2"/>
    <w:rsid w:val="001D7521"/>
    <w:rsid w:val="001D78E3"/>
    <w:rsid w:val="001D7A0A"/>
    <w:rsid w:val="001D7E61"/>
    <w:rsid w:val="001E015E"/>
    <w:rsid w:val="001E01E7"/>
    <w:rsid w:val="001E0263"/>
    <w:rsid w:val="001E0613"/>
    <w:rsid w:val="001E0850"/>
    <w:rsid w:val="001E09E2"/>
    <w:rsid w:val="001E0BCD"/>
    <w:rsid w:val="001E0D3C"/>
    <w:rsid w:val="001E0F87"/>
    <w:rsid w:val="001E1038"/>
    <w:rsid w:val="001E1179"/>
    <w:rsid w:val="001E1376"/>
    <w:rsid w:val="001E1576"/>
    <w:rsid w:val="001E1753"/>
    <w:rsid w:val="001E183F"/>
    <w:rsid w:val="001E1978"/>
    <w:rsid w:val="001E1A91"/>
    <w:rsid w:val="001E1AB8"/>
    <w:rsid w:val="001E1B3E"/>
    <w:rsid w:val="001E1C86"/>
    <w:rsid w:val="001E1CA5"/>
    <w:rsid w:val="001E1CD9"/>
    <w:rsid w:val="001E1D06"/>
    <w:rsid w:val="001E1D71"/>
    <w:rsid w:val="001E20C2"/>
    <w:rsid w:val="001E228D"/>
    <w:rsid w:val="001E2425"/>
    <w:rsid w:val="001E245B"/>
    <w:rsid w:val="001E2840"/>
    <w:rsid w:val="001E2B03"/>
    <w:rsid w:val="001E2CC3"/>
    <w:rsid w:val="001E2D8E"/>
    <w:rsid w:val="001E2DBF"/>
    <w:rsid w:val="001E2EC9"/>
    <w:rsid w:val="001E304A"/>
    <w:rsid w:val="001E318D"/>
    <w:rsid w:val="001E3205"/>
    <w:rsid w:val="001E3459"/>
    <w:rsid w:val="001E37C0"/>
    <w:rsid w:val="001E37C1"/>
    <w:rsid w:val="001E3C1E"/>
    <w:rsid w:val="001E3CD0"/>
    <w:rsid w:val="001E3CD2"/>
    <w:rsid w:val="001E3D9C"/>
    <w:rsid w:val="001E3E71"/>
    <w:rsid w:val="001E3F21"/>
    <w:rsid w:val="001E431C"/>
    <w:rsid w:val="001E4655"/>
    <w:rsid w:val="001E4E63"/>
    <w:rsid w:val="001E4FBF"/>
    <w:rsid w:val="001E54E5"/>
    <w:rsid w:val="001E5739"/>
    <w:rsid w:val="001E5AEF"/>
    <w:rsid w:val="001E5B3D"/>
    <w:rsid w:val="001E5C9B"/>
    <w:rsid w:val="001E5EC3"/>
    <w:rsid w:val="001E5EF7"/>
    <w:rsid w:val="001E5FBE"/>
    <w:rsid w:val="001E607F"/>
    <w:rsid w:val="001E617E"/>
    <w:rsid w:val="001E6447"/>
    <w:rsid w:val="001E66BE"/>
    <w:rsid w:val="001E67F7"/>
    <w:rsid w:val="001E68DB"/>
    <w:rsid w:val="001E6BCC"/>
    <w:rsid w:val="001E6C09"/>
    <w:rsid w:val="001E6E42"/>
    <w:rsid w:val="001E6E68"/>
    <w:rsid w:val="001E6EC2"/>
    <w:rsid w:val="001E700C"/>
    <w:rsid w:val="001E70A1"/>
    <w:rsid w:val="001E715B"/>
    <w:rsid w:val="001E76E8"/>
    <w:rsid w:val="001E78B0"/>
    <w:rsid w:val="001E7964"/>
    <w:rsid w:val="001E799B"/>
    <w:rsid w:val="001E79E7"/>
    <w:rsid w:val="001F0096"/>
    <w:rsid w:val="001F0303"/>
    <w:rsid w:val="001F0353"/>
    <w:rsid w:val="001F03FD"/>
    <w:rsid w:val="001F06C4"/>
    <w:rsid w:val="001F0848"/>
    <w:rsid w:val="001F08DB"/>
    <w:rsid w:val="001F0C55"/>
    <w:rsid w:val="001F0C7F"/>
    <w:rsid w:val="001F0D03"/>
    <w:rsid w:val="001F0D24"/>
    <w:rsid w:val="001F0F06"/>
    <w:rsid w:val="001F0F9F"/>
    <w:rsid w:val="001F1028"/>
    <w:rsid w:val="001F1042"/>
    <w:rsid w:val="001F1068"/>
    <w:rsid w:val="001F123E"/>
    <w:rsid w:val="001F16B6"/>
    <w:rsid w:val="001F1853"/>
    <w:rsid w:val="001F197D"/>
    <w:rsid w:val="001F1C45"/>
    <w:rsid w:val="001F1F6E"/>
    <w:rsid w:val="001F1F8E"/>
    <w:rsid w:val="001F1FD2"/>
    <w:rsid w:val="001F2173"/>
    <w:rsid w:val="001F2207"/>
    <w:rsid w:val="001F23B6"/>
    <w:rsid w:val="001F2521"/>
    <w:rsid w:val="001F2AF3"/>
    <w:rsid w:val="001F2B99"/>
    <w:rsid w:val="001F2DC4"/>
    <w:rsid w:val="001F2E2A"/>
    <w:rsid w:val="001F2F95"/>
    <w:rsid w:val="001F2FC0"/>
    <w:rsid w:val="001F306F"/>
    <w:rsid w:val="001F343E"/>
    <w:rsid w:val="001F3652"/>
    <w:rsid w:val="001F36C8"/>
    <w:rsid w:val="001F377E"/>
    <w:rsid w:val="001F398B"/>
    <w:rsid w:val="001F39D2"/>
    <w:rsid w:val="001F3A94"/>
    <w:rsid w:val="001F3F11"/>
    <w:rsid w:val="001F415D"/>
    <w:rsid w:val="001F42C1"/>
    <w:rsid w:val="001F4386"/>
    <w:rsid w:val="001F4590"/>
    <w:rsid w:val="001F45B6"/>
    <w:rsid w:val="001F46CF"/>
    <w:rsid w:val="001F478E"/>
    <w:rsid w:val="001F47A3"/>
    <w:rsid w:val="001F4A7B"/>
    <w:rsid w:val="001F4AA9"/>
    <w:rsid w:val="001F4B81"/>
    <w:rsid w:val="001F4C67"/>
    <w:rsid w:val="001F4E3B"/>
    <w:rsid w:val="001F50B4"/>
    <w:rsid w:val="001F52DB"/>
    <w:rsid w:val="001F5309"/>
    <w:rsid w:val="001F53D1"/>
    <w:rsid w:val="001F561A"/>
    <w:rsid w:val="001F6291"/>
    <w:rsid w:val="001F6675"/>
    <w:rsid w:val="001F66CA"/>
    <w:rsid w:val="001F6840"/>
    <w:rsid w:val="001F6869"/>
    <w:rsid w:val="001F6A81"/>
    <w:rsid w:val="001F6BCE"/>
    <w:rsid w:val="001F6D65"/>
    <w:rsid w:val="001F70BF"/>
    <w:rsid w:val="001F7482"/>
    <w:rsid w:val="001F749C"/>
    <w:rsid w:val="001F7659"/>
    <w:rsid w:val="001F7785"/>
    <w:rsid w:val="001F77B9"/>
    <w:rsid w:val="001F785E"/>
    <w:rsid w:val="001F7B61"/>
    <w:rsid w:val="001F7E95"/>
    <w:rsid w:val="00200014"/>
    <w:rsid w:val="002000FC"/>
    <w:rsid w:val="002004C5"/>
    <w:rsid w:val="002004D3"/>
    <w:rsid w:val="002004D4"/>
    <w:rsid w:val="002005DA"/>
    <w:rsid w:val="0020062E"/>
    <w:rsid w:val="0020075A"/>
    <w:rsid w:val="00200821"/>
    <w:rsid w:val="00200951"/>
    <w:rsid w:val="0020097F"/>
    <w:rsid w:val="00200C1E"/>
    <w:rsid w:val="00200F38"/>
    <w:rsid w:val="00200F79"/>
    <w:rsid w:val="00201005"/>
    <w:rsid w:val="00201028"/>
    <w:rsid w:val="0020105B"/>
    <w:rsid w:val="00201343"/>
    <w:rsid w:val="0020158E"/>
    <w:rsid w:val="0020171E"/>
    <w:rsid w:val="00201AE1"/>
    <w:rsid w:val="00201B7E"/>
    <w:rsid w:val="00201B7F"/>
    <w:rsid w:val="00201D7F"/>
    <w:rsid w:val="0020202B"/>
    <w:rsid w:val="002022AB"/>
    <w:rsid w:val="00202412"/>
    <w:rsid w:val="0020247D"/>
    <w:rsid w:val="002024F0"/>
    <w:rsid w:val="002028A8"/>
    <w:rsid w:val="00202AE9"/>
    <w:rsid w:val="00202C6E"/>
    <w:rsid w:val="00202D14"/>
    <w:rsid w:val="00202EB8"/>
    <w:rsid w:val="00203717"/>
    <w:rsid w:val="00203900"/>
    <w:rsid w:val="00203A11"/>
    <w:rsid w:val="00203BB9"/>
    <w:rsid w:val="00203CEA"/>
    <w:rsid w:val="00204047"/>
    <w:rsid w:val="0020461E"/>
    <w:rsid w:val="00204818"/>
    <w:rsid w:val="002049AA"/>
    <w:rsid w:val="00204A66"/>
    <w:rsid w:val="00204B45"/>
    <w:rsid w:val="00204BC6"/>
    <w:rsid w:val="00204CC6"/>
    <w:rsid w:val="00204DA9"/>
    <w:rsid w:val="0020517A"/>
    <w:rsid w:val="00205183"/>
    <w:rsid w:val="002051F6"/>
    <w:rsid w:val="00205202"/>
    <w:rsid w:val="0020529A"/>
    <w:rsid w:val="002052DA"/>
    <w:rsid w:val="0020532B"/>
    <w:rsid w:val="00205434"/>
    <w:rsid w:val="0020547A"/>
    <w:rsid w:val="00205561"/>
    <w:rsid w:val="00205A6A"/>
    <w:rsid w:val="00205ACD"/>
    <w:rsid w:val="00205BF6"/>
    <w:rsid w:val="00205C32"/>
    <w:rsid w:val="00205D91"/>
    <w:rsid w:val="00205E8A"/>
    <w:rsid w:val="00205F23"/>
    <w:rsid w:val="002060B8"/>
    <w:rsid w:val="002060E3"/>
    <w:rsid w:val="002060FB"/>
    <w:rsid w:val="00206284"/>
    <w:rsid w:val="00206353"/>
    <w:rsid w:val="0020638B"/>
    <w:rsid w:val="00206852"/>
    <w:rsid w:val="002068EF"/>
    <w:rsid w:val="00206C72"/>
    <w:rsid w:val="00206DB5"/>
    <w:rsid w:val="00206EE9"/>
    <w:rsid w:val="002070A1"/>
    <w:rsid w:val="0020744B"/>
    <w:rsid w:val="00207494"/>
    <w:rsid w:val="0020776C"/>
    <w:rsid w:val="002077FD"/>
    <w:rsid w:val="00207854"/>
    <w:rsid w:val="00207BFA"/>
    <w:rsid w:val="00207DD6"/>
    <w:rsid w:val="00207F2F"/>
    <w:rsid w:val="002100B0"/>
    <w:rsid w:val="00210312"/>
    <w:rsid w:val="00210424"/>
    <w:rsid w:val="002104D9"/>
    <w:rsid w:val="0021058F"/>
    <w:rsid w:val="002106B1"/>
    <w:rsid w:val="00210934"/>
    <w:rsid w:val="00210A08"/>
    <w:rsid w:val="00210DE5"/>
    <w:rsid w:val="00210E2C"/>
    <w:rsid w:val="00211154"/>
    <w:rsid w:val="00211426"/>
    <w:rsid w:val="00211558"/>
    <w:rsid w:val="002117CB"/>
    <w:rsid w:val="002118DD"/>
    <w:rsid w:val="00211B50"/>
    <w:rsid w:val="00211CA2"/>
    <w:rsid w:val="00211CE9"/>
    <w:rsid w:val="00211E72"/>
    <w:rsid w:val="00212438"/>
    <w:rsid w:val="00212683"/>
    <w:rsid w:val="002127B2"/>
    <w:rsid w:val="0021295C"/>
    <w:rsid w:val="00212A5F"/>
    <w:rsid w:val="00212B8B"/>
    <w:rsid w:val="00212F46"/>
    <w:rsid w:val="00212F6D"/>
    <w:rsid w:val="0021327B"/>
    <w:rsid w:val="00213364"/>
    <w:rsid w:val="0021369E"/>
    <w:rsid w:val="00213DDC"/>
    <w:rsid w:val="00213FCF"/>
    <w:rsid w:val="002140D9"/>
    <w:rsid w:val="0021423F"/>
    <w:rsid w:val="0021437D"/>
    <w:rsid w:val="002144A5"/>
    <w:rsid w:val="00214592"/>
    <w:rsid w:val="002145CD"/>
    <w:rsid w:val="002145E4"/>
    <w:rsid w:val="00214656"/>
    <w:rsid w:val="00214D61"/>
    <w:rsid w:val="00214FAB"/>
    <w:rsid w:val="00215105"/>
    <w:rsid w:val="002152E9"/>
    <w:rsid w:val="002153B1"/>
    <w:rsid w:val="002153FE"/>
    <w:rsid w:val="0021574D"/>
    <w:rsid w:val="00215887"/>
    <w:rsid w:val="00215A26"/>
    <w:rsid w:val="00215A60"/>
    <w:rsid w:val="00215CD6"/>
    <w:rsid w:val="00215D5A"/>
    <w:rsid w:val="002164A4"/>
    <w:rsid w:val="002165AC"/>
    <w:rsid w:val="00216A39"/>
    <w:rsid w:val="00216A6E"/>
    <w:rsid w:val="00216B79"/>
    <w:rsid w:val="00216C42"/>
    <w:rsid w:val="00216C87"/>
    <w:rsid w:val="00216F61"/>
    <w:rsid w:val="00216F64"/>
    <w:rsid w:val="002171BF"/>
    <w:rsid w:val="00217372"/>
    <w:rsid w:val="00217624"/>
    <w:rsid w:val="00217670"/>
    <w:rsid w:val="00217A39"/>
    <w:rsid w:val="00217ACC"/>
    <w:rsid w:val="00217B06"/>
    <w:rsid w:val="00217DF1"/>
    <w:rsid w:val="00217ECD"/>
    <w:rsid w:val="00217FA7"/>
    <w:rsid w:val="00220091"/>
    <w:rsid w:val="0022067A"/>
    <w:rsid w:val="002207BC"/>
    <w:rsid w:val="002207DC"/>
    <w:rsid w:val="00220916"/>
    <w:rsid w:val="002209DC"/>
    <w:rsid w:val="00220AEE"/>
    <w:rsid w:val="00220CBE"/>
    <w:rsid w:val="00220D6F"/>
    <w:rsid w:val="00220E75"/>
    <w:rsid w:val="00220EF0"/>
    <w:rsid w:val="002210B8"/>
    <w:rsid w:val="002213A5"/>
    <w:rsid w:val="0022181A"/>
    <w:rsid w:val="00221AC9"/>
    <w:rsid w:val="00221DF7"/>
    <w:rsid w:val="00221FAE"/>
    <w:rsid w:val="002220F5"/>
    <w:rsid w:val="00222445"/>
    <w:rsid w:val="0022275F"/>
    <w:rsid w:val="002228A4"/>
    <w:rsid w:val="00222C49"/>
    <w:rsid w:val="00222D9C"/>
    <w:rsid w:val="00222ED4"/>
    <w:rsid w:val="0022329C"/>
    <w:rsid w:val="00223419"/>
    <w:rsid w:val="0022352B"/>
    <w:rsid w:val="00223667"/>
    <w:rsid w:val="0022371E"/>
    <w:rsid w:val="00223EC7"/>
    <w:rsid w:val="0022432E"/>
    <w:rsid w:val="002243B5"/>
    <w:rsid w:val="00224AD0"/>
    <w:rsid w:val="00225278"/>
    <w:rsid w:val="002256ED"/>
    <w:rsid w:val="00225751"/>
    <w:rsid w:val="002257C8"/>
    <w:rsid w:val="00225822"/>
    <w:rsid w:val="002267E2"/>
    <w:rsid w:val="002269B9"/>
    <w:rsid w:val="00226A34"/>
    <w:rsid w:val="00226AB6"/>
    <w:rsid w:val="00226B31"/>
    <w:rsid w:val="00226CAC"/>
    <w:rsid w:val="00226E02"/>
    <w:rsid w:val="00226F22"/>
    <w:rsid w:val="00227210"/>
    <w:rsid w:val="002272DA"/>
    <w:rsid w:val="00227884"/>
    <w:rsid w:val="002278FB"/>
    <w:rsid w:val="00227AE7"/>
    <w:rsid w:val="00227FD4"/>
    <w:rsid w:val="0023011C"/>
    <w:rsid w:val="00230298"/>
    <w:rsid w:val="002303FF"/>
    <w:rsid w:val="00230768"/>
    <w:rsid w:val="0023077C"/>
    <w:rsid w:val="002308E0"/>
    <w:rsid w:val="00230B0A"/>
    <w:rsid w:val="00230CA5"/>
    <w:rsid w:val="002310E6"/>
    <w:rsid w:val="00231501"/>
    <w:rsid w:val="002315B2"/>
    <w:rsid w:val="00231662"/>
    <w:rsid w:val="002318B8"/>
    <w:rsid w:val="002321E9"/>
    <w:rsid w:val="002321F5"/>
    <w:rsid w:val="0023244D"/>
    <w:rsid w:val="0023252E"/>
    <w:rsid w:val="0023267F"/>
    <w:rsid w:val="00232851"/>
    <w:rsid w:val="002328FD"/>
    <w:rsid w:val="0023292F"/>
    <w:rsid w:val="0023294F"/>
    <w:rsid w:val="00232A95"/>
    <w:rsid w:val="00232D1C"/>
    <w:rsid w:val="00233360"/>
    <w:rsid w:val="002333C6"/>
    <w:rsid w:val="002335B0"/>
    <w:rsid w:val="00233847"/>
    <w:rsid w:val="002338BB"/>
    <w:rsid w:val="00233B54"/>
    <w:rsid w:val="00233BBC"/>
    <w:rsid w:val="00233D16"/>
    <w:rsid w:val="00233EED"/>
    <w:rsid w:val="00233F5E"/>
    <w:rsid w:val="002340FD"/>
    <w:rsid w:val="00234435"/>
    <w:rsid w:val="002344EA"/>
    <w:rsid w:val="0023454E"/>
    <w:rsid w:val="00234A13"/>
    <w:rsid w:val="00234B4C"/>
    <w:rsid w:val="00234B79"/>
    <w:rsid w:val="00234D82"/>
    <w:rsid w:val="00234F09"/>
    <w:rsid w:val="0023503D"/>
    <w:rsid w:val="002350DE"/>
    <w:rsid w:val="0023562E"/>
    <w:rsid w:val="00235779"/>
    <w:rsid w:val="00235856"/>
    <w:rsid w:val="00235B1E"/>
    <w:rsid w:val="00235C6D"/>
    <w:rsid w:val="002360AE"/>
    <w:rsid w:val="00236531"/>
    <w:rsid w:val="00236799"/>
    <w:rsid w:val="00236AE6"/>
    <w:rsid w:val="00236B3C"/>
    <w:rsid w:val="00236C0E"/>
    <w:rsid w:val="00236C85"/>
    <w:rsid w:val="00237081"/>
    <w:rsid w:val="00237115"/>
    <w:rsid w:val="00237198"/>
    <w:rsid w:val="00237256"/>
    <w:rsid w:val="00237260"/>
    <w:rsid w:val="0023735E"/>
    <w:rsid w:val="00237448"/>
    <w:rsid w:val="002375AC"/>
    <w:rsid w:val="00237843"/>
    <w:rsid w:val="00237B1B"/>
    <w:rsid w:val="00237B5F"/>
    <w:rsid w:val="00237DE6"/>
    <w:rsid w:val="0024033A"/>
    <w:rsid w:val="0024033F"/>
    <w:rsid w:val="002404F1"/>
    <w:rsid w:val="00240C6A"/>
    <w:rsid w:val="00240DF0"/>
    <w:rsid w:val="002411BC"/>
    <w:rsid w:val="00241793"/>
    <w:rsid w:val="00241913"/>
    <w:rsid w:val="0024193D"/>
    <w:rsid w:val="00241A40"/>
    <w:rsid w:val="00241A75"/>
    <w:rsid w:val="00241C35"/>
    <w:rsid w:val="00241FA0"/>
    <w:rsid w:val="00242410"/>
    <w:rsid w:val="00242628"/>
    <w:rsid w:val="002426E9"/>
    <w:rsid w:val="00242964"/>
    <w:rsid w:val="00242969"/>
    <w:rsid w:val="00242D41"/>
    <w:rsid w:val="00242D5B"/>
    <w:rsid w:val="00243008"/>
    <w:rsid w:val="00243121"/>
    <w:rsid w:val="00243499"/>
    <w:rsid w:val="00243507"/>
    <w:rsid w:val="00243703"/>
    <w:rsid w:val="0024393B"/>
    <w:rsid w:val="0024397D"/>
    <w:rsid w:val="00243AE8"/>
    <w:rsid w:val="00243BE5"/>
    <w:rsid w:val="002441CF"/>
    <w:rsid w:val="0024432E"/>
    <w:rsid w:val="00244359"/>
    <w:rsid w:val="00244899"/>
    <w:rsid w:val="00244C47"/>
    <w:rsid w:val="00244D4B"/>
    <w:rsid w:val="00244D97"/>
    <w:rsid w:val="00244E2A"/>
    <w:rsid w:val="00244E86"/>
    <w:rsid w:val="002451AD"/>
    <w:rsid w:val="002451C8"/>
    <w:rsid w:val="002452F8"/>
    <w:rsid w:val="00245524"/>
    <w:rsid w:val="00245B4B"/>
    <w:rsid w:val="00245B6E"/>
    <w:rsid w:val="00245CFD"/>
    <w:rsid w:val="00245F00"/>
    <w:rsid w:val="0024614A"/>
    <w:rsid w:val="00246184"/>
    <w:rsid w:val="00246466"/>
    <w:rsid w:val="00246508"/>
    <w:rsid w:val="0024667B"/>
    <w:rsid w:val="002466FA"/>
    <w:rsid w:val="00246B86"/>
    <w:rsid w:val="00246E47"/>
    <w:rsid w:val="002473C7"/>
    <w:rsid w:val="002476AE"/>
    <w:rsid w:val="002478C9"/>
    <w:rsid w:val="002479A0"/>
    <w:rsid w:val="00247A9A"/>
    <w:rsid w:val="00247CA6"/>
    <w:rsid w:val="00247E32"/>
    <w:rsid w:val="00247FC3"/>
    <w:rsid w:val="00247FC5"/>
    <w:rsid w:val="00250036"/>
    <w:rsid w:val="00250077"/>
    <w:rsid w:val="00250685"/>
    <w:rsid w:val="002508E0"/>
    <w:rsid w:val="002509FF"/>
    <w:rsid w:val="00250B96"/>
    <w:rsid w:val="00250BCC"/>
    <w:rsid w:val="00250CEC"/>
    <w:rsid w:val="00250FC4"/>
    <w:rsid w:val="0025118D"/>
    <w:rsid w:val="00251328"/>
    <w:rsid w:val="00251466"/>
    <w:rsid w:val="002514A4"/>
    <w:rsid w:val="00251902"/>
    <w:rsid w:val="00251974"/>
    <w:rsid w:val="00251C33"/>
    <w:rsid w:val="00251D98"/>
    <w:rsid w:val="00251DA2"/>
    <w:rsid w:val="00251DE2"/>
    <w:rsid w:val="0025231E"/>
    <w:rsid w:val="00252334"/>
    <w:rsid w:val="00252544"/>
    <w:rsid w:val="00252655"/>
    <w:rsid w:val="002528B7"/>
    <w:rsid w:val="00252938"/>
    <w:rsid w:val="00252D8A"/>
    <w:rsid w:val="00252E43"/>
    <w:rsid w:val="0025335A"/>
    <w:rsid w:val="002533F2"/>
    <w:rsid w:val="00253457"/>
    <w:rsid w:val="00253A27"/>
    <w:rsid w:val="00253A87"/>
    <w:rsid w:val="00253AE6"/>
    <w:rsid w:val="00253D42"/>
    <w:rsid w:val="002540E8"/>
    <w:rsid w:val="00254268"/>
    <w:rsid w:val="00254544"/>
    <w:rsid w:val="002545F4"/>
    <w:rsid w:val="00254670"/>
    <w:rsid w:val="00254721"/>
    <w:rsid w:val="00254B0C"/>
    <w:rsid w:val="00254B42"/>
    <w:rsid w:val="00254BFB"/>
    <w:rsid w:val="00254C4A"/>
    <w:rsid w:val="00254D6F"/>
    <w:rsid w:val="00254FD4"/>
    <w:rsid w:val="002552B0"/>
    <w:rsid w:val="002558AE"/>
    <w:rsid w:val="00255C02"/>
    <w:rsid w:val="00255C37"/>
    <w:rsid w:val="00255DC1"/>
    <w:rsid w:val="00255EFE"/>
    <w:rsid w:val="002561DC"/>
    <w:rsid w:val="0025643F"/>
    <w:rsid w:val="0025650E"/>
    <w:rsid w:val="00256530"/>
    <w:rsid w:val="002565CB"/>
    <w:rsid w:val="002566C1"/>
    <w:rsid w:val="00256ABB"/>
    <w:rsid w:val="00256B19"/>
    <w:rsid w:val="00256B4F"/>
    <w:rsid w:val="00256D26"/>
    <w:rsid w:val="00256DC1"/>
    <w:rsid w:val="002573B0"/>
    <w:rsid w:val="0025751E"/>
    <w:rsid w:val="0025753C"/>
    <w:rsid w:val="002575E2"/>
    <w:rsid w:val="002576B6"/>
    <w:rsid w:val="00257766"/>
    <w:rsid w:val="0025786A"/>
    <w:rsid w:val="002579B4"/>
    <w:rsid w:val="00257A12"/>
    <w:rsid w:val="00257B89"/>
    <w:rsid w:val="00257C8E"/>
    <w:rsid w:val="00257C92"/>
    <w:rsid w:val="002600B5"/>
    <w:rsid w:val="00260113"/>
    <w:rsid w:val="002609F9"/>
    <w:rsid w:val="00260D69"/>
    <w:rsid w:val="0026121A"/>
    <w:rsid w:val="00261332"/>
    <w:rsid w:val="0026163E"/>
    <w:rsid w:val="0026163F"/>
    <w:rsid w:val="00261880"/>
    <w:rsid w:val="00261888"/>
    <w:rsid w:val="00261B02"/>
    <w:rsid w:val="00261DA3"/>
    <w:rsid w:val="00261F06"/>
    <w:rsid w:val="002623F1"/>
    <w:rsid w:val="002625A8"/>
    <w:rsid w:val="0026270C"/>
    <w:rsid w:val="00262A15"/>
    <w:rsid w:val="00262B6C"/>
    <w:rsid w:val="002630A7"/>
    <w:rsid w:val="0026343F"/>
    <w:rsid w:val="0026369B"/>
    <w:rsid w:val="002636E2"/>
    <w:rsid w:val="00263864"/>
    <w:rsid w:val="00263A7E"/>
    <w:rsid w:val="00263E40"/>
    <w:rsid w:val="00263F32"/>
    <w:rsid w:val="0026404A"/>
    <w:rsid w:val="0026413A"/>
    <w:rsid w:val="00264356"/>
    <w:rsid w:val="00264482"/>
    <w:rsid w:val="002644D0"/>
    <w:rsid w:val="002645D3"/>
    <w:rsid w:val="002645FB"/>
    <w:rsid w:val="002646C2"/>
    <w:rsid w:val="002648DF"/>
    <w:rsid w:val="00264ABC"/>
    <w:rsid w:val="00264AF2"/>
    <w:rsid w:val="00265294"/>
    <w:rsid w:val="002655BD"/>
    <w:rsid w:val="0026561D"/>
    <w:rsid w:val="002656E6"/>
    <w:rsid w:val="00265846"/>
    <w:rsid w:val="00265913"/>
    <w:rsid w:val="00265B70"/>
    <w:rsid w:val="00265E27"/>
    <w:rsid w:val="00265E33"/>
    <w:rsid w:val="00265E9A"/>
    <w:rsid w:val="00265F62"/>
    <w:rsid w:val="0026635D"/>
    <w:rsid w:val="00266AF6"/>
    <w:rsid w:val="00266C77"/>
    <w:rsid w:val="00266D67"/>
    <w:rsid w:val="00266F79"/>
    <w:rsid w:val="002670D8"/>
    <w:rsid w:val="00267196"/>
    <w:rsid w:val="0026719A"/>
    <w:rsid w:val="0026732F"/>
    <w:rsid w:val="002673C1"/>
    <w:rsid w:val="002675FE"/>
    <w:rsid w:val="0026767D"/>
    <w:rsid w:val="00267A01"/>
    <w:rsid w:val="00267A13"/>
    <w:rsid w:val="00267C2C"/>
    <w:rsid w:val="00267CFB"/>
    <w:rsid w:val="00267D38"/>
    <w:rsid w:val="00270150"/>
    <w:rsid w:val="002701E2"/>
    <w:rsid w:val="00270356"/>
    <w:rsid w:val="00270413"/>
    <w:rsid w:val="00270558"/>
    <w:rsid w:val="00270778"/>
    <w:rsid w:val="002707DB"/>
    <w:rsid w:val="002708B2"/>
    <w:rsid w:val="00270903"/>
    <w:rsid w:val="00270AD0"/>
    <w:rsid w:val="00270B9C"/>
    <w:rsid w:val="00270BBA"/>
    <w:rsid w:val="00270C03"/>
    <w:rsid w:val="00270F37"/>
    <w:rsid w:val="0027106C"/>
    <w:rsid w:val="0027118A"/>
    <w:rsid w:val="002713FC"/>
    <w:rsid w:val="00271B62"/>
    <w:rsid w:val="00271D4F"/>
    <w:rsid w:val="00271E6F"/>
    <w:rsid w:val="00271F84"/>
    <w:rsid w:val="00272027"/>
    <w:rsid w:val="002725A1"/>
    <w:rsid w:val="00272B8F"/>
    <w:rsid w:val="00272BB2"/>
    <w:rsid w:val="00272D22"/>
    <w:rsid w:val="00272FA8"/>
    <w:rsid w:val="002730A1"/>
    <w:rsid w:val="00273269"/>
    <w:rsid w:val="00273351"/>
    <w:rsid w:val="002733C0"/>
    <w:rsid w:val="0027356D"/>
    <w:rsid w:val="002735AB"/>
    <w:rsid w:val="002735F4"/>
    <w:rsid w:val="0027367F"/>
    <w:rsid w:val="0027379F"/>
    <w:rsid w:val="002737B2"/>
    <w:rsid w:val="002738D9"/>
    <w:rsid w:val="00273A38"/>
    <w:rsid w:val="00273A89"/>
    <w:rsid w:val="00273BED"/>
    <w:rsid w:val="00273D3B"/>
    <w:rsid w:val="00273E0A"/>
    <w:rsid w:val="00273E19"/>
    <w:rsid w:val="00273FBF"/>
    <w:rsid w:val="00274160"/>
    <w:rsid w:val="00274288"/>
    <w:rsid w:val="002748B2"/>
    <w:rsid w:val="002749C7"/>
    <w:rsid w:val="00274A41"/>
    <w:rsid w:val="00274A48"/>
    <w:rsid w:val="00274CA0"/>
    <w:rsid w:val="00274E21"/>
    <w:rsid w:val="00274F22"/>
    <w:rsid w:val="00275161"/>
    <w:rsid w:val="00275188"/>
    <w:rsid w:val="002751E0"/>
    <w:rsid w:val="00275212"/>
    <w:rsid w:val="002752EA"/>
    <w:rsid w:val="00275390"/>
    <w:rsid w:val="0027570F"/>
    <w:rsid w:val="00275CE6"/>
    <w:rsid w:val="00275E5B"/>
    <w:rsid w:val="00275F7E"/>
    <w:rsid w:val="00275FD2"/>
    <w:rsid w:val="002760B9"/>
    <w:rsid w:val="0027667A"/>
    <w:rsid w:val="0027678A"/>
    <w:rsid w:val="0027689C"/>
    <w:rsid w:val="00276A08"/>
    <w:rsid w:val="00276B27"/>
    <w:rsid w:val="00276B5C"/>
    <w:rsid w:val="00276F80"/>
    <w:rsid w:val="002771F3"/>
    <w:rsid w:val="0027752A"/>
    <w:rsid w:val="00277550"/>
    <w:rsid w:val="0027775A"/>
    <w:rsid w:val="00277981"/>
    <w:rsid w:val="00277A76"/>
    <w:rsid w:val="00277AAB"/>
    <w:rsid w:val="00277BD0"/>
    <w:rsid w:val="00277CBD"/>
    <w:rsid w:val="00277E79"/>
    <w:rsid w:val="002804E8"/>
    <w:rsid w:val="00280651"/>
    <w:rsid w:val="00280663"/>
    <w:rsid w:val="00280755"/>
    <w:rsid w:val="00280988"/>
    <w:rsid w:val="00280FF0"/>
    <w:rsid w:val="0028104F"/>
    <w:rsid w:val="00281120"/>
    <w:rsid w:val="00281533"/>
    <w:rsid w:val="00281638"/>
    <w:rsid w:val="002819D6"/>
    <w:rsid w:val="002819F2"/>
    <w:rsid w:val="00281A43"/>
    <w:rsid w:val="00281B25"/>
    <w:rsid w:val="00281B3C"/>
    <w:rsid w:val="00281E9C"/>
    <w:rsid w:val="00281F45"/>
    <w:rsid w:val="00282295"/>
    <w:rsid w:val="0028229F"/>
    <w:rsid w:val="00282400"/>
    <w:rsid w:val="0028249A"/>
    <w:rsid w:val="0028249F"/>
    <w:rsid w:val="0028285C"/>
    <w:rsid w:val="002828ED"/>
    <w:rsid w:val="00282C12"/>
    <w:rsid w:val="00283115"/>
    <w:rsid w:val="002831D6"/>
    <w:rsid w:val="002831DF"/>
    <w:rsid w:val="00283233"/>
    <w:rsid w:val="0028338B"/>
    <w:rsid w:val="0028338D"/>
    <w:rsid w:val="002835FB"/>
    <w:rsid w:val="002838E7"/>
    <w:rsid w:val="0028396E"/>
    <w:rsid w:val="00283BA5"/>
    <w:rsid w:val="00283CF4"/>
    <w:rsid w:val="00283E80"/>
    <w:rsid w:val="002843A9"/>
    <w:rsid w:val="002843CA"/>
    <w:rsid w:val="0028444F"/>
    <w:rsid w:val="002846D1"/>
    <w:rsid w:val="00284A15"/>
    <w:rsid w:val="00284AD4"/>
    <w:rsid w:val="00284C03"/>
    <w:rsid w:val="00284CC6"/>
    <w:rsid w:val="00284F6A"/>
    <w:rsid w:val="00284F71"/>
    <w:rsid w:val="0028503A"/>
    <w:rsid w:val="00285227"/>
    <w:rsid w:val="0028531A"/>
    <w:rsid w:val="002854F8"/>
    <w:rsid w:val="00285615"/>
    <w:rsid w:val="0028561E"/>
    <w:rsid w:val="002856EE"/>
    <w:rsid w:val="002858E9"/>
    <w:rsid w:val="002859B8"/>
    <w:rsid w:val="00285A96"/>
    <w:rsid w:val="00285B51"/>
    <w:rsid w:val="00285B80"/>
    <w:rsid w:val="00285C29"/>
    <w:rsid w:val="00285C8E"/>
    <w:rsid w:val="00285CE4"/>
    <w:rsid w:val="00286016"/>
    <w:rsid w:val="002866B8"/>
    <w:rsid w:val="00286D7D"/>
    <w:rsid w:val="002870AA"/>
    <w:rsid w:val="002871A0"/>
    <w:rsid w:val="002872DE"/>
    <w:rsid w:val="0028738F"/>
    <w:rsid w:val="00287453"/>
    <w:rsid w:val="0028749E"/>
    <w:rsid w:val="002874C9"/>
    <w:rsid w:val="0028763E"/>
    <w:rsid w:val="00287F49"/>
    <w:rsid w:val="0029006B"/>
    <w:rsid w:val="00290326"/>
    <w:rsid w:val="00290371"/>
    <w:rsid w:val="00290944"/>
    <w:rsid w:val="00290A17"/>
    <w:rsid w:val="00290C53"/>
    <w:rsid w:val="002911C1"/>
    <w:rsid w:val="002912E5"/>
    <w:rsid w:val="00291940"/>
    <w:rsid w:val="002919D4"/>
    <w:rsid w:val="00291F0F"/>
    <w:rsid w:val="00292005"/>
    <w:rsid w:val="00292024"/>
    <w:rsid w:val="002921DD"/>
    <w:rsid w:val="00292399"/>
    <w:rsid w:val="00292669"/>
    <w:rsid w:val="00292874"/>
    <w:rsid w:val="002928B1"/>
    <w:rsid w:val="00292E83"/>
    <w:rsid w:val="00293006"/>
    <w:rsid w:val="00293207"/>
    <w:rsid w:val="0029327B"/>
    <w:rsid w:val="0029334C"/>
    <w:rsid w:val="00293392"/>
    <w:rsid w:val="00293520"/>
    <w:rsid w:val="00293641"/>
    <w:rsid w:val="0029365F"/>
    <w:rsid w:val="002936E0"/>
    <w:rsid w:val="0029392F"/>
    <w:rsid w:val="00293F7E"/>
    <w:rsid w:val="00294037"/>
    <w:rsid w:val="00294472"/>
    <w:rsid w:val="002945A6"/>
    <w:rsid w:val="00294795"/>
    <w:rsid w:val="002947AB"/>
    <w:rsid w:val="002947D3"/>
    <w:rsid w:val="002947EB"/>
    <w:rsid w:val="00294893"/>
    <w:rsid w:val="0029491C"/>
    <w:rsid w:val="00294ABC"/>
    <w:rsid w:val="00294B31"/>
    <w:rsid w:val="00294D84"/>
    <w:rsid w:val="00295079"/>
    <w:rsid w:val="00295268"/>
    <w:rsid w:val="002952F8"/>
    <w:rsid w:val="00295868"/>
    <w:rsid w:val="002958C8"/>
    <w:rsid w:val="00295C87"/>
    <w:rsid w:val="00295E46"/>
    <w:rsid w:val="00295E58"/>
    <w:rsid w:val="0029629F"/>
    <w:rsid w:val="002963FA"/>
    <w:rsid w:val="002965A2"/>
    <w:rsid w:val="00296750"/>
    <w:rsid w:val="00296782"/>
    <w:rsid w:val="002967E3"/>
    <w:rsid w:val="0029688B"/>
    <w:rsid w:val="00296A1E"/>
    <w:rsid w:val="00296B61"/>
    <w:rsid w:val="00297023"/>
    <w:rsid w:val="002971BE"/>
    <w:rsid w:val="002971E1"/>
    <w:rsid w:val="00297255"/>
    <w:rsid w:val="002973C8"/>
    <w:rsid w:val="00297416"/>
    <w:rsid w:val="00297534"/>
    <w:rsid w:val="00297734"/>
    <w:rsid w:val="00297991"/>
    <w:rsid w:val="00297A17"/>
    <w:rsid w:val="00297A49"/>
    <w:rsid w:val="00297AD5"/>
    <w:rsid w:val="00297C71"/>
    <w:rsid w:val="002A0067"/>
    <w:rsid w:val="002A00E0"/>
    <w:rsid w:val="002A00F7"/>
    <w:rsid w:val="002A0132"/>
    <w:rsid w:val="002A02D4"/>
    <w:rsid w:val="002A0590"/>
    <w:rsid w:val="002A07D7"/>
    <w:rsid w:val="002A08E6"/>
    <w:rsid w:val="002A08F4"/>
    <w:rsid w:val="002A0CF4"/>
    <w:rsid w:val="002A0D37"/>
    <w:rsid w:val="002A0DBF"/>
    <w:rsid w:val="002A0E64"/>
    <w:rsid w:val="002A14B7"/>
    <w:rsid w:val="002A19D0"/>
    <w:rsid w:val="002A1C27"/>
    <w:rsid w:val="002A1F12"/>
    <w:rsid w:val="002A1F7A"/>
    <w:rsid w:val="002A2069"/>
    <w:rsid w:val="002A20BE"/>
    <w:rsid w:val="002A210A"/>
    <w:rsid w:val="002A2169"/>
    <w:rsid w:val="002A235F"/>
    <w:rsid w:val="002A25F9"/>
    <w:rsid w:val="002A268A"/>
    <w:rsid w:val="002A2789"/>
    <w:rsid w:val="002A28F5"/>
    <w:rsid w:val="002A29F1"/>
    <w:rsid w:val="002A2AC5"/>
    <w:rsid w:val="002A2BBC"/>
    <w:rsid w:val="002A2BEF"/>
    <w:rsid w:val="002A2CAC"/>
    <w:rsid w:val="002A2E8D"/>
    <w:rsid w:val="002A311D"/>
    <w:rsid w:val="002A3128"/>
    <w:rsid w:val="002A320D"/>
    <w:rsid w:val="002A3312"/>
    <w:rsid w:val="002A342C"/>
    <w:rsid w:val="002A3446"/>
    <w:rsid w:val="002A3610"/>
    <w:rsid w:val="002A362E"/>
    <w:rsid w:val="002A3647"/>
    <w:rsid w:val="002A3799"/>
    <w:rsid w:val="002A386C"/>
    <w:rsid w:val="002A391A"/>
    <w:rsid w:val="002A3B1E"/>
    <w:rsid w:val="002A3C26"/>
    <w:rsid w:val="002A3C79"/>
    <w:rsid w:val="002A3D03"/>
    <w:rsid w:val="002A43ED"/>
    <w:rsid w:val="002A4642"/>
    <w:rsid w:val="002A46E0"/>
    <w:rsid w:val="002A4B2C"/>
    <w:rsid w:val="002A4DCA"/>
    <w:rsid w:val="002A508E"/>
    <w:rsid w:val="002A523C"/>
    <w:rsid w:val="002A540D"/>
    <w:rsid w:val="002A56C4"/>
    <w:rsid w:val="002A5786"/>
    <w:rsid w:val="002A58E6"/>
    <w:rsid w:val="002A5BEA"/>
    <w:rsid w:val="002A6098"/>
    <w:rsid w:val="002A62D1"/>
    <w:rsid w:val="002A63FE"/>
    <w:rsid w:val="002A6404"/>
    <w:rsid w:val="002A64FD"/>
    <w:rsid w:val="002A681F"/>
    <w:rsid w:val="002A6A7E"/>
    <w:rsid w:val="002A6B13"/>
    <w:rsid w:val="002A6E5F"/>
    <w:rsid w:val="002A7144"/>
    <w:rsid w:val="002A717C"/>
    <w:rsid w:val="002A71D4"/>
    <w:rsid w:val="002A72CA"/>
    <w:rsid w:val="002A72D4"/>
    <w:rsid w:val="002A73FB"/>
    <w:rsid w:val="002A7442"/>
    <w:rsid w:val="002A7488"/>
    <w:rsid w:val="002A75C2"/>
    <w:rsid w:val="002A762C"/>
    <w:rsid w:val="002A76C8"/>
    <w:rsid w:val="002A7715"/>
    <w:rsid w:val="002A77B5"/>
    <w:rsid w:val="002A7C69"/>
    <w:rsid w:val="002A7D11"/>
    <w:rsid w:val="002A7E50"/>
    <w:rsid w:val="002B0034"/>
    <w:rsid w:val="002B0138"/>
    <w:rsid w:val="002B014E"/>
    <w:rsid w:val="002B0323"/>
    <w:rsid w:val="002B0398"/>
    <w:rsid w:val="002B056C"/>
    <w:rsid w:val="002B0603"/>
    <w:rsid w:val="002B06BF"/>
    <w:rsid w:val="002B0877"/>
    <w:rsid w:val="002B08EE"/>
    <w:rsid w:val="002B0B70"/>
    <w:rsid w:val="002B0C46"/>
    <w:rsid w:val="002B0C7D"/>
    <w:rsid w:val="002B0F7D"/>
    <w:rsid w:val="002B106D"/>
    <w:rsid w:val="002B12B2"/>
    <w:rsid w:val="002B13E1"/>
    <w:rsid w:val="002B157F"/>
    <w:rsid w:val="002B15CD"/>
    <w:rsid w:val="002B1747"/>
    <w:rsid w:val="002B1903"/>
    <w:rsid w:val="002B1906"/>
    <w:rsid w:val="002B1ABC"/>
    <w:rsid w:val="002B1D9C"/>
    <w:rsid w:val="002B1E26"/>
    <w:rsid w:val="002B1E6F"/>
    <w:rsid w:val="002B2020"/>
    <w:rsid w:val="002B209F"/>
    <w:rsid w:val="002B20B4"/>
    <w:rsid w:val="002B2230"/>
    <w:rsid w:val="002B2301"/>
    <w:rsid w:val="002B23BE"/>
    <w:rsid w:val="002B2654"/>
    <w:rsid w:val="002B2A9F"/>
    <w:rsid w:val="002B2CFA"/>
    <w:rsid w:val="002B2E4B"/>
    <w:rsid w:val="002B2E7D"/>
    <w:rsid w:val="002B2E90"/>
    <w:rsid w:val="002B2EBF"/>
    <w:rsid w:val="002B2ECD"/>
    <w:rsid w:val="002B3040"/>
    <w:rsid w:val="002B310E"/>
    <w:rsid w:val="002B31C8"/>
    <w:rsid w:val="002B31DA"/>
    <w:rsid w:val="002B322D"/>
    <w:rsid w:val="002B35DE"/>
    <w:rsid w:val="002B3637"/>
    <w:rsid w:val="002B37CB"/>
    <w:rsid w:val="002B3965"/>
    <w:rsid w:val="002B3C32"/>
    <w:rsid w:val="002B40A8"/>
    <w:rsid w:val="002B4576"/>
    <w:rsid w:val="002B5400"/>
    <w:rsid w:val="002B55CA"/>
    <w:rsid w:val="002B57BC"/>
    <w:rsid w:val="002B58AF"/>
    <w:rsid w:val="002B58E1"/>
    <w:rsid w:val="002B5E1E"/>
    <w:rsid w:val="002B5EFC"/>
    <w:rsid w:val="002B61BC"/>
    <w:rsid w:val="002B631B"/>
    <w:rsid w:val="002B63CE"/>
    <w:rsid w:val="002B63F1"/>
    <w:rsid w:val="002B65A3"/>
    <w:rsid w:val="002B66A5"/>
    <w:rsid w:val="002B6761"/>
    <w:rsid w:val="002B6764"/>
    <w:rsid w:val="002B69F4"/>
    <w:rsid w:val="002B6EBF"/>
    <w:rsid w:val="002B7092"/>
    <w:rsid w:val="002B7510"/>
    <w:rsid w:val="002B7A8C"/>
    <w:rsid w:val="002B7C60"/>
    <w:rsid w:val="002B7D05"/>
    <w:rsid w:val="002B7EC3"/>
    <w:rsid w:val="002B7F9C"/>
    <w:rsid w:val="002C01C9"/>
    <w:rsid w:val="002C02D8"/>
    <w:rsid w:val="002C0650"/>
    <w:rsid w:val="002C0731"/>
    <w:rsid w:val="002C0921"/>
    <w:rsid w:val="002C0DCA"/>
    <w:rsid w:val="002C0E58"/>
    <w:rsid w:val="002C15C6"/>
    <w:rsid w:val="002C16BB"/>
    <w:rsid w:val="002C17A0"/>
    <w:rsid w:val="002C1B77"/>
    <w:rsid w:val="002C1BCD"/>
    <w:rsid w:val="002C1EAD"/>
    <w:rsid w:val="002C2274"/>
    <w:rsid w:val="002C247D"/>
    <w:rsid w:val="002C25FF"/>
    <w:rsid w:val="002C260F"/>
    <w:rsid w:val="002C2645"/>
    <w:rsid w:val="002C2743"/>
    <w:rsid w:val="002C2744"/>
    <w:rsid w:val="002C2758"/>
    <w:rsid w:val="002C2938"/>
    <w:rsid w:val="002C29D1"/>
    <w:rsid w:val="002C2BBD"/>
    <w:rsid w:val="002C2CB5"/>
    <w:rsid w:val="002C2F82"/>
    <w:rsid w:val="002C31AB"/>
    <w:rsid w:val="002C3509"/>
    <w:rsid w:val="002C37D0"/>
    <w:rsid w:val="002C388C"/>
    <w:rsid w:val="002C3909"/>
    <w:rsid w:val="002C3B7A"/>
    <w:rsid w:val="002C4171"/>
    <w:rsid w:val="002C43B7"/>
    <w:rsid w:val="002C44BD"/>
    <w:rsid w:val="002C4984"/>
    <w:rsid w:val="002C49CF"/>
    <w:rsid w:val="002C4B6D"/>
    <w:rsid w:val="002C4D32"/>
    <w:rsid w:val="002C4D4C"/>
    <w:rsid w:val="002C4E5D"/>
    <w:rsid w:val="002C501C"/>
    <w:rsid w:val="002C54A2"/>
    <w:rsid w:val="002C5778"/>
    <w:rsid w:val="002C582C"/>
    <w:rsid w:val="002C5960"/>
    <w:rsid w:val="002C5C54"/>
    <w:rsid w:val="002C5D85"/>
    <w:rsid w:val="002C632D"/>
    <w:rsid w:val="002C63DE"/>
    <w:rsid w:val="002C6790"/>
    <w:rsid w:val="002C6A3B"/>
    <w:rsid w:val="002C6A6B"/>
    <w:rsid w:val="002C6C93"/>
    <w:rsid w:val="002C6CA9"/>
    <w:rsid w:val="002C6F73"/>
    <w:rsid w:val="002C7366"/>
    <w:rsid w:val="002C747F"/>
    <w:rsid w:val="002C75C9"/>
    <w:rsid w:val="002C7682"/>
    <w:rsid w:val="002C781C"/>
    <w:rsid w:val="002C7875"/>
    <w:rsid w:val="002C795F"/>
    <w:rsid w:val="002C7E02"/>
    <w:rsid w:val="002C7E41"/>
    <w:rsid w:val="002D03B8"/>
    <w:rsid w:val="002D0D10"/>
    <w:rsid w:val="002D128B"/>
    <w:rsid w:val="002D12B4"/>
    <w:rsid w:val="002D1325"/>
    <w:rsid w:val="002D1356"/>
    <w:rsid w:val="002D14DC"/>
    <w:rsid w:val="002D153A"/>
    <w:rsid w:val="002D174F"/>
    <w:rsid w:val="002D1851"/>
    <w:rsid w:val="002D1967"/>
    <w:rsid w:val="002D1A0C"/>
    <w:rsid w:val="002D22B2"/>
    <w:rsid w:val="002D230D"/>
    <w:rsid w:val="002D255C"/>
    <w:rsid w:val="002D2699"/>
    <w:rsid w:val="002D2ABE"/>
    <w:rsid w:val="002D2B4D"/>
    <w:rsid w:val="002D2C41"/>
    <w:rsid w:val="002D2F17"/>
    <w:rsid w:val="002D3016"/>
    <w:rsid w:val="002D301B"/>
    <w:rsid w:val="002D33DA"/>
    <w:rsid w:val="002D36C2"/>
    <w:rsid w:val="002D381B"/>
    <w:rsid w:val="002D3EC2"/>
    <w:rsid w:val="002D4214"/>
    <w:rsid w:val="002D423C"/>
    <w:rsid w:val="002D4388"/>
    <w:rsid w:val="002D45F8"/>
    <w:rsid w:val="002D46A2"/>
    <w:rsid w:val="002D488A"/>
    <w:rsid w:val="002D4A57"/>
    <w:rsid w:val="002D4B9C"/>
    <w:rsid w:val="002D4C6A"/>
    <w:rsid w:val="002D4D32"/>
    <w:rsid w:val="002D4FE8"/>
    <w:rsid w:val="002D51A4"/>
    <w:rsid w:val="002D537F"/>
    <w:rsid w:val="002D54C4"/>
    <w:rsid w:val="002D5549"/>
    <w:rsid w:val="002D5D69"/>
    <w:rsid w:val="002D60B5"/>
    <w:rsid w:val="002D6400"/>
    <w:rsid w:val="002D6551"/>
    <w:rsid w:val="002D6800"/>
    <w:rsid w:val="002D6941"/>
    <w:rsid w:val="002D69D6"/>
    <w:rsid w:val="002D6AB5"/>
    <w:rsid w:val="002D6AEB"/>
    <w:rsid w:val="002D6DB3"/>
    <w:rsid w:val="002D6E71"/>
    <w:rsid w:val="002D6F60"/>
    <w:rsid w:val="002D7517"/>
    <w:rsid w:val="002D7687"/>
    <w:rsid w:val="002D779A"/>
    <w:rsid w:val="002D78A3"/>
    <w:rsid w:val="002D78D4"/>
    <w:rsid w:val="002D79B7"/>
    <w:rsid w:val="002D79C0"/>
    <w:rsid w:val="002D7BBA"/>
    <w:rsid w:val="002D7DE6"/>
    <w:rsid w:val="002E0123"/>
    <w:rsid w:val="002E01B4"/>
    <w:rsid w:val="002E0244"/>
    <w:rsid w:val="002E0306"/>
    <w:rsid w:val="002E0322"/>
    <w:rsid w:val="002E04BD"/>
    <w:rsid w:val="002E04EE"/>
    <w:rsid w:val="002E051B"/>
    <w:rsid w:val="002E0720"/>
    <w:rsid w:val="002E072C"/>
    <w:rsid w:val="002E081A"/>
    <w:rsid w:val="002E0829"/>
    <w:rsid w:val="002E0949"/>
    <w:rsid w:val="002E0D22"/>
    <w:rsid w:val="002E0D41"/>
    <w:rsid w:val="002E0DE6"/>
    <w:rsid w:val="002E119A"/>
    <w:rsid w:val="002E1D33"/>
    <w:rsid w:val="002E1F85"/>
    <w:rsid w:val="002E2127"/>
    <w:rsid w:val="002E262E"/>
    <w:rsid w:val="002E2709"/>
    <w:rsid w:val="002E295B"/>
    <w:rsid w:val="002E2968"/>
    <w:rsid w:val="002E2C32"/>
    <w:rsid w:val="002E2DA8"/>
    <w:rsid w:val="002E2E9F"/>
    <w:rsid w:val="002E2FE8"/>
    <w:rsid w:val="002E3036"/>
    <w:rsid w:val="002E3084"/>
    <w:rsid w:val="002E3212"/>
    <w:rsid w:val="002E3274"/>
    <w:rsid w:val="002E3359"/>
    <w:rsid w:val="002E33CF"/>
    <w:rsid w:val="002E388B"/>
    <w:rsid w:val="002E38F1"/>
    <w:rsid w:val="002E39F7"/>
    <w:rsid w:val="002E3B5F"/>
    <w:rsid w:val="002E3C2D"/>
    <w:rsid w:val="002E46A1"/>
    <w:rsid w:val="002E46C0"/>
    <w:rsid w:val="002E4869"/>
    <w:rsid w:val="002E4A28"/>
    <w:rsid w:val="002E4A2B"/>
    <w:rsid w:val="002E5098"/>
    <w:rsid w:val="002E5191"/>
    <w:rsid w:val="002E520B"/>
    <w:rsid w:val="002E5259"/>
    <w:rsid w:val="002E5279"/>
    <w:rsid w:val="002E5388"/>
    <w:rsid w:val="002E5401"/>
    <w:rsid w:val="002E5461"/>
    <w:rsid w:val="002E54DB"/>
    <w:rsid w:val="002E5909"/>
    <w:rsid w:val="002E6105"/>
    <w:rsid w:val="002E62F9"/>
    <w:rsid w:val="002E63A2"/>
    <w:rsid w:val="002E654A"/>
    <w:rsid w:val="002E677E"/>
    <w:rsid w:val="002E6974"/>
    <w:rsid w:val="002E6A02"/>
    <w:rsid w:val="002E6BBB"/>
    <w:rsid w:val="002E6C84"/>
    <w:rsid w:val="002E6D00"/>
    <w:rsid w:val="002E6D81"/>
    <w:rsid w:val="002E7171"/>
    <w:rsid w:val="002E72A0"/>
    <w:rsid w:val="002E7344"/>
    <w:rsid w:val="002E749F"/>
    <w:rsid w:val="002E76FE"/>
    <w:rsid w:val="002E77D2"/>
    <w:rsid w:val="002E78C9"/>
    <w:rsid w:val="002E78E6"/>
    <w:rsid w:val="002E7AF7"/>
    <w:rsid w:val="002E7B0F"/>
    <w:rsid w:val="002E7B86"/>
    <w:rsid w:val="002E7EBB"/>
    <w:rsid w:val="002E7FC0"/>
    <w:rsid w:val="002F004F"/>
    <w:rsid w:val="002F005B"/>
    <w:rsid w:val="002F0090"/>
    <w:rsid w:val="002F012C"/>
    <w:rsid w:val="002F05EB"/>
    <w:rsid w:val="002F073E"/>
    <w:rsid w:val="002F0830"/>
    <w:rsid w:val="002F08D8"/>
    <w:rsid w:val="002F08E0"/>
    <w:rsid w:val="002F0AFB"/>
    <w:rsid w:val="002F0B38"/>
    <w:rsid w:val="002F0C22"/>
    <w:rsid w:val="002F0DD9"/>
    <w:rsid w:val="002F0DF5"/>
    <w:rsid w:val="002F0FAE"/>
    <w:rsid w:val="002F1116"/>
    <w:rsid w:val="002F1160"/>
    <w:rsid w:val="002F11E8"/>
    <w:rsid w:val="002F1376"/>
    <w:rsid w:val="002F1843"/>
    <w:rsid w:val="002F1861"/>
    <w:rsid w:val="002F1A9D"/>
    <w:rsid w:val="002F215D"/>
    <w:rsid w:val="002F2358"/>
    <w:rsid w:val="002F2583"/>
    <w:rsid w:val="002F2894"/>
    <w:rsid w:val="002F29BD"/>
    <w:rsid w:val="002F2ABB"/>
    <w:rsid w:val="002F2C42"/>
    <w:rsid w:val="002F2EEE"/>
    <w:rsid w:val="002F3039"/>
    <w:rsid w:val="002F327D"/>
    <w:rsid w:val="002F3304"/>
    <w:rsid w:val="002F3789"/>
    <w:rsid w:val="002F39CB"/>
    <w:rsid w:val="002F39DF"/>
    <w:rsid w:val="002F3E30"/>
    <w:rsid w:val="002F3EBB"/>
    <w:rsid w:val="002F3F5F"/>
    <w:rsid w:val="002F4099"/>
    <w:rsid w:val="002F41F7"/>
    <w:rsid w:val="002F436D"/>
    <w:rsid w:val="002F44ED"/>
    <w:rsid w:val="002F4575"/>
    <w:rsid w:val="002F4768"/>
    <w:rsid w:val="002F48DD"/>
    <w:rsid w:val="002F49A3"/>
    <w:rsid w:val="002F4AE2"/>
    <w:rsid w:val="002F4B69"/>
    <w:rsid w:val="002F4C06"/>
    <w:rsid w:val="002F4C4C"/>
    <w:rsid w:val="002F5061"/>
    <w:rsid w:val="002F50E8"/>
    <w:rsid w:val="002F520D"/>
    <w:rsid w:val="002F52CE"/>
    <w:rsid w:val="002F54B5"/>
    <w:rsid w:val="002F5559"/>
    <w:rsid w:val="002F5863"/>
    <w:rsid w:val="002F595E"/>
    <w:rsid w:val="002F5B34"/>
    <w:rsid w:val="002F5F4F"/>
    <w:rsid w:val="002F611A"/>
    <w:rsid w:val="002F62F2"/>
    <w:rsid w:val="002F638D"/>
    <w:rsid w:val="002F649E"/>
    <w:rsid w:val="002F695C"/>
    <w:rsid w:val="002F6ABC"/>
    <w:rsid w:val="002F6BC7"/>
    <w:rsid w:val="002F6D38"/>
    <w:rsid w:val="002F6DC7"/>
    <w:rsid w:val="002F6DD5"/>
    <w:rsid w:val="002F701C"/>
    <w:rsid w:val="002F7275"/>
    <w:rsid w:val="002F7503"/>
    <w:rsid w:val="002F75D4"/>
    <w:rsid w:val="002F75D9"/>
    <w:rsid w:val="002F76DF"/>
    <w:rsid w:val="002F7767"/>
    <w:rsid w:val="002F7860"/>
    <w:rsid w:val="002F79C5"/>
    <w:rsid w:val="002F7A54"/>
    <w:rsid w:val="002F7BBF"/>
    <w:rsid w:val="002F7E24"/>
    <w:rsid w:val="00300286"/>
    <w:rsid w:val="0030079E"/>
    <w:rsid w:val="003008DF"/>
    <w:rsid w:val="00300B7C"/>
    <w:rsid w:val="0030105B"/>
    <w:rsid w:val="0030115C"/>
    <w:rsid w:val="0030118A"/>
    <w:rsid w:val="003012BF"/>
    <w:rsid w:val="00301985"/>
    <w:rsid w:val="00301A3D"/>
    <w:rsid w:val="00301CC0"/>
    <w:rsid w:val="00301DD8"/>
    <w:rsid w:val="00301FA2"/>
    <w:rsid w:val="00301FAD"/>
    <w:rsid w:val="003020DA"/>
    <w:rsid w:val="0030233F"/>
    <w:rsid w:val="00302358"/>
    <w:rsid w:val="003023BF"/>
    <w:rsid w:val="00302A19"/>
    <w:rsid w:val="00302A77"/>
    <w:rsid w:val="00302D48"/>
    <w:rsid w:val="00302DA9"/>
    <w:rsid w:val="003032C7"/>
    <w:rsid w:val="003039C9"/>
    <w:rsid w:val="00303B68"/>
    <w:rsid w:val="00303C09"/>
    <w:rsid w:val="00303C3A"/>
    <w:rsid w:val="00303DE4"/>
    <w:rsid w:val="00304365"/>
    <w:rsid w:val="00304465"/>
    <w:rsid w:val="0030456F"/>
    <w:rsid w:val="003047B5"/>
    <w:rsid w:val="00304810"/>
    <w:rsid w:val="0030482D"/>
    <w:rsid w:val="00304A24"/>
    <w:rsid w:val="00304C99"/>
    <w:rsid w:val="003053C1"/>
    <w:rsid w:val="00305CC3"/>
    <w:rsid w:val="00306715"/>
    <w:rsid w:val="00306BBA"/>
    <w:rsid w:val="00307357"/>
    <w:rsid w:val="0030736E"/>
    <w:rsid w:val="003074E7"/>
    <w:rsid w:val="00307545"/>
    <w:rsid w:val="00307A02"/>
    <w:rsid w:val="00307C2E"/>
    <w:rsid w:val="00307EC4"/>
    <w:rsid w:val="003101F1"/>
    <w:rsid w:val="0031025A"/>
    <w:rsid w:val="0031025C"/>
    <w:rsid w:val="00310305"/>
    <w:rsid w:val="0031045A"/>
    <w:rsid w:val="003105FD"/>
    <w:rsid w:val="00310951"/>
    <w:rsid w:val="00310A67"/>
    <w:rsid w:val="00310AD3"/>
    <w:rsid w:val="00310B98"/>
    <w:rsid w:val="00310D4D"/>
    <w:rsid w:val="00310DF9"/>
    <w:rsid w:val="00311077"/>
    <w:rsid w:val="00311095"/>
    <w:rsid w:val="0031122D"/>
    <w:rsid w:val="00311487"/>
    <w:rsid w:val="003115AA"/>
    <w:rsid w:val="003116BE"/>
    <w:rsid w:val="00311AEF"/>
    <w:rsid w:val="00311E65"/>
    <w:rsid w:val="003121BD"/>
    <w:rsid w:val="003123AC"/>
    <w:rsid w:val="003129C0"/>
    <w:rsid w:val="00312AD9"/>
    <w:rsid w:val="00312C0F"/>
    <w:rsid w:val="00312DEE"/>
    <w:rsid w:val="00312FA3"/>
    <w:rsid w:val="0031339E"/>
    <w:rsid w:val="00313822"/>
    <w:rsid w:val="0031384E"/>
    <w:rsid w:val="00313944"/>
    <w:rsid w:val="003139BB"/>
    <w:rsid w:val="00313D05"/>
    <w:rsid w:val="00313D71"/>
    <w:rsid w:val="00313F0C"/>
    <w:rsid w:val="00314155"/>
    <w:rsid w:val="0031436E"/>
    <w:rsid w:val="003146A2"/>
    <w:rsid w:val="00314728"/>
    <w:rsid w:val="0031475D"/>
    <w:rsid w:val="00314927"/>
    <w:rsid w:val="00314AEC"/>
    <w:rsid w:val="00314C9E"/>
    <w:rsid w:val="00314D79"/>
    <w:rsid w:val="003150EC"/>
    <w:rsid w:val="00315101"/>
    <w:rsid w:val="003152CD"/>
    <w:rsid w:val="00315525"/>
    <w:rsid w:val="003157CD"/>
    <w:rsid w:val="003157E6"/>
    <w:rsid w:val="0031588B"/>
    <w:rsid w:val="0031599F"/>
    <w:rsid w:val="00315A14"/>
    <w:rsid w:val="00315A24"/>
    <w:rsid w:val="00315B74"/>
    <w:rsid w:val="00315CA7"/>
    <w:rsid w:val="00315CFA"/>
    <w:rsid w:val="00315DE1"/>
    <w:rsid w:val="00315DEA"/>
    <w:rsid w:val="00315F96"/>
    <w:rsid w:val="00316071"/>
    <w:rsid w:val="003164A6"/>
    <w:rsid w:val="00316573"/>
    <w:rsid w:val="0031684B"/>
    <w:rsid w:val="00316A54"/>
    <w:rsid w:val="00316BEE"/>
    <w:rsid w:val="00317110"/>
    <w:rsid w:val="0031744C"/>
    <w:rsid w:val="00317764"/>
    <w:rsid w:val="00317924"/>
    <w:rsid w:val="00317E52"/>
    <w:rsid w:val="00317E73"/>
    <w:rsid w:val="00317ED2"/>
    <w:rsid w:val="0032012D"/>
    <w:rsid w:val="0032028C"/>
    <w:rsid w:val="003203EE"/>
    <w:rsid w:val="003207B9"/>
    <w:rsid w:val="00320A1F"/>
    <w:rsid w:val="00320B48"/>
    <w:rsid w:val="00320BCB"/>
    <w:rsid w:val="00320BF5"/>
    <w:rsid w:val="00320D1C"/>
    <w:rsid w:val="00320D77"/>
    <w:rsid w:val="00320F4F"/>
    <w:rsid w:val="003211AF"/>
    <w:rsid w:val="003213D7"/>
    <w:rsid w:val="00321544"/>
    <w:rsid w:val="003215BE"/>
    <w:rsid w:val="0032163B"/>
    <w:rsid w:val="00321892"/>
    <w:rsid w:val="00321AF4"/>
    <w:rsid w:val="00321BD9"/>
    <w:rsid w:val="00321C73"/>
    <w:rsid w:val="00321C8A"/>
    <w:rsid w:val="00321EF5"/>
    <w:rsid w:val="00322117"/>
    <w:rsid w:val="003222B7"/>
    <w:rsid w:val="00322600"/>
    <w:rsid w:val="00322957"/>
    <w:rsid w:val="00322BA4"/>
    <w:rsid w:val="00322BF7"/>
    <w:rsid w:val="00322C8A"/>
    <w:rsid w:val="00322E95"/>
    <w:rsid w:val="0032300E"/>
    <w:rsid w:val="00323181"/>
    <w:rsid w:val="003231E0"/>
    <w:rsid w:val="0032326D"/>
    <w:rsid w:val="0032332F"/>
    <w:rsid w:val="00323686"/>
    <w:rsid w:val="00323912"/>
    <w:rsid w:val="00323E22"/>
    <w:rsid w:val="00323E5E"/>
    <w:rsid w:val="00324042"/>
    <w:rsid w:val="00324078"/>
    <w:rsid w:val="00324169"/>
    <w:rsid w:val="003242CA"/>
    <w:rsid w:val="00324519"/>
    <w:rsid w:val="0032463B"/>
    <w:rsid w:val="00324AB9"/>
    <w:rsid w:val="00324AC4"/>
    <w:rsid w:val="00324C50"/>
    <w:rsid w:val="00324CA6"/>
    <w:rsid w:val="00324D8E"/>
    <w:rsid w:val="00324DEB"/>
    <w:rsid w:val="00324E16"/>
    <w:rsid w:val="00324F07"/>
    <w:rsid w:val="00324FD8"/>
    <w:rsid w:val="00325200"/>
    <w:rsid w:val="0032522C"/>
    <w:rsid w:val="00325498"/>
    <w:rsid w:val="0032552A"/>
    <w:rsid w:val="0032567E"/>
    <w:rsid w:val="0032577A"/>
    <w:rsid w:val="003257BA"/>
    <w:rsid w:val="003257F3"/>
    <w:rsid w:val="00325956"/>
    <w:rsid w:val="00325A1E"/>
    <w:rsid w:val="00325B8E"/>
    <w:rsid w:val="00325C49"/>
    <w:rsid w:val="00325CEE"/>
    <w:rsid w:val="00325DF1"/>
    <w:rsid w:val="00326026"/>
    <w:rsid w:val="0032634C"/>
    <w:rsid w:val="00326BA2"/>
    <w:rsid w:val="00326E4D"/>
    <w:rsid w:val="00327083"/>
    <w:rsid w:val="0032711F"/>
    <w:rsid w:val="0032714E"/>
    <w:rsid w:val="003273C4"/>
    <w:rsid w:val="00327485"/>
    <w:rsid w:val="003274A1"/>
    <w:rsid w:val="003274D0"/>
    <w:rsid w:val="00327595"/>
    <w:rsid w:val="0032762C"/>
    <w:rsid w:val="00327A1B"/>
    <w:rsid w:val="00327B17"/>
    <w:rsid w:val="00327D3C"/>
    <w:rsid w:val="00327F9E"/>
    <w:rsid w:val="003302D0"/>
    <w:rsid w:val="00330589"/>
    <w:rsid w:val="003305E1"/>
    <w:rsid w:val="00330CF4"/>
    <w:rsid w:val="00330E66"/>
    <w:rsid w:val="00330F7E"/>
    <w:rsid w:val="0033103E"/>
    <w:rsid w:val="003311D2"/>
    <w:rsid w:val="003311EB"/>
    <w:rsid w:val="00331241"/>
    <w:rsid w:val="00331248"/>
    <w:rsid w:val="003314B0"/>
    <w:rsid w:val="003316B0"/>
    <w:rsid w:val="003316D5"/>
    <w:rsid w:val="00331B2C"/>
    <w:rsid w:val="00331E69"/>
    <w:rsid w:val="00331FAD"/>
    <w:rsid w:val="00332039"/>
    <w:rsid w:val="00332398"/>
    <w:rsid w:val="003325D4"/>
    <w:rsid w:val="003326AC"/>
    <w:rsid w:val="00332724"/>
    <w:rsid w:val="0033298C"/>
    <w:rsid w:val="00332AEC"/>
    <w:rsid w:val="00332BEB"/>
    <w:rsid w:val="00332CB2"/>
    <w:rsid w:val="0033309B"/>
    <w:rsid w:val="00333189"/>
    <w:rsid w:val="003336B5"/>
    <w:rsid w:val="003336CA"/>
    <w:rsid w:val="00333D7E"/>
    <w:rsid w:val="00333DA6"/>
    <w:rsid w:val="00333E37"/>
    <w:rsid w:val="00333F60"/>
    <w:rsid w:val="00333FA3"/>
    <w:rsid w:val="003341B4"/>
    <w:rsid w:val="0033422E"/>
    <w:rsid w:val="00334519"/>
    <w:rsid w:val="003346D0"/>
    <w:rsid w:val="00334729"/>
    <w:rsid w:val="00334796"/>
    <w:rsid w:val="0033480E"/>
    <w:rsid w:val="003348B2"/>
    <w:rsid w:val="003349D6"/>
    <w:rsid w:val="00334A0F"/>
    <w:rsid w:val="00334A1C"/>
    <w:rsid w:val="00334CBE"/>
    <w:rsid w:val="00334D0C"/>
    <w:rsid w:val="00334D21"/>
    <w:rsid w:val="00334EC9"/>
    <w:rsid w:val="00334FAE"/>
    <w:rsid w:val="00335512"/>
    <w:rsid w:val="003355F9"/>
    <w:rsid w:val="0033569C"/>
    <w:rsid w:val="00335A98"/>
    <w:rsid w:val="00335EB6"/>
    <w:rsid w:val="00335F06"/>
    <w:rsid w:val="003360D8"/>
    <w:rsid w:val="003361A2"/>
    <w:rsid w:val="00336632"/>
    <w:rsid w:val="0033676C"/>
    <w:rsid w:val="003368B7"/>
    <w:rsid w:val="00336BF6"/>
    <w:rsid w:val="00336F16"/>
    <w:rsid w:val="003370B0"/>
    <w:rsid w:val="003370F7"/>
    <w:rsid w:val="0033713C"/>
    <w:rsid w:val="00337340"/>
    <w:rsid w:val="0033767A"/>
    <w:rsid w:val="003378E1"/>
    <w:rsid w:val="003379D1"/>
    <w:rsid w:val="00337EF5"/>
    <w:rsid w:val="00337F5B"/>
    <w:rsid w:val="00340232"/>
    <w:rsid w:val="00340410"/>
    <w:rsid w:val="0034054D"/>
    <w:rsid w:val="00340DE1"/>
    <w:rsid w:val="00340DE9"/>
    <w:rsid w:val="00340FD2"/>
    <w:rsid w:val="0034155D"/>
    <w:rsid w:val="00341AE8"/>
    <w:rsid w:val="00341B09"/>
    <w:rsid w:val="00341B23"/>
    <w:rsid w:val="00341B47"/>
    <w:rsid w:val="00341B94"/>
    <w:rsid w:val="00342390"/>
    <w:rsid w:val="00342B29"/>
    <w:rsid w:val="00342B64"/>
    <w:rsid w:val="00342CA6"/>
    <w:rsid w:val="00342DEE"/>
    <w:rsid w:val="00343314"/>
    <w:rsid w:val="00343390"/>
    <w:rsid w:val="003433A2"/>
    <w:rsid w:val="003433DA"/>
    <w:rsid w:val="00343BBA"/>
    <w:rsid w:val="00343BF9"/>
    <w:rsid w:val="00343D37"/>
    <w:rsid w:val="0034404E"/>
    <w:rsid w:val="0034405A"/>
    <w:rsid w:val="0034426B"/>
    <w:rsid w:val="0034446D"/>
    <w:rsid w:val="003444BA"/>
    <w:rsid w:val="00344581"/>
    <w:rsid w:val="00344606"/>
    <w:rsid w:val="003446DB"/>
    <w:rsid w:val="00344B19"/>
    <w:rsid w:val="00344B49"/>
    <w:rsid w:val="00344E0E"/>
    <w:rsid w:val="003451C5"/>
    <w:rsid w:val="00345454"/>
    <w:rsid w:val="0034564C"/>
    <w:rsid w:val="003456E8"/>
    <w:rsid w:val="00345C4E"/>
    <w:rsid w:val="00345E2B"/>
    <w:rsid w:val="00346367"/>
    <w:rsid w:val="00346589"/>
    <w:rsid w:val="00346606"/>
    <w:rsid w:val="00346618"/>
    <w:rsid w:val="0034675D"/>
    <w:rsid w:val="0034676E"/>
    <w:rsid w:val="00346BD4"/>
    <w:rsid w:val="00346E5D"/>
    <w:rsid w:val="00346F79"/>
    <w:rsid w:val="00346F7A"/>
    <w:rsid w:val="003470FC"/>
    <w:rsid w:val="00347338"/>
    <w:rsid w:val="0034759E"/>
    <w:rsid w:val="003475F8"/>
    <w:rsid w:val="0034760D"/>
    <w:rsid w:val="00347670"/>
    <w:rsid w:val="00347EE6"/>
    <w:rsid w:val="00350270"/>
    <w:rsid w:val="00350463"/>
    <w:rsid w:val="003504A8"/>
    <w:rsid w:val="00350638"/>
    <w:rsid w:val="003506CF"/>
    <w:rsid w:val="00350801"/>
    <w:rsid w:val="003509A6"/>
    <w:rsid w:val="00350C1D"/>
    <w:rsid w:val="00350E7D"/>
    <w:rsid w:val="00350F88"/>
    <w:rsid w:val="00350FB9"/>
    <w:rsid w:val="00351202"/>
    <w:rsid w:val="003513EF"/>
    <w:rsid w:val="003515B7"/>
    <w:rsid w:val="0035167D"/>
    <w:rsid w:val="00351BF2"/>
    <w:rsid w:val="00351F43"/>
    <w:rsid w:val="00351FC2"/>
    <w:rsid w:val="003521B7"/>
    <w:rsid w:val="00352334"/>
    <w:rsid w:val="0035238D"/>
    <w:rsid w:val="003525AA"/>
    <w:rsid w:val="00352608"/>
    <w:rsid w:val="00352623"/>
    <w:rsid w:val="00352B6A"/>
    <w:rsid w:val="00352CEE"/>
    <w:rsid w:val="00352EDD"/>
    <w:rsid w:val="00352F07"/>
    <w:rsid w:val="00353321"/>
    <w:rsid w:val="003537D5"/>
    <w:rsid w:val="003539D4"/>
    <w:rsid w:val="00353A83"/>
    <w:rsid w:val="00353BF6"/>
    <w:rsid w:val="00353C72"/>
    <w:rsid w:val="00353E2B"/>
    <w:rsid w:val="0035434F"/>
    <w:rsid w:val="003543F9"/>
    <w:rsid w:val="0035455A"/>
    <w:rsid w:val="003549FB"/>
    <w:rsid w:val="00354A0E"/>
    <w:rsid w:val="00354D53"/>
    <w:rsid w:val="00354F5D"/>
    <w:rsid w:val="003551F0"/>
    <w:rsid w:val="00355487"/>
    <w:rsid w:val="003555A0"/>
    <w:rsid w:val="00355721"/>
    <w:rsid w:val="00355732"/>
    <w:rsid w:val="00355782"/>
    <w:rsid w:val="00355D62"/>
    <w:rsid w:val="00355D7D"/>
    <w:rsid w:val="00355EF6"/>
    <w:rsid w:val="00356435"/>
    <w:rsid w:val="00356600"/>
    <w:rsid w:val="0035682B"/>
    <w:rsid w:val="0035685E"/>
    <w:rsid w:val="00356ADB"/>
    <w:rsid w:val="00356D1E"/>
    <w:rsid w:val="003570EB"/>
    <w:rsid w:val="003571EA"/>
    <w:rsid w:val="0035722C"/>
    <w:rsid w:val="00357385"/>
    <w:rsid w:val="0035771C"/>
    <w:rsid w:val="00357978"/>
    <w:rsid w:val="00357AFA"/>
    <w:rsid w:val="00357B33"/>
    <w:rsid w:val="00357D3C"/>
    <w:rsid w:val="00357D47"/>
    <w:rsid w:val="00357F8C"/>
    <w:rsid w:val="003603DA"/>
    <w:rsid w:val="00360416"/>
    <w:rsid w:val="003605EF"/>
    <w:rsid w:val="00360669"/>
    <w:rsid w:val="00360812"/>
    <w:rsid w:val="00360B5E"/>
    <w:rsid w:val="00360BE7"/>
    <w:rsid w:val="00360D89"/>
    <w:rsid w:val="00360E64"/>
    <w:rsid w:val="00360E7C"/>
    <w:rsid w:val="00360ED6"/>
    <w:rsid w:val="00361014"/>
    <w:rsid w:val="003615A4"/>
    <w:rsid w:val="003617D1"/>
    <w:rsid w:val="00361BAA"/>
    <w:rsid w:val="00361EE1"/>
    <w:rsid w:val="00362086"/>
    <w:rsid w:val="0036269C"/>
    <w:rsid w:val="00362808"/>
    <w:rsid w:val="00362865"/>
    <w:rsid w:val="00362A01"/>
    <w:rsid w:val="00362BD3"/>
    <w:rsid w:val="00362C1B"/>
    <w:rsid w:val="00362DE8"/>
    <w:rsid w:val="00363312"/>
    <w:rsid w:val="0036368E"/>
    <w:rsid w:val="003636AE"/>
    <w:rsid w:val="00363936"/>
    <w:rsid w:val="00363F4C"/>
    <w:rsid w:val="00364400"/>
    <w:rsid w:val="00364438"/>
    <w:rsid w:val="003646A8"/>
    <w:rsid w:val="003647DF"/>
    <w:rsid w:val="003649AB"/>
    <w:rsid w:val="00364D46"/>
    <w:rsid w:val="00364F5A"/>
    <w:rsid w:val="00364FDF"/>
    <w:rsid w:val="00365066"/>
    <w:rsid w:val="0036524F"/>
    <w:rsid w:val="00365464"/>
    <w:rsid w:val="0036558C"/>
    <w:rsid w:val="003656EC"/>
    <w:rsid w:val="00365876"/>
    <w:rsid w:val="00365A4B"/>
    <w:rsid w:val="00365AB3"/>
    <w:rsid w:val="00365CE7"/>
    <w:rsid w:val="00365D35"/>
    <w:rsid w:val="00365F9E"/>
    <w:rsid w:val="00366116"/>
    <w:rsid w:val="003661B0"/>
    <w:rsid w:val="003662D3"/>
    <w:rsid w:val="0036641B"/>
    <w:rsid w:val="00366585"/>
    <w:rsid w:val="003665AB"/>
    <w:rsid w:val="0036660F"/>
    <w:rsid w:val="003666B0"/>
    <w:rsid w:val="003668E7"/>
    <w:rsid w:val="003669D2"/>
    <w:rsid w:val="00366CB5"/>
    <w:rsid w:val="00366CBF"/>
    <w:rsid w:val="00366D9F"/>
    <w:rsid w:val="003671EB"/>
    <w:rsid w:val="0036720E"/>
    <w:rsid w:val="003673D8"/>
    <w:rsid w:val="003675EC"/>
    <w:rsid w:val="0036763B"/>
    <w:rsid w:val="00367A07"/>
    <w:rsid w:val="00367A45"/>
    <w:rsid w:val="00367A50"/>
    <w:rsid w:val="00367B43"/>
    <w:rsid w:val="00367B60"/>
    <w:rsid w:val="00367C9F"/>
    <w:rsid w:val="00367D09"/>
    <w:rsid w:val="00367E2D"/>
    <w:rsid w:val="003708CA"/>
    <w:rsid w:val="003709DC"/>
    <w:rsid w:val="00370AB6"/>
    <w:rsid w:val="00370DE1"/>
    <w:rsid w:val="00370E61"/>
    <w:rsid w:val="00370F42"/>
    <w:rsid w:val="003710E0"/>
    <w:rsid w:val="003712F1"/>
    <w:rsid w:val="00371439"/>
    <w:rsid w:val="0037186F"/>
    <w:rsid w:val="00371951"/>
    <w:rsid w:val="00371B03"/>
    <w:rsid w:val="00371DC4"/>
    <w:rsid w:val="003720AC"/>
    <w:rsid w:val="0037219A"/>
    <w:rsid w:val="003721E4"/>
    <w:rsid w:val="00372311"/>
    <w:rsid w:val="003723DB"/>
    <w:rsid w:val="0037257B"/>
    <w:rsid w:val="0037262D"/>
    <w:rsid w:val="00372772"/>
    <w:rsid w:val="003727EF"/>
    <w:rsid w:val="003728AC"/>
    <w:rsid w:val="00372E5A"/>
    <w:rsid w:val="00372EBC"/>
    <w:rsid w:val="003731C1"/>
    <w:rsid w:val="00373616"/>
    <w:rsid w:val="003736F6"/>
    <w:rsid w:val="00373758"/>
    <w:rsid w:val="003739EA"/>
    <w:rsid w:val="00373DE3"/>
    <w:rsid w:val="00373F13"/>
    <w:rsid w:val="00374123"/>
    <w:rsid w:val="00374144"/>
    <w:rsid w:val="00374385"/>
    <w:rsid w:val="00374470"/>
    <w:rsid w:val="00374537"/>
    <w:rsid w:val="003745AF"/>
    <w:rsid w:val="00374B0B"/>
    <w:rsid w:val="00374D4F"/>
    <w:rsid w:val="00374F88"/>
    <w:rsid w:val="003750F0"/>
    <w:rsid w:val="003751BF"/>
    <w:rsid w:val="003751E7"/>
    <w:rsid w:val="00375236"/>
    <w:rsid w:val="00375277"/>
    <w:rsid w:val="00375286"/>
    <w:rsid w:val="003752D7"/>
    <w:rsid w:val="003756A6"/>
    <w:rsid w:val="003758A6"/>
    <w:rsid w:val="003758B1"/>
    <w:rsid w:val="0037593D"/>
    <w:rsid w:val="00375AD1"/>
    <w:rsid w:val="00375BB4"/>
    <w:rsid w:val="00375C19"/>
    <w:rsid w:val="00375DB6"/>
    <w:rsid w:val="00375E81"/>
    <w:rsid w:val="00375F52"/>
    <w:rsid w:val="00376087"/>
    <w:rsid w:val="003763CC"/>
    <w:rsid w:val="00376424"/>
    <w:rsid w:val="0037651C"/>
    <w:rsid w:val="003765B3"/>
    <w:rsid w:val="003765F1"/>
    <w:rsid w:val="0037668B"/>
    <w:rsid w:val="00376727"/>
    <w:rsid w:val="00376A57"/>
    <w:rsid w:val="00376AF7"/>
    <w:rsid w:val="00376C9E"/>
    <w:rsid w:val="00376CAD"/>
    <w:rsid w:val="00376F0B"/>
    <w:rsid w:val="003770A5"/>
    <w:rsid w:val="0037720D"/>
    <w:rsid w:val="00377608"/>
    <w:rsid w:val="003776CB"/>
    <w:rsid w:val="003776F9"/>
    <w:rsid w:val="0037783D"/>
    <w:rsid w:val="00377906"/>
    <w:rsid w:val="003779B2"/>
    <w:rsid w:val="00377D60"/>
    <w:rsid w:val="00377DAC"/>
    <w:rsid w:val="00377E31"/>
    <w:rsid w:val="00377F0D"/>
    <w:rsid w:val="0038010C"/>
    <w:rsid w:val="00380144"/>
    <w:rsid w:val="00380161"/>
    <w:rsid w:val="003802B0"/>
    <w:rsid w:val="0038038D"/>
    <w:rsid w:val="00380451"/>
    <w:rsid w:val="00380670"/>
    <w:rsid w:val="003806AE"/>
    <w:rsid w:val="0038077A"/>
    <w:rsid w:val="003807BC"/>
    <w:rsid w:val="00380DD6"/>
    <w:rsid w:val="00380DDA"/>
    <w:rsid w:val="0038103A"/>
    <w:rsid w:val="0038108B"/>
    <w:rsid w:val="00381254"/>
    <w:rsid w:val="003814DD"/>
    <w:rsid w:val="00381670"/>
    <w:rsid w:val="0038171E"/>
    <w:rsid w:val="00381793"/>
    <w:rsid w:val="00381821"/>
    <w:rsid w:val="00381857"/>
    <w:rsid w:val="003819B7"/>
    <w:rsid w:val="00381CAA"/>
    <w:rsid w:val="00381D84"/>
    <w:rsid w:val="00381E33"/>
    <w:rsid w:val="00381E73"/>
    <w:rsid w:val="00381EA5"/>
    <w:rsid w:val="003823A1"/>
    <w:rsid w:val="00382511"/>
    <w:rsid w:val="003825F1"/>
    <w:rsid w:val="0038276F"/>
    <w:rsid w:val="003827B9"/>
    <w:rsid w:val="00382834"/>
    <w:rsid w:val="00382931"/>
    <w:rsid w:val="00382C65"/>
    <w:rsid w:val="00382E6F"/>
    <w:rsid w:val="00382F03"/>
    <w:rsid w:val="003831F3"/>
    <w:rsid w:val="00383331"/>
    <w:rsid w:val="00383505"/>
    <w:rsid w:val="003838A8"/>
    <w:rsid w:val="00383CED"/>
    <w:rsid w:val="00384073"/>
    <w:rsid w:val="003841BB"/>
    <w:rsid w:val="0038467E"/>
    <w:rsid w:val="003847F8"/>
    <w:rsid w:val="00384C8C"/>
    <w:rsid w:val="00384D64"/>
    <w:rsid w:val="00384DD4"/>
    <w:rsid w:val="00384E9E"/>
    <w:rsid w:val="003853DE"/>
    <w:rsid w:val="00385681"/>
    <w:rsid w:val="00385B80"/>
    <w:rsid w:val="00385DB7"/>
    <w:rsid w:val="00385DFB"/>
    <w:rsid w:val="00385E35"/>
    <w:rsid w:val="003865DC"/>
    <w:rsid w:val="00386838"/>
    <w:rsid w:val="00386967"/>
    <w:rsid w:val="00386B60"/>
    <w:rsid w:val="00386BE8"/>
    <w:rsid w:val="00386D14"/>
    <w:rsid w:val="00386D92"/>
    <w:rsid w:val="00386FA7"/>
    <w:rsid w:val="00387175"/>
    <w:rsid w:val="0038718A"/>
    <w:rsid w:val="003871AC"/>
    <w:rsid w:val="003872EA"/>
    <w:rsid w:val="00387339"/>
    <w:rsid w:val="003873BA"/>
    <w:rsid w:val="003873C9"/>
    <w:rsid w:val="00387750"/>
    <w:rsid w:val="00387987"/>
    <w:rsid w:val="003879B8"/>
    <w:rsid w:val="00387B07"/>
    <w:rsid w:val="00387E20"/>
    <w:rsid w:val="00387FFB"/>
    <w:rsid w:val="0039001E"/>
    <w:rsid w:val="003900BF"/>
    <w:rsid w:val="003901BB"/>
    <w:rsid w:val="00390206"/>
    <w:rsid w:val="003904C5"/>
    <w:rsid w:val="00390AB4"/>
    <w:rsid w:val="00390B09"/>
    <w:rsid w:val="00390B6B"/>
    <w:rsid w:val="00390D0B"/>
    <w:rsid w:val="00390DDC"/>
    <w:rsid w:val="003910D0"/>
    <w:rsid w:val="00391146"/>
    <w:rsid w:val="00391227"/>
    <w:rsid w:val="00391241"/>
    <w:rsid w:val="003913EC"/>
    <w:rsid w:val="0039168E"/>
    <w:rsid w:val="003916F3"/>
    <w:rsid w:val="00391822"/>
    <w:rsid w:val="00391892"/>
    <w:rsid w:val="00391BD1"/>
    <w:rsid w:val="00391BEF"/>
    <w:rsid w:val="00391EAA"/>
    <w:rsid w:val="00392157"/>
    <w:rsid w:val="003923D8"/>
    <w:rsid w:val="0039245C"/>
    <w:rsid w:val="0039273E"/>
    <w:rsid w:val="00392933"/>
    <w:rsid w:val="00392A91"/>
    <w:rsid w:val="00392D3B"/>
    <w:rsid w:val="00392DC7"/>
    <w:rsid w:val="00392F7A"/>
    <w:rsid w:val="00393063"/>
    <w:rsid w:val="003936DA"/>
    <w:rsid w:val="0039380C"/>
    <w:rsid w:val="0039386B"/>
    <w:rsid w:val="00393911"/>
    <w:rsid w:val="00393B03"/>
    <w:rsid w:val="00393D4D"/>
    <w:rsid w:val="00393E4B"/>
    <w:rsid w:val="00393E7D"/>
    <w:rsid w:val="00393F99"/>
    <w:rsid w:val="00394509"/>
    <w:rsid w:val="003947A4"/>
    <w:rsid w:val="00394829"/>
    <w:rsid w:val="00394883"/>
    <w:rsid w:val="00394D67"/>
    <w:rsid w:val="00394F5F"/>
    <w:rsid w:val="00395154"/>
    <w:rsid w:val="0039519B"/>
    <w:rsid w:val="00395271"/>
    <w:rsid w:val="00395376"/>
    <w:rsid w:val="00395393"/>
    <w:rsid w:val="00395654"/>
    <w:rsid w:val="003956F5"/>
    <w:rsid w:val="003957AA"/>
    <w:rsid w:val="00395A62"/>
    <w:rsid w:val="00395AF9"/>
    <w:rsid w:val="00395B0B"/>
    <w:rsid w:val="00395B21"/>
    <w:rsid w:val="00395CAD"/>
    <w:rsid w:val="00396113"/>
    <w:rsid w:val="0039619A"/>
    <w:rsid w:val="00396637"/>
    <w:rsid w:val="00396710"/>
    <w:rsid w:val="00396758"/>
    <w:rsid w:val="00396A50"/>
    <w:rsid w:val="00396FB8"/>
    <w:rsid w:val="003972C3"/>
    <w:rsid w:val="003973A3"/>
    <w:rsid w:val="00397464"/>
    <w:rsid w:val="003975FE"/>
    <w:rsid w:val="0039760E"/>
    <w:rsid w:val="0039792B"/>
    <w:rsid w:val="00397CEF"/>
    <w:rsid w:val="00397D1E"/>
    <w:rsid w:val="00397EEB"/>
    <w:rsid w:val="003A02A7"/>
    <w:rsid w:val="003A02DF"/>
    <w:rsid w:val="003A031C"/>
    <w:rsid w:val="003A0394"/>
    <w:rsid w:val="003A05CB"/>
    <w:rsid w:val="003A0708"/>
    <w:rsid w:val="003A0725"/>
    <w:rsid w:val="003A073E"/>
    <w:rsid w:val="003A0790"/>
    <w:rsid w:val="003A09B9"/>
    <w:rsid w:val="003A0C98"/>
    <w:rsid w:val="003A0CB7"/>
    <w:rsid w:val="003A0DCF"/>
    <w:rsid w:val="003A0F86"/>
    <w:rsid w:val="003A137F"/>
    <w:rsid w:val="003A13E8"/>
    <w:rsid w:val="003A1747"/>
    <w:rsid w:val="003A1788"/>
    <w:rsid w:val="003A1B60"/>
    <w:rsid w:val="003A1B68"/>
    <w:rsid w:val="003A1CA6"/>
    <w:rsid w:val="003A1D1F"/>
    <w:rsid w:val="003A1D24"/>
    <w:rsid w:val="003A1D2D"/>
    <w:rsid w:val="003A1EB5"/>
    <w:rsid w:val="003A234D"/>
    <w:rsid w:val="003A238B"/>
    <w:rsid w:val="003A23BC"/>
    <w:rsid w:val="003A2652"/>
    <w:rsid w:val="003A26A1"/>
    <w:rsid w:val="003A27BA"/>
    <w:rsid w:val="003A2882"/>
    <w:rsid w:val="003A291D"/>
    <w:rsid w:val="003A29D3"/>
    <w:rsid w:val="003A2AE1"/>
    <w:rsid w:val="003A3173"/>
    <w:rsid w:val="003A31A4"/>
    <w:rsid w:val="003A34C6"/>
    <w:rsid w:val="003A353B"/>
    <w:rsid w:val="003A39C5"/>
    <w:rsid w:val="003A3D1A"/>
    <w:rsid w:val="003A3F5F"/>
    <w:rsid w:val="003A3F69"/>
    <w:rsid w:val="003A40CB"/>
    <w:rsid w:val="003A40F5"/>
    <w:rsid w:val="003A438C"/>
    <w:rsid w:val="003A44F9"/>
    <w:rsid w:val="003A4A81"/>
    <w:rsid w:val="003A4CEE"/>
    <w:rsid w:val="003A4E31"/>
    <w:rsid w:val="003A4F58"/>
    <w:rsid w:val="003A4FC1"/>
    <w:rsid w:val="003A4FF8"/>
    <w:rsid w:val="003A5426"/>
    <w:rsid w:val="003A559A"/>
    <w:rsid w:val="003A580F"/>
    <w:rsid w:val="003A5874"/>
    <w:rsid w:val="003A59B5"/>
    <w:rsid w:val="003A5ACF"/>
    <w:rsid w:val="003A5E85"/>
    <w:rsid w:val="003A5F21"/>
    <w:rsid w:val="003A65F8"/>
    <w:rsid w:val="003A6691"/>
    <w:rsid w:val="003A67C6"/>
    <w:rsid w:val="003A687A"/>
    <w:rsid w:val="003A69C7"/>
    <w:rsid w:val="003A6B74"/>
    <w:rsid w:val="003A6CF6"/>
    <w:rsid w:val="003A6E51"/>
    <w:rsid w:val="003A718A"/>
    <w:rsid w:val="003A722C"/>
    <w:rsid w:val="003A73CA"/>
    <w:rsid w:val="003A749C"/>
    <w:rsid w:val="003A7598"/>
    <w:rsid w:val="003A7EA7"/>
    <w:rsid w:val="003A7EB9"/>
    <w:rsid w:val="003A7FC8"/>
    <w:rsid w:val="003A7FD0"/>
    <w:rsid w:val="003B0316"/>
    <w:rsid w:val="003B03CA"/>
    <w:rsid w:val="003B042E"/>
    <w:rsid w:val="003B047F"/>
    <w:rsid w:val="003B0695"/>
    <w:rsid w:val="003B0891"/>
    <w:rsid w:val="003B08E0"/>
    <w:rsid w:val="003B0EF9"/>
    <w:rsid w:val="003B0FA5"/>
    <w:rsid w:val="003B13BB"/>
    <w:rsid w:val="003B13EC"/>
    <w:rsid w:val="003B1A6C"/>
    <w:rsid w:val="003B1C9A"/>
    <w:rsid w:val="003B1F64"/>
    <w:rsid w:val="003B239C"/>
    <w:rsid w:val="003B2403"/>
    <w:rsid w:val="003B2572"/>
    <w:rsid w:val="003B28FD"/>
    <w:rsid w:val="003B2A6F"/>
    <w:rsid w:val="003B2ABC"/>
    <w:rsid w:val="003B2AE3"/>
    <w:rsid w:val="003B309C"/>
    <w:rsid w:val="003B324B"/>
    <w:rsid w:val="003B3563"/>
    <w:rsid w:val="003B35B7"/>
    <w:rsid w:val="003B39CA"/>
    <w:rsid w:val="003B3BB2"/>
    <w:rsid w:val="003B3C5B"/>
    <w:rsid w:val="003B41D4"/>
    <w:rsid w:val="003B42D1"/>
    <w:rsid w:val="003B4331"/>
    <w:rsid w:val="003B4396"/>
    <w:rsid w:val="003B4592"/>
    <w:rsid w:val="003B45E0"/>
    <w:rsid w:val="003B4684"/>
    <w:rsid w:val="003B490B"/>
    <w:rsid w:val="003B4955"/>
    <w:rsid w:val="003B4AD0"/>
    <w:rsid w:val="003B4C20"/>
    <w:rsid w:val="003B4C25"/>
    <w:rsid w:val="003B4CCA"/>
    <w:rsid w:val="003B4CEA"/>
    <w:rsid w:val="003B515C"/>
    <w:rsid w:val="003B5248"/>
    <w:rsid w:val="003B5410"/>
    <w:rsid w:val="003B5476"/>
    <w:rsid w:val="003B5A06"/>
    <w:rsid w:val="003B5B3E"/>
    <w:rsid w:val="003B5B9A"/>
    <w:rsid w:val="003B5C7C"/>
    <w:rsid w:val="003B5D28"/>
    <w:rsid w:val="003B5E96"/>
    <w:rsid w:val="003B5FF1"/>
    <w:rsid w:val="003B6181"/>
    <w:rsid w:val="003B626B"/>
    <w:rsid w:val="003B6291"/>
    <w:rsid w:val="003B640F"/>
    <w:rsid w:val="003B64B3"/>
    <w:rsid w:val="003B658F"/>
    <w:rsid w:val="003B6708"/>
    <w:rsid w:val="003B670C"/>
    <w:rsid w:val="003B6824"/>
    <w:rsid w:val="003B6A58"/>
    <w:rsid w:val="003B6B82"/>
    <w:rsid w:val="003B6BD0"/>
    <w:rsid w:val="003B6F6A"/>
    <w:rsid w:val="003B70A6"/>
    <w:rsid w:val="003B70F1"/>
    <w:rsid w:val="003B713E"/>
    <w:rsid w:val="003B71B0"/>
    <w:rsid w:val="003B728B"/>
    <w:rsid w:val="003B7478"/>
    <w:rsid w:val="003B7522"/>
    <w:rsid w:val="003B76D9"/>
    <w:rsid w:val="003B76F9"/>
    <w:rsid w:val="003B7A68"/>
    <w:rsid w:val="003B7C75"/>
    <w:rsid w:val="003B7CDC"/>
    <w:rsid w:val="003B7D1E"/>
    <w:rsid w:val="003B7F91"/>
    <w:rsid w:val="003C002A"/>
    <w:rsid w:val="003C0314"/>
    <w:rsid w:val="003C07C3"/>
    <w:rsid w:val="003C088E"/>
    <w:rsid w:val="003C08CD"/>
    <w:rsid w:val="003C0B26"/>
    <w:rsid w:val="003C0D25"/>
    <w:rsid w:val="003C0F2F"/>
    <w:rsid w:val="003C1010"/>
    <w:rsid w:val="003C102E"/>
    <w:rsid w:val="003C1128"/>
    <w:rsid w:val="003C13AE"/>
    <w:rsid w:val="003C140E"/>
    <w:rsid w:val="003C1751"/>
    <w:rsid w:val="003C1AB0"/>
    <w:rsid w:val="003C1F28"/>
    <w:rsid w:val="003C225A"/>
    <w:rsid w:val="003C22DA"/>
    <w:rsid w:val="003C2378"/>
    <w:rsid w:val="003C2651"/>
    <w:rsid w:val="003C2818"/>
    <w:rsid w:val="003C284E"/>
    <w:rsid w:val="003C2A04"/>
    <w:rsid w:val="003C2A4A"/>
    <w:rsid w:val="003C2A74"/>
    <w:rsid w:val="003C2ABA"/>
    <w:rsid w:val="003C2CE8"/>
    <w:rsid w:val="003C2ECC"/>
    <w:rsid w:val="003C31DF"/>
    <w:rsid w:val="003C330F"/>
    <w:rsid w:val="003C33D8"/>
    <w:rsid w:val="003C33F2"/>
    <w:rsid w:val="003C351B"/>
    <w:rsid w:val="003C3679"/>
    <w:rsid w:val="003C3806"/>
    <w:rsid w:val="003C381F"/>
    <w:rsid w:val="003C3BF5"/>
    <w:rsid w:val="003C3C81"/>
    <w:rsid w:val="003C4098"/>
    <w:rsid w:val="003C4118"/>
    <w:rsid w:val="003C434E"/>
    <w:rsid w:val="003C4700"/>
    <w:rsid w:val="003C4730"/>
    <w:rsid w:val="003C4A53"/>
    <w:rsid w:val="003C4BCD"/>
    <w:rsid w:val="003C4C48"/>
    <w:rsid w:val="003C4F0D"/>
    <w:rsid w:val="003C5470"/>
    <w:rsid w:val="003C551F"/>
    <w:rsid w:val="003C57C2"/>
    <w:rsid w:val="003C5A00"/>
    <w:rsid w:val="003C5A3E"/>
    <w:rsid w:val="003C5AAA"/>
    <w:rsid w:val="003C5D6D"/>
    <w:rsid w:val="003C5E1F"/>
    <w:rsid w:val="003C5E2D"/>
    <w:rsid w:val="003C5E74"/>
    <w:rsid w:val="003C5EAF"/>
    <w:rsid w:val="003C6434"/>
    <w:rsid w:val="003C6694"/>
    <w:rsid w:val="003C66D7"/>
    <w:rsid w:val="003C6841"/>
    <w:rsid w:val="003C69AE"/>
    <w:rsid w:val="003C6AFD"/>
    <w:rsid w:val="003C6BB4"/>
    <w:rsid w:val="003C6C7F"/>
    <w:rsid w:val="003C6FDA"/>
    <w:rsid w:val="003C70E1"/>
    <w:rsid w:val="003C72C1"/>
    <w:rsid w:val="003C74A5"/>
    <w:rsid w:val="003C7705"/>
    <w:rsid w:val="003C775C"/>
    <w:rsid w:val="003C7790"/>
    <w:rsid w:val="003C7851"/>
    <w:rsid w:val="003C7978"/>
    <w:rsid w:val="003C79A3"/>
    <w:rsid w:val="003C7D59"/>
    <w:rsid w:val="003C7DE2"/>
    <w:rsid w:val="003D0064"/>
    <w:rsid w:val="003D01FF"/>
    <w:rsid w:val="003D0220"/>
    <w:rsid w:val="003D02D9"/>
    <w:rsid w:val="003D082E"/>
    <w:rsid w:val="003D08BA"/>
    <w:rsid w:val="003D0A5F"/>
    <w:rsid w:val="003D0B5F"/>
    <w:rsid w:val="003D0D33"/>
    <w:rsid w:val="003D0D8B"/>
    <w:rsid w:val="003D10E5"/>
    <w:rsid w:val="003D1135"/>
    <w:rsid w:val="003D1242"/>
    <w:rsid w:val="003D1439"/>
    <w:rsid w:val="003D16AD"/>
    <w:rsid w:val="003D1789"/>
    <w:rsid w:val="003D1822"/>
    <w:rsid w:val="003D1AF8"/>
    <w:rsid w:val="003D1B41"/>
    <w:rsid w:val="003D1C3B"/>
    <w:rsid w:val="003D1DF2"/>
    <w:rsid w:val="003D1ED2"/>
    <w:rsid w:val="003D1F4A"/>
    <w:rsid w:val="003D224A"/>
    <w:rsid w:val="003D228A"/>
    <w:rsid w:val="003D2316"/>
    <w:rsid w:val="003D2373"/>
    <w:rsid w:val="003D25DD"/>
    <w:rsid w:val="003D26D5"/>
    <w:rsid w:val="003D2829"/>
    <w:rsid w:val="003D28AB"/>
    <w:rsid w:val="003D2AEF"/>
    <w:rsid w:val="003D2C4D"/>
    <w:rsid w:val="003D2E65"/>
    <w:rsid w:val="003D2EEC"/>
    <w:rsid w:val="003D2F1F"/>
    <w:rsid w:val="003D2FEA"/>
    <w:rsid w:val="003D30B8"/>
    <w:rsid w:val="003D31F5"/>
    <w:rsid w:val="003D3290"/>
    <w:rsid w:val="003D32C3"/>
    <w:rsid w:val="003D3332"/>
    <w:rsid w:val="003D344A"/>
    <w:rsid w:val="003D3C42"/>
    <w:rsid w:val="003D3C71"/>
    <w:rsid w:val="003D3D21"/>
    <w:rsid w:val="003D3D5C"/>
    <w:rsid w:val="003D3F2F"/>
    <w:rsid w:val="003D3F53"/>
    <w:rsid w:val="003D4157"/>
    <w:rsid w:val="003D4444"/>
    <w:rsid w:val="003D4709"/>
    <w:rsid w:val="003D4753"/>
    <w:rsid w:val="003D47B0"/>
    <w:rsid w:val="003D4EE0"/>
    <w:rsid w:val="003D4F0E"/>
    <w:rsid w:val="003D4F75"/>
    <w:rsid w:val="003D4F7F"/>
    <w:rsid w:val="003D4FEB"/>
    <w:rsid w:val="003D50C1"/>
    <w:rsid w:val="003D50F7"/>
    <w:rsid w:val="003D59AC"/>
    <w:rsid w:val="003D5F9E"/>
    <w:rsid w:val="003D6358"/>
    <w:rsid w:val="003D6377"/>
    <w:rsid w:val="003D6426"/>
    <w:rsid w:val="003D66A0"/>
    <w:rsid w:val="003D6BA6"/>
    <w:rsid w:val="003D6EB9"/>
    <w:rsid w:val="003D6F22"/>
    <w:rsid w:val="003D76CD"/>
    <w:rsid w:val="003D7759"/>
    <w:rsid w:val="003D783B"/>
    <w:rsid w:val="003D78A9"/>
    <w:rsid w:val="003D7990"/>
    <w:rsid w:val="003D7ACC"/>
    <w:rsid w:val="003D7B8B"/>
    <w:rsid w:val="003D7C81"/>
    <w:rsid w:val="003D7E7C"/>
    <w:rsid w:val="003D7F4E"/>
    <w:rsid w:val="003D7FF4"/>
    <w:rsid w:val="003E0047"/>
    <w:rsid w:val="003E0069"/>
    <w:rsid w:val="003E040D"/>
    <w:rsid w:val="003E05AF"/>
    <w:rsid w:val="003E0825"/>
    <w:rsid w:val="003E09A1"/>
    <w:rsid w:val="003E0B75"/>
    <w:rsid w:val="003E0B8B"/>
    <w:rsid w:val="003E0F45"/>
    <w:rsid w:val="003E1104"/>
    <w:rsid w:val="003E117B"/>
    <w:rsid w:val="003E15E9"/>
    <w:rsid w:val="003E16AE"/>
    <w:rsid w:val="003E1C50"/>
    <w:rsid w:val="003E1CF4"/>
    <w:rsid w:val="003E1D0D"/>
    <w:rsid w:val="003E1D5C"/>
    <w:rsid w:val="003E1E7B"/>
    <w:rsid w:val="003E21EA"/>
    <w:rsid w:val="003E227E"/>
    <w:rsid w:val="003E22C2"/>
    <w:rsid w:val="003E23DB"/>
    <w:rsid w:val="003E2780"/>
    <w:rsid w:val="003E2904"/>
    <w:rsid w:val="003E2920"/>
    <w:rsid w:val="003E2926"/>
    <w:rsid w:val="003E2A4B"/>
    <w:rsid w:val="003E2EE6"/>
    <w:rsid w:val="003E2FBA"/>
    <w:rsid w:val="003E3010"/>
    <w:rsid w:val="003E30AA"/>
    <w:rsid w:val="003E31D4"/>
    <w:rsid w:val="003E3687"/>
    <w:rsid w:val="003E37F6"/>
    <w:rsid w:val="003E394C"/>
    <w:rsid w:val="003E3976"/>
    <w:rsid w:val="003E3AC3"/>
    <w:rsid w:val="003E3B98"/>
    <w:rsid w:val="003E4033"/>
    <w:rsid w:val="003E46FE"/>
    <w:rsid w:val="003E4840"/>
    <w:rsid w:val="003E4A62"/>
    <w:rsid w:val="003E4CCA"/>
    <w:rsid w:val="003E4D0A"/>
    <w:rsid w:val="003E50D4"/>
    <w:rsid w:val="003E527A"/>
    <w:rsid w:val="003E5296"/>
    <w:rsid w:val="003E5382"/>
    <w:rsid w:val="003E542E"/>
    <w:rsid w:val="003E5679"/>
    <w:rsid w:val="003E5703"/>
    <w:rsid w:val="003E5B62"/>
    <w:rsid w:val="003E5C2E"/>
    <w:rsid w:val="003E5F00"/>
    <w:rsid w:val="003E605A"/>
    <w:rsid w:val="003E6099"/>
    <w:rsid w:val="003E6299"/>
    <w:rsid w:val="003E6335"/>
    <w:rsid w:val="003E6466"/>
    <w:rsid w:val="003E6491"/>
    <w:rsid w:val="003E6549"/>
    <w:rsid w:val="003E68E4"/>
    <w:rsid w:val="003E6DEC"/>
    <w:rsid w:val="003E6EDD"/>
    <w:rsid w:val="003E6F37"/>
    <w:rsid w:val="003E71D6"/>
    <w:rsid w:val="003E74CE"/>
    <w:rsid w:val="003E78AA"/>
    <w:rsid w:val="003E78E8"/>
    <w:rsid w:val="003E79E8"/>
    <w:rsid w:val="003E79EF"/>
    <w:rsid w:val="003E7A52"/>
    <w:rsid w:val="003E7B03"/>
    <w:rsid w:val="003E7BB0"/>
    <w:rsid w:val="003E7FDE"/>
    <w:rsid w:val="003F03C9"/>
    <w:rsid w:val="003F0648"/>
    <w:rsid w:val="003F0839"/>
    <w:rsid w:val="003F0975"/>
    <w:rsid w:val="003F0AB0"/>
    <w:rsid w:val="003F0B6E"/>
    <w:rsid w:val="003F0C15"/>
    <w:rsid w:val="003F101C"/>
    <w:rsid w:val="003F1219"/>
    <w:rsid w:val="003F1526"/>
    <w:rsid w:val="003F1598"/>
    <w:rsid w:val="003F18AA"/>
    <w:rsid w:val="003F1964"/>
    <w:rsid w:val="003F1DC0"/>
    <w:rsid w:val="003F2233"/>
    <w:rsid w:val="003F257A"/>
    <w:rsid w:val="003F2635"/>
    <w:rsid w:val="003F287E"/>
    <w:rsid w:val="003F2982"/>
    <w:rsid w:val="003F2A26"/>
    <w:rsid w:val="003F2B72"/>
    <w:rsid w:val="003F2E72"/>
    <w:rsid w:val="003F2E9C"/>
    <w:rsid w:val="003F2FA1"/>
    <w:rsid w:val="003F31A8"/>
    <w:rsid w:val="003F32A9"/>
    <w:rsid w:val="003F3306"/>
    <w:rsid w:val="003F3318"/>
    <w:rsid w:val="003F3673"/>
    <w:rsid w:val="003F3729"/>
    <w:rsid w:val="003F3C8E"/>
    <w:rsid w:val="003F3CC0"/>
    <w:rsid w:val="003F3CD5"/>
    <w:rsid w:val="003F3E24"/>
    <w:rsid w:val="003F4349"/>
    <w:rsid w:val="003F4687"/>
    <w:rsid w:val="003F46C5"/>
    <w:rsid w:val="003F48CB"/>
    <w:rsid w:val="003F4EA9"/>
    <w:rsid w:val="003F4F8D"/>
    <w:rsid w:val="003F50CE"/>
    <w:rsid w:val="003F50E9"/>
    <w:rsid w:val="003F5192"/>
    <w:rsid w:val="003F52D9"/>
    <w:rsid w:val="003F5367"/>
    <w:rsid w:val="003F536B"/>
    <w:rsid w:val="003F569A"/>
    <w:rsid w:val="003F58B9"/>
    <w:rsid w:val="003F59CD"/>
    <w:rsid w:val="003F5B23"/>
    <w:rsid w:val="003F5B84"/>
    <w:rsid w:val="003F5E21"/>
    <w:rsid w:val="003F5E38"/>
    <w:rsid w:val="003F5F9E"/>
    <w:rsid w:val="003F65E7"/>
    <w:rsid w:val="003F6A5B"/>
    <w:rsid w:val="003F6A85"/>
    <w:rsid w:val="003F6AA2"/>
    <w:rsid w:val="003F6BE1"/>
    <w:rsid w:val="003F6D88"/>
    <w:rsid w:val="003F6F43"/>
    <w:rsid w:val="003F7126"/>
    <w:rsid w:val="003F7222"/>
    <w:rsid w:val="003F72B4"/>
    <w:rsid w:val="003F7441"/>
    <w:rsid w:val="003F74A2"/>
    <w:rsid w:val="003F7559"/>
    <w:rsid w:val="003F7639"/>
    <w:rsid w:val="003F7787"/>
    <w:rsid w:val="003F7B6F"/>
    <w:rsid w:val="003F7D3D"/>
    <w:rsid w:val="003F7EDC"/>
    <w:rsid w:val="004000D7"/>
    <w:rsid w:val="00400276"/>
    <w:rsid w:val="00400532"/>
    <w:rsid w:val="0040094C"/>
    <w:rsid w:val="00400A3D"/>
    <w:rsid w:val="00400C87"/>
    <w:rsid w:val="00400CE4"/>
    <w:rsid w:val="00400FB1"/>
    <w:rsid w:val="00401128"/>
    <w:rsid w:val="00401486"/>
    <w:rsid w:val="00401C6E"/>
    <w:rsid w:val="00401D9B"/>
    <w:rsid w:val="00401F19"/>
    <w:rsid w:val="004020B7"/>
    <w:rsid w:val="004024DB"/>
    <w:rsid w:val="0040276A"/>
    <w:rsid w:val="004027AF"/>
    <w:rsid w:val="0040284B"/>
    <w:rsid w:val="00402C68"/>
    <w:rsid w:val="00402CC4"/>
    <w:rsid w:val="00402D65"/>
    <w:rsid w:val="00402ED8"/>
    <w:rsid w:val="004032E9"/>
    <w:rsid w:val="00403661"/>
    <w:rsid w:val="00403964"/>
    <w:rsid w:val="00403C8E"/>
    <w:rsid w:val="00403EFF"/>
    <w:rsid w:val="004043F4"/>
    <w:rsid w:val="00404532"/>
    <w:rsid w:val="00404586"/>
    <w:rsid w:val="0040463C"/>
    <w:rsid w:val="00404939"/>
    <w:rsid w:val="00405142"/>
    <w:rsid w:val="00405645"/>
    <w:rsid w:val="00405707"/>
    <w:rsid w:val="00405785"/>
    <w:rsid w:val="004057DF"/>
    <w:rsid w:val="0040593F"/>
    <w:rsid w:val="00405946"/>
    <w:rsid w:val="00405B30"/>
    <w:rsid w:val="00405C71"/>
    <w:rsid w:val="00405FD2"/>
    <w:rsid w:val="0040631D"/>
    <w:rsid w:val="00406453"/>
    <w:rsid w:val="004064F4"/>
    <w:rsid w:val="0040699F"/>
    <w:rsid w:val="00406A51"/>
    <w:rsid w:val="00406B8F"/>
    <w:rsid w:val="00406CE0"/>
    <w:rsid w:val="00406F65"/>
    <w:rsid w:val="0040741F"/>
    <w:rsid w:val="004076C8"/>
    <w:rsid w:val="00407989"/>
    <w:rsid w:val="00407A0C"/>
    <w:rsid w:val="00407DA9"/>
    <w:rsid w:val="00407DC0"/>
    <w:rsid w:val="00407E1F"/>
    <w:rsid w:val="00407F26"/>
    <w:rsid w:val="004103D1"/>
    <w:rsid w:val="0041061E"/>
    <w:rsid w:val="004109B4"/>
    <w:rsid w:val="00410A10"/>
    <w:rsid w:val="00410BC2"/>
    <w:rsid w:val="00410BDE"/>
    <w:rsid w:val="00410F38"/>
    <w:rsid w:val="004110EA"/>
    <w:rsid w:val="004112F4"/>
    <w:rsid w:val="00411653"/>
    <w:rsid w:val="00411AA6"/>
    <w:rsid w:val="00411B59"/>
    <w:rsid w:val="00411B85"/>
    <w:rsid w:val="00411C5C"/>
    <w:rsid w:val="00411CCF"/>
    <w:rsid w:val="00411DC7"/>
    <w:rsid w:val="00411FA9"/>
    <w:rsid w:val="0041253A"/>
    <w:rsid w:val="00412663"/>
    <w:rsid w:val="00412922"/>
    <w:rsid w:val="00412A30"/>
    <w:rsid w:val="00412A35"/>
    <w:rsid w:val="00412B40"/>
    <w:rsid w:val="00412DAF"/>
    <w:rsid w:val="00412DEF"/>
    <w:rsid w:val="00412F2E"/>
    <w:rsid w:val="0041307D"/>
    <w:rsid w:val="0041342B"/>
    <w:rsid w:val="004135AD"/>
    <w:rsid w:val="0041365A"/>
    <w:rsid w:val="00413795"/>
    <w:rsid w:val="00413BA4"/>
    <w:rsid w:val="00413D20"/>
    <w:rsid w:val="00413D4C"/>
    <w:rsid w:val="00413F73"/>
    <w:rsid w:val="004140FA"/>
    <w:rsid w:val="0041416F"/>
    <w:rsid w:val="0041454D"/>
    <w:rsid w:val="004147D4"/>
    <w:rsid w:val="00414824"/>
    <w:rsid w:val="00414F10"/>
    <w:rsid w:val="004150AA"/>
    <w:rsid w:val="0041512A"/>
    <w:rsid w:val="0041528E"/>
    <w:rsid w:val="00415512"/>
    <w:rsid w:val="0041565E"/>
    <w:rsid w:val="004156E3"/>
    <w:rsid w:val="00415704"/>
    <w:rsid w:val="004157DF"/>
    <w:rsid w:val="004157F3"/>
    <w:rsid w:val="004159E2"/>
    <w:rsid w:val="00415BB5"/>
    <w:rsid w:val="00415DBB"/>
    <w:rsid w:val="00415F4C"/>
    <w:rsid w:val="004160D8"/>
    <w:rsid w:val="00416229"/>
    <w:rsid w:val="00416322"/>
    <w:rsid w:val="004163B5"/>
    <w:rsid w:val="00416444"/>
    <w:rsid w:val="00416573"/>
    <w:rsid w:val="0041660F"/>
    <w:rsid w:val="004166AB"/>
    <w:rsid w:val="00416752"/>
    <w:rsid w:val="00416A13"/>
    <w:rsid w:val="00416B4D"/>
    <w:rsid w:val="00416E47"/>
    <w:rsid w:val="00416E48"/>
    <w:rsid w:val="00417088"/>
    <w:rsid w:val="00417983"/>
    <w:rsid w:val="00417C21"/>
    <w:rsid w:val="00417C3F"/>
    <w:rsid w:val="0042012A"/>
    <w:rsid w:val="0042012C"/>
    <w:rsid w:val="00420438"/>
    <w:rsid w:val="004206DA"/>
    <w:rsid w:val="004207AA"/>
    <w:rsid w:val="00420813"/>
    <w:rsid w:val="004209DE"/>
    <w:rsid w:val="00420B91"/>
    <w:rsid w:val="00420DE2"/>
    <w:rsid w:val="00420EDE"/>
    <w:rsid w:val="00421008"/>
    <w:rsid w:val="004213BA"/>
    <w:rsid w:val="004215BE"/>
    <w:rsid w:val="0042185B"/>
    <w:rsid w:val="00421A4E"/>
    <w:rsid w:val="00421BB1"/>
    <w:rsid w:val="00421D91"/>
    <w:rsid w:val="00421DC5"/>
    <w:rsid w:val="00421F31"/>
    <w:rsid w:val="00421F4D"/>
    <w:rsid w:val="00422009"/>
    <w:rsid w:val="004220CE"/>
    <w:rsid w:val="0042255F"/>
    <w:rsid w:val="0042258F"/>
    <w:rsid w:val="004226F2"/>
    <w:rsid w:val="00422743"/>
    <w:rsid w:val="00422C43"/>
    <w:rsid w:val="00422CD9"/>
    <w:rsid w:val="00422E6E"/>
    <w:rsid w:val="00422E9C"/>
    <w:rsid w:val="00422EF0"/>
    <w:rsid w:val="00422F2A"/>
    <w:rsid w:val="00422F90"/>
    <w:rsid w:val="00423334"/>
    <w:rsid w:val="00423626"/>
    <w:rsid w:val="0042376D"/>
    <w:rsid w:val="00423883"/>
    <w:rsid w:val="00423A1E"/>
    <w:rsid w:val="00423A97"/>
    <w:rsid w:val="00423B17"/>
    <w:rsid w:val="00423C24"/>
    <w:rsid w:val="00423C90"/>
    <w:rsid w:val="00423CF1"/>
    <w:rsid w:val="00423D11"/>
    <w:rsid w:val="0042430E"/>
    <w:rsid w:val="00424590"/>
    <w:rsid w:val="004246AF"/>
    <w:rsid w:val="00424909"/>
    <w:rsid w:val="004249C5"/>
    <w:rsid w:val="00424BF1"/>
    <w:rsid w:val="00424D18"/>
    <w:rsid w:val="00424E4E"/>
    <w:rsid w:val="00424FA0"/>
    <w:rsid w:val="00425032"/>
    <w:rsid w:val="004250E4"/>
    <w:rsid w:val="004253C2"/>
    <w:rsid w:val="0042550B"/>
    <w:rsid w:val="00425631"/>
    <w:rsid w:val="004257E1"/>
    <w:rsid w:val="004258BA"/>
    <w:rsid w:val="00425ACC"/>
    <w:rsid w:val="00425AE5"/>
    <w:rsid w:val="00425C45"/>
    <w:rsid w:val="00425E18"/>
    <w:rsid w:val="00425FB4"/>
    <w:rsid w:val="0042604F"/>
    <w:rsid w:val="00426096"/>
    <w:rsid w:val="00426200"/>
    <w:rsid w:val="0042638D"/>
    <w:rsid w:val="0042670A"/>
    <w:rsid w:val="004268CF"/>
    <w:rsid w:val="00426BE2"/>
    <w:rsid w:val="00426CD5"/>
    <w:rsid w:val="00426D5B"/>
    <w:rsid w:val="00426D80"/>
    <w:rsid w:val="00426DB1"/>
    <w:rsid w:val="00426DE5"/>
    <w:rsid w:val="00426EA1"/>
    <w:rsid w:val="004270F5"/>
    <w:rsid w:val="00427198"/>
    <w:rsid w:val="004271F3"/>
    <w:rsid w:val="00427265"/>
    <w:rsid w:val="0042733F"/>
    <w:rsid w:val="004273C8"/>
    <w:rsid w:val="00427575"/>
    <w:rsid w:val="004275D0"/>
    <w:rsid w:val="00427614"/>
    <w:rsid w:val="004276A2"/>
    <w:rsid w:val="004276B9"/>
    <w:rsid w:val="0042774D"/>
    <w:rsid w:val="00427813"/>
    <w:rsid w:val="00427915"/>
    <w:rsid w:val="00427BDA"/>
    <w:rsid w:val="00427D3D"/>
    <w:rsid w:val="00427D63"/>
    <w:rsid w:val="0043017C"/>
    <w:rsid w:val="00430228"/>
    <w:rsid w:val="0043034F"/>
    <w:rsid w:val="00430860"/>
    <w:rsid w:val="00430958"/>
    <w:rsid w:val="00430A43"/>
    <w:rsid w:val="00430D6D"/>
    <w:rsid w:val="00430F8C"/>
    <w:rsid w:val="004312CB"/>
    <w:rsid w:val="0043131D"/>
    <w:rsid w:val="004313F3"/>
    <w:rsid w:val="00431B17"/>
    <w:rsid w:val="00431C79"/>
    <w:rsid w:val="00431D22"/>
    <w:rsid w:val="00431D2E"/>
    <w:rsid w:val="00431D62"/>
    <w:rsid w:val="00431D84"/>
    <w:rsid w:val="00432037"/>
    <w:rsid w:val="004323A9"/>
    <w:rsid w:val="0043298D"/>
    <w:rsid w:val="00432A18"/>
    <w:rsid w:val="00432A51"/>
    <w:rsid w:val="00432BE4"/>
    <w:rsid w:val="00432C04"/>
    <w:rsid w:val="00432F98"/>
    <w:rsid w:val="00433299"/>
    <w:rsid w:val="004333AD"/>
    <w:rsid w:val="004334F8"/>
    <w:rsid w:val="00433521"/>
    <w:rsid w:val="00433603"/>
    <w:rsid w:val="00433616"/>
    <w:rsid w:val="00433829"/>
    <w:rsid w:val="00433885"/>
    <w:rsid w:val="00433D80"/>
    <w:rsid w:val="00433F7D"/>
    <w:rsid w:val="004340F0"/>
    <w:rsid w:val="004341A6"/>
    <w:rsid w:val="004343AB"/>
    <w:rsid w:val="004345B3"/>
    <w:rsid w:val="00434ACA"/>
    <w:rsid w:val="00434D84"/>
    <w:rsid w:val="00434E3B"/>
    <w:rsid w:val="004351C5"/>
    <w:rsid w:val="004356EB"/>
    <w:rsid w:val="00435C5C"/>
    <w:rsid w:val="00435EBC"/>
    <w:rsid w:val="004360BA"/>
    <w:rsid w:val="004361C0"/>
    <w:rsid w:val="00436254"/>
    <w:rsid w:val="00436513"/>
    <w:rsid w:val="004366D6"/>
    <w:rsid w:val="00436748"/>
    <w:rsid w:val="004369FA"/>
    <w:rsid w:val="00436ACF"/>
    <w:rsid w:val="004370AA"/>
    <w:rsid w:val="00437205"/>
    <w:rsid w:val="00437222"/>
    <w:rsid w:val="00437265"/>
    <w:rsid w:val="004373E1"/>
    <w:rsid w:val="00437403"/>
    <w:rsid w:val="004375E2"/>
    <w:rsid w:val="0043765B"/>
    <w:rsid w:val="004378D1"/>
    <w:rsid w:val="004379D8"/>
    <w:rsid w:val="00437A03"/>
    <w:rsid w:val="00437CB4"/>
    <w:rsid w:val="00437F6B"/>
    <w:rsid w:val="0044001B"/>
    <w:rsid w:val="004401D4"/>
    <w:rsid w:val="004402FF"/>
    <w:rsid w:val="004405B6"/>
    <w:rsid w:val="00440818"/>
    <w:rsid w:val="0044085C"/>
    <w:rsid w:val="00440A4B"/>
    <w:rsid w:val="00440A7B"/>
    <w:rsid w:val="00440B51"/>
    <w:rsid w:val="00440CEA"/>
    <w:rsid w:val="00440E27"/>
    <w:rsid w:val="004410AC"/>
    <w:rsid w:val="0044115F"/>
    <w:rsid w:val="00441474"/>
    <w:rsid w:val="00441492"/>
    <w:rsid w:val="004415B5"/>
    <w:rsid w:val="00441893"/>
    <w:rsid w:val="00441922"/>
    <w:rsid w:val="00441925"/>
    <w:rsid w:val="00441AC4"/>
    <w:rsid w:val="00441BF8"/>
    <w:rsid w:val="00441FC3"/>
    <w:rsid w:val="004422A5"/>
    <w:rsid w:val="004422C8"/>
    <w:rsid w:val="0044242A"/>
    <w:rsid w:val="00442445"/>
    <w:rsid w:val="00442509"/>
    <w:rsid w:val="004427E7"/>
    <w:rsid w:val="00442ADF"/>
    <w:rsid w:val="00442BFC"/>
    <w:rsid w:val="00442CC8"/>
    <w:rsid w:val="00442D29"/>
    <w:rsid w:val="00442DD4"/>
    <w:rsid w:val="004433C1"/>
    <w:rsid w:val="004433FB"/>
    <w:rsid w:val="00443480"/>
    <w:rsid w:val="004435AE"/>
    <w:rsid w:val="00443A0F"/>
    <w:rsid w:val="00443C5C"/>
    <w:rsid w:val="00443E37"/>
    <w:rsid w:val="00444155"/>
    <w:rsid w:val="0044446D"/>
    <w:rsid w:val="00444533"/>
    <w:rsid w:val="00444664"/>
    <w:rsid w:val="004447E0"/>
    <w:rsid w:val="0044481F"/>
    <w:rsid w:val="00444966"/>
    <w:rsid w:val="00444AC6"/>
    <w:rsid w:val="00444DFF"/>
    <w:rsid w:val="00444FAD"/>
    <w:rsid w:val="0044502D"/>
    <w:rsid w:val="004452B1"/>
    <w:rsid w:val="004453AF"/>
    <w:rsid w:val="00445574"/>
    <w:rsid w:val="004456CC"/>
    <w:rsid w:val="004457BC"/>
    <w:rsid w:val="004458D8"/>
    <w:rsid w:val="00445B84"/>
    <w:rsid w:val="00445C99"/>
    <w:rsid w:val="00446155"/>
    <w:rsid w:val="004463C7"/>
    <w:rsid w:val="004463D2"/>
    <w:rsid w:val="004463EC"/>
    <w:rsid w:val="004465F5"/>
    <w:rsid w:val="004467ED"/>
    <w:rsid w:val="00446AC2"/>
    <w:rsid w:val="00446BE5"/>
    <w:rsid w:val="00446C80"/>
    <w:rsid w:val="00446DD6"/>
    <w:rsid w:val="00446E62"/>
    <w:rsid w:val="00446ECD"/>
    <w:rsid w:val="00447959"/>
    <w:rsid w:val="0044796C"/>
    <w:rsid w:val="00447995"/>
    <w:rsid w:val="00447BE2"/>
    <w:rsid w:val="00447DD6"/>
    <w:rsid w:val="0045023B"/>
    <w:rsid w:val="0045030C"/>
    <w:rsid w:val="004504B0"/>
    <w:rsid w:val="004505B3"/>
    <w:rsid w:val="004506D8"/>
    <w:rsid w:val="0045093C"/>
    <w:rsid w:val="004509BB"/>
    <w:rsid w:val="00450B96"/>
    <w:rsid w:val="00450BFC"/>
    <w:rsid w:val="00450DB0"/>
    <w:rsid w:val="00450E31"/>
    <w:rsid w:val="00450E5F"/>
    <w:rsid w:val="0045101E"/>
    <w:rsid w:val="00451277"/>
    <w:rsid w:val="00451379"/>
    <w:rsid w:val="00451451"/>
    <w:rsid w:val="00451551"/>
    <w:rsid w:val="00451590"/>
    <w:rsid w:val="0045160D"/>
    <w:rsid w:val="00451707"/>
    <w:rsid w:val="0045178B"/>
    <w:rsid w:val="004517FB"/>
    <w:rsid w:val="00451857"/>
    <w:rsid w:val="00451B9C"/>
    <w:rsid w:val="00451CB1"/>
    <w:rsid w:val="00451CE5"/>
    <w:rsid w:val="00452029"/>
    <w:rsid w:val="00452134"/>
    <w:rsid w:val="0045219D"/>
    <w:rsid w:val="00452580"/>
    <w:rsid w:val="00452CA0"/>
    <w:rsid w:val="00452D67"/>
    <w:rsid w:val="004530C5"/>
    <w:rsid w:val="00453454"/>
    <w:rsid w:val="00453837"/>
    <w:rsid w:val="0045384D"/>
    <w:rsid w:val="004538AA"/>
    <w:rsid w:val="00453BE0"/>
    <w:rsid w:val="004542B5"/>
    <w:rsid w:val="0045439C"/>
    <w:rsid w:val="0045464B"/>
    <w:rsid w:val="0045491C"/>
    <w:rsid w:val="00454A9D"/>
    <w:rsid w:val="00454B1F"/>
    <w:rsid w:val="00454C63"/>
    <w:rsid w:val="00454D90"/>
    <w:rsid w:val="00454F54"/>
    <w:rsid w:val="00455328"/>
    <w:rsid w:val="00455438"/>
    <w:rsid w:val="0045563F"/>
    <w:rsid w:val="0045587D"/>
    <w:rsid w:val="00455DBB"/>
    <w:rsid w:val="00455F27"/>
    <w:rsid w:val="00456057"/>
    <w:rsid w:val="00456221"/>
    <w:rsid w:val="004564B4"/>
    <w:rsid w:val="004564C6"/>
    <w:rsid w:val="0045672D"/>
    <w:rsid w:val="00456755"/>
    <w:rsid w:val="004568E9"/>
    <w:rsid w:val="004569CB"/>
    <w:rsid w:val="00456A41"/>
    <w:rsid w:val="00457047"/>
    <w:rsid w:val="00457098"/>
    <w:rsid w:val="004571E2"/>
    <w:rsid w:val="004572A2"/>
    <w:rsid w:val="00457557"/>
    <w:rsid w:val="00457626"/>
    <w:rsid w:val="00457748"/>
    <w:rsid w:val="0045788A"/>
    <w:rsid w:val="00457ABB"/>
    <w:rsid w:val="00457ABD"/>
    <w:rsid w:val="00457B56"/>
    <w:rsid w:val="00457C99"/>
    <w:rsid w:val="00457CDF"/>
    <w:rsid w:val="00457EB2"/>
    <w:rsid w:val="00460034"/>
    <w:rsid w:val="00460190"/>
    <w:rsid w:val="00460285"/>
    <w:rsid w:val="004602DB"/>
    <w:rsid w:val="004606EC"/>
    <w:rsid w:val="00460771"/>
    <w:rsid w:val="00460AAF"/>
    <w:rsid w:val="00460C21"/>
    <w:rsid w:val="00460FB9"/>
    <w:rsid w:val="00461391"/>
    <w:rsid w:val="0046153C"/>
    <w:rsid w:val="00461555"/>
    <w:rsid w:val="004615A8"/>
    <w:rsid w:val="00461BF1"/>
    <w:rsid w:val="00461C77"/>
    <w:rsid w:val="00461D1B"/>
    <w:rsid w:val="00461D4E"/>
    <w:rsid w:val="00461DF9"/>
    <w:rsid w:val="0046201E"/>
    <w:rsid w:val="0046202D"/>
    <w:rsid w:val="00462761"/>
    <w:rsid w:val="00462779"/>
    <w:rsid w:val="00462922"/>
    <w:rsid w:val="00462B2B"/>
    <w:rsid w:val="00462BCD"/>
    <w:rsid w:val="00462D79"/>
    <w:rsid w:val="00462DC3"/>
    <w:rsid w:val="00462E94"/>
    <w:rsid w:val="00463162"/>
    <w:rsid w:val="0046348A"/>
    <w:rsid w:val="0046382C"/>
    <w:rsid w:val="00463965"/>
    <w:rsid w:val="00463B1E"/>
    <w:rsid w:val="00463B3F"/>
    <w:rsid w:val="00463C11"/>
    <w:rsid w:val="00463F19"/>
    <w:rsid w:val="00464089"/>
    <w:rsid w:val="0046418B"/>
    <w:rsid w:val="004641F2"/>
    <w:rsid w:val="004646CD"/>
    <w:rsid w:val="00464786"/>
    <w:rsid w:val="00464796"/>
    <w:rsid w:val="004647D3"/>
    <w:rsid w:val="004647F8"/>
    <w:rsid w:val="0046487B"/>
    <w:rsid w:val="0046493B"/>
    <w:rsid w:val="00464BC3"/>
    <w:rsid w:val="00464CB2"/>
    <w:rsid w:val="00464E2F"/>
    <w:rsid w:val="00464E67"/>
    <w:rsid w:val="00464F73"/>
    <w:rsid w:val="00465003"/>
    <w:rsid w:val="0046522A"/>
    <w:rsid w:val="004654EA"/>
    <w:rsid w:val="004654F7"/>
    <w:rsid w:val="00465522"/>
    <w:rsid w:val="0046552A"/>
    <w:rsid w:val="00465559"/>
    <w:rsid w:val="00465592"/>
    <w:rsid w:val="004655E8"/>
    <w:rsid w:val="00465778"/>
    <w:rsid w:val="004658E7"/>
    <w:rsid w:val="00465B36"/>
    <w:rsid w:val="00465C24"/>
    <w:rsid w:val="00465C42"/>
    <w:rsid w:val="0046633D"/>
    <w:rsid w:val="004664DB"/>
    <w:rsid w:val="0046650E"/>
    <w:rsid w:val="004666E0"/>
    <w:rsid w:val="00466701"/>
    <w:rsid w:val="0046696B"/>
    <w:rsid w:val="0046699D"/>
    <w:rsid w:val="00466B1E"/>
    <w:rsid w:val="00466B39"/>
    <w:rsid w:val="00466B52"/>
    <w:rsid w:val="00466BB4"/>
    <w:rsid w:val="00466BC6"/>
    <w:rsid w:val="004670C2"/>
    <w:rsid w:val="0046726C"/>
    <w:rsid w:val="00467355"/>
    <w:rsid w:val="004674DC"/>
    <w:rsid w:val="00467677"/>
    <w:rsid w:val="0046777B"/>
    <w:rsid w:val="004677CA"/>
    <w:rsid w:val="004678ED"/>
    <w:rsid w:val="00470051"/>
    <w:rsid w:val="004700FF"/>
    <w:rsid w:val="00470182"/>
    <w:rsid w:val="0047020C"/>
    <w:rsid w:val="00470251"/>
    <w:rsid w:val="00470404"/>
    <w:rsid w:val="00470960"/>
    <w:rsid w:val="00470C1C"/>
    <w:rsid w:val="00470D47"/>
    <w:rsid w:val="00471050"/>
    <w:rsid w:val="0047117B"/>
    <w:rsid w:val="00471213"/>
    <w:rsid w:val="004712A2"/>
    <w:rsid w:val="0047140E"/>
    <w:rsid w:val="004716EF"/>
    <w:rsid w:val="00471848"/>
    <w:rsid w:val="00471BBD"/>
    <w:rsid w:val="00471C3B"/>
    <w:rsid w:val="00471E6B"/>
    <w:rsid w:val="00471FED"/>
    <w:rsid w:val="0047220B"/>
    <w:rsid w:val="004722CC"/>
    <w:rsid w:val="00472760"/>
    <w:rsid w:val="00472816"/>
    <w:rsid w:val="004729D3"/>
    <w:rsid w:val="00472A27"/>
    <w:rsid w:val="00472A53"/>
    <w:rsid w:val="00472A77"/>
    <w:rsid w:val="00472C24"/>
    <w:rsid w:val="00472EE8"/>
    <w:rsid w:val="00473179"/>
    <w:rsid w:val="004731BB"/>
    <w:rsid w:val="004733EE"/>
    <w:rsid w:val="004735C5"/>
    <w:rsid w:val="004739EA"/>
    <w:rsid w:val="00473C6F"/>
    <w:rsid w:val="00473EAB"/>
    <w:rsid w:val="00473F36"/>
    <w:rsid w:val="004740BE"/>
    <w:rsid w:val="00474214"/>
    <w:rsid w:val="004746B0"/>
    <w:rsid w:val="004746E0"/>
    <w:rsid w:val="004749AB"/>
    <w:rsid w:val="00474A43"/>
    <w:rsid w:val="00474ADE"/>
    <w:rsid w:val="00474CA8"/>
    <w:rsid w:val="00474D25"/>
    <w:rsid w:val="00474F84"/>
    <w:rsid w:val="00475000"/>
    <w:rsid w:val="0047505B"/>
    <w:rsid w:val="004750CC"/>
    <w:rsid w:val="0047523E"/>
    <w:rsid w:val="00475263"/>
    <w:rsid w:val="00475381"/>
    <w:rsid w:val="00475665"/>
    <w:rsid w:val="00475693"/>
    <w:rsid w:val="00475A80"/>
    <w:rsid w:val="00475AFC"/>
    <w:rsid w:val="00475BF0"/>
    <w:rsid w:val="00475F8B"/>
    <w:rsid w:val="00476206"/>
    <w:rsid w:val="0047646A"/>
    <w:rsid w:val="004765AB"/>
    <w:rsid w:val="004768E7"/>
    <w:rsid w:val="0047695B"/>
    <w:rsid w:val="00476BEA"/>
    <w:rsid w:val="00476E63"/>
    <w:rsid w:val="00477348"/>
    <w:rsid w:val="004774C3"/>
    <w:rsid w:val="00477788"/>
    <w:rsid w:val="00477815"/>
    <w:rsid w:val="00477A45"/>
    <w:rsid w:val="00477AE5"/>
    <w:rsid w:val="00480164"/>
    <w:rsid w:val="0048019A"/>
    <w:rsid w:val="00480358"/>
    <w:rsid w:val="0048042A"/>
    <w:rsid w:val="004804E1"/>
    <w:rsid w:val="00480540"/>
    <w:rsid w:val="0048066C"/>
    <w:rsid w:val="0048066F"/>
    <w:rsid w:val="004806C4"/>
    <w:rsid w:val="00480826"/>
    <w:rsid w:val="004808F3"/>
    <w:rsid w:val="00481110"/>
    <w:rsid w:val="0048112B"/>
    <w:rsid w:val="0048114E"/>
    <w:rsid w:val="004811A0"/>
    <w:rsid w:val="00481452"/>
    <w:rsid w:val="00481575"/>
    <w:rsid w:val="0048164F"/>
    <w:rsid w:val="00481823"/>
    <w:rsid w:val="00481941"/>
    <w:rsid w:val="004819F9"/>
    <w:rsid w:val="00481B46"/>
    <w:rsid w:val="00481D5E"/>
    <w:rsid w:val="00481F58"/>
    <w:rsid w:val="004820CE"/>
    <w:rsid w:val="0048220B"/>
    <w:rsid w:val="00482312"/>
    <w:rsid w:val="00482394"/>
    <w:rsid w:val="00482655"/>
    <w:rsid w:val="0048270D"/>
    <w:rsid w:val="00482883"/>
    <w:rsid w:val="00482E38"/>
    <w:rsid w:val="00482EED"/>
    <w:rsid w:val="00483008"/>
    <w:rsid w:val="0048313C"/>
    <w:rsid w:val="004832B3"/>
    <w:rsid w:val="00483553"/>
    <w:rsid w:val="00483977"/>
    <w:rsid w:val="00483A11"/>
    <w:rsid w:val="00483A38"/>
    <w:rsid w:val="00483D10"/>
    <w:rsid w:val="0048408B"/>
    <w:rsid w:val="004840D5"/>
    <w:rsid w:val="004841EA"/>
    <w:rsid w:val="0048429C"/>
    <w:rsid w:val="004842DB"/>
    <w:rsid w:val="00484300"/>
    <w:rsid w:val="0048450B"/>
    <w:rsid w:val="00484645"/>
    <w:rsid w:val="0048466D"/>
    <w:rsid w:val="004848C4"/>
    <w:rsid w:val="00484CFD"/>
    <w:rsid w:val="00484E39"/>
    <w:rsid w:val="00484E97"/>
    <w:rsid w:val="00484EF3"/>
    <w:rsid w:val="00485039"/>
    <w:rsid w:val="004852BE"/>
    <w:rsid w:val="00485696"/>
    <w:rsid w:val="00485BA5"/>
    <w:rsid w:val="00485D59"/>
    <w:rsid w:val="00485EAC"/>
    <w:rsid w:val="00485F02"/>
    <w:rsid w:val="004865EF"/>
    <w:rsid w:val="004865FF"/>
    <w:rsid w:val="00486C58"/>
    <w:rsid w:val="00486D92"/>
    <w:rsid w:val="00486FBC"/>
    <w:rsid w:val="00487550"/>
    <w:rsid w:val="00487977"/>
    <w:rsid w:val="00487C52"/>
    <w:rsid w:val="00487C7F"/>
    <w:rsid w:val="00487CF5"/>
    <w:rsid w:val="00487F6E"/>
    <w:rsid w:val="0049002E"/>
    <w:rsid w:val="00490055"/>
    <w:rsid w:val="00490071"/>
    <w:rsid w:val="00490145"/>
    <w:rsid w:val="004901F9"/>
    <w:rsid w:val="00490853"/>
    <w:rsid w:val="00490934"/>
    <w:rsid w:val="00490946"/>
    <w:rsid w:val="00490A6A"/>
    <w:rsid w:val="00490B0A"/>
    <w:rsid w:val="00490D55"/>
    <w:rsid w:val="00490DAE"/>
    <w:rsid w:val="00490E2E"/>
    <w:rsid w:val="00490E71"/>
    <w:rsid w:val="0049128F"/>
    <w:rsid w:val="004913E8"/>
    <w:rsid w:val="004915EA"/>
    <w:rsid w:val="00491B57"/>
    <w:rsid w:val="00491F45"/>
    <w:rsid w:val="0049220E"/>
    <w:rsid w:val="00492403"/>
    <w:rsid w:val="004926BD"/>
    <w:rsid w:val="00492BF8"/>
    <w:rsid w:val="00492C8B"/>
    <w:rsid w:val="00492EA9"/>
    <w:rsid w:val="00492EB0"/>
    <w:rsid w:val="00492FD3"/>
    <w:rsid w:val="004931FC"/>
    <w:rsid w:val="0049342B"/>
    <w:rsid w:val="00493580"/>
    <w:rsid w:val="004935D4"/>
    <w:rsid w:val="004935DA"/>
    <w:rsid w:val="004936F1"/>
    <w:rsid w:val="004939F6"/>
    <w:rsid w:val="00493BD0"/>
    <w:rsid w:val="00493EF9"/>
    <w:rsid w:val="0049405A"/>
    <w:rsid w:val="004943CA"/>
    <w:rsid w:val="00494605"/>
    <w:rsid w:val="0049465A"/>
    <w:rsid w:val="00494701"/>
    <w:rsid w:val="0049486B"/>
    <w:rsid w:val="004949AB"/>
    <w:rsid w:val="00494A05"/>
    <w:rsid w:val="00494A3E"/>
    <w:rsid w:val="00494A9F"/>
    <w:rsid w:val="00494AF7"/>
    <w:rsid w:val="00494D9A"/>
    <w:rsid w:val="0049541A"/>
    <w:rsid w:val="00495694"/>
    <w:rsid w:val="00495833"/>
    <w:rsid w:val="00495862"/>
    <w:rsid w:val="004959EA"/>
    <w:rsid w:val="00495A02"/>
    <w:rsid w:val="00495AAE"/>
    <w:rsid w:val="00495D3B"/>
    <w:rsid w:val="00495E95"/>
    <w:rsid w:val="00495EDF"/>
    <w:rsid w:val="00496007"/>
    <w:rsid w:val="0049610F"/>
    <w:rsid w:val="00496140"/>
    <w:rsid w:val="004961DA"/>
    <w:rsid w:val="004961E3"/>
    <w:rsid w:val="004962C4"/>
    <w:rsid w:val="0049634C"/>
    <w:rsid w:val="004964E2"/>
    <w:rsid w:val="0049663D"/>
    <w:rsid w:val="00496793"/>
    <w:rsid w:val="004967A6"/>
    <w:rsid w:val="00496A2F"/>
    <w:rsid w:val="00496CAE"/>
    <w:rsid w:val="00496F9F"/>
    <w:rsid w:val="0049708A"/>
    <w:rsid w:val="004972F0"/>
    <w:rsid w:val="00497323"/>
    <w:rsid w:val="00497459"/>
    <w:rsid w:val="004977A3"/>
    <w:rsid w:val="00497894"/>
    <w:rsid w:val="00497B8D"/>
    <w:rsid w:val="00497D6E"/>
    <w:rsid w:val="004A0059"/>
    <w:rsid w:val="004A0299"/>
    <w:rsid w:val="004A02CC"/>
    <w:rsid w:val="004A03FD"/>
    <w:rsid w:val="004A0663"/>
    <w:rsid w:val="004A06E4"/>
    <w:rsid w:val="004A0C3B"/>
    <w:rsid w:val="004A0D66"/>
    <w:rsid w:val="004A0D8C"/>
    <w:rsid w:val="004A0F62"/>
    <w:rsid w:val="004A1127"/>
    <w:rsid w:val="004A140D"/>
    <w:rsid w:val="004A1473"/>
    <w:rsid w:val="004A1663"/>
    <w:rsid w:val="004A171A"/>
    <w:rsid w:val="004A1769"/>
    <w:rsid w:val="004A191A"/>
    <w:rsid w:val="004A1A52"/>
    <w:rsid w:val="004A1EA2"/>
    <w:rsid w:val="004A1EE4"/>
    <w:rsid w:val="004A1EFF"/>
    <w:rsid w:val="004A21C5"/>
    <w:rsid w:val="004A25A5"/>
    <w:rsid w:val="004A26BA"/>
    <w:rsid w:val="004A2890"/>
    <w:rsid w:val="004A2A85"/>
    <w:rsid w:val="004A2E01"/>
    <w:rsid w:val="004A2E8B"/>
    <w:rsid w:val="004A307E"/>
    <w:rsid w:val="004A31B9"/>
    <w:rsid w:val="004A3719"/>
    <w:rsid w:val="004A3C29"/>
    <w:rsid w:val="004A3E3B"/>
    <w:rsid w:val="004A3F6C"/>
    <w:rsid w:val="004A4217"/>
    <w:rsid w:val="004A4425"/>
    <w:rsid w:val="004A453E"/>
    <w:rsid w:val="004A4836"/>
    <w:rsid w:val="004A4943"/>
    <w:rsid w:val="004A496C"/>
    <w:rsid w:val="004A49E0"/>
    <w:rsid w:val="004A49FE"/>
    <w:rsid w:val="004A4AAD"/>
    <w:rsid w:val="004A4B56"/>
    <w:rsid w:val="004A4DAA"/>
    <w:rsid w:val="004A4E84"/>
    <w:rsid w:val="004A4FD9"/>
    <w:rsid w:val="004A50D1"/>
    <w:rsid w:val="004A5114"/>
    <w:rsid w:val="004A5265"/>
    <w:rsid w:val="004A547B"/>
    <w:rsid w:val="004A54CF"/>
    <w:rsid w:val="004A5667"/>
    <w:rsid w:val="004A589C"/>
    <w:rsid w:val="004A5A2C"/>
    <w:rsid w:val="004A5CDB"/>
    <w:rsid w:val="004A601B"/>
    <w:rsid w:val="004A64B8"/>
    <w:rsid w:val="004A68A7"/>
    <w:rsid w:val="004A699E"/>
    <w:rsid w:val="004A6F22"/>
    <w:rsid w:val="004A7030"/>
    <w:rsid w:val="004A7242"/>
    <w:rsid w:val="004A731C"/>
    <w:rsid w:val="004A73AE"/>
    <w:rsid w:val="004A748B"/>
    <w:rsid w:val="004A7494"/>
    <w:rsid w:val="004A74CC"/>
    <w:rsid w:val="004A756B"/>
    <w:rsid w:val="004A75F0"/>
    <w:rsid w:val="004A76D7"/>
    <w:rsid w:val="004A7756"/>
    <w:rsid w:val="004A792D"/>
    <w:rsid w:val="004A7A29"/>
    <w:rsid w:val="004A7A6E"/>
    <w:rsid w:val="004A7AAE"/>
    <w:rsid w:val="004A7B7F"/>
    <w:rsid w:val="004A7BC1"/>
    <w:rsid w:val="004A7C05"/>
    <w:rsid w:val="004A7F03"/>
    <w:rsid w:val="004B00FF"/>
    <w:rsid w:val="004B01A0"/>
    <w:rsid w:val="004B0385"/>
    <w:rsid w:val="004B04B7"/>
    <w:rsid w:val="004B0C32"/>
    <w:rsid w:val="004B0C8C"/>
    <w:rsid w:val="004B0CB1"/>
    <w:rsid w:val="004B0D78"/>
    <w:rsid w:val="004B1269"/>
    <w:rsid w:val="004B131E"/>
    <w:rsid w:val="004B14BB"/>
    <w:rsid w:val="004B1554"/>
    <w:rsid w:val="004B1713"/>
    <w:rsid w:val="004B18B2"/>
    <w:rsid w:val="004B18C9"/>
    <w:rsid w:val="004B18F1"/>
    <w:rsid w:val="004B1B29"/>
    <w:rsid w:val="004B1BEB"/>
    <w:rsid w:val="004B1D0A"/>
    <w:rsid w:val="004B1DDA"/>
    <w:rsid w:val="004B1E34"/>
    <w:rsid w:val="004B1F45"/>
    <w:rsid w:val="004B21BE"/>
    <w:rsid w:val="004B24D7"/>
    <w:rsid w:val="004B2799"/>
    <w:rsid w:val="004B27F8"/>
    <w:rsid w:val="004B29E0"/>
    <w:rsid w:val="004B2C4D"/>
    <w:rsid w:val="004B2CBE"/>
    <w:rsid w:val="004B2D82"/>
    <w:rsid w:val="004B2E27"/>
    <w:rsid w:val="004B3432"/>
    <w:rsid w:val="004B35D6"/>
    <w:rsid w:val="004B360B"/>
    <w:rsid w:val="004B37A9"/>
    <w:rsid w:val="004B38F8"/>
    <w:rsid w:val="004B3A1F"/>
    <w:rsid w:val="004B3B01"/>
    <w:rsid w:val="004B3E8E"/>
    <w:rsid w:val="004B3F6C"/>
    <w:rsid w:val="004B472C"/>
    <w:rsid w:val="004B4958"/>
    <w:rsid w:val="004B49FA"/>
    <w:rsid w:val="004B4A01"/>
    <w:rsid w:val="004B4ACE"/>
    <w:rsid w:val="004B4C8B"/>
    <w:rsid w:val="004B4DF5"/>
    <w:rsid w:val="004B5050"/>
    <w:rsid w:val="004B50CF"/>
    <w:rsid w:val="004B5136"/>
    <w:rsid w:val="004B51A1"/>
    <w:rsid w:val="004B5240"/>
    <w:rsid w:val="004B524A"/>
    <w:rsid w:val="004B5310"/>
    <w:rsid w:val="004B578E"/>
    <w:rsid w:val="004B5AE4"/>
    <w:rsid w:val="004B5DC0"/>
    <w:rsid w:val="004B5F95"/>
    <w:rsid w:val="004B62D1"/>
    <w:rsid w:val="004B64FE"/>
    <w:rsid w:val="004B69DA"/>
    <w:rsid w:val="004B6B5D"/>
    <w:rsid w:val="004B6C29"/>
    <w:rsid w:val="004B7171"/>
    <w:rsid w:val="004B7351"/>
    <w:rsid w:val="004B7572"/>
    <w:rsid w:val="004B7684"/>
    <w:rsid w:val="004B7C14"/>
    <w:rsid w:val="004B7FAB"/>
    <w:rsid w:val="004C012D"/>
    <w:rsid w:val="004C032A"/>
    <w:rsid w:val="004C03E4"/>
    <w:rsid w:val="004C04D6"/>
    <w:rsid w:val="004C06A5"/>
    <w:rsid w:val="004C06FC"/>
    <w:rsid w:val="004C086D"/>
    <w:rsid w:val="004C08D7"/>
    <w:rsid w:val="004C09CE"/>
    <w:rsid w:val="004C0A10"/>
    <w:rsid w:val="004C0E32"/>
    <w:rsid w:val="004C1128"/>
    <w:rsid w:val="004C1263"/>
    <w:rsid w:val="004C12CE"/>
    <w:rsid w:val="004C1372"/>
    <w:rsid w:val="004C1455"/>
    <w:rsid w:val="004C145F"/>
    <w:rsid w:val="004C147A"/>
    <w:rsid w:val="004C1555"/>
    <w:rsid w:val="004C1A72"/>
    <w:rsid w:val="004C1AA6"/>
    <w:rsid w:val="004C1B7D"/>
    <w:rsid w:val="004C1DF8"/>
    <w:rsid w:val="004C1F84"/>
    <w:rsid w:val="004C2098"/>
    <w:rsid w:val="004C20B1"/>
    <w:rsid w:val="004C2122"/>
    <w:rsid w:val="004C2245"/>
    <w:rsid w:val="004C24EC"/>
    <w:rsid w:val="004C24EE"/>
    <w:rsid w:val="004C26E1"/>
    <w:rsid w:val="004C2702"/>
    <w:rsid w:val="004C2708"/>
    <w:rsid w:val="004C274B"/>
    <w:rsid w:val="004C2778"/>
    <w:rsid w:val="004C27ED"/>
    <w:rsid w:val="004C2974"/>
    <w:rsid w:val="004C29EC"/>
    <w:rsid w:val="004C2C5F"/>
    <w:rsid w:val="004C2C6A"/>
    <w:rsid w:val="004C301C"/>
    <w:rsid w:val="004C30B7"/>
    <w:rsid w:val="004C3301"/>
    <w:rsid w:val="004C358D"/>
    <w:rsid w:val="004C360A"/>
    <w:rsid w:val="004C376A"/>
    <w:rsid w:val="004C3D45"/>
    <w:rsid w:val="004C3EAC"/>
    <w:rsid w:val="004C3F6B"/>
    <w:rsid w:val="004C4171"/>
    <w:rsid w:val="004C42FE"/>
    <w:rsid w:val="004C447C"/>
    <w:rsid w:val="004C458A"/>
    <w:rsid w:val="004C45DF"/>
    <w:rsid w:val="004C471F"/>
    <w:rsid w:val="004C474E"/>
    <w:rsid w:val="004C4869"/>
    <w:rsid w:val="004C49F2"/>
    <w:rsid w:val="004C4A10"/>
    <w:rsid w:val="004C4A68"/>
    <w:rsid w:val="004C4BA2"/>
    <w:rsid w:val="004C4E02"/>
    <w:rsid w:val="004C500B"/>
    <w:rsid w:val="004C5088"/>
    <w:rsid w:val="004C540F"/>
    <w:rsid w:val="004C5669"/>
    <w:rsid w:val="004C56B6"/>
    <w:rsid w:val="004C58D5"/>
    <w:rsid w:val="004C5937"/>
    <w:rsid w:val="004C59FC"/>
    <w:rsid w:val="004C5C3F"/>
    <w:rsid w:val="004C5C6A"/>
    <w:rsid w:val="004C5D67"/>
    <w:rsid w:val="004C5F20"/>
    <w:rsid w:val="004C6134"/>
    <w:rsid w:val="004C61EA"/>
    <w:rsid w:val="004C6317"/>
    <w:rsid w:val="004C6404"/>
    <w:rsid w:val="004C6473"/>
    <w:rsid w:val="004C6525"/>
    <w:rsid w:val="004C6552"/>
    <w:rsid w:val="004C6AF8"/>
    <w:rsid w:val="004C6DB3"/>
    <w:rsid w:val="004C6E4C"/>
    <w:rsid w:val="004C6FA5"/>
    <w:rsid w:val="004C6FF8"/>
    <w:rsid w:val="004C70D8"/>
    <w:rsid w:val="004C77BE"/>
    <w:rsid w:val="004C784A"/>
    <w:rsid w:val="004C79A2"/>
    <w:rsid w:val="004C79A4"/>
    <w:rsid w:val="004C7C2B"/>
    <w:rsid w:val="004C7D2B"/>
    <w:rsid w:val="004C7E72"/>
    <w:rsid w:val="004C7EE5"/>
    <w:rsid w:val="004D01CF"/>
    <w:rsid w:val="004D02FB"/>
    <w:rsid w:val="004D0340"/>
    <w:rsid w:val="004D03BF"/>
    <w:rsid w:val="004D0970"/>
    <w:rsid w:val="004D10D2"/>
    <w:rsid w:val="004D11B7"/>
    <w:rsid w:val="004D11C5"/>
    <w:rsid w:val="004D1210"/>
    <w:rsid w:val="004D1339"/>
    <w:rsid w:val="004D16AD"/>
    <w:rsid w:val="004D17CF"/>
    <w:rsid w:val="004D17EF"/>
    <w:rsid w:val="004D193F"/>
    <w:rsid w:val="004D1B64"/>
    <w:rsid w:val="004D1DC4"/>
    <w:rsid w:val="004D1DF7"/>
    <w:rsid w:val="004D1E50"/>
    <w:rsid w:val="004D1F2A"/>
    <w:rsid w:val="004D1FB9"/>
    <w:rsid w:val="004D2188"/>
    <w:rsid w:val="004D22AB"/>
    <w:rsid w:val="004D2867"/>
    <w:rsid w:val="004D287E"/>
    <w:rsid w:val="004D2883"/>
    <w:rsid w:val="004D2919"/>
    <w:rsid w:val="004D2A34"/>
    <w:rsid w:val="004D2B33"/>
    <w:rsid w:val="004D2B5B"/>
    <w:rsid w:val="004D2CC0"/>
    <w:rsid w:val="004D2DE7"/>
    <w:rsid w:val="004D3214"/>
    <w:rsid w:val="004D3347"/>
    <w:rsid w:val="004D33C9"/>
    <w:rsid w:val="004D3755"/>
    <w:rsid w:val="004D385E"/>
    <w:rsid w:val="004D3DD7"/>
    <w:rsid w:val="004D3EFE"/>
    <w:rsid w:val="004D41FF"/>
    <w:rsid w:val="004D4234"/>
    <w:rsid w:val="004D44D3"/>
    <w:rsid w:val="004D45EB"/>
    <w:rsid w:val="004D4760"/>
    <w:rsid w:val="004D4A8A"/>
    <w:rsid w:val="004D5005"/>
    <w:rsid w:val="004D5029"/>
    <w:rsid w:val="004D505C"/>
    <w:rsid w:val="004D53D7"/>
    <w:rsid w:val="004D54C9"/>
    <w:rsid w:val="004D563A"/>
    <w:rsid w:val="004D56C8"/>
    <w:rsid w:val="004D574B"/>
    <w:rsid w:val="004D5928"/>
    <w:rsid w:val="004D5C47"/>
    <w:rsid w:val="004D5C62"/>
    <w:rsid w:val="004D5D25"/>
    <w:rsid w:val="004D5E1A"/>
    <w:rsid w:val="004D6050"/>
    <w:rsid w:val="004D6064"/>
    <w:rsid w:val="004D6106"/>
    <w:rsid w:val="004D622A"/>
    <w:rsid w:val="004D62F5"/>
    <w:rsid w:val="004D640A"/>
    <w:rsid w:val="004D666E"/>
    <w:rsid w:val="004D68F6"/>
    <w:rsid w:val="004D6A36"/>
    <w:rsid w:val="004D6AE0"/>
    <w:rsid w:val="004D6CED"/>
    <w:rsid w:val="004D6D24"/>
    <w:rsid w:val="004D6D5E"/>
    <w:rsid w:val="004D6E29"/>
    <w:rsid w:val="004D6EC6"/>
    <w:rsid w:val="004D7000"/>
    <w:rsid w:val="004D72C3"/>
    <w:rsid w:val="004D7409"/>
    <w:rsid w:val="004D7473"/>
    <w:rsid w:val="004D7602"/>
    <w:rsid w:val="004D7899"/>
    <w:rsid w:val="004D79AC"/>
    <w:rsid w:val="004D7AAA"/>
    <w:rsid w:val="004D7F5B"/>
    <w:rsid w:val="004D7F7A"/>
    <w:rsid w:val="004D7FD2"/>
    <w:rsid w:val="004E0106"/>
    <w:rsid w:val="004E05BF"/>
    <w:rsid w:val="004E0737"/>
    <w:rsid w:val="004E0867"/>
    <w:rsid w:val="004E0905"/>
    <w:rsid w:val="004E090B"/>
    <w:rsid w:val="004E095F"/>
    <w:rsid w:val="004E0969"/>
    <w:rsid w:val="004E09BF"/>
    <w:rsid w:val="004E0C96"/>
    <w:rsid w:val="004E0D56"/>
    <w:rsid w:val="004E0D7A"/>
    <w:rsid w:val="004E105E"/>
    <w:rsid w:val="004E11D4"/>
    <w:rsid w:val="004E17E9"/>
    <w:rsid w:val="004E1997"/>
    <w:rsid w:val="004E1CC3"/>
    <w:rsid w:val="004E1DD9"/>
    <w:rsid w:val="004E1FA4"/>
    <w:rsid w:val="004E20FF"/>
    <w:rsid w:val="004E25E9"/>
    <w:rsid w:val="004E2758"/>
    <w:rsid w:val="004E279D"/>
    <w:rsid w:val="004E2810"/>
    <w:rsid w:val="004E2AC2"/>
    <w:rsid w:val="004E2E1E"/>
    <w:rsid w:val="004E3116"/>
    <w:rsid w:val="004E3167"/>
    <w:rsid w:val="004E319A"/>
    <w:rsid w:val="004E31B5"/>
    <w:rsid w:val="004E34BD"/>
    <w:rsid w:val="004E374C"/>
    <w:rsid w:val="004E37F2"/>
    <w:rsid w:val="004E3BF1"/>
    <w:rsid w:val="004E3CAC"/>
    <w:rsid w:val="004E3D67"/>
    <w:rsid w:val="004E3DB9"/>
    <w:rsid w:val="004E3F40"/>
    <w:rsid w:val="004E4026"/>
    <w:rsid w:val="004E40AC"/>
    <w:rsid w:val="004E43CE"/>
    <w:rsid w:val="004E4401"/>
    <w:rsid w:val="004E4441"/>
    <w:rsid w:val="004E45BB"/>
    <w:rsid w:val="004E4671"/>
    <w:rsid w:val="004E488B"/>
    <w:rsid w:val="004E4A44"/>
    <w:rsid w:val="004E4D0E"/>
    <w:rsid w:val="004E4D0F"/>
    <w:rsid w:val="004E4E1F"/>
    <w:rsid w:val="004E5352"/>
    <w:rsid w:val="004E5795"/>
    <w:rsid w:val="004E5911"/>
    <w:rsid w:val="004E5916"/>
    <w:rsid w:val="004E5A18"/>
    <w:rsid w:val="004E5CB4"/>
    <w:rsid w:val="004E5D3B"/>
    <w:rsid w:val="004E5E30"/>
    <w:rsid w:val="004E61BB"/>
    <w:rsid w:val="004E61F3"/>
    <w:rsid w:val="004E642A"/>
    <w:rsid w:val="004E6512"/>
    <w:rsid w:val="004E6523"/>
    <w:rsid w:val="004E65DF"/>
    <w:rsid w:val="004E689E"/>
    <w:rsid w:val="004E69E9"/>
    <w:rsid w:val="004E6C2B"/>
    <w:rsid w:val="004E6CAB"/>
    <w:rsid w:val="004E6CFE"/>
    <w:rsid w:val="004E6D00"/>
    <w:rsid w:val="004E714A"/>
    <w:rsid w:val="004E7316"/>
    <w:rsid w:val="004E75C3"/>
    <w:rsid w:val="004E7780"/>
    <w:rsid w:val="004E79AC"/>
    <w:rsid w:val="004E7AFC"/>
    <w:rsid w:val="004E7C02"/>
    <w:rsid w:val="004E7CA1"/>
    <w:rsid w:val="004E7D31"/>
    <w:rsid w:val="004F0458"/>
    <w:rsid w:val="004F068A"/>
    <w:rsid w:val="004F0748"/>
    <w:rsid w:val="004F094E"/>
    <w:rsid w:val="004F09C0"/>
    <w:rsid w:val="004F0A75"/>
    <w:rsid w:val="004F1263"/>
    <w:rsid w:val="004F1454"/>
    <w:rsid w:val="004F1667"/>
    <w:rsid w:val="004F168B"/>
    <w:rsid w:val="004F171B"/>
    <w:rsid w:val="004F1E54"/>
    <w:rsid w:val="004F216B"/>
    <w:rsid w:val="004F219B"/>
    <w:rsid w:val="004F2203"/>
    <w:rsid w:val="004F2548"/>
    <w:rsid w:val="004F25F8"/>
    <w:rsid w:val="004F275D"/>
    <w:rsid w:val="004F2915"/>
    <w:rsid w:val="004F2AF3"/>
    <w:rsid w:val="004F2E3E"/>
    <w:rsid w:val="004F2E9E"/>
    <w:rsid w:val="004F2EF3"/>
    <w:rsid w:val="004F2F34"/>
    <w:rsid w:val="004F2F86"/>
    <w:rsid w:val="004F3084"/>
    <w:rsid w:val="004F3126"/>
    <w:rsid w:val="004F3247"/>
    <w:rsid w:val="004F3327"/>
    <w:rsid w:val="004F33AF"/>
    <w:rsid w:val="004F348C"/>
    <w:rsid w:val="004F34F3"/>
    <w:rsid w:val="004F37B4"/>
    <w:rsid w:val="004F38F6"/>
    <w:rsid w:val="004F3A51"/>
    <w:rsid w:val="004F3C3A"/>
    <w:rsid w:val="004F3D84"/>
    <w:rsid w:val="004F3DDC"/>
    <w:rsid w:val="004F4027"/>
    <w:rsid w:val="004F4075"/>
    <w:rsid w:val="004F4105"/>
    <w:rsid w:val="004F4324"/>
    <w:rsid w:val="004F4525"/>
    <w:rsid w:val="004F4533"/>
    <w:rsid w:val="004F45F8"/>
    <w:rsid w:val="004F464E"/>
    <w:rsid w:val="004F466A"/>
    <w:rsid w:val="004F4771"/>
    <w:rsid w:val="004F48BF"/>
    <w:rsid w:val="004F4AF4"/>
    <w:rsid w:val="004F4BAE"/>
    <w:rsid w:val="004F4CF7"/>
    <w:rsid w:val="004F50F1"/>
    <w:rsid w:val="004F51D7"/>
    <w:rsid w:val="004F51D9"/>
    <w:rsid w:val="004F5266"/>
    <w:rsid w:val="004F558D"/>
    <w:rsid w:val="004F5845"/>
    <w:rsid w:val="004F5878"/>
    <w:rsid w:val="004F588A"/>
    <w:rsid w:val="004F5973"/>
    <w:rsid w:val="004F59A8"/>
    <w:rsid w:val="004F59DA"/>
    <w:rsid w:val="004F59DB"/>
    <w:rsid w:val="004F5CDA"/>
    <w:rsid w:val="004F5E71"/>
    <w:rsid w:val="004F5F66"/>
    <w:rsid w:val="004F61D5"/>
    <w:rsid w:val="004F6549"/>
    <w:rsid w:val="004F67EF"/>
    <w:rsid w:val="004F6964"/>
    <w:rsid w:val="004F6A91"/>
    <w:rsid w:val="004F6D97"/>
    <w:rsid w:val="004F6F29"/>
    <w:rsid w:val="004F6F58"/>
    <w:rsid w:val="004F6F6C"/>
    <w:rsid w:val="004F6FA5"/>
    <w:rsid w:val="004F6FF9"/>
    <w:rsid w:val="004F7056"/>
    <w:rsid w:val="004F74C5"/>
    <w:rsid w:val="004F780F"/>
    <w:rsid w:val="004F78DC"/>
    <w:rsid w:val="004F7A6F"/>
    <w:rsid w:val="004F7A71"/>
    <w:rsid w:val="004F7BA6"/>
    <w:rsid w:val="004F7C0C"/>
    <w:rsid w:val="004F7C4C"/>
    <w:rsid w:val="004F7D35"/>
    <w:rsid w:val="0050000F"/>
    <w:rsid w:val="005005A6"/>
    <w:rsid w:val="005008A5"/>
    <w:rsid w:val="00500996"/>
    <w:rsid w:val="00500B32"/>
    <w:rsid w:val="00500B72"/>
    <w:rsid w:val="00500CA8"/>
    <w:rsid w:val="00500DB0"/>
    <w:rsid w:val="00500E13"/>
    <w:rsid w:val="00500E9F"/>
    <w:rsid w:val="00500EF5"/>
    <w:rsid w:val="005019E2"/>
    <w:rsid w:val="00501A23"/>
    <w:rsid w:val="00501D28"/>
    <w:rsid w:val="00501D32"/>
    <w:rsid w:val="00501D51"/>
    <w:rsid w:val="00501E48"/>
    <w:rsid w:val="00501E9C"/>
    <w:rsid w:val="00501F37"/>
    <w:rsid w:val="00502113"/>
    <w:rsid w:val="00502226"/>
    <w:rsid w:val="0050238C"/>
    <w:rsid w:val="0050246D"/>
    <w:rsid w:val="005024E4"/>
    <w:rsid w:val="0050276A"/>
    <w:rsid w:val="0050276B"/>
    <w:rsid w:val="005027C7"/>
    <w:rsid w:val="0050288B"/>
    <w:rsid w:val="00502D2E"/>
    <w:rsid w:val="00502D4D"/>
    <w:rsid w:val="00502E73"/>
    <w:rsid w:val="00502ED6"/>
    <w:rsid w:val="005031F8"/>
    <w:rsid w:val="00503229"/>
    <w:rsid w:val="0050346B"/>
    <w:rsid w:val="0050377F"/>
    <w:rsid w:val="00503B88"/>
    <w:rsid w:val="00503D8D"/>
    <w:rsid w:val="00504218"/>
    <w:rsid w:val="005044BC"/>
    <w:rsid w:val="005047B3"/>
    <w:rsid w:val="00504891"/>
    <w:rsid w:val="00504AE1"/>
    <w:rsid w:val="00504C2B"/>
    <w:rsid w:val="00504DF4"/>
    <w:rsid w:val="00504DF5"/>
    <w:rsid w:val="00504E7B"/>
    <w:rsid w:val="00505058"/>
    <w:rsid w:val="00505673"/>
    <w:rsid w:val="005056D7"/>
    <w:rsid w:val="005057D4"/>
    <w:rsid w:val="00505A87"/>
    <w:rsid w:val="00505C7C"/>
    <w:rsid w:val="00505CD7"/>
    <w:rsid w:val="00505CF1"/>
    <w:rsid w:val="00505EE7"/>
    <w:rsid w:val="00505F2E"/>
    <w:rsid w:val="00506225"/>
    <w:rsid w:val="00506460"/>
    <w:rsid w:val="005064B0"/>
    <w:rsid w:val="005064C8"/>
    <w:rsid w:val="00506556"/>
    <w:rsid w:val="0050697C"/>
    <w:rsid w:val="00506ABE"/>
    <w:rsid w:val="00506D95"/>
    <w:rsid w:val="00506E29"/>
    <w:rsid w:val="00507097"/>
    <w:rsid w:val="005071DD"/>
    <w:rsid w:val="00507524"/>
    <w:rsid w:val="005075D6"/>
    <w:rsid w:val="0050787D"/>
    <w:rsid w:val="00507A29"/>
    <w:rsid w:val="00507BAE"/>
    <w:rsid w:val="00507D83"/>
    <w:rsid w:val="0051055C"/>
    <w:rsid w:val="00510801"/>
    <w:rsid w:val="00510B90"/>
    <w:rsid w:val="00510C2F"/>
    <w:rsid w:val="00510F1A"/>
    <w:rsid w:val="005110D9"/>
    <w:rsid w:val="005111A9"/>
    <w:rsid w:val="00511369"/>
    <w:rsid w:val="0051160D"/>
    <w:rsid w:val="00511A42"/>
    <w:rsid w:val="00511C6D"/>
    <w:rsid w:val="00511ED6"/>
    <w:rsid w:val="00512118"/>
    <w:rsid w:val="00512426"/>
    <w:rsid w:val="005125F8"/>
    <w:rsid w:val="0051264E"/>
    <w:rsid w:val="00512770"/>
    <w:rsid w:val="005127BA"/>
    <w:rsid w:val="005128DE"/>
    <w:rsid w:val="00512971"/>
    <w:rsid w:val="00512B2D"/>
    <w:rsid w:val="00512B87"/>
    <w:rsid w:val="00512DE1"/>
    <w:rsid w:val="00512E5F"/>
    <w:rsid w:val="00512EAE"/>
    <w:rsid w:val="00512ED1"/>
    <w:rsid w:val="005131F0"/>
    <w:rsid w:val="005131FB"/>
    <w:rsid w:val="005132E4"/>
    <w:rsid w:val="005132ED"/>
    <w:rsid w:val="005133D2"/>
    <w:rsid w:val="00513455"/>
    <w:rsid w:val="005134E1"/>
    <w:rsid w:val="005135F1"/>
    <w:rsid w:val="00513728"/>
    <w:rsid w:val="005137ED"/>
    <w:rsid w:val="005138A9"/>
    <w:rsid w:val="00513921"/>
    <w:rsid w:val="00513DD3"/>
    <w:rsid w:val="0051400A"/>
    <w:rsid w:val="005141CF"/>
    <w:rsid w:val="0051421D"/>
    <w:rsid w:val="005143AF"/>
    <w:rsid w:val="00514A42"/>
    <w:rsid w:val="00514D87"/>
    <w:rsid w:val="00514D88"/>
    <w:rsid w:val="00514DDC"/>
    <w:rsid w:val="00514EB5"/>
    <w:rsid w:val="0051528A"/>
    <w:rsid w:val="0051544A"/>
    <w:rsid w:val="00515541"/>
    <w:rsid w:val="005155A2"/>
    <w:rsid w:val="00515BCF"/>
    <w:rsid w:val="00515DFC"/>
    <w:rsid w:val="00515ED1"/>
    <w:rsid w:val="0051607A"/>
    <w:rsid w:val="0051631A"/>
    <w:rsid w:val="00516369"/>
    <w:rsid w:val="00516B31"/>
    <w:rsid w:val="00516BD5"/>
    <w:rsid w:val="00516C9F"/>
    <w:rsid w:val="00516CF1"/>
    <w:rsid w:val="00516DC3"/>
    <w:rsid w:val="00516E01"/>
    <w:rsid w:val="00517028"/>
    <w:rsid w:val="005170A1"/>
    <w:rsid w:val="00517261"/>
    <w:rsid w:val="00517395"/>
    <w:rsid w:val="005173C1"/>
    <w:rsid w:val="005173E6"/>
    <w:rsid w:val="0051741F"/>
    <w:rsid w:val="005175B3"/>
    <w:rsid w:val="005175C4"/>
    <w:rsid w:val="00517718"/>
    <w:rsid w:val="0051788D"/>
    <w:rsid w:val="00517C8F"/>
    <w:rsid w:val="00520171"/>
    <w:rsid w:val="0052029D"/>
    <w:rsid w:val="00520354"/>
    <w:rsid w:val="0052041E"/>
    <w:rsid w:val="00520C09"/>
    <w:rsid w:val="00520E11"/>
    <w:rsid w:val="00520E84"/>
    <w:rsid w:val="00520FDE"/>
    <w:rsid w:val="00520FFA"/>
    <w:rsid w:val="0052175D"/>
    <w:rsid w:val="00521815"/>
    <w:rsid w:val="0052187D"/>
    <w:rsid w:val="00521E0B"/>
    <w:rsid w:val="00522040"/>
    <w:rsid w:val="005221AA"/>
    <w:rsid w:val="0052227D"/>
    <w:rsid w:val="00522416"/>
    <w:rsid w:val="005224C6"/>
    <w:rsid w:val="0052267D"/>
    <w:rsid w:val="00522AE0"/>
    <w:rsid w:val="00522D42"/>
    <w:rsid w:val="00522DA1"/>
    <w:rsid w:val="00522F72"/>
    <w:rsid w:val="0052303E"/>
    <w:rsid w:val="00523050"/>
    <w:rsid w:val="00523106"/>
    <w:rsid w:val="005231E8"/>
    <w:rsid w:val="005232EA"/>
    <w:rsid w:val="00523318"/>
    <w:rsid w:val="0052340C"/>
    <w:rsid w:val="00523A32"/>
    <w:rsid w:val="00523B3B"/>
    <w:rsid w:val="00523B43"/>
    <w:rsid w:val="00523E47"/>
    <w:rsid w:val="00523F2F"/>
    <w:rsid w:val="00523FC2"/>
    <w:rsid w:val="00523FC4"/>
    <w:rsid w:val="005242CF"/>
    <w:rsid w:val="005242F4"/>
    <w:rsid w:val="00524521"/>
    <w:rsid w:val="00524638"/>
    <w:rsid w:val="005246B5"/>
    <w:rsid w:val="005246DC"/>
    <w:rsid w:val="005246E1"/>
    <w:rsid w:val="00524A07"/>
    <w:rsid w:val="00524B5C"/>
    <w:rsid w:val="00524BAD"/>
    <w:rsid w:val="00524DAE"/>
    <w:rsid w:val="00524EDB"/>
    <w:rsid w:val="0052514A"/>
    <w:rsid w:val="0052541F"/>
    <w:rsid w:val="00525569"/>
    <w:rsid w:val="00525653"/>
    <w:rsid w:val="00525817"/>
    <w:rsid w:val="00525A22"/>
    <w:rsid w:val="00525A44"/>
    <w:rsid w:val="00525AD0"/>
    <w:rsid w:val="00525F98"/>
    <w:rsid w:val="00525FFB"/>
    <w:rsid w:val="0052601F"/>
    <w:rsid w:val="005260DF"/>
    <w:rsid w:val="005262B3"/>
    <w:rsid w:val="005262F5"/>
    <w:rsid w:val="005266A8"/>
    <w:rsid w:val="0052696E"/>
    <w:rsid w:val="00526CE0"/>
    <w:rsid w:val="00526CF7"/>
    <w:rsid w:val="00526DF8"/>
    <w:rsid w:val="00526E97"/>
    <w:rsid w:val="00526F2D"/>
    <w:rsid w:val="00527007"/>
    <w:rsid w:val="005270F3"/>
    <w:rsid w:val="00527110"/>
    <w:rsid w:val="005271E6"/>
    <w:rsid w:val="00527388"/>
    <w:rsid w:val="005274A6"/>
    <w:rsid w:val="0052764E"/>
    <w:rsid w:val="0052775C"/>
    <w:rsid w:val="005279CD"/>
    <w:rsid w:val="00527B07"/>
    <w:rsid w:val="00527B5E"/>
    <w:rsid w:val="00527C41"/>
    <w:rsid w:val="00527C6E"/>
    <w:rsid w:val="00527C71"/>
    <w:rsid w:val="00527D56"/>
    <w:rsid w:val="00527F25"/>
    <w:rsid w:val="005300BE"/>
    <w:rsid w:val="0053086A"/>
    <w:rsid w:val="0053095D"/>
    <w:rsid w:val="005309A8"/>
    <w:rsid w:val="00530DCC"/>
    <w:rsid w:val="00531114"/>
    <w:rsid w:val="00531320"/>
    <w:rsid w:val="00531514"/>
    <w:rsid w:val="00531519"/>
    <w:rsid w:val="0053178A"/>
    <w:rsid w:val="005317D4"/>
    <w:rsid w:val="005318C7"/>
    <w:rsid w:val="00531B7C"/>
    <w:rsid w:val="00531DD5"/>
    <w:rsid w:val="00532566"/>
    <w:rsid w:val="00532669"/>
    <w:rsid w:val="005329ED"/>
    <w:rsid w:val="00532A38"/>
    <w:rsid w:val="00532DDE"/>
    <w:rsid w:val="00532F42"/>
    <w:rsid w:val="00533047"/>
    <w:rsid w:val="0053304E"/>
    <w:rsid w:val="0053322D"/>
    <w:rsid w:val="005333DA"/>
    <w:rsid w:val="00533502"/>
    <w:rsid w:val="00533A97"/>
    <w:rsid w:val="00533B05"/>
    <w:rsid w:val="00533C01"/>
    <w:rsid w:val="00533D0B"/>
    <w:rsid w:val="00533EAB"/>
    <w:rsid w:val="00534303"/>
    <w:rsid w:val="00534520"/>
    <w:rsid w:val="00534647"/>
    <w:rsid w:val="00534F80"/>
    <w:rsid w:val="00535140"/>
    <w:rsid w:val="00535143"/>
    <w:rsid w:val="00535220"/>
    <w:rsid w:val="0053544E"/>
    <w:rsid w:val="00535575"/>
    <w:rsid w:val="005355BE"/>
    <w:rsid w:val="00535782"/>
    <w:rsid w:val="005359E6"/>
    <w:rsid w:val="00535A8A"/>
    <w:rsid w:val="00535C8C"/>
    <w:rsid w:val="00535F2D"/>
    <w:rsid w:val="00535FBF"/>
    <w:rsid w:val="0053626D"/>
    <w:rsid w:val="00536379"/>
    <w:rsid w:val="005364D5"/>
    <w:rsid w:val="005364F2"/>
    <w:rsid w:val="0053677B"/>
    <w:rsid w:val="005367CD"/>
    <w:rsid w:val="0053685F"/>
    <w:rsid w:val="00536DF8"/>
    <w:rsid w:val="00536E2D"/>
    <w:rsid w:val="0053743F"/>
    <w:rsid w:val="005375A8"/>
    <w:rsid w:val="00537A3F"/>
    <w:rsid w:val="00537BCC"/>
    <w:rsid w:val="00537D18"/>
    <w:rsid w:val="00537F70"/>
    <w:rsid w:val="005400C1"/>
    <w:rsid w:val="005400D8"/>
    <w:rsid w:val="00540206"/>
    <w:rsid w:val="0054032C"/>
    <w:rsid w:val="005404BB"/>
    <w:rsid w:val="00540B17"/>
    <w:rsid w:val="00540BE8"/>
    <w:rsid w:val="00540CC9"/>
    <w:rsid w:val="0054100E"/>
    <w:rsid w:val="00541055"/>
    <w:rsid w:val="005412FD"/>
    <w:rsid w:val="00541376"/>
    <w:rsid w:val="005416E9"/>
    <w:rsid w:val="00541857"/>
    <w:rsid w:val="005418CE"/>
    <w:rsid w:val="00541A42"/>
    <w:rsid w:val="00541AAF"/>
    <w:rsid w:val="00541BE6"/>
    <w:rsid w:val="00541C40"/>
    <w:rsid w:val="00541CDA"/>
    <w:rsid w:val="005422F3"/>
    <w:rsid w:val="005423C9"/>
    <w:rsid w:val="0054241D"/>
    <w:rsid w:val="005424FE"/>
    <w:rsid w:val="0054251F"/>
    <w:rsid w:val="0054265F"/>
    <w:rsid w:val="005427C7"/>
    <w:rsid w:val="00542848"/>
    <w:rsid w:val="005428E6"/>
    <w:rsid w:val="00542AD8"/>
    <w:rsid w:val="00542B07"/>
    <w:rsid w:val="00542C9D"/>
    <w:rsid w:val="00542F9C"/>
    <w:rsid w:val="00543264"/>
    <w:rsid w:val="00543344"/>
    <w:rsid w:val="0054340C"/>
    <w:rsid w:val="00543552"/>
    <w:rsid w:val="00543599"/>
    <w:rsid w:val="005435FB"/>
    <w:rsid w:val="0054365D"/>
    <w:rsid w:val="005436DA"/>
    <w:rsid w:val="005436DF"/>
    <w:rsid w:val="00543750"/>
    <w:rsid w:val="005438C1"/>
    <w:rsid w:val="005439C0"/>
    <w:rsid w:val="00543AB8"/>
    <w:rsid w:val="00543B01"/>
    <w:rsid w:val="00543CAD"/>
    <w:rsid w:val="00543D9C"/>
    <w:rsid w:val="00544222"/>
    <w:rsid w:val="0054435D"/>
    <w:rsid w:val="00544642"/>
    <w:rsid w:val="005447E9"/>
    <w:rsid w:val="005449BD"/>
    <w:rsid w:val="00544B41"/>
    <w:rsid w:val="00544CC0"/>
    <w:rsid w:val="00544CDC"/>
    <w:rsid w:val="00544E77"/>
    <w:rsid w:val="00544F11"/>
    <w:rsid w:val="00544F20"/>
    <w:rsid w:val="005451CB"/>
    <w:rsid w:val="005451E7"/>
    <w:rsid w:val="00545221"/>
    <w:rsid w:val="00545555"/>
    <w:rsid w:val="0054573C"/>
    <w:rsid w:val="005458C9"/>
    <w:rsid w:val="00545C5C"/>
    <w:rsid w:val="00545C9F"/>
    <w:rsid w:val="00545F05"/>
    <w:rsid w:val="00546011"/>
    <w:rsid w:val="0054663C"/>
    <w:rsid w:val="005466A3"/>
    <w:rsid w:val="00546D50"/>
    <w:rsid w:val="005470F4"/>
    <w:rsid w:val="005471A7"/>
    <w:rsid w:val="0054747F"/>
    <w:rsid w:val="005474DB"/>
    <w:rsid w:val="005476FE"/>
    <w:rsid w:val="005477D1"/>
    <w:rsid w:val="005478AE"/>
    <w:rsid w:val="00547B7F"/>
    <w:rsid w:val="00547F1D"/>
    <w:rsid w:val="005501ED"/>
    <w:rsid w:val="00550829"/>
    <w:rsid w:val="005509F4"/>
    <w:rsid w:val="00550DB9"/>
    <w:rsid w:val="00550E8F"/>
    <w:rsid w:val="00550F49"/>
    <w:rsid w:val="0055120D"/>
    <w:rsid w:val="005515E4"/>
    <w:rsid w:val="005517AA"/>
    <w:rsid w:val="005519F4"/>
    <w:rsid w:val="00551B2F"/>
    <w:rsid w:val="00551E05"/>
    <w:rsid w:val="00551F5C"/>
    <w:rsid w:val="0055249F"/>
    <w:rsid w:val="005525AA"/>
    <w:rsid w:val="005527E2"/>
    <w:rsid w:val="00552842"/>
    <w:rsid w:val="00552864"/>
    <w:rsid w:val="0055292C"/>
    <w:rsid w:val="0055299C"/>
    <w:rsid w:val="005529A1"/>
    <w:rsid w:val="00552CE6"/>
    <w:rsid w:val="00552E2C"/>
    <w:rsid w:val="00552EAC"/>
    <w:rsid w:val="00553515"/>
    <w:rsid w:val="00553579"/>
    <w:rsid w:val="005539DE"/>
    <w:rsid w:val="00553A27"/>
    <w:rsid w:val="00553ACF"/>
    <w:rsid w:val="00553D75"/>
    <w:rsid w:val="00553E95"/>
    <w:rsid w:val="0055418B"/>
    <w:rsid w:val="005541D4"/>
    <w:rsid w:val="005543C9"/>
    <w:rsid w:val="0055454A"/>
    <w:rsid w:val="0055469C"/>
    <w:rsid w:val="005546CE"/>
    <w:rsid w:val="005546F2"/>
    <w:rsid w:val="005547A5"/>
    <w:rsid w:val="00554879"/>
    <w:rsid w:val="0055492C"/>
    <w:rsid w:val="00554C49"/>
    <w:rsid w:val="00554CD4"/>
    <w:rsid w:val="00554FA6"/>
    <w:rsid w:val="00555022"/>
    <w:rsid w:val="005550C3"/>
    <w:rsid w:val="005551D3"/>
    <w:rsid w:val="00555257"/>
    <w:rsid w:val="00555410"/>
    <w:rsid w:val="0055560B"/>
    <w:rsid w:val="00555799"/>
    <w:rsid w:val="00555947"/>
    <w:rsid w:val="00555B9A"/>
    <w:rsid w:val="00555C87"/>
    <w:rsid w:val="00555C9A"/>
    <w:rsid w:val="00555CF0"/>
    <w:rsid w:val="00555D34"/>
    <w:rsid w:val="00555DDC"/>
    <w:rsid w:val="00556010"/>
    <w:rsid w:val="00556053"/>
    <w:rsid w:val="00556712"/>
    <w:rsid w:val="00556772"/>
    <w:rsid w:val="005568CD"/>
    <w:rsid w:val="0055694E"/>
    <w:rsid w:val="005569AD"/>
    <w:rsid w:val="00556A8D"/>
    <w:rsid w:val="00556B3A"/>
    <w:rsid w:val="00556B8E"/>
    <w:rsid w:val="00556BCE"/>
    <w:rsid w:val="00556BFC"/>
    <w:rsid w:val="00556E89"/>
    <w:rsid w:val="00556FA9"/>
    <w:rsid w:val="00557027"/>
    <w:rsid w:val="005570EC"/>
    <w:rsid w:val="00557246"/>
    <w:rsid w:val="005572F1"/>
    <w:rsid w:val="0055730A"/>
    <w:rsid w:val="005575EA"/>
    <w:rsid w:val="005576D8"/>
    <w:rsid w:val="005579D7"/>
    <w:rsid w:val="00557D39"/>
    <w:rsid w:val="00557F35"/>
    <w:rsid w:val="00557FEC"/>
    <w:rsid w:val="0056020C"/>
    <w:rsid w:val="005604D9"/>
    <w:rsid w:val="0056095A"/>
    <w:rsid w:val="005609E6"/>
    <w:rsid w:val="00560AE8"/>
    <w:rsid w:val="00560BC4"/>
    <w:rsid w:val="00560E1E"/>
    <w:rsid w:val="00560E20"/>
    <w:rsid w:val="00560F36"/>
    <w:rsid w:val="005610EA"/>
    <w:rsid w:val="00561216"/>
    <w:rsid w:val="00561244"/>
    <w:rsid w:val="0056132B"/>
    <w:rsid w:val="00561970"/>
    <w:rsid w:val="00561AC2"/>
    <w:rsid w:val="00561AC5"/>
    <w:rsid w:val="00561C30"/>
    <w:rsid w:val="00561C60"/>
    <w:rsid w:val="00561D91"/>
    <w:rsid w:val="00561EA2"/>
    <w:rsid w:val="00562171"/>
    <w:rsid w:val="005623CF"/>
    <w:rsid w:val="00562450"/>
    <w:rsid w:val="0056253B"/>
    <w:rsid w:val="005627D2"/>
    <w:rsid w:val="005628E3"/>
    <w:rsid w:val="00562954"/>
    <w:rsid w:val="00562BFF"/>
    <w:rsid w:val="00562E1A"/>
    <w:rsid w:val="00562FDE"/>
    <w:rsid w:val="0056305F"/>
    <w:rsid w:val="00563674"/>
    <w:rsid w:val="005637A9"/>
    <w:rsid w:val="00563942"/>
    <w:rsid w:val="00563B68"/>
    <w:rsid w:val="00563BB6"/>
    <w:rsid w:val="00563C2F"/>
    <w:rsid w:val="0056421F"/>
    <w:rsid w:val="00564251"/>
    <w:rsid w:val="005642DE"/>
    <w:rsid w:val="005642FF"/>
    <w:rsid w:val="00564394"/>
    <w:rsid w:val="005647D6"/>
    <w:rsid w:val="00564836"/>
    <w:rsid w:val="0056488A"/>
    <w:rsid w:val="00564B6C"/>
    <w:rsid w:val="00564C00"/>
    <w:rsid w:val="00564DF1"/>
    <w:rsid w:val="00564F93"/>
    <w:rsid w:val="00565105"/>
    <w:rsid w:val="00565594"/>
    <w:rsid w:val="0056559D"/>
    <w:rsid w:val="005657C8"/>
    <w:rsid w:val="00565A62"/>
    <w:rsid w:val="00565C7A"/>
    <w:rsid w:val="00565DCF"/>
    <w:rsid w:val="00565DF6"/>
    <w:rsid w:val="00565F4B"/>
    <w:rsid w:val="005660C5"/>
    <w:rsid w:val="005664D2"/>
    <w:rsid w:val="00566A64"/>
    <w:rsid w:val="00566B30"/>
    <w:rsid w:val="00566D49"/>
    <w:rsid w:val="00567021"/>
    <w:rsid w:val="005670A9"/>
    <w:rsid w:val="0056721B"/>
    <w:rsid w:val="0056737E"/>
    <w:rsid w:val="005673B2"/>
    <w:rsid w:val="00567503"/>
    <w:rsid w:val="0056773E"/>
    <w:rsid w:val="00567A34"/>
    <w:rsid w:val="00567B30"/>
    <w:rsid w:val="00567C97"/>
    <w:rsid w:val="00567CD7"/>
    <w:rsid w:val="00570341"/>
    <w:rsid w:val="00570381"/>
    <w:rsid w:val="005703A1"/>
    <w:rsid w:val="00570469"/>
    <w:rsid w:val="0057054E"/>
    <w:rsid w:val="005706E8"/>
    <w:rsid w:val="005708D7"/>
    <w:rsid w:val="00570AD3"/>
    <w:rsid w:val="00570BEA"/>
    <w:rsid w:val="00570D3B"/>
    <w:rsid w:val="00570F96"/>
    <w:rsid w:val="0057101B"/>
    <w:rsid w:val="00571034"/>
    <w:rsid w:val="00571041"/>
    <w:rsid w:val="0057116E"/>
    <w:rsid w:val="005713D9"/>
    <w:rsid w:val="00571426"/>
    <w:rsid w:val="0057146A"/>
    <w:rsid w:val="0057168C"/>
    <w:rsid w:val="005717ED"/>
    <w:rsid w:val="00571990"/>
    <w:rsid w:val="00571D60"/>
    <w:rsid w:val="00571DDE"/>
    <w:rsid w:val="00572071"/>
    <w:rsid w:val="005723CF"/>
    <w:rsid w:val="005724CB"/>
    <w:rsid w:val="005725F2"/>
    <w:rsid w:val="005727E6"/>
    <w:rsid w:val="00572840"/>
    <w:rsid w:val="00572974"/>
    <w:rsid w:val="00572CB0"/>
    <w:rsid w:val="00572F08"/>
    <w:rsid w:val="00573243"/>
    <w:rsid w:val="0057325A"/>
    <w:rsid w:val="00573285"/>
    <w:rsid w:val="00573446"/>
    <w:rsid w:val="00573516"/>
    <w:rsid w:val="00573583"/>
    <w:rsid w:val="005737F5"/>
    <w:rsid w:val="00573B45"/>
    <w:rsid w:val="00573D4C"/>
    <w:rsid w:val="00573E67"/>
    <w:rsid w:val="005741F3"/>
    <w:rsid w:val="005745BB"/>
    <w:rsid w:val="0057467C"/>
    <w:rsid w:val="005746F3"/>
    <w:rsid w:val="00574A4C"/>
    <w:rsid w:val="00574CE5"/>
    <w:rsid w:val="00574D5E"/>
    <w:rsid w:val="00574F2D"/>
    <w:rsid w:val="00575608"/>
    <w:rsid w:val="0057570B"/>
    <w:rsid w:val="00575913"/>
    <w:rsid w:val="00575D44"/>
    <w:rsid w:val="00575F4F"/>
    <w:rsid w:val="005762B3"/>
    <w:rsid w:val="00576345"/>
    <w:rsid w:val="00576485"/>
    <w:rsid w:val="00577151"/>
    <w:rsid w:val="005772F8"/>
    <w:rsid w:val="00577606"/>
    <w:rsid w:val="0057773B"/>
    <w:rsid w:val="00577839"/>
    <w:rsid w:val="00577878"/>
    <w:rsid w:val="00577F25"/>
    <w:rsid w:val="00580301"/>
    <w:rsid w:val="005806EA"/>
    <w:rsid w:val="00580775"/>
    <w:rsid w:val="0058088E"/>
    <w:rsid w:val="00580909"/>
    <w:rsid w:val="00580E1B"/>
    <w:rsid w:val="00580F42"/>
    <w:rsid w:val="0058164F"/>
    <w:rsid w:val="0058172F"/>
    <w:rsid w:val="00581813"/>
    <w:rsid w:val="0058192F"/>
    <w:rsid w:val="00581AE6"/>
    <w:rsid w:val="00581B1F"/>
    <w:rsid w:val="00581BB2"/>
    <w:rsid w:val="00581C19"/>
    <w:rsid w:val="00581D59"/>
    <w:rsid w:val="00581E33"/>
    <w:rsid w:val="0058203F"/>
    <w:rsid w:val="0058214A"/>
    <w:rsid w:val="00582187"/>
    <w:rsid w:val="0058239B"/>
    <w:rsid w:val="00582838"/>
    <w:rsid w:val="00582D6F"/>
    <w:rsid w:val="00582E1F"/>
    <w:rsid w:val="0058301B"/>
    <w:rsid w:val="005831A0"/>
    <w:rsid w:val="005831F2"/>
    <w:rsid w:val="005833B6"/>
    <w:rsid w:val="005835D2"/>
    <w:rsid w:val="005836F2"/>
    <w:rsid w:val="0058370C"/>
    <w:rsid w:val="005837C3"/>
    <w:rsid w:val="005837E4"/>
    <w:rsid w:val="00583C17"/>
    <w:rsid w:val="00583F6E"/>
    <w:rsid w:val="00584579"/>
    <w:rsid w:val="00584A5A"/>
    <w:rsid w:val="00584C2F"/>
    <w:rsid w:val="005852EF"/>
    <w:rsid w:val="005857A9"/>
    <w:rsid w:val="0058581B"/>
    <w:rsid w:val="00585A21"/>
    <w:rsid w:val="00585AC7"/>
    <w:rsid w:val="00585B4A"/>
    <w:rsid w:val="00585E26"/>
    <w:rsid w:val="0058640F"/>
    <w:rsid w:val="005864E2"/>
    <w:rsid w:val="00586815"/>
    <w:rsid w:val="0058687C"/>
    <w:rsid w:val="00586921"/>
    <w:rsid w:val="00586A20"/>
    <w:rsid w:val="00586AEC"/>
    <w:rsid w:val="00586CF1"/>
    <w:rsid w:val="00586D24"/>
    <w:rsid w:val="00586DB3"/>
    <w:rsid w:val="00586F79"/>
    <w:rsid w:val="00586FC8"/>
    <w:rsid w:val="005871F4"/>
    <w:rsid w:val="005875F0"/>
    <w:rsid w:val="0058771F"/>
    <w:rsid w:val="005877B3"/>
    <w:rsid w:val="005877B7"/>
    <w:rsid w:val="005878B0"/>
    <w:rsid w:val="00587AFE"/>
    <w:rsid w:val="00587B43"/>
    <w:rsid w:val="00587B49"/>
    <w:rsid w:val="00587B80"/>
    <w:rsid w:val="00587ECB"/>
    <w:rsid w:val="005900C7"/>
    <w:rsid w:val="005901DD"/>
    <w:rsid w:val="00590519"/>
    <w:rsid w:val="005905AD"/>
    <w:rsid w:val="005906E0"/>
    <w:rsid w:val="0059073F"/>
    <w:rsid w:val="00590887"/>
    <w:rsid w:val="0059092A"/>
    <w:rsid w:val="00590BC1"/>
    <w:rsid w:val="00590E04"/>
    <w:rsid w:val="00591050"/>
    <w:rsid w:val="005910C1"/>
    <w:rsid w:val="00591405"/>
    <w:rsid w:val="005919A0"/>
    <w:rsid w:val="00591A29"/>
    <w:rsid w:val="00591A79"/>
    <w:rsid w:val="00591AE4"/>
    <w:rsid w:val="00591B82"/>
    <w:rsid w:val="00591C38"/>
    <w:rsid w:val="00591DEC"/>
    <w:rsid w:val="00592024"/>
    <w:rsid w:val="0059209F"/>
    <w:rsid w:val="005923C8"/>
    <w:rsid w:val="00592479"/>
    <w:rsid w:val="0059270D"/>
    <w:rsid w:val="00592762"/>
    <w:rsid w:val="00592967"/>
    <w:rsid w:val="00592A68"/>
    <w:rsid w:val="00592AFF"/>
    <w:rsid w:val="00592B6C"/>
    <w:rsid w:val="00592E29"/>
    <w:rsid w:val="00592EA3"/>
    <w:rsid w:val="00593246"/>
    <w:rsid w:val="0059332A"/>
    <w:rsid w:val="0059357C"/>
    <w:rsid w:val="005936E2"/>
    <w:rsid w:val="005938F6"/>
    <w:rsid w:val="005939F6"/>
    <w:rsid w:val="00593B22"/>
    <w:rsid w:val="00594276"/>
    <w:rsid w:val="0059452B"/>
    <w:rsid w:val="0059455D"/>
    <w:rsid w:val="00594609"/>
    <w:rsid w:val="005947E8"/>
    <w:rsid w:val="0059496B"/>
    <w:rsid w:val="00594AC4"/>
    <w:rsid w:val="00594D3F"/>
    <w:rsid w:val="00594D99"/>
    <w:rsid w:val="00594DCF"/>
    <w:rsid w:val="0059501A"/>
    <w:rsid w:val="0059514E"/>
    <w:rsid w:val="005951CF"/>
    <w:rsid w:val="00595640"/>
    <w:rsid w:val="0059599F"/>
    <w:rsid w:val="00595A29"/>
    <w:rsid w:val="00595E4D"/>
    <w:rsid w:val="00595F4A"/>
    <w:rsid w:val="00595F5C"/>
    <w:rsid w:val="00596329"/>
    <w:rsid w:val="0059659E"/>
    <w:rsid w:val="005967EF"/>
    <w:rsid w:val="005968E7"/>
    <w:rsid w:val="00596CE4"/>
    <w:rsid w:val="00596CF3"/>
    <w:rsid w:val="00596F45"/>
    <w:rsid w:val="00596F85"/>
    <w:rsid w:val="005970D1"/>
    <w:rsid w:val="005973B1"/>
    <w:rsid w:val="005974BE"/>
    <w:rsid w:val="00597547"/>
    <w:rsid w:val="0059773D"/>
    <w:rsid w:val="0059790E"/>
    <w:rsid w:val="00597C08"/>
    <w:rsid w:val="00597E89"/>
    <w:rsid w:val="00597F18"/>
    <w:rsid w:val="005A0398"/>
    <w:rsid w:val="005A0952"/>
    <w:rsid w:val="005A09C0"/>
    <w:rsid w:val="005A09C9"/>
    <w:rsid w:val="005A0A81"/>
    <w:rsid w:val="005A0C23"/>
    <w:rsid w:val="005A0E21"/>
    <w:rsid w:val="005A0EDE"/>
    <w:rsid w:val="005A10DC"/>
    <w:rsid w:val="005A12A5"/>
    <w:rsid w:val="005A1358"/>
    <w:rsid w:val="005A14BB"/>
    <w:rsid w:val="005A1709"/>
    <w:rsid w:val="005A17C0"/>
    <w:rsid w:val="005A1842"/>
    <w:rsid w:val="005A189E"/>
    <w:rsid w:val="005A1AD7"/>
    <w:rsid w:val="005A1E41"/>
    <w:rsid w:val="005A21BD"/>
    <w:rsid w:val="005A2331"/>
    <w:rsid w:val="005A235E"/>
    <w:rsid w:val="005A25C2"/>
    <w:rsid w:val="005A261D"/>
    <w:rsid w:val="005A269F"/>
    <w:rsid w:val="005A26B3"/>
    <w:rsid w:val="005A281F"/>
    <w:rsid w:val="005A2867"/>
    <w:rsid w:val="005A2A83"/>
    <w:rsid w:val="005A2BAB"/>
    <w:rsid w:val="005A2CD8"/>
    <w:rsid w:val="005A2E25"/>
    <w:rsid w:val="005A3199"/>
    <w:rsid w:val="005A331D"/>
    <w:rsid w:val="005A3487"/>
    <w:rsid w:val="005A361D"/>
    <w:rsid w:val="005A3A76"/>
    <w:rsid w:val="005A3B0B"/>
    <w:rsid w:val="005A3BE7"/>
    <w:rsid w:val="005A3D99"/>
    <w:rsid w:val="005A402F"/>
    <w:rsid w:val="005A4091"/>
    <w:rsid w:val="005A4892"/>
    <w:rsid w:val="005A499E"/>
    <w:rsid w:val="005A4A5D"/>
    <w:rsid w:val="005A4A87"/>
    <w:rsid w:val="005A4F10"/>
    <w:rsid w:val="005A4F9E"/>
    <w:rsid w:val="005A4FEA"/>
    <w:rsid w:val="005A5151"/>
    <w:rsid w:val="005A518E"/>
    <w:rsid w:val="005A54DD"/>
    <w:rsid w:val="005A5596"/>
    <w:rsid w:val="005A5934"/>
    <w:rsid w:val="005A5A2A"/>
    <w:rsid w:val="005A5A3D"/>
    <w:rsid w:val="005A5BAE"/>
    <w:rsid w:val="005A5CFC"/>
    <w:rsid w:val="005A5E32"/>
    <w:rsid w:val="005A6283"/>
    <w:rsid w:val="005A62CD"/>
    <w:rsid w:val="005A64A5"/>
    <w:rsid w:val="005A6797"/>
    <w:rsid w:val="005A6827"/>
    <w:rsid w:val="005A6AAE"/>
    <w:rsid w:val="005A6C1E"/>
    <w:rsid w:val="005A6C27"/>
    <w:rsid w:val="005A6C4C"/>
    <w:rsid w:val="005A6D11"/>
    <w:rsid w:val="005A7153"/>
    <w:rsid w:val="005A7630"/>
    <w:rsid w:val="005A79C2"/>
    <w:rsid w:val="005A7A13"/>
    <w:rsid w:val="005A7C4A"/>
    <w:rsid w:val="005A7D71"/>
    <w:rsid w:val="005A7E84"/>
    <w:rsid w:val="005B033F"/>
    <w:rsid w:val="005B05A7"/>
    <w:rsid w:val="005B069B"/>
    <w:rsid w:val="005B09C5"/>
    <w:rsid w:val="005B0B9F"/>
    <w:rsid w:val="005B11E0"/>
    <w:rsid w:val="005B123E"/>
    <w:rsid w:val="005B1629"/>
    <w:rsid w:val="005B1666"/>
    <w:rsid w:val="005B16BC"/>
    <w:rsid w:val="005B1B22"/>
    <w:rsid w:val="005B1F67"/>
    <w:rsid w:val="005B1F80"/>
    <w:rsid w:val="005B2227"/>
    <w:rsid w:val="005B23EC"/>
    <w:rsid w:val="005B2788"/>
    <w:rsid w:val="005B2889"/>
    <w:rsid w:val="005B2B32"/>
    <w:rsid w:val="005B2CA1"/>
    <w:rsid w:val="005B2E9B"/>
    <w:rsid w:val="005B30A6"/>
    <w:rsid w:val="005B3875"/>
    <w:rsid w:val="005B3D58"/>
    <w:rsid w:val="005B3EC0"/>
    <w:rsid w:val="005B3F20"/>
    <w:rsid w:val="005B3F32"/>
    <w:rsid w:val="005B415D"/>
    <w:rsid w:val="005B48C6"/>
    <w:rsid w:val="005B48D6"/>
    <w:rsid w:val="005B4E65"/>
    <w:rsid w:val="005B4F6C"/>
    <w:rsid w:val="005B4F7D"/>
    <w:rsid w:val="005B52A6"/>
    <w:rsid w:val="005B537D"/>
    <w:rsid w:val="005B56C0"/>
    <w:rsid w:val="005B58ED"/>
    <w:rsid w:val="005B5D40"/>
    <w:rsid w:val="005B6004"/>
    <w:rsid w:val="005B60B1"/>
    <w:rsid w:val="005B630E"/>
    <w:rsid w:val="005B63D8"/>
    <w:rsid w:val="005B66A3"/>
    <w:rsid w:val="005B6760"/>
    <w:rsid w:val="005B68E2"/>
    <w:rsid w:val="005B6B57"/>
    <w:rsid w:val="005B6EBC"/>
    <w:rsid w:val="005B7097"/>
    <w:rsid w:val="005B70C3"/>
    <w:rsid w:val="005B73A1"/>
    <w:rsid w:val="005B7681"/>
    <w:rsid w:val="005B7899"/>
    <w:rsid w:val="005B790A"/>
    <w:rsid w:val="005B7B2A"/>
    <w:rsid w:val="005B7B42"/>
    <w:rsid w:val="005B7DA3"/>
    <w:rsid w:val="005B7EB1"/>
    <w:rsid w:val="005C0091"/>
    <w:rsid w:val="005C01B6"/>
    <w:rsid w:val="005C03CF"/>
    <w:rsid w:val="005C03FC"/>
    <w:rsid w:val="005C0A46"/>
    <w:rsid w:val="005C0A9F"/>
    <w:rsid w:val="005C0D0E"/>
    <w:rsid w:val="005C0D10"/>
    <w:rsid w:val="005C0F3E"/>
    <w:rsid w:val="005C0F75"/>
    <w:rsid w:val="005C1146"/>
    <w:rsid w:val="005C1496"/>
    <w:rsid w:val="005C177D"/>
    <w:rsid w:val="005C1808"/>
    <w:rsid w:val="005C19AF"/>
    <w:rsid w:val="005C1A19"/>
    <w:rsid w:val="005C1A1D"/>
    <w:rsid w:val="005C1BA4"/>
    <w:rsid w:val="005C1E51"/>
    <w:rsid w:val="005C224E"/>
    <w:rsid w:val="005C2260"/>
    <w:rsid w:val="005C23E6"/>
    <w:rsid w:val="005C25A9"/>
    <w:rsid w:val="005C277B"/>
    <w:rsid w:val="005C2E5B"/>
    <w:rsid w:val="005C3257"/>
    <w:rsid w:val="005C325F"/>
    <w:rsid w:val="005C33EF"/>
    <w:rsid w:val="005C34DF"/>
    <w:rsid w:val="005C36CB"/>
    <w:rsid w:val="005C36D9"/>
    <w:rsid w:val="005C37C3"/>
    <w:rsid w:val="005C37F9"/>
    <w:rsid w:val="005C3847"/>
    <w:rsid w:val="005C390D"/>
    <w:rsid w:val="005C3ACC"/>
    <w:rsid w:val="005C3D28"/>
    <w:rsid w:val="005C3E06"/>
    <w:rsid w:val="005C3ED8"/>
    <w:rsid w:val="005C3EF2"/>
    <w:rsid w:val="005C40F2"/>
    <w:rsid w:val="005C428F"/>
    <w:rsid w:val="005C45CF"/>
    <w:rsid w:val="005C45F2"/>
    <w:rsid w:val="005C477E"/>
    <w:rsid w:val="005C47A2"/>
    <w:rsid w:val="005C47E6"/>
    <w:rsid w:val="005C482E"/>
    <w:rsid w:val="005C4A23"/>
    <w:rsid w:val="005C4D2D"/>
    <w:rsid w:val="005C4DF8"/>
    <w:rsid w:val="005C4FBA"/>
    <w:rsid w:val="005C5011"/>
    <w:rsid w:val="005C5250"/>
    <w:rsid w:val="005C53F3"/>
    <w:rsid w:val="005C54C8"/>
    <w:rsid w:val="005C57B7"/>
    <w:rsid w:val="005C57B8"/>
    <w:rsid w:val="005C5AE1"/>
    <w:rsid w:val="005C5C06"/>
    <w:rsid w:val="005C5DD2"/>
    <w:rsid w:val="005C5DFF"/>
    <w:rsid w:val="005C60EE"/>
    <w:rsid w:val="005C6108"/>
    <w:rsid w:val="005C6189"/>
    <w:rsid w:val="005C61E2"/>
    <w:rsid w:val="005C63C6"/>
    <w:rsid w:val="005C6551"/>
    <w:rsid w:val="005C6562"/>
    <w:rsid w:val="005C65EA"/>
    <w:rsid w:val="005C67F9"/>
    <w:rsid w:val="005C6886"/>
    <w:rsid w:val="005C69D8"/>
    <w:rsid w:val="005C6B33"/>
    <w:rsid w:val="005C6F5F"/>
    <w:rsid w:val="005C6F62"/>
    <w:rsid w:val="005C70CE"/>
    <w:rsid w:val="005C7111"/>
    <w:rsid w:val="005C741D"/>
    <w:rsid w:val="005C75A6"/>
    <w:rsid w:val="005C77AA"/>
    <w:rsid w:val="005C7B47"/>
    <w:rsid w:val="005C7F51"/>
    <w:rsid w:val="005C7FE8"/>
    <w:rsid w:val="005D008C"/>
    <w:rsid w:val="005D0496"/>
    <w:rsid w:val="005D07BF"/>
    <w:rsid w:val="005D0976"/>
    <w:rsid w:val="005D0D7E"/>
    <w:rsid w:val="005D0EFC"/>
    <w:rsid w:val="005D112E"/>
    <w:rsid w:val="005D1556"/>
    <w:rsid w:val="005D15A2"/>
    <w:rsid w:val="005D165B"/>
    <w:rsid w:val="005D171D"/>
    <w:rsid w:val="005D1753"/>
    <w:rsid w:val="005D18D5"/>
    <w:rsid w:val="005D195A"/>
    <w:rsid w:val="005D1A00"/>
    <w:rsid w:val="005D1ADE"/>
    <w:rsid w:val="005D1B34"/>
    <w:rsid w:val="005D1B91"/>
    <w:rsid w:val="005D1D25"/>
    <w:rsid w:val="005D1F47"/>
    <w:rsid w:val="005D202A"/>
    <w:rsid w:val="005D20EF"/>
    <w:rsid w:val="005D2108"/>
    <w:rsid w:val="005D24CE"/>
    <w:rsid w:val="005D25E8"/>
    <w:rsid w:val="005D2990"/>
    <w:rsid w:val="005D2B15"/>
    <w:rsid w:val="005D2B36"/>
    <w:rsid w:val="005D316E"/>
    <w:rsid w:val="005D32E3"/>
    <w:rsid w:val="005D3410"/>
    <w:rsid w:val="005D34D0"/>
    <w:rsid w:val="005D3586"/>
    <w:rsid w:val="005D37B1"/>
    <w:rsid w:val="005D37C0"/>
    <w:rsid w:val="005D387C"/>
    <w:rsid w:val="005D38A0"/>
    <w:rsid w:val="005D38DD"/>
    <w:rsid w:val="005D3A6D"/>
    <w:rsid w:val="005D3D34"/>
    <w:rsid w:val="005D3E67"/>
    <w:rsid w:val="005D3FAA"/>
    <w:rsid w:val="005D3FB4"/>
    <w:rsid w:val="005D40DE"/>
    <w:rsid w:val="005D42B9"/>
    <w:rsid w:val="005D4538"/>
    <w:rsid w:val="005D45C9"/>
    <w:rsid w:val="005D476F"/>
    <w:rsid w:val="005D478B"/>
    <w:rsid w:val="005D4971"/>
    <w:rsid w:val="005D4D55"/>
    <w:rsid w:val="005D4EB9"/>
    <w:rsid w:val="005D4ED2"/>
    <w:rsid w:val="005D5343"/>
    <w:rsid w:val="005D53B3"/>
    <w:rsid w:val="005D5483"/>
    <w:rsid w:val="005D54C5"/>
    <w:rsid w:val="005D5710"/>
    <w:rsid w:val="005D5754"/>
    <w:rsid w:val="005D587B"/>
    <w:rsid w:val="005D5A61"/>
    <w:rsid w:val="005D5B2F"/>
    <w:rsid w:val="005D619C"/>
    <w:rsid w:val="005D61E2"/>
    <w:rsid w:val="005D6257"/>
    <w:rsid w:val="005D648A"/>
    <w:rsid w:val="005D655E"/>
    <w:rsid w:val="005D6568"/>
    <w:rsid w:val="005D6684"/>
    <w:rsid w:val="005D66D1"/>
    <w:rsid w:val="005D67F7"/>
    <w:rsid w:val="005D68D4"/>
    <w:rsid w:val="005D6AD4"/>
    <w:rsid w:val="005D6E3A"/>
    <w:rsid w:val="005D7093"/>
    <w:rsid w:val="005D7208"/>
    <w:rsid w:val="005D742D"/>
    <w:rsid w:val="005D74E5"/>
    <w:rsid w:val="005D77E6"/>
    <w:rsid w:val="005D793A"/>
    <w:rsid w:val="005D7978"/>
    <w:rsid w:val="005D79A3"/>
    <w:rsid w:val="005D7A9F"/>
    <w:rsid w:val="005D7CEA"/>
    <w:rsid w:val="005D7D44"/>
    <w:rsid w:val="005D7DF5"/>
    <w:rsid w:val="005D7DFA"/>
    <w:rsid w:val="005D7F43"/>
    <w:rsid w:val="005E0094"/>
    <w:rsid w:val="005E00C9"/>
    <w:rsid w:val="005E00E8"/>
    <w:rsid w:val="005E02C0"/>
    <w:rsid w:val="005E0304"/>
    <w:rsid w:val="005E034C"/>
    <w:rsid w:val="005E03AD"/>
    <w:rsid w:val="005E05B8"/>
    <w:rsid w:val="005E05F7"/>
    <w:rsid w:val="005E0658"/>
    <w:rsid w:val="005E0AA3"/>
    <w:rsid w:val="005E0B9E"/>
    <w:rsid w:val="005E0C83"/>
    <w:rsid w:val="005E0D28"/>
    <w:rsid w:val="005E0F19"/>
    <w:rsid w:val="005E0F9C"/>
    <w:rsid w:val="005E0FB7"/>
    <w:rsid w:val="005E14A7"/>
    <w:rsid w:val="005E153C"/>
    <w:rsid w:val="005E163C"/>
    <w:rsid w:val="005E16E4"/>
    <w:rsid w:val="005E186D"/>
    <w:rsid w:val="005E1933"/>
    <w:rsid w:val="005E198A"/>
    <w:rsid w:val="005E1C13"/>
    <w:rsid w:val="005E1D0E"/>
    <w:rsid w:val="005E2234"/>
    <w:rsid w:val="005E23D5"/>
    <w:rsid w:val="005E2444"/>
    <w:rsid w:val="005E25C2"/>
    <w:rsid w:val="005E26A4"/>
    <w:rsid w:val="005E29D9"/>
    <w:rsid w:val="005E2BE8"/>
    <w:rsid w:val="005E2D31"/>
    <w:rsid w:val="005E2DED"/>
    <w:rsid w:val="005E2FA2"/>
    <w:rsid w:val="005E30EB"/>
    <w:rsid w:val="005E3175"/>
    <w:rsid w:val="005E31A4"/>
    <w:rsid w:val="005E3224"/>
    <w:rsid w:val="005E343C"/>
    <w:rsid w:val="005E354F"/>
    <w:rsid w:val="005E36C3"/>
    <w:rsid w:val="005E387F"/>
    <w:rsid w:val="005E39EB"/>
    <w:rsid w:val="005E3A1F"/>
    <w:rsid w:val="005E3AC9"/>
    <w:rsid w:val="005E3B45"/>
    <w:rsid w:val="005E3BC1"/>
    <w:rsid w:val="005E3CCD"/>
    <w:rsid w:val="005E3D2C"/>
    <w:rsid w:val="005E3D45"/>
    <w:rsid w:val="005E3E7B"/>
    <w:rsid w:val="005E4053"/>
    <w:rsid w:val="005E467C"/>
    <w:rsid w:val="005E4AA3"/>
    <w:rsid w:val="005E4B37"/>
    <w:rsid w:val="005E4EED"/>
    <w:rsid w:val="005E4FF0"/>
    <w:rsid w:val="005E5190"/>
    <w:rsid w:val="005E5405"/>
    <w:rsid w:val="005E54D4"/>
    <w:rsid w:val="005E56DF"/>
    <w:rsid w:val="005E57D1"/>
    <w:rsid w:val="005E59C6"/>
    <w:rsid w:val="005E5B34"/>
    <w:rsid w:val="005E5C88"/>
    <w:rsid w:val="005E5C89"/>
    <w:rsid w:val="005E5CE0"/>
    <w:rsid w:val="005E5DCC"/>
    <w:rsid w:val="005E6028"/>
    <w:rsid w:val="005E613F"/>
    <w:rsid w:val="005E61C4"/>
    <w:rsid w:val="005E6386"/>
    <w:rsid w:val="005E660D"/>
    <w:rsid w:val="005E67BA"/>
    <w:rsid w:val="005E68A5"/>
    <w:rsid w:val="005E6B6D"/>
    <w:rsid w:val="005E6CDF"/>
    <w:rsid w:val="005E6D99"/>
    <w:rsid w:val="005E6DF5"/>
    <w:rsid w:val="005E73E5"/>
    <w:rsid w:val="005E7695"/>
    <w:rsid w:val="005E7705"/>
    <w:rsid w:val="005E7B2E"/>
    <w:rsid w:val="005E7B6E"/>
    <w:rsid w:val="005E7BC1"/>
    <w:rsid w:val="005E7ED9"/>
    <w:rsid w:val="005F01BE"/>
    <w:rsid w:val="005F0396"/>
    <w:rsid w:val="005F0479"/>
    <w:rsid w:val="005F0675"/>
    <w:rsid w:val="005F0793"/>
    <w:rsid w:val="005F0905"/>
    <w:rsid w:val="005F0A19"/>
    <w:rsid w:val="005F0B73"/>
    <w:rsid w:val="005F0D10"/>
    <w:rsid w:val="005F0E76"/>
    <w:rsid w:val="005F0FBB"/>
    <w:rsid w:val="005F1021"/>
    <w:rsid w:val="005F15FE"/>
    <w:rsid w:val="005F161E"/>
    <w:rsid w:val="005F16E4"/>
    <w:rsid w:val="005F184C"/>
    <w:rsid w:val="005F1CCD"/>
    <w:rsid w:val="005F236E"/>
    <w:rsid w:val="005F24AD"/>
    <w:rsid w:val="005F2724"/>
    <w:rsid w:val="005F27EF"/>
    <w:rsid w:val="005F2813"/>
    <w:rsid w:val="005F2A0C"/>
    <w:rsid w:val="005F2FBE"/>
    <w:rsid w:val="005F330D"/>
    <w:rsid w:val="005F343C"/>
    <w:rsid w:val="005F3704"/>
    <w:rsid w:val="005F3816"/>
    <w:rsid w:val="005F383D"/>
    <w:rsid w:val="005F385D"/>
    <w:rsid w:val="005F3892"/>
    <w:rsid w:val="005F3AE6"/>
    <w:rsid w:val="005F3BA4"/>
    <w:rsid w:val="005F3D62"/>
    <w:rsid w:val="005F3F4D"/>
    <w:rsid w:val="005F405E"/>
    <w:rsid w:val="005F419E"/>
    <w:rsid w:val="005F4233"/>
    <w:rsid w:val="005F4318"/>
    <w:rsid w:val="005F45B1"/>
    <w:rsid w:val="005F45DA"/>
    <w:rsid w:val="005F487C"/>
    <w:rsid w:val="005F4A03"/>
    <w:rsid w:val="005F4AE7"/>
    <w:rsid w:val="005F4DAF"/>
    <w:rsid w:val="005F50F9"/>
    <w:rsid w:val="005F5111"/>
    <w:rsid w:val="005F5172"/>
    <w:rsid w:val="005F56A7"/>
    <w:rsid w:val="005F58DC"/>
    <w:rsid w:val="005F58E0"/>
    <w:rsid w:val="005F5AEE"/>
    <w:rsid w:val="005F5F88"/>
    <w:rsid w:val="005F5FDD"/>
    <w:rsid w:val="005F61FA"/>
    <w:rsid w:val="005F627A"/>
    <w:rsid w:val="005F62AB"/>
    <w:rsid w:val="005F6457"/>
    <w:rsid w:val="005F6ACE"/>
    <w:rsid w:val="005F6AF1"/>
    <w:rsid w:val="005F6B0B"/>
    <w:rsid w:val="005F6CA8"/>
    <w:rsid w:val="005F6F37"/>
    <w:rsid w:val="005F70C1"/>
    <w:rsid w:val="005F73CF"/>
    <w:rsid w:val="005F7710"/>
    <w:rsid w:val="005F7876"/>
    <w:rsid w:val="005F7A53"/>
    <w:rsid w:val="005F7AA4"/>
    <w:rsid w:val="005F7C8C"/>
    <w:rsid w:val="005F7DE2"/>
    <w:rsid w:val="005F7E2F"/>
    <w:rsid w:val="005F7EEE"/>
    <w:rsid w:val="006000B4"/>
    <w:rsid w:val="006000C8"/>
    <w:rsid w:val="006000E1"/>
    <w:rsid w:val="0060039D"/>
    <w:rsid w:val="0060065E"/>
    <w:rsid w:val="006007A3"/>
    <w:rsid w:val="0060086D"/>
    <w:rsid w:val="0060097E"/>
    <w:rsid w:val="00600A09"/>
    <w:rsid w:val="00600E62"/>
    <w:rsid w:val="00600F9C"/>
    <w:rsid w:val="00600FF7"/>
    <w:rsid w:val="00601370"/>
    <w:rsid w:val="00601378"/>
    <w:rsid w:val="006013FE"/>
    <w:rsid w:val="006014B2"/>
    <w:rsid w:val="006015AB"/>
    <w:rsid w:val="0060189B"/>
    <w:rsid w:val="00601AB9"/>
    <w:rsid w:val="00601ABB"/>
    <w:rsid w:val="00601B81"/>
    <w:rsid w:val="00601C96"/>
    <w:rsid w:val="00601FA4"/>
    <w:rsid w:val="006020C4"/>
    <w:rsid w:val="006022A5"/>
    <w:rsid w:val="00602332"/>
    <w:rsid w:val="00602663"/>
    <w:rsid w:val="00602776"/>
    <w:rsid w:val="00602780"/>
    <w:rsid w:val="006028C4"/>
    <w:rsid w:val="00602AEC"/>
    <w:rsid w:val="00602BE3"/>
    <w:rsid w:val="00602CED"/>
    <w:rsid w:val="00602F82"/>
    <w:rsid w:val="00602FD8"/>
    <w:rsid w:val="00602FEB"/>
    <w:rsid w:val="00603283"/>
    <w:rsid w:val="00603309"/>
    <w:rsid w:val="0060333C"/>
    <w:rsid w:val="00603344"/>
    <w:rsid w:val="00603432"/>
    <w:rsid w:val="006034EB"/>
    <w:rsid w:val="0060353B"/>
    <w:rsid w:val="006036DC"/>
    <w:rsid w:val="00603708"/>
    <w:rsid w:val="006037C5"/>
    <w:rsid w:val="00603936"/>
    <w:rsid w:val="00603A28"/>
    <w:rsid w:val="00603B19"/>
    <w:rsid w:val="00603B38"/>
    <w:rsid w:val="00603B8E"/>
    <w:rsid w:val="00603C63"/>
    <w:rsid w:val="00603C8C"/>
    <w:rsid w:val="00603D65"/>
    <w:rsid w:val="0060403A"/>
    <w:rsid w:val="0060427C"/>
    <w:rsid w:val="0060447D"/>
    <w:rsid w:val="006045A0"/>
    <w:rsid w:val="006045D7"/>
    <w:rsid w:val="00604C71"/>
    <w:rsid w:val="00605227"/>
    <w:rsid w:val="00605314"/>
    <w:rsid w:val="00605400"/>
    <w:rsid w:val="00605640"/>
    <w:rsid w:val="0060578B"/>
    <w:rsid w:val="006057A8"/>
    <w:rsid w:val="006058AD"/>
    <w:rsid w:val="006058DC"/>
    <w:rsid w:val="00605B35"/>
    <w:rsid w:val="00605BFA"/>
    <w:rsid w:val="00605CC3"/>
    <w:rsid w:val="00605DAB"/>
    <w:rsid w:val="00605F56"/>
    <w:rsid w:val="0060617C"/>
    <w:rsid w:val="00606588"/>
    <w:rsid w:val="006065DD"/>
    <w:rsid w:val="00606813"/>
    <w:rsid w:val="00606A5E"/>
    <w:rsid w:val="00606ACF"/>
    <w:rsid w:val="00606B04"/>
    <w:rsid w:val="00606C79"/>
    <w:rsid w:val="00606F06"/>
    <w:rsid w:val="00606FF5"/>
    <w:rsid w:val="006076DF"/>
    <w:rsid w:val="00607913"/>
    <w:rsid w:val="00607A32"/>
    <w:rsid w:val="00607E30"/>
    <w:rsid w:val="00607F53"/>
    <w:rsid w:val="00607F97"/>
    <w:rsid w:val="0061041E"/>
    <w:rsid w:val="00610447"/>
    <w:rsid w:val="006105C6"/>
    <w:rsid w:val="00610674"/>
    <w:rsid w:val="006106A4"/>
    <w:rsid w:val="006108B9"/>
    <w:rsid w:val="00610A56"/>
    <w:rsid w:val="00610A82"/>
    <w:rsid w:val="00610C4A"/>
    <w:rsid w:val="00610CB8"/>
    <w:rsid w:val="00611079"/>
    <w:rsid w:val="0061108B"/>
    <w:rsid w:val="006111BC"/>
    <w:rsid w:val="00611799"/>
    <w:rsid w:val="00611879"/>
    <w:rsid w:val="00611935"/>
    <w:rsid w:val="006121C2"/>
    <w:rsid w:val="00612308"/>
    <w:rsid w:val="00612349"/>
    <w:rsid w:val="00612473"/>
    <w:rsid w:val="00612698"/>
    <w:rsid w:val="00612759"/>
    <w:rsid w:val="00612785"/>
    <w:rsid w:val="00612793"/>
    <w:rsid w:val="0061289F"/>
    <w:rsid w:val="00612908"/>
    <w:rsid w:val="00612964"/>
    <w:rsid w:val="00612C36"/>
    <w:rsid w:val="00612C9C"/>
    <w:rsid w:val="00612DE0"/>
    <w:rsid w:val="00612F7F"/>
    <w:rsid w:val="00613012"/>
    <w:rsid w:val="00613140"/>
    <w:rsid w:val="006131E1"/>
    <w:rsid w:val="00613316"/>
    <w:rsid w:val="006133EF"/>
    <w:rsid w:val="006135AE"/>
    <w:rsid w:val="006138B6"/>
    <w:rsid w:val="00614087"/>
    <w:rsid w:val="00614243"/>
    <w:rsid w:val="006143A3"/>
    <w:rsid w:val="00614437"/>
    <w:rsid w:val="006145E5"/>
    <w:rsid w:val="0061462C"/>
    <w:rsid w:val="0061465A"/>
    <w:rsid w:val="00614700"/>
    <w:rsid w:val="00614A56"/>
    <w:rsid w:val="00614C88"/>
    <w:rsid w:val="00614DA7"/>
    <w:rsid w:val="00614F41"/>
    <w:rsid w:val="0061505F"/>
    <w:rsid w:val="00615473"/>
    <w:rsid w:val="00615666"/>
    <w:rsid w:val="00615870"/>
    <w:rsid w:val="006158A8"/>
    <w:rsid w:val="00615D05"/>
    <w:rsid w:val="0061605E"/>
    <w:rsid w:val="00616115"/>
    <w:rsid w:val="006161FB"/>
    <w:rsid w:val="0061622D"/>
    <w:rsid w:val="006162C5"/>
    <w:rsid w:val="006163BF"/>
    <w:rsid w:val="00616A14"/>
    <w:rsid w:val="00616E99"/>
    <w:rsid w:val="00616EE3"/>
    <w:rsid w:val="00616F97"/>
    <w:rsid w:val="00617418"/>
    <w:rsid w:val="00617459"/>
    <w:rsid w:val="0061747E"/>
    <w:rsid w:val="00617754"/>
    <w:rsid w:val="00617AA2"/>
    <w:rsid w:val="00620151"/>
    <w:rsid w:val="00620285"/>
    <w:rsid w:val="006203E5"/>
    <w:rsid w:val="00620474"/>
    <w:rsid w:val="006206C2"/>
    <w:rsid w:val="0062076B"/>
    <w:rsid w:val="00620775"/>
    <w:rsid w:val="00620BD6"/>
    <w:rsid w:val="00620DA9"/>
    <w:rsid w:val="0062126E"/>
    <w:rsid w:val="00621316"/>
    <w:rsid w:val="006215DC"/>
    <w:rsid w:val="00621C79"/>
    <w:rsid w:val="00621CE5"/>
    <w:rsid w:val="00621E5B"/>
    <w:rsid w:val="00621FF4"/>
    <w:rsid w:val="006220C8"/>
    <w:rsid w:val="006223F4"/>
    <w:rsid w:val="00622571"/>
    <w:rsid w:val="0062274D"/>
    <w:rsid w:val="006228FF"/>
    <w:rsid w:val="00622992"/>
    <w:rsid w:val="006229BF"/>
    <w:rsid w:val="006229D2"/>
    <w:rsid w:val="00622B7E"/>
    <w:rsid w:val="00622C4B"/>
    <w:rsid w:val="00622D2E"/>
    <w:rsid w:val="00622D46"/>
    <w:rsid w:val="00622EB3"/>
    <w:rsid w:val="006231CA"/>
    <w:rsid w:val="006232AD"/>
    <w:rsid w:val="006235B2"/>
    <w:rsid w:val="00623677"/>
    <w:rsid w:val="006237C9"/>
    <w:rsid w:val="00623C3C"/>
    <w:rsid w:val="006240F8"/>
    <w:rsid w:val="0062443D"/>
    <w:rsid w:val="0062450E"/>
    <w:rsid w:val="006245A3"/>
    <w:rsid w:val="006245B3"/>
    <w:rsid w:val="00624683"/>
    <w:rsid w:val="00624779"/>
    <w:rsid w:val="00624A0E"/>
    <w:rsid w:val="006251CD"/>
    <w:rsid w:val="00625800"/>
    <w:rsid w:val="0062591C"/>
    <w:rsid w:val="006259EA"/>
    <w:rsid w:val="006259EC"/>
    <w:rsid w:val="00625A02"/>
    <w:rsid w:val="00625B11"/>
    <w:rsid w:val="00625B5E"/>
    <w:rsid w:val="00625DF2"/>
    <w:rsid w:val="00626203"/>
    <w:rsid w:val="006265A5"/>
    <w:rsid w:val="006266A7"/>
    <w:rsid w:val="006266E2"/>
    <w:rsid w:val="00626A30"/>
    <w:rsid w:val="00626A67"/>
    <w:rsid w:val="00627208"/>
    <w:rsid w:val="00627221"/>
    <w:rsid w:val="006275C3"/>
    <w:rsid w:val="00627626"/>
    <w:rsid w:val="006276A2"/>
    <w:rsid w:val="006277DE"/>
    <w:rsid w:val="0062793D"/>
    <w:rsid w:val="00627AB5"/>
    <w:rsid w:val="00627BEE"/>
    <w:rsid w:val="00627C08"/>
    <w:rsid w:val="00627C58"/>
    <w:rsid w:val="00627EA3"/>
    <w:rsid w:val="00627FEC"/>
    <w:rsid w:val="006302E3"/>
    <w:rsid w:val="006306F3"/>
    <w:rsid w:val="006309ED"/>
    <w:rsid w:val="00630A57"/>
    <w:rsid w:val="00630B0F"/>
    <w:rsid w:val="00630B13"/>
    <w:rsid w:val="00631161"/>
    <w:rsid w:val="006314F3"/>
    <w:rsid w:val="006314F8"/>
    <w:rsid w:val="0063153A"/>
    <w:rsid w:val="006318DB"/>
    <w:rsid w:val="00631A5B"/>
    <w:rsid w:val="00631A92"/>
    <w:rsid w:val="00631D07"/>
    <w:rsid w:val="00631D51"/>
    <w:rsid w:val="00631EBD"/>
    <w:rsid w:val="00631FEA"/>
    <w:rsid w:val="006322A9"/>
    <w:rsid w:val="006322BB"/>
    <w:rsid w:val="00632302"/>
    <w:rsid w:val="0063240B"/>
    <w:rsid w:val="00632450"/>
    <w:rsid w:val="0063251F"/>
    <w:rsid w:val="00632588"/>
    <w:rsid w:val="00632675"/>
    <w:rsid w:val="00632747"/>
    <w:rsid w:val="00632B99"/>
    <w:rsid w:val="00632D1F"/>
    <w:rsid w:val="006331FE"/>
    <w:rsid w:val="006332FC"/>
    <w:rsid w:val="006333A1"/>
    <w:rsid w:val="00633760"/>
    <w:rsid w:val="006338DD"/>
    <w:rsid w:val="00633921"/>
    <w:rsid w:val="00633CA3"/>
    <w:rsid w:val="00633CD5"/>
    <w:rsid w:val="00633E57"/>
    <w:rsid w:val="00634001"/>
    <w:rsid w:val="00634220"/>
    <w:rsid w:val="006343B6"/>
    <w:rsid w:val="0063440B"/>
    <w:rsid w:val="00634474"/>
    <w:rsid w:val="00634A4E"/>
    <w:rsid w:val="00634D4B"/>
    <w:rsid w:val="00634F11"/>
    <w:rsid w:val="00634FFC"/>
    <w:rsid w:val="006352F3"/>
    <w:rsid w:val="0063564C"/>
    <w:rsid w:val="00635654"/>
    <w:rsid w:val="0063584F"/>
    <w:rsid w:val="0063591F"/>
    <w:rsid w:val="00635C35"/>
    <w:rsid w:val="00635D48"/>
    <w:rsid w:val="00635D94"/>
    <w:rsid w:val="00635DFD"/>
    <w:rsid w:val="00636216"/>
    <w:rsid w:val="00636314"/>
    <w:rsid w:val="0063663E"/>
    <w:rsid w:val="00636A4A"/>
    <w:rsid w:val="00636C6E"/>
    <w:rsid w:val="00636E5A"/>
    <w:rsid w:val="0063784F"/>
    <w:rsid w:val="00637903"/>
    <w:rsid w:val="00637953"/>
    <w:rsid w:val="00637A10"/>
    <w:rsid w:val="00637A13"/>
    <w:rsid w:val="00637A58"/>
    <w:rsid w:val="00637AE3"/>
    <w:rsid w:val="00637C2C"/>
    <w:rsid w:val="00637CB5"/>
    <w:rsid w:val="00637D3B"/>
    <w:rsid w:val="00637DF0"/>
    <w:rsid w:val="00637E48"/>
    <w:rsid w:val="00640017"/>
    <w:rsid w:val="0064021F"/>
    <w:rsid w:val="0064029A"/>
    <w:rsid w:val="006403B1"/>
    <w:rsid w:val="006406B8"/>
    <w:rsid w:val="006406C1"/>
    <w:rsid w:val="006408DE"/>
    <w:rsid w:val="00640A75"/>
    <w:rsid w:val="00640D9D"/>
    <w:rsid w:val="00640FF1"/>
    <w:rsid w:val="00641286"/>
    <w:rsid w:val="00641289"/>
    <w:rsid w:val="006413B9"/>
    <w:rsid w:val="0064148E"/>
    <w:rsid w:val="00641856"/>
    <w:rsid w:val="00641A19"/>
    <w:rsid w:val="00641C31"/>
    <w:rsid w:val="00641CA5"/>
    <w:rsid w:val="00641CE2"/>
    <w:rsid w:val="00641F6F"/>
    <w:rsid w:val="00642200"/>
    <w:rsid w:val="0064228F"/>
    <w:rsid w:val="00642366"/>
    <w:rsid w:val="0064284F"/>
    <w:rsid w:val="0064297E"/>
    <w:rsid w:val="00642A1D"/>
    <w:rsid w:val="00642A43"/>
    <w:rsid w:val="00642AD3"/>
    <w:rsid w:val="00642DC1"/>
    <w:rsid w:val="00642EF9"/>
    <w:rsid w:val="00642F8D"/>
    <w:rsid w:val="00642FB8"/>
    <w:rsid w:val="00642FEA"/>
    <w:rsid w:val="006436F1"/>
    <w:rsid w:val="00643ADA"/>
    <w:rsid w:val="00643B1E"/>
    <w:rsid w:val="00643B5C"/>
    <w:rsid w:val="00643CAE"/>
    <w:rsid w:val="00643D4B"/>
    <w:rsid w:val="00644015"/>
    <w:rsid w:val="00644121"/>
    <w:rsid w:val="00644302"/>
    <w:rsid w:val="00644336"/>
    <w:rsid w:val="00644A3A"/>
    <w:rsid w:val="00645232"/>
    <w:rsid w:val="006455BC"/>
    <w:rsid w:val="00645886"/>
    <w:rsid w:val="00645928"/>
    <w:rsid w:val="00645AB5"/>
    <w:rsid w:val="00645C98"/>
    <w:rsid w:val="00645E20"/>
    <w:rsid w:val="00645F78"/>
    <w:rsid w:val="0064604E"/>
    <w:rsid w:val="00646093"/>
    <w:rsid w:val="0064611E"/>
    <w:rsid w:val="00646148"/>
    <w:rsid w:val="00646264"/>
    <w:rsid w:val="00646269"/>
    <w:rsid w:val="00646331"/>
    <w:rsid w:val="0064645C"/>
    <w:rsid w:val="006464E5"/>
    <w:rsid w:val="00646A5C"/>
    <w:rsid w:val="00646D24"/>
    <w:rsid w:val="00646D60"/>
    <w:rsid w:val="00646F9D"/>
    <w:rsid w:val="0064706F"/>
    <w:rsid w:val="0064707F"/>
    <w:rsid w:val="006474EB"/>
    <w:rsid w:val="006477CB"/>
    <w:rsid w:val="00647827"/>
    <w:rsid w:val="006478DE"/>
    <w:rsid w:val="00647AC1"/>
    <w:rsid w:val="00647AF0"/>
    <w:rsid w:val="00647B90"/>
    <w:rsid w:val="00647C2C"/>
    <w:rsid w:val="00647F0A"/>
    <w:rsid w:val="00647FB4"/>
    <w:rsid w:val="00650353"/>
    <w:rsid w:val="00650535"/>
    <w:rsid w:val="006505CC"/>
    <w:rsid w:val="006507B9"/>
    <w:rsid w:val="00650858"/>
    <w:rsid w:val="00650EDC"/>
    <w:rsid w:val="00651053"/>
    <w:rsid w:val="006512D2"/>
    <w:rsid w:val="00651322"/>
    <w:rsid w:val="00651329"/>
    <w:rsid w:val="00651616"/>
    <w:rsid w:val="0065172E"/>
    <w:rsid w:val="0065174B"/>
    <w:rsid w:val="00651948"/>
    <w:rsid w:val="00651957"/>
    <w:rsid w:val="00651A64"/>
    <w:rsid w:val="00651ADA"/>
    <w:rsid w:val="00651DAC"/>
    <w:rsid w:val="00651EEF"/>
    <w:rsid w:val="006520FC"/>
    <w:rsid w:val="00652209"/>
    <w:rsid w:val="0065220B"/>
    <w:rsid w:val="006524B2"/>
    <w:rsid w:val="006524CA"/>
    <w:rsid w:val="006525BD"/>
    <w:rsid w:val="006527DA"/>
    <w:rsid w:val="00652AC0"/>
    <w:rsid w:val="00652AD0"/>
    <w:rsid w:val="00652C3E"/>
    <w:rsid w:val="00652E83"/>
    <w:rsid w:val="0065302D"/>
    <w:rsid w:val="00653033"/>
    <w:rsid w:val="00653140"/>
    <w:rsid w:val="00653308"/>
    <w:rsid w:val="0065335F"/>
    <w:rsid w:val="0065367E"/>
    <w:rsid w:val="00653727"/>
    <w:rsid w:val="0065372B"/>
    <w:rsid w:val="00653775"/>
    <w:rsid w:val="006537B3"/>
    <w:rsid w:val="006538AD"/>
    <w:rsid w:val="00653E15"/>
    <w:rsid w:val="00653EC8"/>
    <w:rsid w:val="006542DB"/>
    <w:rsid w:val="0065451A"/>
    <w:rsid w:val="006545CC"/>
    <w:rsid w:val="00654BBD"/>
    <w:rsid w:val="00655304"/>
    <w:rsid w:val="006554D7"/>
    <w:rsid w:val="006556AC"/>
    <w:rsid w:val="00655760"/>
    <w:rsid w:val="0065585D"/>
    <w:rsid w:val="006559EE"/>
    <w:rsid w:val="00655A91"/>
    <w:rsid w:val="00655BDE"/>
    <w:rsid w:val="00655E6B"/>
    <w:rsid w:val="00655EB5"/>
    <w:rsid w:val="006561F0"/>
    <w:rsid w:val="006562BE"/>
    <w:rsid w:val="0065682D"/>
    <w:rsid w:val="00656830"/>
    <w:rsid w:val="0065683B"/>
    <w:rsid w:val="006568F6"/>
    <w:rsid w:val="00656B9E"/>
    <w:rsid w:val="0065704A"/>
    <w:rsid w:val="00657744"/>
    <w:rsid w:val="006578B7"/>
    <w:rsid w:val="00657E1C"/>
    <w:rsid w:val="00657E3C"/>
    <w:rsid w:val="00657E6F"/>
    <w:rsid w:val="00657EB5"/>
    <w:rsid w:val="00657F0B"/>
    <w:rsid w:val="00657F62"/>
    <w:rsid w:val="0066015A"/>
    <w:rsid w:val="0066016A"/>
    <w:rsid w:val="006603AD"/>
    <w:rsid w:val="00660572"/>
    <w:rsid w:val="0066060B"/>
    <w:rsid w:val="0066071D"/>
    <w:rsid w:val="0066091F"/>
    <w:rsid w:val="00660BC6"/>
    <w:rsid w:val="00660CE7"/>
    <w:rsid w:val="00660EEA"/>
    <w:rsid w:val="00660FD2"/>
    <w:rsid w:val="0066100B"/>
    <w:rsid w:val="00661325"/>
    <w:rsid w:val="0066151A"/>
    <w:rsid w:val="00661782"/>
    <w:rsid w:val="00661AE1"/>
    <w:rsid w:val="00661BFF"/>
    <w:rsid w:val="00661D8F"/>
    <w:rsid w:val="00661F73"/>
    <w:rsid w:val="00662404"/>
    <w:rsid w:val="00662424"/>
    <w:rsid w:val="0066249F"/>
    <w:rsid w:val="00662724"/>
    <w:rsid w:val="006628CC"/>
    <w:rsid w:val="00662D99"/>
    <w:rsid w:val="00662DF0"/>
    <w:rsid w:val="00662E11"/>
    <w:rsid w:val="00662E69"/>
    <w:rsid w:val="00662F40"/>
    <w:rsid w:val="00662FC6"/>
    <w:rsid w:val="00663158"/>
    <w:rsid w:val="0066321D"/>
    <w:rsid w:val="006634CD"/>
    <w:rsid w:val="006636FF"/>
    <w:rsid w:val="006638C1"/>
    <w:rsid w:val="00663E8F"/>
    <w:rsid w:val="00664018"/>
    <w:rsid w:val="0066440F"/>
    <w:rsid w:val="00664547"/>
    <w:rsid w:val="0066478F"/>
    <w:rsid w:val="0066481F"/>
    <w:rsid w:val="006648AD"/>
    <w:rsid w:val="00664F01"/>
    <w:rsid w:val="00664F68"/>
    <w:rsid w:val="006651EA"/>
    <w:rsid w:val="0066537A"/>
    <w:rsid w:val="00665402"/>
    <w:rsid w:val="00665626"/>
    <w:rsid w:val="006656CF"/>
    <w:rsid w:val="00665B9F"/>
    <w:rsid w:val="00665C8E"/>
    <w:rsid w:val="00665E84"/>
    <w:rsid w:val="00665F2B"/>
    <w:rsid w:val="00665F66"/>
    <w:rsid w:val="006663FA"/>
    <w:rsid w:val="006664EA"/>
    <w:rsid w:val="00666523"/>
    <w:rsid w:val="006667CD"/>
    <w:rsid w:val="006668C8"/>
    <w:rsid w:val="0066691E"/>
    <w:rsid w:val="006669EA"/>
    <w:rsid w:val="00666A05"/>
    <w:rsid w:val="00666D96"/>
    <w:rsid w:val="00666F2E"/>
    <w:rsid w:val="00666FDC"/>
    <w:rsid w:val="00667179"/>
    <w:rsid w:val="00667207"/>
    <w:rsid w:val="00667572"/>
    <w:rsid w:val="006678B2"/>
    <w:rsid w:val="00667B94"/>
    <w:rsid w:val="00667C19"/>
    <w:rsid w:val="00667C6A"/>
    <w:rsid w:val="00667CC7"/>
    <w:rsid w:val="00667E10"/>
    <w:rsid w:val="00667F1A"/>
    <w:rsid w:val="00667F8B"/>
    <w:rsid w:val="00667FED"/>
    <w:rsid w:val="00670C5E"/>
    <w:rsid w:val="00670F30"/>
    <w:rsid w:val="00670FD5"/>
    <w:rsid w:val="0067101C"/>
    <w:rsid w:val="00671190"/>
    <w:rsid w:val="006711F0"/>
    <w:rsid w:val="006712D1"/>
    <w:rsid w:val="006713C6"/>
    <w:rsid w:val="00671426"/>
    <w:rsid w:val="00671507"/>
    <w:rsid w:val="00671988"/>
    <w:rsid w:val="00671AEE"/>
    <w:rsid w:val="00671B66"/>
    <w:rsid w:val="00671D1F"/>
    <w:rsid w:val="00671F59"/>
    <w:rsid w:val="0067205A"/>
    <w:rsid w:val="00672395"/>
    <w:rsid w:val="00672704"/>
    <w:rsid w:val="00672828"/>
    <w:rsid w:val="00672967"/>
    <w:rsid w:val="006729DF"/>
    <w:rsid w:val="00672BE4"/>
    <w:rsid w:val="00672D90"/>
    <w:rsid w:val="00672DB3"/>
    <w:rsid w:val="00672EA0"/>
    <w:rsid w:val="0067315A"/>
    <w:rsid w:val="006731EC"/>
    <w:rsid w:val="00673243"/>
    <w:rsid w:val="00673271"/>
    <w:rsid w:val="0067341E"/>
    <w:rsid w:val="00673458"/>
    <w:rsid w:val="0067354A"/>
    <w:rsid w:val="0067354E"/>
    <w:rsid w:val="00673828"/>
    <w:rsid w:val="00673F84"/>
    <w:rsid w:val="00673F96"/>
    <w:rsid w:val="00674272"/>
    <w:rsid w:val="00674281"/>
    <w:rsid w:val="0067455B"/>
    <w:rsid w:val="0067457D"/>
    <w:rsid w:val="00674598"/>
    <w:rsid w:val="0067459C"/>
    <w:rsid w:val="006745C8"/>
    <w:rsid w:val="00674680"/>
    <w:rsid w:val="006746AD"/>
    <w:rsid w:val="006747D2"/>
    <w:rsid w:val="006748D5"/>
    <w:rsid w:val="00674980"/>
    <w:rsid w:val="00674BFC"/>
    <w:rsid w:val="00674C8B"/>
    <w:rsid w:val="00674D33"/>
    <w:rsid w:val="00674DC1"/>
    <w:rsid w:val="00674F82"/>
    <w:rsid w:val="0067521A"/>
    <w:rsid w:val="006752DF"/>
    <w:rsid w:val="006752ED"/>
    <w:rsid w:val="00675929"/>
    <w:rsid w:val="00675A0F"/>
    <w:rsid w:val="00675BA0"/>
    <w:rsid w:val="00675FED"/>
    <w:rsid w:val="00676070"/>
    <w:rsid w:val="006760B0"/>
    <w:rsid w:val="006761D1"/>
    <w:rsid w:val="006764DB"/>
    <w:rsid w:val="006766A1"/>
    <w:rsid w:val="006766AB"/>
    <w:rsid w:val="006767D3"/>
    <w:rsid w:val="0067688B"/>
    <w:rsid w:val="00676E9D"/>
    <w:rsid w:val="0067715B"/>
    <w:rsid w:val="006772D9"/>
    <w:rsid w:val="00677319"/>
    <w:rsid w:val="0067743F"/>
    <w:rsid w:val="006775ED"/>
    <w:rsid w:val="00677C31"/>
    <w:rsid w:val="00677C5D"/>
    <w:rsid w:val="00677D30"/>
    <w:rsid w:val="00677F5C"/>
    <w:rsid w:val="00680311"/>
    <w:rsid w:val="006803CF"/>
    <w:rsid w:val="0068057D"/>
    <w:rsid w:val="00680674"/>
    <w:rsid w:val="00680782"/>
    <w:rsid w:val="00680821"/>
    <w:rsid w:val="0068094F"/>
    <w:rsid w:val="00680A8F"/>
    <w:rsid w:val="006815C3"/>
    <w:rsid w:val="0068194B"/>
    <w:rsid w:val="00681B6A"/>
    <w:rsid w:val="00681C2A"/>
    <w:rsid w:val="00681CC4"/>
    <w:rsid w:val="00681D14"/>
    <w:rsid w:val="00681F57"/>
    <w:rsid w:val="00682722"/>
    <w:rsid w:val="006829EB"/>
    <w:rsid w:val="00682A4A"/>
    <w:rsid w:val="00682C8A"/>
    <w:rsid w:val="00682FD8"/>
    <w:rsid w:val="00682FFF"/>
    <w:rsid w:val="0068306D"/>
    <w:rsid w:val="00683317"/>
    <w:rsid w:val="00683458"/>
    <w:rsid w:val="00683603"/>
    <w:rsid w:val="006836BC"/>
    <w:rsid w:val="006836CA"/>
    <w:rsid w:val="00683AF0"/>
    <w:rsid w:val="00683D48"/>
    <w:rsid w:val="00683FEA"/>
    <w:rsid w:val="0068409B"/>
    <w:rsid w:val="0068413E"/>
    <w:rsid w:val="00684168"/>
    <w:rsid w:val="00684198"/>
    <w:rsid w:val="0068443B"/>
    <w:rsid w:val="00684453"/>
    <w:rsid w:val="00684549"/>
    <w:rsid w:val="00684639"/>
    <w:rsid w:val="00684723"/>
    <w:rsid w:val="00684C36"/>
    <w:rsid w:val="00684F89"/>
    <w:rsid w:val="00685076"/>
    <w:rsid w:val="006853AE"/>
    <w:rsid w:val="006854A1"/>
    <w:rsid w:val="00685584"/>
    <w:rsid w:val="00685654"/>
    <w:rsid w:val="0068569E"/>
    <w:rsid w:val="00685925"/>
    <w:rsid w:val="00685CB2"/>
    <w:rsid w:val="00685F5F"/>
    <w:rsid w:val="006862E3"/>
    <w:rsid w:val="00686308"/>
    <w:rsid w:val="00686592"/>
    <w:rsid w:val="0068693F"/>
    <w:rsid w:val="00686A51"/>
    <w:rsid w:val="00686AAB"/>
    <w:rsid w:val="00686ADC"/>
    <w:rsid w:val="00686ADF"/>
    <w:rsid w:val="00686BF5"/>
    <w:rsid w:val="00686DCE"/>
    <w:rsid w:val="00686FDF"/>
    <w:rsid w:val="00687657"/>
    <w:rsid w:val="006876DE"/>
    <w:rsid w:val="006878EB"/>
    <w:rsid w:val="0068793F"/>
    <w:rsid w:val="00687B5C"/>
    <w:rsid w:val="00687BDD"/>
    <w:rsid w:val="00687C0F"/>
    <w:rsid w:val="00687CE6"/>
    <w:rsid w:val="00687EF2"/>
    <w:rsid w:val="00687FA7"/>
    <w:rsid w:val="00690023"/>
    <w:rsid w:val="006904DE"/>
    <w:rsid w:val="006907AE"/>
    <w:rsid w:val="006907C0"/>
    <w:rsid w:val="006909A8"/>
    <w:rsid w:val="00690A30"/>
    <w:rsid w:val="00690B5D"/>
    <w:rsid w:val="00690BDC"/>
    <w:rsid w:val="00690F97"/>
    <w:rsid w:val="006910FF"/>
    <w:rsid w:val="0069140F"/>
    <w:rsid w:val="0069145E"/>
    <w:rsid w:val="00691614"/>
    <w:rsid w:val="00691D7E"/>
    <w:rsid w:val="00691DBF"/>
    <w:rsid w:val="00691E3B"/>
    <w:rsid w:val="00692139"/>
    <w:rsid w:val="006922C3"/>
    <w:rsid w:val="006922E2"/>
    <w:rsid w:val="0069239C"/>
    <w:rsid w:val="006924B2"/>
    <w:rsid w:val="006924E8"/>
    <w:rsid w:val="00692647"/>
    <w:rsid w:val="00692F25"/>
    <w:rsid w:val="00692FFE"/>
    <w:rsid w:val="006934F7"/>
    <w:rsid w:val="006935DF"/>
    <w:rsid w:val="006937A9"/>
    <w:rsid w:val="0069387C"/>
    <w:rsid w:val="00693959"/>
    <w:rsid w:val="00693ED9"/>
    <w:rsid w:val="00693F4D"/>
    <w:rsid w:val="006944C9"/>
    <w:rsid w:val="00694634"/>
    <w:rsid w:val="006948E4"/>
    <w:rsid w:val="00694AD1"/>
    <w:rsid w:val="00694AED"/>
    <w:rsid w:val="00695019"/>
    <w:rsid w:val="006951B9"/>
    <w:rsid w:val="006951C2"/>
    <w:rsid w:val="006952B6"/>
    <w:rsid w:val="0069532D"/>
    <w:rsid w:val="0069552D"/>
    <w:rsid w:val="00695535"/>
    <w:rsid w:val="006959C9"/>
    <w:rsid w:val="00695B49"/>
    <w:rsid w:val="00695F7E"/>
    <w:rsid w:val="00696033"/>
    <w:rsid w:val="006962C2"/>
    <w:rsid w:val="0069632E"/>
    <w:rsid w:val="0069649D"/>
    <w:rsid w:val="00696876"/>
    <w:rsid w:val="006968E4"/>
    <w:rsid w:val="00696AD8"/>
    <w:rsid w:val="00696AEF"/>
    <w:rsid w:val="00696C4B"/>
    <w:rsid w:val="00696D6C"/>
    <w:rsid w:val="00696D6E"/>
    <w:rsid w:val="00696EAD"/>
    <w:rsid w:val="00696F94"/>
    <w:rsid w:val="00697017"/>
    <w:rsid w:val="006972D2"/>
    <w:rsid w:val="006973B7"/>
    <w:rsid w:val="006974E5"/>
    <w:rsid w:val="00697532"/>
    <w:rsid w:val="00697FC6"/>
    <w:rsid w:val="006A007E"/>
    <w:rsid w:val="006A01E1"/>
    <w:rsid w:val="006A040F"/>
    <w:rsid w:val="006A0900"/>
    <w:rsid w:val="006A09EC"/>
    <w:rsid w:val="006A0A0A"/>
    <w:rsid w:val="006A102F"/>
    <w:rsid w:val="006A1133"/>
    <w:rsid w:val="006A13AC"/>
    <w:rsid w:val="006A15DD"/>
    <w:rsid w:val="006A16F1"/>
    <w:rsid w:val="006A1964"/>
    <w:rsid w:val="006A1B43"/>
    <w:rsid w:val="006A1F3A"/>
    <w:rsid w:val="006A2102"/>
    <w:rsid w:val="006A22EA"/>
    <w:rsid w:val="006A23DF"/>
    <w:rsid w:val="006A2A17"/>
    <w:rsid w:val="006A2ABE"/>
    <w:rsid w:val="006A2B18"/>
    <w:rsid w:val="006A2B22"/>
    <w:rsid w:val="006A2D19"/>
    <w:rsid w:val="006A2F07"/>
    <w:rsid w:val="006A2F28"/>
    <w:rsid w:val="006A3294"/>
    <w:rsid w:val="006A33BA"/>
    <w:rsid w:val="006A33C2"/>
    <w:rsid w:val="006A349B"/>
    <w:rsid w:val="006A38DF"/>
    <w:rsid w:val="006A3A5D"/>
    <w:rsid w:val="006A3B25"/>
    <w:rsid w:val="006A3BB1"/>
    <w:rsid w:val="006A3D95"/>
    <w:rsid w:val="006A3E00"/>
    <w:rsid w:val="006A3E0D"/>
    <w:rsid w:val="006A3E5B"/>
    <w:rsid w:val="006A3E5C"/>
    <w:rsid w:val="006A4030"/>
    <w:rsid w:val="006A43E5"/>
    <w:rsid w:val="006A44DB"/>
    <w:rsid w:val="006A470E"/>
    <w:rsid w:val="006A4A22"/>
    <w:rsid w:val="006A4B8B"/>
    <w:rsid w:val="006A4C63"/>
    <w:rsid w:val="006A5164"/>
    <w:rsid w:val="006A5256"/>
    <w:rsid w:val="006A5467"/>
    <w:rsid w:val="006A584A"/>
    <w:rsid w:val="006A5AAA"/>
    <w:rsid w:val="006A5B0F"/>
    <w:rsid w:val="006A5CBA"/>
    <w:rsid w:val="006A5CD4"/>
    <w:rsid w:val="006A6255"/>
    <w:rsid w:val="006A640E"/>
    <w:rsid w:val="006A66A3"/>
    <w:rsid w:val="006A6732"/>
    <w:rsid w:val="006A67FF"/>
    <w:rsid w:val="006A6DCA"/>
    <w:rsid w:val="006A7A23"/>
    <w:rsid w:val="006A7E6F"/>
    <w:rsid w:val="006A7EA7"/>
    <w:rsid w:val="006B0226"/>
    <w:rsid w:val="006B0842"/>
    <w:rsid w:val="006B0884"/>
    <w:rsid w:val="006B0957"/>
    <w:rsid w:val="006B0A93"/>
    <w:rsid w:val="006B0B02"/>
    <w:rsid w:val="006B0BCA"/>
    <w:rsid w:val="006B117B"/>
    <w:rsid w:val="006B11F5"/>
    <w:rsid w:val="006B1357"/>
    <w:rsid w:val="006B1AD2"/>
    <w:rsid w:val="006B1C97"/>
    <w:rsid w:val="006B1DD2"/>
    <w:rsid w:val="006B1E34"/>
    <w:rsid w:val="006B236A"/>
    <w:rsid w:val="006B238B"/>
    <w:rsid w:val="006B25B3"/>
    <w:rsid w:val="006B2615"/>
    <w:rsid w:val="006B266F"/>
    <w:rsid w:val="006B274C"/>
    <w:rsid w:val="006B297F"/>
    <w:rsid w:val="006B299A"/>
    <w:rsid w:val="006B2A14"/>
    <w:rsid w:val="006B2C28"/>
    <w:rsid w:val="006B2EEE"/>
    <w:rsid w:val="006B2F5B"/>
    <w:rsid w:val="006B2F5C"/>
    <w:rsid w:val="006B304E"/>
    <w:rsid w:val="006B31D6"/>
    <w:rsid w:val="006B353F"/>
    <w:rsid w:val="006B36FD"/>
    <w:rsid w:val="006B3A12"/>
    <w:rsid w:val="006B3AC0"/>
    <w:rsid w:val="006B3CF5"/>
    <w:rsid w:val="006B3DE2"/>
    <w:rsid w:val="006B3EE0"/>
    <w:rsid w:val="006B40FD"/>
    <w:rsid w:val="006B44AD"/>
    <w:rsid w:val="006B44ED"/>
    <w:rsid w:val="006B4745"/>
    <w:rsid w:val="006B4871"/>
    <w:rsid w:val="006B48F7"/>
    <w:rsid w:val="006B4938"/>
    <w:rsid w:val="006B49A9"/>
    <w:rsid w:val="006B49F4"/>
    <w:rsid w:val="006B4B7B"/>
    <w:rsid w:val="006B4FAE"/>
    <w:rsid w:val="006B5085"/>
    <w:rsid w:val="006B529F"/>
    <w:rsid w:val="006B53E3"/>
    <w:rsid w:val="006B5418"/>
    <w:rsid w:val="006B5428"/>
    <w:rsid w:val="006B5750"/>
    <w:rsid w:val="006B5775"/>
    <w:rsid w:val="006B5C0B"/>
    <w:rsid w:val="006B6278"/>
    <w:rsid w:val="006B64B5"/>
    <w:rsid w:val="006B66D5"/>
    <w:rsid w:val="006B672E"/>
    <w:rsid w:val="006B68A4"/>
    <w:rsid w:val="006B6D56"/>
    <w:rsid w:val="006B6EEC"/>
    <w:rsid w:val="006B6FA4"/>
    <w:rsid w:val="006B6FE4"/>
    <w:rsid w:val="006B708F"/>
    <w:rsid w:val="006B72C9"/>
    <w:rsid w:val="006B72D1"/>
    <w:rsid w:val="006B72D6"/>
    <w:rsid w:val="006B7307"/>
    <w:rsid w:val="006B765F"/>
    <w:rsid w:val="006B7A79"/>
    <w:rsid w:val="006B7E84"/>
    <w:rsid w:val="006C010F"/>
    <w:rsid w:val="006C023A"/>
    <w:rsid w:val="006C0298"/>
    <w:rsid w:val="006C0338"/>
    <w:rsid w:val="006C03F3"/>
    <w:rsid w:val="006C0583"/>
    <w:rsid w:val="006C0B9E"/>
    <w:rsid w:val="006C0BD1"/>
    <w:rsid w:val="006C0BF8"/>
    <w:rsid w:val="006C0EC0"/>
    <w:rsid w:val="006C0EFE"/>
    <w:rsid w:val="006C107A"/>
    <w:rsid w:val="006C1107"/>
    <w:rsid w:val="006C1325"/>
    <w:rsid w:val="006C13EE"/>
    <w:rsid w:val="006C14A7"/>
    <w:rsid w:val="006C178E"/>
    <w:rsid w:val="006C17A5"/>
    <w:rsid w:val="006C1A10"/>
    <w:rsid w:val="006C1A73"/>
    <w:rsid w:val="006C1B19"/>
    <w:rsid w:val="006C1B23"/>
    <w:rsid w:val="006C1BB7"/>
    <w:rsid w:val="006C1FE9"/>
    <w:rsid w:val="006C2145"/>
    <w:rsid w:val="006C2381"/>
    <w:rsid w:val="006C238D"/>
    <w:rsid w:val="006C2480"/>
    <w:rsid w:val="006C25D6"/>
    <w:rsid w:val="006C2692"/>
    <w:rsid w:val="006C28AD"/>
    <w:rsid w:val="006C2B7A"/>
    <w:rsid w:val="006C2C0F"/>
    <w:rsid w:val="006C2C67"/>
    <w:rsid w:val="006C308D"/>
    <w:rsid w:val="006C336A"/>
    <w:rsid w:val="006C347E"/>
    <w:rsid w:val="006C378D"/>
    <w:rsid w:val="006C389D"/>
    <w:rsid w:val="006C39D6"/>
    <w:rsid w:val="006C3A19"/>
    <w:rsid w:val="006C3B1E"/>
    <w:rsid w:val="006C3BA8"/>
    <w:rsid w:val="006C3C44"/>
    <w:rsid w:val="006C3D2A"/>
    <w:rsid w:val="006C3E34"/>
    <w:rsid w:val="006C406E"/>
    <w:rsid w:val="006C40E8"/>
    <w:rsid w:val="006C41B9"/>
    <w:rsid w:val="006C436C"/>
    <w:rsid w:val="006C4653"/>
    <w:rsid w:val="006C4816"/>
    <w:rsid w:val="006C4878"/>
    <w:rsid w:val="006C48FD"/>
    <w:rsid w:val="006C49D7"/>
    <w:rsid w:val="006C4A51"/>
    <w:rsid w:val="006C4A7E"/>
    <w:rsid w:val="006C4AAC"/>
    <w:rsid w:val="006C4E9A"/>
    <w:rsid w:val="006C50E5"/>
    <w:rsid w:val="006C512F"/>
    <w:rsid w:val="006C520A"/>
    <w:rsid w:val="006C5311"/>
    <w:rsid w:val="006C553E"/>
    <w:rsid w:val="006C558D"/>
    <w:rsid w:val="006C563B"/>
    <w:rsid w:val="006C5818"/>
    <w:rsid w:val="006C5ACC"/>
    <w:rsid w:val="006C5C96"/>
    <w:rsid w:val="006C5E2B"/>
    <w:rsid w:val="006C5FBD"/>
    <w:rsid w:val="006C6021"/>
    <w:rsid w:val="006C62FA"/>
    <w:rsid w:val="006C65B5"/>
    <w:rsid w:val="006C66AE"/>
    <w:rsid w:val="006C6747"/>
    <w:rsid w:val="006C6973"/>
    <w:rsid w:val="006C6AB2"/>
    <w:rsid w:val="006C6B6E"/>
    <w:rsid w:val="006C6BAA"/>
    <w:rsid w:val="006C6CD3"/>
    <w:rsid w:val="006C6D4F"/>
    <w:rsid w:val="006C6E0B"/>
    <w:rsid w:val="006C6EDE"/>
    <w:rsid w:val="006C6FCD"/>
    <w:rsid w:val="006C7422"/>
    <w:rsid w:val="006C7667"/>
    <w:rsid w:val="006C7A0F"/>
    <w:rsid w:val="006C7D46"/>
    <w:rsid w:val="006C7D4E"/>
    <w:rsid w:val="006D00F8"/>
    <w:rsid w:val="006D033A"/>
    <w:rsid w:val="006D03E4"/>
    <w:rsid w:val="006D05DE"/>
    <w:rsid w:val="006D0767"/>
    <w:rsid w:val="006D07CF"/>
    <w:rsid w:val="006D0930"/>
    <w:rsid w:val="006D0956"/>
    <w:rsid w:val="006D0B40"/>
    <w:rsid w:val="006D0F64"/>
    <w:rsid w:val="006D0FE0"/>
    <w:rsid w:val="006D1053"/>
    <w:rsid w:val="006D133D"/>
    <w:rsid w:val="006D137D"/>
    <w:rsid w:val="006D1802"/>
    <w:rsid w:val="006D1813"/>
    <w:rsid w:val="006D222A"/>
    <w:rsid w:val="006D239C"/>
    <w:rsid w:val="006D24C6"/>
    <w:rsid w:val="006D25FF"/>
    <w:rsid w:val="006D2627"/>
    <w:rsid w:val="006D267B"/>
    <w:rsid w:val="006D27B4"/>
    <w:rsid w:val="006D2A17"/>
    <w:rsid w:val="006D346E"/>
    <w:rsid w:val="006D3694"/>
    <w:rsid w:val="006D3860"/>
    <w:rsid w:val="006D39C2"/>
    <w:rsid w:val="006D3A2C"/>
    <w:rsid w:val="006D3A36"/>
    <w:rsid w:val="006D3D04"/>
    <w:rsid w:val="006D3E22"/>
    <w:rsid w:val="006D3E85"/>
    <w:rsid w:val="006D3F72"/>
    <w:rsid w:val="006D45A7"/>
    <w:rsid w:val="006D47ED"/>
    <w:rsid w:val="006D48AB"/>
    <w:rsid w:val="006D4AD7"/>
    <w:rsid w:val="006D4D19"/>
    <w:rsid w:val="006D4DD9"/>
    <w:rsid w:val="006D4E7E"/>
    <w:rsid w:val="006D4F01"/>
    <w:rsid w:val="006D4FA4"/>
    <w:rsid w:val="006D54C8"/>
    <w:rsid w:val="006D55E2"/>
    <w:rsid w:val="006D5728"/>
    <w:rsid w:val="006D5736"/>
    <w:rsid w:val="006D578B"/>
    <w:rsid w:val="006D598F"/>
    <w:rsid w:val="006D599E"/>
    <w:rsid w:val="006D5AF3"/>
    <w:rsid w:val="006D5E15"/>
    <w:rsid w:val="006D5EFD"/>
    <w:rsid w:val="006D615A"/>
    <w:rsid w:val="006D6370"/>
    <w:rsid w:val="006D66E9"/>
    <w:rsid w:val="006D6735"/>
    <w:rsid w:val="006D69E3"/>
    <w:rsid w:val="006D6AEB"/>
    <w:rsid w:val="006D70E7"/>
    <w:rsid w:val="006D7116"/>
    <w:rsid w:val="006D71DE"/>
    <w:rsid w:val="006D745D"/>
    <w:rsid w:val="006D74C1"/>
    <w:rsid w:val="006D7501"/>
    <w:rsid w:val="006D756F"/>
    <w:rsid w:val="006D75E2"/>
    <w:rsid w:val="006D765D"/>
    <w:rsid w:val="006D77F5"/>
    <w:rsid w:val="006D79D5"/>
    <w:rsid w:val="006D7D3B"/>
    <w:rsid w:val="006D7FBA"/>
    <w:rsid w:val="006D7FD9"/>
    <w:rsid w:val="006E047C"/>
    <w:rsid w:val="006E057E"/>
    <w:rsid w:val="006E05D0"/>
    <w:rsid w:val="006E0689"/>
    <w:rsid w:val="006E06D6"/>
    <w:rsid w:val="006E0788"/>
    <w:rsid w:val="006E0C06"/>
    <w:rsid w:val="006E0C63"/>
    <w:rsid w:val="006E123D"/>
    <w:rsid w:val="006E143B"/>
    <w:rsid w:val="006E1541"/>
    <w:rsid w:val="006E1644"/>
    <w:rsid w:val="006E17BE"/>
    <w:rsid w:val="006E187A"/>
    <w:rsid w:val="006E1AA5"/>
    <w:rsid w:val="006E1D9E"/>
    <w:rsid w:val="006E2092"/>
    <w:rsid w:val="006E2142"/>
    <w:rsid w:val="006E21D8"/>
    <w:rsid w:val="006E2574"/>
    <w:rsid w:val="006E27BA"/>
    <w:rsid w:val="006E2BB4"/>
    <w:rsid w:val="006E2D7D"/>
    <w:rsid w:val="006E36C6"/>
    <w:rsid w:val="006E3B0E"/>
    <w:rsid w:val="006E3BD7"/>
    <w:rsid w:val="006E3F2C"/>
    <w:rsid w:val="006E4302"/>
    <w:rsid w:val="006E436A"/>
    <w:rsid w:val="006E43F2"/>
    <w:rsid w:val="006E4492"/>
    <w:rsid w:val="006E4497"/>
    <w:rsid w:val="006E46C2"/>
    <w:rsid w:val="006E46F7"/>
    <w:rsid w:val="006E4AE9"/>
    <w:rsid w:val="006E4B82"/>
    <w:rsid w:val="006E4C18"/>
    <w:rsid w:val="006E50F4"/>
    <w:rsid w:val="006E549B"/>
    <w:rsid w:val="006E5C5E"/>
    <w:rsid w:val="006E5CBC"/>
    <w:rsid w:val="006E5EFD"/>
    <w:rsid w:val="006E5EFE"/>
    <w:rsid w:val="006E5F3F"/>
    <w:rsid w:val="006E5FD3"/>
    <w:rsid w:val="006E6082"/>
    <w:rsid w:val="006E60D3"/>
    <w:rsid w:val="006E62DA"/>
    <w:rsid w:val="006E6417"/>
    <w:rsid w:val="006E669F"/>
    <w:rsid w:val="006E66BF"/>
    <w:rsid w:val="006E688F"/>
    <w:rsid w:val="006E698A"/>
    <w:rsid w:val="006E69D2"/>
    <w:rsid w:val="006E6A0E"/>
    <w:rsid w:val="006E6A47"/>
    <w:rsid w:val="006E70C9"/>
    <w:rsid w:val="006E70DF"/>
    <w:rsid w:val="006E7338"/>
    <w:rsid w:val="006E73DF"/>
    <w:rsid w:val="006E7684"/>
    <w:rsid w:val="006E769A"/>
    <w:rsid w:val="006E7A01"/>
    <w:rsid w:val="006E7B17"/>
    <w:rsid w:val="006E7DA7"/>
    <w:rsid w:val="006F007E"/>
    <w:rsid w:val="006F00D6"/>
    <w:rsid w:val="006F03F0"/>
    <w:rsid w:val="006F06ED"/>
    <w:rsid w:val="006F0789"/>
    <w:rsid w:val="006F08EB"/>
    <w:rsid w:val="006F09E2"/>
    <w:rsid w:val="006F0C7E"/>
    <w:rsid w:val="006F0D6E"/>
    <w:rsid w:val="006F10D3"/>
    <w:rsid w:val="006F10F1"/>
    <w:rsid w:val="006F11D1"/>
    <w:rsid w:val="006F1250"/>
    <w:rsid w:val="006F1346"/>
    <w:rsid w:val="006F14C2"/>
    <w:rsid w:val="006F1531"/>
    <w:rsid w:val="006F15B9"/>
    <w:rsid w:val="006F1606"/>
    <w:rsid w:val="006F16A3"/>
    <w:rsid w:val="006F1727"/>
    <w:rsid w:val="006F1746"/>
    <w:rsid w:val="006F1755"/>
    <w:rsid w:val="006F17A0"/>
    <w:rsid w:val="006F18AF"/>
    <w:rsid w:val="006F1C8F"/>
    <w:rsid w:val="006F1FAF"/>
    <w:rsid w:val="006F2059"/>
    <w:rsid w:val="006F23B5"/>
    <w:rsid w:val="006F28AD"/>
    <w:rsid w:val="006F28E9"/>
    <w:rsid w:val="006F2A23"/>
    <w:rsid w:val="006F2AF2"/>
    <w:rsid w:val="006F2BC0"/>
    <w:rsid w:val="006F2FC5"/>
    <w:rsid w:val="006F3427"/>
    <w:rsid w:val="006F374A"/>
    <w:rsid w:val="006F3769"/>
    <w:rsid w:val="006F3810"/>
    <w:rsid w:val="006F3922"/>
    <w:rsid w:val="006F3B02"/>
    <w:rsid w:val="006F3CDC"/>
    <w:rsid w:val="006F3CF7"/>
    <w:rsid w:val="006F3F1C"/>
    <w:rsid w:val="006F3FA4"/>
    <w:rsid w:val="006F4085"/>
    <w:rsid w:val="006F41F5"/>
    <w:rsid w:val="006F42C1"/>
    <w:rsid w:val="006F4824"/>
    <w:rsid w:val="006F48EE"/>
    <w:rsid w:val="006F4931"/>
    <w:rsid w:val="006F4A72"/>
    <w:rsid w:val="006F4AFD"/>
    <w:rsid w:val="006F4C7D"/>
    <w:rsid w:val="006F4CEF"/>
    <w:rsid w:val="006F4F43"/>
    <w:rsid w:val="006F4F80"/>
    <w:rsid w:val="006F54F3"/>
    <w:rsid w:val="006F55BF"/>
    <w:rsid w:val="006F58BC"/>
    <w:rsid w:val="006F59A6"/>
    <w:rsid w:val="006F59DE"/>
    <w:rsid w:val="006F5EBD"/>
    <w:rsid w:val="006F609F"/>
    <w:rsid w:val="006F6804"/>
    <w:rsid w:val="006F6A5E"/>
    <w:rsid w:val="006F6A78"/>
    <w:rsid w:val="006F6A7E"/>
    <w:rsid w:val="006F6BC0"/>
    <w:rsid w:val="006F6D1A"/>
    <w:rsid w:val="006F6E3D"/>
    <w:rsid w:val="006F717C"/>
    <w:rsid w:val="006F730E"/>
    <w:rsid w:val="006F7497"/>
    <w:rsid w:val="006F7674"/>
    <w:rsid w:val="006F77B1"/>
    <w:rsid w:val="006F7845"/>
    <w:rsid w:val="006F7849"/>
    <w:rsid w:val="006F784E"/>
    <w:rsid w:val="006F7A49"/>
    <w:rsid w:val="006F7B70"/>
    <w:rsid w:val="006F7B97"/>
    <w:rsid w:val="006F7C73"/>
    <w:rsid w:val="006F7CDE"/>
    <w:rsid w:val="006F7E27"/>
    <w:rsid w:val="006F7EF0"/>
    <w:rsid w:val="006F7F22"/>
    <w:rsid w:val="007000AF"/>
    <w:rsid w:val="007001DE"/>
    <w:rsid w:val="007001FD"/>
    <w:rsid w:val="007003B8"/>
    <w:rsid w:val="007003EC"/>
    <w:rsid w:val="00700520"/>
    <w:rsid w:val="00700626"/>
    <w:rsid w:val="00700668"/>
    <w:rsid w:val="007008D1"/>
    <w:rsid w:val="00700938"/>
    <w:rsid w:val="00700A6F"/>
    <w:rsid w:val="00700BAE"/>
    <w:rsid w:val="00700F95"/>
    <w:rsid w:val="00701293"/>
    <w:rsid w:val="0070188E"/>
    <w:rsid w:val="00701AC3"/>
    <w:rsid w:val="00701DD0"/>
    <w:rsid w:val="00701E29"/>
    <w:rsid w:val="00701F06"/>
    <w:rsid w:val="00701FAE"/>
    <w:rsid w:val="0070231D"/>
    <w:rsid w:val="0070239A"/>
    <w:rsid w:val="0070284E"/>
    <w:rsid w:val="007029BB"/>
    <w:rsid w:val="00702BCC"/>
    <w:rsid w:val="00702BE9"/>
    <w:rsid w:val="00702C7B"/>
    <w:rsid w:val="00702FE3"/>
    <w:rsid w:val="007031EE"/>
    <w:rsid w:val="0070333E"/>
    <w:rsid w:val="00703538"/>
    <w:rsid w:val="007035D0"/>
    <w:rsid w:val="007036F5"/>
    <w:rsid w:val="007036F7"/>
    <w:rsid w:val="0070381D"/>
    <w:rsid w:val="00703906"/>
    <w:rsid w:val="00703D6A"/>
    <w:rsid w:val="00703DBE"/>
    <w:rsid w:val="00704336"/>
    <w:rsid w:val="0070436E"/>
    <w:rsid w:val="0070439E"/>
    <w:rsid w:val="007043A9"/>
    <w:rsid w:val="007046C5"/>
    <w:rsid w:val="00704993"/>
    <w:rsid w:val="00704B8F"/>
    <w:rsid w:val="00704B99"/>
    <w:rsid w:val="00704C1C"/>
    <w:rsid w:val="00704C7F"/>
    <w:rsid w:val="00704D84"/>
    <w:rsid w:val="00704E03"/>
    <w:rsid w:val="00704E61"/>
    <w:rsid w:val="00704FA7"/>
    <w:rsid w:val="00705026"/>
    <w:rsid w:val="007050F2"/>
    <w:rsid w:val="007051FC"/>
    <w:rsid w:val="007054C9"/>
    <w:rsid w:val="00705A4C"/>
    <w:rsid w:val="00705BF7"/>
    <w:rsid w:val="007062F1"/>
    <w:rsid w:val="00706361"/>
    <w:rsid w:val="007066A2"/>
    <w:rsid w:val="0070686D"/>
    <w:rsid w:val="0070690D"/>
    <w:rsid w:val="00706915"/>
    <w:rsid w:val="00706AE5"/>
    <w:rsid w:val="00706B59"/>
    <w:rsid w:val="00706B8E"/>
    <w:rsid w:val="00706E18"/>
    <w:rsid w:val="00706F83"/>
    <w:rsid w:val="007073E6"/>
    <w:rsid w:val="0070742C"/>
    <w:rsid w:val="0070763A"/>
    <w:rsid w:val="0070768A"/>
    <w:rsid w:val="00707799"/>
    <w:rsid w:val="00707844"/>
    <w:rsid w:val="00707862"/>
    <w:rsid w:val="00707A30"/>
    <w:rsid w:val="00707BEC"/>
    <w:rsid w:val="00707D24"/>
    <w:rsid w:val="00707E23"/>
    <w:rsid w:val="00710064"/>
    <w:rsid w:val="00710595"/>
    <w:rsid w:val="00710BEC"/>
    <w:rsid w:val="00710C3F"/>
    <w:rsid w:val="00710D6C"/>
    <w:rsid w:val="00710FD6"/>
    <w:rsid w:val="0071100A"/>
    <w:rsid w:val="007110E0"/>
    <w:rsid w:val="00711420"/>
    <w:rsid w:val="007114B7"/>
    <w:rsid w:val="007114E0"/>
    <w:rsid w:val="00711924"/>
    <w:rsid w:val="00711955"/>
    <w:rsid w:val="00711BA8"/>
    <w:rsid w:val="00711C93"/>
    <w:rsid w:val="00712186"/>
    <w:rsid w:val="007121D4"/>
    <w:rsid w:val="007122F3"/>
    <w:rsid w:val="007124D6"/>
    <w:rsid w:val="007125B7"/>
    <w:rsid w:val="007126A1"/>
    <w:rsid w:val="007128C1"/>
    <w:rsid w:val="007129C3"/>
    <w:rsid w:val="00712B48"/>
    <w:rsid w:val="00712CE0"/>
    <w:rsid w:val="00712EB3"/>
    <w:rsid w:val="00712F87"/>
    <w:rsid w:val="0071317C"/>
    <w:rsid w:val="007134CA"/>
    <w:rsid w:val="00713525"/>
    <w:rsid w:val="0071353C"/>
    <w:rsid w:val="0071355A"/>
    <w:rsid w:val="0071356D"/>
    <w:rsid w:val="007135F6"/>
    <w:rsid w:val="00713628"/>
    <w:rsid w:val="007136D2"/>
    <w:rsid w:val="00713707"/>
    <w:rsid w:val="00713AD9"/>
    <w:rsid w:val="00713BE7"/>
    <w:rsid w:val="00713D6A"/>
    <w:rsid w:val="00713D79"/>
    <w:rsid w:val="00713FCC"/>
    <w:rsid w:val="007146C9"/>
    <w:rsid w:val="00714D7C"/>
    <w:rsid w:val="00715066"/>
    <w:rsid w:val="00715186"/>
    <w:rsid w:val="0071521D"/>
    <w:rsid w:val="00715258"/>
    <w:rsid w:val="0071528B"/>
    <w:rsid w:val="00715551"/>
    <w:rsid w:val="007156A5"/>
    <w:rsid w:val="007156C5"/>
    <w:rsid w:val="0071582F"/>
    <w:rsid w:val="0071585A"/>
    <w:rsid w:val="00715FDA"/>
    <w:rsid w:val="0071614D"/>
    <w:rsid w:val="007162BA"/>
    <w:rsid w:val="007162C9"/>
    <w:rsid w:val="00716415"/>
    <w:rsid w:val="0071641C"/>
    <w:rsid w:val="00716A70"/>
    <w:rsid w:val="00716C5D"/>
    <w:rsid w:val="00716C75"/>
    <w:rsid w:val="00716C85"/>
    <w:rsid w:val="00716EE0"/>
    <w:rsid w:val="00716F50"/>
    <w:rsid w:val="007171A4"/>
    <w:rsid w:val="00717A9F"/>
    <w:rsid w:val="00717AD2"/>
    <w:rsid w:val="00717D7F"/>
    <w:rsid w:val="00717F95"/>
    <w:rsid w:val="007200DB"/>
    <w:rsid w:val="00720104"/>
    <w:rsid w:val="00720412"/>
    <w:rsid w:val="00720420"/>
    <w:rsid w:val="0072062A"/>
    <w:rsid w:val="0072082B"/>
    <w:rsid w:val="0072085B"/>
    <w:rsid w:val="007209F4"/>
    <w:rsid w:val="00720A25"/>
    <w:rsid w:val="00720E68"/>
    <w:rsid w:val="00720F68"/>
    <w:rsid w:val="00720F9A"/>
    <w:rsid w:val="00720FDB"/>
    <w:rsid w:val="0072139C"/>
    <w:rsid w:val="007214D2"/>
    <w:rsid w:val="007216B6"/>
    <w:rsid w:val="00721999"/>
    <w:rsid w:val="00721A6C"/>
    <w:rsid w:val="00721AE1"/>
    <w:rsid w:val="00721B17"/>
    <w:rsid w:val="00721B95"/>
    <w:rsid w:val="00721D4E"/>
    <w:rsid w:val="00721E8B"/>
    <w:rsid w:val="007224A4"/>
    <w:rsid w:val="007224E1"/>
    <w:rsid w:val="00722621"/>
    <w:rsid w:val="00722944"/>
    <w:rsid w:val="007229D2"/>
    <w:rsid w:val="00722B09"/>
    <w:rsid w:val="00722DB9"/>
    <w:rsid w:val="0072301B"/>
    <w:rsid w:val="00723089"/>
    <w:rsid w:val="007230C7"/>
    <w:rsid w:val="00723129"/>
    <w:rsid w:val="007231D2"/>
    <w:rsid w:val="00723262"/>
    <w:rsid w:val="0072339D"/>
    <w:rsid w:val="00723565"/>
    <w:rsid w:val="00723F4C"/>
    <w:rsid w:val="0072403D"/>
    <w:rsid w:val="0072452D"/>
    <w:rsid w:val="007245C4"/>
    <w:rsid w:val="00724997"/>
    <w:rsid w:val="00724A5B"/>
    <w:rsid w:val="00724AC0"/>
    <w:rsid w:val="00724B4B"/>
    <w:rsid w:val="00724C04"/>
    <w:rsid w:val="00724E0A"/>
    <w:rsid w:val="00725098"/>
    <w:rsid w:val="007251BC"/>
    <w:rsid w:val="007252CF"/>
    <w:rsid w:val="00725691"/>
    <w:rsid w:val="00725DE8"/>
    <w:rsid w:val="00725DF2"/>
    <w:rsid w:val="00725E2B"/>
    <w:rsid w:val="00725ED2"/>
    <w:rsid w:val="00725FA7"/>
    <w:rsid w:val="00726219"/>
    <w:rsid w:val="0072622A"/>
    <w:rsid w:val="007263B5"/>
    <w:rsid w:val="00726416"/>
    <w:rsid w:val="0072643E"/>
    <w:rsid w:val="00726461"/>
    <w:rsid w:val="00726561"/>
    <w:rsid w:val="007267D8"/>
    <w:rsid w:val="007267E0"/>
    <w:rsid w:val="007269E5"/>
    <w:rsid w:val="00726B8E"/>
    <w:rsid w:val="00726BBD"/>
    <w:rsid w:val="00726BF6"/>
    <w:rsid w:val="00726CCE"/>
    <w:rsid w:val="00726D10"/>
    <w:rsid w:val="0072715C"/>
    <w:rsid w:val="00727507"/>
    <w:rsid w:val="007276C8"/>
    <w:rsid w:val="0072790E"/>
    <w:rsid w:val="007279A5"/>
    <w:rsid w:val="00727A6B"/>
    <w:rsid w:val="00727C95"/>
    <w:rsid w:val="00727D58"/>
    <w:rsid w:val="007301CF"/>
    <w:rsid w:val="007303BE"/>
    <w:rsid w:val="0073065A"/>
    <w:rsid w:val="00730687"/>
    <w:rsid w:val="007308CF"/>
    <w:rsid w:val="00730B0B"/>
    <w:rsid w:val="007313A6"/>
    <w:rsid w:val="0073158A"/>
    <w:rsid w:val="007315D7"/>
    <w:rsid w:val="00731638"/>
    <w:rsid w:val="007317FC"/>
    <w:rsid w:val="00731838"/>
    <w:rsid w:val="007319BF"/>
    <w:rsid w:val="00731CE4"/>
    <w:rsid w:val="00732275"/>
    <w:rsid w:val="007322E6"/>
    <w:rsid w:val="007324E2"/>
    <w:rsid w:val="00732839"/>
    <w:rsid w:val="00732BD3"/>
    <w:rsid w:val="00732CF2"/>
    <w:rsid w:val="00732EC3"/>
    <w:rsid w:val="00732F25"/>
    <w:rsid w:val="00732F29"/>
    <w:rsid w:val="00732F91"/>
    <w:rsid w:val="00733311"/>
    <w:rsid w:val="00733745"/>
    <w:rsid w:val="0073395C"/>
    <w:rsid w:val="007339D9"/>
    <w:rsid w:val="00733A37"/>
    <w:rsid w:val="00733A43"/>
    <w:rsid w:val="00733AD1"/>
    <w:rsid w:val="00733C42"/>
    <w:rsid w:val="00733D06"/>
    <w:rsid w:val="00733E49"/>
    <w:rsid w:val="00733EE6"/>
    <w:rsid w:val="00733F95"/>
    <w:rsid w:val="00734195"/>
    <w:rsid w:val="00734293"/>
    <w:rsid w:val="007342D9"/>
    <w:rsid w:val="00734384"/>
    <w:rsid w:val="0073453A"/>
    <w:rsid w:val="00734553"/>
    <w:rsid w:val="00734670"/>
    <w:rsid w:val="007346B1"/>
    <w:rsid w:val="0073477F"/>
    <w:rsid w:val="00734A10"/>
    <w:rsid w:val="00734A2D"/>
    <w:rsid w:val="00734B7E"/>
    <w:rsid w:val="00734BAB"/>
    <w:rsid w:val="00734BB4"/>
    <w:rsid w:val="00734E9D"/>
    <w:rsid w:val="00734F5B"/>
    <w:rsid w:val="00734FA1"/>
    <w:rsid w:val="00735006"/>
    <w:rsid w:val="0073509C"/>
    <w:rsid w:val="007356BF"/>
    <w:rsid w:val="00735739"/>
    <w:rsid w:val="007358D6"/>
    <w:rsid w:val="00735AF1"/>
    <w:rsid w:val="00735CD9"/>
    <w:rsid w:val="00735D34"/>
    <w:rsid w:val="00735E35"/>
    <w:rsid w:val="00735F9D"/>
    <w:rsid w:val="007363B4"/>
    <w:rsid w:val="007363E0"/>
    <w:rsid w:val="007364A1"/>
    <w:rsid w:val="007364BE"/>
    <w:rsid w:val="007366E8"/>
    <w:rsid w:val="007367A6"/>
    <w:rsid w:val="00736893"/>
    <w:rsid w:val="00736A41"/>
    <w:rsid w:val="00736B03"/>
    <w:rsid w:val="00736BB3"/>
    <w:rsid w:val="00736C0A"/>
    <w:rsid w:val="00736CD4"/>
    <w:rsid w:val="00736EFC"/>
    <w:rsid w:val="00736FA6"/>
    <w:rsid w:val="00737135"/>
    <w:rsid w:val="0073719A"/>
    <w:rsid w:val="007371BD"/>
    <w:rsid w:val="00737464"/>
    <w:rsid w:val="007375CC"/>
    <w:rsid w:val="007378D3"/>
    <w:rsid w:val="007379AE"/>
    <w:rsid w:val="007379C6"/>
    <w:rsid w:val="00737A8E"/>
    <w:rsid w:val="00737CA0"/>
    <w:rsid w:val="00737E12"/>
    <w:rsid w:val="00737FBA"/>
    <w:rsid w:val="00740349"/>
    <w:rsid w:val="00740532"/>
    <w:rsid w:val="007406A0"/>
    <w:rsid w:val="00740893"/>
    <w:rsid w:val="007409C3"/>
    <w:rsid w:val="00740FD1"/>
    <w:rsid w:val="0074126C"/>
    <w:rsid w:val="0074128B"/>
    <w:rsid w:val="007413C4"/>
    <w:rsid w:val="00741541"/>
    <w:rsid w:val="007415AA"/>
    <w:rsid w:val="007416F0"/>
    <w:rsid w:val="0074171E"/>
    <w:rsid w:val="00741819"/>
    <w:rsid w:val="007418D8"/>
    <w:rsid w:val="00741933"/>
    <w:rsid w:val="007419A1"/>
    <w:rsid w:val="00741E3B"/>
    <w:rsid w:val="00742327"/>
    <w:rsid w:val="007427CE"/>
    <w:rsid w:val="007428C9"/>
    <w:rsid w:val="0074292C"/>
    <w:rsid w:val="00742A60"/>
    <w:rsid w:val="00742B47"/>
    <w:rsid w:val="00742E5E"/>
    <w:rsid w:val="007430C5"/>
    <w:rsid w:val="007430FF"/>
    <w:rsid w:val="00743132"/>
    <w:rsid w:val="00743138"/>
    <w:rsid w:val="00743150"/>
    <w:rsid w:val="00743237"/>
    <w:rsid w:val="00743FC8"/>
    <w:rsid w:val="0074428F"/>
    <w:rsid w:val="00744314"/>
    <w:rsid w:val="0074441D"/>
    <w:rsid w:val="00744740"/>
    <w:rsid w:val="007448C2"/>
    <w:rsid w:val="0074491A"/>
    <w:rsid w:val="00744AA7"/>
    <w:rsid w:val="00744E3D"/>
    <w:rsid w:val="00744E6A"/>
    <w:rsid w:val="00744EB4"/>
    <w:rsid w:val="00744FBA"/>
    <w:rsid w:val="00745071"/>
    <w:rsid w:val="0074507F"/>
    <w:rsid w:val="0074550C"/>
    <w:rsid w:val="00745518"/>
    <w:rsid w:val="0074556B"/>
    <w:rsid w:val="00745618"/>
    <w:rsid w:val="00745798"/>
    <w:rsid w:val="007457EE"/>
    <w:rsid w:val="00745836"/>
    <w:rsid w:val="00745850"/>
    <w:rsid w:val="00745B4D"/>
    <w:rsid w:val="00745D3C"/>
    <w:rsid w:val="00745E32"/>
    <w:rsid w:val="00745EB5"/>
    <w:rsid w:val="0074608F"/>
    <w:rsid w:val="007461B1"/>
    <w:rsid w:val="0074626C"/>
    <w:rsid w:val="007462DA"/>
    <w:rsid w:val="0074636E"/>
    <w:rsid w:val="00746832"/>
    <w:rsid w:val="00746939"/>
    <w:rsid w:val="007469EC"/>
    <w:rsid w:val="00746CD9"/>
    <w:rsid w:val="00746E84"/>
    <w:rsid w:val="00746EC3"/>
    <w:rsid w:val="0074751B"/>
    <w:rsid w:val="0074757F"/>
    <w:rsid w:val="007478AF"/>
    <w:rsid w:val="00747B76"/>
    <w:rsid w:val="00747BDC"/>
    <w:rsid w:val="00747C5C"/>
    <w:rsid w:val="00747DAA"/>
    <w:rsid w:val="00747E43"/>
    <w:rsid w:val="00747F50"/>
    <w:rsid w:val="00750179"/>
    <w:rsid w:val="00750339"/>
    <w:rsid w:val="0075072A"/>
    <w:rsid w:val="00750780"/>
    <w:rsid w:val="0075083E"/>
    <w:rsid w:val="00750B9A"/>
    <w:rsid w:val="00750DD1"/>
    <w:rsid w:val="00750E38"/>
    <w:rsid w:val="00751097"/>
    <w:rsid w:val="0075124F"/>
    <w:rsid w:val="0075162C"/>
    <w:rsid w:val="00751646"/>
    <w:rsid w:val="007518BE"/>
    <w:rsid w:val="00751B0D"/>
    <w:rsid w:val="00752040"/>
    <w:rsid w:val="00752173"/>
    <w:rsid w:val="0075224D"/>
    <w:rsid w:val="0075242E"/>
    <w:rsid w:val="00752652"/>
    <w:rsid w:val="0075277C"/>
    <w:rsid w:val="00752C16"/>
    <w:rsid w:val="00752C7D"/>
    <w:rsid w:val="00752F7C"/>
    <w:rsid w:val="00753044"/>
    <w:rsid w:val="007539A5"/>
    <w:rsid w:val="00753A9A"/>
    <w:rsid w:val="00753BB9"/>
    <w:rsid w:val="00753DB2"/>
    <w:rsid w:val="00753DBB"/>
    <w:rsid w:val="00754068"/>
    <w:rsid w:val="0075419E"/>
    <w:rsid w:val="0075429E"/>
    <w:rsid w:val="0075436C"/>
    <w:rsid w:val="00754616"/>
    <w:rsid w:val="007548B2"/>
    <w:rsid w:val="00754908"/>
    <w:rsid w:val="0075496D"/>
    <w:rsid w:val="00754A86"/>
    <w:rsid w:val="00754C22"/>
    <w:rsid w:val="00754D7A"/>
    <w:rsid w:val="00754E9C"/>
    <w:rsid w:val="007551CF"/>
    <w:rsid w:val="00755373"/>
    <w:rsid w:val="0075541C"/>
    <w:rsid w:val="007554CC"/>
    <w:rsid w:val="00755638"/>
    <w:rsid w:val="00755814"/>
    <w:rsid w:val="00755B0E"/>
    <w:rsid w:val="00755B4B"/>
    <w:rsid w:val="00755DD7"/>
    <w:rsid w:val="00756119"/>
    <w:rsid w:val="00756863"/>
    <w:rsid w:val="007568D6"/>
    <w:rsid w:val="0075706B"/>
    <w:rsid w:val="00757101"/>
    <w:rsid w:val="00757323"/>
    <w:rsid w:val="00757441"/>
    <w:rsid w:val="007576A9"/>
    <w:rsid w:val="007576E5"/>
    <w:rsid w:val="007579E7"/>
    <w:rsid w:val="00757A86"/>
    <w:rsid w:val="00757C5A"/>
    <w:rsid w:val="00757D96"/>
    <w:rsid w:val="00757E90"/>
    <w:rsid w:val="00757FE4"/>
    <w:rsid w:val="007600C7"/>
    <w:rsid w:val="0076023B"/>
    <w:rsid w:val="00760474"/>
    <w:rsid w:val="0076069D"/>
    <w:rsid w:val="007606B2"/>
    <w:rsid w:val="007606C2"/>
    <w:rsid w:val="00760783"/>
    <w:rsid w:val="00760971"/>
    <w:rsid w:val="007609EF"/>
    <w:rsid w:val="00760A5C"/>
    <w:rsid w:val="00761008"/>
    <w:rsid w:val="0076150F"/>
    <w:rsid w:val="00761529"/>
    <w:rsid w:val="00761645"/>
    <w:rsid w:val="0076178D"/>
    <w:rsid w:val="00761A8A"/>
    <w:rsid w:val="00761BE1"/>
    <w:rsid w:val="00761C23"/>
    <w:rsid w:val="00761F6E"/>
    <w:rsid w:val="00761FEF"/>
    <w:rsid w:val="00762070"/>
    <w:rsid w:val="007621A7"/>
    <w:rsid w:val="00762251"/>
    <w:rsid w:val="0076275B"/>
    <w:rsid w:val="00762860"/>
    <w:rsid w:val="007629CA"/>
    <w:rsid w:val="00762A5C"/>
    <w:rsid w:val="00762FF5"/>
    <w:rsid w:val="00763307"/>
    <w:rsid w:val="00763711"/>
    <w:rsid w:val="00763AE8"/>
    <w:rsid w:val="00763B28"/>
    <w:rsid w:val="00763D8F"/>
    <w:rsid w:val="00763DBA"/>
    <w:rsid w:val="00763DDC"/>
    <w:rsid w:val="00764214"/>
    <w:rsid w:val="00764219"/>
    <w:rsid w:val="007645AD"/>
    <w:rsid w:val="00764C52"/>
    <w:rsid w:val="00764D78"/>
    <w:rsid w:val="0076505A"/>
    <w:rsid w:val="00765061"/>
    <w:rsid w:val="00765439"/>
    <w:rsid w:val="0076590F"/>
    <w:rsid w:val="00765B6F"/>
    <w:rsid w:val="00765BB5"/>
    <w:rsid w:val="00765CA7"/>
    <w:rsid w:val="00765CC7"/>
    <w:rsid w:val="00765EF1"/>
    <w:rsid w:val="00765F5E"/>
    <w:rsid w:val="007661C4"/>
    <w:rsid w:val="007664F7"/>
    <w:rsid w:val="00766921"/>
    <w:rsid w:val="00766D9C"/>
    <w:rsid w:val="00766F23"/>
    <w:rsid w:val="00766F5F"/>
    <w:rsid w:val="00766F99"/>
    <w:rsid w:val="00766FA1"/>
    <w:rsid w:val="007673F8"/>
    <w:rsid w:val="00767792"/>
    <w:rsid w:val="00767B19"/>
    <w:rsid w:val="00767B62"/>
    <w:rsid w:val="00767F85"/>
    <w:rsid w:val="00770088"/>
    <w:rsid w:val="0077047F"/>
    <w:rsid w:val="007705D9"/>
    <w:rsid w:val="0077069B"/>
    <w:rsid w:val="00770AB3"/>
    <w:rsid w:val="00770E34"/>
    <w:rsid w:val="0077137D"/>
    <w:rsid w:val="00771457"/>
    <w:rsid w:val="00771963"/>
    <w:rsid w:val="00771AC5"/>
    <w:rsid w:val="00771B04"/>
    <w:rsid w:val="00771B23"/>
    <w:rsid w:val="00771D14"/>
    <w:rsid w:val="00771D7B"/>
    <w:rsid w:val="00772013"/>
    <w:rsid w:val="00772432"/>
    <w:rsid w:val="00772574"/>
    <w:rsid w:val="00772A78"/>
    <w:rsid w:val="00772B28"/>
    <w:rsid w:val="00772CB5"/>
    <w:rsid w:val="00772F6B"/>
    <w:rsid w:val="007730F2"/>
    <w:rsid w:val="0077365C"/>
    <w:rsid w:val="007738E6"/>
    <w:rsid w:val="00773967"/>
    <w:rsid w:val="00773AAD"/>
    <w:rsid w:val="00773C8E"/>
    <w:rsid w:val="00773CFA"/>
    <w:rsid w:val="00773E06"/>
    <w:rsid w:val="00773F14"/>
    <w:rsid w:val="00774652"/>
    <w:rsid w:val="00774743"/>
    <w:rsid w:val="007749D1"/>
    <w:rsid w:val="00774B2D"/>
    <w:rsid w:val="00774B96"/>
    <w:rsid w:val="00774CD3"/>
    <w:rsid w:val="00774E18"/>
    <w:rsid w:val="007754E3"/>
    <w:rsid w:val="00775900"/>
    <w:rsid w:val="00775D6D"/>
    <w:rsid w:val="00775F61"/>
    <w:rsid w:val="007760A3"/>
    <w:rsid w:val="00776168"/>
    <w:rsid w:val="007766DF"/>
    <w:rsid w:val="0077673D"/>
    <w:rsid w:val="00776968"/>
    <w:rsid w:val="00776ADB"/>
    <w:rsid w:val="00776B45"/>
    <w:rsid w:val="00776DF7"/>
    <w:rsid w:val="00777200"/>
    <w:rsid w:val="00777397"/>
    <w:rsid w:val="007773A0"/>
    <w:rsid w:val="00777505"/>
    <w:rsid w:val="00777619"/>
    <w:rsid w:val="007778B6"/>
    <w:rsid w:val="00777917"/>
    <w:rsid w:val="00777C0B"/>
    <w:rsid w:val="00777E80"/>
    <w:rsid w:val="00780284"/>
    <w:rsid w:val="007802D5"/>
    <w:rsid w:val="0078036F"/>
    <w:rsid w:val="00780732"/>
    <w:rsid w:val="00780A9A"/>
    <w:rsid w:val="00780AE6"/>
    <w:rsid w:val="00781853"/>
    <w:rsid w:val="00781962"/>
    <w:rsid w:val="00781A3E"/>
    <w:rsid w:val="00781D5A"/>
    <w:rsid w:val="00781E11"/>
    <w:rsid w:val="00781E89"/>
    <w:rsid w:val="007827A9"/>
    <w:rsid w:val="00782958"/>
    <w:rsid w:val="00782A6A"/>
    <w:rsid w:val="00782B54"/>
    <w:rsid w:val="00782CC2"/>
    <w:rsid w:val="00782EDD"/>
    <w:rsid w:val="0078325B"/>
    <w:rsid w:val="007833C5"/>
    <w:rsid w:val="0078375E"/>
    <w:rsid w:val="0078378E"/>
    <w:rsid w:val="007837B8"/>
    <w:rsid w:val="007837C3"/>
    <w:rsid w:val="007837E3"/>
    <w:rsid w:val="007839FC"/>
    <w:rsid w:val="00783CC4"/>
    <w:rsid w:val="00783D73"/>
    <w:rsid w:val="00784087"/>
    <w:rsid w:val="00784178"/>
    <w:rsid w:val="007841D1"/>
    <w:rsid w:val="0078429E"/>
    <w:rsid w:val="00784667"/>
    <w:rsid w:val="0078481A"/>
    <w:rsid w:val="007848B1"/>
    <w:rsid w:val="007848C6"/>
    <w:rsid w:val="00784C0B"/>
    <w:rsid w:val="00784D56"/>
    <w:rsid w:val="00784E14"/>
    <w:rsid w:val="00785140"/>
    <w:rsid w:val="007851EA"/>
    <w:rsid w:val="00785721"/>
    <w:rsid w:val="0078578A"/>
    <w:rsid w:val="0078594B"/>
    <w:rsid w:val="00785980"/>
    <w:rsid w:val="00785A80"/>
    <w:rsid w:val="00785B88"/>
    <w:rsid w:val="00785DC7"/>
    <w:rsid w:val="00785DCE"/>
    <w:rsid w:val="00785F58"/>
    <w:rsid w:val="00785F6B"/>
    <w:rsid w:val="007860E3"/>
    <w:rsid w:val="00786145"/>
    <w:rsid w:val="007862AC"/>
    <w:rsid w:val="0078652B"/>
    <w:rsid w:val="00786621"/>
    <w:rsid w:val="0078662E"/>
    <w:rsid w:val="00786762"/>
    <w:rsid w:val="00786839"/>
    <w:rsid w:val="0078695A"/>
    <w:rsid w:val="00786970"/>
    <w:rsid w:val="00786A1E"/>
    <w:rsid w:val="00786B48"/>
    <w:rsid w:val="00786E01"/>
    <w:rsid w:val="007870B7"/>
    <w:rsid w:val="007872CA"/>
    <w:rsid w:val="00787472"/>
    <w:rsid w:val="007874E4"/>
    <w:rsid w:val="007875A9"/>
    <w:rsid w:val="007875F9"/>
    <w:rsid w:val="007876FA"/>
    <w:rsid w:val="00787708"/>
    <w:rsid w:val="007877DB"/>
    <w:rsid w:val="00787949"/>
    <w:rsid w:val="00787A78"/>
    <w:rsid w:val="00787DA4"/>
    <w:rsid w:val="00787E97"/>
    <w:rsid w:val="00787EA6"/>
    <w:rsid w:val="00790213"/>
    <w:rsid w:val="007904CA"/>
    <w:rsid w:val="0079067C"/>
    <w:rsid w:val="00790750"/>
    <w:rsid w:val="00790778"/>
    <w:rsid w:val="00790A56"/>
    <w:rsid w:val="00790AD6"/>
    <w:rsid w:val="00790CDA"/>
    <w:rsid w:val="00790F39"/>
    <w:rsid w:val="00790F51"/>
    <w:rsid w:val="007913A0"/>
    <w:rsid w:val="007916EB"/>
    <w:rsid w:val="00791858"/>
    <w:rsid w:val="00791976"/>
    <w:rsid w:val="00791B7D"/>
    <w:rsid w:val="00791E6C"/>
    <w:rsid w:val="00791E89"/>
    <w:rsid w:val="007922F8"/>
    <w:rsid w:val="007925E7"/>
    <w:rsid w:val="007926D1"/>
    <w:rsid w:val="00792778"/>
    <w:rsid w:val="007927F0"/>
    <w:rsid w:val="0079298D"/>
    <w:rsid w:val="00792B72"/>
    <w:rsid w:val="00792DD2"/>
    <w:rsid w:val="00792E34"/>
    <w:rsid w:val="00792EE4"/>
    <w:rsid w:val="007935CC"/>
    <w:rsid w:val="0079364C"/>
    <w:rsid w:val="00793938"/>
    <w:rsid w:val="0079394C"/>
    <w:rsid w:val="00793AE9"/>
    <w:rsid w:val="00793C69"/>
    <w:rsid w:val="00793CF4"/>
    <w:rsid w:val="00793D38"/>
    <w:rsid w:val="00793DF2"/>
    <w:rsid w:val="00793E29"/>
    <w:rsid w:val="00794131"/>
    <w:rsid w:val="007941D1"/>
    <w:rsid w:val="00794680"/>
    <w:rsid w:val="00794850"/>
    <w:rsid w:val="0079492E"/>
    <w:rsid w:val="00794C48"/>
    <w:rsid w:val="00794C71"/>
    <w:rsid w:val="007951B6"/>
    <w:rsid w:val="0079527D"/>
    <w:rsid w:val="007955F5"/>
    <w:rsid w:val="007956E0"/>
    <w:rsid w:val="00795765"/>
    <w:rsid w:val="007958ED"/>
    <w:rsid w:val="007959F1"/>
    <w:rsid w:val="00795DED"/>
    <w:rsid w:val="00795F88"/>
    <w:rsid w:val="007960DB"/>
    <w:rsid w:val="0079616B"/>
    <w:rsid w:val="0079664E"/>
    <w:rsid w:val="00796668"/>
    <w:rsid w:val="00796889"/>
    <w:rsid w:val="00796A99"/>
    <w:rsid w:val="00796AE7"/>
    <w:rsid w:val="00796B0D"/>
    <w:rsid w:val="00796E95"/>
    <w:rsid w:val="0079704C"/>
    <w:rsid w:val="00797312"/>
    <w:rsid w:val="00797355"/>
    <w:rsid w:val="00797521"/>
    <w:rsid w:val="007975D4"/>
    <w:rsid w:val="007977DC"/>
    <w:rsid w:val="00797814"/>
    <w:rsid w:val="007978B5"/>
    <w:rsid w:val="007979EF"/>
    <w:rsid w:val="00797C6D"/>
    <w:rsid w:val="00797FBC"/>
    <w:rsid w:val="007A005F"/>
    <w:rsid w:val="007A03BB"/>
    <w:rsid w:val="007A05E8"/>
    <w:rsid w:val="007A0723"/>
    <w:rsid w:val="007A07EE"/>
    <w:rsid w:val="007A0DED"/>
    <w:rsid w:val="007A12A6"/>
    <w:rsid w:val="007A13AC"/>
    <w:rsid w:val="007A15EF"/>
    <w:rsid w:val="007A171F"/>
    <w:rsid w:val="007A17C3"/>
    <w:rsid w:val="007A18C4"/>
    <w:rsid w:val="007A1AEE"/>
    <w:rsid w:val="007A1B9D"/>
    <w:rsid w:val="007A1C03"/>
    <w:rsid w:val="007A1D38"/>
    <w:rsid w:val="007A1DAF"/>
    <w:rsid w:val="007A1DE7"/>
    <w:rsid w:val="007A1F1C"/>
    <w:rsid w:val="007A211D"/>
    <w:rsid w:val="007A22FA"/>
    <w:rsid w:val="007A2652"/>
    <w:rsid w:val="007A2965"/>
    <w:rsid w:val="007A2B20"/>
    <w:rsid w:val="007A31AD"/>
    <w:rsid w:val="007A32E2"/>
    <w:rsid w:val="007A32FE"/>
    <w:rsid w:val="007A331F"/>
    <w:rsid w:val="007A3411"/>
    <w:rsid w:val="007A34D5"/>
    <w:rsid w:val="007A350D"/>
    <w:rsid w:val="007A3798"/>
    <w:rsid w:val="007A37D4"/>
    <w:rsid w:val="007A3971"/>
    <w:rsid w:val="007A3B39"/>
    <w:rsid w:val="007A3E1C"/>
    <w:rsid w:val="007A3EB2"/>
    <w:rsid w:val="007A40E4"/>
    <w:rsid w:val="007A40F5"/>
    <w:rsid w:val="007A429F"/>
    <w:rsid w:val="007A4387"/>
    <w:rsid w:val="007A43AF"/>
    <w:rsid w:val="007A4480"/>
    <w:rsid w:val="007A4711"/>
    <w:rsid w:val="007A4776"/>
    <w:rsid w:val="007A47AA"/>
    <w:rsid w:val="007A480A"/>
    <w:rsid w:val="007A48D5"/>
    <w:rsid w:val="007A4A3E"/>
    <w:rsid w:val="007A4A95"/>
    <w:rsid w:val="007A4DE4"/>
    <w:rsid w:val="007A5069"/>
    <w:rsid w:val="007A5409"/>
    <w:rsid w:val="007A5454"/>
    <w:rsid w:val="007A55D3"/>
    <w:rsid w:val="007A5681"/>
    <w:rsid w:val="007A571C"/>
    <w:rsid w:val="007A5B21"/>
    <w:rsid w:val="007A5CFD"/>
    <w:rsid w:val="007A6236"/>
    <w:rsid w:val="007A6296"/>
    <w:rsid w:val="007A640F"/>
    <w:rsid w:val="007A6661"/>
    <w:rsid w:val="007A6859"/>
    <w:rsid w:val="007A693C"/>
    <w:rsid w:val="007A699C"/>
    <w:rsid w:val="007A6E0F"/>
    <w:rsid w:val="007A6E9E"/>
    <w:rsid w:val="007A6EFC"/>
    <w:rsid w:val="007A6F4D"/>
    <w:rsid w:val="007A6FE0"/>
    <w:rsid w:val="007A72DB"/>
    <w:rsid w:val="007A773C"/>
    <w:rsid w:val="007A7843"/>
    <w:rsid w:val="007A7C4B"/>
    <w:rsid w:val="007A7F81"/>
    <w:rsid w:val="007B005F"/>
    <w:rsid w:val="007B0109"/>
    <w:rsid w:val="007B015A"/>
    <w:rsid w:val="007B0995"/>
    <w:rsid w:val="007B0A64"/>
    <w:rsid w:val="007B0BB2"/>
    <w:rsid w:val="007B1160"/>
    <w:rsid w:val="007B1458"/>
    <w:rsid w:val="007B1B31"/>
    <w:rsid w:val="007B1EDE"/>
    <w:rsid w:val="007B2056"/>
    <w:rsid w:val="007B208C"/>
    <w:rsid w:val="007B20FF"/>
    <w:rsid w:val="007B21B7"/>
    <w:rsid w:val="007B23A3"/>
    <w:rsid w:val="007B2522"/>
    <w:rsid w:val="007B260C"/>
    <w:rsid w:val="007B2762"/>
    <w:rsid w:val="007B2949"/>
    <w:rsid w:val="007B2A60"/>
    <w:rsid w:val="007B2E31"/>
    <w:rsid w:val="007B2FA4"/>
    <w:rsid w:val="007B31F7"/>
    <w:rsid w:val="007B3298"/>
    <w:rsid w:val="007B3530"/>
    <w:rsid w:val="007B35AF"/>
    <w:rsid w:val="007B35C0"/>
    <w:rsid w:val="007B3A82"/>
    <w:rsid w:val="007B3B38"/>
    <w:rsid w:val="007B3CF4"/>
    <w:rsid w:val="007B3EAA"/>
    <w:rsid w:val="007B3F33"/>
    <w:rsid w:val="007B3FFC"/>
    <w:rsid w:val="007B4067"/>
    <w:rsid w:val="007B417C"/>
    <w:rsid w:val="007B4389"/>
    <w:rsid w:val="007B441C"/>
    <w:rsid w:val="007B4700"/>
    <w:rsid w:val="007B4A95"/>
    <w:rsid w:val="007B4BD4"/>
    <w:rsid w:val="007B4D2F"/>
    <w:rsid w:val="007B4D9C"/>
    <w:rsid w:val="007B4E45"/>
    <w:rsid w:val="007B4EDC"/>
    <w:rsid w:val="007B4F31"/>
    <w:rsid w:val="007B4F54"/>
    <w:rsid w:val="007B500E"/>
    <w:rsid w:val="007B50ED"/>
    <w:rsid w:val="007B517E"/>
    <w:rsid w:val="007B5246"/>
    <w:rsid w:val="007B5614"/>
    <w:rsid w:val="007B57BB"/>
    <w:rsid w:val="007B58C8"/>
    <w:rsid w:val="007B5BC9"/>
    <w:rsid w:val="007B5DD3"/>
    <w:rsid w:val="007B609B"/>
    <w:rsid w:val="007B612B"/>
    <w:rsid w:val="007B63BB"/>
    <w:rsid w:val="007B64AA"/>
    <w:rsid w:val="007B64E5"/>
    <w:rsid w:val="007B67D0"/>
    <w:rsid w:val="007B6AA9"/>
    <w:rsid w:val="007B6B40"/>
    <w:rsid w:val="007B6BE5"/>
    <w:rsid w:val="007B6F6E"/>
    <w:rsid w:val="007B7089"/>
    <w:rsid w:val="007B7522"/>
    <w:rsid w:val="007B75E6"/>
    <w:rsid w:val="007B77F6"/>
    <w:rsid w:val="007B7824"/>
    <w:rsid w:val="007B7916"/>
    <w:rsid w:val="007B7B04"/>
    <w:rsid w:val="007B7B2C"/>
    <w:rsid w:val="007B7CE7"/>
    <w:rsid w:val="007B7DE3"/>
    <w:rsid w:val="007C01A8"/>
    <w:rsid w:val="007C04E2"/>
    <w:rsid w:val="007C04FE"/>
    <w:rsid w:val="007C0699"/>
    <w:rsid w:val="007C0768"/>
    <w:rsid w:val="007C076E"/>
    <w:rsid w:val="007C0F49"/>
    <w:rsid w:val="007C1001"/>
    <w:rsid w:val="007C1119"/>
    <w:rsid w:val="007C11D0"/>
    <w:rsid w:val="007C12D3"/>
    <w:rsid w:val="007C155D"/>
    <w:rsid w:val="007C16FA"/>
    <w:rsid w:val="007C1794"/>
    <w:rsid w:val="007C1A95"/>
    <w:rsid w:val="007C1D9A"/>
    <w:rsid w:val="007C24BD"/>
    <w:rsid w:val="007C25AD"/>
    <w:rsid w:val="007C2657"/>
    <w:rsid w:val="007C276A"/>
    <w:rsid w:val="007C283C"/>
    <w:rsid w:val="007C2D03"/>
    <w:rsid w:val="007C2EEE"/>
    <w:rsid w:val="007C2F9F"/>
    <w:rsid w:val="007C303E"/>
    <w:rsid w:val="007C314A"/>
    <w:rsid w:val="007C319A"/>
    <w:rsid w:val="007C33E4"/>
    <w:rsid w:val="007C3654"/>
    <w:rsid w:val="007C37C9"/>
    <w:rsid w:val="007C384E"/>
    <w:rsid w:val="007C389B"/>
    <w:rsid w:val="007C3D23"/>
    <w:rsid w:val="007C432F"/>
    <w:rsid w:val="007C45AD"/>
    <w:rsid w:val="007C483D"/>
    <w:rsid w:val="007C4A6B"/>
    <w:rsid w:val="007C4D75"/>
    <w:rsid w:val="007C50DB"/>
    <w:rsid w:val="007C5122"/>
    <w:rsid w:val="007C51BD"/>
    <w:rsid w:val="007C52A6"/>
    <w:rsid w:val="007C5498"/>
    <w:rsid w:val="007C5655"/>
    <w:rsid w:val="007C5851"/>
    <w:rsid w:val="007C58C3"/>
    <w:rsid w:val="007C5A96"/>
    <w:rsid w:val="007C5BFF"/>
    <w:rsid w:val="007C5DA0"/>
    <w:rsid w:val="007C5E0F"/>
    <w:rsid w:val="007C5E7F"/>
    <w:rsid w:val="007C610E"/>
    <w:rsid w:val="007C626E"/>
    <w:rsid w:val="007C68C9"/>
    <w:rsid w:val="007C69B8"/>
    <w:rsid w:val="007C6A07"/>
    <w:rsid w:val="007C6A4C"/>
    <w:rsid w:val="007C6B23"/>
    <w:rsid w:val="007C6D59"/>
    <w:rsid w:val="007C6F36"/>
    <w:rsid w:val="007C7563"/>
    <w:rsid w:val="007C75F6"/>
    <w:rsid w:val="007C7703"/>
    <w:rsid w:val="007C7833"/>
    <w:rsid w:val="007C7862"/>
    <w:rsid w:val="007C7BFD"/>
    <w:rsid w:val="007C7C7B"/>
    <w:rsid w:val="007C7CA3"/>
    <w:rsid w:val="007D004A"/>
    <w:rsid w:val="007D0055"/>
    <w:rsid w:val="007D010A"/>
    <w:rsid w:val="007D0322"/>
    <w:rsid w:val="007D0408"/>
    <w:rsid w:val="007D06F4"/>
    <w:rsid w:val="007D07F0"/>
    <w:rsid w:val="007D088D"/>
    <w:rsid w:val="007D0898"/>
    <w:rsid w:val="007D093C"/>
    <w:rsid w:val="007D0A5A"/>
    <w:rsid w:val="007D0B55"/>
    <w:rsid w:val="007D0C99"/>
    <w:rsid w:val="007D0CA2"/>
    <w:rsid w:val="007D0CE5"/>
    <w:rsid w:val="007D1052"/>
    <w:rsid w:val="007D11CA"/>
    <w:rsid w:val="007D12E5"/>
    <w:rsid w:val="007D12E6"/>
    <w:rsid w:val="007D1327"/>
    <w:rsid w:val="007D1333"/>
    <w:rsid w:val="007D160E"/>
    <w:rsid w:val="007D1726"/>
    <w:rsid w:val="007D17F9"/>
    <w:rsid w:val="007D185B"/>
    <w:rsid w:val="007D1B05"/>
    <w:rsid w:val="007D1B1C"/>
    <w:rsid w:val="007D1B39"/>
    <w:rsid w:val="007D1CBF"/>
    <w:rsid w:val="007D1D08"/>
    <w:rsid w:val="007D1D65"/>
    <w:rsid w:val="007D1EEC"/>
    <w:rsid w:val="007D1F6C"/>
    <w:rsid w:val="007D2038"/>
    <w:rsid w:val="007D2256"/>
    <w:rsid w:val="007D22FA"/>
    <w:rsid w:val="007D2315"/>
    <w:rsid w:val="007D2748"/>
    <w:rsid w:val="007D28BC"/>
    <w:rsid w:val="007D2F65"/>
    <w:rsid w:val="007D2F91"/>
    <w:rsid w:val="007D2FF0"/>
    <w:rsid w:val="007D3589"/>
    <w:rsid w:val="007D3597"/>
    <w:rsid w:val="007D360B"/>
    <w:rsid w:val="007D3759"/>
    <w:rsid w:val="007D37CB"/>
    <w:rsid w:val="007D380F"/>
    <w:rsid w:val="007D3A80"/>
    <w:rsid w:val="007D3E10"/>
    <w:rsid w:val="007D425A"/>
    <w:rsid w:val="007D44F9"/>
    <w:rsid w:val="007D45F9"/>
    <w:rsid w:val="007D4719"/>
    <w:rsid w:val="007D4780"/>
    <w:rsid w:val="007D48CA"/>
    <w:rsid w:val="007D493C"/>
    <w:rsid w:val="007D4BEC"/>
    <w:rsid w:val="007D4D70"/>
    <w:rsid w:val="007D514C"/>
    <w:rsid w:val="007D5204"/>
    <w:rsid w:val="007D550D"/>
    <w:rsid w:val="007D56DE"/>
    <w:rsid w:val="007D56EB"/>
    <w:rsid w:val="007D57C5"/>
    <w:rsid w:val="007D58E0"/>
    <w:rsid w:val="007D59F1"/>
    <w:rsid w:val="007D5CD1"/>
    <w:rsid w:val="007D601C"/>
    <w:rsid w:val="007D6061"/>
    <w:rsid w:val="007D6089"/>
    <w:rsid w:val="007D629A"/>
    <w:rsid w:val="007D62DE"/>
    <w:rsid w:val="007D634A"/>
    <w:rsid w:val="007D6656"/>
    <w:rsid w:val="007D67D1"/>
    <w:rsid w:val="007D68EC"/>
    <w:rsid w:val="007D69D7"/>
    <w:rsid w:val="007D6A07"/>
    <w:rsid w:val="007D6E67"/>
    <w:rsid w:val="007D732C"/>
    <w:rsid w:val="007D77E5"/>
    <w:rsid w:val="007D7B0E"/>
    <w:rsid w:val="007D7BF7"/>
    <w:rsid w:val="007D7F3C"/>
    <w:rsid w:val="007D7FBE"/>
    <w:rsid w:val="007E008D"/>
    <w:rsid w:val="007E0464"/>
    <w:rsid w:val="007E069C"/>
    <w:rsid w:val="007E0817"/>
    <w:rsid w:val="007E0C8A"/>
    <w:rsid w:val="007E0CB2"/>
    <w:rsid w:val="007E0F57"/>
    <w:rsid w:val="007E1189"/>
    <w:rsid w:val="007E126D"/>
    <w:rsid w:val="007E14A9"/>
    <w:rsid w:val="007E15A1"/>
    <w:rsid w:val="007E1753"/>
    <w:rsid w:val="007E198A"/>
    <w:rsid w:val="007E1A7D"/>
    <w:rsid w:val="007E1C14"/>
    <w:rsid w:val="007E1D1D"/>
    <w:rsid w:val="007E21BD"/>
    <w:rsid w:val="007E21DF"/>
    <w:rsid w:val="007E21E4"/>
    <w:rsid w:val="007E2325"/>
    <w:rsid w:val="007E2366"/>
    <w:rsid w:val="007E243E"/>
    <w:rsid w:val="007E264F"/>
    <w:rsid w:val="007E2ADA"/>
    <w:rsid w:val="007E2B82"/>
    <w:rsid w:val="007E2C4D"/>
    <w:rsid w:val="007E2C6A"/>
    <w:rsid w:val="007E2CE6"/>
    <w:rsid w:val="007E2D51"/>
    <w:rsid w:val="007E2D89"/>
    <w:rsid w:val="007E30CA"/>
    <w:rsid w:val="007E3119"/>
    <w:rsid w:val="007E31DD"/>
    <w:rsid w:val="007E3275"/>
    <w:rsid w:val="007E3309"/>
    <w:rsid w:val="007E34C7"/>
    <w:rsid w:val="007E366D"/>
    <w:rsid w:val="007E3830"/>
    <w:rsid w:val="007E38C1"/>
    <w:rsid w:val="007E3B58"/>
    <w:rsid w:val="007E3D81"/>
    <w:rsid w:val="007E4001"/>
    <w:rsid w:val="007E435B"/>
    <w:rsid w:val="007E4367"/>
    <w:rsid w:val="007E4561"/>
    <w:rsid w:val="007E45FA"/>
    <w:rsid w:val="007E480D"/>
    <w:rsid w:val="007E4822"/>
    <w:rsid w:val="007E49A1"/>
    <w:rsid w:val="007E4ACC"/>
    <w:rsid w:val="007E503E"/>
    <w:rsid w:val="007E5196"/>
    <w:rsid w:val="007E5225"/>
    <w:rsid w:val="007E531E"/>
    <w:rsid w:val="007E56B4"/>
    <w:rsid w:val="007E5982"/>
    <w:rsid w:val="007E5A27"/>
    <w:rsid w:val="007E5B55"/>
    <w:rsid w:val="007E5D7F"/>
    <w:rsid w:val="007E60E3"/>
    <w:rsid w:val="007E64D0"/>
    <w:rsid w:val="007E65EB"/>
    <w:rsid w:val="007E66B8"/>
    <w:rsid w:val="007E6858"/>
    <w:rsid w:val="007E68D9"/>
    <w:rsid w:val="007E6ADD"/>
    <w:rsid w:val="007E6C51"/>
    <w:rsid w:val="007E6CBD"/>
    <w:rsid w:val="007E6CD5"/>
    <w:rsid w:val="007E6E9A"/>
    <w:rsid w:val="007E6FF7"/>
    <w:rsid w:val="007E7066"/>
    <w:rsid w:val="007E70E1"/>
    <w:rsid w:val="007E756F"/>
    <w:rsid w:val="007E7671"/>
    <w:rsid w:val="007E7AB7"/>
    <w:rsid w:val="007E7BC6"/>
    <w:rsid w:val="007E7E23"/>
    <w:rsid w:val="007E7E35"/>
    <w:rsid w:val="007E7F45"/>
    <w:rsid w:val="007F0057"/>
    <w:rsid w:val="007F0115"/>
    <w:rsid w:val="007F02C0"/>
    <w:rsid w:val="007F02D4"/>
    <w:rsid w:val="007F042B"/>
    <w:rsid w:val="007F060B"/>
    <w:rsid w:val="007F065C"/>
    <w:rsid w:val="007F095F"/>
    <w:rsid w:val="007F0B34"/>
    <w:rsid w:val="007F0B96"/>
    <w:rsid w:val="007F0EA5"/>
    <w:rsid w:val="007F0EB0"/>
    <w:rsid w:val="007F0F75"/>
    <w:rsid w:val="007F11C4"/>
    <w:rsid w:val="007F1354"/>
    <w:rsid w:val="007F1430"/>
    <w:rsid w:val="007F14CD"/>
    <w:rsid w:val="007F1673"/>
    <w:rsid w:val="007F18EA"/>
    <w:rsid w:val="007F1946"/>
    <w:rsid w:val="007F1CC0"/>
    <w:rsid w:val="007F1FB0"/>
    <w:rsid w:val="007F2A1E"/>
    <w:rsid w:val="007F2B9D"/>
    <w:rsid w:val="007F2C7C"/>
    <w:rsid w:val="007F2DBE"/>
    <w:rsid w:val="007F3168"/>
    <w:rsid w:val="007F32CB"/>
    <w:rsid w:val="007F34D0"/>
    <w:rsid w:val="007F378A"/>
    <w:rsid w:val="007F38B4"/>
    <w:rsid w:val="007F38F6"/>
    <w:rsid w:val="007F409C"/>
    <w:rsid w:val="007F4277"/>
    <w:rsid w:val="007F4408"/>
    <w:rsid w:val="007F468D"/>
    <w:rsid w:val="007F48C4"/>
    <w:rsid w:val="007F4CFD"/>
    <w:rsid w:val="007F4F73"/>
    <w:rsid w:val="007F4F88"/>
    <w:rsid w:val="007F5034"/>
    <w:rsid w:val="007F5049"/>
    <w:rsid w:val="007F50A5"/>
    <w:rsid w:val="007F514C"/>
    <w:rsid w:val="007F53D3"/>
    <w:rsid w:val="007F5506"/>
    <w:rsid w:val="007F5600"/>
    <w:rsid w:val="007F568A"/>
    <w:rsid w:val="007F589D"/>
    <w:rsid w:val="007F59E1"/>
    <w:rsid w:val="007F59F9"/>
    <w:rsid w:val="007F5D01"/>
    <w:rsid w:val="007F5E53"/>
    <w:rsid w:val="007F5E5A"/>
    <w:rsid w:val="007F5ECA"/>
    <w:rsid w:val="007F6160"/>
    <w:rsid w:val="007F61D1"/>
    <w:rsid w:val="007F6411"/>
    <w:rsid w:val="007F6AD4"/>
    <w:rsid w:val="007F6CAC"/>
    <w:rsid w:val="007F6CD6"/>
    <w:rsid w:val="007F7224"/>
    <w:rsid w:val="007F72FB"/>
    <w:rsid w:val="007F742C"/>
    <w:rsid w:val="007F76C6"/>
    <w:rsid w:val="007F791E"/>
    <w:rsid w:val="007F7946"/>
    <w:rsid w:val="007F7A5D"/>
    <w:rsid w:val="007F7CDF"/>
    <w:rsid w:val="007F7F7A"/>
    <w:rsid w:val="008000B5"/>
    <w:rsid w:val="00800116"/>
    <w:rsid w:val="00800157"/>
    <w:rsid w:val="008001B2"/>
    <w:rsid w:val="00800233"/>
    <w:rsid w:val="0080048E"/>
    <w:rsid w:val="008004E6"/>
    <w:rsid w:val="00800777"/>
    <w:rsid w:val="0080078D"/>
    <w:rsid w:val="008007AA"/>
    <w:rsid w:val="00800B20"/>
    <w:rsid w:val="00800C09"/>
    <w:rsid w:val="008012AE"/>
    <w:rsid w:val="00801606"/>
    <w:rsid w:val="008016CA"/>
    <w:rsid w:val="00801794"/>
    <w:rsid w:val="0080185E"/>
    <w:rsid w:val="00801A46"/>
    <w:rsid w:val="00801F37"/>
    <w:rsid w:val="00802225"/>
    <w:rsid w:val="00802332"/>
    <w:rsid w:val="0080234C"/>
    <w:rsid w:val="00802503"/>
    <w:rsid w:val="008026A7"/>
    <w:rsid w:val="00802834"/>
    <w:rsid w:val="0080293D"/>
    <w:rsid w:val="00802FCB"/>
    <w:rsid w:val="00802FCE"/>
    <w:rsid w:val="00803038"/>
    <w:rsid w:val="00803212"/>
    <w:rsid w:val="00803239"/>
    <w:rsid w:val="00803292"/>
    <w:rsid w:val="008033C2"/>
    <w:rsid w:val="008033DE"/>
    <w:rsid w:val="008037CA"/>
    <w:rsid w:val="00803893"/>
    <w:rsid w:val="00803A8B"/>
    <w:rsid w:val="00803A9A"/>
    <w:rsid w:val="00803CE9"/>
    <w:rsid w:val="00803F2B"/>
    <w:rsid w:val="00803F2D"/>
    <w:rsid w:val="00803F58"/>
    <w:rsid w:val="00803F98"/>
    <w:rsid w:val="00804071"/>
    <w:rsid w:val="0080411C"/>
    <w:rsid w:val="00804172"/>
    <w:rsid w:val="00804248"/>
    <w:rsid w:val="008045E0"/>
    <w:rsid w:val="0080480B"/>
    <w:rsid w:val="00804DA3"/>
    <w:rsid w:val="00804DC5"/>
    <w:rsid w:val="00804E28"/>
    <w:rsid w:val="00804F77"/>
    <w:rsid w:val="00805418"/>
    <w:rsid w:val="008055AA"/>
    <w:rsid w:val="00805884"/>
    <w:rsid w:val="00805897"/>
    <w:rsid w:val="008058D6"/>
    <w:rsid w:val="00805A03"/>
    <w:rsid w:val="00805B1C"/>
    <w:rsid w:val="00805BD1"/>
    <w:rsid w:val="00805D61"/>
    <w:rsid w:val="00805E78"/>
    <w:rsid w:val="0080627C"/>
    <w:rsid w:val="00806860"/>
    <w:rsid w:val="00806ADC"/>
    <w:rsid w:val="00806B64"/>
    <w:rsid w:val="00806B6F"/>
    <w:rsid w:val="00806B8B"/>
    <w:rsid w:val="00806DF8"/>
    <w:rsid w:val="00806EF3"/>
    <w:rsid w:val="00806F19"/>
    <w:rsid w:val="00806FF1"/>
    <w:rsid w:val="008071D8"/>
    <w:rsid w:val="00807228"/>
    <w:rsid w:val="00807598"/>
    <w:rsid w:val="00807A0D"/>
    <w:rsid w:val="00807A0F"/>
    <w:rsid w:val="00807AFE"/>
    <w:rsid w:val="00807BD3"/>
    <w:rsid w:val="00807DB8"/>
    <w:rsid w:val="00807E62"/>
    <w:rsid w:val="00807EED"/>
    <w:rsid w:val="00807EF8"/>
    <w:rsid w:val="00810206"/>
    <w:rsid w:val="008102C5"/>
    <w:rsid w:val="0081040B"/>
    <w:rsid w:val="0081053F"/>
    <w:rsid w:val="008106D4"/>
    <w:rsid w:val="0081085E"/>
    <w:rsid w:val="00810A0C"/>
    <w:rsid w:val="00810E23"/>
    <w:rsid w:val="00810F27"/>
    <w:rsid w:val="00810FB0"/>
    <w:rsid w:val="0081146D"/>
    <w:rsid w:val="0081171A"/>
    <w:rsid w:val="008118AB"/>
    <w:rsid w:val="008118AE"/>
    <w:rsid w:val="00811954"/>
    <w:rsid w:val="00811988"/>
    <w:rsid w:val="00811C16"/>
    <w:rsid w:val="00811EEE"/>
    <w:rsid w:val="008123A0"/>
    <w:rsid w:val="00812711"/>
    <w:rsid w:val="00812795"/>
    <w:rsid w:val="00812F36"/>
    <w:rsid w:val="008130CE"/>
    <w:rsid w:val="00813128"/>
    <w:rsid w:val="008131E9"/>
    <w:rsid w:val="008134A8"/>
    <w:rsid w:val="0081358F"/>
    <w:rsid w:val="008135F2"/>
    <w:rsid w:val="0081382E"/>
    <w:rsid w:val="00813C3F"/>
    <w:rsid w:val="00813C7F"/>
    <w:rsid w:val="00813CCF"/>
    <w:rsid w:val="00813DBE"/>
    <w:rsid w:val="00814061"/>
    <w:rsid w:val="008143C7"/>
    <w:rsid w:val="008144D7"/>
    <w:rsid w:val="00814635"/>
    <w:rsid w:val="0081466E"/>
    <w:rsid w:val="008147A2"/>
    <w:rsid w:val="00814BB2"/>
    <w:rsid w:val="00814E83"/>
    <w:rsid w:val="00814E93"/>
    <w:rsid w:val="008151C9"/>
    <w:rsid w:val="008152EE"/>
    <w:rsid w:val="00815307"/>
    <w:rsid w:val="008153E8"/>
    <w:rsid w:val="00815541"/>
    <w:rsid w:val="00815983"/>
    <w:rsid w:val="0081599C"/>
    <w:rsid w:val="00815C51"/>
    <w:rsid w:val="00815D34"/>
    <w:rsid w:val="00815E1F"/>
    <w:rsid w:val="00815F19"/>
    <w:rsid w:val="00816075"/>
    <w:rsid w:val="00816190"/>
    <w:rsid w:val="008162FF"/>
    <w:rsid w:val="0081639C"/>
    <w:rsid w:val="00816515"/>
    <w:rsid w:val="00816634"/>
    <w:rsid w:val="00816883"/>
    <w:rsid w:val="00816904"/>
    <w:rsid w:val="00816A94"/>
    <w:rsid w:val="00816C62"/>
    <w:rsid w:val="00816D09"/>
    <w:rsid w:val="00816DA6"/>
    <w:rsid w:val="00816E8E"/>
    <w:rsid w:val="008170FD"/>
    <w:rsid w:val="0081721D"/>
    <w:rsid w:val="008175D8"/>
    <w:rsid w:val="00817A35"/>
    <w:rsid w:val="00817B90"/>
    <w:rsid w:val="00817DB5"/>
    <w:rsid w:val="00817F99"/>
    <w:rsid w:val="00817FC3"/>
    <w:rsid w:val="008201A7"/>
    <w:rsid w:val="00820628"/>
    <w:rsid w:val="00820629"/>
    <w:rsid w:val="008209BF"/>
    <w:rsid w:val="00820C02"/>
    <w:rsid w:val="00820C7F"/>
    <w:rsid w:val="00820EA1"/>
    <w:rsid w:val="00820F67"/>
    <w:rsid w:val="00820F92"/>
    <w:rsid w:val="00821252"/>
    <w:rsid w:val="008212E1"/>
    <w:rsid w:val="008213E7"/>
    <w:rsid w:val="00821451"/>
    <w:rsid w:val="008216D6"/>
    <w:rsid w:val="008216FC"/>
    <w:rsid w:val="008219E9"/>
    <w:rsid w:val="00821AFF"/>
    <w:rsid w:val="00821D65"/>
    <w:rsid w:val="00822058"/>
    <w:rsid w:val="008223DC"/>
    <w:rsid w:val="008223E6"/>
    <w:rsid w:val="00822409"/>
    <w:rsid w:val="008224FB"/>
    <w:rsid w:val="008226B5"/>
    <w:rsid w:val="0082288A"/>
    <w:rsid w:val="00822972"/>
    <w:rsid w:val="00822B4C"/>
    <w:rsid w:val="00822E72"/>
    <w:rsid w:val="00822F10"/>
    <w:rsid w:val="00822F71"/>
    <w:rsid w:val="0082301A"/>
    <w:rsid w:val="00823506"/>
    <w:rsid w:val="00823539"/>
    <w:rsid w:val="008235D2"/>
    <w:rsid w:val="008236A2"/>
    <w:rsid w:val="008237B2"/>
    <w:rsid w:val="0082390A"/>
    <w:rsid w:val="00823918"/>
    <w:rsid w:val="00823B78"/>
    <w:rsid w:val="00823EAC"/>
    <w:rsid w:val="00823F78"/>
    <w:rsid w:val="008240A1"/>
    <w:rsid w:val="00824513"/>
    <w:rsid w:val="008246C5"/>
    <w:rsid w:val="00824A38"/>
    <w:rsid w:val="00824AE1"/>
    <w:rsid w:val="00824C06"/>
    <w:rsid w:val="00824C4C"/>
    <w:rsid w:val="00824C85"/>
    <w:rsid w:val="00824DD0"/>
    <w:rsid w:val="00824E04"/>
    <w:rsid w:val="00824FB8"/>
    <w:rsid w:val="00824FFE"/>
    <w:rsid w:val="0082502A"/>
    <w:rsid w:val="008250B2"/>
    <w:rsid w:val="008251BB"/>
    <w:rsid w:val="00825363"/>
    <w:rsid w:val="008253C5"/>
    <w:rsid w:val="00825419"/>
    <w:rsid w:val="00825548"/>
    <w:rsid w:val="0082554C"/>
    <w:rsid w:val="0082556C"/>
    <w:rsid w:val="00825658"/>
    <w:rsid w:val="008256AA"/>
    <w:rsid w:val="00825817"/>
    <w:rsid w:val="00825B09"/>
    <w:rsid w:val="00825BBF"/>
    <w:rsid w:val="00825E73"/>
    <w:rsid w:val="00825EC3"/>
    <w:rsid w:val="0082672E"/>
    <w:rsid w:val="008267B8"/>
    <w:rsid w:val="0082682A"/>
    <w:rsid w:val="00826891"/>
    <w:rsid w:val="00826A30"/>
    <w:rsid w:val="00826C4B"/>
    <w:rsid w:val="00826C7D"/>
    <w:rsid w:val="00826D58"/>
    <w:rsid w:val="00826D60"/>
    <w:rsid w:val="00826DE7"/>
    <w:rsid w:val="00826E76"/>
    <w:rsid w:val="0082709A"/>
    <w:rsid w:val="00827141"/>
    <w:rsid w:val="0082752E"/>
    <w:rsid w:val="0082799F"/>
    <w:rsid w:val="00827F02"/>
    <w:rsid w:val="008300F5"/>
    <w:rsid w:val="00830380"/>
    <w:rsid w:val="008304EB"/>
    <w:rsid w:val="00830B76"/>
    <w:rsid w:val="00830BB3"/>
    <w:rsid w:val="00830CA6"/>
    <w:rsid w:val="00830CAC"/>
    <w:rsid w:val="00830FD7"/>
    <w:rsid w:val="00831179"/>
    <w:rsid w:val="00831248"/>
    <w:rsid w:val="00831277"/>
    <w:rsid w:val="00831BF2"/>
    <w:rsid w:val="00831CEF"/>
    <w:rsid w:val="00831EAF"/>
    <w:rsid w:val="00831F95"/>
    <w:rsid w:val="00831FFF"/>
    <w:rsid w:val="008322D2"/>
    <w:rsid w:val="008325FC"/>
    <w:rsid w:val="008326B0"/>
    <w:rsid w:val="00832876"/>
    <w:rsid w:val="008329FB"/>
    <w:rsid w:val="00832AE1"/>
    <w:rsid w:val="00832B0C"/>
    <w:rsid w:val="00832B95"/>
    <w:rsid w:val="00832C34"/>
    <w:rsid w:val="00832DA1"/>
    <w:rsid w:val="008330A4"/>
    <w:rsid w:val="00833737"/>
    <w:rsid w:val="00833B82"/>
    <w:rsid w:val="00833D85"/>
    <w:rsid w:val="00833DBC"/>
    <w:rsid w:val="00834117"/>
    <w:rsid w:val="00834125"/>
    <w:rsid w:val="0083438E"/>
    <w:rsid w:val="0083458D"/>
    <w:rsid w:val="00834592"/>
    <w:rsid w:val="008345A4"/>
    <w:rsid w:val="0083490A"/>
    <w:rsid w:val="0083493A"/>
    <w:rsid w:val="008349E3"/>
    <w:rsid w:val="00834AA8"/>
    <w:rsid w:val="00834B92"/>
    <w:rsid w:val="00834BDB"/>
    <w:rsid w:val="00835094"/>
    <w:rsid w:val="0083512D"/>
    <w:rsid w:val="008351EF"/>
    <w:rsid w:val="008354C3"/>
    <w:rsid w:val="008354EA"/>
    <w:rsid w:val="008358BC"/>
    <w:rsid w:val="00835B57"/>
    <w:rsid w:val="0083608B"/>
    <w:rsid w:val="008360F3"/>
    <w:rsid w:val="00836371"/>
    <w:rsid w:val="0083652E"/>
    <w:rsid w:val="00836642"/>
    <w:rsid w:val="008367B1"/>
    <w:rsid w:val="008368EC"/>
    <w:rsid w:val="008369AA"/>
    <w:rsid w:val="00836A3E"/>
    <w:rsid w:val="00836AA8"/>
    <w:rsid w:val="00836AE1"/>
    <w:rsid w:val="00836AE3"/>
    <w:rsid w:val="00836AF1"/>
    <w:rsid w:val="00836C4F"/>
    <w:rsid w:val="00836CA0"/>
    <w:rsid w:val="00836CB1"/>
    <w:rsid w:val="00836ED4"/>
    <w:rsid w:val="008370C2"/>
    <w:rsid w:val="00837115"/>
    <w:rsid w:val="0083718E"/>
    <w:rsid w:val="008371A7"/>
    <w:rsid w:val="00837214"/>
    <w:rsid w:val="0083744D"/>
    <w:rsid w:val="00837540"/>
    <w:rsid w:val="00837B74"/>
    <w:rsid w:val="00837ED9"/>
    <w:rsid w:val="00840339"/>
    <w:rsid w:val="00840362"/>
    <w:rsid w:val="0084092C"/>
    <w:rsid w:val="008409FB"/>
    <w:rsid w:val="00840A37"/>
    <w:rsid w:val="00840CF3"/>
    <w:rsid w:val="008413F6"/>
    <w:rsid w:val="00841665"/>
    <w:rsid w:val="00841695"/>
    <w:rsid w:val="008417BE"/>
    <w:rsid w:val="0084183D"/>
    <w:rsid w:val="00841A07"/>
    <w:rsid w:val="00841A86"/>
    <w:rsid w:val="00841A9E"/>
    <w:rsid w:val="00841B65"/>
    <w:rsid w:val="00841F75"/>
    <w:rsid w:val="008420AD"/>
    <w:rsid w:val="008420E9"/>
    <w:rsid w:val="0084251E"/>
    <w:rsid w:val="00842553"/>
    <w:rsid w:val="008425CC"/>
    <w:rsid w:val="00842753"/>
    <w:rsid w:val="008428D3"/>
    <w:rsid w:val="00842939"/>
    <w:rsid w:val="008429C0"/>
    <w:rsid w:val="00842A2A"/>
    <w:rsid w:val="00842ACA"/>
    <w:rsid w:val="00842B78"/>
    <w:rsid w:val="00842C58"/>
    <w:rsid w:val="00842CBD"/>
    <w:rsid w:val="00842DD1"/>
    <w:rsid w:val="00842DE1"/>
    <w:rsid w:val="00842DF8"/>
    <w:rsid w:val="00843313"/>
    <w:rsid w:val="0084332F"/>
    <w:rsid w:val="00843628"/>
    <w:rsid w:val="008437AF"/>
    <w:rsid w:val="00843A59"/>
    <w:rsid w:val="0084402A"/>
    <w:rsid w:val="008442D4"/>
    <w:rsid w:val="0084432B"/>
    <w:rsid w:val="0084437C"/>
    <w:rsid w:val="00844459"/>
    <w:rsid w:val="00844A10"/>
    <w:rsid w:val="00844BF1"/>
    <w:rsid w:val="00844EFE"/>
    <w:rsid w:val="00844FFE"/>
    <w:rsid w:val="008450C6"/>
    <w:rsid w:val="008452A8"/>
    <w:rsid w:val="00845321"/>
    <w:rsid w:val="0084535C"/>
    <w:rsid w:val="0084536C"/>
    <w:rsid w:val="00845467"/>
    <w:rsid w:val="00845474"/>
    <w:rsid w:val="008454BF"/>
    <w:rsid w:val="008455AA"/>
    <w:rsid w:val="008458E3"/>
    <w:rsid w:val="0084592E"/>
    <w:rsid w:val="0084598F"/>
    <w:rsid w:val="00845A60"/>
    <w:rsid w:val="00845E37"/>
    <w:rsid w:val="00845F87"/>
    <w:rsid w:val="00845FE3"/>
    <w:rsid w:val="008461D1"/>
    <w:rsid w:val="008463E0"/>
    <w:rsid w:val="008464E3"/>
    <w:rsid w:val="00846557"/>
    <w:rsid w:val="008465F9"/>
    <w:rsid w:val="00846661"/>
    <w:rsid w:val="0084678C"/>
    <w:rsid w:val="008467BB"/>
    <w:rsid w:val="0084684B"/>
    <w:rsid w:val="00846950"/>
    <w:rsid w:val="00846DE0"/>
    <w:rsid w:val="00846E15"/>
    <w:rsid w:val="008471A8"/>
    <w:rsid w:val="008474A6"/>
    <w:rsid w:val="008476A1"/>
    <w:rsid w:val="00847B13"/>
    <w:rsid w:val="00847BAD"/>
    <w:rsid w:val="00847C03"/>
    <w:rsid w:val="00847F9C"/>
    <w:rsid w:val="00847FA3"/>
    <w:rsid w:val="00850117"/>
    <w:rsid w:val="0085014B"/>
    <w:rsid w:val="00850384"/>
    <w:rsid w:val="008505F2"/>
    <w:rsid w:val="00850657"/>
    <w:rsid w:val="008507C1"/>
    <w:rsid w:val="00850ADA"/>
    <w:rsid w:val="00850FD3"/>
    <w:rsid w:val="00851043"/>
    <w:rsid w:val="00851521"/>
    <w:rsid w:val="00851898"/>
    <w:rsid w:val="008519BE"/>
    <w:rsid w:val="00851ECA"/>
    <w:rsid w:val="00852136"/>
    <w:rsid w:val="00852153"/>
    <w:rsid w:val="00852278"/>
    <w:rsid w:val="00852526"/>
    <w:rsid w:val="00852586"/>
    <w:rsid w:val="008528E4"/>
    <w:rsid w:val="00852C93"/>
    <w:rsid w:val="00852CA6"/>
    <w:rsid w:val="00852DFC"/>
    <w:rsid w:val="00852E00"/>
    <w:rsid w:val="00852E56"/>
    <w:rsid w:val="00852FBB"/>
    <w:rsid w:val="00853039"/>
    <w:rsid w:val="008530C2"/>
    <w:rsid w:val="00853212"/>
    <w:rsid w:val="00853356"/>
    <w:rsid w:val="008537E4"/>
    <w:rsid w:val="00853B2F"/>
    <w:rsid w:val="00853EC3"/>
    <w:rsid w:val="00854391"/>
    <w:rsid w:val="008543FB"/>
    <w:rsid w:val="00854A51"/>
    <w:rsid w:val="00854A7D"/>
    <w:rsid w:val="00854C49"/>
    <w:rsid w:val="00854C5D"/>
    <w:rsid w:val="00854D0B"/>
    <w:rsid w:val="00854E9E"/>
    <w:rsid w:val="00855094"/>
    <w:rsid w:val="008550AC"/>
    <w:rsid w:val="008554AC"/>
    <w:rsid w:val="00855549"/>
    <w:rsid w:val="0085559E"/>
    <w:rsid w:val="008557E6"/>
    <w:rsid w:val="00855CBB"/>
    <w:rsid w:val="00855D0C"/>
    <w:rsid w:val="00855D17"/>
    <w:rsid w:val="00855EB7"/>
    <w:rsid w:val="00855F84"/>
    <w:rsid w:val="0085607A"/>
    <w:rsid w:val="008560DC"/>
    <w:rsid w:val="00856249"/>
    <w:rsid w:val="008563ED"/>
    <w:rsid w:val="0085653A"/>
    <w:rsid w:val="008568A0"/>
    <w:rsid w:val="008569EA"/>
    <w:rsid w:val="00856B31"/>
    <w:rsid w:val="00856C26"/>
    <w:rsid w:val="00856C77"/>
    <w:rsid w:val="00856FC1"/>
    <w:rsid w:val="0085714C"/>
    <w:rsid w:val="00857534"/>
    <w:rsid w:val="008577E9"/>
    <w:rsid w:val="00857F31"/>
    <w:rsid w:val="00857F7E"/>
    <w:rsid w:val="00857F96"/>
    <w:rsid w:val="0086012C"/>
    <w:rsid w:val="00860192"/>
    <w:rsid w:val="00860271"/>
    <w:rsid w:val="00860407"/>
    <w:rsid w:val="008605E4"/>
    <w:rsid w:val="0086076A"/>
    <w:rsid w:val="008609C4"/>
    <w:rsid w:val="008609DE"/>
    <w:rsid w:val="00860CBF"/>
    <w:rsid w:val="0086119C"/>
    <w:rsid w:val="008612E0"/>
    <w:rsid w:val="008613B0"/>
    <w:rsid w:val="008613D7"/>
    <w:rsid w:val="00861485"/>
    <w:rsid w:val="008614DC"/>
    <w:rsid w:val="00861696"/>
    <w:rsid w:val="008616FE"/>
    <w:rsid w:val="00861F40"/>
    <w:rsid w:val="00862031"/>
    <w:rsid w:val="008621B9"/>
    <w:rsid w:val="008622DA"/>
    <w:rsid w:val="008625E7"/>
    <w:rsid w:val="00862638"/>
    <w:rsid w:val="0086268D"/>
    <w:rsid w:val="008626D5"/>
    <w:rsid w:val="00862C7E"/>
    <w:rsid w:val="00862CD8"/>
    <w:rsid w:val="00862EEB"/>
    <w:rsid w:val="00862FDA"/>
    <w:rsid w:val="00863141"/>
    <w:rsid w:val="00863315"/>
    <w:rsid w:val="008634F8"/>
    <w:rsid w:val="00863792"/>
    <w:rsid w:val="00863DAC"/>
    <w:rsid w:val="00863F28"/>
    <w:rsid w:val="0086424D"/>
    <w:rsid w:val="00864322"/>
    <w:rsid w:val="0086443B"/>
    <w:rsid w:val="00864675"/>
    <w:rsid w:val="0086474F"/>
    <w:rsid w:val="008648B1"/>
    <w:rsid w:val="00864916"/>
    <w:rsid w:val="00864B41"/>
    <w:rsid w:val="00864D2F"/>
    <w:rsid w:val="00864D50"/>
    <w:rsid w:val="00864DED"/>
    <w:rsid w:val="00864E33"/>
    <w:rsid w:val="00864E46"/>
    <w:rsid w:val="00864F72"/>
    <w:rsid w:val="00864FEA"/>
    <w:rsid w:val="008651D1"/>
    <w:rsid w:val="0086531D"/>
    <w:rsid w:val="008655BA"/>
    <w:rsid w:val="00866070"/>
    <w:rsid w:val="008667DC"/>
    <w:rsid w:val="00866B33"/>
    <w:rsid w:val="00866B42"/>
    <w:rsid w:val="00866C64"/>
    <w:rsid w:val="00866E3F"/>
    <w:rsid w:val="0086721B"/>
    <w:rsid w:val="008672C8"/>
    <w:rsid w:val="008674BF"/>
    <w:rsid w:val="008675E0"/>
    <w:rsid w:val="008677C1"/>
    <w:rsid w:val="008677E7"/>
    <w:rsid w:val="008702B3"/>
    <w:rsid w:val="00870366"/>
    <w:rsid w:val="00870388"/>
    <w:rsid w:val="008703E3"/>
    <w:rsid w:val="00870483"/>
    <w:rsid w:val="00870750"/>
    <w:rsid w:val="008708CE"/>
    <w:rsid w:val="00870977"/>
    <w:rsid w:val="00870AD3"/>
    <w:rsid w:val="00870C06"/>
    <w:rsid w:val="00870E7F"/>
    <w:rsid w:val="00871343"/>
    <w:rsid w:val="00871385"/>
    <w:rsid w:val="00871789"/>
    <w:rsid w:val="00871995"/>
    <w:rsid w:val="00871B3A"/>
    <w:rsid w:val="00871BC8"/>
    <w:rsid w:val="00871C05"/>
    <w:rsid w:val="00871C3C"/>
    <w:rsid w:val="00871C49"/>
    <w:rsid w:val="00871E9B"/>
    <w:rsid w:val="008723AB"/>
    <w:rsid w:val="00872461"/>
    <w:rsid w:val="00872485"/>
    <w:rsid w:val="00872508"/>
    <w:rsid w:val="00872587"/>
    <w:rsid w:val="0087265D"/>
    <w:rsid w:val="00872A4B"/>
    <w:rsid w:val="00872D94"/>
    <w:rsid w:val="0087323A"/>
    <w:rsid w:val="008732AB"/>
    <w:rsid w:val="008732CA"/>
    <w:rsid w:val="008733AA"/>
    <w:rsid w:val="008733FB"/>
    <w:rsid w:val="00873699"/>
    <w:rsid w:val="008736DF"/>
    <w:rsid w:val="0087379B"/>
    <w:rsid w:val="008738C5"/>
    <w:rsid w:val="0087399D"/>
    <w:rsid w:val="00873B6B"/>
    <w:rsid w:val="00873CDB"/>
    <w:rsid w:val="00873E2E"/>
    <w:rsid w:val="0087434E"/>
    <w:rsid w:val="00874368"/>
    <w:rsid w:val="0087440B"/>
    <w:rsid w:val="0087451C"/>
    <w:rsid w:val="00874586"/>
    <w:rsid w:val="008748DC"/>
    <w:rsid w:val="0087490F"/>
    <w:rsid w:val="008749A0"/>
    <w:rsid w:val="00874C07"/>
    <w:rsid w:val="00874C9F"/>
    <w:rsid w:val="00874CC3"/>
    <w:rsid w:val="00874D71"/>
    <w:rsid w:val="00874EC8"/>
    <w:rsid w:val="00874EEA"/>
    <w:rsid w:val="008750E7"/>
    <w:rsid w:val="00875110"/>
    <w:rsid w:val="008751DC"/>
    <w:rsid w:val="008754B0"/>
    <w:rsid w:val="008755FF"/>
    <w:rsid w:val="0087588D"/>
    <w:rsid w:val="008758AB"/>
    <w:rsid w:val="00875995"/>
    <w:rsid w:val="00875C8B"/>
    <w:rsid w:val="00875D54"/>
    <w:rsid w:val="0087663A"/>
    <w:rsid w:val="00876B38"/>
    <w:rsid w:val="00876E90"/>
    <w:rsid w:val="00876F72"/>
    <w:rsid w:val="0087706C"/>
    <w:rsid w:val="00877183"/>
    <w:rsid w:val="00877252"/>
    <w:rsid w:val="00877264"/>
    <w:rsid w:val="00877342"/>
    <w:rsid w:val="0087738B"/>
    <w:rsid w:val="008773C2"/>
    <w:rsid w:val="008774BF"/>
    <w:rsid w:val="00877626"/>
    <w:rsid w:val="00877631"/>
    <w:rsid w:val="00877F94"/>
    <w:rsid w:val="0088009D"/>
    <w:rsid w:val="008802B2"/>
    <w:rsid w:val="0088032C"/>
    <w:rsid w:val="0088059E"/>
    <w:rsid w:val="00880B71"/>
    <w:rsid w:val="00880BAC"/>
    <w:rsid w:val="00880C88"/>
    <w:rsid w:val="00880DE0"/>
    <w:rsid w:val="00880E5B"/>
    <w:rsid w:val="008811C6"/>
    <w:rsid w:val="00881610"/>
    <w:rsid w:val="008816D3"/>
    <w:rsid w:val="00881C87"/>
    <w:rsid w:val="00881CF1"/>
    <w:rsid w:val="00881D29"/>
    <w:rsid w:val="00881DAA"/>
    <w:rsid w:val="00881E6D"/>
    <w:rsid w:val="00881E98"/>
    <w:rsid w:val="00881EA3"/>
    <w:rsid w:val="00881FA7"/>
    <w:rsid w:val="00881FB8"/>
    <w:rsid w:val="008821C4"/>
    <w:rsid w:val="008823F7"/>
    <w:rsid w:val="00882B28"/>
    <w:rsid w:val="00882B67"/>
    <w:rsid w:val="00882C8B"/>
    <w:rsid w:val="00882E45"/>
    <w:rsid w:val="00882F81"/>
    <w:rsid w:val="008830B5"/>
    <w:rsid w:val="0088314A"/>
    <w:rsid w:val="008838B4"/>
    <w:rsid w:val="00883959"/>
    <w:rsid w:val="00883CB2"/>
    <w:rsid w:val="00883CEA"/>
    <w:rsid w:val="00883EC8"/>
    <w:rsid w:val="0088412E"/>
    <w:rsid w:val="008841F7"/>
    <w:rsid w:val="00884226"/>
    <w:rsid w:val="008845BD"/>
    <w:rsid w:val="00884698"/>
    <w:rsid w:val="008846B2"/>
    <w:rsid w:val="0088494A"/>
    <w:rsid w:val="00884C9D"/>
    <w:rsid w:val="00884CD6"/>
    <w:rsid w:val="00884E00"/>
    <w:rsid w:val="00885015"/>
    <w:rsid w:val="008850C7"/>
    <w:rsid w:val="00885169"/>
    <w:rsid w:val="00885214"/>
    <w:rsid w:val="00885431"/>
    <w:rsid w:val="008855BE"/>
    <w:rsid w:val="0088572C"/>
    <w:rsid w:val="008858E4"/>
    <w:rsid w:val="008859B5"/>
    <w:rsid w:val="00885F02"/>
    <w:rsid w:val="00885F53"/>
    <w:rsid w:val="0088630F"/>
    <w:rsid w:val="00886347"/>
    <w:rsid w:val="008863D2"/>
    <w:rsid w:val="0088673A"/>
    <w:rsid w:val="00886C24"/>
    <w:rsid w:val="00886D1B"/>
    <w:rsid w:val="00886FF2"/>
    <w:rsid w:val="00887049"/>
    <w:rsid w:val="008871CD"/>
    <w:rsid w:val="008872A6"/>
    <w:rsid w:val="00887472"/>
    <w:rsid w:val="0088775F"/>
    <w:rsid w:val="008877B9"/>
    <w:rsid w:val="008877D8"/>
    <w:rsid w:val="008878DD"/>
    <w:rsid w:val="00887A78"/>
    <w:rsid w:val="00887DCA"/>
    <w:rsid w:val="00887E9F"/>
    <w:rsid w:val="00887EC7"/>
    <w:rsid w:val="00887EE9"/>
    <w:rsid w:val="008901F0"/>
    <w:rsid w:val="0089045E"/>
    <w:rsid w:val="00890578"/>
    <w:rsid w:val="008906BD"/>
    <w:rsid w:val="008907B6"/>
    <w:rsid w:val="0089095F"/>
    <w:rsid w:val="00890A8E"/>
    <w:rsid w:val="00890D87"/>
    <w:rsid w:val="00890EA3"/>
    <w:rsid w:val="0089111F"/>
    <w:rsid w:val="008912A5"/>
    <w:rsid w:val="008912E4"/>
    <w:rsid w:val="0089140E"/>
    <w:rsid w:val="0089143C"/>
    <w:rsid w:val="00891659"/>
    <w:rsid w:val="0089168B"/>
    <w:rsid w:val="00891742"/>
    <w:rsid w:val="0089174F"/>
    <w:rsid w:val="008918DE"/>
    <w:rsid w:val="00891AE5"/>
    <w:rsid w:val="00891B3C"/>
    <w:rsid w:val="00891D5E"/>
    <w:rsid w:val="00891E42"/>
    <w:rsid w:val="00891F21"/>
    <w:rsid w:val="00892052"/>
    <w:rsid w:val="008921F9"/>
    <w:rsid w:val="00892469"/>
    <w:rsid w:val="00892958"/>
    <w:rsid w:val="008929A0"/>
    <w:rsid w:val="008929D3"/>
    <w:rsid w:val="00892A5D"/>
    <w:rsid w:val="00892B4F"/>
    <w:rsid w:val="00892C90"/>
    <w:rsid w:val="00892CF2"/>
    <w:rsid w:val="00893246"/>
    <w:rsid w:val="008934C6"/>
    <w:rsid w:val="0089360B"/>
    <w:rsid w:val="00893729"/>
    <w:rsid w:val="0089385E"/>
    <w:rsid w:val="00893DC3"/>
    <w:rsid w:val="00894217"/>
    <w:rsid w:val="0089426C"/>
    <w:rsid w:val="00894523"/>
    <w:rsid w:val="00894599"/>
    <w:rsid w:val="00894604"/>
    <w:rsid w:val="00894DED"/>
    <w:rsid w:val="008955B9"/>
    <w:rsid w:val="00895807"/>
    <w:rsid w:val="00895946"/>
    <w:rsid w:val="008959AA"/>
    <w:rsid w:val="00895B1B"/>
    <w:rsid w:val="00895B48"/>
    <w:rsid w:val="0089646B"/>
    <w:rsid w:val="008964A0"/>
    <w:rsid w:val="00896506"/>
    <w:rsid w:val="0089650A"/>
    <w:rsid w:val="00896995"/>
    <w:rsid w:val="008969E0"/>
    <w:rsid w:val="00896CA7"/>
    <w:rsid w:val="00896DF9"/>
    <w:rsid w:val="00896EA6"/>
    <w:rsid w:val="008971E3"/>
    <w:rsid w:val="0089733B"/>
    <w:rsid w:val="008974FC"/>
    <w:rsid w:val="008976C0"/>
    <w:rsid w:val="008976D0"/>
    <w:rsid w:val="0089781B"/>
    <w:rsid w:val="008978A6"/>
    <w:rsid w:val="0089792E"/>
    <w:rsid w:val="00897A49"/>
    <w:rsid w:val="00897DBF"/>
    <w:rsid w:val="00897EEF"/>
    <w:rsid w:val="008A0084"/>
    <w:rsid w:val="008A00C0"/>
    <w:rsid w:val="008A00D7"/>
    <w:rsid w:val="008A02C0"/>
    <w:rsid w:val="008A0309"/>
    <w:rsid w:val="008A045D"/>
    <w:rsid w:val="008A0605"/>
    <w:rsid w:val="008A074B"/>
    <w:rsid w:val="008A0CA4"/>
    <w:rsid w:val="008A0DD4"/>
    <w:rsid w:val="008A0E45"/>
    <w:rsid w:val="008A0F99"/>
    <w:rsid w:val="008A0FDF"/>
    <w:rsid w:val="008A10A3"/>
    <w:rsid w:val="008A11D4"/>
    <w:rsid w:val="008A13A3"/>
    <w:rsid w:val="008A13F0"/>
    <w:rsid w:val="008A1437"/>
    <w:rsid w:val="008A179D"/>
    <w:rsid w:val="008A1967"/>
    <w:rsid w:val="008A19B4"/>
    <w:rsid w:val="008A19E4"/>
    <w:rsid w:val="008A1ABF"/>
    <w:rsid w:val="008A1AC7"/>
    <w:rsid w:val="008A1BBD"/>
    <w:rsid w:val="008A1E4D"/>
    <w:rsid w:val="008A1FDB"/>
    <w:rsid w:val="008A244B"/>
    <w:rsid w:val="008A25F0"/>
    <w:rsid w:val="008A26BE"/>
    <w:rsid w:val="008A26ED"/>
    <w:rsid w:val="008A28FF"/>
    <w:rsid w:val="008A2A44"/>
    <w:rsid w:val="008A2AB1"/>
    <w:rsid w:val="008A2B8D"/>
    <w:rsid w:val="008A2BBD"/>
    <w:rsid w:val="008A2C08"/>
    <w:rsid w:val="008A2C9B"/>
    <w:rsid w:val="008A2D23"/>
    <w:rsid w:val="008A2F38"/>
    <w:rsid w:val="008A2FA3"/>
    <w:rsid w:val="008A3022"/>
    <w:rsid w:val="008A3706"/>
    <w:rsid w:val="008A3861"/>
    <w:rsid w:val="008A3990"/>
    <w:rsid w:val="008A3AFD"/>
    <w:rsid w:val="008A3D7F"/>
    <w:rsid w:val="008A3EF6"/>
    <w:rsid w:val="008A4018"/>
    <w:rsid w:val="008A4478"/>
    <w:rsid w:val="008A46C0"/>
    <w:rsid w:val="008A497F"/>
    <w:rsid w:val="008A4CEE"/>
    <w:rsid w:val="008A4DF3"/>
    <w:rsid w:val="008A4E72"/>
    <w:rsid w:val="008A51E8"/>
    <w:rsid w:val="008A576A"/>
    <w:rsid w:val="008A57EE"/>
    <w:rsid w:val="008A5B61"/>
    <w:rsid w:val="008A5E13"/>
    <w:rsid w:val="008A6221"/>
    <w:rsid w:val="008A6290"/>
    <w:rsid w:val="008A62C1"/>
    <w:rsid w:val="008A64D0"/>
    <w:rsid w:val="008A6602"/>
    <w:rsid w:val="008A6648"/>
    <w:rsid w:val="008A691B"/>
    <w:rsid w:val="008A6949"/>
    <w:rsid w:val="008A6A4A"/>
    <w:rsid w:val="008A6A99"/>
    <w:rsid w:val="008A6C7A"/>
    <w:rsid w:val="008A6D27"/>
    <w:rsid w:val="008A7122"/>
    <w:rsid w:val="008A713E"/>
    <w:rsid w:val="008A71E3"/>
    <w:rsid w:val="008A74EA"/>
    <w:rsid w:val="008A75F4"/>
    <w:rsid w:val="008A769A"/>
    <w:rsid w:val="008A76B7"/>
    <w:rsid w:val="008A7914"/>
    <w:rsid w:val="008A7BBD"/>
    <w:rsid w:val="008A7BBF"/>
    <w:rsid w:val="008A7E51"/>
    <w:rsid w:val="008B0452"/>
    <w:rsid w:val="008B0589"/>
    <w:rsid w:val="008B07FE"/>
    <w:rsid w:val="008B09D7"/>
    <w:rsid w:val="008B0B18"/>
    <w:rsid w:val="008B0B59"/>
    <w:rsid w:val="008B0C1D"/>
    <w:rsid w:val="008B0CF6"/>
    <w:rsid w:val="008B0E45"/>
    <w:rsid w:val="008B168B"/>
    <w:rsid w:val="008B1989"/>
    <w:rsid w:val="008B1C3C"/>
    <w:rsid w:val="008B1DFE"/>
    <w:rsid w:val="008B1FD3"/>
    <w:rsid w:val="008B2132"/>
    <w:rsid w:val="008B2183"/>
    <w:rsid w:val="008B2187"/>
    <w:rsid w:val="008B21BB"/>
    <w:rsid w:val="008B22A3"/>
    <w:rsid w:val="008B238F"/>
    <w:rsid w:val="008B2592"/>
    <w:rsid w:val="008B26DD"/>
    <w:rsid w:val="008B27E8"/>
    <w:rsid w:val="008B2ABA"/>
    <w:rsid w:val="008B2B26"/>
    <w:rsid w:val="008B2C0E"/>
    <w:rsid w:val="008B2CA5"/>
    <w:rsid w:val="008B33D9"/>
    <w:rsid w:val="008B348F"/>
    <w:rsid w:val="008B36B3"/>
    <w:rsid w:val="008B3C18"/>
    <w:rsid w:val="008B3D4C"/>
    <w:rsid w:val="008B3F30"/>
    <w:rsid w:val="008B407C"/>
    <w:rsid w:val="008B40BA"/>
    <w:rsid w:val="008B422A"/>
    <w:rsid w:val="008B42F3"/>
    <w:rsid w:val="008B4469"/>
    <w:rsid w:val="008B44B5"/>
    <w:rsid w:val="008B4768"/>
    <w:rsid w:val="008B491B"/>
    <w:rsid w:val="008B497F"/>
    <w:rsid w:val="008B4BA8"/>
    <w:rsid w:val="008B4DF5"/>
    <w:rsid w:val="008B50AC"/>
    <w:rsid w:val="008B51C4"/>
    <w:rsid w:val="008B5224"/>
    <w:rsid w:val="008B52A5"/>
    <w:rsid w:val="008B5303"/>
    <w:rsid w:val="008B550C"/>
    <w:rsid w:val="008B55C4"/>
    <w:rsid w:val="008B57DE"/>
    <w:rsid w:val="008B583E"/>
    <w:rsid w:val="008B5A63"/>
    <w:rsid w:val="008B5C54"/>
    <w:rsid w:val="008B5C72"/>
    <w:rsid w:val="008B5EDC"/>
    <w:rsid w:val="008B651A"/>
    <w:rsid w:val="008B66CB"/>
    <w:rsid w:val="008B6B38"/>
    <w:rsid w:val="008B6DBC"/>
    <w:rsid w:val="008B6DD6"/>
    <w:rsid w:val="008B6DDD"/>
    <w:rsid w:val="008B6FA7"/>
    <w:rsid w:val="008B7576"/>
    <w:rsid w:val="008B75C9"/>
    <w:rsid w:val="008B7659"/>
    <w:rsid w:val="008B78EF"/>
    <w:rsid w:val="008B7CD4"/>
    <w:rsid w:val="008B7D5A"/>
    <w:rsid w:val="008B7D98"/>
    <w:rsid w:val="008B7F0E"/>
    <w:rsid w:val="008B7F60"/>
    <w:rsid w:val="008C0074"/>
    <w:rsid w:val="008C00AF"/>
    <w:rsid w:val="008C01FE"/>
    <w:rsid w:val="008C024E"/>
    <w:rsid w:val="008C051C"/>
    <w:rsid w:val="008C0567"/>
    <w:rsid w:val="008C092D"/>
    <w:rsid w:val="008C0C66"/>
    <w:rsid w:val="008C0C68"/>
    <w:rsid w:val="008C0DB3"/>
    <w:rsid w:val="008C12E3"/>
    <w:rsid w:val="008C14C0"/>
    <w:rsid w:val="008C15AD"/>
    <w:rsid w:val="008C17E9"/>
    <w:rsid w:val="008C1B8A"/>
    <w:rsid w:val="008C1BA8"/>
    <w:rsid w:val="008C1CFA"/>
    <w:rsid w:val="008C1DC3"/>
    <w:rsid w:val="008C1E48"/>
    <w:rsid w:val="008C2383"/>
    <w:rsid w:val="008C25BC"/>
    <w:rsid w:val="008C279C"/>
    <w:rsid w:val="008C2A80"/>
    <w:rsid w:val="008C2D15"/>
    <w:rsid w:val="008C2DF2"/>
    <w:rsid w:val="008C2E18"/>
    <w:rsid w:val="008C2E42"/>
    <w:rsid w:val="008C2EE1"/>
    <w:rsid w:val="008C2F13"/>
    <w:rsid w:val="008C3305"/>
    <w:rsid w:val="008C34DD"/>
    <w:rsid w:val="008C38D3"/>
    <w:rsid w:val="008C38FB"/>
    <w:rsid w:val="008C3978"/>
    <w:rsid w:val="008C3A4F"/>
    <w:rsid w:val="008C3D00"/>
    <w:rsid w:val="008C3F3E"/>
    <w:rsid w:val="008C3F65"/>
    <w:rsid w:val="008C3F9D"/>
    <w:rsid w:val="008C3FF7"/>
    <w:rsid w:val="008C40ED"/>
    <w:rsid w:val="008C41CF"/>
    <w:rsid w:val="008C42CF"/>
    <w:rsid w:val="008C43D8"/>
    <w:rsid w:val="008C471B"/>
    <w:rsid w:val="008C480B"/>
    <w:rsid w:val="008C4B29"/>
    <w:rsid w:val="008C4B38"/>
    <w:rsid w:val="008C4C25"/>
    <w:rsid w:val="008C4C46"/>
    <w:rsid w:val="008C4D81"/>
    <w:rsid w:val="008C4F06"/>
    <w:rsid w:val="008C5434"/>
    <w:rsid w:val="008C5710"/>
    <w:rsid w:val="008C58D0"/>
    <w:rsid w:val="008C5911"/>
    <w:rsid w:val="008C5A4E"/>
    <w:rsid w:val="008C5F5F"/>
    <w:rsid w:val="008C5FA6"/>
    <w:rsid w:val="008C5FE3"/>
    <w:rsid w:val="008C626F"/>
    <w:rsid w:val="008C63E0"/>
    <w:rsid w:val="008C668C"/>
    <w:rsid w:val="008C6854"/>
    <w:rsid w:val="008C6FAD"/>
    <w:rsid w:val="008C70F6"/>
    <w:rsid w:val="008C7295"/>
    <w:rsid w:val="008C72BE"/>
    <w:rsid w:val="008C74CC"/>
    <w:rsid w:val="008C76A8"/>
    <w:rsid w:val="008C773D"/>
    <w:rsid w:val="008C7796"/>
    <w:rsid w:val="008C7833"/>
    <w:rsid w:val="008C7857"/>
    <w:rsid w:val="008C7995"/>
    <w:rsid w:val="008C7BD0"/>
    <w:rsid w:val="008D013D"/>
    <w:rsid w:val="008D01E0"/>
    <w:rsid w:val="008D02EB"/>
    <w:rsid w:val="008D03EC"/>
    <w:rsid w:val="008D0651"/>
    <w:rsid w:val="008D0675"/>
    <w:rsid w:val="008D0B09"/>
    <w:rsid w:val="008D0BCC"/>
    <w:rsid w:val="008D1603"/>
    <w:rsid w:val="008D188D"/>
    <w:rsid w:val="008D19DB"/>
    <w:rsid w:val="008D1B07"/>
    <w:rsid w:val="008D1F69"/>
    <w:rsid w:val="008D23E1"/>
    <w:rsid w:val="008D24FB"/>
    <w:rsid w:val="008D25C3"/>
    <w:rsid w:val="008D277C"/>
    <w:rsid w:val="008D27A5"/>
    <w:rsid w:val="008D28F1"/>
    <w:rsid w:val="008D2B9B"/>
    <w:rsid w:val="008D2BEA"/>
    <w:rsid w:val="008D2D1A"/>
    <w:rsid w:val="008D2DE0"/>
    <w:rsid w:val="008D2F41"/>
    <w:rsid w:val="008D2FA5"/>
    <w:rsid w:val="008D3241"/>
    <w:rsid w:val="008D357F"/>
    <w:rsid w:val="008D37B5"/>
    <w:rsid w:val="008D3A34"/>
    <w:rsid w:val="008D3D28"/>
    <w:rsid w:val="008D3DDA"/>
    <w:rsid w:val="008D3E3A"/>
    <w:rsid w:val="008D3E47"/>
    <w:rsid w:val="008D3EDE"/>
    <w:rsid w:val="008D3F21"/>
    <w:rsid w:val="008D41EC"/>
    <w:rsid w:val="008D429A"/>
    <w:rsid w:val="008D4357"/>
    <w:rsid w:val="008D4623"/>
    <w:rsid w:val="008D4661"/>
    <w:rsid w:val="008D475D"/>
    <w:rsid w:val="008D488D"/>
    <w:rsid w:val="008D4CC3"/>
    <w:rsid w:val="008D4D24"/>
    <w:rsid w:val="008D4D87"/>
    <w:rsid w:val="008D50BD"/>
    <w:rsid w:val="008D5121"/>
    <w:rsid w:val="008D5132"/>
    <w:rsid w:val="008D5205"/>
    <w:rsid w:val="008D57D2"/>
    <w:rsid w:val="008D59B2"/>
    <w:rsid w:val="008D5D5F"/>
    <w:rsid w:val="008D5E08"/>
    <w:rsid w:val="008D5E36"/>
    <w:rsid w:val="008D5F18"/>
    <w:rsid w:val="008D61BA"/>
    <w:rsid w:val="008D6479"/>
    <w:rsid w:val="008D651E"/>
    <w:rsid w:val="008D6692"/>
    <w:rsid w:val="008D66F6"/>
    <w:rsid w:val="008D67AD"/>
    <w:rsid w:val="008D68FC"/>
    <w:rsid w:val="008D6A58"/>
    <w:rsid w:val="008D6A67"/>
    <w:rsid w:val="008D6BF9"/>
    <w:rsid w:val="008D7038"/>
    <w:rsid w:val="008D707F"/>
    <w:rsid w:val="008D7139"/>
    <w:rsid w:val="008D7156"/>
    <w:rsid w:val="008D71C5"/>
    <w:rsid w:val="008D7358"/>
    <w:rsid w:val="008D7771"/>
    <w:rsid w:val="008D77C5"/>
    <w:rsid w:val="008D7A5D"/>
    <w:rsid w:val="008D7DC9"/>
    <w:rsid w:val="008D7ED0"/>
    <w:rsid w:val="008E0291"/>
    <w:rsid w:val="008E038A"/>
    <w:rsid w:val="008E05CC"/>
    <w:rsid w:val="008E05D6"/>
    <w:rsid w:val="008E05E6"/>
    <w:rsid w:val="008E060F"/>
    <w:rsid w:val="008E0660"/>
    <w:rsid w:val="008E0B27"/>
    <w:rsid w:val="008E0C47"/>
    <w:rsid w:val="008E0C4C"/>
    <w:rsid w:val="008E0C8D"/>
    <w:rsid w:val="008E0E1B"/>
    <w:rsid w:val="008E1393"/>
    <w:rsid w:val="008E1673"/>
    <w:rsid w:val="008E1721"/>
    <w:rsid w:val="008E1A12"/>
    <w:rsid w:val="008E1A4F"/>
    <w:rsid w:val="008E1CC1"/>
    <w:rsid w:val="008E1EC3"/>
    <w:rsid w:val="008E1F52"/>
    <w:rsid w:val="008E235A"/>
    <w:rsid w:val="008E2526"/>
    <w:rsid w:val="008E2C6B"/>
    <w:rsid w:val="008E2E8D"/>
    <w:rsid w:val="008E318D"/>
    <w:rsid w:val="008E32B2"/>
    <w:rsid w:val="008E3422"/>
    <w:rsid w:val="008E3469"/>
    <w:rsid w:val="008E34DE"/>
    <w:rsid w:val="008E367B"/>
    <w:rsid w:val="008E36A9"/>
    <w:rsid w:val="008E382C"/>
    <w:rsid w:val="008E3A21"/>
    <w:rsid w:val="008E41EE"/>
    <w:rsid w:val="008E45EA"/>
    <w:rsid w:val="008E46E9"/>
    <w:rsid w:val="008E4756"/>
    <w:rsid w:val="008E47A7"/>
    <w:rsid w:val="008E48DC"/>
    <w:rsid w:val="008E4A83"/>
    <w:rsid w:val="008E4A93"/>
    <w:rsid w:val="008E4B06"/>
    <w:rsid w:val="008E4D4E"/>
    <w:rsid w:val="008E5071"/>
    <w:rsid w:val="008E51D1"/>
    <w:rsid w:val="008E53F2"/>
    <w:rsid w:val="008E557A"/>
    <w:rsid w:val="008E59D3"/>
    <w:rsid w:val="008E610E"/>
    <w:rsid w:val="008E6182"/>
    <w:rsid w:val="008E61D1"/>
    <w:rsid w:val="008E61FB"/>
    <w:rsid w:val="008E64BC"/>
    <w:rsid w:val="008E6886"/>
    <w:rsid w:val="008E6902"/>
    <w:rsid w:val="008E6E17"/>
    <w:rsid w:val="008E71B8"/>
    <w:rsid w:val="008E749F"/>
    <w:rsid w:val="008E75F7"/>
    <w:rsid w:val="008E772A"/>
    <w:rsid w:val="008E77CC"/>
    <w:rsid w:val="008E78DE"/>
    <w:rsid w:val="008E7A97"/>
    <w:rsid w:val="008E7AFD"/>
    <w:rsid w:val="008E7C2A"/>
    <w:rsid w:val="008E7D77"/>
    <w:rsid w:val="008E7DDA"/>
    <w:rsid w:val="008F04D1"/>
    <w:rsid w:val="008F05C4"/>
    <w:rsid w:val="008F0681"/>
    <w:rsid w:val="008F06D9"/>
    <w:rsid w:val="008F0904"/>
    <w:rsid w:val="008F0964"/>
    <w:rsid w:val="008F09D8"/>
    <w:rsid w:val="008F0CB4"/>
    <w:rsid w:val="008F0D44"/>
    <w:rsid w:val="008F0F98"/>
    <w:rsid w:val="008F0FD5"/>
    <w:rsid w:val="008F12A6"/>
    <w:rsid w:val="008F146C"/>
    <w:rsid w:val="008F14A0"/>
    <w:rsid w:val="008F1517"/>
    <w:rsid w:val="008F1534"/>
    <w:rsid w:val="008F15F1"/>
    <w:rsid w:val="008F16E6"/>
    <w:rsid w:val="008F191C"/>
    <w:rsid w:val="008F19DE"/>
    <w:rsid w:val="008F1B86"/>
    <w:rsid w:val="008F1C14"/>
    <w:rsid w:val="008F1E0D"/>
    <w:rsid w:val="008F1FD9"/>
    <w:rsid w:val="008F1FF0"/>
    <w:rsid w:val="008F2183"/>
    <w:rsid w:val="008F2866"/>
    <w:rsid w:val="008F29B3"/>
    <w:rsid w:val="008F29E4"/>
    <w:rsid w:val="008F2C93"/>
    <w:rsid w:val="008F2D67"/>
    <w:rsid w:val="008F2DAA"/>
    <w:rsid w:val="008F30B3"/>
    <w:rsid w:val="008F31E4"/>
    <w:rsid w:val="008F3334"/>
    <w:rsid w:val="008F3347"/>
    <w:rsid w:val="008F35E2"/>
    <w:rsid w:val="008F3A10"/>
    <w:rsid w:val="008F3A88"/>
    <w:rsid w:val="008F3D80"/>
    <w:rsid w:val="008F3D87"/>
    <w:rsid w:val="008F3DF1"/>
    <w:rsid w:val="008F3F5A"/>
    <w:rsid w:val="008F4256"/>
    <w:rsid w:val="008F42B3"/>
    <w:rsid w:val="008F4419"/>
    <w:rsid w:val="008F45B4"/>
    <w:rsid w:val="008F4771"/>
    <w:rsid w:val="008F491B"/>
    <w:rsid w:val="008F4C59"/>
    <w:rsid w:val="008F4C92"/>
    <w:rsid w:val="008F4E1E"/>
    <w:rsid w:val="008F4EF6"/>
    <w:rsid w:val="008F5085"/>
    <w:rsid w:val="008F5095"/>
    <w:rsid w:val="008F50A2"/>
    <w:rsid w:val="008F55A7"/>
    <w:rsid w:val="008F55FE"/>
    <w:rsid w:val="008F581D"/>
    <w:rsid w:val="008F5A6C"/>
    <w:rsid w:val="008F5C4F"/>
    <w:rsid w:val="008F5F96"/>
    <w:rsid w:val="008F658A"/>
    <w:rsid w:val="008F661D"/>
    <w:rsid w:val="008F665F"/>
    <w:rsid w:val="008F6972"/>
    <w:rsid w:val="008F6B6B"/>
    <w:rsid w:val="008F6BD5"/>
    <w:rsid w:val="008F6E62"/>
    <w:rsid w:val="008F6FFE"/>
    <w:rsid w:val="008F7202"/>
    <w:rsid w:val="008F73E8"/>
    <w:rsid w:val="008F7508"/>
    <w:rsid w:val="008F77C1"/>
    <w:rsid w:val="008F78D9"/>
    <w:rsid w:val="008F79A1"/>
    <w:rsid w:val="008F7A2A"/>
    <w:rsid w:val="008F7ABE"/>
    <w:rsid w:val="008F7B67"/>
    <w:rsid w:val="008F7D2C"/>
    <w:rsid w:val="008F7DCB"/>
    <w:rsid w:val="008F7E68"/>
    <w:rsid w:val="00900240"/>
    <w:rsid w:val="009005D1"/>
    <w:rsid w:val="00900725"/>
    <w:rsid w:val="0090081D"/>
    <w:rsid w:val="00900883"/>
    <w:rsid w:val="009009CF"/>
    <w:rsid w:val="009009F3"/>
    <w:rsid w:val="00900BFA"/>
    <w:rsid w:val="00900C3F"/>
    <w:rsid w:val="00900C58"/>
    <w:rsid w:val="00900EA9"/>
    <w:rsid w:val="00901010"/>
    <w:rsid w:val="00901542"/>
    <w:rsid w:val="009018BC"/>
    <w:rsid w:val="00901959"/>
    <w:rsid w:val="009019F9"/>
    <w:rsid w:val="00901A43"/>
    <w:rsid w:val="00901B6D"/>
    <w:rsid w:val="00901BFA"/>
    <w:rsid w:val="00901C6E"/>
    <w:rsid w:val="00901D87"/>
    <w:rsid w:val="009023FC"/>
    <w:rsid w:val="00902AE0"/>
    <w:rsid w:val="00902D97"/>
    <w:rsid w:val="00902EAC"/>
    <w:rsid w:val="00902FC9"/>
    <w:rsid w:val="009030E2"/>
    <w:rsid w:val="009033FB"/>
    <w:rsid w:val="0090355A"/>
    <w:rsid w:val="009036AB"/>
    <w:rsid w:val="00903716"/>
    <w:rsid w:val="00903854"/>
    <w:rsid w:val="009038C0"/>
    <w:rsid w:val="00903C7D"/>
    <w:rsid w:val="00903D1D"/>
    <w:rsid w:val="00903F9D"/>
    <w:rsid w:val="009040EA"/>
    <w:rsid w:val="009044EC"/>
    <w:rsid w:val="0090467D"/>
    <w:rsid w:val="00904715"/>
    <w:rsid w:val="00904842"/>
    <w:rsid w:val="00904D48"/>
    <w:rsid w:val="00904E06"/>
    <w:rsid w:val="00904E73"/>
    <w:rsid w:val="00904EA0"/>
    <w:rsid w:val="00904ECD"/>
    <w:rsid w:val="00905045"/>
    <w:rsid w:val="00905299"/>
    <w:rsid w:val="00905333"/>
    <w:rsid w:val="009053D7"/>
    <w:rsid w:val="00905593"/>
    <w:rsid w:val="009055BD"/>
    <w:rsid w:val="00905911"/>
    <w:rsid w:val="00905AA5"/>
    <w:rsid w:val="00905B5E"/>
    <w:rsid w:val="00905BE7"/>
    <w:rsid w:val="00905E82"/>
    <w:rsid w:val="009060FA"/>
    <w:rsid w:val="009061B6"/>
    <w:rsid w:val="0090621B"/>
    <w:rsid w:val="0090633A"/>
    <w:rsid w:val="00906453"/>
    <w:rsid w:val="00906626"/>
    <w:rsid w:val="00906663"/>
    <w:rsid w:val="009066AA"/>
    <w:rsid w:val="009066E7"/>
    <w:rsid w:val="00906739"/>
    <w:rsid w:val="00906742"/>
    <w:rsid w:val="0090677F"/>
    <w:rsid w:val="00906A52"/>
    <w:rsid w:val="00906B47"/>
    <w:rsid w:val="00906D2F"/>
    <w:rsid w:val="00906EF2"/>
    <w:rsid w:val="00907121"/>
    <w:rsid w:val="009074D7"/>
    <w:rsid w:val="009075FB"/>
    <w:rsid w:val="0090761E"/>
    <w:rsid w:val="009077C6"/>
    <w:rsid w:val="009079F8"/>
    <w:rsid w:val="00907B36"/>
    <w:rsid w:val="00907EA7"/>
    <w:rsid w:val="00910084"/>
    <w:rsid w:val="009102AE"/>
    <w:rsid w:val="00910582"/>
    <w:rsid w:val="009107C1"/>
    <w:rsid w:val="00910DAE"/>
    <w:rsid w:val="00910E67"/>
    <w:rsid w:val="0091115A"/>
    <w:rsid w:val="0091162E"/>
    <w:rsid w:val="00911A58"/>
    <w:rsid w:val="00911B70"/>
    <w:rsid w:val="00911C9C"/>
    <w:rsid w:val="00911F18"/>
    <w:rsid w:val="009121EE"/>
    <w:rsid w:val="00912380"/>
    <w:rsid w:val="0091280A"/>
    <w:rsid w:val="0091291A"/>
    <w:rsid w:val="009129DB"/>
    <w:rsid w:val="00912BC8"/>
    <w:rsid w:val="00912E9B"/>
    <w:rsid w:val="00912E9F"/>
    <w:rsid w:val="00913281"/>
    <w:rsid w:val="00913452"/>
    <w:rsid w:val="009136D9"/>
    <w:rsid w:val="0091387A"/>
    <w:rsid w:val="00913A09"/>
    <w:rsid w:val="00913AD2"/>
    <w:rsid w:val="00913B13"/>
    <w:rsid w:val="00913DA8"/>
    <w:rsid w:val="00914025"/>
    <w:rsid w:val="00914057"/>
    <w:rsid w:val="00914344"/>
    <w:rsid w:val="00914373"/>
    <w:rsid w:val="00914744"/>
    <w:rsid w:val="0091490A"/>
    <w:rsid w:val="00914FA4"/>
    <w:rsid w:val="0091509B"/>
    <w:rsid w:val="0091511F"/>
    <w:rsid w:val="009151C2"/>
    <w:rsid w:val="009151F7"/>
    <w:rsid w:val="00915467"/>
    <w:rsid w:val="00915700"/>
    <w:rsid w:val="0091573B"/>
    <w:rsid w:val="00915755"/>
    <w:rsid w:val="0091579C"/>
    <w:rsid w:val="009157F6"/>
    <w:rsid w:val="00915870"/>
    <w:rsid w:val="009158AD"/>
    <w:rsid w:val="00915F91"/>
    <w:rsid w:val="00916247"/>
    <w:rsid w:val="0091642A"/>
    <w:rsid w:val="00916503"/>
    <w:rsid w:val="009165CB"/>
    <w:rsid w:val="009166CA"/>
    <w:rsid w:val="009166D6"/>
    <w:rsid w:val="009167AE"/>
    <w:rsid w:val="009167F6"/>
    <w:rsid w:val="00916A02"/>
    <w:rsid w:val="00916A51"/>
    <w:rsid w:val="00916B5D"/>
    <w:rsid w:val="00916C07"/>
    <w:rsid w:val="00916CFC"/>
    <w:rsid w:val="00916D66"/>
    <w:rsid w:val="00916DF6"/>
    <w:rsid w:val="0091706D"/>
    <w:rsid w:val="00917286"/>
    <w:rsid w:val="0091737B"/>
    <w:rsid w:val="00917593"/>
    <w:rsid w:val="0091767E"/>
    <w:rsid w:val="009176CD"/>
    <w:rsid w:val="0091774D"/>
    <w:rsid w:val="009177B5"/>
    <w:rsid w:val="00917890"/>
    <w:rsid w:val="00917CEC"/>
    <w:rsid w:val="00917D1A"/>
    <w:rsid w:val="00917D23"/>
    <w:rsid w:val="00917F1E"/>
    <w:rsid w:val="00917F9D"/>
    <w:rsid w:val="00920089"/>
    <w:rsid w:val="0092009F"/>
    <w:rsid w:val="00920553"/>
    <w:rsid w:val="009205AC"/>
    <w:rsid w:val="00920631"/>
    <w:rsid w:val="009207A9"/>
    <w:rsid w:val="009207AE"/>
    <w:rsid w:val="00920AD8"/>
    <w:rsid w:val="00920B03"/>
    <w:rsid w:val="00920BB7"/>
    <w:rsid w:val="00920C7F"/>
    <w:rsid w:val="00920C80"/>
    <w:rsid w:val="00920D3B"/>
    <w:rsid w:val="00920EBF"/>
    <w:rsid w:val="00920F84"/>
    <w:rsid w:val="009219C0"/>
    <w:rsid w:val="00921A22"/>
    <w:rsid w:val="00921C16"/>
    <w:rsid w:val="00922098"/>
    <w:rsid w:val="009229CE"/>
    <w:rsid w:val="00922A24"/>
    <w:rsid w:val="00922A29"/>
    <w:rsid w:val="00922B4B"/>
    <w:rsid w:val="00922B8A"/>
    <w:rsid w:val="00922C56"/>
    <w:rsid w:val="00922C60"/>
    <w:rsid w:val="00922D7F"/>
    <w:rsid w:val="009233F3"/>
    <w:rsid w:val="00923699"/>
    <w:rsid w:val="009237B5"/>
    <w:rsid w:val="009237E9"/>
    <w:rsid w:val="0092404B"/>
    <w:rsid w:val="009241F3"/>
    <w:rsid w:val="00924308"/>
    <w:rsid w:val="009244E8"/>
    <w:rsid w:val="0092452C"/>
    <w:rsid w:val="00924570"/>
    <w:rsid w:val="0092467E"/>
    <w:rsid w:val="009247F1"/>
    <w:rsid w:val="009248C9"/>
    <w:rsid w:val="00924912"/>
    <w:rsid w:val="00924E3E"/>
    <w:rsid w:val="00924E85"/>
    <w:rsid w:val="00924EAB"/>
    <w:rsid w:val="00925119"/>
    <w:rsid w:val="009251D0"/>
    <w:rsid w:val="009252AA"/>
    <w:rsid w:val="0092556C"/>
    <w:rsid w:val="00925690"/>
    <w:rsid w:val="00925724"/>
    <w:rsid w:val="00925808"/>
    <w:rsid w:val="0092580F"/>
    <w:rsid w:val="00925B0F"/>
    <w:rsid w:val="00925BEA"/>
    <w:rsid w:val="00925FB1"/>
    <w:rsid w:val="00926117"/>
    <w:rsid w:val="0092611E"/>
    <w:rsid w:val="00926158"/>
    <w:rsid w:val="00926187"/>
    <w:rsid w:val="00926638"/>
    <w:rsid w:val="009267A1"/>
    <w:rsid w:val="009267CE"/>
    <w:rsid w:val="00926888"/>
    <w:rsid w:val="00926C43"/>
    <w:rsid w:val="00926E9F"/>
    <w:rsid w:val="009272BC"/>
    <w:rsid w:val="009273CA"/>
    <w:rsid w:val="00927D8E"/>
    <w:rsid w:val="00927EAE"/>
    <w:rsid w:val="00927FB5"/>
    <w:rsid w:val="009300BB"/>
    <w:rsid w:val="009300EE"/>
    <w:rsid w:val="009301EE"/>
    <w:rsid w:val="009305A4"/>
    <w:rsid w:val="00930700"/>
    <w:rsid w:val="0093080D"/>
    <w:rsid w:val="0093081F"/>
    <w:rsid w:val="00930BAC"/>
    <w:rsid w:val="009310AF"/>
    <w:rsid w:val="009313AC"/>
    <w:rsid w:val="00931479"/>
    <w:rsid w:val="0093152B"/>
    <w:rsid w:val="009315C3"/>
    <w:rsid w:val="009319B7"/>
    <w:rsid w:val="009319BB"/>
    <w:rsid w:val="00931C24"/>
    <w:rsid w:val="00931CD7"/>
    <w:rsid w:val="00931E82"/>
    <w:rsid w:val="00931EEA"/>
    <w:rsid w:val="009320FA"/>
    <w:rsid w:val="009321BF"/>
    <w:rsid w:val="0093249C"/>
    <w:rsid w:val="00932665"/>
    <w:rsid w:val="009329E3"/>
    <w:rsid w:val="00932DA5"/>
    <w:rsid w:val="00932DE5"/>
    <w:rsid w:val="00932EB1"/>
    <w:rsid w:val="00932F2D"/>
    <w:rsid w:val="00932FE4"/>
    <w:rsid w:val="00933036"/>
    <w:rsid w:val="009330EE"/>
    <w:rsid w:val="0093316A"/>
    <w:rsid w:val="00933652"/>
    <w:rsid w:val="00933D13"/>
    <w:rsid w:val="00933EB9"/>
    <w:rsid w:val="0093416E"/>
    <w:rsid w:val="00934191"/>
    <w:rsid w:val="009343D5"/>
    <w:rsid w:val="00934792"/>
    <w:rsid w:val="00934826"/>
    <w:rsid w:val="0093494D"/>
    <w:rsid w:val="00934AC1"/>
    <w:rsid w:val="00934BA0"/>
    <w:rsid w:val="00934BA3"/>
    <w:rsid w:val="00934BE9"/>
    <w:rsid w:val="00935092"/>
    <w:rsid w:val="009350B1"/>
    <w:rsid w:val="009351B2"/>
    <w:rsid w:val="00935480"/>
    <w:rsid w:val="0093562E"/>
    <w:rsid w:val="009356D1"/>
    <w:rsid w:val="00935747"/>
    <w:rsid w:val="00935787"/>
    <w:rsid w:val="00935913"/>
    <w:rsid w:val="00935B17"/>
    <w:rsid w:val="00935C06"/>
    <w:rsid w:val="00935D56"/>
    <w:rsid w:val="00935E19"/>
    <w:rsid w:val="00935E46"/>
    <w:rsid w:val="009363E4"/>
    <w:rsid w:val="009365A3"/>
    <w:rsid w:val="00936687"/>
    <w:rsid w:val="00936952"/>
    <w:rsid w:val="0093697D"/>
    <w:rsid w:val="00936A8D"/>
    <w:rsid w:val="00936BEC"/>
    <w:rsid w:val="00936E4C"/>
    <w:rsid w:val="00937140"/>
    <w:rsid w:val="009373EF"/>
    <w:rsid w:val="0093779C"/>
    <w:rsid w:val="00937860"/>
    <w:rsid w:val="00937B90"/>
    <w:rsid w:val="00937E27"/>
    <w:rsid w:val="00940412"/>
    <w:rsid w:val="0094088A"/>
    <w:rsid w:val="00940930"/>
    <w:rsid w:val="009409D9"/>
    <w:rsid w:val="00940B23"/>
    <w:rsid w:val="00940B88"/>
    <w:rsid w:val="00940BDF"/>
    <w:rsid w:val="00940DE9"/>
    <w:rsid w:val="00940E16"/>
    <w:rsid w:val="00941187"/>
    <w:rsid w:val="00941225"/>
    <w:rsid w:val="00941565"/>
    <w:rsid w:val="0094174E"/>
    <w:rsid w:val="009417D2"/>
    <w:rsid w:val="009418A1"/>
    <w:rsid w:val="00941AEA"/>
    <w:rsid w:val="00941B54"/>
    <w:rsid w:val="00941F4E"/>
    <w:rsid w:val="0094207B"/>
    <w:rsid w:val="0094233C"/>
    <w:rsid w:val="009423B1"/>
    <w:rsid w:val="00942489"/>
    <w:rsid w:val="00942792"/>
    <w:rsid w:val="00942B88"/>
    <w:rsid w:val="00942BA9"/>
    <w:rsid w:val="00942C66"/>
    <w:rsid w:val="00942CE2"/>
    <w:rsid w:val="00942D02"/>
    <w:rsid w:val="00942D60"/>
    <w:rsid w:val="00942D72"/>
    <w:rsid w:val="00942EC0"/>
    <w:rsid w:val="00942F1B"/>
    <w:rsid w:val="00942F52"/>
    <w:rsid w:val="00942FE4"/>
    <w:rsid w:val="00943047"/>
    <w:rsid w:val="00943216"/>
    <w:rsid w:val="009436C0"/>
    <w:rsid w:val="009437ED"/>
    <w:rsid w:val="00943AF7"/>
    <w:rsid w:val="00943B55"/>
    <w:rsid w:val="00943F86"/>
    <w:rsid w:val="00944018"/>
    <w:rsid w:val="00944771"/>
    <w:rsid w:val="009447DE"/>
    <w:rsid w:val="00944887"/>
    <w:rsid w:val="0094494D"/>
    <w:rsid w:val="00944A71"/>
    <w:rsid w:val="00944A9B"/>
    <w:rsid w:val="00945089"/>
    <w:rsid w:val="00945163"/>
    <w:rsid w:val="009456F3"/>
    <w:rsid w:val="009459A4"/>
    <w:rsid w:val="00945D0E"/>
    <w:rsid w:val="00945D2C"/>
    <w:rsid w:val="00945E29"/>
    <w:rsid w:val="00945F7B"/>
    <w:rsid w:val="00945FF1"/>
    <w:rsid w:val="009462BE"/>
    <w:rsid w:val="009463A8"/>
    <w:rsid w:val="009464A5"/>
    <w:rsid w:val="0094674A"/>
    <w:rsid w:val="00946A03"/>
    <w:rsid w:val="00946AAD"/>
    <w:rsid w:val="00946D34"/>
    <w:rsid w:val="00946FFF"/>
    <w:rsid w:val="0094709D"/>
    <w:rsid w:val="009471F5"/>
    <w:rsid w:val="00947373"/>
    <w:rsid w:val="009475AB"/>
    <w:rsid w:val="0094762C"/>
    <w:rsid w:val="00947657"/>
    <w:rsid w:val="009476B6"/>
    <w:rsid w:val="00947857"/>
    <w:rsid w:val="009478AB"/>
    <w:rsid w:val="00947A2A"/>
    <w:rsid w:val="00947CEE"/>
    <w:rsid w:val="00947E21"/>
    <w:rsid w:val="009502C9"/>
    <w:rsid w:val="00950398"/>
    <w:rsid w:val="0095070F"/>
    <w:rsid w:val="0095092D"/>
    <w:rsid w:val="00950932"/>
    <w:rsid w:val="00950F67"/>
    <w:rsid w:val="0095102B"/>
    <w:rsid w:val="009510C7"/>
    <w:rsid w:val="009510E9"/>
    <w:rsid w:val="009511F8"/>
    <w:rsid w:val="0095129A"/>
    <w:rsid w:val="009512D9"/>
    <w:rsid w:val="00951545"/>
    <w:rsid w:val="009515D7"/>
    <w:rsid w:val="00951C73"/>
    <w:rsid w:val="00951CA5"/>
    <w:rsid w:val="00951D65"/>
    <w:rsid w:val="00951D9E"/>
    <w:rsid w:val="00951ED4"/>
    <w:rsid w:val="00951FC7"/>
    <w:rsid w:val="009520B2"/>
    <w:rsid w:val="00952105"/>
    <w:rsid w:val="00952521"/>
    <w:rsid w:val="009525ED"/>
    <w:rsid w:val="0095273D"/>
    <w:rsid w:val="00952742"/>
    <w:rsid w:val="00952775"/>
    <w:rsid w:val="00952D50"/>
    <w:rsid w:val="00952D65"/>
    <w:rsid w:val="00952D72"/>
    <w:rsid w:val="00952F3F"/>
    <w:rsid w:val="009530E2"/>
    <w:rsid w:val="009531EE"/>
    <w:rsid w:val="009532B9"/>
    <w:rsid w:val="009535D8"/>
    <w:rsid w:val="009536F8"/>
    <w:rsid w:val="00953706"/>
    <w:rsid w:val="00953748"/>
    <w:rsid w:val="00953A27"/>
    <w:rsid w:val="00953C78"/>
    <w:rsid w:val="00953D62"/>
    <w:rsid w:val="00953DB2"/>
    <w:rsid w:val="00954132"/>
    <w:rsid w:val="00954352"/>
    <w:rsid w:val="009544E1"/>
    <w:rsid w:val="0095451E"/>
    <w:rsid w:val="0095468B"/>
    <w:rsid w:val="009546A9"/>
    <w:rsid w:val="0095488C"/>
    <w:rsid w:val="00954991"/>
    <w:rsid w:val="00954AE8"/>
    <w:rsid w:val="00954C7A"/>
    <w:rsid w:val="00954CDE"/>
    <w:rsid w:val="00954DA8"/>
    <w:rsid w:val="00954F3B"/>
    <w:rsid w:val="00954F4D"/>
    <w:rsid w:val="00955037"/>
    <w:rsid w:val="00955088"/>
    <w:rsid w:val="00955192"/>
    <w:rsid w:val="009555BA"/>
    <w:rsid w:val="0095568B"/>
    <w:rsid w:val="00955A94"/>
    <w:rsid w:val="00955A9D"/>
    <w:rsid w:val="00955C49"/>
    <w:rsid w:val="00956153"/>
    <w:rsid w:val="0095655A"/>
    <w:rsid w:val="009566DC"/>
    <w:rsid w:val="00956C1B"/>
    <w:rsid w:val="00956F90"/>
    <w:rsid w:val="00956FA8"/>
    <w:rsid w:val="00957176"/>
    <w:rsid w:val="00957202"/>
    <w:rsid w:val="009572C0"/>
    <w:rsid w:val="0095733E"/>
    <w:rsid w:val="009577EC"/>
    <w:rsid w:val="00957815"/>
    <w:rsid w:val="009579AD"/>
    <w:rsid w:val="00957AFB"/>
    <w:rsid w:val="00957B02"/>
    <w:rsid w:val="00957CF9"/>
    <w:rsid w:val="00957DC7"/>
    <w:rsid w:val="00960171"/>
    <w:rsid w:val="0096018E"/>
    <w:rsid w:val="00960405"/>
    <w:rsid w:val="00960549"/>
    <w:rsid w:val="00960717"/>
    <w:rsid w:val="00960BFB"/>
    <w:rsid w:val="00960D00"/>
    <w:rsid w:val="00960D0F"/>
    <w:rsid w:val="00960F10"/>
    <w:rsid w:val="009610AC"/>
    <w:rsid w:val="00961199"/>
    <w:rsid w:val="0096123A"/>
    <w:rsid w:val="00961420"/>
    <w:rsid w:val="0096144F"/>
    <w:rsid w:val="0096150C"/>
    <w:rsid w:val="00961890"/>
    <w:rsid w:val="00961A6A"/>
    <w:rsid w:val="00961ADD"/>
    <w:rsid w:val="00961DEB"/>
    <w:rsid w:val="00961DFF"/>
    <w:rsid w:val="00961ECF"/>
    <w:rsid w:val="00961EFE"/>
    <w:rsid w:val="00961FA5"/>
    <w:rsid w:val="0096202A"/>
    <w:rsid w:val="00962079"/>
    <w:rsid w:val="0096236F"/>
    <w:rsid w:val="009623D4"/>
    <w:rsid w:val="00962465"/>
    <w:rsid w:val="00962579"/>
    <w:rsid w:val="0096260F"/>
    <w:rsid w:val="009627A9"/>
    <w:rsid w:val="00962884"/>
    <w:rsid w:val="00962A08"/>
    <w:rsid w:val="00962AB5"/>
    <w:rsid w:val="00962AC7"/>
    <w:rsid w:val="009630BC"/>
    <w:rsid w:val="0096311B"/>
    <w:rsid w:val="009631A9"/>
    <w:rsid w:val="0096321F"/>
    <w:rsid w:val="00963434"/>
    <w:rsid w:val="009634C7"/>
    <w:rsid w:val="009636D9"/>
    <w:rsid w:val="00963A2F"/>
    <w:rsid w:val="00963CC4"/>
    <w:rsid w:val="00963E49"/>
    <w:rsid w:val="00964032"/>
    <w:rsid w:val="00964593"/>
    <w:rsid w:val="00964B40"/>
    <w:rsid w:val="00964E14"/>
    <w:rsid w:val="00964FD3"/>
    <w:rsid w:val="00965016"/>
    <w:rsid w:val="00965396"/>
    <w:rsid w:val="009653EA"/>
    <w:rsid w:val="00965655"/>
    <w:rsid w:val="00965675"/>
    <w:rsid w:val="00965B02"/>
    <w:rsid w:val="00965D52"/>
    <w:rsid w:val="00965DC2"/>
    <w:rsid w:val="00966014"/>
    <w:rsid w:val="009662AF"/>
    <w:rsid w:val="00966323"/>
    <w:rsid w:val="00966353"/>
    <w:rsid w:val="009666AF"/>
    <w:rsid w:val="00966A6D"/>
    <w:rsid w:val="00966BFC"/>
    <w:rsid w:val="009671DA"/>
    <w:rsid w:val="0096758D"/>
    <w:rsid w:val="009675FA"/>
    <w:rsid w:val="00967605"/>
    <w:rsid w:val="009679E8"/>
    <w:rsid w:val="00967C5F"/>
    <w:rsid w:val="00967DBA"/>
    <w:rsid w:val="00967DC2"/>
    <w:rsid w:val="00967FB4"/>
    <w:rsid w:val="00970070"/>
    <w:rsid w:val="00970197"/>
    <w:rsid w:val="00970479"/>
    <w:rsid w:val="009704D2"/>
    <w:rsid w:val="00970B73"/>
    <w:rsid w:val="00970DAC"/>
    <w:rsid w:val="00970E7B"/>
    <w:rsid w:val="00970EAC"/>
    <w:rsid w:val="00971166"/>
    <w:rsid w:val="009711A9"/>
    <w:rsid w:val="009711ED"/>
    <w:rsid w:val="00971200"/>
    <w:rsid w:val="00971321"/>
    <w:rsid w:val="0097139A"/>
    <w:rsid w:val="00971536"/>
    <w:rsid w:val="0097172F"/>
    <w:rsid w:val="00971840"/>
    <w:rsid w:val="00971B34"/>
    <w:rsid w:val="00971BDA"/>
    <w:rsid w:val="00971C76"/>
    <w:rsid w:val="00972122"/>
    <w:rsid w:val="009722B7"/>
    <w:rsid w:val="00972305"/>
    <w:rsid w:val="00972331"/>
    <w:rsid w:val="009723B9"/>
    <w:rsid w:val="009724D4"/>
    <w:rsid w:val="009726C9"/>
    <w:rsid w:val="009727D3"/>
    <w:rsid w:val="009728A9"/>
    <w:rsid w:val="00972C68"/>
    <w:rsid w:val="00972CA6"/>
    <w:rsid w:val="00972ECB"/>
    <w:rsid w:val="009730A3"/>
    <w:rsid w:val="00973379"/>
    <w:rsid w:val="00973476"/>
    <w:rsid w:val="0097369D"/>
    <w:rsid w:val="0097391C"/>
    <w:rsid w:val="00973A63"/>
    <w:rsid w:val="00973E98"/>
    <w:rsid w:val="00974058"/>
    <w:rsid w:val="009743E8"/>
    <w:rsid w:val="009745EA"/>
    <w:rsid w:val="009748B7"/>
    <w:rsid w:val="00974C47"/>
    <w:rsid w:val="00974F7E"/>
    <w:rsid w:val="0097562F"/>
    <w:rsid w:val="00975A7F"/>
    <w:rsid w:val="00975A90"/>
    <w:rsid w:val="00975B69"/>
    <w:rsid w:val="00975B9F"/>
    <w:rsid w:val="00975F9B"/>
    <w:rsid w:val="009762F3"/>
    <w:rsid w:val="0097631E"/>
    <w:rsid w:val="00976358"/>
    <w:rsid w:val="00976572"/>
    <w:rsid w:val="0097664E"/>
    <w:rsid w:val="009773DE"/>
    <w:rsid w:val="00977725"/>
    <w:rsid w:val="0097779E"/>
    <w:rsid w:val="009777B0"/>
    <w:rsid w:val="0097794F"/>
    <w:rsid w:val="009779D7"/>
    <w:rsid w:val="00977CE3"/>
    <w:rsid w:val="00977E0F"/>
    <w:rsid w:val="00977F50"/>
    <w:rsid w:val="00977F71"/>
    <w:rsid w:val="00977F8E"/>
    <w:rsid w:val="00980080"/>
    <w:rsid w:val="0098027B"/>
    <w:rsid w:val="00980330"/>
    <w:rsid w:val="00980535"/>
    <w:rsid w:val="0098056B"/>
    <w:rsid w:val="0098087C"/>
    <w:rsid w:val="00980C7B"/>
    <w:rsid w:val="00980D2C"/>
    <w:rsid w:val="00980F82"/>
    <w:rsid w:val="009811D3"/>
    <w:rsid w:val="009812B1"/>
    <w:rsid w:val="009814EF"/>
    <w:rsid w:val="00981504"/>
    <w:rsid w:val="0098157F"/>
    <w:rsid w:val="009819FC"/>
    <w:rsid w:val="00981A5B"/>
    <w:rsid w:val="00981FB6"/>
    <w:rsid w:val="00982016"/>
    <w:rsid w:val="00982092"/>
    <w:rsid w:val="0098223A"/>
    <w:rsid w:val="009823D3"/>
    <w:rsid w:val="009825BF"/>
    <w:rsid w:val="00982A0C"/>
    <w:rsid w:val="00982B07"/>
    <w:rsid w:val="0098301B"/>
    <w:rsid w:val="00983072"/>
    <w:rsid w:val="00983154"/>
    <w:rsid w:val="009832DE"/>
    <w:rsid w:val="009833BF"/>
    <w:rsid w:val="00983445"/>
    <w:rsid w:val="00983492"/>
    <w:rsid w:val="00983497"/>
    <w:rsid w:val="009834BD"/>
    <w:rsid w:val="00983577"/>
    <w:rsid w:val="00983900"/>
    <w:rsid w:val="009839B7"/>
    <w:rsid w:val="00983C16"/>
    <w:rsid w:val="00983C7A"/>
    <w:rsid w:val="00983CAE"/>
    <w:rsid w:val="00983FF0"/>
    <w:rsid w:val="00984265"/>
    <w:rsid w:val="00984377"/>
    <w:rsid w:val="00984418"/>
    <w:rsid w:val="009849D5"/>
    <w:rsid w:val="00984B00"/>
    <w:rsid w:val="00984B85"/>
    <w:rsid w:val="00985120"/>
    <w:rsid w:val="0098522D"/>
    <w:rsid w:val="009852B2"/>
    <w:rsid w:val="00985414"/>
    <w:rsid w:val="00985659"/>
    <w:rsid w:val="009859FD"/>
    <w:rsid w:val="00985C68"/>
    <w:rsid w:val="00985D48"/>
    <w:rsid w:val="00985E57"/>
    <w:rsid w:val="00985E91"/>
    <w:rsid w:val="00986086"/>
    <w:rsid w:val="0098610B"/>
    <w:rsid w:val="009861A4"/>
    <w:rsid w:val="009863D3"/>
    <w:rsid w:val="0098647D"/>
    <w:rsid w:val="00986500"/>
    <w:rsid w:val="009866C0"/>
    <w:rsid w:val="00986738"/>
    <w:rsid w:val="00986745"/>
    <w:rsid w:val="00986772"/>
    <w:rsid w:val="0098686F"/>
    <w:rsid w:val="009869E5"/>
    <w:rsid w:val="00986D5D"/>
    <w:rsid w:val="0098732E"/>
    <w:rsid w:val="00987509"/>
    <w:rsid w:val="00987598"/>
    <w:rsid w:val="009876CF"/>
    <w:rsid w:val="0098781A"/>
    <w:rsid w:val="0098781E"/>
    <w:rsid w:val="00987908"/>
    <w:rsid w:val="00987A92"/>
    <w:rsid w:val="00987B1E"/>
    <w:rsid w:val="00987B5B"/>
    <w:rsid w:val="00987D0B"/>
    <w:rsid w:val="00987DC5"/>
    <w:rsid w:val="00987DCA"/>
    <w:rsid w:val="009903D2"/>
    <w:rsid w:val="0099080F"/>
    <w:rsid w:val="009908CE"/>
    <w:rsid w:val="00990A18"/>
    <w:rsid w:val="00990DB9"/>
    <w:rsid w:val="00990F80"/>
    <w:rsid w:val="00991247"/>
    <w:rsid w:val="0099125B"/>
    <w:rsid w:val="009912D2"/>
    <w:rsid w:val="0099168B"/>
    <w:rsid w:val="009916CE"/>
    <w:rsid w:val="00991721"/>
    <w:rsid w:val="0099176D"/>
    <w:rsid w:val="00991999"/>
    <w:rsid w:val="00991A95"/>
    <w:rsid w:val="00991D3C"/>
    <w:rsid w:val="00991E4D"/>
    <w:rsid w:val="00991E87"/>
    <w:rsid w:val="0099205D"/>
    <w:rsid w:val="00992124"/>
    <w:rsid w:val="00992665"/>
    <w:rsid w:val="0099297F"/>
    <w:rsid w:val="00992A1A"/>
    <w:rsid w:val="00992A66"/>
    <w:rsid w:val="009932AF"/>
    <w:rsid w:val="00993370"/>
    <w:rsid w:val="00993435"/>
    <w:rsid w:val="009934CE"/>
    <w:rsid w:val="00993676"/>
    <w:rsid w:val="00993729"/>
    <w:rsid w:val="0099380A"/>
    <w:rsid w:val="0099394A"/>
    <w:rsid w:val="00993975"/>
    <w:rsid w:val="00993B0B"/>
    <w:rsid w:val="00993CA4"/>
    <w:rsid w:val="00993E37"/>
    <w:rsid w:val="00993F66"/>
    <w:rsid w:val="0099417B"/>
    <w:rsid w:val="00994368"/>
    <w:rsid w:val="0099454D"/>
    <w:rsid w:val="00994585"/>
    <w:rsid w:val="009946C9"/>
    <w:rsid w:val="009947A5"/>
    <w:rsid w:val="00994926"/>
    <w:rsid w:val="00994A23"/>
    <w:rsid w:val="00994A2D"/>
    <w:rsid w:val="00994B63"/>
    <w:rsid w:val="00994B92"/>
    <w:rsid w:val="00994D11"/>
    <w:rsid w:val="00994E85"/>
    <w:rsid w:val="00994F6D"/>
    <w:rsid w:val="0099509B"/>
    <w:rsid w:val="00995175"/>
    <w:rsid w:val="00995B1C"/>
    <w:rsid w:val="00995C66"/>
    <w:rsid w:val="00995DE1"/>
    <w:rsid w:val="00995F9C"/>
    <w:rsid w:val="00996134"/>
    <w:rsid w:val="009961C9"/>
    <w:rsid w:val="00996BD5"/>
    <w:rsid w:val="00996D44"/>
    <w:rsid w:val="00996D6F"/>
    <w:rsid w:val="009975B3"/>
    <w:rsid w:val="00997663"/>
    <w:rsid w:val="009977CA"/>
    <w:rsid w:val="0099795C"/>
    <w:rsid w:val="00997B27"/>
    <w:rsid w:val="00997DAC"/>
    <w:rsid w:val="009A0117"/>
    <w:rsid w:val="009A0400"/>
    <w:rsid w:val="009A0405"/>
    <w:rsid w:val="009A0623"/>
    <w:rsid w:val="009A07FA"/>
    <w:rsid w:val="009A096C"/>
    <w:rsid w:val="009A09B8"/>
    <w:rsid w:val="009A0CCC"/>
    <w:rsid w:val="009A0E35"/>
    <w:rsid w:val="009A0E48"/>
    <w:rsid w:val="009A0E4D"/>
    <w:rsid w:val="009A0FF5"/>
    <w:rsid w:val="009A117E"/>
    <w:rsid w:val="009A11C4"/>
    <w:rsid w:val="009A12EC"/>
    <w:rsid w:val="009A1312"/>
    <w:rsid w:val="009A1686"/>
    <w:rsid w:val="009A1948"/>
    <w:rsid w:val="009A194E"/>
    <w:rsid w:val="009A1A12"/>
    <w:rsid w:val="009A1AEC"/>
    <w:rsid w:val="009A1AED"/>
    <w:rsid w:val="009A1DEC"/>
    <w:rsid w:val="009A1EFC"/>
    <w:rsid w:val="009A1FC2"/>
    <w:rsid w:val="009A2007"/>
    <w:rsid w:val="009A2020"/>
    <w:rsid w:val="009A29EB"/>
    <w:rsid w:val="009A2B3B"/>
    <w:rsid w:val="009A2C30"/>
    <w:rsid w:val="009A2E35"/>
    <w:rsid w:val="009A2EC9"/>
    <w:rsid w:val="009A31EE"/>
    <w:rsid w:val="009A36D0"/>
    <w:rsid w:val="009A3703"/>
    <w:rsid w:val="009A3785"/>
    <w:rsid w:val="009A37D0"/>
    <w:rsid w:val="009A3898"/>
    <w:rsid w:val="009A392B"/>
    <w:rsid w:val="009A3BD7"/>
    <w:rsid w:val="009A3C71"/>
    <w:rsid w:val="009A3C9B"/>
    <w:rsid w:val="009A40EE"/>
    <w:rsid w:val="009A4103"/>
    <w:rsid w:val="009A4165"/>
    <w:rsid w:val="009A43B1"/>
    <w:rsid w:val="009A44A5"/>
    <w:rsid w:val="009A44E4"/>
    <w:rsid w:val="009A44F7"/>
    <w:rsid w:val="009A4500"/>
    <w:rsid w:val="009A4AE1"/>
    <w:rsid w:val="009A4CB2"/>
    <w:rsid w:val="009A4D5B"/>
    <w:rsid w:val="009A4E26"/>
    <w:rsid w:val="009A5047"/>
    <w:rsid w:val="009A506C"/>
    <w:rsid w:val="009A533A"/>
    <w:rsid w:val="009A538E"/>
    <w:rsid w:val="009A5580"/>
    <w:rsid w:val="009A57B6"/>
    <w:rsid w:val="009A5B9E"/>
    <w:rsid w:val="009A5DB9"/>
    <w:rsid w:val="009A61FD"/>
    <w:rsid w:val="009A628E"/>
    <w:rsid w:val="009A6661"/>
    <w:rsid w:val="009A6853"/>
    <w:rsid w:val="009A6CB9"/>
    <w:rsid w:val="009A6D55"/>
    <w:rsid w:val="009A6F60"/>
    <w:rsid w:val="009A7398"/>
    <w:rsid w:val="009A7470"/>
    <w:rsid w:val="009A7499"/>
    <w:rsid w:val="009A7527"/>
    <w:rsid w:val="009A7752"/>
    <w:rsid w:val="009A786C"/>
    <w:rsid w:val="009A7A88"/>
    <w:rsid w:val="009A7C2D"/>
    <w:rsid w:val="009A7D9A"/>
    <w:rsid w:val="009A7DD5"/>
    <w:rsid w:val="009A7E70"/>
    <w:rsid w:val="009B0696"/>
    <w:rsid w:val="009B0718"/>
    <w:rsid w:val="009B091A"/>
    <w:rsid w:val="009B0D18"/>
    <w:rsid w:val="009B1226"/>
    <w:rsid w:val="009B1473"/>
    <w:rsid w:val="009B1652"/>
    <w:rsid w:val="009B192A"/>
    <w:rsid w:val="009B1A03"/>
    <w:rsid w:val="009B1D2A"/>
    <w:rsid w:val="009B1E7B"/>
    <w:rsid w:val="009B2057"/>
    <w:rsid w:val="009B2058"/>
    <w:rsid w:val="009B2135"/>
    <w:rsid w:val="009B2630"/>
    <w:rsid w:val="009B2964"/>
    <w:rsid w:val="009B2A78"/>
    <w:rsid w:val="009B2ACC"/>
    <w:rsid w:val="009B2AD2"/>
    <w:rsid w:val="009B2B54"/>
    <w:rsid w:val="009B2C8E"/>
    <w:rsid w:val="009B2D53"/>
    <w:rsid w:val="009B2FF3"/>
    <w:rsid w:val="009B3337"/>
    <w:rsid w:val="009B33F2"/>
    <w:rsid w:val="009B34C4"/>
    <w:rsid w:val="009B3677"/>
    <w:rsid w:val="009B36A7"/>
    <w:rsid w:val="009B3930"/>
    <w:rsid w:val="009B39A5"/>
    <w:rsid w:val="009B3C7A"/>
    <w:rsid w:val="009B3CA1"/>
    <w:rsid w:val="009B3CF2"/>
    <w:rsid w:val="009B3E9B"/>
    <w:rsid w:val="009B411D"/>
    <w:rsid w:val="009B4336"/>
    <w:rsid w:val="009B4422"/>
    <w:rsid w:val="009B49CB"/>
    <w:rsid w:val="009B4A36"/>
    <w:rsid w:val="009B4A60"/>
    <w:rsid w:val="009B4B96"/>
    <w:rsid w:val="009B51A2"/>
    <w:rsid w:val="009B52E1"/>
    <w:rsid w:val="009B5346"/>
    <w:rsid w:val="009B5361"/>
    <w:rsid w:val="009B5483"/>
    <w:rsid w:val="009B54AA"/>
    <w:rsid w:val="009B559A"/>
    <w:rsid w:val="009B5763"/>
    <w:rsid w:val="009B589F"/>
    <w:rsid w:val="009B5BC1"/>
    <w:rsid w:val="009B6086"/>
    <w:rsid w:val="009B6186"/>
    <w:rsid w:val="009B6324"/>
    <w:rsid w:val="009B6370"/>
    <w:rsid w:val="009B65BF"/>
    <w:rsid w:val="009B67B2"/>
    <w:rsid w:val="009B6AF2"/>
    <w:rsid w:val="009B6DC4"/>
    <w:rsid w:val="009B7075"/>
    <w:rsid w:val="009B70D7"/>
    <w:rsid w:val="009B74DB"/>
    <w:rsid w:val="009B7653"/>
    <w:rsid w:val="009B7730"/>
    <w:rsid w:val="009B7789"/>
    <w:rsid w:val="009B7809"/>
    <w:rsid w:val="009B7B65"/>
    <w:rsid w:val="009B7CE0"/>
    <w:rsid w:val="009C01BC"/>
    <w:rsid w:val="009C0296"/>
    <w:rsid w:val="009C0407"/>
    <w:rsid w:val="009C073B"/>
    <w:rsid w:val="009C0752"/>
    <w:rsid w:val="009C0A29"/>
    <w:rsid w:val="009C0A32"/>
    <w:rsid w:val="009C0BAE"/>
    <w:rsid w:val="009C0C7D"/>
    <w:rsid w:val="009C0E3F"/>
    <w:rsid w:val="009C0EED"/>
    <w:rsid w:val="009C0F78"/>
    <w:rsid w:val="009C1605"/>
    <w:rsid w:val="009C1647"/>
    <w:rsid w:val="009C1AFC"/>
    <w:rsid w:val="009C1E39"/>
    <w:rsid w:val="009C20F7"/>
    <w:rsid w:val="009C25CF"/>
    <w:rsid w:val="009C285B"/>
    <w:rsid w:val="009C287F"/>
    <w:rsid w:val="009C28FE"/>
    <w:rsid w:val="009C298B"/>
    <w:rsid w:val="009C29DC"/>
    <w:rsid w:val="009C2AF2"/>
    <w:rsid w:val="009C2C65"/>
    <w:rsid w:val="009C2DEA"/>
    <w:rsid w:val="009C33EE"/>
    <w:rsid w:val="009C3637"/>
    <w:rsid w:val="009C39B1"/>
    <w:rsid w:val="009C3CE9"/>
    <w:rsid w:val="009C3D10"/>
    <w:rsid w:val="009C4002"/>
    <w:rsid w:val="009C4100"/>
    <w:rsid w:val="009C449C"/>
    <w:rsid w:val="009C45B7"/>
    <w:rsid w:val="009C4A45"/>
    <w:rsid w:val="009C4B8C"/>
    <w:rsid w:val="009C4BE2"/>
    <w:rsid w:val="009C4D16"/>
    <w:rsid w:val="009C4E44"/>
    <w:rsid w:val="009C5041"/>
    <w:rsid w:val="009C51DF"/>
    <w:rsid w:val="009C5251"/>
    <w:rsid w:val="009C529C"/>
    <w:rsid w:val="009C54C3"/>
    <w:rsid w:val="009C56BF"/>
    <w:rsid w:val="009C56D4"/>
    <w:rsid w:val="009C59FA"/>
    <w:rsid w:val="009C5AC6"/>
    <w:rsid w:val="009C5C83"/>
    <w:rsid w:val="009C5CA6"/>
    <w:rsid w:val="009C5D2E"/>
    <w:rsid w:val="009C5EDE"/>
    <w:rsid w:val="009C6187"/>
    <w:rsid w:val="009C64D7"/>
    <w:rsid w:val="009C6663"/>
    <w:rsid w:val="009C667A"/>
    <w:rsid w:val="009C6868"/>
    <w:rsid w:val="009C69DB"/>
    <w:rsid w:val="009C6AEB"/>
    <w:rsid w:val="009C6C18"/>
    <w:rsid w:val="009C6C5D"/>
    <w:rsid w:val="009C6E14"/>
    <w:rsid w:val="009C6EEA"/>
    <w:rsid w:val="009C72BE"/>
    <w:rsid w:val="009C745A"/>
    <w:rsid w:val="009C775E"/>
    <w:rsid w:val="009C79A2"/>
    <w:rsid w:val="009C79B0"/>
    <w:rsid w:val="009D00A0"/>
    <w:rsid w:val="009D0775"/>
    <w:rsid w:val="009D07A0"/>
    <w:rsid w:val="009D0820"/>
    <w:rsid w:val="009D087A"/>
    <w:rsid w:val="009D0A6B"/>
    <w:rsid w:val="009D0AA4"/>
    <w:rsid w:val="009D0AE1"/>
    <w:rsid w:val="009D0DF2"/>
    <w:rsid w:val="009D0E2A"/>
    <w:rsid w:val="009D0F92"/>
    <w:rsid w:val="009D1159"/>
    <w:rsid w:val="009D116B"/>
    <w:rsid w:val="009D152F"/>
    <w:rsid w:val="009D181E"/>
    <w:rsid w:val="009D1917"/>
    <w:rsid w:val="009D19C7"/>
    <w:rsid w:val="009D1C99"/>
    <w:rsid w:val="009D1F99"/>
    <w:rsid w:val="009D1FAB"/>
    <w:rsid w:val="009D2000"/>
    <w:rsid w:val="009D2773"/>
    <w:rsid w:val="009D2879"/>
    <w:rsid w:val="009D28B7"/>
    <w:rsid w:val="009D28EE"/>
    <w:rsid w:val="009D294A"/>
    <w:rsid w:val="009D2950"/>
    <w:rsid w:val="009D2AE7"/>
    <w:rsid w:val="009D2EE9"/>
    <w:rsid w:val="009D2F42"/>
    <w:rsid w:val="009D34E2"/>
    <w:rsid w:val="009D35B3"/>
    <w:rsid w:val="009D3729"/>
    <w:rsid w:val="009D3738"/>
    <w:rsid w:val="009D3A31"/>
    <w:rsid w:val="009D3ACA"/>
    <w:rsid w:val="009D3BF1"/>
    <w:rsid w:val="009D3D0D"/>
    <w:rsid w:val="009D3D68"/>
    <w:rsid w:val="009D3F2F"/>
    <w:rsid w:val="009D403A"/>
    <w:rsid w:val="009D4561"/>
    <w:rsid w:val="009D4774"/>
    <w:rsid w:val="009D47DB"/>
    <w:rsid w:val="009D488E"/>
    <w:rsid w:val="009D4B6A"/>
    <w:rsid w:val="009D4D6D"/>
    <w:rsid w:val="009D4E2D"/>
    <w:rsid w:val="009D4F6B"/>
    <w:rsid w:val="009D4FBF"/>
    <w:rsid w:val="009D4FDB"/>
    <w:rsid w:val="009D5168"/>
    <w:rsid w:val="009D5317"/>
    <w:rsid w:val="009D5335"/>
    <w:rsid w:val="009D54CD"/>
    <w:rsid w:val="009D58A2"/>
    <w:rsid w:val="009D599B"/>
    <w:rsid w:val="009D5F88"/>
    <w:rsid w:val="009D617F"/>
    <w:rsid w:val="009D6359"/>
    <w:rsid w:val="009D6414"/>
    <w:rsid w:val="009D6528"/>
    <w:rsid w:val="009D66F5"/>
    <w:rsid w:val="009D6BFF"/>
    <w:rsid w:val="009D6C1E"/>
    <w:rsid w:val="009D6D5C"/>
    <w:rsid w:val="009D6D84"/>
    <w:rsid w:val="009D6E4F"/>
    <w:rsid w:val="009D750B"/>
    <w:rsid w:val="009D75EE"/>
    <w:rsid w:val="009D7651"/>
    <w:rsid w:val="009D769A"/>
    <w:rsid w:val="009D769E"/>
    <w:rsid w:val="009D7710"/>
    <w:rsid w:val="009D7834"/>
    <w:rsid w:val="009D79B6"/>
    <w:rsid w:val="009D7A25"/>
    <w:rsid w:val="009D7B32"/>
    <w:rsid w:val="009D7B3B"/>
    <w:rsid w:val="009D7D61"/>
    <w:rsid w:val="009E0228"/>
    <w:rsid w:val="009E03B0"/>
    <w:rsid w:val="009E03B5"/>
    <w:rsid w:val="009E06E8"/>
    <w:rsid w:val="009E070F"/>
    <w:rsid w:val="009E0797"/>
    <w:rsid w:val="009E07CC"/>
    <w:rsid w:val="009E0F76"/>
    <w:rsid w:val="009E161D"/>
    <w:rsid w:val="009E1751"/>
    <w:rsid w:val="009E17CE"/>
    <w:rsid w:val="009E1971"/>
    <w:rsid w:val="009E1ABB"/>
    <w:rsid w:val="009E1B84"/>
    <w:rsid w:val="009E1D20"/>
    <w:rsid w:val="009E1EEC"/>
    <w:rsid w:val="009E1F05"/>
    <w:rsid w:val="009E210C"/>
    <w:rsid w:val="009E221D"/>
    <w:rsid w:val="009E23FC"/>
    <w:rsid w:val="009E268C"/>
    <w:rsid w:val="009E26C1"/>
    <w:rsid w:val="009E26E5"/>
    <w:rsid w:val="009E2794"/>
    <w:rsid w:val="009E2808"/>
    <w:rsid w:val="009E28C7"/>
    <w:rsid w:val="009E2C9E"/>
    <w:rsid w:val="009E2DDA"/>
    <w:rsid w:val="009E340C"/>
    <w:rsid w:val="009E37A4"/>
    <w:rsid w:val="009E3ACD"/>
    <w:rsid w:val="009E3DFC"/>
    <w:rsid w:val="009E3FA5"/>
    <w:rsid w:val="009E4092"/>
    <w:rsid w:val="009E434E"/>
    <w:rsid w:val="009E4495"/>
    <w:rsid w:val="009E4605"/>
    <w:rsid w:val="009E4834"/>
    <w:rsid w:val="009E4A35"/>
    <w:rsid w:val="009E4C21"/>
    <w:rsid w:val="009E4CCF"/>
    <w:rsid w:val="009E4F67"/>
    <w:rsid w:val="009E51D3"/>
    <w:rsid w:val="009E53BA"/>
    <w:rsid w:val="009E544B"/>
    <w:rsid w:val="009E5655"/>
    <w:rsid w:val="009E566A"/>
    <w:rsid w:val="009E57A8"/>
    <w:rsid w:val="009E58A2"/>
    <w:rsid w:val="009E5ABA"/>
    <w:rsid w:val="009E5D82"/>
    <w:rsid w:val="009E5FEC"/>
    <w:rsid w:val="009E60E2"/>
    <w:rsid w:val="009E62F6"/>
    <w:rsid w:val="009E6395"/>
    <w:rsid w:val="009E6518"/>
    <w:rsid w:val="009E65DB"/>
    <w:rsid w:val="009E66C6"/>
    <w:rsid w:val="009E6AA7"/>
    <w:rsid w:val="009E6B19"/>
    <w:rsid w:val="009E6C01"/>
    <w:rsid w:val="009E6C3B"/>
    <w:rsid w:val="009E6F66"/>
    <w:rsid w:val="009E7054"/>
    <w:rsid w:val="009E70B0"/>
    <w:rsid w:val="009E7130"/>
    <w:rsid w:val="009E7285"/>
    <w:rsid w:val="009E73CB"/>
    <w:rsid w:val="009E73D5"/>
    <w:rsid w:val="009E7506"/>
    <w:rsid w:val="009E7521"/>
    <w:rsid w:val="009E752C"/>
    <w:rsid w:val="009E7947"/>
    <w:rsid w:val="009E7A3F"/>
    <w:rsid w:val="009E7B3C"/>
    <w:rsid w:val="009E7B68"/>
    <w:rsid w:val="009E7C12"/>
    <w:rsid w:val="009E7E26"/>
    <w:rsid w:val="009F03DC"/>
    <w:rsid w:val="009F051A"/>
    <w:rsid w:val="009F072D"/>
    <w:rsid w:val="009F0980"/>
    <w:rsid w:val="009F0BAF"/>
    <w:rsid w:val="009F0C3F"/>
    <w:rsid w:val="009F0CE1"/>
    <w:rsid w:val="009F10AF"/>
    <w:rsid w:val="009F1723"/>
    <w:rsid w:val="009F1BE7"/>
    <w:rsid w:val="009F1BEA"/>
    <w:rsid w:val="009F1CA6"/>
    <w:rsid w:val="009F1CAC"/>
    <w:rsid w:val="009F1CE5"/>
    <w:rsid w:val="009F1D21"/>
    <w:rsid w:val="009F1FA1"/>
    <w:rsid w:val="009F202E"/>
    <w:rsid w:val="009F2076"/>
    <w:rsid w:val="009F20F1"/>
    <w:rsid w:val="009F21CF"/>
    <w:rsid w:val="009F227B"/>
    <w:rsid w:val="009F24A9"/>
    <w:rsid w:val="009F266B"/>
    <w:rsid w:val="009F27CD"/>
    <w:rsid w:val="009F2967"/>
    <w:rsid w:val="009F2BF8"/>
    <w:rsid w:val="009F2DD9"/>
    <w:rsid w:val="009F30A6"/>
    <w:rsid w:val="009F30CA"/>
    <w:rsid w:val="009F30EF"/>
    <w:rsid w:val="009F32AA"/>
    <w:rsid w:val="009F36E8"/>
    <w:rsid w:val="009F3A39"/>
    <w:rsid w:val="009F3AAE"/>
    <w:rsid w:val="009F3DD5"/>
    <w:rsid w:val="009F3DF1"/>
    <w:rsid w:val="009F3E3A"/>
    <w:rsid w:val="009F3FBA"/>
    <w:rsid w:val="009F3FC6"/>
    <w:rsid w:val="009F42B0"/>
    <w:rsid w:val="009F42B8"/>
    <w:rsid w:val="009F44FE"/>
    <w:rsid w:val="009F4623"/>
    <w:rsid w:val="009F4A38"/>
    <w:rsid w:val="009F4AB0"/>
    <w:rsid w:val="009F4F14"/>
    <w:rsid w:val="009F51E8"/>
    <w:rsid w:val="009F52FE"/>
    <w:rsid w:val="009F53A8"/>
    <w:rsid w:val="009F568B"/>
    <w:rsid w:val="009F579D"/>
    <w:rsid w:val="009F57C7"/>
    <w:rsid w:val="009F5811"/>
    <w:rsid w:val="009F58BA"/>
    <w:rsid w:val="009F58E7"/>
    <w:rsid w:val="009F5A8F"/>
    <w:rsid w:val="009F5AAA"/>
    <w:rsid w:val="009F5D02"/>
    <w:rsid w:val="009F5D33"/>
    <w:rsid w:val="009F5D45"/>
    <w:rsid w:val="009F618D"/>
    <w:rsid w:val="009F67DA"/>
    <w:rsid w:val="009F6ADB"/>
    <w:rsid w:val="009F6BEC"/>
    <w:rsid w:val="009F6CEB"/>
    <w:rsid w:val="009F6D0E"/>
    <w:rsid w:val="009F6D12"/>
    <w:rsid w:val="009F6D13"/>
    <w:rsid w:val="009F6E24"/>
    <w:rsid w:val="009F6E6D"/>
    <w:rsid w:val="009F6F13"/>
    <w:rsid w:val="009F6FC5"/>
    <w:rsid w:val="009F729B"/>
    <w:rsid w:val="009F72AB"/>
    <w:rsid w:val="009F735C"/>
    <w:rsid w:val="009F7478"/>
    <w:rsid w:val="009F7491"/>
    <w:rsid w:val="009F7492"/>
    <w:rsid w:val="009F77C8"/>
    <w:rsid w:val="009F78A8"/>
    <w:rsid w:val="009F7E49"/>
    <w:rsid w:val="009F7E51"/>
    <w:rsid w:val="009F7EC6"/>
    <w:rsid w:val="00A00084"/>
    <w:rsid w:val="00A00435"/>
    <w:rsid w:val="00A00523"/>
    <w:rsid w:val="00A007CE"/>
    <w:rsid w:val="00A008C8"/>
    <w:rsid w:val="00A008D8"/>
    <w:rsid w:val="00A00C58"/>
    <w:rsid w:val="00A00D0D"/>
    <w:rsid w:val="00A00D38"/>
    <w:rsid w:val="00A00D4D"/>
    <w:rsid w:val="00A00F5F"/>
    <w:rsid w:val="00A01002"/>
    <w:rsid w:val="00A01081"/>
    <w:rsid w:val="00A010EE"/>
    <w:rsid w:val="00A01599"/>
    <w:rsid w:val="00A015C2"/>
    <w:rsid w:val="00A01E57"/>
    <w:rsid w:val="00A01F27"/>
    <w:rsid w:val="00A022B5"/>
    <w:rsid w:val="00A02F45"/>
    <w:rsid w:val="00A030B0"/>
    <w:rsid w:val="00A03120"/>
    <w:rsid w:val="00A03129"/>
    <w:rsid w:val="00A0318C"/>
    <w:rsid w:val="00A03191"/>
    <w:rsid w:val="00A03509"/>
    <w:rsid w:val="00A03787"/>
    <w:rsid w:val="00A0379F"/>
    <w:rsid w:val="00A03A88"/>
    <w:rsid w:val="00A03B27"/>
    <w:rsid w:val="00A03C85"/>
    <w:rsid w:val="00A03CEB"/>
    <w:rsid w:val="00A03CF8"/>
    <w:rsid w:val="00A03D90"/>
    <w:rsid w:val="00A03E51"/>
    <w:rsid w:val="00A03E96"/>
    <w:rsid w:val="00A03EDD"/>
    <w:rsid w:val="00A03F8A"/>
    <w:rsid w:val="00A04152"/>
    <w:rsid w:val="00A04307"/>
    <w:rsid w:val="00A043C4"/>
    <w:rsid w:val="00A043F6"/>
    <w:rsid w:val="00A04752"/>
    <w:rsid w:val="00A04BBF"/>
    <w:rsid w:val="00A04BE1"/>
    <w:rsid w:val="00A04C89"/>
    <w:rsid w:val="00A04C90"/>
    <w:rsid w:val="00A04CFA"/>
    <w:rsid w:val="00A04DBB"/>
    <w:rsid w:val="00A05F31"/>
    <w:rsid w:val="00A0613E"/>
    <w:rsid w:val="00A061B7"/>
    <w:rsid w:val="00A062E9"/>
    <w:rsid w:val="00A064AE"/>
    <w:rsid w:val="00A066AA"/>
    <w:rsid w:val="00A066B9"/>
    <w:rsid w:val="00A06742"/>
    <w:rsid w:val="00A067DD"/>
    <w:rsid w:val="00A068BC"/>
    <w:rsid w:val="00A06902"/>
    <w:rsid w:val="00A06A9D"/>
    <w:rsid w:val="00A06D62"/>
    <w:rsid w:val="00A06F21"/>
    <w:rsid w:val="00A06FC4"/>
    <w:rsid w:val="00A0702D"/>
    <w:rsid w:val="00A0713D"/>
    <w:rsid w:val="00A07266"/>
    <w:rsid w:val="00A07608"/>
    <w:rsid w:val="00A077A5"/>
    <w:rsid w:val="00A0787C"/>
    <w:rsid w:val="00A079EF"/>
    <w:rsid w:val="00A07A3D"/>
    <w:rsid w:val="00A07B18"/>
    <w:rsid w:val="00A07FAF"/>
    <w:rsid w:val="00A1034A"/>
    <w:rsid w:val="00A1038A"/>
    <w:rsid w:val="00A105C9"/>
    <w:rsid w:val="00A106F3"/>
    <w:rsid w:val="00A106FF"/>
    <w:rsid w:val="00A10EF9"/>
    <w:rsid w:val="00A1108B"/>
    <w:rsid w:val="00A111D6"/>
    <w:rsid w:val="00A111E8"/>
    <w:rsid w:val="00A112FD"/>
    <w:rsid w:val="00A11410"/>
    <w:rsid w:val="00A116CA"/>
    <w:rsid w:val="00A1179C"/>
    <w:rsid w:val="00A118D2"/>
    <w:rsid w:val="00A11AB1"/>
    <w:rsid w:val="00A11BE9"/>
    <w:rsid w:val="00A11C75"/>
    <w:rsid w:val="00A11D9E"/>
    <w:rsid w:val="00A1209C"/>
    <w:rsid w:val="00A1219E"/>
    <w:rsid w:val="00A121E9"/>
    <w:rsid w:val="00A1233B"/>
    <w:rsid w:val="00A124F7"/>
    <w:rsid w:val="00A12540"/>
    <w:rsid w:val="00A126E1"/>
    <w:rsid w:val="00A12938"/>
    <w:rsid w:val="00A12AE7"/>
    <w:rsid w:val="00A12F7C"/>
    <w:rsid w:val="00A13021"/>
    <w:rsid w:val="00A13394"/>
    <w:rsid w:val="00A135B2"/>
    <w:rsid w:val="00A13694"/>
    <w:rsid w:val="00A13828"/>
    <w:rsid w:val="00A1393C"/>
    <w:rsid w:val="00A139EE"/>
    <w:rsid w:val="00A13D60"/>
    <w:rsid w:val="00A14160"/>
    <w:rsid w:val="00A145DA"/>
    <w:rsid w:val="00A1472A"/>
    <w:rsid w:val="00A148BC"/>
    <w:rsid w:val="00A148F7"/>
    <w:rsid w:val="00A14911"/>
    <w:rsid w:val="00A14981"/>
    <w:rsid w:val="00A14A27"/>
    <w:rsid w:val="00A14CB2"/>
    <w:rsid w:val="00A14DB6"/>
    <w:rsid w:val="00A14DE8"/>
    <w:rsid w:val="00A14F89"/>
    <w:rsid w:val="00A14FAE"/>
    <w:rsid w:val="00A1508C"/>
    <w:rsid w:val="00A150A1"/>
    <w:rsid w:val="00A1516C"/>
    <w:rsid w:val="00A15285"/>
    <w:rsid w:val="00A153BE"/>
    <w:rsid w:val="00A154E4"/>
    <w:rsid w:val="00A1589B"/>
    <w:rsid w:val="00A15986"/>
    <w:rsid w:val="00A15987"/>
    <w:rsid w:val="00A15A64"/>
    <w:rsid w:val="00A15B09"/>
    <w:rsid w:val="00A15B82"/>
    <w:rsid w:val="00A15BD4"/>
    <w:rsid w:val="00A15C8C"/>
    <w:rsid w:val="00A161E0"/>
    <w:rsid w:val="00A162A2"/>
    <w:rsid w:val="00A164C4"/>
    <w:rsid w:val="00A1686F"/>
    <w:rsid w:val="00A169C3"/>
    <w:rsid w:val="00A16AE6"/>
    <w:rsid w:val="00A16B00"/>
    <w:rsid w:val="00A16B11"/>
    <w:rsid w:val="00A16D55"/>
    <w:rsid w:val="00A17052"/>
    <w:rsid w:val="00A17170"/>
    <w:rsid w:val="00A172AC"/>
    <w:rsid w:val="00A1731C"/>
    <w:rsid w:val="00A1733D"/>
    <w:rsid w:val="00A175EA"/>
    <w:rsid w:val="00A17753"/>
    <w:rsid w:val="00A1782C"/>
    <w:rsid w:val="00A17B0D"/>
    <w:rsid w:val="00A17CF0"/>
    <w:rsid w:val="00A17D83"/>
    <w:rsid w:val="00A20582"/>
    <w:rsid w:val="00A206B3"/>
    <w:rsid w:val="00A20A0B"/>
    <w:rsid w:val="00A20A8F"/>
    <w:rsid w:val="00A20ADA"/>
    <w:rsid w:val="00A20E30"/>
    <w:rsid w:val="00A20E44"/>
    <w:rsid w:val="00A21205"/>
    <w:rsid w:val="00A21383"/>
    <w:rsid w:val="00A21399"/>
    <w:rsid w:val="00A213C8"/>
    <w:rsid w:val="00A21432"/>
    <w:rsid w:val="00A214C1"/>
    <w:rsid w:val="00A21657"/>
    <w:rsid w:val="00A217C6"/>
    <w:rsid w:val="00A21C2A"/>
    <w:rsid w:val="00A21FB0"/>
    <w:rsid w:val="00A22253"/>
    <w:rsid w:val="00A2272A"/>
    <w:rsid w:val="00A22893"/>
    <w:rsid w:val="00A229A8"/>
    <w:rsid w:val="00A22A5A"/>
    <w:rsid w:val="00A22AFE"/>
    <w:rsid w:val="00A22B7B"/>
    <w:rsid w:val="00A22CD3"/>
    <w:rsid w:val="00A22F4F"/>
    <w:rsid w:val="00A22FB7"/>
    <w:rsid w:val="00A22FBC"/>
    <w:rsid w:val="00A2308E"/>
    <w:rsid w:val="00A238F5"/>
    <w:rsid w:val="00A23A85"/>
    <w:rsid w:val="00A23ABF"/>
    <w:rsid w:val="00A23DD1"/>
    <w:rsid w:val="00A24008"/>
    <w:rsid w:val="00A241F6"/>
    <w:rsid w:val="00A246EA"/>
    <w:rsid w:val="00A2484F"/>
    <w:rsid w:val="00A24884"/>
    <w:rsid w:val="00A2497B"/>
    <w:rsid w:val="00A24B1B"/>
    <w:rsid w:val="00A24D91"/>
    <w:rsid w:val="00A24EA6"/>
    <w:rsid w:val="00A25194"/>
    <w:rsid w:val="00A252D6"/>
    <w:rsid w:val="00A25373"/>
    <w:rsid w:val="00A254B9"/>
    <w:rsid w:val="00A2579A"/>
    <w:rsid w:val="00A2585F"/>
    <w:rsid w:val="00A2590A"/>
    <w:rsid w:val="00A25960"/>
    <w:rsid w:val="00A259B6"/>
    <w:rsid w:val="00A25A47"/>
    <w:rsid w:val="00A25AA9"/>
    <w:rsid w:val="00A25B2E"/>
    <w:rsid w:val="00A25CFE"/>
    <w:rsid w:val="00A25D4C"/>
    <w:rsid w:val="00A26174"/>
    <w:rsid w:val="00A2678A"/>
    <w:rsid w:val="00A26994"/>
    <w:rsid w:val="00A269D9"/>
    <w:rsid w:val="00A26E2B"/>
    <w:rsid w:val="00A27013"/>
    <w:rsid w:val="00A274B2"/>
    <w:rsid w:val="00A27792"/>
    <w:rsid w:val="00A277E0"/>
    <w:rsid w:val="00A27B91"/>
    <w:rsid w:val="00A27CFC"/>
    <w:rsid w:val="00A27EAD"/>
    <w:rsid w:val="00A27F11"/>
    <w:rsid w:val="00A27F8F"/>
    <w:rsid w:val="00A30334"/>
    <w:rsid w:val="00A306A9"/>
    <w:rsid w:val="00A309CC"/>
    <w:rsid w:val="00A30B60"/>
    <w:rsid w:val="00A30C0A"/>
    <w:rsid w:val="00A30CA3"/>
    <w:rsid w:val="00A30CC4"/>
    <w:rsid w:val="00A30D24"/>
    <w:rsid w:val="00A30D51"/>
    <w:rsid w:val="00A30DEC"/>
    <w:rsid w:val="00A30EBF"/>
    <w:rsid w:val="00A30ECE"/>
    <w:rsid w:val="00A31197"/>
    <w:rsid w:val="00A31371"/>
    <w:rsid w:val="00A313F4"/>
    <w:rsid w:val="00A31578"/>
    <w:rsid w:val="00A3179D"/>
    <w:rsid w:val="00A31B51"/>
    <w:rsid w:val="00A31F3D"/>
    <w:rsid w:val="00A320FB"/>
    <w:rsid w:val="00A321A5"/>
    <w:rsid w:val="00A321B3"/>
    <w:rsid w:val="00A32224"/>
    <w:rsid w:val="00A32395"/>
    <w:rsid w:val="00A323C5"/>
    <w:rsid w:val="00A32843"/>
    <w:rsid w:val="00A32A43"/>
    <w:rsid w:val="00A32A69"/>
    <w:rsid w:val="00A32A7D"/>
    <w:rsid w:val="00A32AF1"/>
    <w:rsid w:val="00A32CC4"/>
    <w:rsid w:val="00A32E2F"/>
    <w:rsid w:val="00A3330C"/>
    <w:rsid w:val="00A333AC"/>
    <w:rsid w:val="00A33433"/>
    <w:rsid w:val="00A33629"/>
    <w:rsid w:val="00A33775"/>
    <w:rsid w:val="00A337BB"/>
    <w:rsid w:val="00A33A1B"/>
    <w:rsid w:val="00A33A54"/>
    <w:rsid w:val="00A33EC7"/>
    <w:rsid w:val="00A3414F"/>
    <w:rsid w:val="00A343C2"/>
    <w:rsid w:val="00A343C8"/>
    <w:rsid w:val="00A34425"/>
    <w:rsid w:val="00A34662"/>
    <w:rsid w:val="00A3483D"/>
    <w:rsid w:val="00A34844"/>
    <w:rsid w:val="00A34883"/>
    <w:rsid w:val="00A34C33"/>
    <w:rsid w:val="00A34D8F"/>
    <w:rsid w:val="00A34E7E"/>
    <w:rsid w:val="00A34F85"/>
    <w:rsid w:val="00A35511"/>
    <w:rsid w:val="00A35731"/>
    <w:rsid w:val="00A359D6"/>
    <w:rsid w:val="00A35BDA"/>
    <w:rsid w:val="00A35C2D"/>
    <w:rsid w:val="00A35CF3"/>
    <w:rsid w:val="00A35D3D"/>
    <w:rsid w:val="00A35ED3"/>
    <w:rsid w:val="00A35F68"/>
    <w:rsid w:val="00A35F85"/>
    <w:rsid w:val="00A36017"/>
    <w:rsid w:val="00A36071"/>
    <w:rsid w:val="00A360D5"/>
    <w:rsid w:val="00A362AE"/>
    <w:rsid w:val="00A362E0"/>
    <w:rsid w:val="00A3673A"/>
    <w:rsid w:val="00A36762"/>
    <w:rsid w:val="00A368B2"/>
    <w:rsid w:val="00A368E2"/>
    <w:rsid w:val="00A3694F"/>
    <w:rsid w:val="00A369CB"/>
    <w:rsid w:val="00A36A2B"/>
    <w:rsid w:val="00A36A2E"/>
    <w:rsid w:val="00A36A8E"/>
    <w:rsid w:val="00A36AA0"/>
    <w:rsid w:val="00A36C20"/>
    <w:rsid w:val="00A36DFD"/>
    <w:rsid w:val="00A36E0B"/>
    <w:rsid w:val="00A36E79"/>
    <w:rsid w:val="00A37124"/>
    <w:rsid w:val="00A3719E"/>
    <w:rsid w:val="00A371C6"/>
    <w:rsid w:val="00A3733B"/>
    <w:rsid w:val="00A3742E"/>
    <w:rsid w:val="00A3746C"/>
    <w:rsid w:val="00A3775A"/>
    <w:rsid w:val="00A377BB"/>
    <w:rsid w:val="00A3787D"/>
    <w:rsid w:val="00A37910"/>
    <w:rsid w:val="00A37954"/>
    <w:rsid w:val="00A37D58"/>
    <w:rsid w:val="00A37F4D"/>
    <w:rsid w:val="00A37FC9"/>
    <w:rsid w:val="00A40503"/>
    <w:rsid w:val="00A40512"/>
    <w:rsid w:val="00A40544"/>
    <w:rsid w:val="00A4085A"/>
    <w:rsid w:val="00A40B51"/>
    <w:rsid w:val="00A40CD4"/>
    <w:rsid w:val="00A40D58"/>
    <w:rsid w:val="00A40E28"/>
    <w:rsid w:val="00A40E88"/>
    <w:rsid w:val="00A40FEB"/>
    <w:rsid w:val="00A41635"/>
    <w:rsid w:val="00A41908"/>
    <w:rsid w:val="00A419A7"/>
    <w:rsid w:val="00A41E15"/>
    <w:rsid w:val="00A41E8C"/>
    <w:rsid w:val="00A42057"/>
    <w:rsid w:val="00A422DF"/>
    <w:rsid w:val="00A423B8"/>
    <w:rsid w:val="00A42641"/>
    <w:rsid w:val="00A4265B"/>
    <w:rsid w:val="00A42B33"/>
    <w:rsid w:val="00A42BD9"/>
    <w:rsid w:val="00A42BF4"/>
    <w:rsid w:val="00A4328D"/>
    <w:rsid w:val="00A4336B"/>
    <w:rsid w:val="00A43541"/>
    <w:rsid w:val="00A43874"/>
    <w:rsid w:val="00A43995"/>
    <w:rsid w:val="00A43A72"/>
    <w:rsid w:val="00A43B13"/>
    <w:rsid w:val="00A43B14"/>
    <w:rsid w:val="00A4409E"/>
    <w:rsid w:val="00A4411B"/>
    <w:rsid w:val="00A442DE"/>
    <w:rsid w:val="00A44322"/>
    <w:rsid w:val="00A4467B"/>
    <w:rsid w:val="00A446CC"/>
    <w:rsid w:val="00A44ADB"/>
    <w:rsid w:val="00A44AE4"/>
    <w:rsid w:val="00A44BB4"/>
    <w:rsid w:val="00A451F4"/>
    <w:rsid w:val="00A45313"/>
    <w:rsid w:val="00A4570D"/>
    <w:rsid w:val="00A45772"/>
    <w:rsid w:val="00A45814"/>
    <w:rsid w:val="00A45888"/>
    <w:rsid w:val="00A459B5"/>
    <w:rsid w:val="00A45C76"/>
    <w:rsid w:val="00A45E28"/>
    <w:rsid w:val="00A45E31"/>
    <w:rsid w:val="00A45EC4"/>
    <w:rsid w:val="00A45F73"/>
    <w:rsid w:val="00A460EA"/>
    <w:rsid w:val="00A46139"/>
    <w:rsid w:val="00A463FB"/>
    <w:rsid w:val="00A467E2"/>
    <w:rsid w:val="00A4699E"/>
    <w:rsid w:val="00A46A3C"/>
    <w:rsid w:val="00A46AED"/>
    <w:rsid w:val="00A46BC1"/>
    <w:rsid w:val="00A46C42"/>
    <w:rsid w:val="00A46CB9"/>
    <w:rsid w:val="00A46CBE"/>
    <w:rsid w:val="00A46D6F"/>
    <w:rsid w:val="00A46D81"/>
    <w:rsid w:val="00A46FCC"/>
    <w:rsid w:val="00A47166"/>
    <w:rsid w:val="00A47176"/>
    <w:rsid w:val="00A471E1"/>
    <w:rsid w:val="00A47241"/>
    <w:rsid w:val="00A473DF"/>
    <w:rsid w:val="00A474DF"/>
    <w:rsid w:val="00A4752D"/>
    <w:rsid w:val="00A475A9"/>
    <w:rsid w:val="00A47601"/>
    <w:rsid w:val="00A47677"/>
    <w:rsid w:val="00A4778C"/>
    <w:rsid w:val="00A478C1"/>
    <w:rsid w:val="00A479A7"/>
    <w:rsid w:val="00A479E2"/>
    <w:rsid w:val="00A47E3C"/>
    <w:rsid w:val="00A47E57"/>
    <w:rsid w:val="00A47FC2"/>
    <w:rsid w:val="00A5009C"/>
    <w:rsid w:val="00A500D9"/>
    <w:rsid w:val="00A5021D"/>
    <w:rsid w:val="00A502F9"/>
    <w:rsid w:val="00A505C7"/>
    <w:rsid w:val="00A506B4"/>
    <w:rsid w:val="00A507D7"/>
    <w:rsid w:val="00A5088F"/>
    <w:rsid w:val="00A50D2E"/>
    <w:rsid w:val="00A50D50"/>
    <w:rsid w:val="00A50D5B"/>
    <w:rsid w:val="00A50E96"/>
    <w:rsid w:val="00A511FA"/>
    <w:rsid w:val="00A5137C"/>
    <w:rsid w:val="00A5149C"/>
    <w:rsid w:val="00A5191F"/>
    <w:rsid w:val="00A51A59"/>
    <w:rsid w:val="00A51C95"/>
    <w:rsid w:val="00A51C99"/>
    <w:rsid w:val="00A51D16"/>
    <w:rsid w:val="00A51F17"/>
    <w:rsid w:val="00A51FCD"/>
    <w:rsid w:val="00A52067"/>
    <w:rsid w:val="00A524AC"/>
    <w:rsid w:val="00A5255C"/>
    <w:rsid w:val="00A525C2"/>
    <w:rsid w:val="00A52635"/>
    <w:rsid w:val="00A526CC"/>
    <w:rsid w:val="00A527D8"/>
    <w:rsid w:val="00A52A70"/>
    <w:rsid w:val="00A52D69"/>
    <w:rsid w:val="00A53120"/>
    <w:rsid w:val="00A5322B"/>
    <w:rsid w:val="00A53244"/>
    <w:rsid w:val="00A53248"/>
    <w:rsid w:val="00A53252"/>
    <w:rsid w:val="00A53388"/>
    <w:rsid w:val="00A535DF"/>
    <w:rsid w:val="00A53694"/>
    <w:rsid w:val="00A5399B"/>
    <w:rsid w:val="00A53AEF"/>
    <w:rsid w:val="00A53AFA"/>
    <w:rsid w:val="00A53B01"/>
    <w:rsid w:val="00A53C15"/>
    <w:rsid w:val="00A53CA9"/>
    <w:rsid w:val="00A53D8B"/>
    <w:rsid w:val="00A53DF2"/>
    <w:rsid w:val="00A53E66"/>
    <w:rsid w:val="00A53E94"/>
    <w:rsid w:val="00A54305"/>
    <w:rsid w:val="00A5432A"/>
    <w:rsid w:val="00A544F3"/>
    <w:rsid w:val="00A5497C"/>
    <w:rsid w:val="00A54B47"/>
    <w:rsid w:val="00A54C89"/>
    <w:rsid w:val="00A54CCA"/>
    <w:rsid w:val="00A54F1E"/>
    <w:rsid w:val="00A55076"/>
    <w:rsid w:val="00A55211"/>
    <w:rsid w:val="00A55396"/>
    <w:rsid w:val="00A5558C"/>
    <w:rsid w:val="00A5558D"/>
    <w:rsid w:val="00A55604"/>
    <w:rsid w:val="00A559D7"/>
    <w:rsid w:val="00A55C49"/>
    <w:rsid w:val="00A561DD"/>
    <w:rsid w:val="00A564B4"/>
    <w:rsid w:val="00A5670A"/>
    <w:rsid w:val="00A5679B"/>
    <w:rsid w:val="00A56843"/>
    <w:rsid w:val="00A56974"/>
    <w:rsid w:val="00A56B29"/>
    <w:rsid w:val="00A56BE2"/>
    <w:rsid w:val="00A56DBF"/>
    <w:rsid w:val="00A56E12"/>
    <w:rsid w:val="00A56E22"/>
    <w:rsid w:val="00A56EB3"/>
    <w:rsid w:val="00A56F31"/>
    <w:rsid w:val="00A572AB"/>
    <w:rsid w:val="00A572F2"/>
    <w:rsid w:val="00A5730C"/>
    <w:rsid w:val="00A5738C"/>
    <w:rsid w:val="00A5772C"/>
    <w:rsid w:val="00A57741"/>
    <w:rsid w:val="00A5775F"/>
    <w:rsid w:val="00A57805"/>
    <w:rsid w:val="00A57A92"/>
    <w:rsid w:val="00A57BBA"/>
    <w:rsid w:val="00A57BC4"/>
    <w:rsid w:val="00A57C59"/>
    <w:rsid w:val="00A57CDB"/>
    <w:rsid w:val="00A57E98"/>
    <w:rsid w:val="00A60523"/>
    <w:rsid w:val="00A60759"/>
    <w:rsid w:val="00A607EB"/>
    <w:rsid w:val="00A60BEE"/>
    <w:rsid w:val="00A60CD8"/>
    <w:rsid w:val="00A60CDD"/>
    <w:rsid w:val="00A60D93"/>
    <w:rsid w:val="00A60FD0"/>
    <w:rsid w:val="00A6125A"/>
    <w:rsid w:val="00A612A0"/>
    <w:rsid w:val="00A612C5"/>
    <w:rsid w:val="00A6190E"/>
    <w:rsid w:val="00A6191D"/>
    <w:rsid w:val="00A61BB2"/>
    <w:rsid w:val="00A61CFD"/>
    <w:rsid w:val="00A61DCE"/>
    <w:rsid w:val="00A61E40"/>
    <w:rsid w:val="00A62086"/>
    <w:rsid w:val="00A62267"/>
    <w:rsid w:val="00A6232E"/>
    <w:rsid w:val="00A623F0"/>
    <w:rsid w:val="00A6287C"/>
    <w:rsid w:val="00A628D6"/>
    <w:rsid w:val="00A62B1B"/>
    <w:rsid w:val="00A62CE8"/>
    <w:rsid w:val="00A62DB2"/>
    <w:rsid w:val="00A62FE6"/>
    <w:rsid w:val="00A631FE"/>
    <w:rsid w:val="00A632E7"/>
    <w:rsid w:val="00A63596"/>
    <w:rsid w:val="00A63AE9"/>
    <w:rsid w:val="00A640FA"/>
    <w:rsid w:val="00A6437B"/>
    <w:rsid w:val="00A64493"/>
    <w:rsid w:val="00A64A44"/>
    <w:rsid w:val="00A64D5D"/>
    <w:rsid w:val="00A64DC4"/>
    <w:rsid w:val="00A650CF"/>
    <w:rsid w:val="00A651D8"/>
    <w:rsid w:val="00A6530F"/>
    <w:rsid w:val="00A6560E"/>
    <w:rsid w:val="00A65758"/>
    <w:rsid w:val="00A65768"/>
    <w:rsid w:val="00A6595F"/>
    <w:rsid w:val="00A65B1A"/>
    <w:rsid w:val="00A65CCB"/>
    <w:rsid w:val="00A66107"/>
    <w:rsid w:val="00A66425"/>
    <w:rsid w:val="00A664C4"/>
    <w:rsid w:val="00A6651A"/>
    <w:rsid w:val="00A6652E"/>
    <w:rsid w:val="00A668C2"/>
    <w:rsid w:val="00A669C4"/>
    <w:rsid w:val="00A66B2B"/>
    <w:rsid w:val="00A66CE9"/>
    <w:rsid w:val="00A67137"/>
    <w:rsid w:val="00A67183"/>
    <w:rsid w:val="00A6731F"/>
    <w:rsid w:val="00A6772A"/>
    <w:rsid w:val="00A67758"/>
    <w:rsid w:val="00A678D7"/>
    <w:rsid w:val="00A67926"/>
    <w:rsid w:val="00A679A4"/>
    <w:rsid w:val="00A67B2B"/>
    <w:rsid w:val="00A67B7F"/>
    <w:rsid w:val="00A67C09"/>
    <w:rsid w:val="00A67F4D"/>
    <w:rsid w:val="00A701F0"/>
    <w:rsid w:val="00A70519"/>
    <w:rsid w:val="00A70EE6"/>
    <w:rsid w:val="00A711D4"/>
    <w:rsid w:val="00A71694"/>
    <w:rsid w:val="00A717FA"/>
    <w:rsid w:val="00A71DEE"/>
    <w:rsid w:val="00A71EAC"/>
    <w:rsid w:val="00A72018"/>
    <w:rsid w:val="00A721B9"/>
    <w:rsid w:val="00A722BC"/>
    <w:rsid w:val="00A725FA"/>
    <w:rsid w:val="00A72905"/>
    <w:rsid w:val="00A72B07"/>
    <w:rsid w:val="00A72D9F"/>
    <w:rsid w:val="00A731C7"/>
    <w:rsid w:val="00A731CB"/>
    <w:rsid w:val="00A73290"/>
    <w:rsid w:val="00A733CA"/>
    <w:rsid w:val="00A7375A"/>
    <w:rsid w:val="00A73A3F"/>
    <w:rsid w:val="00A73AAB"/>
    <w:rsid w:val="00A73CF2"/>
    <w:rsid w:val="00A73D92"/>
    <w:rsid w:val="00A73DB2"/>
    <w:rsid w:val="00A73EEC"/>
    <w:rsid w:val="00A73F39"/>
    <w:rsid w:val="00A73F5A"/>
    <w:rsid w:val="00A740C3"/>
    <w:rsid w:val="00A74387"/>
    <w:rsid w:val="00A745A1"/>
    <w:rsid w:val="00A745BA"/>
    <w:rsid w:val="00A7495B"/>
    <w:rsid w:val="00A7495C"/>
    <w:rsid w:val="00A74AC8"/>
    <w:rsid w:val="00A74B9B"/>
    <w:rsid w:val="00A74E15"/>
    <w:rsid w:val="00A751D0"/>
    <w:rsid w:val="00A75409"/>
    <w:rsid w:val="00A75540"/>
    <w:rsid w:val="00A759BC"/>
    <w:rsid w:val="00A75A7F"/>
    <w:rsid w:val="00A75C44"/>
    <w:rsid w:val="00A75D4C"/>
    <w:rsid w:val="00A75FF6"/>
    <w:rsid w:val="00A76009"/>
    <w:rsid w:val="00A760E0"/>
    <w:rsid w:val="00A760F3"/>
    <w:rsid w:val="00A7615C"/>
    <w:rsid w:val="00A763CE"/>
    <w:rsid w:val="00A76666"/>
    <w:rsid w:val="00A76A3E"/>
    <w:rsid w:val="00A76C54"/>
    <w:rsid w:val="00A76D43"/>
    <w:rsid w:val="00A76DBE"/>
    <w:rsid w:val="00A76F08"/>
    <w:rsid w:val="00A76F47"/>
    <w:rsid w:val="00A77116"/>
    <w:rsid w:val="00A77464"/>
    <w:rsid w:val="00A77604"/>
    <w:rsid w:val="00A7760F"/>
    <w:rsid w:val="00A77748"/>
    <w:rsid w:val="00A777C1"/>
    <w:rsid w:val="00A778EF"/>
    <w:rsid w:val="00A779A2"/>
    <w:rsid w:val="00A77C14"/>
    <w:rsid w:val="00A8007C"/>
    <w:rsid w:val="00A803DB"/>
    <w:rsid w:val="00A80414"/>
    <w:rsid w:val="00A804E2"/>
    <w:rsid w:val="00A80B4C"/>
    <w:rsid w:val="00A80BEE"/>
    <w:rsid w:val="00A80D41"/>
    <w:rsid w:val="00A80E84"/>
    <w:rsid w:val="00A80E89"/>
    <w:rsid w:val="00A80EC1"/>
    <w:rsid w:val="00A80F83"/>
    <w:rsid w:val="00A810D6"/>
    <w:rsid w:val="00A81694"/>
    <w:rsid w:val="00A819F2"/>
    <w:rsid w:val="00A819F7"/>
    <w:rsid w:val="00A81AA0"/>
    <w:rsid w:val="00A81D0C"/>
    <w:rsid w:val="00A81EA0"/>
    <w:rsid w:val="00A81F21"/>
    <w:rsid w:val="00A82080"/>
    <w:rsid w:val="00A820E6"/>
    <w:rsid w:val="00A8217C"/>
    <w:rsid w:val="00A824D3"/>
    <w:rsid w:val="00A8266B"/>
    <w:rsid w:val="00A826E1"/>
    <w:rsid w:val="00A8271C"/>
    <w:rsid w:val="00A8278F"/>
    <w:rsid w:val="00A829FF"/>
    <w:rsid w:val="00A82A3C"/>
    <w:rsid w:val="00A83159"/>
    <w:rsid w:val="00A831BF"/>
    <w:rsid w:val="00A836A8"/>
    <w:rsid w:val="00A836C2"/>
    <w:rsid w:val="00A83AC7"/>
    <w:rsid w:val="00A840E4"/>
    <w:rsid w:val="00A842F0"/>
    <w:rsid w:val="00A84444"/>
    <w:rsid w:val="00A8460C"/>
    <w:rsid w:val="00A8460E"/>
    <w:rsid w:val="00A8478F"/>
    <w:rsid w:val="00A84AAD"/>
    <w:rsid w:val="00A84D21"/>
    <w:rsid w:val="00A84E10"/>
    <w:rsid w:val="00A84FC7"/>
    <w:rsid w:val="00A85251"/>
    <w:rsid w:val="00A856DF"/>
    <w:rsid w:val="00A85A1C"/>
    <w:rsid w:val="00A85B88"/>
    <w:rsid w:val="00A85C84"/>
    <w:rsid w:val="00A85D0F"/>
    <w:rsid w:val="00A85D14"/>
    <w:rsid w:val="00A8604C"/>
    <w:rsid w:val="00A861C9"/>
    <w:rsid w:val="00A861EC"/>
    <w:rsid w:val="00A863A6"/>
    <w:rsid w:val="00A8642F"/>
    <w:rsid w:val="00A864B6"/>
    <w:rsid w:val="00A8676F"/>
    <w:rsid w:val="00A86B76"/>
    <w:rsid w:val="00A86C03"/>
    <w:rsid w:val="00A870C1"/>
    <w:rsid w:val="00A87157"/>
    <w:rsid w:val="00A8717E"/>
    <w:rsid w:val="00A8720F"/>
    <w:rsid w:val="00A872EB"/>
    <w:rsid w:val="00A875FB"/>
    <w:rsid w:val="00A876CC"/>
    <w:rsid w:val="00A8779B"/>
    <w:rsid w:val="00A87907"/>
    <w:rsid w:val="00A8795C"/>
    <w:rsid w:val="00A879FC"/>
    <w:rsid w:val="00A87A41"/>
    <w:rsid w:val="00A87A59"/>
    <w:rsid w:val="00A87B11"/>
    <w:rsid w:val="00A87B37"/>
    <w:rsid w:val="00A87D4A"/>
    <w:rsid w:val="00A87D52"/>
    <w:rsid w:val="00A87FCB"/>
    <w:rsid w:val="00A903C6"/>
    <w:rsid w:val="00A90559"/>
    <w:rsid w:val="00A90843"/>
    <w:rsid w:val="00A908D5"/>
    <w:rsid w:val="00A90CF9"/>
    <w:rsid w:val="00A91231"/>
    <w:rsid w:val="00A91477"/>
    <w:rsid w:val="00A916BE"/>
    <w:rsid w:val="00A9172C"/>
    <w:rsid w:val="00A9175F"/>
    <w:rsid w:val="00A9181C"/>
    <w:rsid w:val="00A91925"/>
    <w:rsid w:val="00A91A08"/>
    <w:rsid w:val="00A91B90"/>
    <w:rsid w:val="00A91CCD"/>
    <w:rsid w:val="00A91FB1"/>
    <w:rsid w:val="00A9200B"/>
    <w:rsid w:val="00A92936"/>
    <w:rsid w:val="00A92980"/>
    <w:rsid w:val="00A93045"/>
    <w:rsid w:val="00A93107"/>
    <w:rsid w:val="00A936A2"/>
    <w:rsid w:val="00A936AB"/>
    <w:rsid w:val="00A936D9"/>
    <w:rsid w:val="00A939FB"/>
    <w:rsid w:val="00A94188"/>
    <w:rsid w:val="00A94234"/>
    <w:rsid w:val="00A94253"/>
    <w:rsid w:val="00A942FA"/>
    <w:rsid w:val="00A943C0"/>
    <w:rsid w:val="00A94559"/>
    <w:rsid w:val="00A945DE"/>
    <w:rsid w:val="00A94611"/>
    <w:rsid w:val="00A94649"/>
    <w:rsid w:val="00A94733"/>
    <w:rsid w:val="00A94A6C"/>
    <w:rsid w:val="00A94D80"/>
    <w:rsid w:val="00A94E77"/>
    <w:rsid w:val="00A94EED"/>
    <w:rsid w:val="00A94F97"/>
    <w:rsid w:val="00A95089"/>
    <w:rsid w:val="00A950F4"/>
    <w:rsid w:val="00A95BFA"/>
    <w:rsid w:val="00A95C6F"/>
    <w:rsid w:val="00A95D36"/>
    <w:rsid w:val="00A9632A"/>
    <w:rsid w:val="00A963FB"/>
    <w:rsid w:val="00A96E22"/>
    <w:rsid w:val="00A96E28"/>
    <w:rsid w:val="00A96E3C"/>
    <w:rsid w:val="00A97090"/>
    <w:rsid w:val="00A97135"/>
    <w:rsid w:val="00A971CD"/>
    <w:rsid w:val="00A973D6"/>
    <w:rsid w:val="00A97426"/>
    <w:rsid w:val="00A97427"/>
    <w:rsid w:val="00A974D3"/>
    <w:rsid w:val="00A97DA6"/>
    <w:rsid w:val="00A97F52"/>
    <w:rsid w:val="00AA0008"/>
    <w:rsid w:val="00AA0702"/>
    <w:rsid w:val="00AA0B41"/>
    <w:rsid w:val="00AA0C21"/>
    <w:rsid w:val="00AA1405"/>
    <w:rsid w:val="00AA1495"/>
    <w:rsid w:val="00AA1661"/>
    <w:rsid w:val="00AA1A58"/>
    <w:rsid w:val="00AA1AA7"/>
    <w:rsid w:val="00AA1B6C"/>
    <w:rsid w:val="00AA1C11"/>
    <w:rsid w:val="00AA1D1A"/>
    <w:rsid w:val="00AA1FD8"/>
    <w:rsid w:val="00AA249F"/>
    <w:rsid w:val="00AA2633"/>
    <w:rsid w:val="00AA2634"/>
    <w:rsid w:val="00AA2861"/>
    <w:rsid w:val="00AA2AC6"/>
    <w:rsid w:val="00AA2B3D"/>
    <w:rsid w:val="00AA2BD2"/>
    <w:rsid w:val="00AA2E3D"/>
    <w:rsid w:val="00AA2F1C"/>
    <w:rsid w:val="00AA3499"/>
    <w:rsid w:val="00AA37A0"/>
    <w:rsid w:val="00AA37C2"/>
    <w:rsid w:val="00AA386E"/>
    <w:rsid w:val="00AA3BCA"/>
    <w:rsid w:val="00AA3C9B"/>
    <w:rsid w:val="00AA3D24"/>
    <w:rsid w:val="00AA3D67"/>
    <w:rsid w:val="00AA3E23"/>
    <w:rsid w:val="00AA40A2"/>
    <w:rsid w:val="00AA434A"/>
    <w:rsid w:val="00AA46EA"/>
    <w:rsid w:val="00AA46EB"/>
    <w:rsid w:val="00AA47C3"/>
    <w:rsid w:val="00AA483B"/>
    <w:rsid w:val="00AA497F"/>
    <w:rsid w:val="00AA4D59"/>
    <w:rsid w:val="00AA4E3E"/>
    <w:rsid w:val="00AA4EB9"/>
    <w:rsid w:val="00AA4F12"/>
    <w:rsid w:val="00AA5470"/>
    <w:rsid w:val="00AA550B"/>
    <w:rsid w:val="00AA5602"/>
    <w:rsid w:val="00AA5785"/>
    <w:rsid w:val="00AA58BF"/>
    <w:rsid w:val="00AA590E"/>
    <w:rsid w:val="00AA59E8"/>
    <w:rsid w:val="00AA5FA9"/>
    <w:rsid w:val="00AA6072"/>
    <w:rsid w:val="00AA62FA"/>
    <w:rsid w:val="00AA65CE"/>
    <w:rsid w:val="00AA67CE"/>
    <w:rsid w:val="00AA6942"/>
    <w:rsid w:val="00AA6A74"/>
    <w:rsid w:val="00AA6DFC"/>
    <w:rsid w:val="00AA6FD1"/>
    <w:rsid w:val="00AA7181"/>
    <w:rsid w:val="00AA71FA"/>
    <w:rsid w:val="00AA7273"/>
    <w:rsid w:val="00AA7429"/>
    <w:rsid w:val="00AA745E"/>
    <w:rsid w:val="00AA74A2"/>
    <w:rsid w:val="00AA751C"/>
    <w:rsid w:val="00AA7653"/>
    <w:rsid w:val="00AA7779"/>
    <w:rsid w:val="00AA7788"/>
    <w:rsid w:val="00AA77A2"/>
    <w:rsid w:val="00AA7993"/>
    <w:rsid w:val="00AA79F8"/>
    <w:rsid w:val="00AA7BFA"/>
    <w:rsid w:val="00AA7C8A"/>
    <w:rsid w:val="00AA7EFA"/>
    <w:rsid w:val="00AA7FD7"/>
    <w:rsid w:val="00AB043C"/>
    <w:rsid w:val="00AB0566"/>
    <w:rsid w:val="00AB061C"/>
    <w:rsid w:val="00AB0810"/>
    <w:rsid w:val="00AB09A3"/>
    <w:rsid w:val="00AB0A53"/>
    <w:rsid w:val="00AB0C42"/>
    <w:rsid w:val="00AB0FA9"/>
    <w:rsid w:val="00AB1179"/>
    <w:rsid w:val="00AB123C"/>
    <w:rsid w:val="00AB125C"/>
    <w:rsid w:val="00AB1261"/>
    <w:rsid w:val="00AB12B1"/>
    <w:rsid w:val="00AB1341"/>
    <w:rsid w:val="00AB19D8"/>
    <w:rsid w:val="00AB1B7E"/>
    <w:rsid w:val="00AB1CC7"/>
    <w:rsid w:val="00AB1E2F"/>
    <w:rsid w:val="00AB1EFA"/>
    <w:rsid w:val="00AB21A0"/>
    <w:rsid w:val="00AB22E4"/>
    <w:rsid w:val="00AB23B0"/>
    <w:rsid w:val="00AB26A3"/>
    <w:rsid w:val="00AB2807"/>
    <w:rsid w:val="00AB2839"/>
    <w:rsid w:val="00AB2930"/>
    <w:rsid w:val="00AB29CE"/>
    <w:rsid w:val="00AB2AC9"/>
    <w:rsid w:val="00AB2BC3"/>
    <w:rsid w:val="00AB2CC8"/>
    <w:rsid w:val="00AB2FE3"/>
    <w:rsid w:val="00AB308C"/>
    <w:rsid w:val="00AB3094"/>
    <w:rsid w:val="00AB316E"/>
    <w:rsid w:val="00AB31A7"/>
    <w:rsid w:val="00AB3355"/>
    <w:rsid w:val="00AB3442"/>
    <w:rsid w:val="00AB37B9"/>
    <w:rsid w:val="00AB3819"/>
    <w:rsid w:val="00AB3841"/>
    <w:rsid w:val="00AB38F6"/>
    <w:rsid w:val="00AB3909"/>
    <w:rsid w:val="00AB3B2C"/>
    <w:rsid w:val="00AB3C2D"/>
    <w:rsid w:val="00AB3C82"/>
    <w:rsid w:val="00AB3CA6"/>
    <w:rsid w:val="00AB3D32"/>
    <w:rsid w:val="00AB4067"/>
    <w:rsid w:val="00AB4124"/>
    <w:rsid w:val="00AB4351"/>
    <w:rsid w:val="00AB468F"/>
    <w:rsid w:val="00AB4788"/>
    <w:rsid w:val="00AB4889"/>
    <w:rsid w:val="00AB4B0C"/>
    <w:rsid w:val="00AB4C58"/>
    <w:rsid w:val="00AB4C88"/>
    <w:rsid w:val="00AB4D4C"/>
    <w:rsid w:val="00AB4E64"/>
    <w:rsid w:val="00AB503C"/>
    <w:rsid w:val="00AB5182"/>
    <w:rsid w:val="00AB5501"/>
    <w:rsid w:val="00AB5538"/>
    <w:rsid w:val="00AB56B6"/>
    <w:rsid w:val="00AB58DE"/>
    <w:rsid w:val="00AB5B52"/>
    <w:rsid w:val="00AB5C1C"/>
    <w:rsid w:val="00AB5E2C"/>
    <w:rsid w:val="00AB5E8D"/>
    <w:rsid w:val="00AB60E7"/>
    <w:rsid w:val="00AB6117"/>
    <w:rsid w:val="00AB61B6"/>
    <w:rsid w:val="00AB65A2"/>
    <w:rsid w:val="00AB6764"/>
    <w:rsid w:val="00AB6BF5"/>
    <w:rsid w:val="00AB6D4F"/>
    <w:rsid w:val="00AB71A0"/>
    <w:rsid w:val="00AB71FE"/>
    <w:rsid w:val="00AB73AE"/>
    <w:rsid w:val="00AB7843"/>
    <w:rsid w:val="00AB784B"/>
    <w:rsid w:val="00AB7871"/>
    <w:rsid w:val="00AB798A"/>
    <w:rsid w:val="00AB7C41"/>
    <w:rsid w:val="00AB7CE4"/>
    <w:rsid w:val="00AB7D53"/>
    <w:rsid w:val="00AB7D96"/>
    <w:rsid w:val="00AB7DC4"/>
    <w:rsid w:val="00AC0008"/>
    <w:rsid w:val="00AC0138"/>
    <w:rsid w:val="00AC0211"/>
    <w:rsid w:val="00AC0617"/>
    <w:rsid w:val="00AC0843"/>
    <w:rsid w:val="00AC09AA"/>
    <w:rsid w:val="00AC09FD"/>
    <w:rsid w:val="00AC0BAC"/>
    <w:rsid w:val="00AC0CA8"/>
    <w:rsid w:val="00AC0D34"/>
    <w:rsid w:val="00AC0E87"/>
    <w:rsid w:val="00AC0F32"/>
    <w:rsid w:val="00AC144F"/>
    <w:rsid w:val="00AC1834"/>
    <w:rsid w:val="00AC1B78"/>
    <w:rsid w:val="00AC1C04"/>
    <w:rsid w:val="00AC1F90"/>
    <w:rsid w:val="00AC1FB0"/>
    <w:rsid w:val="00AC1FD8"/>
    <w:rsid w:val="00AC200A"/>
    <w:rsid w:val="00AC234A"/>
    <w:rsid w:val="00AC2417"/>
    <w:rsid w:val="00AC2586"/>
    <w:rsid w:val="00AC2709"/>
    <w:rsid w:val="00AC2BA9"/>
    <w:rsid w:val="00AC2C6D"/>
    <w:rsid w:val="00AC2C88"/>
    <w:rsid w:val="00AC2D36"/>
    <w:rsid w:val="00AC2D72"/>
    <w:rsid w:val="00AC2F04"/>
    <w:rsid w:val="00AC2F9C"/>
    <w:rsid w:val="00AC35F9"/>
    <w:rsid w:val="00AC3899"/>
    <w:rsid w:val="00AC3C72"/>
    <w:rsid w:val="00AC3C8A"/>
    <w:rsid w:val="00AC3F93"/>
    <w:rsid w:val="00AC4031"/>
    <w:rsid w:val="00AC4194"/>
    <w:rsid w:val="00AC41B1"/>
    <w:rsid w:val="00AC4305"/>
    <w:rsid w:val="00AC46A0"/>
    <w:rsid w:val="00AC4752"/>
    <w:rsid w:val="00AC476B"/>
    <w:rsid w:val="00AC484F"/>
    <w:rsid w:val="00AC4964"/>
    <w:rsid w:val="00AC49D4"/>
    <w:rsid w:val="00AC4AAA"/>
    <w:rsid w:val="00AC4AEB"/>
    <w:rsid w:val="00AC4AF9"/>
    <w:rsid w:val="00AC4C04"/>
    <w:rsid w:val="00AC4C28"/>
    <w:rsid w:val="00AC4E83"/>
    <w:rsid w:val="00AC4F47"/>
    <w:rsid w:val="00AC52A6"/>
    <w:rsid w:val="00AC5364"/>
    <w:rsid w:val="00AC5573"/>
    <w:rsid w:val="00AC5614"/>
    <w:rsid w:val="00AC5730"/>
    <w:rsid w:val="00AC57AC"/>
    <w:rsid w:val="00AC5BEE"/>
    <w:rsid w:val="00AC5F02"/>
    <w:rsid w:val="00AC6113"/>
    <w:rsid w:val="00AC618B"/>
    <w:rsid w:val="00AC61AD"/>
    <w:rsid w:val="00AC61FA"/>
    <w:rsid w:val="00AC64EE"/>
    <w:rsid w:val="00AC6769"/>
    <w:rsid w:val="00AC685B"/>
    <w:rsid w:val="00AC6900"/>
    <w:rsid w:val="00AC6B54"/>
    <w:rsid w:val="00AC6CEB"/>
    <w:rsid w:val="00AC7265"/>
    <w:rsid w:val="00AC72E0"/>
    <w:rsid w:val="00AC7496"/>
    <w:rsid w:val="00AC74C1"/>
    <w:rsid w:val="00AC7607"/>
    <w:rsid w:val="00AC7874"/>
    <w:rsid w:val="00AC78BC"/>
    <w:rsid w:val="00AC7BCB"/>
    <w:rsid w:val="00AC7C75"/>
    <w:rsid w:val="00AC7ED7"/>
    <w:rsid w:val="00AD0067"/>
    <w:rsid w:val="00AD0623"/>
    <w:rsid w:val="00AD06E0"/>
    <w:rsid w:val="00AD06EA"/>
    <w:rsid w:val="00AD09A9"/>
    <w:rsid w:val="00AD1116"/>
    <w:rsid w:val="00AD168E"/>
    <w:rsid w:val="00AD1690"/>
    <w:rsid w:val="00AD1E8B"/>
    <w:rsid w:val="00AD1F96"/>
    <w:rsid w:val="00AD2111"/>
    <w:rsid w:val="00AD284C"/>
    <w:rsid w:val="00AD28AF"/>
    <w:rsid w:val="00AD2924"/>
    <w:rsid w:val="00AD2A4A"/>
    <w:rsid w:val="00AD2A88"/>
    <w:rsid w:val="00AD2B5E"/>
    <w:rsid w:val="00AD2C3E"/>
    <w:rsid w:val="00AD2C74"/>
    <w:rsid w:val="00AD2D68"/>
    <w:rsid w:val="00AD2DA4"/>
    <w:rsid w:val="00AD32F4"/>
    <w:rsid w:val="00AD3325"/>
    <w:rsid w:val="00AD33AF"/>
    <w:rsid w:val="00AD33DE"/>
    <w:rsid w:val="00AD356C"/>
    <w:rsid w:val="00AD369B"/>
    <w:rsid w:val="00AD3BA0"/>
    <w:rsid w:val="00AD3BBD"/>
    <w:rsid w:val="00AD3CC4"/>
    <w:rsid w:val="00AD3D67"/>
    <w:rsid w:val="00AD3E0D"/>
    <w:rsid w:val="00AD3E54"/>
    <w:rsid w:val="00AD433C"/>
    <w:rsid w:val="00AD4362"/>
    <w:rsid w:val="00AD4365"/>
    <w:rsid w:val="00AD43F6"/>
    <w:rsid w:val="00AD45FB"/>
    <w:rsid w:val="00AD4715"/>
    <w:rsid w:val="00AD4838"/>
    <w:rsid w:val="00AD49E5"/>
    <w:rsid w:val="00AD4D17"/>
    <w:rsid w:val="00AD4EA8"/>
    <w:rsid w:val="00AD4FFA"/>
    <w:rsid w:val="00AD5126"/>
    <w:rsid w:val="00AD5274"/>
    <w:rsid w:val="00AD5340"/>
    <w:rsid w:val="00AD59C4"/>
    <w:rsid w:val="00AD59FA"/>
    <w:rsid w:val="00AD5A39"/>
    <w:rsid w:val="00AD5CED"/>
    <w:rsid w:val="00AD6284"/>
    <w:rsid w:val="00AD62DC"/>
    <w:rsid w:val="00AD64BB"/>
    <w:rsid w:val="00AD65B4"/>
    <w:rsid w:val="00AD6842"/>
    <w:rsid w:val="00AD687D"/>
    <w:rsid w:val="00AD68CF"/>
    <w:rsid w:val="00AD69EC"/>
    <w:rsid w:val="00AD6A93"/>
    <w:rsid w:val="00AD6AB1"/>
    <w:rsid w:val="00AD6C14"/>
    <w:rsid w:val="00AD6CD6"/>
    <w:rsid w:val="00AD6E7C"/>
    <w:rsid w:val="00AD6F46"/>
    <w:rsid w:val="00AD73FF"/>
    <w:rsid w:val="00AD758C"/>
    <w:rsid w:val="00AD75D9"/>
    <w:rsid w:val="00AD77A4"/>
    <w:rsid w:val="00AD781E"/>
    <w:rsid w:val="00AD78AE"/>
    <w:rsid w:val="00AD79DD"/>
    <w:rsid w:val="00AD7A07"/>
    <w:rsid w:val="00AE000A"/>
    <w:rsid w:val="00AE005D"/>
    <w:rsid w:val="00AE0656"/>
    <w:rsid w:val="00AE0792"/>
    <w:rsid w:val="00AE0839"/>
    <w:rsid w:val="00AE0D89"/>
    <w:rsid w:val="00AE0DE7"/>
    <w:rsid w:val="00AE11B6"/>
    <w:rsid w:val="00AE13DF"/>
    <w:rsid w:val="00AE14CB"/>
    <w:rsid w:val="00AE15CB"/>
    <w:rsid w:val="00AE17A8"/>
    <w:rsid w:val="00AE1CB4"/>
    <w:rsid w:val="00AE1CC2"/>
    <w:rsid w:val="00AE202A"/>
    <w:rsid w:val="00AE2153"/>
    <w:rsid w:val="00AE218A"/>
    <w:rsid w:val="00AE2700"/>
    <w:rsid w:val="00AE2937"/>
    <w:rsid w:val="00AE2A92"/>
    <w:rsid w:val="00AE2BD4"/>
    <w:rsid w:val="00AE2C53"/>
    <w:rsid w:val="00AE2E9C"/>
    <w:rsid w:val="00AE302F"/>
    <w:rsid w:val="00AE3171"/>
    <w:rsid w:val="00AE33DB"/>
    <w:rsid w:val="00AE368D"/>
    <w:rsid w:val="00AE36EF"/>
    <w:rsid w:val="00AE3AC3"/>
    <w:rsid w:val="00AE3B8A"/>
    <w:rsid w:val="00AE3BA6"/>
    <w:rsid w:val="00AE3BE4"/>
    <w:rsid w:val="00AE3DDD"/>
    <w:rsid w:val="00AE41FF"/>
    <w:rsid w:val="00AE4403"/>
    <w:rsid w:val="00AE44E3"/>
    <w:rsid w:val="00AE45CC"/>
    <w:rsid w:val="00AE464B"/>
    <w:rsid w:val="00AE4931"/>
    <w:rsid w:val="00AE495C"/>
    <w:rsid w:val="00AE49E7"/>
    <w:rsid w:val="00AE4A51"/>
    <w:rsid w:val="00AE4A74"/>
    <w:rsid w:val="00AE4B66"/>
    <w:rsid w:val="00AE4B8F"/>
    <w:rsid w:val="00AE4CC7"/>
    <w:rsid w:val="00AE4D93"/>
    <w:rsid w:val="00AE5009"/>
    <w:rsid w:val="00AE51FE"/>
    <w:rsid w:val="00AE5407"/>
    <w:rsid w:val="00AE594F"/>
    <w:rsid w:val="00AE5CC2"/>
    <w:rsid w:val="00AE5CFB"/>
    <w:rsid w:val="00AE5D22"/>
    <w:rsid w:val="00AE5F86"/>
    <w:rsid w:val="00AE5FA0"/>
    <w:rsid w:val="00AE60EC"/>
    <w:rsid w:val="00AE62CF"/>
    <w:rsid w:val="00AE6409"/>
    <w:rsid w:val="00AE6475"/>
    <w:rsid w:val="00AE656C"/>
    <w:rsid w:val="00AE6CB9"/>
    <w:rsid w:val="00AE6F77"/>
    <w:rsid w:val="00AE7241"/>
    <w:rsid w:val="00AE73E8"/>
    <w:rsid w:val="00AE76FC"/>
    <w:rsid w:val="00AE7861"/>
    <w:rsid w:val="00AE78F0"/>
    <w:rsid w:val="00AE79FA"/>
    <w:rsid w:val="00AE7E74"/>
    <w:rsid w:val="00AE7EFD"/>
    <w:rsid w:val="00AE7FAA"/>
    <w:rsid w:val="00AF01C3"/>
    <w:rsid w:val="00AF01DB"/>
    <w:rsid w:val="00AF0B4D"/>
    <w:rsid w:val="00AF0C27"/>
    <w:rsid w:val="00AF0DC0"/>
    <w:rsid w:val="00AF0DF0"/>
    <w:rsid w:val="00AF0FAF"/>
    <w:rsid w:val="00AF100D"/>
    <w:rsid w:val="00AF116F"/>
    <w:rsid w:val="00AF1418"/>
    <w:rsid w:val="00AF154D"/>
    <w:rsid w:val="00AF155D"/>
    <w:rsid w:val="00AF18C0"/>
    <w:rsid w:val="00AF18DB"/>
    <w:rsid w:val="00AF190D"/>
    <w:rsid w:val="00AF1B11"/>
    <w:rsid w:val="00AF1B6F"/>
    <w:rsid w:val="00AF1FB4"/>
    <w:rsid w:val="00AF202E"/>
    <w:rsid w:val="00AF23E1"/>
    <w:rsid w:val="00AF24BC"/>
    <w:rsid w:val="00AF24CC"/>
    <w:rsid w:val="00AF25B2"/>
    <w:rsid w:val="00AF27F7"/>
    <w:rsid w:val="00AF294B"/>
    <w:rsid w:val="00AF2987"/>
    <w:rsid w:val="00AF2AFA"/>
    <w:rsid w:val="00AF3131"/>
    <w:rsid w:val="00AF314C"/>
    <w:rsid w:val="00AF3331"/>
    <w:rsid w:val="00AF33C2"/>
    <w:rsid w:val="00AF348D"/>
    <w:rsid w:val="00AF358F"/>
    <w:rsid w:val="00AF4741"/>
    <w:rsid w:val="00AF4992"/>
    <w:rsid w:val="00AF4BC6"/>
    <w:rsid w:val="00AF4C6A"/>
    <w:rsid w:val="00AF4DE0"/>
    <w:rsid w:val="00AF4E3E"/>
    <w:rsid w:val="00AF4EF1"/>
    <w:rsid w:val="00AF4F38"/>
    <w:rsid w:val="00AF4F44"/>
    <w:rsid w:val="00AF555E"/>
    <w:rsid w:val="00AF5A65"/>
    <w:rsid w:val="00AF5E73"/>
    <w:rsid w:val="00AF5EDC"/>
    <w:rsid w:val="00AF5FC6"/>
    <w:rsid w:val="00AF61C9"/>
    <w:rsid w:val="00AF6214"/>
    <w:rsid w:val="00AF68E4"/>
    <w:rsid w:val="00AF6905"/>
    <w:rsid w:val="00AF6954"/>
    <w:rsid w:val="00AF6D4B"/>
    <w:rsid w:val="00AF6F80"/>
    <w:rsid w:val="00AF700D"/>
    <w:rsid w:val="00AF71DE"/>
    <w:rsid w:val="00AF72AD"/>
    <w:rsid w:val="00AF76E7"/>
    <w:rsid w:val="00AF77F9"/>
    <w:rsid w:val="00AF784B"/>
    <w:rsid w:val="00AF78FE"/>
    <w:rsid w:val="00AF7968"/>
    <w:rsid w:val="00AF7EC7"/>
    <w:rsid w:val="00B001BF"/>
    <w:rsid w:val="00B0023F"/>
    <w:rsid w:val="00B005C9"/>
    <w:rsid w:val="00B006F2"/>
    <w:rsid w:val="00B00A39"/>
    <w:rsid w:val="00B00BE2"/>
    <w:rsid w:val="00B00CCB"/>
    <w:rsid w:val="00B00F86"/>
    <w:rsid w:val="00B01098"/>
    <w:rsid w:val="00B013A9"/>
    <w:rsid w:val="00B013BE"/>
    <w:rsid w:val="00B0165B"/>
    <w:rsid w:val="00B0184B"/>
    <w:rsid w:val="00B018F4"/>
    <w:rsid w:val="00B01965"/>
    <w:rsid w:val="00B019E2"/>
    <w:rsid w:val="00B01BAE"/>
    <w:rsid w:val="00B01CD2"/>
    <w:rsid w:val="00B01E79"/>
    <w:rsid w:val="00B0200A"/>
    <w:rsid w:val="00B02041"/>
    <w:rsid w:val="00B02074"/>
    <w:rsid w:val="00B02130"/>
    <w:rsid w:val="00B022B5"/>
    <w:rsid w:val="00B023F5"/>
    <w:rsid w:val="00B0262D"/>
    <w:rsid w:val="00B026C4"/>
    <w:rsid w:val="00B028EF"/>
    <w:rsid w:val="00B02946"/>
    <w:rsid w:val="00B02A88"/>
    <w:rsid w:val="00B02C04"/>
    <w:rsid w:val="00B02C21"/>
    <w:rsid w:val="00B02CD1"/>
    <w:rsid w:val="00B02FA1"/>
    <w:rsid w:val="00B0318D"/>
    <w:rsid w:val="00B03325"/>
    <w:rsid w:val="00B034E8"/>
    <w:rsid w:val="00B036AC"/>
    <w:rsid w:val="00B03AFE"/>
    <w:rsid w:val="00B03B75"/>
    <w:rsid w:val="00B03C9A"/>
    <w:rsid w:val="00B03D3E"/>
    <w:rsid w:val="00B03E05"/>
    <w:rsid w:val="00B04374"/>
    <w:rsid w:val="00B04503"/>
    <w:rsid w:val="00B04866"/>
    <w:rsid w:val="00B04B40"/>
    <w:rsid w:val="00B04B61"/>
    <w:rsid w:val="00B04CB6"/>
    <w:rsid w:val="00B04CDA"/>
    <w:rsid w:val="00B04DA0"/>
    <w:rsid w:val="00B04DB7"/>
    <w:rsid w:val="00B04ED3"/>
    <w:rsid w:val="00B0547E"/>
    <w:rsid w:val="00B054B0"/>
    <w:rsid w:val="00B056F2"/>
    <w:rsid w:val="00B05716"/>
    <w:rsid w:val="00B0578B"/>
    <w:rsid w:val="00B058B1"/>
    <w:rsid w:val="00B05B1E"/>
    <w:rsid w:val="00B05F08"/>
    <w:rsid w:val="00B05F3D"/>
    <w:rsid w:val="00B05FC7"/>
    <w:rsid w:val="00B061BA"/>
    <w:rsid w:val="00B0650D"/>
    <w:rsid w:val="00B0657D"/>
    <w:rsid w:val="00B065BF"/>
    <w:rsid w:val="00B0679B"/>
    <w:rsid w:val="00B067F1"/>
    <w:rsid w:val="00B06C26"/>
    <w:rsid w:val="00B06CD9"/>
    <w:rsid w:val="00B06E10"/>
    <w:rsid w:val="00B06EA8"/>
    <w:rsid w:val="00B06F47"/>
    <w:rsid w:val="00B07413"/>
    <w:rsid w:val="00B074F7"/>
    <w:rsid w:val="00B075A3"/>
    <w:rsid w:val="00B077A6"/>
    <w:rsid w:val="00B07993"/>
    <w:rsid w:val="00B07AAE"/>
    <w:rsid w:val="00B07CA3"/>
    <w:rsid w:val="00B07DCD"/>
    <w:rsid w:val="00B07EEE"/>
    <w:rsid w:val="00B100DD"/>
    <w:rsid w:val="00B103A6"/>
    <w:rsid w:val="00B103D7"/>
    <w:rsid w:val="00B1062E"/>
    <w:rsid w:val="00B10670"/>
    <w:rsid w:val="00B10688"/>
    <w:rsid w:val="00B10874"/>
    <w:rsid w:val="00B10930"/>
    <w:rsid w:val="00B10C3A"/>
    <w:rsid w:val="00B10FF1"/>
    <w:rsid w:val="00B1103A"/>
    <w:rsid w:val="00B111DF"/>
    <w:rsid w:val="00B11307"/>
    <w:rsid w:val="00B113F8"/>
    <w:rsid w:val="00B11472"/>
    <w:rsid w:val="00B11502"/>
    <w:rsid w:val="00B115BA"/>
    <w:rsid w:val="00B115DA"/>
    <w:rsid w:val="00B117DC"/>
    <w:rsid w:val="00B118C6"/>
    <w:rsid w:val="00B119AD"/>
    <w:rsid w:val="00B119FA"/>
    <w:rsid w:val="00B11AB1"/>
    <w:rsid w:val="00B11D5D"/>
    <w:rsid w:val="00B11ECA"/>
    <w:rsid w:val="00B11EF7"/>
    <w:rsid w:val="00B11F51"/>
    <w:rsid w:val="00B12282"/>
    <w:rsid w:val="00B12598"/>
    <w:rsid w:val="00B1260E"/>
    <w:rsid w:val="00B1266A"/>
    <w:rsid w:val="00B1266B"/>
    <w:rsid w:val="00B12C0B"/>
    <w:rsid w:val="00B12D46"/>
    <w:rsid w:val="00B1303C"/>
    <w:rsid w:val="00B131F4"/>
    <w:rsid w:val="00B134DA"/>
    <w:rsid w:val="00B138F7"/>
    <w:rsid w:val="00B13BCE"/>
    <w:rsid w:val="00B13DF9"/>
    <w:rsid w:val="00B13FAB"/>
    <w:rsid w:val="00B13FD6"/>
    <w:rsid w:val="00B14093"/>
    <w:rsid w:val="00B141CB"/>
    <w:rsid w:val="00B1425E"/>
    <w:rsid w:val="00B1429E"/>
    <w:rsid w:val="00B1441B"/>
    <w:rsid w:val="00B145BF"/>
    <w:rsid w:val="00B145CE"/>
    <w:rsid w:val="00B14640"/>
    <w:rsid w:val="00B14660"/>
    <w:rsid w:val="00B14695"/>
    <w:rsid w:val="00B14860"/>
    <w:rsid w:val="00B14AAB"/>
    <w:rsid w:val="00B14C12"/>
    <w:rsid w:val="00B14CDE"/>
    <w:rsid w:val="00B150E5"/>
    <w:rsid w:val="00B151DD"/>
    <w:rsid w:val="00B153C3"/>
    <w:rsid w:val="00B1540A"/>
    <w:rsid w:val="00B15502"/>
    <w:rsid w:val="00B15527"/>
    <w:rsid w:val="00B155A1"/>
    <w:rsid w:val="00B1567A"/>
    <w:rsid w:val="00B15836"/>
    <w:rsid w:val="00B15898"/>
    <w:rsid w:val="00B15905"/>
    <w:rsid w:val="00B15920"/>
    <w:rsid w:val="00B15968"/>
    <w:rsid w:val="00B15BD9"/>
    <w:rsid w:val="00B15CEF"/>
    <w:rsid w:val="00B162B9"/>
    <w:rsid w:val="00B16811"/>
    <w:rsid w:val="00B168DC"/>
    <w:rsid w:val="00B16A48"/>
    <w:rsid w:val="00B16A84"/>
    <w:rsid w:val="00B16AC0"/>
    <w:rsid w:val="00B16BEB"/>
    <w:rsid w:val="00B16CE0"/>
    <w:rsid w:val="00B17000"/>
    <w:rsid w:val="00B1744D"/>
    <w:rsid w:val="00B17486"/>
    <w:rsid w:val="00B1751B"/>
    <w:rsid w:val="00B17567"/>
    <w:rsid w:val="00B176B1"/>
    <w:rsid w:val="00B17706"/>
    <w:rsid w:val="00B17830"/>
    <w:rsid w:val="00B178F1"/>
    <w:rsid w:val="00B1792F"/>
    <w:rsid w:val="00B1798D"/>
    <w:rsid w:val="00B17B49"/>
    <w:rsid w:val="00B17BD5"/>
    <w:rsid w:val="00B17C42"/>
    <w:rsid w:val="00B17D79"/>
    <w:rsid w:val="00B200E7"/>
    <w:rsid w:val="00B2037A"/>
    <w:rsid w:val="00B205E5"/>
    <w:rsid w:val="00B20A1E"/>
    <w:rsid w:val="00B20C82"/>
    <w:rsid w:val="00B20DD3"/>
    <w:rsid w:val="00B20ED9"/>
    <w:rsid w:val="00B212CF"/>
    <w:rsid w:val="00B212E4"/>
    <w:rsid w:val="00B2136D"/>
    <w:rsid w:val="00B219D0"/>
    <w:rsid w:val="00B21AFF"/>
    <w:rsid w:val="00B21BAC"/>
    <w:rsid w:val="00B21CFC"/>
    <w:rsid w:val="00B21E5A"/>
    <w:rsid w:val="00B21E6B"/>
    <w:rsid w:val="00B22039"/>
    <w:rsid w:val="00B2203B"/>
    <w:rsid w:val="00B22196"/>
    <w:rsid w:val="00B222AA"/>
    <w:rsid w:val="00B2241A"/>
    <w:rsid w:val="00B22588"/>
    <w:rsid w:val="00B22685"/>
    <w:rsid w:val="00B227F6"/>
    <w:rsid w:val="00B22A2B"/>
    <w:rsid w:val="00B22B69"/>
    <w:rsid w:val="00B22BB8"/>
    <w:rsid w:val="00B22BBF"/>
    <w:rsid w:val="00B22BF7"/>
    <w:rsid w:val="00B22C9F"/>
    <w:rsid w:val="00B230B3"/>
    <w:rsid w:val="00B23187"/>
    <w:rsid w:val="00B2341B"/>
    <w:rsid w:val="00B23A12"/>
    <w:rsid w:val="00B23B6C"/>
    <w:rsid w:val="00B242D6"/>
    <w:rsid w:val="00B2438E"/>
    <w:rsid w:val="00B243A6"/>
    <w:rsid w:val="00B2454D"/>
    <w:rsid w:val="00B2459F"/>
    <w:rsid w:val="00B24880"/>
    <w:rsid w:val="00B249D2"/>
    <w:rsid w:val="00B24CD8"/>
    <w:rsid w:val="00B24E13"/>
    <w:rsid w:val="00B250F5"/>
    <w:rsid w:val="00B2523B"/>
    <w:rsid w:val="00B254EF"/>
    <w:rsid w:val="00B25BEE"/>
    <w:rsid w:val="00B25D07"/>
    <w:rsid w:val="00B25D64"/>
    <w:rsid w:val="00B260DD"/>
    <w:rsid w:val="00B26219"/>
    <w:rsid w:val="00B26248"/>
    <w:rsid w:val="00B26444"/>
    <w:rsid w:val="00B26AEE"/>
    <w:rsid w:val="00B26D51"/>
    <w:rsid w:val="00B26D79"/>
    <w:rsid w:val="00B2738D"/>
    <w:rsid w:val="00B275B6"/>
    <w:rsid w:val="00B2767A"/>
    <w:rsid w:val="00B2778D"/>
    <w:rsid w:val="00B27D0C"/>
    <w:rsid w:val="00B27D92"/>
    <w:rsid w:val="00B27F45"/>
    <w:rsid w:val="00B300DD"/>
    <w:rsid w:val="00B30124"/>
    <w:rsid w:val="00B3012E"/>
    <w:rsid w:val="00B3058D"/>
    <w:rsid w:val="00B30631"/>
    <w:rsid w:val="00B30AB3"/>
    <w:rsid w:val="00B30C2A"/>
    <w:rsid w:val="00B30E5A"/>
    <w:rsid w:val="00B30F3F"/>
    <w:rsid w:val="00B30F6F"/>
    <w:rsid w:val="00B31506"/>
    <w:rsid w:val="00B31769"/>
    <w:rsid w:val="00B31C4C"/>
    <w:rsid w:val="00B31C9E"/>
    <w:rsid w:val="00B31DBD"/>
    <w:rsid w:val="00B31E53"/>
    <w:rsid w:val="00B31FF9"/>
    <w:rsid w:val="00B320ED"/>
    <w:rsid w:val="00B323E7"/>
    <w:rsid w:val="00B3256E"/>
    <w:rsid w:val="00B32622"/>
    <w:rsid w:val="00B32643"/>
    <w:rsid w:val="00B3267D"/>
    <w:rsid w:val="00B329BA"/>
    <w:rsid w:val="00B32A26"/>
    <w:rsid w:val="00B32A78"/>
    <w:rsid w:val="00B32E2E"/>
    <w:rsid w:val="00B33747"/>
    <w:rsid w:val="00B3392F"/>
    <w:rsid w:val="00B33A77"/>
    <w:rsid w:val="00B33C33"/>
    <w:rsid w:val="00B33CC1"/>
    <w:rsid w:val="00B33E2A"/>
    <w:rsid w:val="00B3407B"/>
    <w:rsid w:val="00B341F8"/>
    <w:rsid w:val="00B343AF"/>
    <w:rsid w:val="00B3442E"/>
    <w:rsid w:val="00B3488A"/>
    <w:rsid w:val="00B34A77"/>
    <w:rsid w:val="00B34AF2"/>
    <w:rsid w:val="00B34B07"/>
    <w:rsid w:val="00B34C1A"/>
    <w:rsid w:val="00B34D63"/>
    <w:rsid w:val="00B34D9D"/>
    <w:rsid w:val="00B34DA3"/>
    <w:rsid w:val="00B34DBF"/>
    <w:rsid w:val="00B34DF8"/>
    <w:rsid w:val="00B34E37"/>
    <w:rsid w:val="00B350E1"/>
    <w:rsid w:val="00B351A9"/>
    <w:rsid w:val="00B3527D"/>
    <w:rsid w:val="00B3530A"/>
    <w:rsid w:val="00B3589E"/>
    <w:rsid w:val="00B3599E"/>
    <w:rsid w:val="00B35A02"/>
    <w:rsid w:val="00B35ADC"/>
    <w:rsid w:val="00B35B25"/>
    <w:rsid w:val="00B35B2A"/>
    <w:rsid w:val="00B35CF5"/>
    <w:rsid w:val="00B35D55"/>
    <w:rsid w:val="00B3628D"/>
    <w:rsid w:val="00B362D8"/>
    <w:rsid w:val="00B36635"/>
    <w:rsid w:val="00B36636"/>
    <w:rsid w:val="00B36917"/>
    <w:rsid w:val="00B36D7B"/>
    <w:rsid w:val="00B36EA9"/>
    <w:rsid w:val="00B37137"/>
    <w:rsid w:val="00B37257"/>
    <w:rsid w:val="00B372E6"/>
    <w:rsid w:val="00B37464"/>
    <w:rsid w:val="00B37609"/>
    <w:rsid w:val="00B379D9"/>
    <w:rsid w:val="00B401B0"/>
    <w:rsid w:val="00B403AA"/>
    <w:rsid w:val="00B4051E"/>
    <w:rsid w:val="00B40576"/>
    <w:rsid w:val="00B40768"/>
    <w:rsid w:val="00B40842"/>
    <w:rsid w:val="00B40B01"/>
    <w:rsid w:val="00B40D43"/>
    <w:rsid w:val="00B40F7D"/>
    <w:rsid w:val="00B41116"/>
    <w:rsid w:val="00B412EA"/>
    <w:rsid w:val="00B4141A"/>
    <w:rsid w:val="00B41503"/>
    <w:rsid w:val="00B41590"/>
    <w:rsid w:val="00B41913"/>
    <w:rsid w:val="00B42303"/>
    <w:rsid w:val="00B4233F"/>
    <w:rsid w:val="00B424E6"/>
    <w:rsid w:val="00B429AB"/>
    <w:rsid w:val="00B42AFB"/>
    <w:rsid w:val="00B42D64"/>
    <w:rsid w:val="00B42EA6"/>
    <w:rsid w:val="00B43270"/>
    <w:rsid w:val="00B43313"/>
    <w:rsid w:val="00B4337B"/>
    <w:rsid w:val="00B435C6"/>
    <w:rsid w:val="00B435EB"/>
    <w:rsid w:val="00B43796"/>
    <w:rsid w:val="00B43965"/>
    <w:rsid w:val="00B43C8E"/>
    <w:rsid w:val="00B43CA4"/>
    <w:rsid w:val="00B43FE2"/>
    <w:rsid w:val="00B445F3"/>
    <w:rsid w:val="00B44613"/>
    <w:rsid w:val="00B44803"/>
    <w:rsid w:val="00B448B7"/>
    <w:rsid w:val="00B449EF"/>
    <w:rsid w:val="00B44A99"/>
    <w:rsid w:val="00B44B47"/>
    <w:rsid w:val="00B453A5"/>
    <w:rsid w:val="00B4542F"/>
    <w:rsid w:val="00B459B9"/>
    <w:rsid w:val="00B45BA5"/>
    <w:rsid w:val="00B4600D"/>
    <w:rsid w:val="00B4604A"/>
    <w:rsid w:val="00B4615E"/>
    <w:rsid w:val="00B46178"/>
    <w:rsid w:val="00B46234"/>
    <w:rsid w:val="00B463A9"/>
    <w:rsid w:val="00B46437"/>
    <w:rsid w:val="00B464DA"/>
    <w:rsid w:val="00B46634"/>
    <w:rsid w:val="00B467CB"/>
    <w:rsid w:val="00B4687D"/>
    <w:rsid w:val="00B469B4"/>
    <w:rsid w:val="00B46BA4"/>
    <w:rsid w:val="00B46EFB"/>
    <w:rsid w:val="00B47042"/>
    <w:rsid w:val="00B47148"/>
    <w:rsid w:val="00B4714A"/>
    <w:rsid w:val="00B471D0"/>
    <w:rsid w:val="00B47332"/>
    <w:rsid w:val="00B47627"/>
    <w:rsid w:val="00B4786F"/>
    <w:rsid w:val="00B4793D"/>
    <w:rsid w:val="00B47C44"/>
    <w:rsid w:val="00B47C49"/>
    <w:rsid w:val="00B47E42"/>
    <w:rsid w:val="00B47E97"/>
    <w:rsid w:val="00B50133"/>
    <w:rsid w:val="00B501DE"/>
    <w:rsid w:val="00B5022D"/>
    <w:rsid w:val="00B50452"/>
    <w:rsid w:val="00B50582"/>
    <w:rsid w:val="00B505CF"/>
    <w:rsid w:val="00B506FE"/>
    <w:rsid w:val="00B50731"/>
    <w:rsid w:val="00B5080E"/>
    <w:rsid w:val="00B5085C"/>
    <w:rsid w:val="00B50925"/>
    <w:rsid w:val="00B50B8E"/>
    <w:rsid w:val="00B50F0B"/>
    <w:rsid w:val="00B50FB5"/>
    <w:rsid w:val="00B5115C"/>
    <w:rsid w:val="00B51357"/>
    <w:rsid w:val="00B518BF"/>
    <w:rsid w:val="00B51AA5"/>
    <w:rsid w:val="00B51D5B"/>
    <w:rsid w:val="00B51E2B"/>
    <w:rsid w:val="00B51E73"/>
    <w:rsid w:val="00B51F5F"/>
    <w:rsid w:val="00B51FAF"/>
    <w:rsid w:val="00B52008"/>
    <w:rsid w:val="00B521D1"/>
    <w:rsid w:val="00B52269"/>
    <w:rsid w:val="00B52326"/>
    <w:rsid w:val="00B52631"/>
    <w:rsid w:val="00B52648"/>
    <w:rsid w:val="00B5276B"/>
    <w:rsid w:val="00B527BC"/>
    <w:rsid w:val="00B52865"/>
    <w:rsid w:val="00B52B27"/>
    <w:rsid w:val="00B532BD"/>
    <w:rsid w:val="00B53367"/>
    <w:rsid w:val="00B53580"/>
    <w:rsid w:val="00B535D9"/>
    <w:rsid w:val="00B536A6"/>
    <w:rsid w:val="00B53761"/>
    <w:rsid w:val="00B53A79"/>
    <w:rsid w:val="00B53AAD"/>
    <w:rsid w:val="00B53BC1"/>
    <w:rsid w:val="00B53E55"/>
    <w:rsid w:val="00B5426E"/>
    <w:rsid w:val="00B54308"/>
    <w:rsid w:val="00B54599"/>
    <w:rsid w:val="00B5459E"/>
    <w:rsid w:val="00B54A39"/>
    <w:rsid w:val="00B54DDA"/>
    <w:rsid w:val="00B551B5"/>
    <w:rsid w:val="00B55320"/>
    <w:rsid w:val="00B55355"/>
    <w:rsid w:val="00B55382"/>
    <w:rsid w:val="00B553FA"/>
    <w:rsid w:val="00B5574D"/>
    <w:rsid w:val="00B55C04"/>
    <w:rsid w:val="00B55C18"/>
    <w:rsid w:val="00B55F43"/>
    <w:rsid w:val="00B55FB6"/>
    <w:rsid w:val="00B55FE4"/>
    <w:rsid w:val="00B56005"/>
    <w:rsid w:val="00B56091"/>
    <w:rsid w:val="00B5667C"/>
    <w:rsid w:val="00B5668E"/>
    <w:rsid w:val="00B5680F"/>
    <w:rsid w:val="00B568E9"/>
    <w:rsid w:val="00B56A1C"/>
    <w:rsid w:val="00B56B4E"/>
    <w:rsid w:val="00B57513"/>
    <w:rsid w:val="00B578A8"/>
    <w:rsid w:val="00B578BA"/>
    <w:rsid w:val="00B578D4"/>
    <w:rsid w:val="00B57936"/>
    <w:rsid w:val="00B5797F"/>
    <w:rsid w:val="00B57B66"/>
    <w:rsid w:val="00B57C12"/>
    <w:rsid w:val="00B57D0A"/>
    <w:rsid w:val="00B60A0B"/>
    <w:rsid w:val="00B60B39"/>
    <w:rsid w:val="00B60BBF"/>
    <w:rsid w:val="00B60CEB"/>
    <w:rsid w:val="00B60D3B"/>
    <w:rsid w:val="00B61443"/>
    <w:rsid w:val="00B616F7"/>
    <w:rsid w:val="00B6179A"/>
    <w:rsid w:val="00B6190E"/>
    <w:rsid w:val="00B61C06"/>
    <w:rsid w:val="00B61CAA"/>
    <w:rsid w:val="00B61D3D"/>
    <w:rsid w:val="00B62054"/>
    <w:rsid w:val="00B6212C"/>
    <w:rsid w:val="00B621F5"/>
    <w:rsid w:val="00B624B7"/>
    <w:rsid w:val="00B628F3"/>
    <w:rsid w:val="00B629F2"/>
    <w:rsid w:val="00B62AB3"/>
    <w:rsid w:val="00B62E02"/>
    <w:rsid w:val="00B62E37"/>
    <w:rsid w:val="00B62E6A"/>
    <w:rsid w:val="00B63053"/>
    <w:rsid w:val="00B63093"/>
    <w:rsid w:val="00B6314E"/>
    <w:rsid w:val="00B632BD"/>
    <w:rsid w:val="00B63452"/>
    <w:rsid w:val="00B634DF"/>
    <w:rsid w:val="00B636EF"/>
    <w:rsid w:val="00B63BB2"/>
    <w:rsid w:val="00B63E50"/>
    <w:rsid w:val="00B63F51"/>
    <w:rsid w:val="00B64013"/>
    <w:rsid w:val="00B6432E"/>
    <w:rsid w:val="00B64637"/>
    <w:rsid w:val="00B6487E"/>
    <w:rsid w:val="00B65497"/>
    <w:rsid w:val="00B655FE"/>
    <w:rsid w:val="00B65704"/>
    <w:rsid w:val="00B65A94"/>
    <w:rsid w:val="00B65AE2"/>
    <w:rsid w:val="00B65F3F"/>
    <w:rsid w:val="00B6603E"/>
    <w:rsid w:val="00B6606A"/>
    <w:rsid w:val="00B6636A"/>
    <w:rsid w:val="00B6653D"/>
    <w:rsid w:val="00B665E7"/>
    <w:rsid w:val="00B669B4"/>
    <w:rsid w:val="00B66A48"/>
    <w:rsid w:val="00B66CD9"/>
    <w:rsid w:val="00B66D46"/>
    <w:rsid w:val="00B66DB4"/>
    <w:rsid w:val="00B66DF3"/>
    <w:rsid w:val="00B66DF4"/>
    <w:rsid w:val="00B66E3E"/>
    <w:rsid w:val="00B66F16"/>
    <w:rsid w:val="00B67269"/>
    <w:rsid w:val="00B67493"/>
    <w:rsid w:val="00B67764"/>
    <w:rsid w:val="00B67889"/>
    <w:rsid w:val="00B67890"/>
    <w:rsid w:val="00B6797F"/>
    <w:rsid w:val="00B67F52"/>
    <w:rsid w:val="00B7002B"/>
    <w:rsid w:val="00B70178"/>
    <w:rsid w:val="00B703B7"/>
    <w:rsid w:val="00B7043A"/>
    <w:rsid w:val="00B70878"/>
    <w:rsid w:val="00B70B6B"/>
    <w:rsid w:val="00B70BB2"/>
    <w:rsid w:val="00B70C53"/>
    <w:rsid w:val="00B710CE"/>
    <w:rsid w:val="00B7116C"/>
    <w:rsid w:val="00B71209"/>
    <w:rsid w:val="00B71212"/>
    <w:rsid w:val="00B713D7"/>
    <w:rsid w:val="00B713DE"/>
    <w:rsid w:val="00B7152F"/>
    <w:rsid w:val="00B7161C"/>
    <w:rsid w:val="00B719AE"/>
    <w:rsid w:val="00B71B18"/>
    <w:rsid w:val="00B71CD6"/>
    <w:rsid w:val="00B71D54"/>
    <w:rsid w:val="00B71E78"/>
    <w:rsid w:val="00B72135"/>
    <w:rsid w:val="00B72163"/>
    <w:rsid w:val="00B72351"/>
    <w:rsid w:val="00B72558"/>
    <w:rsid w:val="00B72687"/>
    <w:rsid w:val="00B72753"/>
    <w:rsid w:val="00B72AB6"/>
    <w:rsid w:val="00B72AE7"/>
    <w:rsid w:val="00B72B48"/>
    <w:rsid w:val="00B72C27"/>
    <w:rsid w:val="00B72CEA"/>
    <w:rsid w:val="00B731C9"/>
    <w:rsid w:val="00B7344B"/>
    <w:rsid w:val="00B734B0"/>
    <w:rsid w:val="00B734DE"/>
    <w:rsid w:val="00B739AD"/>
    <w:rsid w:val="00B739FC"/>
    <w:rsid w:val="00B73A80"/>
    <w:rsid w:val="00B74429"/>
    <w:rsid w:val="00B744F8"/>
    <w:rsid w:val="00B745C6"/>
    <w:rsid w:val="00B746EE"/>
    <w:rsid w:val="00B74A99"/>
    <w:rsid w:val="00B74EF0"/>
    <w:rsid w:val="00B752A3"/>
    <w:rsid w:val="00B752B8"/>
    <w:rsid w:val="00B7535B"/>
    <w:rsid w:val="00B7536F"/>
    <w:rsid w:val="00B75503"/>
    <w:rsid w:val="00B7593E"/>
    <w:rsid w:val="00B75963"/>
    <w:rsid w:val="00B75DC3"/>
    <w:rsid w:val="00B75F94"/>
    <w:rsid w:val="00B76121"/>
    <w:rsid w:val="00B7613F"/>
    <w:rsid w:val="00B76264"/>
    <w:rsid w:val="00B76288"/>
    <w:rsid w:val="00B7633E"/>
    <w:rsid w:val="00B76563"/>
    <w:rsid w:val="00B766F3"/>
    <w:rsid w:val="00B767FD"/>
    <w:rsid w:val="00B7680F"/>
    <w:rsid w:val="00B76938"/>
    <w:rsid w:val="00B7696E"/>
    <w:rsid w:val="00B769F7"/>
    <w:rsid w:val="00B76A02"/>
    <w:rsid w:val="00B76A27"/>
    <w:rsid w:val="00B76BC9"/>
    <w:rsid w:val="00B76FBB"/>
    <w:rsid w:val="00B7730B"/>
    <w:rsid w:val="00B77338"/>
    <w:rsid w:val="00B778A3"/>
    <w:rsid w:val="00B77C09"/>
    <w:rsid w:val="00B77DB5"/>
    <w:rsid w:val="00B801DA"/>
    <w:rsid w:val="00B802F9"/>
    <w:rsid w:val="00B8033A"/>
    <w:rsid w:val="00B803F0"/>
    <w:rsid w:val="00B80481"/>
    <w:rsid w:val="00B8056F"/>
    <w:rsid w:val="00B8058D"/>
    <w:rsid w:val="00B8086F"/>
    <w:rsid w:val="00B80977"/>
    <w:rsid w:val="00B80993"/>
    <w:rsid w:val="00B80A3D"/>
    <w:rsid w:val="00B80A41"/>
    <w:rsid w:val="00B80A69"/>
    <w:rsid w:val="00B80CB8"/>
    <w:rsid w:val="00B80D90"/>
    <w:rsid w:val="00B80D95"/>
    <w:rsid w:val="00B80D99"/>
    <w:rsid w:val="00B8100D"/>
    <w:rsid w:val="00B81175"/>
    <w:rsid w:val="00B8159C"/>
    <w:rsid w:val="00B815FA"/>
    <w:rsid w:val="00B81686"/>
    <w:rsid w:val="00B816C2"/>
    <w:rsid w:val="00B8176C"/>
    <w:rsid w:val="00B8180F"/>
    <w:rsid w:val="00B81AAA"/>
    <w:rsid w:val="00B81C15"/>
    <w:rsid w:val="00B81D04"/>
    <w:rsid w:val="00B81F22"/>
    <w:rsid w:val="00B821AE"/>
    <w:rsid w:val="00B82202"/>
    <w:rsid w:val="00B8220C"/>
    <w:rsid w:val="00B82378"/>
    <w:rsid w:val="00B824CD"/>
    <w:rsid w:val="00B82507"/>
    <w:rsid w:val="00B826D1"/>
    <w:rsid w:val="00B827A5"/>
    <w:rsid w:val="00B828FE"/>
    <w:rsid w:val="00B82D82"/>
    <w:rsid w:val="00B82E8A"/>
    <w:rsid w:val="00B82F15"/>
    <w:rsid w:val="00B83048"/>
    <w:rsid w:val="00B832B9"/>
    <w:rsid w:val="00B8339E"/>
    <w:rsid w:val="00B83404"/>
    <w:rsid w:val="00B83543"/>
    <w:rsid w:val="00B837B4"/>
    <w:rsid w:val="00B8385D"/>
    <w:rsid w:val="00B83904"/>
    <w:rsid w:val="00B839B2"/>
    <w:rsid w:val="00B83BC7"/>
    <w:rsid w:val="00B8406A"/>
    <w:rsid w:val="00B84122"/>
    <w:rsid w:val="00B843A1"/>
    <w:rsid w:val="00B846C6"/>
    <w:rsid w:val="00B846DA"/>
    <w:rsid w:val="00B84871"/>
    <w:rsid w:val="00B84899"/>
    <w:rsid w:val="00B8490E"/>
    <w:rsid w:val="00B84B80"/>
    <w:rsid w:val="00B84DC1"/>
    <w:rsid w:val="00B8513F"/>
    <w:rsid w:val="00B852D2"/>
    <w:rsid w:val="00B8541D"/>
    <w:rsid w:val="00B85479"/>
    <w:rsid w:val="00B854F8"/>
    <w:rsid w:val="00B85558"/>
    <w:rsid w:val="00B85768"/>
    <w:rsid w:val="00B85ADD"/>
    <w:rsid w:val="00B85C27"/>
    <w:rsid w:val="00B85D4C"/>
    <w:rsid w:val="00B860B3"/>
    <w:rsid w:val="00B863FF"/>
    <w:rsid w:val="00B86461"/>
    <w:rsid w:val="00B865F5"/>
    <w:rsid w:val="00B86772"/>
    <w:rsid w:val="00B86803"/>
    <w:rsid w:val="00B86BD3"/>
    <w:rsid w:val="00B86BDD"/>
    <w:rsid w:val="00B86C71"/>
    <w:rsid w:val="00B86D8C"/>
    <w:rsid w:val="00B86DFA"/>
    <w:rsid w:val="00B86EB3"/>
    <w:rsid w:val="00B86F88"/>
    <w:rsid w:val="00B870CA"/>
    <w:rsid w:val="00B87248"/>
    <w:rsid w:val="00B8727B"/>
    <w:rsid w:val="00B87446"/>
    <w:rsid w:val="00B875EE"/>
    <w:rsid w:val="00B875FD"/>
    <w:rsid w:val="00B879AE"/>
    <w:rsid w:val="00B87AFB"/>
    <w:rsid w:val="00B87BCC"/>
    <w:rsid w:val="00B87BE0"/>
    <w:rsid w:val="00B87F76"/>
    <w:rsid w:val="00B90563"/>
    <w:rsid w:val="00B90803"/>
    <w:rsid w:val="00B90885"/>
    <w:rsid w:val="00B90C07"/>
    <w:rsid w:val="00B90CBD"/>
    <w:rsid w:val="00B91267"/>
    <w:rsid w:val="00B91405"/>
    <w:rsid w:val="00B9144F"/>
    <w:rsid w:val="00B91599"/>
    <w:rsid w:val="00B9178C"/>
    <w:rsid w:val="00B91A35"/>
    <w:rsid w:val="00B91A85"/>
    <w:rsid w:val="00B91AAD"/>
    <w:rsid w:val="00B91C3F"/>
    <w:rsid w:val="00B92023"/>
    <w:rsid w:val="00B92179"/>
    <w:rsid w:val="00B922F8"/>
    <w:rsid w:val="00B924E7"/>
    <w:rsid w:val="00B925D9"/>
    <w:rsid w:val="00B9267C"/>
    <w:rsid w:val="00B9271E"/>
    <w:rsid w:val="00B9279E"/>
    <w:rsid w:val="00B927AA"/>
    <w:rsid w:val="00B927C8"/>
    <w:rsid w:val="00B92A92"/>
    <w:rsid w:val="00B92AC9"/>
    <w:rsid w:val="00B92BD8"/>
    <w:rsid w:val="00B92E09"/>
    <w:rsid w:val="00B92F2F"/>
    <w:rsid w:val="00B932E5"/>
    <w:rsid w:val="00B93347"/>
    <w:rsid w:val="00B933F9"/>
    <w:rsid w:val="00B937F5"/>
    <w:rsid w:val="00B938F5"/>
    <w:rsid w:val="00B9392E"/>
    <w:rsid w:val="00B93A28"/>
    <w:rsid w:val="00B93A74"/>
    <w:rsid w:val="00B93AB0"/>
    <w:rsid w:val="00B93BF5"/>
    <w:rsid w:val="00B93D41"/>
    <w:rsid w:val="00B9405E"/>
    <w:rsid w:val="00B94135"/>
    <w:rsid w:val="00B94284"/>
    <w:rsid w:val="00B94498"/>
    <w:rsid w:val="00B946A1"/>
    <w:rsid w:val="00B94BAE"/>
    <w:rsid w:val="00B94E76"/>
    <w:rsid w:val="00B94EEB"/>
    <w:rsid w:val="00B94EFB"/>
    <w:rsid w:val="00B95024"/>
    <w:rsid w:val="00B954DE"/>
    <w:rsid w:val="00B95712"/>
    <w:rsid w:val="00B9575E"/>
    <w:rsid w:val="00B95C90"/>
    <w:rsid w:val="00B95C93"/>
    <w:rsid w:val="00B96100"/>
    <w:rsid w:val="00B9622E"/>
    <w:rsid w:val="00B962AD"/>
    <w:rsid w:val="00B962E2"/>
    <w:rsid w:val="00B963A9"/>
    <w:rsid w:val="00B964E7"/>
    <w:rsid w:val="00B96517"/>
    <w:rsid w:val="00B965D6"/>
    <w:rsid w:val="00B966B6"/>
    <w:rsid w:val="00B96794"/>
    <w:rsid w:val="00B968D9"/>
    <w:rsid w:val="00B96ABD"/>
    <w:rsid w:val="00B96F0F"/>
    <w:rsid w:val="00B97111"/>
    <w:rsid w:val="00B97419"/>
    <w:rsid w:val="00B975FE"/>
    <w:rsid w:val="00B97652"/>
    <w:rsid w:val="00B9785B"/>
    <w:rsid w:val="00B979BC"/>
    <w:rsid w:val="00B97BA6"/>
    <w:rsid w:val="00BA02CE"/>
    <w:rsid w:val="00BA04C2"/>
    <w:rsid w:val="00BA092C"/>
    <w:rsid w:val="00BA0E20"/>
    <w:rsid w:val="00BA0F0D"/>
    <w:rsid w:val="00BA1044"/>
    <w:rsid w:val="00BA10C3"/>
    <w:rsid w:val="00BA12FE"/>
    <w:rsid w:val="00BA14D7"/>
    <w:rsid w:val="00BA16D7"/>
    <w:rsid w:val="00BA1791"/>
    <w:rsid w:val="00BA1AB3"/>
    <w:rsid w:val="00BA1C53"/>
    <w:rsid w:val="00BA2085"/>
    <w:rsid w:val="00BA2131"/>
    <w:rsid w:val="00BA21B1"/>
    <w:rsid w:val="00BA231D"/>
    <w:rsid w:val="00BA268D"/>
    <w:rsid w:val="00BA2D52"/>
    <w:rsid w:val="00BA2EC4"/>
    <w:rsid w:val="00BA2F31"/>
    <w:rsid w:val="00BA2FE5"/>
    <w:rsid w:val="00BA33CC"/>
    <w:rsid w:val="00BA3483"/>
    <w:rsid w:val="00BA36A1"/>
    <w:rsid w:val="00BA36BA"/>
    <w:rsid w:val="00BA3A85"/>
    <w:rsid w:val="00BA3B3C"/>
    <w:rsid w:val="00BA3BA5"/>
    <w:rsid w:val="00BA3C6E"/>
    <w:rsid w:val="00BA3CE3"/>
    <w:rsid w:val="00BA3DB8"/>
    <w:rsid w:val="00BA4019"/>
    <w:rsid w:val="00BA43ED"/>
    <w:rsid w:val="00BA4489"/>
    <w:rsid w:val="00BA46EF"/>
    <w:rsid w:val="00BA499D"/>
    <w:rsid w:val="00BA4C1A"/>
    <w:rsid w:val="00BA4CA6"/>
    <w:rsid w:val="00BA4D1A"/>
    <w:rsid w:val="00BA4D53"/>
    <w:rsid w:val="00BA4DC7"/>
    <w:rsid w:val="00BA4E6B"/>
    <w:rsid w:val="00BA4E8A"/>
    <w:rsid w:val="00BA509B"/>
    <w:rsid w:val="00BA50B1"/>
    <w:rsid w:val="00BA51A6"/>
    <w:rsid w:val="00BA5326"/>
    <w:rsid w:val="00BA54E2"/>
    <w:rsid w:val="00BA55E9"/>
    <w:rsid w:val="00BA57E8"/>
    <w:rsid w:val="00BA5A41"/>
    <w:rsid w:val="00BA5A93"/>
    <w:rsid w:val="00BA5AFF"/>
    <w:rsid w:val="00BA5E22"/>
    <w:rsid w:val="00BA5F23"/>
    <w:rsid w:val="00BA6221"/>
    <w:rsid w:val="00BA633C"/>
    <w:rsid w:val="00BA633D"/>
    <w:rsid w:val="00BA6866"/>
    <w:rsid w:val="00BA6B28"/>
    <w:rsid w:val="00BA6BB2"/>
    <w:rsid w:val="00BA6BD0"/>
    <w:rsid w:val="00BA6FBD"/>
    <w:rsid w:val="00BA71F1"/>
    <w:rsid w:val="00BA7308"/>
    <w:rsid w:val="00BA74BF"/>
    <w:rsid w:val="00BA7830"/>
    <w:rsid w:val="00BA7A9B"/>
    <w:rsid w:val="00BA7C0E"/>
    <w:rsid w:val="00BA7C13"/>
    <w:rsid w:val="00BA7CCC"/>
    <w:rsid w:val="00BB01FA"/>
    <w:rsid w:val="00BB08AC"/>
    <w:rsid w:val="00BB0D73"/>
    <w:rsid w:val="00BB0D82"/>
    <w:rsid w:val="00BB10EB"/>
    <w:rsid w:val="00BB1449"/>
    <w:rsid w:val="00BB1495"/>
    <w:rsid w:val="00BB15F2"/>
    <w:rsid w:val="00BB1882"/>
    <w:rsid w:val="00BB1957"/>
    <w:rsid w:val="00BB1B54"/>
    <w:rsid w:val="00BB1C9B"/>
    <w:rsid w:val="00BB2187"/>
    <w:rsid w:val="00BB22EE"/>
    <w:rsid w:val="00BB2546"/>
    <w:rsid w:val="00BB2B58"/>
    <w:rsid w:val="00BB2E0F"/>
    <w:rsid w:val="00BB2F5A"/>
    <w:rsid w:val="00BB2F9F"/>
    <w:rsid w:val="00BB31E0"/>
    <w:rsid w:val="00BB321F"/>
    <w:rsid w:val="00BB3300"/>
    <w:rsid w:val="00BB3466"/>
    <w:rsid w:val="00BB37C9"/>
    <w:rsid w:val="00BB393A"/>
    <w:rsid w:val="00BB39EA"/>
    <w:rsid w:val="00BB3A30"/>
    <w:rsid w:val="00BB3FC7"/>
    <w:rsid w:val="00BB4136"/>
    <w:rsid w:val="00BB479D"/>
    <w:rsid w:val="00BB48A8"/>
    <w:rsid w:val="00BB48BB"/>
    <w:rsid w:val="00BB4AE4"/>
    <w:rsid w:val="00BB4E19"/>
    <w:rsid w:val="00BB52E2"/>
    <w:rsid w:val="00BB5461"/>
    <w:rsid w:val="00BB54D0"/>
    <w:rsid w:val="00BB5588"/>
    <w:rsid w:val="00BB55A8"/>
    <w:rsid w:val="00BB5608"/>
    <w:rsid w:val="00BB59B6"/>
    <w:rsid w:val="00BB5BB3"/>
    <w:rsid w:val="00BB5C55"/>
    <w:rsid w:val="00BB5C7F"/>
    <w:rsid w:val="00BB5C89"/>
    <w:rsid w:val="00BB5F7A"/>
    <w:rsid w:val="00BB5FC9"/>
    <w:rsid w:val="00BB600C"/>
    <w:rsid w:val="00BB61D5"/>
    <w:rsid w:val="00BB6417"/>
    <w:rsid w:val="00BB6500"/>
    <w:rsid w:val="00BB66DE"/>
    <w:rsid w:val="00BB6737"/>
    <w:rsid w:val="00BB67C6"/>
    <w:rsid w:val="00BB6964"/>
    <w:rsid w:val="00BB6A3D"/>
    <w:rsid w:val="00BB6C85"/>
    <w:rsid w:val="00BB70D4"/>
    <w:rsid w:val="00BB71E6"/>
    <w:rsid w:val="00BB71FB"/>
    <w:rsid w:val="00BB72B5"/>
    <w:rsid w:val="00BB72D7"/>
    <w:rsid w:val="00BB7377"/>
    <w:rsid w:val="00BB750C"/>
    <w:rsid w:val="00BB765C"/>
    <w:rsid w:val="00BB77BF"/>
    <w:rsid w:val="00BB795D"/>
    <w:rsid w:val="00BB7A4B"/>
    <w:rsid w:val="00BB7ACE"/>
    <w:rsid w:val="00BB7B26"/>
    <w:rsid w:val="00BB7D07"/>
    <w:rsid w:val="00BB7D3B"/>
    <w:rsid w:val="00BC0039"/>
    <w:rsid w:val="00BC0233"/>
    <w:rsid w:val="00BC0446"/>
    <w:rsid w:val="00BC0546"/>
    <w:rsid w:val="00BC0567"/>
    <w:rsid w:val="00BC061D"/>
    <w:rsid w:val="00BC07CF"/>
    <w:rsid w:val="00BC080C"/>
    <w:rsid w:val="00BC082A"/>
    <w:rsid w:val="00BC0A08"/>
    <w:rsid w:val="00BC0AE3"/>
    <w:rsid w:val="00BC0AFD"/>
    <w:rsid w:val="00BC0F15"/>
    <w:rsid w:val="00BC0FA0"/>
    <w:rsid w:val="00BC1063"/>
    <w:rsid w:val="00BC1516"/>
    <w:rsid w:val="00BC158B"/>
    <w:rsid w:val="00BC1717"/>
    <w:rsid w:val="00BC18B1"/>
    <w:rsid w:val="00BC1927"/>
    <w:rsid w:val="00BC1ABE"/>
    <w:rsid w:val="00BC1BFD"/>
    <w:rsid w:val="00BC1F6D"/>
    <w:rsid w:val="00BC20B9"/>
    <w:rsid w:val="00BC2325"/>
    <w:rsid w:val="00BC250C"/>
    <w:rsid w:val="00BC2740"/>
    <w:rsid w:val="00BC2862"/>
    <w:rsid w:val="00BC2907"/>
    <w:rsid w:val="00BC2A45"/>
    <w:rsid w:val="00BC2A6E"/>
    <w:rsid w:val="00BC2AF4"/>
    <w:rsid w:val="00BC2E6F"/>
    <w:rsid w:val="00BC2EA0"/>
    <w:rsid w:val="00BC2F03"/>
    <w:rsid w:val="00BC2F0C"/>
    <w:rsid w:val="00BC3033"/>
    <w:rsid w:val="00BC3112"/>
    <w:rsid w:val="00BC3273"/>
    <w:rsid w:val="00BC394F"/>
    <w:rsid w:val="00BC3C2D"/>
    <w:rsid w:val="00BC406C"/>
    <w:rsid w:val="00BC4148"/>
    <w:rsid w:val="00BC42FC"/>
    <w:rsid w:val="00BC48C4"/>
    <w:rsid w:val="00BC4BC7"/>
    <w:rsid w:val="00BC4C60"/>
    <w:rsid w:val="00BC4DE9"/>
    <w:rsid w:val="00BC4F5C"/>
    <w:rsid w:val="00BC530F"/>
    <w:rsid w:val="00BC5820"/>
    <w:rsid w:val="00BC582F"/>
    <w:rsid w:val="00BC59F2"/>
    <w:rsid w:val="00BC5A44"/>
    <w:rsid w:val="00BC5C48"/>
    <w:rsid w:val="00BC5DA8"/>
    <w:rsid w:val="00BC617B"/>
    <w:rsid w:val="00BC61B5"/>
    <w:rsid w:val="00BC62B8"/>
    <w:rsid w:val="00BC6327"/>
    <w:rsid w:val="00BC636E"/>
    <w:rsid w:val="00BC654B"/>
    <w:rsid w:val="00BC6685"/>
    <w:rsid w:val="00BC67C4"/>
    <w:rsid w:val="00BC6A2D"/>
    <w:rsid w:val="00BC6A40"/>
    <w:rsid w:val="00BC6A50"/>
    <w:rsid w:val="00BC6B31"/>
    <w:rsid w:val="00BC6B81"/>
    <w:rsid w:val="00BC6BC6"/>
    <w:rsid w:val="00BC6C09"/>
    <w:rsid w:val="00BC6C84"/>
    <w:rsid w:val="00BC6CCE"/>
    <w:rsid w:val="00BC6CE8"/>
    <w:rsid w:val="00BC6DB3"/>
    <w:rsid w:val="00BC6E1D"/>
    <w:rsid w:val="00BC725B"/>
    <w:rsid w:val="00BC72E6"/>
    <w:rsid w:val="00BC760E"/>
    <w:rsid w:val="00BC76A4"/>
    <w:rsid w:val="00BC776D"/>
    <w:rsid w:val="00BC77C7"/>
    <w:rsid w:val="00BC7806"/>
    <w:rsid w:val="00BC789C"/>
    <w:rsid w:val="00BC7908"/>
    <w:rsid w:val="00BC7D9D"/>
    <w:rsid w:val="00BC7F6A"/>
    <w:rsid w:val="00BC7FA4"/>
    <w:rsid w:val="00BC7FA9"/>
    <w:rsid w:val="00BD0108"/>
    <w:rsid w:val="00BD05DD"/>
    <w:rsid w:val="00BD0730"/>
    <w:rsid w:val="00BD0925"/>
    <w:rsid w:val="00BD0A4F"/>
    <w:rsid w:val="00BD0C36"/>
    <w:rsid w:val="00BD0D30"/>
    <w:rsid w:val="00BD0E8F"/>
    <w:rsid w:val="00BD0EBF"/>
    <w:rsid w:val="00BD0F1D"/>
    <w:rsid w:val="00BD1002"/>
    <w:rsid w:val="00BD10B8"/>
    <w:rsid w:val="00BD1139"/>
    <w:rsid w:val="00BD14F5"/>
    <w:rsid w:val="00BD1595"/>
    <w:rsid w:val="00BD16D6"/>
    <w:rsid w:val="00BD17D1"/>
    <w:rsid w:val="00BD1837"/>
    <w:rsid w:val="00BD1A0E"/>
    <w:rsid w:val="00BD1B7E"/>
    <w:rsid w:val="00BD1C63"/>
    <w:rsid w:val="00BD1E84"/>
    <w:rsid w:val="00BD1FA9"/>
    <w:rsid w:val="00BD2068"/>
    <w:rsid w:val="00BD212A"/>
    <w:rsid w:val="00BD2485"/>
    <w:rsid w:val="00BD24FC"/>
    <w:rsid w:val="00BD254D"/>
    <w:rsid w:val="00BD275E"/>
    <w:rsid w:val="00BD278C"/>
    <w:rsid w:val="00BD2BA9"/>
    <w:rsid w:val="00BD2C63"/>
    <w:rsid w:val="00BD2E1F"/>
    <w:rsid w:val="00BD2FD6"/>
    <w:rsid w:val="00BD34AD"/>
    <w:rsid w:val="00BD372E"/>
    <w:rsid w:val="00BD3893"/>
    <w:rsid w:val="00BD3994"/>
    <w:rsid w:val="00BD3B9B"/>
    <w:rsid w:val="00BD3C20"/>
    <w:rsid w:val="00BD3EC2"/>
    <w:rsid w:val="00BD3F82"/>
    <w:rsid w:val="00BD3FCD"/>
    <w:rsid w:val="00BD4141"/>
    <w:rsid w:val="00BD4158"/>
    <w:rsid w:val="00BD416F"/>
    <w:rsid w:val="00BD4195"/>
    <w:rsid w:val="00BD41A6"/>
    <w:rsid w:val="00BD42E9"/>
    <w:rsid w:val="00BD45A5"/>
    <w:rsid w:val="00BD479D"/>
    <w:rsid w:val="00BD4A12"/>
    <w:rsid w:val="00BD4AC4"/>
    <w:rsid w:val="00BD4AD8"/>
    <w:rsid w:val="00BD4CB9"/>
    <w:rsid w:val="00BD4CC8"/>
    <w:rsid w:val="00BD4DB0"/>
    <w:rsid w:val="00BD4DD2"/>
    <w:rsid w:val="00BD4FB9"/>
    <w:rsid w:val="00BD5082"/>
    <w:rsid w:val="00BD51B9"/>
    <w:rsid w:val="00BD520C"/>
    <w:rsid w:val="00BD55AE"/>
    <w:rsid w:val="00BD56F9"/>
    <w:rsid w:val="00BD57F7"/>
    <w:rsid w:val="00BD589B"/>
    <w:rsid w:val="00BD5F6C"/>
    <w:rsid w:val="00BD5FEF"/>
    <w:rsid w:val="00BD6207"/>
    <w:rsid w:val="00BD640D"/>
    <w:rsid w:val="00BD65CC"/>
    <w:rsid w:val="00BD6639"/>
    <w:rsid w:val="00BD68F7"/>
    <w:rsid w:val="00BD69DF"/>
    <w:rsid w:val="00BD6AD7"/>
    <w:rsid w:val="00BD6B8D"/>
    <w:rsid w:val="00BD6CA6"/>
    <w:rsid w:val="00BD6EA4"/>
    <w:rsid w:val="00BD6FCF"/>
    <w:rsid w:val="00BD6FF4"/>
    <w:rsid w:val="00BD71CB"/>
    <w:rsid w:val="00BD71FF"/>
    <w:rsid w:val="00BD7329"/>
    <w:rsid w:val="00BD7485"/>
    <w:rsid w:val="00BD7618"/>
    <w:rsid w:val="00BD7B03"/>
    <w:rsid w:val="00BD7CD5"/>
    <w:rsid w:val="00BD7D59"/>
    <w:rsid w:val="00BD7DF2"/>
    <w:rsid w:val="00BD7FFE"/>
    <w:rsid w:val="00BE070D"/>
    <w:rsid w:val="00BE0D79"/>
    <w:rsid w:val="00BE0E07"/>
    <w:rsid w:val="00BE1240"/>
    <w:rsid w:val="00BE17C6"/>
    <w:rsid w:val="00BE1806"/>
    <w:rsid w:val="00BE18EB"/>
    <w:rsid w:val="00BE1A28"/>
    <w:rsid w:val="00BE1CD1"/>
    <w:rsid w:val="00BE1FF9"/>
    <w:rsid w:val="00BE2082"/>
    <w:rsid w:val="00BE250B"/>
    <w:rsid w:val="00BE29D0"/>
    <w:rsid w:val="00BE2BD0"/>
    <w:rsid w:val="00BE2C41"/>
    <w:rsid w:val="00BE30BC"/>
    <w:rsid w:val="00BE34FD"/>
    <w:rsid w:val="00BE35C9"/>
    <w:rsid w:val="00BE3BE8"/>
    <w:rsid w:val="00BE3D78"/>
    <w:rsid w:val="00BE3E8D"/>
    <w:rsid w:val="00BE3EA0"/>
    <w:rsid w:val="00BE417F"/>
    <w:rsid w:val="00BE4220"/>
    <w:rsid w:val="00BE45B5"/>
    <w:rsid w:val="00BE46B3"/>
    <w:rsid w:val="00BE46CE"/>
    <w:rsid w:val="00BE475E"/>
    <w:rsid w:val="00BE4963"/>
    <w:rsid w:val="00BE49ED"/>
    <w:rsid w:val="00BE4A2A"/>
    <w:rsid w:val="00BE4B1D"/>
    <w:rsid w:val="00BE4D37"/>
    <w:rsid w:val="00BE4DF1"/>
    <w:rsid w:val="00BE4ED5"/>
    <w:rsid w:val="00BE542A"/>
    <w:rsid w:val="00BE55B1"/>
    <w:rsid w:val="00BE583C"/>
    <w:rsid w:val="00BE584E"/>
    <w:rsid w:val="00BE5E29"/>
    <w:rsid w:val="00BE5F4A"/>
    <w:rsid w:val="00BE601C"/>
    <w:rsid w:val="00BE625F"/>
    <w:rsid w:val="00BE62E0"/>
    <w:rsid w:val="00BE63AF"/>
    <w:rsid w:val="00BE6635"/>
    <w:rsid w:val="00BE68DF"/>
    <w:rsid w:val="00BE6C68"/>
    <w:rsid w:val="00BE6D38"/>
    <w:rsid w:val="00BE6E36"/>
    <w:rsid w:val="00BE6E81"/>
    <w:rsid w:val="00BE6F04"/>
    <w:rsid w:val="00BE6FB5"/>
    <w:rsid w:val="00BE70A0"/>
    <w:rsid w:val="00BE7283"/>
    <w:rsid w:val="00BE7348"/>
    <w:rsid w:val="00BE7400"/>
    <w:rsid w:val="00BE7474"/>
    <w:rsid w:val="00BE772D"/>
    <w:rsid w:val="00BE7BAE"/>
    <w:rsid w:val="00BE7D7D"/>
    <w:rsid w:val="00BF05EC"/>
    <w:rsid w:val="00BF0626"/>
    <w:rsid w:val="00BF06CD"/>
    <w:rsid w:val="00BF075A"/>
    <w:rsid w:val="00BF08B3"/>
    <w:rsid w:val="00BF0B22"/>
    <w:rsid w:val="00BF0D48"/>
    <w:rsid w:val="00BF0EF2"/>
    <w:rsid w:val="00BF101B"/>
    <w:rsid w:val="00BF10C3"/>
    <w:rsid w:val="00BF1137"/>
    <w:rsid w:val="00BF1157"/>
    <w:rsid w:val="00BF1360"/>
    <w:rsid w:val="00BF1684"/>
    <w:rsid w:val="00BF1878"/>
    <w:rsid w:val="00BF1948"/>
    <w:rsid w:val="00BF19BD"/>
    <w:rsid w:val="00BF1BB6"/>
    <w:rsid w:val="00BF1E46"/>
    <w:rsid w:val="00BF1EEF"/>
    <w:rsid w:val="00BF1EFD"/>
    <w:rsid w:val="00BF1FD6"/>
    <w:rsid w:val="00BF2195"/>
    <w:rsid w:val="00BF220C"/>
    <w:rsid w:val="00BF26F7"/>
    <w:rsid w:val="00BF2968"/>
    <w:rsid w:val="00BF2BB3"/>
    <w:rsid w:val="00BF2CB0"/>
    <w:rsid w:val="00BF2DB6"/>
    <w:rsid w:val="00BF30D2"/>
    <w:rsid w:val="00BF32F7"/>
    <w:rsid w:val="00BF3339"/>
    <w:rsid w:val="00BF3757"/>
    <w:rsid w:val="00BF393E"/>
    <w:rsid w:val="00BF42AC"/>
    <w:rsid w:val="00BF4395"/>
    <w:rsid w:val="00BF444B"/>
    <w:rsid w:val="00BF4544"/>
    <w:rsid w:val="00BF4968"/>
    <w:rsid w:val="00BF4999"/>
    <w:rsid w:val="00BF4BF6"/>
    <w:rsid w:val="00BF4D02"/>
    <w:rsid w:val="00BF4D72"/>
    <w:rsid w:val="00BF4DDE"/>
    <w:rsid w:val="00BF50ED"/>
    <w:rsid w:val="00BF5119"/>
    <w:rsid w:val="00BF515E"/>
    <w:rsid w:val="00BF5367"/>
    <w:rsid w:val="00BF5422"/>
    <w:rsid w:val="00BF55B6"/>
    <w:rsid w:val="00BF56D6"/>
    <w:rsid w:val="00BF5770"/>
    <w:rsid w:val="00BF5902"/>
    <w:rsid w:val="00BF5925"/>
    <w:rsid w:val="00BF592D"/>
    <w:rsid w:val="00BF5AAB"/>
    <w:rsid w:val="00BF5C4A"/>
    <w:rsid w:val="00BF5D12"/>
    <w:rsid w:val="00BF616A"/>
    <w:rsid w:val="00BF632F"/>
    <w:rsid w:val="00BF646A"/>
    <w:rsid w:val="00BF64DF"/>
    <w:rsid w:val="00BF65AB"/>
    <w:rsid w:val="00BF67BF"/>
    <w:rsid w:val="00BF689C"/>
    <w:rsid w:val="00BF6C9C"/>
    <w:rsid w:val="00BF6D1B"/>
    <w:rsid w:val="00BF6F40"/>
    <w:rsid w:val="00BF71B1"/>
    <w:rsid w:val="00BF73BE"/>
    <w:rsid w:val="00BF745C"/>
    <w:rsid w:val="00BF78DC"/>
    <w:rsid w:val="00BF7B2B"/>
    <w:rsid w:val="00BF7C39"/>
    <w:rsid w:val="00BF7E4D"/>
    <w:rsid w:val="00C0017D"/>
    <w:rsid w:val="00C001B7"/>
    <w:rsid w:val="00C003B2"/>
    <w:rsid w:val="00C003F4"/>
    <w:rsid w:val="00C0044B"/>
    <w:rsid w:val="00C005A4"/>
    <w:rsid w:val="00C007DF"/>
    <w:rsid w:val="00C00C11"/>
    <w:rsid w:val="00C00DA1"/>
    <w:rsid w:val="00C01250"/>
    <w:rsid w:val="00C0133D"/>
    <w:rsid w:val="00C0139C"/>
    <w:rsid w:val="00C0158D"/>
    <w:rsid w:val="00C01665"/>
    <w:rsid w:val="00C0173D"/>
    <w:rsid w:val="00C01C31"/>
    <w:rsid w:val="00C01D29"/>
    <w:rsid w:val="00C01D47"/>
    <w:rsid w:val="00C01D91"/>
    <w:rsid w:val="00C01E1D"/>
    <w:rsid w:val="00C02103"/>
    <w:rsid w:val="00C0232E"/>
    <w:rsid w:val="00C025DC"/>
    <w:rsid w:val="00C02811"/>
    <w:rsid w:val="00C0283B"/>
    <w:rsid w:val="00C02A7F"/>
    <w:rsid w:val="00C02F48"/>
    <w:rsid w:val="00C032BA"/>
    <w:rsid w:val="00C032DA"/>
    <w:rsid w:val="00C033E1"/>
    <w:rsid w:val="00C03477"/>
    <w:rsid w:val="00C0361F"/>
    <w:rsid w:val="00C03685"/>
    <w:rsid w:val="00C03797"/>
    <w:rsid w:val="00C03A9F"/>
    <w:rsid w:val="00C03AED"/>
    <w:rsid w:val="00C03AFE"/>
    <w:rsid w:val="00C03AFF"/>
    <w:rsid w:val="00C03B69"/>
    <w:rsid w:val="00C03F57"/>
    <w:rsid w:val="00C0435A"/>
    <w:rsid w:val="00C043F8"/>
    <w:rsid w:val="00C045E3"/>
    <w:rsid w:val="00C04737"/>
    <w:rsid w:val="00C049D6"/>
    <w:rsid w:val="00C04C60"/>
    <w:rsid w:val="00C04C7A"/>
    <w:rsid w:val="00C04CE0"/>
    <w:rsid w:val="00C04F0E"/>
    <w:rsid w:val="00C05203"/>
    <w:rsid w:val="00C0530C"/>
    <w:rsid w:val="00C053AE"/>
    <w:rsid w:val="00C053C9"/>
    <w:rsid w:val="00C05543"/>
    <w:rsid w:val="00C05A2B"/>
    <w:rsid w:val="00C05B4B"/>
    <w:rsid w:val="00C05B99"/>
    <w:rsid w:val="00C05DEE"/>
    <w:rsid w:val="00C05E92"/>
    <w:rsid w:val="00C06001"/>
    <w:rsid w:val="00C0617F"/>
    <w:rsid w:val="00C061F7"/>
    <w:rsid w:val="00C062B6"/>
    <w:rsid w:val="00C06349"/>
    <w:rsid w:val="00C06439"/>
    <w:rsid w:val="00C066AD"/>
    <w:rsid w:val="00C06881"/>
    <w:rsid w:val="00C06C12"/>
    <w:rsid w:val="00C06EF0"/>
    <w:rsid w:val="00C06F80"/>
    <w:rsid w:val="00C07115"/>
    <w:rsid w:val="00C071DE"/>
    <w:rsid w:val="00C07739"/>
    <w:rsid w:val="00C07850"/>
    <w:rsid w:val="00C0788B"/>
    <w:rsid w:val="00C07D1F"/>
    <w:rsid w:val="00C102D9"/>
    <w:rsid w:val="00C1050D"/>
    <w:rsid w:val="00C105CD"/>
    <w:rsid w:val="00C10735"/>
    <w:rsid w:val="00C107A1"/>
    <w:rsid w:val="00C109C4"/>
    <w:rsid w:val="00C10D3F"/>
    <w:rsid w:val="00C10F7F"/>
    <w:rsid w:val="00C10FF9"/>
    <w:rsid w:val="00C11029"/>
    <w:rsid w:val="00C11129"/>
    <w:rsid w:val="00C118D7"/>
    <w:rsid w:val="00C11902"/>
    <w:rsid w:val="00C11AB5"/>
    <w:rsid w:val="00C11C46"/>
    <w:rsid w:val="00C11C75"/>
    <w:rsid w:val="00C11EF5"/>
    <w:rsid w:val="00C122A3"/>
    <w:rsid w:val="00C12530"/>
    <w:rsid w:val="00C1269D"/>
    <w:rsid w:val="00C12852"/>
    <w:rsid w:val="00C129F2"/>
    <w:rsid w:val="00C12A5E"/>
    <w:rsid w:val="00C12E9A"/>
    <w:rsid w:val="00C12F63"/>
    <w:rsid w:val="00C13566"/>
    <w:rsid w:val="00C135A1"/>
    <w:rsid w:val="00C138A5"/>
    <w:rsid w:val="00C1394F"/>
    <w:rsid w:val="00C13A81"/>
    <w:rsid w:val="00C14006"/>
    <w:rsid w:val="00C140FD"/>
    <w:rsid w:val="00C1437D"/>
    <w:rsid w:val="00C143A2"/>
    <w:rsid w:val="00C14496"/>
    <w:rsid w:val="00C1469D"/>
    <w:rsid w:val="00C146A7"/>
    <w:rsid w:val="00C149AE"/>
    <w:rsid w:val="00C14DA9"/>
    <w:rsid w:val="00C14E47"/>
    <w:rsid w:val="00C14F6E"/>
    <w:rsid w:val="00C14FE2"/>
    <w:rsid w:val="00C150A1"/>
    <w:rsid w:val="00C1525A"/>
    <w:rsid w:val="00C15291"/>
    <w:rsid w:val="00C152A1"/>
    <w:rsid w:val="00C153CF"/>
    <w:rsid w:val="00C153FA"/>
    <w:rsid w:val="00C154AE"/>
    <w:rsid w:val="00C154DD"/>
    <w:rsid w:val="00C1566D"/>
    <w:rsid w:val="00C15A51"/>
    <w:rsid w:val="00C15D42"/>
    <w:rsid w:val="00C15ED7"/>
    <w:rsid w:val="00C1600A"/>
    <w:rsid w:val="00C160F6"/>
    <w:rsid w:val="00C16326"/>
    <w:rsid w:val="00C163AA"/>
    <w:rsid w:val="00C16960"/>
    <w:rsid w:val="00C169CC"/>
    <w:rsid w:val="00C16D19"/>
    <w:rsid w:val="00C16D1E"/>
    <w:rsid w:val="00C16EDD"/>
    <w:rsid w:val="00C16FA9"/>
    <w:rsid w:val="00C17042"/>
    <w:rsid w:val="00C17072"/>
    <w:rsid w:val="00C1722B"/>
    <w:rsid w:val="00C17416"/>
    <w:rsid w:val="00C17454"/>
    <w:rsid w:val="00C177F9"/>
    <w:rsid w:val="00C17D91"/>
    <w:rsid w:val="00C17F67"/>
    <w:rsid w:val="00C204C6"/>
    <w:rsid w:val="00C20720"/>
    <w:rsid w:val="00C20935"/>
    <w:rsid w:val="00C20C4F"/>
    <w:rsid w:val="00C20D6B"/>
    <w:rsid w:val="00C20F81"/>
    <w:rsid w:val="00C20FC5"/>
    <w:rsid w:val="00C21053"/>
    <w:rsid w:val="00C21371"/>
    <w:rsid w:val="00C213C2"/>
    <w:rsid w:val="00C21483"/>
    <w:rsid w:val="00C214E1"/>
    <w:rsid w:val="00C215CB"/>
    <w:rsid w:val="00C2174A"/>
    <w:rsid w:val="00C21821"/>
    <w:rsid w:val="00C21956"/>
    <w:rsid w:val="00C21968"/>
    <w:rsid w:val="00C219A3"/>
    <w:rsid w:val="00C21D0F"/>
    <w:rsid w:val="00C21D22"/>
    <w:rsid w:val="00C21D8A"/>
    <w:rsid w:val="00C22191"/>
    <w:rsid w:val="00C2283C"/>
    <w:rsid w:val="00C2287B"/>
    <w:rsid w:val="00C2289E"/>
    <w:rsid w:val="00C22ADB"/>
    <w:rsid w:val="00C22B32"/>
    <w:rsid w:val="00C22C68"/>
    <w:rsid w:val="00C22CAD"/>
    <w:rsid w:val="00C22CFD"/>
    <w:rsid w:val="00C22F3E"/>
    <w:rsid w:val="00C232AE"/>
    <w:rsid w:val="00C2344E"/>
    <w:rsid w:val="00C234A2"/>
    <w:rsid w:val="00C237E4"/>
    <w:rsid w:val="00C23814"/>
    <w:rsid w:val="00C23882"/>
    <w:rsid w:val="00C239B3"/>
    <w:rsid w:val="00C23AFE"/>
    <w:rsid w:val="00C23D1F"/>
    <w:rsid w:val="00C23FAF"/>
    <w:rsid w:val="00C24167"/>
    <w:rsid w:val="00C242EB"/>
    <w:rsid w:val="00C24352"/>
    <w:rsid w:val="00C2439E"/>
    <w:rsid w:val="00C244B2"/>
    <w:rsid w:val="00C244E7"/>
    <w:rsid w:val="00C24552"/>
    <w:rsid w:val="00C24A38"/>
    <w:rsid w:val="00C24A47"/>
    <w:rsid w:val="00C24A7A"/>
    <w:rsid w:val="00C24AF6"/>
    <w:rsid w:val="00C24C79"/>
    <w:rsid w:val="00C24C88"/>
    <w:rsid w:val="00C24D0B"/>
    <w:rsid w:val="00C24D25"/>
    <w:rsid w:val="00C24D8B"/>
    <w:rsid w:val="00C24DBD"/>
    <w:rsid w:val="00C252E7"/>
    <w:rsid w:val="00C2533D"/>
    <w:rsid w:val="00C25748"/>
    <w:rsid w:val="00C25A3F"/>
    <w:rsid w:val="00C25A8F"/>
    <w:rsid w:val="00C25DA9"/>
    <w:rsid w:val="00C261B0"/>
    <w:rsid w:val="00C2644F"/>
    <w:rsid w:val="00C265AD"/>
    <w:rsid w:val="00C26765"/>
    <w:rsid w:val="00C2678E"/>
    <w:rsid w:val="00C269BC"/>
    <w:rsid w:val="00C26A3C"/>
    <w:rsid w:val="00C26B63"/>
    <w:rsid w:val="00C26C7B"/>
    <w:rsid w:val="00C26CC6"/>
    <w:rsid w:val="00C26CD4"/>
    <w:rsid w:val="00C2701A"/>
    <w:rsid w:val="00C27085"/>
    <w:rsid w:val="00C270F0"/>
    <w:rsid w:val="00C27565"/>
    <w:rsid w:val="00C276AC"/>
    <w:rsid w:val="00C276D8"/>
    <w:rsid w:val="00C27A4D"/>
    <w:rsid w:val="00C27D30"/>
    <w:rsid w:val="00C27D78"/>
    <w:rsid w:val="00C27D8F"/>
    <w:rsid w:val="00C27D96"/>
    <w:rsid w:val="00C27F9D"/>
    <w:rsid w:val="00C30039"/>
    <w:rsid w:val="00C30173"/>
    <w:rsid w:val="00C3027C"/>
    <w:rsid w:val="00C30497"/>
    <w:rsid w:val="00C304A6"/>
    <w:rsid w:val="00C30680"/>
    <w:rsid w:val="00C30ABC"/>
    <w:rsid w:val="00C30DB5"/>
    <w:rsid w:val="00C30E6B"/>
    <w:rsid w:val="00C31035"/>
    <w:rsid w:val="00C315F9"/>
    <w:rsid w:val="00C31681"/>
    <w:rsid w:val="00C31A99"/>
    <w:rsid w:val="00C31B83"/>
    <w:rsid w:val="00C31DE9"/>
    <w:rsid w:val="00C31DF8"/>
    <w:rsid w:val="00C31E20"/>
    <w:rsid w:val="00C31FAF"/>
    <w:rsid w:val="00C324A8"/>
    <w:rsid w:val="00C325C0"/>
    <w:rsid w:val="00C3263B"/>
    <w:rsid w:val="00C3263D"/>
    <w:rsid w:val="00C326F7"/>
    <w:rsid w:val="00C327F0"/>
    <w:rsid w:val="00C328B9"/>
    <w:rsid w:val="00C32906"/>
    <w:rsid w:val="00C3297C"/>
    <w:rsid w:val="00C32AAB"/>
    <w:rsid w:val="00C32D03"/>
    <w:rsid w:val="00C32E92"/>
    <w:rsid w:val="00C3300F"/>
    <w:rsid w:val="00C331B6"/>
    <w:rsid w:val="00C335D5"/>
    <w:rsid w:val="00C33668"/>
    <w:rsid w:val="00C33763"/>
    <w:rsid w:val="00C337BA"/>
    <w:rsid w:val="00C33A1F"/>
    <w:rsid w:val="00C33AE7"/>
    <w:rsid w:val="00C33C2C"/>
    <w:rsid w:val="00C33FD9"/>
    <w:rsid w:val="00C34561"/>
    <w:rsid w:val="00C347FD"/>
    <w:rsid w:val="00C349B5"/>
    <w:rsid w:val="00C34CCC"/>
    <w:rsid w:val="00C34CD3"/>
    <w:rsid w:val="00C34E88"/>
    <w:rsid w:val="00C3520E"/>
    <w:rsid w:val="00C35219"/>
    <w:rsid w:val="00C354D5"/>
    <w:rsid w:val="00C35632"/>
    <w:rsid w:val="00C357DE"/>
    <w:rsid w:val="00C35984"/>
    <w:rsid w:val="00C35E4D"/>
    <w:rsid w:val="00C35F5F"/>
    <w:rsid w:val="00C363D9"/>
    <w:rsid w:val="00C3642B"/>
    <w:rsid w:val="00C36674"/>
    <w:rsid w:val="00C36783"/>
    <w:rsid w:val="00C368A3"/>
    <w:rsid w:val="00C368B9"/>
    <w:rsid w:val="00C368E8"/>
    <w:rsid w:val="00C36C0D"/>
    <w:rsid w:val="00C36CBE"/>
    <w:rsid w:val="00C36D9A"/>
    <w:rsid w:val="00C36EA9"/>
    <w:rsid w:val="00C36F9F"/>
    <w:rsid w:val="00C3709F"/>
    <w:rsid w:val="00C370D9"/>
    <w:rsid w:val="00C371AE"/>
    <w:rsid w:val="00C37229"/>
    <w:rsid w:val="00C37703"/>
    <w:rsid w:val="00C37857"/>
    <w:rsid w:val="00C37AE6"/>
    <w:rsid w:val="00C37DF1"/>
    <w:rsid w:val="00C37DFE"/>
    <w:rsid w:val="00C37E5C"/>
    <w:rsid w:val="00C400C4"/>
    <w:rsid w:val="00C401DF"/>
    <w:rsid w:val="00C403FF"/>
    <w:rsid w:val="00C405E9"/>
    <w:rsid w:val="00C406C7"/>
    <w:rsid w:val="00C407ED"/>
    <w:rsid w:val="00C40B8E"/>
    <w:rsid w:val="00C40BA2"/>
    <w:rsid w:val="00C41335"/>
    <w:rsid w:val="00C4151D"/>
    <w:rsid w:val="00C41539"/>
    <w:rsid w:val="00C4193D"/>
    <w:rsid w:val="00C419E9"/>
    <w:rsid w:val="00C41A31"/>
    <w:rsid w:val="00C41A4D"/>
    <w:rsid w:val="00C41B06"/>
    <w:rsid w:val="00C41B87"/>
    <w:rsid w:val="00C41CB2"/>
    <w:rsid w:val="00C41FFF"/>
    <w:rsid w:val="00C420DB"/>
    <w:rsid w:val="00C424E3"/>
    <w:rsid w:val="00C42521"/>
    <w:rsid w:val="00C42729"/>
    <w:rsid w:val="00C42760"/>
    <w:rsid w:val="00C42835"/>
    <w:rsid w:val="00C42A74"/>
    <w:rsid w:val="00C42E80"/>
    <w:rsid w:val="00C42EED"/>
    <w:rsid w:val="00C4324B"/>
    <w:rsid w:val="00C4359F"/>
    <w:rsid w:val="00C43629"/>
    <w:rsid w:val="00C43632"/>
    <w:rsid w:val="00C43C06"/>
    <w:rsid w:val="00C43C1D"/>
    <w:rsid w:val="00C43ECC"/>
    <w:rsid w:val="00C44036"/>
    <w:rsid w:val="00C442B8"/>
    <w:rsid w:val="00C44460"/>
    <w:rsid w:val="00C445AF"/>
    <w:rsid w:val="00C445EA"/>
    <w:rsid w:val="00C44707"/>
    <w:rsid w:val="00C447AA"/>
    <w:rsid w:val="00C447BB"/>
    <w:rsid w:val="00C44A58"/>
    <w:rsid w:val="00C44BED"/>
    <w:rsid w:val="00C44CF2"/>
    <w:rsid w:val="00C44ECA"/>
    <w:rsid w:val="00C44FFD"/>
    <w:rsid w:val="00C45130"/>
    <w:rsid w:val="00C455A5"/>
    <w:rsid w:val="00C455F1"/>
    <w:rsid w:val="00C4562C"/>
    <w:rsid w:val="00C456F9"/>
    <w:rsid w:val="00C45719"/>
    <w:rsid w:val="00C45834"/>
    <w:rsid w:val="00C45AEE"/>
    <w:rsid w:val="00C45B3A"/>
    <w:rsid w:val="00C45B6A"/>
    <w:rsid w:val="00C45E27"/>
    <w:rsid w:val="00C45FBA"/>
    <w:rsid w:val="00C45FD2"/>
    <w:rsid w:val="00C462CB"/>
    <w:rsid w:val="00C462CD"/>
    <w:rsid w:val="00C462ED"/>
    <w:rsid w:val="00C46649"/>
    <w:rsid w:val="00C46911"/>
    <w:rsid w:val="00C4696B"/>
    <w:rsid w:val="00C46A7C"/>
    <w:rsid w:val="00C46D1B"/>
    <w:rsid w:val="00C46DDB"/>
    <w:rsid w:val="00C46F0E"/>
    <w:rsid w:val="00C46F9C"/>
    <w:rsid w:val="00C47026"/>
    <w:rsid w:val="00C4742E"/>
    <w:rsid w:val="00C474BB"/>
    <w:rsid w:val="00C474ED"/>
    <w:rsid w:val="00C4754B"/>
    <w:rsid w:val="00C47B44"/>
    <w:rsid w:val="00C47C6C"/>
    <w:rsid w:val="00C47D0A"/>
    <w:rsid w:val="00C502BF"/>
    <w:rsid w:val="00C50355"/>
    <w:rsid w:val="00C5041E"/>
    <w:rsid w:val="00C50500"/>
    <w:rsid w:val="00C506B9"/>
    <w:rsid w:val="00C50886"/>
    <w:rsid w:val="00C50913"/>
    <w:rsid w:val="00C509C3"/>
    <w:rsid w:val="00C50D6E"/>
    <w:rsid w:val="00C50D90"/>
    <w:rsid w:val="00C51140"/>
    <w:rsid w:val="00C51342"/>
    <w:rsid w:val="00C51463"/>
    <w:rsid w:val="00C514D1"/>
    <w:rsid w:val="00C5172C"/>
    <w:rsid w:val="00C52130"/>
    <w:rsid w:val="00C52215"/>
    <w:rsid w:val="00C523AE"/>
    <w:rsid w:val="00C52870"/>
    <w:rsid w:val="00C52876"/>
    <w:rsid w:val="00C528AF"/>
    <w:rsid w:val="00C52CF7"/>
    <w:rsid w:val="00C52D2B"/>
    <w:rsid w:val="00C52DD2"/>
    <w:rsid w:val="00C53568"/>
    <w:rsid w:val="00C53885"/>
    <w:rsid w:val="00C53C17"/>
    <w:rsid w:val="00C53D1E"/>
    <w:rsid w:val="00C53D29"/>
    <w:rsid w:val="00C53D41"/>
    <w:rsid w:val="00C53E5D"/>
    <w:rsid w:val="00C53E66"/>
    <w:rsid w:val="00C53FAD"/>
    <w:rsid w:val="00C54078"/>
    <w:rsid w:val="00C541DB"/>
    <w:rsid w:val="00C5435E"/>
    <w:rsid w:val="00C5441E"/>
    <w:rsid w:val="00C54465"/>
    <w:rsid w:val="00C54546"/>
    <w:rsid w:val="00C546AB"/>
    <w:rsid w:val="00C5470C"/>
    <w:rsid w:val="00C5479F"/>
    <w:rsid w:val="00C54806"/>
    <w:rsid w:val="00C5482D"/>
    <w:rsid w:val="00C54A85"/>
    <w:rsid w:val="00C54F22"/>
    <w:rsid w:val="00C55069"/>
    <w:rsid w:val="00C55381"/>
    <w:rsid w:val="00C553AB"/>
    <w:rsid w:val="00C55436"/>
    <w:rsid w:val="00C55A76"/>
    <w:rsid w:val="00C55C89"/>
    <w:rsid w:val="00C55E21"/>
    <w:rsid w:val="00C55FCA"/>
    <w:rsid w:val="00C560F1"/>
    <w:rsid w:val="00C561F6"/>
    <w:rsid w:val="00C56427"/>
    <w:rsid w:val="00C56441"/>
    <w:rsid w:val="00C56449"/>
    <w:rsid w:val="00C56750"/>
    <w:rsid w:val="00C56A7E"/>
    <w:rsid w:val="00C56CC9"/>
    <w:rsid w:val="00C56D87"/>
    <w:rsid w:val="00C570E9"/>
    <w:rsid w:val="00C57134"/>
    <w:rsid w:val="00C57316"/>
    <w:rsid w:val="00C57494"/>
    <w:rsid w:val="00C579AA"/>
    <w:rsid w:val="00C57D4B"/>
    <w:rsid w:val="00C60018"/>
    <w:rsid w:val="00C603A3"/>
    <w:rsid w:val="00C60517"/>
    <w:rsid w:val="00C605EF"/>
    <w:rsid w:val="00C60664"/>
    <w:rsid w:val="00C608EB"/>
    <w:rsid w:val="00C60916"/>
    <w:rsid w:val="00C60938"/>
    <w:rsid w:val="00C60A25"/>
    <w:rsid w:val="00C60B04"/>
    <w:rsid w:val="00C610B9"/>
    <w:rsid w:val="00C61215"/>
    <w:rsid w:val="00C61799"/>
    <w:rsid w:val="00C61D82"/>
    <w:rsid w:val="00C61EF2"/>
    <w:rsid w:val="00C61EF3"/>
    <w:rsid w:val="00C62386"/>
    <w:rsid w:val="00C6239D"/>
    <w:rsid w:val="00C625EC"/>
    <w:rsid w:val="00C6262E"/>
    <w:rsid w:val="00C62936"/>
    <w:rsid w:val="00C62E18"/>
    <w:rsid w:val="00C62F54"/>
    <w:rsid w:val="00C62FFB"/>
    <w:rsid w:val="00C633A8"/>
    <w:rsid w:val="00C633E5"/>
    <w:rsid w:val="00C63407"/>
    <w:rsid w:val="00C636A7"/>
    <w:rsid w:val="00C63756"/>
    <w:rsid w:val="00C63766"/>
    <w:rsid w:val="00C6380A"/>
    <w:rsid w:val="00C6387D"/>
    <w:rsid w:val="00C63A91"/>
    <w:rsid w:val="00C63D3E"/>
    <w:rsid w:val="00C63DBD"/>
    <w:rsid w:val="00C63E3C"/>
    <w:rsid w:val="00C63EDF"/>
    <w:rsid w:val="00C640C8"/>
    <w:rsid w:val="00C64642"/>
    <w:rsid w:val="00C64938"/>
    <w:rsid w:val="00C64A90"/>
    <w:rsid w:val="00C64C60"/>
    <w:rsid w:val="00C64C61"/>
    <w:rsid w:val="00C64ECE"/>
    <w:rsid w:val="00C65085"/>
    <w:rsid w:val="00C6532C"/>
    <w:rsid w:val="00C65414"/>
    <w:rsid w:val="00C6541C"/>
    <w:rsid w:val="00C656AA"/>
    <w:rsid w:val="00C65A44"/>
    <w:rsid w:val="00C65CB3"/>
    <w:rsid w:val="00C65D4A"/>
    <w:rsid w:val="00C65FD0"/>
    <w:rsid w:val="00C6613B"/>
    <w:rsid w:val="00C6620C"/>
    <w:rsid w:val="00C663B3"/>
    <w:rsid w:val="00C6659D"/>
    <w:rsid w:val="00C665AA"/>
    <w:rsid w:val="00C667DF"/>
    <w:rsid w:val="00C6698A"/>
    <w:rsid w:val="00C66BC4"/>
    <w:rsid w:val="00C66BF6"/>
    <w:rsid w:val="00C66C47"/>
    <w:rsid w:val="00C66D44"/>
    <w:rsid w:val="00C66D66"/>
    <w:rsid w:val="00C66DA1"/>
    <w:rsid w:val="00C67138"/>
    <w:rsid w:val="00C67287"/>
    <w:rsid w:val="00C6746D"/>
    <w:rsid w:val="00C67663"/>
    <w:rsid w:val="00C677AA"/>
    <w:rsid w:val="00C67886"/>
    <w:rsid w:val="00C67E28"/>
    <w:rsid w:val="00C67FAC"/>
    <w:rsid w:val="00C70113"/>
    <w:rsid w:val="00C70273"/>
    <w:rsid w:val="00C7033F"/>
    <w:rsid w:val="00C703F0"/>
    <w:rsid w:val="00C70554"/>
    <w:rsid w:val="00C70579"/>
    <w:rsid w:val="00C706CE"/>
    <w:rsid w:val="00C70718"/>
    <w:rsid w:val="00C7082E"/>
    <w:rsid w:val="00C709D3"/>
    <w:rsid w:val="00C70A38"/>
    <w:rsid w:val="00C70D2D"/>
    <w:rsid w:val="00C70E13"/>
    <w:rsid w:val="00C70F35"/>
    <w:rsid w:val="00C7106A"/>
    <w:rsid w:val="00C712F4"/>
    <w:rsid w:val="00C713C1"/>
    <w:rsid w:val="00C71449"/>
    <w:rsid w:val="00C715DD"/>
    <w:rsid w:val="00C7167C"/>
    <w:rsid w:val="00C717F7"/>
    <w:rsid w:val="00C718E5"/>
    <w:rsid w:val="00C71976"/>
    <w:rsid w:val="00C71AF9"/>
    <w:rsid w:val="00C71AFE"/>
    <w:rsid w:val="00C71CC9"/>
    <w:rsid w:val="00C71D50"/>
    <w:rsid w:val="00C71F42"/>
    <w:rsid w:val="00C7217B"/>
    <w:rsid w:val="00C7220C"/>
    <w:rsid w:val="00C7226B"/>
    <w:rsid w:val="00C7272C"/>
    <w:rsid w:val="00C729F2"/>
    <w:rsid w:val="00C73475"/>
    <w:rsid w:val="00C735B8"/>
    <w:rsid w:val="00C73610"/>
    <w:rsid w:val="00C73710"/>
    <w:rsid w:val="00C73975"/>
    <w:rsid w:val="00C73E6B"/>
    <w:rsid w:val="00C741BE"/>
    <w:rsid w:val="00C74264"/>
    <w:rsid w:val="00C7429D"/>
    <w:rsid w:val="00C7492C"/>
    <w:rsid w:val="00C749DB"/>
    <w:rsid w:val="00C749E1"/>
    <w:rsid w:val="00C74B46"/>
    <w:rsid w:val="00C74B69"/>
    <w:rsid w:val="00C74BF1"/>
    <w:rsid w:val="00C74C45"/>
    <w:rsid w:val="00C74C49"/>
    <w:rsid w:val="00C74D2A"/>
    <w:rsid w:val="00C74DC5"/>
    <w:rsid w:val="00C74E33"/>
    <w:rsid w:val="00C75070"/>
    <w:rsid w:val="00C75098"/>
    <w:rsid w:val="00C750CF"/>
    <w:rsid w:val="00C7522D"/>
    <w:rsid w:val="00C7538F"/>
    <w:rsid w:val="00C753E5"/>
    <w:rsid w:val="00C754CB"/>
    <w:rsid w:val="00C755CD"/>
    <w:rsid w:val="00C755D3"/>
    <w:rsid w:val="00C7595F"/>
    <w:rsid w:val="00C75D82"/>
    <w:rsid w:val="00C7612F"/>
    <w:rsid w:val="00C76372"/>
    <w:rsid w:val="00C76373"/>
    <w:rsid w:val="00C763E6"/>
    <w:rsid w:val="00C764E6"/>
    <w:rsid w:val="00C765CF"/>
    <w:rsid w:val="00C76633"/>
    <w:rsid w:val="00C76807"/>
    <w:rsid w:val="00C76849"/>
    <w:rsid w:val="00C768A8"/>
    <w:rsid w:val="00C76B8F"/>
    <w:rsid w:val="00C76CBA"/>
    <w:rsid w:val="00C76DFC"/>
    <w:rsid w:val="00C76EA3"/>
    <w:rsid w:val="00C76F09"/>
    <w:rsid w:val="00C76F42"/>
    <w:rsid w:val="00C77091"/>
    <w:rsid w:val="00C77371"/>
    <w:rsid w:val="00C773DA"/>
    <w:rsid w:val="00C779E2"/>
    <w:rsid w:val="00C77BD6"/>
    <w:rsid w:val="00C77CD4"/>
    <w:rsid w:val="00C77DC6"/>
    <w:rsid w:val="00C80020"/>
    <w:rsid w:val="00C800AA"/>
    <w:rsid w:val="00C80281"/>
    <w:rsid w:val="00C80493"/>
    <w:rsid w:val="00C80509"/>
    <w:rsid w:val="00C80590"/>
    <w:rsid w:val="00C80983"/>
    <w:rsid w:val="00C809BE"/>
    <w:rsid w:val="00C80CA1"/>
    <w:rsid w:val="00C80DDB"/>
    <w:rsid w:val="00C80EBE"/>
    <w:rsid w:val="00C810EE"/>
    <w:rsid w:val="00C812BB"/>
    <w:rsid w:val="00C812EE"/>
    <w:rsid w:val="00C81353"/>
    <w:rsid w:val="00C8151A"/>
    <w:rsid w:val="00C816D1"/>
    <w:rsid w:val="00C816D4"/>
    <w:rsid w:val="00C818F4"/>
    <w:rsid w:val="00C819CC"/>
    <w:rsid w:val="00C81A26"/>
    <w:rsid w:val="00C81C97"/>
    <w:rsid w:val="00C81FC3"/>
    <w:rsid w:val="00C81FFD"/>
    <w:rsid w:val="00C82087"/>
    <w:rsid w:val="00C826C5"/>
    <w:rsid w:val="00C827AE"/>
    <w:rsid w:val="00C828CA"/>
    <w:rsid w:val="00C82A71"/>
    <w:rsid w:val="00C82D63"/>
    <w:rsid w:val="00C82E61"/>
    <w:rsid w:val="00C82E64"/>
    <w:rsid w:val="00C82EC2"/>
    <w:rsid w:val="00C83133"/>
    <w:rsid w:val="00C83344"/>
    <w:rsid w:val="00C834FE"/>
    <w:rsid w:val="00C83B67"/>
    <w:rsid w:val="00C83B86"/>
    <w:rsid w:val="00C83CA8"/>
    <w:rsid w:val="00C83CBD"/>
    <w:rsid w:val="00C83E39"/>
    <w:rsid w:val="00C840D9"/>
    <w:rsid w:val="00C84205"/>
    <w:rsid w:val="00C84408"/>
    <w:rsid w:val="00C8477A"/>
    <w:rsid w:val="00C848A4"/>
    <w:rsid w:val="00C84C1B"/>
    <w:rsid w:val="00C84C29"/>
    <w:rsid w:val="00C8543B"/>
    <w:rsid w:val="00C85640"/>
    <w:rsid w:val="00C85708"/>
    <w:rsid w:val="00C85A20"/>
    <w:rsid w:val="00C85AAA"/>
    <w:rsid w:val="00C861B4"/>
    <w:rsid w:val="00C862A4"/>
    <w:rsid w:val="00C865C7"/>
    <w:rsid w:val="00C86609"/>
    <w:rsid w:val="00C86714"/>
    <w:rsid w:val="00C8680B"/>
    <w:rsid w:val="00C86862"/>
    <w:rsid w:val="00C868C5"/>
    <w:rsid w:val="00C86924"/>
    <w:rsid w:val="00C869D3"/>
    <w:rsid w:val="00C86AC6"/>
    <w:rsid w:val="00C86B5F"/>
    <w:rsid w:val="00C86C6A"/>
    <w:rsid w:val="00C87260"/>
    <w:rsid w:val="00C87311"/>
    <w:rsid w:val="00C87328"/>
    <w:rsid w:val="00C873A2"/>
    <w:rsid w:val="00C875A3"/>
    <w:rsid w:val="00C875AD"/>
    <w:rsid w:val="00C87986"/>
    <w:rsid w:val="00C87A27"/>
    <w:rsid w:val="00C87BE1"/>
    <w:rsid w:val="00C87D07"/>
    <w:rsid w:val="00C906AC"/>
    <w:rsid w:val="00C90910"/>
    <w:rsid w:val="00C90939"/>
    <w:rsid w:val="00C90A8B"/>
    <w:rsid w:val="00C90C4C"/>
    <w:rsid w:val="00C90EDB"/>
    <w:rsid w:val="00C90F5E"/>
    <w:rsid w:val="00C90FC7"/>
    <w:rsid w:val="00C90FCF"/>
    <w:rsid w:val="00C910D9"/>
    <w:rsid w:val="00C91371"/>
    <w:rsid w:val="00C91418"/>
    <w:rsid w:val="00C9189A"/>
    <w:rsid w:val="00C91A33"/>
    <w:rsid w:val="00C91C13"/>
    <w:rsid w:val="00C91D99"/>
    <w:rsid w:val="00C922E5"/>
    <w:rsid w:val="00C92329"/>
    <w:rsid w:val="00C92359"/>
    <w:rsid w:val="00C92393"/>
    <w:rsid w:val="00C925A2"/>
    <w:rsid w:val="00C926DB"/>
    <w:rsid w:val="00C92737"/>
    <w:rsid w:val="00C9273D"/>
    <w:rsid w:val="00C927D6"/>
    <w:rsid w:val="00C92843"/>
    <w:rsid w:val="00C92894"/>
    <w:rsid w:val="00C929B0"/>
    <w:rsid w:val="00C92A91"/>
    <w:rsid w:val="00C92ADF"/>
    <w:rsid w:val="00C92B0F"/>
    <w:rsid w:val="00C92C2C"/>
    <w:rsid w:val="00C92DFD"/>
    <w:rsid w:val="00C92EB9"/>
    <w:rsid w:val="00C93016"/>
    <w:rsid w:val="00C93100"/>
    <w:rsid w:val="00C93110"/>
    <w:rsid w:val="00C93267"/>
    <w:rsid w:val="00C936B9"/>
    <w:rsid w:val="00C936D9"/>
    <w:rsid w:val="00C9377C"/>
    <w:rsid w:val="00C938AE"/>
    <w:rsid w:val="00C93955"/>
    <w:rsid w:val="00C93B52"/>
    <w:rsid w:val="00C93EC7"/>
    <w:rsid w:val="00C94178"/>
    <w:rsid w:val="00C941B8"/>
    <w:rsid w:val="00C9429A"/>
    <w:rsid w:val="00C946F3"/>
    <w:rsid w:val="00C947A1"/>
    <w:rsid w:val="00C94810"/>
    <w:rsid w:val="00C94BD0"/>
    <w:rsid w:val="00C94DCA"/>
    <w:rsid w:val="00C94E01"/>
    <w:rsid w:val="00C95190"/>
    <w:rsid w:val="00C954DC"/>
    <w:rsid w:val="00C9553A"/>
    <w:rsid w:val="00C9583D"/>
    <w:rsid w:val="00C95AF8"/>
    <w:rsid w:val="00C95ECB"/>
    <w:rsid w:val="00C960C0"/>
    <w:rsid w:val="00C9621F"/>
    <w:rsid w:val="00C963B9"/>
    <w:rsid w:val="00C964F2"/>
    <w:rsid w:val="00C9654C"/>
    <w:rsid w:val="00C96556"/>
    <w:rsid w:val="00C968D9"/>
    <w:rsid w:val="00C96E2C"/>
    <w:rsid w:val="00C96E35"/>
    <w:rsid w:val="00C9705D"/>
    <w:rsid w:val="00C970D9"/>
    <w:rsid w:val="00C97191"/>
    <w:rsid w:val="00C972FB"/>
    <w:rsid w:val="00C97395"/>
    <w:rsid w:val="00C97481"/>
    <w:rsid w:val="00C978B8"/>
    <w:rsid w:val="00C97BF1"/>
    <w:rsid w:val="00CA00F5"/>
    <w:rsid w:val="00CA04B6"/>
    <w:rsid w:val="00CA0556"/>
    <w:rsid w:val="00CA071D"/>
    <w:rsid w:val="00CA0E80"/>
    <w:rsid w:val="00CA10FB"/>
    <w:rsid w:val="00CA1798"/>
    <w:rsid w:val="00CA17FB"/>
    <w:rsid w:val="00CA1885"/>
    <w:rsid w:val="00CA1A73"/>
    <w:rsid w:val="00CA21F2"/>
    <w:rsid w:val="00CA22C4"/>
    <w:rsid w:val="00CA2374"/>
    <w:rsid w:val="00CA24DF"/>
    <w:rsid w:val="00CA271D"/>
    <w:rsid w:val="00CA290C"/>
    <w:rsid w:val="00CA2C32"/>
    <w:rsid w:val="00CA2C6F"/>
    <w:rsid w:val="00CA2D70"/>
    <w:rsid w:val="00CA2EAB"/>
    <w:rsid w:val="00CA3085"/>
    <w:rsid w:val="00CA3788"/>
    <w:rsid w:val="00CA37E5"/>
    <w:rsid w:val="00CA3881"/>
    <w:rsid w:val="00CA3A57"/>
    <w:rsid w:val="00CA3B6F"/>
    <w:rsid w:val="00CA3D50"/>
    <w:rsid w:val="00CA3F25"/>
    <w:rsid w:val="00CA422D"/>
    <w:rsid w:val="00CA4456"/>
    <w:rsid w:val="00CA450A"/>
    <w:rsid w:val="00CA468F"/>
    <w:rsid w:val="00CA567F"/>
    <w:rsid w:val="00CA58BA"/>
    <w:rsid w:val="00CA5988"/>
    <w:rsid w:val="00CA5B77"/>
    <w:rsid w:val="00CA5D01"/>
    <w:rsid w:val="00CA5D43"/>
    <w:rsid w:val="00CA5EC3"/>
    <w:rsid w:val="00CA6095"/>
    <w:rsid w:val="00CA6314"/>
    <w:rsid w:val="00CA632D"/>
    <w:rsid w:val="00CA633A"/>
    <w:rsid w:val="00CA635C"/>
    <w:rsid w:val="00CA644A"/>
    <w:rsid w:val="00CA6757"/>
    <w:rsid w:val="00CA6891"/>
    <w:rsid w:val="00CA6B73"/>
    <w:rsid w:val="00CA6BAA"/>
    <w:rsid w:val="00CA6D2D"/>
    <w:rsid w:val="00CA6D99"/>
    <w:rsid w:val="00CA6F6E"/>
    <w:rsid w:val="00CA7337"/>
    <w:rsid w:val="00CA75B0"/>
    <w:rsid w:val="00CA76BB"/>
    <w:rsid w:val="00CA7795"/>
    <w:rsid w:val="00CA7BF7"/>
    <w:rsid w:val="00CA7D03"/>
    <w:rsid w:val="00CA7D55"/>
    <w:rsid w:val="00CA7DD7"/>
    <w:rsid w:val="00CA7EA8"/>
    <w:rsid w:val="00CB018D"/>
    <w:rsid w:val="00CB036C"/>
    <w:rsid w:val="00CB04AB"/>
    <w:rsid w:val="00CB080E"/>
    <w:rsid w:val="00CB0A08"/>
    <w:rsid w:val="00CB0A48"/>
    <w:rsid w:val="00CB0AB5"/>
    <w:rsid w:val="00CB0AD2"/>
    <w:rsid w:val="00CB1749"/>
    <w:rsid w:val="00CB1788"/>
    <w:rsid w:val="00CB17AA"/>
    <w:rsid w:val="00CB1AF4"/>
    <w:rsid w:val="00CB215F"/>
    <w:rsid w:val="00CB216A"/>
    <w:rsid w:val="00CB229D"/>
    <w:rsid w:val="00CB2314"/>
    <w:rsid w:val="00CB259A"/>
    <w:rsid w:val="00CB292A"/>
    <w:rsid w:val="00CB29D5"/>
    <w:rsid w:val="00CB2ADB"/>
    <w:rsid w:val="00CB2C07"/>
    <w:rsid w:val="00CB2EDF"/>
    <w:rsid w:val="00CB30B2"/>
    <w:rsid w:val="00CB30F8"/>
    <w:rsid w:val="00CB312D"/>
    <w:rsid w:val="00CB344D"/>
    <w:rsid w:val="00CB35EC"/>
    <w:rsid w:val="00CB384B"/>
    <w:rsid w:val="00CB3AD0"/>
    <w:rsid w:val="00CB3BCC"/>
    <w:rsid w:val="00CB3FA1"/>
    <w:rsid w:val="00CB41DD"/>
    <w:rsid w:val="00CB4278"/>
    <w:rsid w:val="00CB456B"/>
    <w:rsid w:val="00CB4597"/>
    <w:rsid w:val="00CB4738"/>
    <w:rsid w:val="00CB48F8"/>
    <w:rsid w:val="00CB4E31"/>
    <w:rsid w:val="00CB4F93"/>
    <w:rsid w:val="00CB5109"/>
    <w:rsid w:val="00CB52B9"/>
    <w:rsid w:val="00CB5353"/>
    <w:rsid w:val="00CB54C6"/>
    <w:rsid w:val="00CB550B"/>
    <w:rsid w:val="00CB55A1"/>
    <w:rsid w:val="00CB5824"/>
    <w:rsid w:val="00CB582D"/>
    <w:rsid w:val="00CB59A5"/>
    <w:rsid w:val="00CB5AAB"/>
    <w:rsid w:val="00CB5B70"/>
    <w:rsid w:val="00CB5BE5"/>
    <w:rsid w:val="00CB5CBA"/>
    <w:rsid w:val="00CB5EB0"/>
    <w:rsid w:val="00CB5F8E"/>
    <w:rsid w:val="00CB60E6"/>
    <w:rsid w:val="00CB624C"/>
    <w:rsid w:val="00CB63CE"/>
    <w:rsid w:val="00CB6A69"/>
    <w:rsid w:val="00CB6AEB"/>
    <w:rsid w:val="00CB6D29"/>
    <w:rsid w:val="00CB6DD8"/>
    <w:rsid w:val="00CB6E67"/>
    <w:rsid w:val="00CB6EFB"/>
    <w:rsid w:val="00CB6FC4"/>
    <w:rsid w:val="00CB7129"/>
    <w:rsid w:val="00CB71F1"/>
    <w:rsid w:val="00CB748C"/>
    <w:rsid w:val="00CB75D7"/>
    <w:rsid w:val="00CB76D2"/>
    <w:rsid w:val="00CB7770"/>
    <w:rsid w:val="00CB7F73"/>
    <w:rsid w:val="00CC03CB"/>
    <w:rsid w:val="00CC047B"/>
    <w:rsid w:val="00CC06BF"/>
    <w:rsid w:val="00CC074E"/>
    <w:rsid w:val="00CC0769"/>
    <w:rsid w:val="00CC07BC"/>
    <w:rsid w:val="00CC07E1"/>
    <w:rsid w:val="00CC0A71"/>
    <w:rsid w:val="00CC0ABA"/>
    <w:rsid w:val="00CC0BF6"/>
    <w:rsid w:val="00CC0E09"/>
    <w:rsid w:val="00CC0E6D"/>
    <w:rsid w:val="00CC0E74"/>
    <w:rsid w:val="00CC0FBD"/>
    <w:rsid w:val="00CC1149"/>
    <w:rsid w:val="00CC11DA"/>
    <w:rsid w:val="00CC13AF"/>
    <w:rsid w:val="00CC1615"/>
    <w:rsid w:val="00CC1752"/>
    <w:rsid w:val="00CC17F1"/>
    <w:rsid w:val="00CC188A"/>
    <w:rsid w:val="00CC1FF7"/>
    <w:rsid w:val="00CC20E0"/>
    <w:rsid w:val="00CC22A5"/>
    <w:rsid w:val="00CC2369"/>
    <w:rsid w:val="00CC2495"/>
    <w:rsid w:val="00CC24CB"/>
    <w:rsid w:val="00CC2531"/>
    <w:rsid w:val="00CC25BC"/>
    <w:rsid w:val="00CC25D5"/>
    <w:rsid w:val="00CC276B"/>
    <w:rsid w:val="00CC296E"/>
    <w:rsid w:val="00CC2A3D"/>
    <w:rsid w:val="00CC2A8D"/>
    <w:rsid w:val="00CC2D41"/>
    <w:rsid w:val="00CC2D7A"/>
    <w:rsid w:val="00CC2D7C"/>
    <w:rsid w:val="00CC2F4F"/>
    <w:rsid w:val="00CC3304"/>
    <w:rsid w:val="00CC3346"/>
    <w:rsid w:val="00CC345E"/>
    <w:rsid w:val="00CC35EA"/>
    <w:rsid w:val="00CC36A2"/>
    <w:rsid w:val="00CC39FC"/>
    <w:rsid w:val="00CC3AEB"/>
    <w:rsid w:val="00CC3E0D"/>
    <w:rsid w:val="00CC3E35"/>
    <w:rsid w:val="00CC3E67"/>
    <w:rsid w:val="00CC400F"/>
    <w:rsid w:val="00CC403D"/>
    <w:rsid w:val="00CC470E"/>
    <w:rsid w:val="00CC47ED"/>
    <w:rsid w:val="00CC4A2E"/>
    <w:rsid w:val="00CC4C85"/>
    <w:rsid w:val="00CC4D36"/>
    <w:rsid w:val="00CC4EA0"/>
    <w:rsid w:val="00CC4F1C"/>
    <w:rsid w:val="00CC5191"/>
    <w:rsid w:val="00CC5402"/>
    <w:rsid w:val="00CC5A0A"/>
    <w:rsid w:val="00CC5AB0"/>
    <w:rsid w:val="00CC5B6A"/>
    <w:rsid w:val="00CC5C6E"/>
    <w:rsid w:val="00CC5E6D"/>
    <w:rsid w:val="00CC5E77"/>
    <w:rsid w:val="00CC5E7A"/>
    <w:rsid w:val="00CC5F08"/>
    <w:rsid w:val="00CC6448"/>
    <w:rsid w:val="00CC653F"/>
    <w:rsid w:val="00CC66D9"/>
    <w:rsid w:val="00CC677C"/>
    <w:rsid w:val="00CC6922"/>
    <w:rsid w:val="00CC6AEE"/>
    <w:rsid w:val="00CC6BC2"/>
    <w:rsid w:val="00CC6CB4"/>
    <w:rsid w:val="00CC6D5B"/>
    <w:rsid w:val="00CC6E3B"/>
    <w:rsid w:val="00CC737D"/>
    <w:rsid w:val="00CC738D"/>
    <w:rsid w:val="00CC73BF"/>
    <w:rsid w:val="00CC7600"/>
    <w:rsid w:val="00CC76A4"/>
    <w:rsid w:val="00CC79FB"/>
    <w:rsid w:val="00CC7C13"/>
    <w:rsid w:val="00CD01E5"/>
    <w:rsid w:val="00CD0381"/>
    <w:rsid w:val="00CD0412"/>
    <w:rsid w:val="00CD05E1"/>
    <w:rsid w:val="00CD0E61"/>
    <w:rsid w:val="00CD0F70"/>
    <w:rsid w:val="00CD10F4"/>
    <w:rsid w:val="00CD1142"/>
    <w:rsid w:val="00CD140B"/>
    <w:rsid w:val="00CD1428"/>
    <w:rsid w:val="00CD18AA"/>
    <w:rsid w:val="00CD1912"/>
    <w:rsid w:val="00CD1C12"/>
    <w:rsid w:val="00CD1E0A"/>
    <w:rsid w:val="00CD1FB2"/>
    <w:rsid w:val="00CD210E"/>
    <w:rsid w:val="00CD215F"/>
    <w:rsid w:val="00CD219B"/>
    <w:rsid w:val="00CD2391"/>
    <w:rsid w:val="00CD241C"/>
    <w:rsid w:val="00CD2442"/>
    <w:rsid w:val="00CD278A"/>
    <w:rsid w:val="00CD28EB"/>
    <w:rsid w:val="00CD2B32"/>
    <w:rsid w:val="00CD2DF8"/>
    <w:rsid w:val="00CD356F"/>
    <w:rsid w:val="00CD3828"/>
    <w:rsid w:val="00CD3995"/>
    <w:rsid w:val="00CD399A"/>
    <w:rsid w:val="00CD3A01"/>
    <w:rsid w:val="00CD3A6C"/>
    <w:rsid w:val="00CD3A7C"/>
    <w:rsid w:val="00CD3C0B"/>
    <w:rsid w:val="00CD405B"/>
    <w:rsid w:val="00CD42E5"/>
    <w:rsid w:val="00CD4384"/>
    <w:rsid w:val="00CD4399"/>
    <w:rsid w:val="00CD461A"/>
    <w:rsid w:val="00CD47AC"/>
    <w:rsid w:val="00CD48CC"/>
    <w:rsid w:val="00CD4A08"/>
    <w:rsid w:val="00CD4B27"/>
    <w:rsid w:val="00CD4CE1"/>
    <w:rsid w:val="00CD4E94"/>
    <w:rsid w:val="00CD5239"/>
    <w:rsid w:val="00CD536C"/>
    <w:rsid w:val="00CD55AC"/>
    <w:rsid w:val="00CD573F"/>
    <w:rsid w:val="00CD5A49"/>
    <w:rsid w:val="00CD5C7C"/>
    <w:rsid w:val="00CD5CF9"/>
    <w:rsid w:val="00CD5E1F"/>
    <w:rsid w:val="00CD5EC2"/>
    <w:rsid w:val="00CD5FCD"/>
    <w:rsid w:val="00CD5FEB"/>
    <w:rsid w:val="00CD6036"/>
    <w:rsid w:val="00CD60BA"/>
    <w:rsid w:val="00CD6190"/>
    <w:rsid w:val="00CD63ED"/>
    <w:rsid w:val="00CD66C7"/>
    <w:rsid w:val="00CD6812"/>
    <w:rsid w:val="00CD68DE"/>
    <w:rsid w:val="00CD6A6D"/>
    <w:rsid w:val="00CD6A70"/>
    <w:rsid w:val="00CD6C03"/>
    <w:rsid w:val="00CD6C43"/>
    <w:rsid w:val="00CD6E11"/>
    <w:rsid w:val="00CD6ED9"/>
    <w:rsid w:val="00CD6FC4"/>
    <w:rsid w:val="00CD7038"/>
    <w:rsid w:val="00CD71DC"/>
    <w:rsid w:val="00CD72FB"/>
    <w:rsid w:val="00CD73F1"/>
    <w:rsid w:val="00CD7538"/>
    <w:rsid w:val="00CD75B8"/>
    <w:rsid w:val="00CD75DA"/>
    <w:rsid w:val="00CD770E"/>
    <w:rsid w:val="00CD7A2F"/>
    <w:rsid w:val="00CD7D35"/>
    <w:rsid w:val="00CD7E4B"/>
    <w:rsid w:val="00CD7F03"/>
    <w:rsid w:val="00CD7FC8"/>
    <w:rsid w:val="00CE0387"/>
    <w:rsid w:val="00CE03EC"/>
    <w:rsid w:val="00CE05E3"/>
    <w:rsid w:val="00CE0603"/>
    <w:rsid w:val="00CE08A0"/>
    <w:rsid w:val="00CE09CB"/>
    <w:rsid w:val="00CE0A4D"/>
    <w:rsid w:val="00CE0ADD"/>
    <w:rsid w:val="00CE0ED3"/>
    <w:rsid w:val="00CE1407"/>
    <w:rsid w:val="00CE1434"/>
    <w:rsid w:val="00CE14C1"/>
    <w:rsid w:val="00CE14D0"/>
    <w:rsid w:val="00CE17D3"/>
    <w:rsid w:val="00CE180D"/>
    <w:rsid w:val="00CE190D"/>
    <w:rsid w:val="00CE1910"/>
    <w:rsid w:val="00CE1970"/>
    <w:rsid w:val="00CE1E5B"/>
    <w:rsid w:val="00CE2295"/>
    <w:rsid w:val="00CE2553"/>
    <w:rsid w:val="00CE26C2"/>
    <w:rsid w:val="00CE28E2"/>
    <w:rsid w:val="00CE2B32"/>
    <w:rsid w:val="00CE2DE8"/>
    <w:rsid w:val="00CE2E0B"/>
    <w:rsid w:val="00CE3000"/>
    <w:rsid w:val="00CE3068"/>
    <w:rsid w:val="00CE30BB"/>
    <w:rsid w:val="00CE323A"/>
    <w:rsid w:val="00CE329C"/>
    <w:rsid w:val="00CE3390"/>
    <w:rsid w:val="00CE349B"/>
    <w:rsid w:val="00CE357C"/>
    <w:rsid w:val="00CE364E"/>
    <w:rsid w:val="00CE365D"/>
    <w:rsid w:val="00CE3783"/>
    <w:rsid w:val="00CE3A6B"/>
    <w:rsid w:val="00CE3A72"/>
    <w:rsid w:val="00CE3BD9"/>
    <w:rsid w:val="00CE3CF7"/>
    <w:rsid w:val="00CE4483"/>
    <w:rsid w:val="00CE4497"/>
    <w:rsid w:val="00CE460D"/>
    <w:rsid w:val="00CE4636"/>
    <w:rsid w:val="00CE4704"/>
    <w:rsid w:val="00CE48FA"/>
    <w:rsid w:val="00CE4B2A"/>
    <w:rsid w:val="00CE4C58"/>
    <w:rsid w:val="00CE4CD6"/>
    <w:rsid w:val="00CE4D93"/>
    <w:rsid w:val="00CE4E6A"/>
    <w:rsid w:val="00CE4EE8"/>
    <w:rsid w:val="00CE4F28"/>
    <w:rsid w:val="00CE5005"/>
    <w:rsid w:val="00CE5385"/>
    <w:rsid w:val="00CE5387"/>
    <w:rsid w:val="00CE54A6"/>
    <w:rsid w:val="00CE55B3"/>
    <w:rsid w:val="00CE55C9"/>
    <w:rsid w:val="00CE564E"/>
    <w:rsid w:val="00CE5733"/>
    <w:rsid w:val="00CE593B"/>
    <w:rsid w:val="00CE5E8A"/>
    <w:rsid w:val="00CE6013"/>
    <w:rsid w:val="00CE6110"/>
    <w:rsid w:val="00CE626D"/>
    <w:rsid w:val="00CE633C"/>
    <w:rsid w:val="00CE668C"/>
    <w:rsid w:val="00CE67AE"/>
    <w:rsid w:val="00CE6814"/>
    <w:rsid w:val="00CE6A72"/>
    <w:rsid w:val="00CE6CDE"/>
    <w:rsid w:val="00CE7072"/>
    <w:rsid w:val="00CE70EF"/>
    <w:rsid w:val="00CE7204"/>
    <w:rsid w:val="00CE744C"/>
    <w:rsid w:val="00CE757C"/>
    <w:rsid w:val="00CE78A3"/>
    <w:rsid w:val="00CE78EF"/>
    <w:rsid w:val="00CE7994"/>
    <w:rsid w:val="00CE79E1"/>
    <w:rsid w:val="00CE7F3A"/>
    <w:rsid w:val="00CF0096"/>
    <w:rsid w:val="00CF03D6"/>
    <w:rsid w:val="00CF0460"/>
    <w:rsid w:val="00CF0540"/>
    <w:rsid w:val="00CF056C"/>
    <w:rsid w:val="00CF062E"/>
    <w:rsid w:val="00CF070C"/>
    <w:rsid w:val="00CF07DB"/>
    <w:rsid w:val="00CF07FF"/>
    <w:rsid w:val="00CF0AF9"/>
    <w:rsid w:val="00CF0B21"/>
    <w:rsid w:val="00CF0B68"/>
    <w:rsid w:val="00CF0B89"/>
    <w:rsid w:val="00CF0C20"/>
    <w:rsid w:val="00CF0C9A"/>
    <w:rsid w:val="00CF0CDA"/>
    <w:rsid w:val="00CF1090"/>
    <w:rsid w:val="00CF10CC"/>
    <w:rsid w:val="00CF1129"/>
    <w:rsid w:val="00CF112E"/>
    <w:rsid w:val="00CF1221"/>
    <w:rsid w:val="00CF12B4"/>
    <w:rsid w:val="00CF13CF"/>
    <w:rsid w:val="00CF1459"/>
    <w:rsid w:val="00CF1816"/>
    <w:rsid w:val="00CF186E"/>
    <w:rsid w:val="00CF19CC"/>
    <w:rsid w:val="00CF1BD0"/>
    <w:rsid w:val="00CF2061"/>
    <w:rsid w:val="00CF2133"/>
    <w:rsid w:val="00CF259F"/>
    <w:rsid w:val="00CF25B9"/>
    <w:rsid w:val="00CF25D8"/>
    <w:rsid w:val="00CF263F"/>
    <w:rsid w:val="00CF265E"/>
    <w:rsid w:val="00CF2688"/>
    <w:rsid w:val="00CF2875"/>
    <w:rsid w:val="00CF2A13"/>
    <w:rsid w:val="00CF2BFA"/>
    <w:rsid w:val="00CF2EAB"/>
    <w:rsid w:val="00CF303D"/>
    <w:rsid w:val="00CF3048"/>
    <w:rsid w:val="00CF30E0"/>
    <w:rsid w:val="00CF368D"/>
    <w:rsid w:val="00CF388A"/>
    <w:rsid w:val="00CF3A49"/>
    <w:rsid w:val="00CF3A63"/>
    <w:rsid w:val="00CF3E7C"/>
    <w:rsid w:val="00CF4013"/>
    <w:rsid w:val="00CF40DF"/>
    <w:rsid w:val="00CF40F5"/>
    <w:rsid w:val="00CF4192"/>
    <w:rsid w:val="00CF428B"/>
    <w:rsid w:val="00CF4398"/>
    <w:rsid w:val="00CF4922"/>
    <w:rsid w:val="00CF4D7A"/>
    <w:rsid w:val="00CF4DAD"/>
    <w:rsid w:val="00CF4DE6"/>
    <w:rsid w:val="00CF4DE9"/>
    <w:rsid w:val="00CF50D1"/>
    <w:rsid w:val="00CF5315"/>
    <w:rsid w:val="00CF54F2"/>
    <w:rsid w:val="00CF594C"/>
    <w:rsid w:val="00CF5A46"/>
    <w:rsid w:val="00CF5C78"/>
    <w:rsid w:val="00CF5FF1"/>
    <w:rsid w:val="00CF611F"/>
    <w:rsid w:val="00CF61A5"/>
    <w:rsid w:val="00CF627A"/>
    <w:rsid w:val="00CF6335"/>
    <w:rsid w:val="00CF645C"/>
    <w:rsid w:val="00CF673D"/>
    <w:rsid w:val="00CF6869"/>
    <w:rsid w:val="00CF689C"/>
    <w:rsid w:val="00CF6BE4"/>
    <w:rsid w:val="00CF6C6D"/>
    <w:rsid w:val="00CF712C"/>
    <w:rsid w:val="00CF760C"/>
    <w:rsid w:val="00CF7748"/>
    <w:rsid w:val="00CF7866"/>
    <w:rsid w:val="00CF793E"/>
    <w:rsid w:val="00CF7957"/>
    <w:rsid w:val="00CF7A94"/>
    <w:rsid w:val="00CF7D12"/>
    <w:rsid w:val="00CF7E58"/>
    <w:rsid w:val="00D000AA"/>
    <w:rsid w:val="00D00735"/>
    <w:rsid w:val="00D00844"/>
    <w:rsid w:val="00D00A84"/>
    <w:rsid w:val="00D00EA5"/>
    <w:rsid w:val="00D01269"/>
    <w:rsid w:val="00D012D5"/>
    <w:rsid w:val="00D0152D"/>
    <w:rsid w:val="00D01D37"/>
    <w:rsid w:val="00D01D4E"/>
    <w:rsid w:val="00D01E12"/>
    <w:rsid w:val="00D01EB5"/>
    <w:rsid w:val="00D01FA0"/>
    <w:rsid w:val="00D01FF7"/>
    <w:rsid w:val="00D02056"/>
    <w:rsid w:val="00D02299"/>
    <w:rsid w:val="00D02355"/>
    <w:rsid w:val="00D02587"/>
    <w:rsid w:val="00D02709"/>
    <w:rsid w:val="00D0279B"/>
    <w:rsid w:val="00D0285A"/>
    <w:rsid w:val="00D02918"/>
    <w:rsid w:val="00D0299A"/>
    <w:rsid w:val="00D02C62"/>
    <w:rsid w:val="00D02D22"/>
    <w:rsid w:val="00D02F07"/>
    <w:rsid w:val="00D02FCF"/>
    <w:rsid w:val="00D033D2"/>
    <w:rsid w:val="00D037E7"/>
    <w:rsid w:val="00D037F2"/>
    <w:rsid w:val="00D0386A"/>
    <w:rsid w:val="00D03959"/>
    <w:rsid w:val="00D03965"/>
    <w:rsid w:val="00D039B7"/>
    <w:rsid w:val="00D03C9D"/>
    <w:rsid w:val="00D04093"/>
    <w:rsid w:val="00D04129"/>
    <w:rsid w:val="00D041DF"/>
    <w:rsid w:val="00D0453C"/>
    <w:rsid w:val="00D0471D"/>
    <w:rsid w:val="00D04BEE"/>
    <w:rsid w:val="00D04BF1"/>
    <w:rsid w:val="00D05278"/>
    <w:rsid w:val="00D052DB"/>
    <w:rsid w:val="00D05399"/>
    <w:rsid w:val="00D05441"/>
    <w:rsid w:val="00D057AD"/>
    <w:rsid w:val="00D058FC"/>
    <w:rsid w:val="00D0590F"/>
    <w:rsid w:val="00D05A3F"/>
    <w:rsid w:val="00D05A4F"/>
    <w:rsid w:val="00D05AE4"/>
    <w:rsid w:val="00D05B2F"/>
    <w:rsid w:val="00D05B7B"/>
    <w:rsid w:val="00D05DEE"/>
    <w:rsid w:val="00D05E22"/>
    <w:rsid w:val="00D05EB0"/>
    <w:rsid w:val="00D05F35"/>
    <w:rsid w:val="00D05F99"/>
    <w:rsid w:val="00D060DA"/>
    <w:rsid w:val="00D0611A"/>
    <w:rsid w:val="00D0617B"/>
    <w:rsid w:val="00D0637C"/>
    <w:rsid w:val="00D064F3"/>
    <w:rsid w:val="00D06546"/>
    <w:rsid w:val="00D0659D"/>
    <w:rsid w:val="00D06747"/>
    <w:rsid w:val="00D068A8"/>
    <w:rsid w:val="00D06944"/>
    <w:rsid w:val="00D06999"/>
    <w:rsid w:val="00D06ABB"/>
    <w:rsid w:val="00D06C5D"/>
    <w:rsid w:val="00D06E70"/>
    <w:rsid w:val="00D07228"/>
    <w:rsid w:val="00D0741C"/>
    <w:rsid w:val="00D075A3"/>
    <w:rsid w:val="00D07A4F"/>
    <w:rsid w:val="00D07AA6"/>
    <w:rsid w:val="00D07E27"/>
    <w:rsid w:val="00D07F12"/>
    <w:rsid w:val="00D10212"/>
    <w:rsid w:val="00D1046E"/>
    <w:rsid w:val="00D105CF"/>
    <w:rsid w:val="00D10985"/>
    <w:rsid w:val="00D10E74"/>
    <w:rsid w:val="00D10EEF"/>
    <w:rsid w:val="00D1120C"/>
    <w:rsid w:val="00D11240"/>
    <w:rsid w:val="00D1169D"/>
    <w:rsid w:val="00D11CD1"/>
    <w:rsid w:val="00D11E90"/>
    <w:rsid w:val="00D120BC"/>
    <w:rsid w:val="00D120D6"/>
    <w:rsid w:val="00D1267B"/>
    <w:rsid w:val="00D12683"/>
    <w:rsid w:val="00D127EF"/>
    <w:rsid w:val="00D12870"/>
    <w:rsid w:val="00D128C1"/>
    <w:rsid w:val="00D12D3D"/>
    <w:rsid w:val="00D12F0D"/>
    <w:rsid w:val="00D13136"/>
    <w:rsid w:val="00D131B5"/>
    <w:rsid w:val="00D13218"/>
    <w:rsid w:val="00D133FC"/>
    <w:rsid w:val="00D13610"/>
    <w:rsid w:val="00D136A0"/>
    <w:rsid w:val="00D13B6D"/>
    <w:rsid w:val="00D13F75"/>
    <w:rsid w:val="00D1423A"/>
    <w:rsid w:val="00D14318"/>
    <w:rsid w:val="00D14711"/>
    <w:rsid w:val="00D149CB"/>
    <w:rsid w:val="00D14C8E"/>
    <w:rsid w:val="00D14E2E"/>
    <w:rsid w:val="00D14FB8"/>
    <w:rsid w:val="00D14FC4"/>
    <w:rsid w:val="00D15140"/>
    <w:rsid w:val="00D1531C"/>
    <w:rsid w:val="00D15372"/>
    <w:rsid w:val="00D1543E"/>
    <w:rsid w:val="00D15717"/>
    <w:rsid w:val="00D157B7"/>
    <w:rsid w:val="00D15971"/>
    <w:rsid w:val="00D15E31"/>
    <w:rsid w:val="00D15E5E"/>
    <w:rsid w:val="00D16025"/>
    <w:rsid w:val="00D16198"/>
    <w:rsid w:val="00D1619E"/>
    <w:rsid w:val="00D164F4"/>
    <w:rsid w:val="00D16602"/>
    <w:rsid w:val="00D16632"/>
    <w:rsid w:val="00D16804"/>
    <w:rsid w:val="00D16818"/>
    <w:rsid w:val="00D1696E"/>
    <w:rsid w:val="00D16ADE"/>
    <w:rsid w:val="00D16BE4"/>
    <w:rsid w:val="00D16C69"/>
    <w:rsid w:val="00D16FA5"/>
    <w:rsid w:val="00D16FEC"/>
    <w:rsid w:val="00D170C8"/>
    <w:rsid w:val="00D17107"/>
    <w:rsid w:val="00D17616"/>
    <w:rsid w:val="00D17646"/>
    <w:rsid w:val="00D176CA"/>
    <w:rsid w:val="00D1771B"/>
    <w:rsid w:val="00D17C64"/>
    <w:rsid w:val="00D17F0E"/>
    <w:rsid w:val="00D20085"/>
    <w:rsid w:val="00D20212"/>
    <w:rsid w:val="00D2021B"/>
    <w:rsid w:val="00D20489"/>
    <w:rsid w:val="00D2048A"/>
    <w:rsid w:val="00D205DD"/>
    <w:rsid w:val="00D206E0"/>
    <w:rsid w:val="00D20A92"/>
    <w:rsid w:val="00D20B01"/>
    <w:rsid w:val="00D20BDD"/>
    <w:rsid w:val="00D20CEF"/>
    <w:rsid w:val="00D20DE1"/>
    <w:rsid w:val="00D20FB7"/>
    <w:rsid w:val="00D20FE8"/>
    <w:rsid w:val="00D211DC"/>
    <w:rsid w:val="00D21292"/>
    <w:rsid w:val="00D2149C"/>
    <w:rsid w:val="00D21669"/>
    <w:rsid w:val="00D21718"/>
    <w:rsid w:val="00D21835"/>
    <w:rsid w:val="00D21B81"/>
    <w:rsid w:val="00D21C18"/>
    <w:rsid w:val="00D21DD3"/>
    <w:rsid w:val="00D22098"/>
    <w:rsid w:val="00D221A4"/>
    <w:rsid w:val="00D2259E"/>
    <w:rsid w:val="00D225E6"/>
    <w:rsid w:val="00D226EA"/>
    <w:rsid w:val="00D22DD6"/>
    <w:rsid w:val="00D23066"/>
    <w:rsid w:val="00D230C3"/>
    <w:rsid w:val="00D23280"/>
    <w:rsid w:val="00D23599"/>
    <w:rsid w:val="00D23990"/>
    <w:rsid w:val="00D23B85"/>
    <w:rsid w:val="00D243CD"/>
    <w:rsid w:val="00D24567"/>
    <w:rsid w:val="00D24722"/>
    <w:rsid w:val="00D24BF2"/>
    <w:rsid w:val="00D24E3F"/>
    <w:rsid w:val="00D24F5D"/>
    <w:rsid w:val="00D2512F"/>
    <w:rsid w:val="00D25453"/>
    <w:rsid w:val="00D25586"/>
    <w:rsid w:val="00D2563D"/>
    <w:rsid w:val="00D25789"/>
    <w:rsid w:val="00D258DA"/>
    <w:rsid w:val="00D25A71"/>
    <w:rsid w:val="00D25CE7"/>
    <w:rsid w:val="00D25DEF"/>
    <w:rsid w:val="00D25FAD"/>
    <w:rsid w:val="00D25FCB"/>
    <w:rsid w:val="00D260B1"/>
    <w:rsid w:val="00D262B6"/>
    <w:rsid w:val="00D263BF"/>
    <w:rsid w:val="00D26630"/>
    <w:rsid w:val="00D26638"/>
    <w:rsid w:val="00D266AB"/>
    <w:rsid w:val="00D2677A"/>
    <w:rsid w:val="00D26930"/>
    <w:rsid w:val="00D26B3D"/>
    <w:rsid w:val="00D26BB5"/>
    <w:rsid w:val="00D26CB4"/>
    <w:rsid w:val="00D26F5A"/>
    <w:rsid w:val="00D270AD"/>
    <w:rsid w:val="00D270BF"/>
    <w:rsid w:val="00D27184"/>
    <w:rsid w:val="00D27344"/>
    <w:rsid w:val="00D2742D"/>
    <w:rsid w:val="00D276C2"/>
    <w:rsid w:val="00D27CB9"/>
    <w:rsid w:val="00D27CC1"/>
    <w:rsid w:val="00D27CCB"/>
    <w:rsid w:val="00D302F8"/>
    <w:rsid w:val="00D30433"/>
    <w:rsid w:val="00D305D1"/>
    <w:rsid w:val="00D308DC"/>
    <w:rsid w:val="00D30C4E"/>
    <w:rsid w:val="00D30DAA"/>
    <w:rsid w:val="00D31058"/>
    <w:rsid w:val="00D31137"/>
    <w:rsid w:val="00D31644"/>
    <w:rsid w:val="00D316A0"/>
    <w:rsid w:val="00D31706"/>
    <w:rsid w:val="00D318AF"/>
    <w:rsid w:val="00D31B8F"/>
    <w:rsid w:val="00D31BB7"/>
    <w:rsid w:val="00D31BD5"/>
    <w:rsid w:val="00D31D94"/>
    <w:rsid w:val="00D31EB8"/>
    <w:rsid w:val="00D321A8"/>
    <w:rsid w:val="00D321FE"/>
    <w:rsid w:val="00D32250"/>
    <w:rsid w:val="00D324FD"/>
    <w:rsid w:val="00D3267E"/>
    <w:rsid w:val="00D3271A"/>
    <w:rsid w:val="00D32A4B"/>
    <w:rsid w:val="00D32A8B"/>
    <w:rsid w:val="00D32BC7"/>
    <w:rsid w:val="00D32C69"/>
    <w:rsid w:val="00D32D13"/>
    <w:rsid w:val="00D32F4B"/>
    <w:rsid w:val="00D3301E"/>
    <w:rsid w:val="00D3310A"/>
    <w:rsid w:val="00D331EC"/>
    <w:rsid w:val="00D33783"/>
    <w:rsid w:val="00D337D7"/>
    <w:rsid w:val="00D3381F"/>
    <w:rsid w:val="00D33827"/>
    <w:rsid w:val="00D3393E"/>
    <w:rsid w:val="00D33C47"/>
    <w:rsid w:val="00D33CE8"/>
    <w:rsid w:val="00D33F7E"/>
    <w:rsid w:val="00D33F96"/>
    <w:rsid w:val="00D34314"/>
    <w:rsid w:val="00D34336"/>
    <w:rsid w:val="00D3442A"/>
    <w:rsid w:val="00D346BE"/>
    <w:rsid w:val="00D34BDF"/>
    <w:rsid w:val="00D34FD2"/>
    <w:rsid w:val="00D34FF7"/>
    <w:rsid w:val="00D34FFD"/>
    <w:rsid w:val="00D3521A"/>
    <w:rsid w:val="00D35251"/>
    <w:rsid w:val="00D352C5"/>
    <w:rsid w:val="00D353FE"/>
    <w:rsid w:val="00D35652"/>
    <w:rsid w:val="00D360D2"/>
    <w:rsid w:val="00D36268"/>
    <w:rsid w:val="00D363DE"/>
    <w:rsid w:val="00D3663C"/>
    <w:rsid w:val="00D368FF"/>
    <w:rsid w:val="00D36B43"/>
    <w:rsid w:val="00D370BA"/>
    <w:rsid w:val="00D373D6"/>
    <w:rsid w:val="00D37A25"/>
    <w:rsid w:val="00D37ABF"/>
    <w:rsid w:val="00D37B88"/>
    <w:rsid w:val="00D37C57"/>
    <w:rsid w:val="00D37C88"/>
    <w:rsid w:val="00D37F1F"/>
    <w:rsid w:val="00D37F74"/>
    <w:rsid w:val="00D40038"/>
    <w:rsid w:val="00D4019B"/>
    <w:rsid w:val="00D401F1"/>
    <w:rsid w:val="00D4059C"/>
    <w:rsid w:val="00D405C7"/>
    <w:rsid w:val="00D40718"/>
    <w:rsid w:val="00D40BAE"/>
    <w:rsid w:val="00D40C5A"/>
    <w:rsid w:val="00D40E5F"/>
    <w:rsid w:val="00D40FAD"/>
    <w:rsid w:val="00D41184"/>
    <w:rsid w:val="00D4128C"/>
    <w:rsid w:val="00D414A6"/>
    <w:rsid w:val="00D41738"/>
    <w:rsid w:val="00D41816"/>
    <w:rsid w:val="00D41886"/>
    <w:rsid w:val="00D419FC"/>
    <w:rsid w:val="00D41CE1"/>
    <w:rsid w:val="00D41CFC"/>
    <w:rsid w:val="00D41F20"/>
    <w:rsid w:val="00D41F39"/>
    <w:rsid w:val="00D420BA"/>
    <w:rsid w:val="00D42952"/>
    <w:rsid w:val="00D42A07"/>
    <w:rsid w:val="00D42A40"/>
    <w:rsid w:val="00D42A65"/>
    <w:rsid w:val="00D42AA3"/>
    <w:rsid w:val="00D42AED"/>
    <w:rsid w:val="00D42B33"/>
    <w:rsid w:val="00D42CBE"/>
    <w:rsid w:val="00D42E81"/>
    <w:rsid w:val="00D42ECF"/>
    <w:rsid w:val="00D43170"/>
    <w:rsid w:val="00D431D0"/>
    <w:rsid w:val="00D432D7"/>
    <w:rsid w:val="00D43307"/>
    <w:rsid w:val="00D43437"/>
    <w:rsid w:val="00D43540"/>
    <w:rsid w:val="00D43828"/>
    <w:rsid w:val="00D43E8C"/>
    <w:rsid w:val="00D44052"/>
    <w:rsid w:val="00D4416F"/>
    <w:rsid w:val="00D4445A"/>
    <w:rsid w:val="00D44755"/>
    <w:rsid w:val="00D4482F"/>
    <w:rsid w:val="00D44DCB"/>
    <w:rsid w:val="00D44F4F"/>
    <w:rsid w:val="00D44FA4"/>
    <w:rsid w:val="00D45065"/>
    <w:rsid w:val="00D451CE"/>
    <w:rsid w:val="00D4523F"/>
    <w:rsid w:val="00D457F6"/>
    <w:rsid w:val="00D4586F"/>
    <w:rsid w:val="00D45964"/>
    <w:rsid w:val="00D45AAA"/>
    <w:rsid w:val="00D45B0F"/>
    <w:rsid w:val="00D45F53"/>
    <w:rsid w:val="00D469AD"/>
    <w:rsid w:val="00D46A9F"/>
    <w:rsid w:val="00D46E05"/>
    <w:rsid w:val="00D46E95"/>
    <w:rsid w:val="00D46ED1"/>
    <w:rsid w:val="00D46F56"/>
    <w:rsid w:val="00D47033"/>
    <w:rsid w:val="00D4709D"/>
    <w:rsid w:val="00D472E1"/>
    <w:rsid w:val="00D474AC"/>
    <w:rsid w:val="00D47503"/>
    <w:rsid w:val="00D478E6"/>
    <w:rsid w:val="00D479EA"/>
    <w:rsid w:val="00D47A9A"/>
    <w:rsid w:val="00D47ABE"/>
    <w:rsid w:val="00D47AF8"/>
    <w:rsid w:val="00D47B5C"/>
    <w:rsid w:val="00D47C07"/>
    <w:rsid w:val="00D50177"/>
    <w:rsid w:val="00D50683"/>
    <w:rsid w:val="00D5093C"/>
    <w:rsid w:val="00D5094C"/>
    <w:rsid w:val="00D50B2B"/>
    <w:rsid w:val="00D50BBE"/>
    <w:rsid w:val="00D50C86"/>
    <w:rsid w:val="00D50E68"/>
    <w:rsid w:val="00D50E92"/>
    <w:rsid w:val="00D510E2"/>
    <w:rsid w:val="00D51494"/>
    <w:rsid w:val="00D515E7"/>
    <w:rsid w:val="00D51854"/>
    <w:rsid w:val="00D51C53"/>
    <w:rsid w:val="00D51C94"/>
    <w:rsid w:val="00D52458"/>
    <w:rsid w:val="00D524F9"/>
    <w:rsid w:val="00D52677"/>
    <w:rsid w:val="00D52922"/>
    <w:rsid w:val="00D52B12"/>
    <w:rsid w:val="00D52F40"/>
    <w:rsid w:val="00D52F65"/>
    <w:rsid w:val="00D530D2"/>
    <w:rsid w:val="00D531EE"/>
    <w:rsid w:val="00D5338B"/>
    <w:rsid w:val="00D53492"/>
    <w:rsid w:val="00D5354A"/>
    <w:rsid w:val="00D537F4"/>
    <w:rsid w:val="00D53B49"/>
    <w:rsid w:val="00D53DB1"/>
    <w:rsid w:val="00D542B3"/>
    <w:rsid w:val="00D54323"/>
    <w:rsid w:val="00D5445F"/>
    <w:rsid w:val="00D547EE"/>
    <w:rsid w:val="00D54A19"/>
    <w:rsid w:val="00D54A84"/>
    <w:rsid w:val="00D550D2"/>
    <w:rsid w:val="00D55155"/>
    <w:rsid w:val="00D555DA"/>
    <w:rsid w:val="00D5565E"/>
    <w:rsid w:val="00D556DF"/>
    <w:rsid w:val="00D55774"/>
    <w:rsid w:val="00D55888"/>
    <w:rsid w:val="00D55975"/>
    <w:rsid w:val="00D55A23"/>
    <w:rsid w:val="00D55B54"/>
    <w:rsid w:val="00D55C68"/>
    <w:rsid w:val="00D55D0D"/>
    <w:rsid w:val="00D55E78"/>
    <w:rsid w:val="00D5610D"/>
    <w:rsid w:val="00D5619A"/>
    <w:rsid w:val="00D563BC"/>
    <w:rsid w:val="00D565F4"/>
    <w:rsid w:val="00D56615"/>
    <w:rsid w:val="00D5665A"/>
    <w:rsid w:val="00D566CF"/>
    <w:rsid w:val="00D567B4"/>
    <w:rsid w:val="00D56978"/>
    <w:rsid w:val="00D56AE3"/>
    <w:rsid w:val="00D56C63"/>
    <w:rsid w:val="00D56C93"/>
    <w:rsid w:val="00D56D27"/>
    <w:rsid w:val="00D570FD"/>
    <w:rsid w:val="00D57150"/>
    <w:rsid w:val="00D57258"/>
    <w:rsid w:val="00D572EE"/>
    <w:rsid w:val="00D57525"/>
    <w:rsid w:val="00D5778D"/>
    <w:rsid w:val="00D578E8"/>
    <w:rsid w:val="00D57A5F"/>
    <w:rsid w:val="00D57BBE"/>
    <w:rsid w:val="00D57D7C"/>
    <w:rsid w:val="00D604F9"/>
    <w:rsid w:val="00D60714"/>
    <w:rsid w:val="00D60795"/>
    <w:rsid w:val="00D608D1"/>
    <w:rsid w:val="00D608EF"/>
    <w:rsid w:val="00D60C62"/>
    <w:rsid w:val="00D60CED"/>
    <w:rsid w:val="00D60CF9"/>
    <w:rsid w:val="00D60F36"/>
    <w:rsid w:val="00D61186"/>
    <w:rsid w:val="00D61256"/>
    <w:rsid w:val="00D61274"/>
    <w:rsid w:val="00D6127A"/>
    <w:rsid w:val="00D61681"/>
    <w:rsid w:val="00D61689"/>
    <w:rsid w:val="00D616D2"/>
    <w:rsid w:val="00D618CC"/>
    <w:rsid w:val="00D62033"/>
    <w:rsid w:val="00D620AB"/>
    <w:rsid w:val="00D620F1"/>
    <w:rsid w:val="00D620FE"/>
    <w:rsid w:val="00D62299"/>
    <w:rsid w:val="00D627F0"/>
    <w:rsid w:val="00D62C6B"/>
    <w:rsid w:val="00D62F88"/>
    <w:rsid w:val="00D63327"/>
    <w:rsid w:val="00D637B8"/>
    <w:rsid w:val="00D6390A"/>
    <w:rsid w:val="00D63AAF"/>
    <w:rsid w:val="00D63E76"/>
    <w:rsid w:val="00D63EEC"/>
    <w:rsid w:val="00D64231"/>
    <w:rsid w:val="00D643E1"/>
    <w:rsid w:val="00D6463D"/>
    <w:rsid w:val="00D6475E"/>
    <w:rsid w:val="00D648D2"/>
    <w:rsid w:val="00D64BA0"/>
    <w:rsid w:val="00D64BF5"/>
    <w:rsid w:val="00D64D0F"/>
    <w:rsid w:val="00D64D65"/>
    <w:rsid w:val="00D64F5C"/>
    <w:rsid w:val="00D65151"/>
    <w:rsid w:val="00D6526A"/>
    <w:rsid w:val="00D652FA"/>
    <w:rsid w:val="00D65300"/>
    <w:rsid w:val="00D656E9"/>
    <w:rsid w:val="00D656F0"/>
    <w:rsid w:val="00D65743"/>
    <w:rsid w:val="00D6578B"/>
    <w:rsid w:val="00D658ED"/>
    <w:rsid w:val="00D659D5"/>
    <w:rsid w:val="00D65A21"/>
    <w:rsid w:val="00D65AB9"/>
    <w:rsid w:val="00D65CC1"/>
    <w:rsid w:val="00D65F37"/>
    <w:rsid w:val="00D65FAD"/>
    <w:rsid w:val="00D6636A"/>
    <w:rsid w:val="00D6646F"/>
    <w:rsid w:val="00D666A0"/>
    <w:rsid w:val="00D66DD7"/>
    <w:rsid w:val="00D6701F"/>
    <w:rsid w:val="00D6703F"/>
    <w:rsid w:val="00D672FA"/>
    <w:rsid w:val="00D67383"/>
    <w:rsid w:val="00D6739C"/>
    <w:rsid w:val="00D67491"/>
    <w:rsid w:val="00D676C2"/>
    <w:rsid w:val="00D676D4"/>
    <w:rsid w:val="00D6776C"/>
    <w:rsid w:val="00D67B21"/>
    <w:rsid w:val="00D67C11"/>
    <w:rsid w:val="00D67C9C"/>
    <w:rsid w:val="00D7003E"/>
    <w:rsid w:val="00D704A1"/>
    <w:rsid w:val="00D70659"/>
    <w:rsid w:val="00D709B9"/>
    <w:rsid w:val="00D70B6A"/>
    <w:rsid w:val="00D70CD3"/>
    <w:rsid w:val="00D70D09"/>
    <w:rsid w:val="00D70D4F"/>
    <w:rsid w:val="00D70D52"/>
    <w:rsid w:val="00D7131A"/>
    <w:rsid w:val="00D71AEC"/>
    <w:rsid w:val="00D71BCB"/>
    <w:rsid w:val="00D71E50"/>
    <w:rsid w:val="00D721E4"/>
    <w:rsid w:val="00D72811"/>
    <w:rsid w:val="00D728D9"/>
    <w:rsid w:val="00D72A09"/>
    <w:rsid w:val="00D72BB7"/>
    <w:rsid w:val="00D72C31"/>
    <w:rsid w:val="00D72C80"/>
    <w:rsid w:val="00D72D83"/>
    <w:rsid w:val="00D72E74"/>
    <w:rsid w:val="00D72EF0"/>
    <w:rsid w:val="00D73399"/>
    <w:rsid w:val="00D73403"/>
    <w:rsid w:val="00D734F9"/>
    <w:rsid w:val="00D737E9"/>
    <w:rsid w:val="00D739C6"/>
    <w:rsid w:val="00D73CAD"/>
    <w:rsid w:val="00D74509"/>
    <w:rsid w:val="00D74546"/>
    <w:rsid w:val="00D74658"/>
    <w:rsid w:val="00D7479C"/>
    <w:rsid w:val="00D747F8"/>
    <w:rsid w:val="00D7486F"/>
    <w:rsid w:val="00D748CE"/>
    <w:rsid w:val="00D74A07"/>
    <w:rsid w:val="00D74A1F"/>
    <w:rsid w:val="00D74BD0"/>
    <w:rsid w:val="00D74C44"/>
    <w:rsid w:val="00D74DDF"/>
    <w:rsid w:val="00D74F08"/>
    <w:rsid w:val="00D74FDE"/>
    <w:rsid w:val="00D75031"/>
    <w:rsid w:val="00D7503C"/>
    <w:rsid w:val="00D75061"/>
    <w:rsid w:val="00D75148"/>
    <w:rsid w:val="00D7514B"/>
    <w:rsid w:val="00D751E6"/>
    <w:rsid w:val="00D7523F"/>
    <w:rsid w:val="00D757B9"/>
    <w:rsid w:val="00D75901"/>
    <w:rsid w:val="00D75BB7"/>
    <w:rsid w:val="00D75C9F"/>
    <w:rsid w:val="00D75F65"/>
    <w:rsid w:val="00D76288"/>
    <w:rsid w:val="00D762D7"/>
    <w:rsid w:val="00D764DA"/>
    <w:rsid w:val="00D767D1"/>
    <w:rsid w:val="00D7698A"/>
    <w:rsid w:val="00D76BD1"/>
    <w:rsid w:val="00D76D36"/>
    <w:rsid w:val="00D76F05"/>
    <w:rsid w:val="00D76F5E"/>
    <w:rsid w:val="00D77094"/>
    <w:rsid w:val="00D7729A"/>
    <w:rsid w:val="00D77682"/>
    <w:rsid w:val="00D77705"/>
    <w:rsid w:val="00D77840"/>
    <w:rsid w:val="00D779CD"/>
    <w:rsid w:val="00D77AE6"/>
    <w:rsid w:val="00D77B05"/>
    <w:rsid w:val="00D77B33"/>
    <w:rsid w:val="00D77C42"/>
    <w:rsid w:val="00D77D31"/>
    <w:rsid w:val="00D80057"/>
    <w:rsid w:val="00D801E1"/>
    <w:rsid w:val="00D80508"/>
    <w:rsid w:val="00D8051B"/>
    <w:rsid w:val="00D80520"/>
    <w:rsid w:val="00D80680"/>
    <w:rsid w:val="00D80802"/>
    <w:rsid w:val="00D8099A"/>
    <w:rsid w:val="00D809FE"/>
    <w:rsid w:val="00D80BF7"/>
    <w:rsid w:val="00D80C0B"/>
    <w:rsid w:val="00D80C22"/>
    <w:rsid w:val="00D80DC2"/>
    <w:rsid w:val="00D80E55"/>
    <w:rsid w:val="00D80E91"/>
    <w:rsid w:val="00D80F39"/>
    <w:rsid w:val="00D811E4"/>
    <w:rsid w:val="00D812A4"/>
    <w:rsid w:val="00D813B7"/>
    <w:rsid w:val="00D81415"/>
    <w:rsid w:val="00D81521"/>
    <w:rsid w:val="00D8171E"/>
    <w:rsid w:val="00D81831"/>
    <w:rsid w:val="00D81DBD"/>
    <w:rsid w:val="00D81F80"/>
    <w:rsid w:val="00D82093"/>
    <w:rsid w:val="00D8212C"/>
    <w:rsid w:val="00D8241F"/>
    <w:rsid w:val="00D824CA"/>
    <w:rsid w:val="00D824DF"/>
    <w:rsid w:val="00D825F1"/>
    <w:rsid w:val="00D8261B"/>
    <w:rsid w:val="00D8262E"/>
    <w:rsid w:val="00D82641"/>
    <w:rsid w:val="00D826AC"/>
    <w:rsid w:val="00D82777"/>
    <w:rsid w:val="00D82A2F"/>
    <w:rsid w:val="00D82C08"/>
    <w:rsid w:val="00D82D05"/>
    <w:rsid w:val="00D82E5D"/>
    <w:rsid w:val="00D82E71"/>
    <w:rsid w:val="00D82F09"/>
    <w:rsid w:val="00D82F4B"/>
    <w:rsid w:val="00D83020"/>
    <w:rsid w:val="00D830CD"/>
    <w:rsid w:val="00D831E2"/>
    <w:rsid w:val="00D8320C"/>
    <w:rsid w:val="00D834F6"/>
    <w:rsid w:val="00D8373D"/>
    <w:rsid w:val="00D83ADA"/>
    <w:rsid w:val="00D83DF7"/>
    <w:rsid w:val="00D83F48"/>
    <w:rsid w:val="00D8419A"/>
    <w:rsid w:val="00D84211"/>
    <w:rsid w:val="00D843BE"/>
    <w:rsid w:val="00D84413"/>
    <w:rsid w:val="00D84539"/>
    <w:rsid w:val="00D8462A"/>
    <w:rsid w:val="00D84707"/>
    <w:rsid w:val="00D84847"/>
    <w:rsid w:val="00D848B7"/>
    <w:rsid w:val="00D84BC4"/>
    <w:rsid w:val="00D84C74"/>
    <w:rsid w:val="00D84D16"/>
    <w:rsid w:val="00D84D43"/>
    <w:rsid w:val="00D85147"/>
    <w:rsid w:val="00D8521B"/>
    <w:rsid w:val="00D8524A"/>
    <w:rsid w:val="00D85392"/>
    <w:rsid w:val="00D858A3"/>
    <w:rsid w:val="00D858A7"/>
    <w:rsid w:val="00D858B3"/>
    <w:rsid w:val="00D85A01"/>
    <w:rsid w:val="00D85AE8"/>
    <w:rsid w:val="00D85F40"/>
    <w:rsid w:val="00D860A3"/>
    <w:rsid w:val="00D8637E"/>
    <w:rsid w:val="00D86415"/>
    <w:rsid w:val="00D86472"/>
    <w:rsid w:val="00D8655C"/>
    <w:rsid w:val="00D8697C"/>
    <w:rsid w:val="00D869FF"/>
    <w:rsid w:val="00D86B22"/>
    <w:rsid w:val="00D86C09"/>
    <w:rsid w:val="00D86D79"/>
    <w:rsid w:val="00D86E52"/>
    <w:rsid w:val="00D86EFC"/>
    <w:rsid w:val="00D87061"/>
    <w:rsid w:val="00D8706B"/>
    <w:rsid w:val="00D87135"/>
    <w:rsid w:val="00D87538"/>
    <w:rsid w:val="00D8759B"/>
    <w:rsid w:val="00D87948"/>
    <w:rsid w:val="00D879B7"/>
    <w:rsid w:val="00D87A31"/>
    <w:rsid w:val="00D87AF0"/>
    <w:rsid w:val="00D90041"/>
    <w:rsid w:val="00D90281"/>
    <w:rsid w:val="00D905DC"/>
    <w:rsid w:val="00D90662"/>
    <w:rsid w:val="00D906E9"/>
    <w:rsid w:val="00D90AF1"/>
    <w:rsid w:val="00D9144D"/>
    <w:rsid w:val="00D9152F"/>
    <w:rsid w:val="00D91610"/>
    <w:rsid w:val="00D9166A"/>
    <w:rsid w:val="00D9179D"/>
    <w:rsid w:val="00D91D38"/>
    <w:rsid w:val="00D91FAD"/>
    <w:rsid w:val="00D920E1"/>
    <w:rsid w:val="00D920F2"/>
    <w:rsid w:val="00D921B7"/>
    <w:rsid w:val="00D92536"/>
    <w:rsid w:val="00D925E8"/>
    <w:rsid w:val="00D927CB"/>
    <w:rsid w:val="00D92935"/>
    <w:rsid w:val="00D92CF5"/>
    <w:rsid w:val="00D92F78"/>
    <w:rsid w:val="00D9313E"/>
    <w:rsid w:val="00D9320B"/>
    <w:rsid w:val="00D93380"/>
    <w:rsid w:val="00D933B3"/>
    <w:rsid w:val="00D935F9"/>
    <w:rsid w:val="00D93826"/>
    <w:rsid w:val="00D93B60"/>
    <w:rsid w:val="00D93BC7"/>
    <w:rsid w:val="00D93C79"/>
    <w:rsid w:val="00D93CDF"/>
    <w:rsid w:val="00D93D79"/>
    <w:rsid w:val="00D93E27"/>
    <w:rsid w:val="00D93FE2"/>
    <w:rsid w:val="00D94039"/>
    <w:rsid w:val="00D9477D"/>
    <w:rsid w:val="00D94936"/>
    <w:rsid w:val="00D9496C"/>
    <w:rsid w:val="00D94991"/>
    <w:rsid w:val="00D94BD5"/>
    <w:rsid w:val="00D94CF6"/>
    <w:rsid w:val="00D95009"/>
    <w:rsid w:val="00D95098"/>
    <w:rsid w:val="00D95571"/>
    <w:rsid w:val="00D9560D"/>
    <w:rsid w:val="00D957FC"/>
    <w:rsid w:val="00D95A1A"/>
    <w:rsid w:val="00D95B5B"/>
    <w:rsid w:val="00D95E89"/>
    <w:rsid w:val="00D95F45"/>
    <w:rsid w:val="00D96192"/>
    <w:rsid w:val="00D961C1"/>
    <w:rsid w:val="00D961FA"/>
    <w:rsid w:val="00D9621E"/>
    <w:rsid w:val="00D96232"/>
    <w:rsid w:val="00D96234"/>
    <w:rsid w:val="00D96326"/>
    <w:rsid w:val="00D96797"/>
    <w:rsid w:val="00D96831"/>
    <w:rsid w:val="00D9689A"/>
    <w:rsid w:val="00D96AC8"/>
    <w:rsid w:val="00D96D38"/>
    <w:rsid w:val="00D96EA2"/>
    <w:rsid w:val="00D96F56"/>
    <w:rsid w:val="00D9751D"/>
    <w:rsid w:val="00D975D0"/>
    <w:rsid w:val="00D9778C"/>
    <w:rsid w:val="00D977F6"/>
    <w:rsid w:val="00D97884"/>
    <w:rsid w:val="00D978FC"/>
    <w:rsid w:val="00D979FA"/>
    <w:rsid w:val="00D97BDF"/>
    <w:rsid w:val="00D97E07"/>
    <w:rsid w:val="00DA0224"/>
    <w:rsid w:val="00DA0643"/>
    <w:rsid w:val="00DA092B"/>
    <w:rsid w:val="00DA095C"/>
    <w:rsid w:val="00DA0D7A"/>
    <w:rsid w:val="00DA0DAB"/>
    <w:rsid w:val="00DA0DFE"/>
    <w:rsid w:val="00DA0FC1"/>
    <w:rsid w:val="00DA15E5"/>
    <w:rsid w:val="00DA176A"/>
    <w:rsid w:val="00DA19C8"/>
    <w:rsid w:val="00DA1B30"/>
    <w:rsid w:val="00DA1BB5"/>
    <w:rsid w:val="00DA1BBB"/>
    <w:rsid w:val="00DA1DC6"/>
    <w:rsid w:val="00DA1ED7"/>
    <w:rsid w:val="00DA1F51"/>
    <w:rsid w:val="00DA1FA5"/>
    <w:rsid w:val="00DA2012"/>
    <w:rsid w:val="00DA213D"/>
    <w:rsid w:val="00DA22DF"/>
    <w:rsid w:val="00DA237B"/>
    <w:rsid w:val="00DA2475"/>
    <w:rsid w:val="00DA249C"/>
    <w:rsid w:val="00DA27D8"/>
    <w:rsid w:val="00DA28DF"/>
    <w:rsid w:val="00DA2B22"/>
    <w:rsid w:val="00DA2CA3"/>
    <w:rsid w:val="00DA2E40"/>
    <w:rsid w:val="00DA2F96"/>
    <w:rsid w:val="00DA3159"/>
    <w:rsid w:val="00DA31D6"/>
    <w:rsid w:val="00DA325A"/>
    <w:rsid w:val="00DA331F"/>
    <w:rsid w:val="00DA3482"/>
    <w:rsid w:val="00DA355C"/>
    <w:rsid w:val="00DA368E"/>
    <w:rsid w:val="00DA3F30"/>
    <w:rsid w:val="00DA431E"/>
    <w:rsid w:val="00DA47C6"/>
    <w:rsid w:val="00DA47DD"/>
    <w:rsid w:val="00DA48EB"/>
    <w:rsid w:val="00DA4A71"/>
    <w:rsid w:val="00DA4AAE"/>
    <w:rsid w:val="00DA4DBD"/>
    <w:rsid w:val="00DA4ED1"/>
    <w:rsid w:val="00DA4F22"/>
    <w:rsid w:val="00DA5078"/>
    <w:rsid w:val="00DA5495"/>
    <w:rsid w:val="00DA55EB"/>
    <w:rsid w:val="00DA58E8"/>
    <w:rsid w:val="00DA599F"/>
    <w:rsid w:val="00DA5AB6"/>
    <w:rsid w:val="00DA5E4B"/>
    <w:rsid w:val="00DA5F59"/>
    <w:rsid w:val="00DA6015"/>
    <w:rsid w:val="00DA619F"/>
    <w:rsid w:val="00DA63CC"/>
    <w:rsid w:val="00DA64BE"/>
    <w:rsid w:val="00DA65C1"/>
    <w:rsid w:val="00DA6784"/>
    <w:rsid w:val="00DA6A7E"/>
    <w:rsid w:val="00DA6C00"/>
    <w:rsid w:val="00DA6C92"/>
    <w:rsid w:val="00DA6FDA"/>
    <w:rsid w:val="00DA7193"/>
    <w:rsid w:val="00DA7284"/>
    <w:rsid w:val="00DA72A1"/>
    <w:rsid w:val="00DA72D0"/>
    <w:rsid w:val="00DA7386"/>
    <w:rsid w:val="00DA77E1"/>
    <w:rsid w:val="00DA78D3"/>
    <w:rsid w:val="00DA7B37"/>
    <w:rsid w:val="00DA7C11"/>
    <w:rsid w:val="00DA7D9B"/>
    <w:rsid w:val="00DA7DB6"/>
    <w:rsid w:val="00DA7E82"/>
    <w:rsid w:val="00DA7F8E"/>
    <w:rsid w:val="00DB080B"/>
    <w:rsid w:val="00DB0843"/>
    <w:rsid w:val="00DB0A4B"/>
    <w:rsid w:val="00DB0B7E"/>
    <w:rsid w:val="00DB0CA2"/>
    <w:rsid w:val="00DB0E48"/>
    <w:rsid w:val="00DB0E9B"/>
    <w:rsid w:val="00DB0F32"/>
    <w:rsid w:val="00DB1032"/>
    <w:rsid w:val="00DB104C"/>
    <w:rsid w:val="00DB1074"/>
    <w:rsid w:val="00DB14B5"/>
    <w:rsid w:val="00DB19C6"/>
    <w:rsid w:val="00DB1B3C"/>
    <w:rsid w:val="00DB1B41"/>
    <w:rsid w:val="00DB1B9C"/>
    <w:rsid w:val="00DB1C93"/>
    <w:rsid w:val="00DB2028"/>
    <w:rsid w:val="00DB2271"/>
    <w:rsid w:val="00DB283D"/>
    <w:rsid w:val="00DB2844"/>
    <w:rsid w:val="00DB2DCD"/>
    <w:rsid w:val="00DB2EF0"/>
    <w:rsid w:val="00DB32D6"/>
    <w:rsid w:val="00DB32ED"/>
    <w:rsid w:val="00DB348E"/>
    <w:rsid w:val="00DB35BC"/>
    <w:rsid w:val="00DB3628"/>
    <w:rsid w:val="00DB3831"/>
    <w:rsid w:val="00DB3B45"/>
    <w:rsid w:val="00DB3DE7"/>
    <w:rsid w:val="00DB3F31"/>
    <w:rsid w:val="00DB4556"/>
    <w:rsid w:val="00DB45AD"/>
    <w:rsid w:val="00DB48FC"/>
    <w:rsid w:val="00DB4FBD"/>
    <w:rsid w:val="00DB4FFB"/>
    <w:rsid w:val="00DB51AC"/>
    <w:rsid w:val="00DB539C"/>
    <w:rsid w:val="00DB546F"/>
    <w:rsid w:val="00DB5891"/>
    <w:rsid w:val="00DB5C22"/>
    <w:rsid w:val="00DB5CB3"/>
    <w:rsid w:val="00DB5E17"/>
    <w:rsid w:val="00DB6524"/>
    <w:rsid w:val="00DB667E"/>
    <w:rsid w:val="00DB68C8"/>
    <w:rsid w:val="00DB698B"/>
    <w:rsid w:val="00DB6A2E"/>
    <w:rsid w:val="00DB6BF7"/>
    <w:rsid w:val="00DB6C92"/>
    <w:rsid w:val="00DB6CB0"/>
    <w:rsid w:val="00DB6D1F"/>
    <w:rsid w:val="00DB6DE0"/>
    <w:rsid w:val="00DB76CA"/>
    <w:rsid w:val="00DB787A"/>
    <w:rsid w:val="00DB7BE5"/>
    <w:rsid w:val="00DB7C27"/>
    <w:rsid w:val="00DB7E17"/>
    <w:rsid w:val="00DC00D9"/>
    <w:rsid w:val="00DC01E6"/>
    <w:rsid w:val="00DC030F"/>
    <w:rsid w:val="00DC03D6"/>
    <w:rsid w:val="00DC04B7"/>
    <w:rsid w:val="00DC0626"/>
    <w:rsid w:val="00DC0844"/>
    <w:rsid w:val="00DC08CD"/>
    <w:rsid w:val="00DC0A30"/>
    <w:rsid w:val="00DC0A50"/>
    <w:rsid w:val="00DC0B6C"/>
    <w:rsid w:val="00DC0C40"/>
    <w:rsid w:val="00DC0D80"/>
    <w:rsid w:val="00DC0DA3"/>
    <w:rsid w:val="00DC10E5"/>
    <w:rsid w:val="00DC129D"/>
    <w:rsid w:val="00DC1609"/>
    <w:rsid w:val="00DC1740"/>
    <w:rsid w:val="00DC175E"/>
    <w:rsid w:val="00DC1D6A"/>
    <w:rsid w:val="00DC1DBA"/>
    <w:rsid w:val="00DC24C3"/>
    <w:rsid w:val="00DC27D4"/>
    <w:rsid w:val="00DC297C"/>
    <w:rsid w:val="00DC2C53"/>
    <w:rsid w:val="00DC2C7A"/>
    <w:rsid w:val="00DC2CB9"/>
    <w:rsid w:val="00DC2DE5"/>
    <w:rsid w:val="00DC2E75"/>
    <w:rsid w:val="00DC2ED5"/>
    <w:rsid w:val="00DC2FFE"/>
    <w:rsid w:val="00DC320B"/>
    <w:rsid w:val="00DC3383"/>
    <w:rsid w:val="00DC33FC"/>
    <w:rsid w:val="00DC3405"/>
    <w:rsid w:val="00DC343B"/>
    <w:rsid w:val="00DC353F"/>
    <w:rsid w:val="00DC3675"/>
    <w:rsid w:val="00DC3687"/>
    <w:rsid w:val="00DC36F9"/>
    <w:rsid w:val="00DC3865"/>
    <w:rsid w:val="00DC390A"/>
    <w:rsid w:val="00DC3B71"/>
    <w:rsid w:val="00DC3C4D"/>
    <w:rsid w:val="00DC3DD3"/>
    <w:rsid w:val="00DC3F39"/>
    <w:rsid w:val="00DC40A8"/>
    <w:rsid w:val="00DC41AF"/>
    <w:rsid w:val="00DC42CD"/>
    <w:rsid w:val="00DC4381"/>
    <w:rsid w:val="00DC44C2"/>
    <w:rsid w:val="00DC44F1"/>
    <w:rsid w:val="00DC4543"/>
    <w:rsid w:val="00DC4631"/>
    <w:rsid w:val="00DC4773"/>
    <w:rsid w:val="00DC48F2"/>
    <w:rsid w:val="00DC4912"/>
    <w:rsid w:val="00DC4FCB"/>
    <w:rsid w:val="00DC5273"/>
    <w:rsid w:val="00DC5453"/>
    <w:rsid w:val="00DC5955"/>
    <w:rsid w:val="00DC5B1C"/>
    <w:rsid w:val="00DC5EF0"/>
    <w:rsid w:val="00DC60C7"/>
    <w:rsid w:val="00DC619F"/>
    <w:rsid w:val="00DC63B6"/>
    <w:rsid w:val="00DC6A41"/>
    <w:rsid w:val="00DC6A5D"/>
    <w:rsid w:val="00DC6C3C"/>
    <w:rsid w:val="00DC6E89"/>
    <w:rsid w:val="00DC6F3D"/>
    <w:rsid w:val="00DC715C"/>
    <w:rsid w:val="00DC7563"/>
    <w:rsid w:val="00DC7B55"/>
    <w:rsid w:val="00DC7CC0"/>
    <w:rsid w:val="00DC7D6A"/>
    <w:rsid w:val="00DC7E9A"/>
    <w:rsid w:val="00DC7F48"/>
    <w:rsid w:val="00DC7FD7"/>
    <w:rsid w:val="00DD0024"/>
    <w:rsid w:val="00DD0198"/>
    <w:rsid w:val="00DD01FF"/>
    <w:rsid w:val="00DD03DF"/>
    <w:rsid w:val="00DD04A6"/>
    <w:rsid w:val="00DD0772"/>
    <w:rsid w:val="00DD0B6D"/>
    <w:rsid w:val="00DD0B98"/>
    <w:rsid w:val="00DD0C52"/>
    <w:rsid w:val="00DD0DC7"/>
    <w:rsid w:val="00DD10C0"/>
    <w:rsid w:val="00DD113B"/>
    <w:rsid w:val="00DD1327"/>
    <w:rsid w:val="00DD14BA"/>
    <w:rsid w:val="00DD1688"/>
    <w:rsid w:val="00DD168F"/>
    <w:rsid w:val="00DD16EB"/>
    <w:rsid w:val="00DD1705"/>
    <w:rsid w:val="00DD17C2"/>
    <w:rsid w:val="00DD1989"/>
    <w:rsid w:val="00DD1D6C"/>
    <w:rsid w:val="00DD1E9A"/>
    <w:rsid w:val="00DD2101"/>
    <w:rsid w:val="00DD2114"/>
    <w:rsid w:val="00DD215E"/>
    <w:rsid w:val="00DD25D0"/>
    <w:rsid w:val="00DD28C4"/>
    <w:rsid w:val="00DD28C5"/>
    <w:rsid w:val="00DD2932"/>
    <w:rsid w:val="00DD2B12"/>
    <w:rsid w:val="00DD2C1C"/>
    <w:rsid w:val="00DD3181"/>
    <w:rsid w:val="00DD3258"/>
    <w:rsid w:val="00DD3276"/>
    <w:rsid w:val="00DD34D8"/>
    <w:rsid w:val="00DD3B76"/>
    <w:rsid w:val="00DD3D00"/>
    <w:rsid w:val="00DD3D67"/>
    <w:rsid w:val="00DD3DAD"/>
    <w:rsid w:val="00DD3E9D"/>
    <w:rsid w:val="00DD3F31"/>
    <w:rsid w:val="00DD3F39"/>
    <w:rsid w:val="00DD43B6"/>
    <w:rsid w:val="00DD470E"/>
    <w:rsid w:val="00DD4755"/>
    <w:rsid w:val="00DD476B"/>
    <w:rsid w:val="00DD479F"/>
    <w:rsid w:val="00DD48D9"/>
    <w:rsid w:val="00DD48F6"/>
    <w:rsid w:val="00DD4954"/>
    <w:rsid w:val="00DD49F2"/>
    <w:rsid w:val="00DD4A28"/>
    <w:rsid w:val="00DD4A7A"/>
    <w:rsid w:val="00DD4BC0"/>
    <w:rsid w:val="00DD4C27"/>
    <w:rsid w:val="00DD4C3A"/>
    <w:rsid w:val="00DD4CE5"/>
    <w:rsid w:val="00DD4DFE"/>
    <w:rsid w:val="00DD4E6E"/>
    <w:rsid w:val="00DD4EEC"/>
    <w:rsid w:val="00DD5168"/>
    <w:rsid w:val="00DD54F4"/>
    <w:rsid w:val="00DD58FA"/>
    <w:rsid w:val="00DD594C"/>
    <w:rsid w:val="00DD5987"/>
    <w:rsid w:val="00DD5A06"/>
    <w:rsid w:val="00DD612B"/>
    <w:rsid w:val="00DD6186"/>
    <w:rsid w:val="00DD658A"/>
    <w:rsid w:val="00DD65CE"/>
    <w:rsid w:val="00DD685A"/>
    <w:rsid w:val="00DD6C5D"/>
    <w:rsid w:val="00DD6F49"/>
    <w:rsid w:val="00DD6F94"/>
    <w:rsid w:val="00DD7011"/>
    <w:rsid w:val="00DD70DA"/>
    <w:rsid w:val="00DD7175"/>
    <w:rsid w:val="00DD74E8"/>
    <w:rsid w:val="00DD7550"/>
    <w:rsid w:val="00DD78ED"/>
    <w:rsid w:val="00DD7BC3"/>
    <w:rsid w:val="00DD7C42"/>
    <w:rsid w:val="00DE00CE"/>
    <w:rsid w:val="00DE012D"/>
    <w:rsid w:val="00DE0316"/>
    <w:rsid w:val="00DE08BE"/>
    <w:rsid w:val="00DE0975"/>
    <w:rsid w:val="00DE09ED"/>
    <w:rsid w:val="00DE0A23"/>
    <w:rsid w:val="00DE0A67"/>
    <w:rsid w:val="00DE0D79"/>
    <w:rsid w:val="00DE119C"/>
    <w:rsid w:val="00DE1C84"/>
    <w:rsid w:val="00DE1CDD"/>
    <w:rsid w:val="00DE1DE1"/>
    <w:rsid w:val="00DE21C8"/>
    <w:rsid w:val="00DE29DF"/>
    <w:rsid w:val="00DE2A74"/>
    <w:rsid w:val="00DE2BB7"/>
    <w:rsid w:val="00DE2C5F"/>
    <w:rsid w:val="00DE2C94"/>
    <w:rsid w:val="00DE2FB1"/>
    <w:rsid w:val="00DE308F"/>
    <w:rsid w:val="00DE30C4"/>
    <w:rsid w:val="00DE31BC"/>
    <w:rsid w:val="00DE32B6"/>
    <w:rsid w:val="00DE3322"/>
    <w:rsid w:val="00DE351A"/>
    <w:rsid w:val="00DE3672"/>
    <w:rsid w:val="00DE3A21"/>
    <w:rsid w:val="00DE3BD1"/>
    <w:rsid w:val="00DE3CE0"/>
    <w:rsid w:val="00DE3FF5"/>
    <w:rsid w:val="00DE409F"/>
    <w:rsid w:val="00DE41D8"/>
    <w:rsid w:val="00DE441B"/>
    <w:rsid w:val="00DE45CB"/>
    <w:rsid w:val="00DE46D7"/>
    <w:rsid w:val="00DE47D3"/>
    <w:rsid w:val="00DE4C0B"/>
    <w:rsid w:val="00DE4E93"/>
    <w:rsid w:val="00DE4F2A"/>
    <w:rsid w:val="00DE5758"/>
    <w:rsid w:val="00DE5954"/>
    <w:rsid w:val="00DE5961"/>
    <w:rsid w:val="00DE5AAD"/>
    <w:rsid w:val="00DE5E53"/>
    <w:rsid w:val="00DE5EC9"/>
    <w:rsid w:val="00DE6009"/>
    <w:rsid w:val="00DE6102"/>
    <w:rsid w:val="00DE617C"/>
    <w:rsid w:val="00DE61CE"/>
    <w:rsid w:val="00DE63DD"/>
    <w:rsid w:val="00DE645F"/>
    <w:rsid w:val="00DE6718"/>
    <w:rsid w:val="00DE68F3"/>
    <w:rsid w:val="00DE6A32"/>
    <w:rsid w:val="00DE6CB3"/>
    <w:rsid w:val="00DE6E00"/>
    <w:rsid w:val="00DE6E39"/>
    <w:rsid w:val="00DE6EC6"/>
    <w:rsid w:val="00DE6F0D"/>
    <w:rsid w:val="00DE731D"/>
    <w:rsid w:val="00DE74B3"/>
    <w:rsid w:val="00DE7609"/>
    <w:rsid w:val="00DE7703"/>
    <w:rsid w:val="00DE7750"/>
    <w:rsid w:val="00DE7757"/>
    <w:rsid w:val="00DE79DA"/>
    <w:rsid w:val="00DE7A34"/>
    <w:rsid w:val="00DE7BE4"/>
    <w:rsid w:val="00DE7F77"/>
    <w:rsid w:val="00DF019F"/>
    <w:rsid w:val="00DF01E6"/>
    <w:rsid w:val="00DF0366"/>
    <w:rsid w:val="00DF03C2"/>
    <w:rsid w:val="00DF0751"/>
    <w:rsid w:val="00DF0773"/>
    <w:rsid w:val="00DF08D2"/>
    <w:rsid w:val="00DF0D28"/>
    <w:rsid w:val="00DF0D5F"/>
    <w:rsid w:val="00DF0FD5"/>
    <w:rsid w:val="00DF114C"/>
    <w:rsid w:val="00DF1297"/>
    <w:rsid w:val="00DF12F2"/>
    <w:rsid w:val="00DF13DB"/>
    <w:rsid w:val="00DF163E"/>
    <w:rsid w:val="00DF187D"/>
    <w:rsid w:val="00DF1AF1"/>
    <w:rsid w:val="00DF1CFE"/>
    <w:rsid w:val="00DF20EE"/>
    <w:rsid w:val="00DF2164"/>
    <w:rsid w:val="00DF233A"/>
    <w:rsid w:val="00DF257F"/>
    <w:rsid w:val="00DF2868"/>
    <w:rsid w:val="00DF296A"/>
    <w:rsid w:val="00DF2C18"/>
    <w:rsid w:val="00DF2FB5"/>
    <w:rsid w:val="00DF2FBB"/>
    <w:rsid w:val="00DF32E9"/>
    <w:rsid w:val="00DF34A5"/>
    <w:rsid w:val="00DF357A"/>
    <w:rsid w:val="00DF363B"/>
    <w:rsid w:val="00DF367C"/>
    <w:rsid w:val="00DF386B"/>
    <w:rsid w:val="00DF397F"/>
    <w:rsid w:val="00DF3CBC"/>
    <w:rsid w:val="00DF401C"/>
    <w:rsid w:val="00DF40D1"/>
    <w:rsid w:val="00DF41FC"/>
    <w:rsid w:val="00DF43FD"/>
    <w:rsid w:val="00DF4586"/>
    <w:rsid w:val="00DF482B"/>
    <w:rsid w:val="00DF4A10"/>
    <w:rsid w:val="00DF4ADD"/>
    <w:rsid w:val="00DF4DEB"/>
    <w:rsid w:val="00DF4E6C"/>
    <w:rsid w:val="00DF4EE7"/>
    <w:rsid w:val="00DF4FA8"/>
    <w:rsid w:val="00DF50E0"/>
    <w:rsid w:val="00DF50EB"/>
    <w:rsid w:val="00DF534D"/>
    <w:rsid w:val="00DF53E1"/>
    <w:rsid w:val="00DF55A9"/>
    <w:rsid w:val="00DF5903"/>
    <w:rsid w:val="00DF59B9"/>
    <w:rsid w:val="00DF5A8F"/>
    <w:rsid w:val="00DF5AB4"/>
    <w:rsid w:val="00DF5FC0"/>
    <w:rsid w:val="00DF6065"/>
    <w:rsid w:val="00DF635E"/>
    <w:rsid w:val="00DF64A4"/>
    <w:rsid w:val="00DF64C1"/>
    <w:rsid w:val="00DF6659"/>
    <w:rsid w:val="00DF685F"/>
    <w:rsid w:val="00DF68D5"/>
    <w:rsid w:val="00DF6A81"/>
    <w:rsid w:val="00DF6B30"/>
    <w:rsid w:val="00DF6B4A"/>
    <w:rsid w:val="00DF6C36"/>
    <w:rsid w:val="00DF6F75"/>
    <w:rsid w:val="00DF6F78"/>
    <w:rsid w:val="00DF742F"/>
    <w:rsid w:val="00DF7506"/>
    <w:rsid w:val="00DF7920"/>
    <w:rsid w:val="00DF793D"/>
    <w:rsid w:val="00DF797D"/>
    <w:rsid w:val="00DF7A63"/>
    <w:rsid w:val="00DF7E52"/>
    <w:rsid w:val="00E000C0"/>
    <w:rsid w:val="00E00183"/>
    <w:rsid w:val="00E0026E"/>
    <w:rsid w:val="00E002D8"/>
    <w:rsid w:val="00E00351"/>
    <w:rsid w:val="00E0052B"/>
    <w:rsid w:val="00E0054C"/>
    <w:rsid w:val="00E005CA"/>
    <w:rsid w:val="00E006BF"/>
    <w:rsid w:val="00E008A9"/>
    <w:rsid w:val="00E008DA"/>
    <w:rsid w:val="00E00908"/>
    <w:rsid w:val="00E00920"/>
    <w:rsid w:val="00E009C0"/>
    <w:rsid w:val="00E00B82"/>
    <w:rsid w:val="00E00C80"/>
    <w:rsid w:val="00E00CAD"/>
    <w:rsid w:val="00E00E58"/>
    <w:rsid w:val="00E01081"/>
    <w:rsid w:val="00E0117D"/>
    <w:rsid w:val="00E012E7"/>
    <w:rsid w:val="00E01587"/>
    <w:rsid w:val="00E0162D"/>
    <w:rsid w:val="00E018B4"/>
    <w:rsid w:val="00E01BDE"/>
    <w:rsid w:val="00E01D93"/>
    <w:rsid w:val="00E01EFB"/>
    <w:rsid w:val="00E02084"/>
    <w:rsid w:val="00E02423"/>
    <w:rsid w:val="00E0242B"/>
    <w:rsid w:val="00E0256F"/>
    <w:rsid w:val="00E02572"/>
    <w:rsid w:val="00E025D1"/>
    <w:rsid w:val="00E02666"/>
    <w:rsid w:val="00E026A8"/>
    <w:rsid w:val="00E0273E"/>
    <w:rsid w:val="00E02778"/>
    <w:rsid w:val="00E0298C"/>
    <w:rsid w:val="00E02CD7"/>
    <w:rsid w:val="00E02E7D"/>
    <w:rsid w:val="00E032B4"/>
    <w:rsid w:val="00E0345C"/>
    <w:rsid w:val="00E0354A"/>
    <w:rsid w:val="00E03557"/>
    <w:rsid w:val="00E037E7"/>
    <w:rsid w:val="00E03ABC"/>
    <w:rsid w:val="00E03B92"/>
    <w:rsid w:val="00E03C45"/>
    <w:rsid w:val="00E03D2C"/>
    <w:rsid w:val="00E03D44"/>
    <w:rsid w:val="00E03F44"/>
    <w:rsid w:val="00E0400D"/>
    <w:rsid w:val="00E0417D"/>
    <w:rsid w:val="00E0431F"/>
    <w:rsid w:val="00E0433C"/>
    <w:rsid w:val="00E04775"/>
    <w:rsid w:val="00E04787"/>
    <w:rsid w:val="00E048C7"/>
    <w:rsid w:val="00E04C23"/>
    <w:rsid w:val="00E04D0C"/>
    <w:rsid w:val="00E04D46"/>
    <w:rsid w:val="00E04D62"/>
    <w:rsid w:val="00E04DF5"/>
    <w:rsid w:val="00E05073"/>
    <w:rsid w:val="00E051FB"/>
    <w:rsid w:val="00E0524C"/>
    <w:rsid w:val="00E05708"/>
    <w:rsid w:val="00E05856"/>
    <w:rsid w:val="00E05BC4"/>
    <w:rsid w:val="00E05E29"/>
    <w:rsid w:val="00E05F1F"/>
    <w:rsid w:val="00E05FED"/>
    <w:rsid w:val="00E06216"/>
    <w:rsid w:val="00E06224"/>
    <w:rsid w:val="00E0625F"/>
    <w:rsid w:val="00E0633A"/>
    <w:rsid w:val="00E06432"/>
    <w:rsid w:val="00E0647E"/>
    <w:rsid w:val="00E064EF"/>
    <w:rsid w:val="00E066F0"/>
    <w:rsid w:val="00E06897"/>
    <w:rsid w:val="00E06D42"/>
    <w:rsid w:val="00E06E2D"/>
    <w:rsid w:val="00E06F42"/>
    <w:rsid w:val="00E0705E"/>
    <w:rsid w:val="00E07243"/>
    <w:rsid w:val="00E07272"/>
    <w:rsid w:val="00E07569"/>
    <w:rsid w:val="00E075BE"/>
    <w:rsid w:val="00E0768E"/>
    <w:rsid w:val="00E076E9"/>
    <w:rsid w:val="00E07951"/>
    <w:rsid w:val="00E07D90"/>
    <w:rsid w:val="00E10275"/>
    <w:rsid w:val="00E1040B"/>
    <w:rsid w:val="00E10657"/>
    <w:rsid w:val="00E107C0"/>
    <w:rsid w:val="00E10950"/>
    <w:rsid w:val="00E10BC0"/>
    <w:rsid w:val="00E10C38"/>
    <w:rsid w:val="00E10D3C"/>
    <w:rsid w:val="00E10D6B"/>
    <w:rsid w:val="00E10F8C"/>
    <w:rsid w:val="00E113FC"/>
    <w:rsid w:val="00E1156E"/>
    <w:rsid w:val="00E11781"/>
    <w:rsid w:val="00E11881"/>
    <w:rsid w:val="00E118F0"/>
    <w:rsid w:val="00E11C0F"/>
    <w:rsid w:val="00E11CCF"/>
    <w:rsid w:val="00E11DB2"/>
    <w:rsid w:val="00E11EEF"/>
    <w:rsid w:val="00E120F8"/>
    <w:rsid w:val="00E12321"/>
    <w:rsid w:val="00E123D1"/>
    <w:rsid w:val="00E12473"/>
    <w:rsid w:val="00E125A0"/>
    <w:rsid w:val="00E127BD"/>
    <w:rsid w:val="00E12A80"/>
    <w:rsid w:val="00E12ADB"/>
    <w:rsid w:val="00E12AFB"/>
    <w:rsid w:val="00E12B25"/>
    <w:rsid w:val="00E12D13"/>
    <w:rsid w:val="00E12D2A"/>
    <w:rsid w:val="00E13072"/>
    <w:rsid w:val="00E13148"/>
    <w:rsid w:val="00E1314D"/>
    <w:rsid w:val="00E131DB"/>
    <w:rsid w:val="00E132BA"/>
    <w:rsid w:val="00E135DA"/>
    <w:rsid w:val="00E13625"/>
    <w:rsid w:val="00E13669"/>
    <w:rsid w:val="00E137E9"/>
    <w:rsid w:val="00E13C75"/>
    <w:rsid w:val="00E13CFC"/>
    <w:rsid w:val="00E142C2"/>
    <w:rsid w:val="00E148BB"/>
    <w:rsid w:val="00E149E0"/>
    <w:rsid w:val="00E14B13"/>
    <w:rsid w:val="00E14D12"/>
    <w:rsid w:val="00E15534"/>
    <w:rsid w:val="00E15538"/>
    <w:rsid w:val="00E158B9"/>
    <w:rsid w:val="00E15902"/>
    <w:rsid w:val="00E1596A"/>
    <w:rsid w:val="00E15BDF"/>
    <w:rsid w:val="00E15CA2"/>
    <w:rsid w:val="00E15D3B"/>
    <w:rsid w:val="00E15E75"/>
    <w:rsid w:val="00E161BE"/>
    <w:rsid w:val="00E16437"/>
    <w:rsid w:val="00E1695E"/>
    <w:rsid w:val="00E16E04"/>
    <w:rsid w:val="00E16E4B"/>
    <w:rsid w:val="00E16F2E"/>
    <w:rsid w:val="00E17185"/>
    <w:rsid w:val="00E17220"/>
    <w:rsid w:val="00E17223"/>
    <w:rsid w:val="00E17251"/>
    <w:rsid w:val="00E1736A"/>
    <w:rsid w:val="00E174C0"/>
    <w:rsid w:val="00E1761F"/>
    <w:rsid w:val="00E1764E"/>
    <w:rsid w:val="00E176E5"/>
    <w:rsid w:val="00E1795D"/>
    <w:rsid w:val="00E179C7"/>
    <w:rsid w:val="00E17ADF"/>
    <w:rsid w:val="00E17B64"/>
    <w:rsid w:val="00E17BF9"/>
    <w:rsid w:val="00E17C13"/>
    <w:rsid w:val="00E17E42"/>
    <w:rsid w:val="00E2042A"/>
    <w:rsid w:val="00E2055A"/>
    <w:rsid w:val="00E2057B"/>
    <w:rsid w:val="00E2058C"/>
    <w:rsid w:val="00E208D4"/>
    <w:rsid w:val="00E20AEF"/>
    <w:rsid w:val="00E20D8C"/>
    <w:rsid w:val="00E2102B"/>
    <w:rsid w:val="00E210BD"/>
    <w:rsid w:val="00E2129E"/>
    <w:rsid w:val="00E2159E"/>
    <w:rsid w:val="00E215E4"/>
    <w:rsid w:val="00E217D5"/>
    <w:rsid w:val="00E21B34"/>
    <w:rsid w:val="00E21CA2"/>
    <w:rsid w:val="00E21DA2"/>
    <w:rsid w:val="00E21E0F"/>
    <w:rsid w:val="00E21EC3"/>
    <w:rsid w:val="00E227D7"/>
    <w:rsid w:val="00E22CA6"/>
    <w:rsid w:val="00E22CDF"/>
    <w:rsid w:val="00E22D51"/>
    <w:rsid w:val="00E22FE2"/>
    <w:rsid w:val="00E230D9"/>
    <w:rsid w:val="00E23308"/>
    <w:rsid w:val="00E23739"/>
    <w:rsid w:val="00E23A54"/>
    <w:rsid w:val="00E23B7B"/>
    <w:rsid w:val="00E23C37"/>
    <w:rsid w:val="00E23D8E"/>
    <w:rsid w:val="00E23EAD"/>
    <w:rsid w:val="00E240D2"/>
    <w:rsid w:val="00E241FE"/>
    <w:rsid w:val="00E242C2"/>
    <w:rsid w:val="00E244FD"/>
    <w:rsid w:val="00E2482F"/>
    <w:rsid w:val="00E248A0"/>
    <w:rsid w:val="00E24A00"/>
    <w:rsid w:val="00E24AE8"/>
    <w:rsid w:val="00E24E25"/>
    <w:rsid w:val="00E251C0"/>
    <w:rsid w:val="00E252FF"/>
    <w:rsid w:val="00E254B5"/>
    <w:rsid w:val="00E2568E"/>
    <w:rsid w:val="00E25692"/>
    <w:rsid w:val="00E257EE"/>
    <w:rsid w:val="00E25855"/>
    <w:rsid w:val="00E258DE"/>
    <w:rsid w:val="00E25FE9"/>
    <w:rsid w:val="00E26223"/>
    <w:rsid w:val="00E26249"/>
    <w:rsid w:val="00E2656D"/>
    <w:rsid w:val="00E265A4"/>
    <w:rsid w:val="00E26634"/>
    <w:rsid w:val="00E26731"/>
    <w:rsid w:val="00E2686E"/>
    <w:rsid w:val="00E26882"/>
    <w:rsid w:val="00E26977"/>
    <w:rsid w:val="00E26A9A"/>
    <w:rsid w:val="00E26D1E"/>
    <w:rsid w:val="00E26D38"/>
    <w:rsid w:val="00E26D94"/>
    <w:rsid w:val="00E26E2A"/>
    <w:rsid w:val="00E2721A"/>
    <w:rsid w:val="00E27229"/>
    <w:rsid w:val="00E27318"/>
    <w:rsid w:val="00E27532"/>
    <w:rsid w:val="00E27584"/>
    <w:rsid w:val="00E27B56"/>
    <w:rsid w:val="00E27F6B"/>
    <w:rsid w:val="00E30006"/>
    <w:rsid w:val="00E3001A"/>
    <w:rsid w:val="00E30200"/>
    <w:rsid w:val="00E30244"/>
    <w:rsid w:val="00E302C8"/>
    <w:rsid w:val="00E3083A"/>
    <w:rsid w:val="00E30B7B"/>
    <w:rsid w:val="00E30B9D"/>
    <w:rsid w:val="00E30D99"/>
    <w:rsid w:val="00E30DA0"/>
    <w:rsid w:val="00E30DCF"/>
    <w:rsid w:val="00E311E7"/>
    <w:rsid w:val="00E3137A"/>
    <w:rsid w:val="00E315BC"/>
    <w:rsid w:val="00E315C7"/>
    <w:rsid w:val="00E3160F"/>
    <w:rsid w:val="00E31766"/>
    <w:rsid w:val="00E3192C"/>
    <w:rsid w:val="00E31A00"/>
    <w:rsid w:val="00E31AEE"/>
    <w:rsid w:val="00E31B1D"/>
    <w:rsid w:val="00E31C71"/>
    <w:rsid w:val="00E31CDE"/>
    <w:rsid w:val="00E31D2C"/>
    <w:rsid w:val="00E322F0"/>
    <w:rsid w:val="00E32327"/>
    <w:rsid w:val="00E3232B"/>
    <w:rsid w:val="00E3249F"/>
    <w:rsid w:val="00E32586"/>
    <w:rsid w:val="00E326D2"/>
    <w:rsid w:val="00E3283A"/>
    <w:rsid w:val="00E3299B"/>
    <w:rsid w:val="00E32D58"/>
    <w:rsid w:val="00E33409"/>
    <w:rsid w:val="00E33487"/>
    <w:rsid w:val="00E33548"/>
    <w:rsid w:val="00E3369F"/>
    <w:rsid w:val="00E33BD4"/>
    <w:rsid w:val="00E33C4F"/>
    <w:rsid w:val="00E33CAC"/>
    <w:rsid w:val="00E33DD8"/>
    <w:rsid w:val="00E3414A"/>
    <w:rsid w:val="00E341A9"/>
    <w:rsid w:val="00E341B8"/>
    <w:rsid w:val="00E345E6"/>
    <w:rsid w:val="00E34966"/>
    <w:rsid w:val="00E34A1C"/>
    <w:rsid w:val="00E3517B"/>
    <w:rsid w:val="00E3520B"/>
    <w:rsid w:val="00E35314"/>
    <w:rsid w:val="00E35571"/>
    <w:rsid w:val="00E355B2"/>
    <w:rsid w:val="00E356AE"/>
    <w:rsid w:val="00E35D3B"/>
    <w:rsid w:val="00E35D5C"/>
    <w:rsid w:val="00E362B8"/>
    <w:rsid w:val="00E36370"/>
    <w:rsid w:val="00E364CD"/>
    <w:rsid w:val="00E36510"/>
    <w:rsid w:val="00E367B0"/>
    <w:rsid w:val="00E367D3"/>
    <w:rsid w:val="00E369EA"/>
    <w:rsid w:val="00E36B66"/>
    <w:rsid w:val="00E36B94"/>
    <w:rsid w:val="00E36C95"/>
    <w:rsid w:val="00E36C96"/>
    <w:rsid w:val="00E36CF0"/>
    <w:rsid w:val="00E36D78"/>
    <w:rsid w:val="00E36EB9"/>
    <w:rsid w:val="00E3702A"/>
    <w:rsid w:val="00E3712F"/>
    <w:rsid w:val="00E3713D"/>
    <w:rsid w:val="00E3715C"/>
    <w:rsid w:val="00E3736E"/>
    <w:rsid w:val="00E373C2"/>
    <w:rsid w:val="00E3749E"/>
    <w:rsid w:val="00E375B8"/>
    <w:rsid w:val="00E37786"/>
    <w:rsid w:val="00E37DF6"/>
    <w:rsid w:val="00E37E9A"/>
    <w:rsid w:val="00E37EA1"/>
    <w:rsid w:val="00E400C6"/>
    <w:rsid w:val="00E40224"/>
    <w:rsid w:val="00E40240"/>
    <w:rsid w:val="00E4026E"/>
    <w:rsid w:val="00E402F6"/>
    <w:rsid w:val="00E402FE"/>
    <w:rsid w:val="00E4030D"/>
    <w:rsid w:val="00E40352"/>
    <w:rsid w:val="00E40850"/>
    <w:rsid w:val="00E40C4E"/>
    <w:rsid w:val="00E40D96"/>
    <w:rsid w:val="00E40E13"/>
    <w:rsid w:val="00E40E5E"/>
    <w:rsid w:val="00E40EA2"/>
    <w:rsid w:val="00E41272"/>
    <w:rsid w:val="00E4175E"/>
    <w:rsid w:val="00E41856"/>
    <w:rsid w:val="00E41899"/>
    <w:rsid w:val="00E41A41"/>
    <w:rsid w:val="00E41A85"/>
    <w:rsid w:val="00E41AC1"/>
    <w:rsid w:val="00E41B2D"/>
    <w:rsid w:val="00E41BF1"/>
    <w:rsid w:val="00E41C18"/>
    <w:rsid w:val="00E41D72"/>
    <w:rsid w:val="00E41F9C"/>
    <w:rsid w:val="00E42094"/>
    <w:rsid w:val="00E4235A"/>
    <w:rsid w:val="00E4248A"/>
    <w:rsid w:val="00E4259E"/>
    <w:rsid w:val="00E42C0B"/>
    <w:rsid w:val="00E42F4F"/>
    <w:rsid w:val="00E42FEF"/>
    <w:rsid w:val="00E43960"/>
    <w:rsid w:val="00E43DC0"/>
    <w:rsid w:val="00E43FCD"/>
    <w:rsid w:val="00E4436B"/>
    <w:rsid w:val="00E44532"/>
    <w:rsid w:val="00E448B2"/>
    <w:rsid w:val="00E449E4"/>
    <w:rsid w:val="00E44B7C"/>
    <w:rsid w:val="00E44D8C"/>
    <w:rsid w:val="00E4508D"/>
    <w:rsid w:val="00E45132"/>
    <w:rsid w:val="00E452E2"/>
    <w:rsid w:val="00E452FB"/>
    <w:rsid w:val="00E453FB"/>
    <w:rsid w:val="00E458D4"/>
    <w:rsid w:val="00E45AF1"/>
    <w:rsid w:val="00E45CA2"/>
    <w:rsid w:val="00E45E82"/>
    <w:rsid w:val="00E45EBC"/>
    <w:rsid w:val="00E45FAB"/>
    <w:rsid w:val="00E4606F"/>
    <w:rsid w:val="00E460C6"/>
    <w:rsid w:val="00E46174"/>
    <w:rsid w:val="00E46532"/>
    <w:rsid w:val="00E4664C"/>
    <w:rsid w:val="00E46721"/>
    <w:rsid w:val="00E46731"/>
    <w:rsid w:val="00E4676A"/>
    <w:rsid w:val="00E46774"/>
    <w:rsid w:val="00E467CD"/>
    <w:rsid w:val="00E46A44"/>
    <w:rsid w:val="00E46BEA"/>
    <w:rsid w:val="00E46C3E"/>
    <w:rsid w:val="00E47164"/>
    <w:rsid w:val="00E47442"/>
    <w:rsid w:val="00E47B09"/>
    <w:rsid w:val="00E47B21"/>
    <w:rsid w:val="00E50340"/>
    <w:rsid w:val="00E50479"/>
    <w:rsid w:val="00E5053B"/>
    <w:rsid w:val="00E50658"/>
    <w:rsid w:val="00E5065A"/>
    <w:rsid w:val="00E50664"/>
    <w:rsid w:val="00E507A0"/>
    <w:rsid w:val="00E5082E"/>
    <w:rsid w:val="00E5094C"/>
    <w:rsid w:val="00E5099E"/>
    <w:rsid w:val="00E50A47"/>
    <w:rsid w:val="00E50A78"/>
    <w:rsid w:val="00E5157B"/>
    <w:rsid w:val="00E51999"/>
    <w:rsid w:val="00E51B4C"/>
    <w:rsid w:val="00E51E92"/>
    <w:rsid w:val="00E51F65"/>
    <w:rsid w:val="00E51FCC"/>
    <w:rsid w:val="00E51FD0"/>
    <w:rsid w:val="00E520EE"/>
    <w:rsid w:val="00E521ED"/>
    <w:rsid w:val="00E52555"/>
    <w:rsid w:val="00E52568"/>
    <w:rsid w:val="00E525F2"/>
    <w:rsid w:val="00E5288B"/>
    <w:rsid w:val="00E52938"/>
    <w:rsid w:val="00E52A0C"/>
    <w:rsid w:val="00E52B5F"/>
    <w:rsid w:val="00E52FB4"/>
    <w:rsid w:val="00E532AD"/>
    <w:rsid w:val="00E53428"/>
    <w:rsid w:val="00E535AA"/>
    <w:rsid w:val="00E53682"/>
    <w:rsid w:val="00E536C1"/>
    <w:rsid w:val="00E536EC"/>
    <w:rsid w:val="00E53948"/>
    <w:rsid w:val="00E53A92"/>
    <w:rsid w:val="00E53B22"/>
    <w:rsid w:val="00E53C5D"/>
    <w:rsid w:val="00E53EC4"/>
    <w:rsid w:val="00E53F62"/>
    <w:rsid w:val="00E54037"/>
    <w:rsid w:val="00E54323"/>
    <w:rsid w:val="00E5479A"/>
    <w:rsid w:val="00E54BD7"/>
    <w:rsid w:val="00E54C56"/>
    <w:rsid w:val="00E54C92"/>
    <w:rsid w:val="00E54FE9"/>
    <w:rsid w:val="00E55248"/>
    <w:rsid w:val="00E55682"/>
    <w:rsid w:val="00E5573E"/>
    <w:rsid w:val="00E55816"/>
    <w:rsid w:val="00E55B3F"/>
    <w:rsid w:val="00E55BD0"/>
    <w:rsid w:val="00E55F03"/>
    <w:rsid w:val="00E560F1"/>
    <w:rsid w:val="00E560FB"/>
    <w:rsid w:val="00E5614E"/>
    <w:rsid w:val="00E5615B"/>
    <w:rsid w:val="00E562B2"/>
    <w:rsid w:val="00E56309"/>
    <w:rsid w:val="00E56352"/>
    <w:rsid w:val="00E563CC"/>
    <w:rsid w:val="00E56784"/>
    <w:rsid w:val="00E568EB"/>
    <w:rsid w:val="00E5690C"/>
    <w:rsid w:val="00E5699A"/>
    <w:rsid w:val="00E56A85"/>
    <w:rsid w:val="00E56C83"/>
    <w:rsid w:val="00E56E3F"/>
    <w:rsid w:val="00E57191"/>
    <w:rsid w:val="00E5745E"/>
    <w:rsid w:val="00E57632"/>
    <w:rsid w:val="00E576E0"/>
    <w:rsid w:val="00E57CAC"/>
    <w:rsid w:val="00E60132"/>
    <w:rsid w:val="00E60302"/>
    <w:rsid w:val="00E603D1"/>
    <w:rsid w:val="00E606D3"/>
    <w:rsid w:val="00E60820"/>
    <w:rsid w:val="00E6088C"/>
    <w:rsid w:val="00E60982"/>
    <w:rsid w:val="00E60C5F"/>
    <w:rsid w:val="00E60CBE"/>
    <w:rsid w:val="00E60CD5"/>
    <w:rsid w:val="00E60DB0"/>
    <w:rsid w:val="00E61731"/>
    <w:rsid w:val="00E61738"/>
    <w:rsid w:val="00E618E4"/>
    <w:rsid w:val="00E61A2E"/>
    <w:rsid w:val="00E61C03"/>
    <w:rsid w:val="00E61D3E"/>
    <w:rsid w:val="00E61EFD"/>
    <w:rsid w:val="00E61F20"/>
    <w:rsid w:val="00E620CD"/>
    <w:rsid w:val="00E62130"/>
    <w:rsid w:val="00E623FB"/>
    <w:rsid w:val="00E626D6"/>
    <w:rsid w:val="00E6271F"/>
    <w:rsid w:val="00E62971"/>
    <w:rsid w:val="00E62C24"/>
    <w:rsid w:val="00E62C8B"/>
    <w:rsid w:val="00E62D7E"/>
    <w:rsid w:val="00E62E1B"/>
    <w:rsid w:val="00E62E59"/>
    <w:rsid w:val="00E62E5C"/>
    <w:rsid w:val="00E62EA4"/>
    <w:rsid w:val="00E62EE6"/>
    <w:rsid w:val="00E62F1C"/>
    <w:rsid w:val="00E6325D"/>
    <w:rsid w:val="00E6335C"/>
    <w:rsid w:val="00E6340B"/>
    <w:rsid w:val="00E634E7"/>
    <w:rsid w:val="00E635A0"/>
    <w:rsid w:val="00E63ACF"/>
    <w:rsid w:val="00E63FC6"/>
    <w:rsid w:val="00E64012"/>
    <w:rsid w:val="00E647BD"/>
    <w:rsid w:val="00E64993"/>
    <w:rsid w:val="00E64AF5"/>
    <w:rsid w:val="00E64AF8"/>
    <w:rsid w:val="00E64D38"/>
    <w:rsid w:val="00E64F0D"/>
    <w:rsid w:val="00E64F56"/>
    <w:rsid w:val="00E64FCE"/>
    <w:rsid w:val="00E6506B"/>
    <w:rsid w:val="00E65162"/>
    <w:rsid w:val="00E65267"/>
    <w:rsid w:val="00E655D5"/>
    <w:rsid w:val="00E656CD"/>
    <w:rsid w:val="00E6597F"/>
    <w:rsid w:val="00E65F92"/>
    <w:rsid w:val="00E65FEA"/>
    <w:rsid w:val="00E660CA"/>
    <w:rsid w:val="00E6628F"/>
    <w:rsid w:val="00E667CC"/>
    <w:rsid w:val="00E66982"/>
    <w:rsid w:val="00E66A4B"/>
    <w:rsid w:val="00E66DFA"/>
    <w:rsid w:val="00E66E33"/>
    <w:rsid w:val="00E67226"/>
    <w:rsid w:val="00E672B5"/>
    <w:rsid w:val="00E67399"/>
    <w:rsid w:val="00E673B0"/>
    <w:rsid w:val="00E6771E"/>
    <w:rsid w:val="00E67A1A"/>
    <w:rsid w:val="00E67CCA"/>
    <w:rsid w:val="00E67D08"/>
    <w:rsid w:val="00E67D79"/>
    <w:rsid w:val="00E7007E"/>
    <w:rsid w:val="00E70271"/>
    <w:rsid w:val="00E706A6"/>
    <w:rsid w:val="00E70883"/>
    <w:rsid w:val="00E70BE5"/>
    <w:rsid w:val="00E70D6B"/>
    <w:rsid w:val="00E71031"/>
    <w:rsid w:val="00E71045"/>
    <w:rsid w:val="00E711F1"/>
    <w:rsid w:val="00E7124F"/>
    <w:rsid w:val="00E7133F"/>
    <w:rsid w:val="00E71461"/>
    <w:rsid w:val="00E714A0"/>
    <w:rsid w:val="00E715E6"/>
    <w:rsid w:val="00E7171D"/>
    <w:rsid w:val="00E71814"/>
    <w:rsid w:val="00E7198D"/>
    <w:rsid w:val="00E71BF8"/>
    <w:rsid w:val="00E71C1F"/>
    <w:rsid w:val="00E71D04"/>
    <w:rsid w:val="00E71E10"/>
    <w:rsid w:val="00E72159"/>
    <w:rsid w:val="00E72188"/>
    <w:rsid w:val="00E72201"/>
    <w:rsid w:val="00E72271"/>
    <w:rsid w:val="00E72478"/>
    <w:rsid w:val="00E7250E"/>
    <w:rsid w:val="00E727E6"/>
    <w:rsid w:val="00E72808"/>
    <w:rsid w:val="00E728E8"/>
    <w:rsid w:val="00E729D4"/>
    <w:rsid w:val="00E73010"/>
    <w:rsid w:val="00E730CA"/>
    <w:rsid w:val="00E7322E"/>
    <w:rsid w:val="00E73489"/>
    <w:rsid w:val="00E73639"/>
    <w:rsid w:val="00E739B3"/>
    <w:rsid w:val="00E73B4D"/>
    <w:rsid w:val="00E73E6D"/>
    <w:rsid w:val="00E74316"/>
    <w:rsid w:val="00E7460E"/>
    <w:rsid w:val="00E74A51"/>
    <w:rsid w:val="00E74C9E"/>
    <w:rsid w:val="00E74DBD"/>
    <w:rsid w:val="00E751C3"/>
    <w:rsid w:val="00E75308"/>
    <w:rsid w:val="00E754B9"/>
    <w:rsid w:val="00E7550E"/>
    <w:rsid w:val="00E75635"/>
    <w:rsid w:val="00E75826"/>
    <w:rsid w:val="00E758A5"/>
    <w:rsid w:val="00E75BD5"/>
    <w:rsid w:val="00E75D01"/>
    <w:rsid w:val="00E75F02"/>
    <w:rsid w:val="00E76163"/>
    <w:rsid w:val="00E761D5"/>
    <w:rsid w:val="00E76376"/>
    <w:rsid w:val="00E764AB"/>
    <w:rsid w:val="00E7665A"/>
    <w:rsid w:val="00E76782"/>
    <w:rsid w:val="00E767B7"/>
    <w:rsid w:val="00E767E7"/>
    <w:rsid w:val="00E76845"/>
    <w:rsid w:val="00E76B29"/>
    <w:rsid w:val="00E76C20"/>
    <w:rsid w:val="00E76CE6"/>
    <w:rsid w:val="00E76F59"/>
    <w:rsid w:val="00E771CF"/>
    <w:rsid w:val="00E771DE"/>
    <w:rsid w:val="00E773DA"/>
    <w:rsid w:val="00E773E7"/>
    <w:rsid w:val="00E776EC"/>
    <w:rsid w:val="00E77A1E"/>
    <w:rsid w:val="00E77A31"/>
    <w:rsid w:val="00E77AD6"/>
    <w:rsid w:val="00E77B02"/>
    <w:rsid w:val="00E77BB8"/>
    <w:rsid w:val="00E8007D"/>
    <w:rsid w:val="00E80155"/>
    <w:rsid w:val="00E8029B"/>
    <w:rsid w:val="00E80307"/>
    <w:rsid w:val="00E803CB"/>
    <w:rsid w:val="00E80484"/>
    <w:rsid w:val="00E80612"/>
    <w:rsid w:val="00E80637"/>
    <w:rsid w:val="00E80759"/>
    <w:rsid w:val="00E807FF"/>
    <w:rsid w:val="00E80F35"/>
    <w:rsid w:val="00E80FA9"/>
    <w:rsid w:val="00E8100B"/>
    <w:rsid w:val="00E810C0"/>
    <w:rsid w:val="00E81342"/>
    <w:rsid w:val="00E813DD"/>
    <w:rsid w:val="00E81681"/>
    <w:rsid w:val="00E81718"/>
    <w:rsid w:val="00E81B04"/>
    <w:rsid w:val="00E81B42"/>
    <w:rsid w:val="00E81B5D"/>
    <w:rsid w:val="00E81F13"/>
    <w:rsid w:val="00E81F52"/>
    <w:rsid w:val="00E82007"/>
    <w:rsid w:val="00E8222D"/>
    <w:rsid w:val="00E8230D"/>
    <w:rsid w:val="00E8258F"/>
    <w:rsid w:val="00E825DA"/>
    <w:rsid w:val="00E825E5"/>
    <w:rsid w:val="00E827A1"/>
    <w:rsid w:val="00E82865"/>
    <w:rsid w:val="00E82937"/>
    <w:rsid w:val="00E82D71"/>
    <w:rsid w:val="00E82DE5"/>
    <w:rsid w:val="00E82ED1"/>
    <w:rsid w:val="00E82F74"/>
    <w:rsid w:val="00E83202"/>
    <w:rsid w:val="00E83209"/>
    <w:rsid w:val="00E833C4"/>
    <w:rsid w:val="00E838D7"/>
    <w:rsid w:val="00E83944"/>
    <w:rsid w:val="00E83951"/>
    <w:rsid w:val="00E839C7"/>
    <w:rsid w:val="00E839EC"/>
    <w:rsid w:val="00E83C5F"/>
    <w:rsid w:val="00E83D64"/>
    <w:rsid w:val="00E83DA8"/>
    <w:rsid w:val="00E83FB3"/>
    <w:rsid w:val="00E84049"/>
    <w:rsid w:val="00E841E8"/>
    <w:rsid w:val="00E84578"/>
    <w:rsid w:val="00E847C8"/>
    <w:rsid w:val="00E8480F"/>
    <w:rsid w:val="00E84A03"/>
    <w:rsid w:val="00E84B7B"/>
    <w:rsid w:val="00E85136"/>
    <w:rsid w:val="00E851EA"/>
    <w:rsid w:val="00E851F1"/>
    <w:rsid w:val="00E8548A"/>
    <w:rsid w:val="00E854CD"/>
    <w:rsid w:val="00E85721"/>
    <w:rsid w:val="00E85878"/>
    <w:rsid w:val="00E859D9"/>
    <w:rsid w:val="00E85A74"/>
    <w:rsid w:val="00E85B06"/>
    <w:rsid w:val="00E861EF"/>
    <w:rsid w:val="00E86311"/>
    <w:rsid w:val="00E86396"/>
    <w:rsid w:val="00E86546"/>
    <w:rsid w:val="00E86584"/>
    <w:rsid w:val="00E866B6"/>
    <w:rsid w:val="00E86C4E"/>
    <w:rsid w:val="00E86FB0"/>
    <w:rsid w:val="00E8712A"/>
    <w:rsid w:val="00E87454"/>
    <w:rsid w:val="00E87735"/>
    <w:rsid w:val="00E878CE"/>
    <w:rsid w:val="00E8793B"/>
    <w:rsid w:val="00E879A1"/>
    <w:rsid w:val="00E879F3"/>
    <w:rsid w:val="00E87E1A"/>
    <w:rsid w:val="00E87F5F"/>
    <w:rsid w:val="00E90246"/>
    <w:rsid w:val="00E902EA"/>
    <w:rsid w:val="00E904EC"/>
    <w:rsid w:val="00E90C45"/>
    <w:rsid w:val="00E90EAB"/>
    <w:rsid w:val="00E914F2"/>
    <w:rsid w:val="00E9176C"/>
    <w:rsid w:val="00E918DE"/>
    <w:rsid w:val="00E91AC4"/>
    <w:rsid w:val="00E91DEE"/>
    <w:rsid w:val="00E92064"/>
    <w:rsid w:val="00E9230F"/>
    <w:rsid w:val="00E92325"/>
    <w:rsid w:val="00E92504"/>
    <w:rsid w:val="00E92688"/>
    <w:rsid w:val="00E92755"/>
    <w:rsid w:val="00E927E5"/>
    <w:rsid w:val="00E92B4C"/>
    <w:rsid w:val="00E92B5C"/>
    <w:rsid w:val="00E92CA4"/>
    <w:rsid w:val="00E9306A"/>
    <w:rsid w:val="00E931C5"/>
    <w:rsid w:val="00E932AE"/>
    <w:rsid w:val="00E93665"/>
    <w:rsid w:val="00E93B2D"/>
    <w:rsid w:val="00E93E1A"/>
    <w:rsid w:val="00E93E46"/>
    <w:rsid w:val="00E93E5F"/>
    <w:rsid w:val="00E93E95"/>
    <w:rsid w:val="00E93F00"/>
    <w:rsid w:val="00E94097"/>
    <w:rsid w:val="00E943D1"/>
    <w:rsid w:val="00E94506"/>
    <w:rsid w:val="00E94542"/>
    <w:rsid w:val="00E945CD"/>
    <w:rsid w:val="00E9479A"/>
    <w:rsid w:val="00E949CA"/>
    <w:rsid w:val="00E94FE2"/>
    <w:rsid w:val="00E9526B"/>
    <w:rsid w:val="00E955A3"/>
    <w:rsid w:val="00E9562A"/>
    <w:rsid w:val="00E95924"/>
    <w:rsid w:val="00E959FE"/>
    <w:rsid w:val="00E95CA6"/>
    <w:rsid w:val="00E95D0A"/>
    <w:rsid w:val="00E96118"/>
    <w:rsid w:val="00E962E2"/>
    <w:rsid w:val="00E967EE"/>
    <w:rsid w:val="00E969CD"/>
    <w:rsid w:val="00E96A66"/>
    <w:rsid w:val="00E96A6E"/>
    <w:rsid w:val="00E973FE"/>
    <w:rsid w:val="00E979C7"/>
    <w:rsid w:val="00E97E92"/>
    <w:rsid w:val="00EA011C"/>
    <w:rsid w:val="00EA0247"/>
    <w:rsid w:val="00EA06D6"/>
    <w:rsid w:val="00EA07BB"/>
    <w:rsid w:val="00EA09FA"/>
    <w:rsid w:val="00EA0A9E"/>
    <w:rsid w:val="00EA0D78"/>
    <w:rsid w:val="00EA0D88"/>
    <w:rsid w:val="00EA0E47"/>
    <w:rsid w:val="00EA0EA9"/>
    <w:rsid w:val="00EA0F6A"/>
    <w:rsid w:val="00EA0FB9"/>
    <w:rsid w:val="00EA1479"/>
    <w:rsid w:val="00EA154D"/>
    <w:rsid w:val="00EA15D8"/>
    <w:rsid w:val="00EA1EED"/>
    <w:rsid w:val="00EA1F7D"/>
    <w:rsid w:val="00EA1F99"/>
    <w:rsid w:val="00EA2203"/>
    <w:rsid w:val="00EA222D"/>
    <w:rsid w:val="00EA2276"/>
    <w:rsid w:val="00EA22C6"/>
    <w:rsid w:val="00EA24B6"/>
    <w:rsid w:val="00EA2599"/>
    <w:rsid w:val="00EA25A6"/>
    <w:rsid w:val="00EA2809"/>
    <w:rsid w:val="00EA28D1"/>
    <w:rsid w:val="00EA28F5"/>
    <w:rsid w:val="00EA2BAC"/>
    <w:rsid w:val="00EA2D90"/>
    <w:rsid w:val="00EA34ED"/>
    <w:rsid w:val="00EA3CE7"/>
    <w:rsid w:val="00EA3D54"/>
    <w:rsid w:val="00EA3F18"/>
    <w:rsid w:val="00EA3F9D"/>
    <w:rsid w:val="00EA4089"/>
    <w:rsid w:val="00EA40AC"/>
    <w:rsid w:val="00EA42E1"/>
    <w:rsid w:val="00EA42F8"/>
    <w:rsid w:val="00EA4487"/>
    <w:rsid w:val="00EA494A"/>
    <w:rsid w:val="00EA4B0F"/>
    <w:rsid w:val="00EA4BA1"/>
    <w:rsid w:val="00EA4E8B"/>
    <w:rsid w:val="00EA50F3"/>
    <w:rsid w:val="00EA531F"/>
    <w:rsid w:val="00EA57E9"/>
    <w:rsid w:val="00EA5907"/>
    <w:rsid w:val="00EA59BA"/>
    <w:rsid w:val="00EA5AF1"/>
    <w:rsid w:val="00EA5D3E"/>
    <w:rsid w:val="00EA5E02"/>
    <w:rsid w:val="00EA5FD8"/>
    <w:rsid w:val="00EA611F"/>
    <w:rsid w:val="00EA6156"/>
    <w:rsid w:val="00EA62D4"/>
    <w:rsid w:val="00EA63D1"/>
    <w:rsid w:val="00EA63FF"/>
    <w:rsid w:val="00EA649F"/>
    <w:rsid w:val="00EA6677"/>
    <w:rsid w:val="00EA686C"/>
    <w:rsid w:val="00EA68C2"/>
    <w:rsid w:val="00EA6979"/>
    <w:rsid w:val="00EA6D18"/>
    <w:rsid w:val="00EA6E11"/>
    <w:rsid w:val="00EA70C3"/>
    <w:rsid w:val="00EA7184"/>
    <w:rsid w:val="00EA729D"/>
    <w:rsid w:val="00EA74A4"/>
    <w:rsid w:val="00EA74AD"/>
    <w:rsid w:val="00EA780D"/>
    <w:rsid w:val="00EA79D3"/>
    <w:rsid w:val="00EA7B62"/>
    <w:rsid w:val="00EA7B93"/>
    <w:rsid w:val="00EB01C6"/>
    <w:rsid w:val="00EB0257"/>
    <w:rsid w:val="00EB02C6"/>
    <w:rsid w:val="00EB044E"/>
    <w:rsid w:val="00EB04E8"/>
    <w:rsid w:val="00EB0A6B"/>
    <w:rsid w:val="00EB0B14"/>
    <w:rsid w:val="00EB0EB3"/>
    <w:rsid w:val="00EB103E"/>
    <w:rsid w:val="00EB10BF"/>
    <w:rsid w:val="00EB1555"/>
    <w:rsid w:val="00EB176B"/>
    <w:rsid w:val="00EB1BAA"/>
    <w:rsid w:val="00EB1C6C"/>
    <w:rsid w:val="00EB1C71"/>
    <w:rsid w:val="00EB1E4F"/>
    <w:rsid w:val="00EB1ED3"/>
    <w:rsid w:val="00EB20CF"/>
    <w:rsid w:val="00EB2253"/>
    <w:rsid w:val="00EB23E3"/>
    <w:rsid w:val="00EB288E"/>
    <w:rsid w:val="00EB2B35"/>
    <w:rsid w:val="00EB2BEA"/>
    <w:rsid w:val="00EB2C62"/>
    <w:rsid w:val="00EB2DBF"/>
    <w:rsid w:val="00EB2E65"/>
    <w:rsid w:val="00EB3475"/>
    <w:rsid w:val="00EB349A"/>
    <w:rsid w:val="00EB35DB"/>
    <w:rsid w:val="00EB3666"/>
    <w:rsid w:val="00EB36DF"/>
    <w:rsid w:val="00EB3821"/>
    <w:rsid w:val="00EB3A8C"/>
    <w:rsid w:val="00EB3ABE"/>
    <w:rsid w:val="00EB3B79"/>
    <w:rsid w:val="00EB3CAF"/>
    <w:rsid w:val="00EB3CF1"/>
    <w:rsid w:val="00EB3FF7"/>
    <w:rsid w:val="00EB410B"/>
    <w:rsid w:val="00EB41F7"/>
    <w:rsid w:val="00EB44D3"/>
    <w:rsid w:val="00EB46BC"/>
    <w:rsid w:val="00EB4A08"/>
    <w:rsid w:val="00EB4B6E"/>
    <w:rsid w:val="00EB4C21"/>
    <w:rsid w:val="00EB51AE"/>
    <w:rsid w:val="00EB52B1"/>
    <w:rsid w:val="00EB5442"/>
    <w:rsid w:val="00EB545E"/>
    <w:rsid w:val="00EB5549"/>
    <w:rsid w:val="00EB58C2"/>
    <w:rsid w:val="00EB5A32"/>
    <w:rsid w:val="00EB5AFF"/>
    <w:rsid w:val="00EB5D51"/>
    <w:rsid w:val="00EB5F8F"/>
    <w:rsid w:val="00EB603D"/>
    <w:rsid w:val="00EB654A"/>
    <w:rsid w:val="00EB6C41"/>
    <w:rsid w:val="00EB6D8A"/>
    <w:rsid w:val="00EB6E1C"/>
    <w:rsid w:val="00EB7071"/>
    <w:rsid w:val="00EB716B"/>
    <w:rsid w:val="00EB7275"/>
    <w:rsid w:val="00EB72DC"/>
    <w:rsid w:val="00EB73B8"/>
    <w:rsid w:val="00EB7493"/>
    <w:rsid w:val="00EB753B"/>
    <w:rsid w:val="00EB78DD"/>
    <w:rsid w:val="00EB7919"/>
    <w:rsid w:val="00EB79BA"/>
    <w:rsid w:val="00EB7BBC"/>
    <w:rsid w:val="00EB7E2B"/>
    <w:rsid w:val="00EC024A"/>
    <w:rsid w:val="00EC04B4"/>
    <w:rsid w:val="00EC0649"/>
    <w:rsid w:val="00EC0711"/>
    <w:rsid w:val="00EC0B04"/>
    <w:rsid w:val="00EC0B5F"/>
    <w:rsid w:val="00EC0D85"/>
    <w:rsid w:val="00EC0EF2"/>
    <w:rsid w:val="00EC114E"/>
    <w:rsid w:val="00EC17AD"/>
    <w:rsid w:val="00EC18F2"/>
    <w:rsid w:val="00EC1A73"/>
    <w:rsid w:val="00EC1B6F"/>
    <w:rsid w:val="00EC1CE2"/>
    <w:rsid w:val="00EC1D9D"/>
    <w:rsid w:val="00EC1E6A"/>
    <w:rsid w:val="00EC22F1"/>
    <w:rsid w:val="00EC2517"/>
    <w:rsid w:val="00EC2829"/>
    <w:rsid w:val="00EC288A"/>
    <w:rsid w:val="00EC2893"/>
    <w:rsid w:val="00EC2DBE"/>
    <w:rsid w:val="00EC2E2C"/>
    <w:rsid w:val="00EC326C"/>
    <w:rsid w:val="00EC3618"/>
    <w:rsid w:val="00EC36E7"/>
    <w:rsid w:val="00EC3809"/>
    <w:rsid w:val="00EC3855"/>
    <w:rsid w:val="00EC3878"/>
    <w:rsid w:val="00EC38D7"/>
    <w:rsid w:val="00EC3928"/>
    <w:rsid w:val="00EC395E"/>
    <w:rsid w:val="00EC3963"/>
    <w:rsid w:val="00EC3A79"/>
    <w:rsid w:val="00EC3B10"/>
    <w:rsid w:val="00EC3B84"/>
    <w:rsid w:val="00EC3D33"/>
    <w:rsid w:val="00EC3D82"/>
    <w:rsid w:val="00EC4070"/>
    <w:rsid w:val="00EC4152"/>
    <w:rsid w:val="00EC4398"/>
    <w:rsid w:val="00EC458B"/>
    <w:rsid w:val="00EC49E4"/>
    <w:rsid w:val="00EC4B74"/>
    <w:rsid w:val="00EC4BC1"/>
    <w:rsid w:val="00EC4C58"/>
    <w:rsid w:val="00EC4C7D"/>
    <w:rsid w:val="00EC4D63"/>
    <w:rsid w:val="00EC4FDA"/>
    <w:rsid w:val="00EC50BE"/>
    <w:rsid w:val="00EC5137"/>
    <w:rsid w:val="00EC524B"/>
    <w:rsid w:val="00EC5300"/>
    <w:rsid w:val="00EC544B"/>
    <w:rsid w:val="00EC5A1E"/>
    <w:rsid w:val="00EC5A87"/>
    <w:rsid w:val="00EC5C8A"/>
    <w:rsid w:val="00EC5D05"/>
    <w:rsid w:val="00EC6030"/>
    <w:rsid w:val="00EC6389"/>
    <w:rsid w:val="00EC6517"/>
    <w:rsid w:val="00EC66A4"/>
    <w:rsid w:val="00EC6792"/>
    <w:rsid w:val="00EC67E1"/>
    <w:rsid w:val="00EC69B2"/>
    <w:rsid w:val="00EC69BC"/>
    <w:rsid w:val="00EC69C5"/>
    <w:rsid w:val="00EC730C"/>
    <w:rsid w:val="00EC7451"/>
    <w:rsid w:val="00EC7AD3"/>
    <w:rsid w:val="00EC7C80"/>
    <w:rsid w:val="00EC7E11"/>
    <w:rsid w:val="00EC7F39"/>
    <w:rsid w:val="00EC7FA0"/>
    <w:rsid w:val="00ED00DD"/>
    <w:rsid w:val="00ED015A"/>
    <w:rsid w:val="00ED0188"/>
    <w:rsid w:val="00ED01C9"/>
    <w:rsid w:val="00ED05D7"/>
    <w:rsid w:val="00ED05FB"/>
    <w:rsid w:val="00ED0644"/>
    <w:rsid w:val="00ED0C8C"/>
    <w:rsid w:val="00ED0DA4"/>
    <w:rsid w:val="00ED0DFF"/>
    <w:rsid w:val="00ED0F7B"/>
    <w:rsid w:val="00ED0FBD"/>
    <w:rsid w:val="00ED100C"/>
    <w:rsid w:val="00ED1144"/>
    <w:rsid w:val="00ED11D3"/>
    <w:rsid w:val="00ED140B"/>
    <w:rsid w:val="00ED18E7"/>
    <w:rsid w:val="00ED1BF1"/>
    <w:rsid w:val="00ED1C0A"/>
    <w:rsid w:val="00ED1F84"/>
    <w:rsid w:val="00ED2028"/>
    <w:rsid w:val="00ED2103"/>
    <w:rsid w:val="00ED2215"/>
    <w:rsid w:val="00ED2534"/>
    <w:rsid w:val="00ED2663"/>
    <w:rsid w:val="00ED28A7"/>
    <w:rsid w:val="00ED2907"/>
    <w:rsid w:val="00ED2BAE"/>
    <w:rsid w:val="00ED372A"/>
    <w:rsid w:val="00ED387D"/>
    <w:rsid w:val="00ED39CB"/>
    <w:rsid w:val="00ED39F9"/>
    <w:rsid w:val="00ED3BC3"/>
    <w:rsid w:val="00ED3C3B"/>
    <w:rsid w:val="00ED3D3E"/>
    <w:rsid w:val="00ED3D66"/>
    <w:rsid w:val="00ED412C"/>
    <w:rsid w:val="00ED4210"/>
    <w:rsid w:val="00ED421C"/>
    <w:rsid w:val="00ED4391"/>
    <w:rsid w:val="00ED490F"/>
    <w:rsid w:val="00ED4A72"/>
    <w:rsid w:val="00ED4F13"/>
    <w:rsid w:val="00ED5014"/>
    <w:rsid w:val="00ED5405"/>
    <w:rsid w:val="00ED55C0"/>
    <w:rsid w:val="00ED56BE"/>
    <w:rsid w:val="00ED57CD"/>
    <w:rsid w:val="00ED5A37"/>
    <w:rsid w:val="00ED5AC4"/>
    <w:rsid w:val="00ED5D65"/>
    <w:rsid w:val="00ED5D6F"/>
    <w:rsid w:val="00ED6054"/>
    <w:rsid w:val="00ED6226"/>
    <w:rsid w:val="00ED6244"/>
    <w:rsid w:val="00ED637A"/>
    <w:rsid w:val="00ED68A6"/>
    <w:rsid w:val="00ED690D"/>
    <w:rsid w:val="00ED6A54"/>
    <w:rsid w:val="00ED6C48"/>
    <w:rsid w:val="00ED702D"/>
    <w:rsid w:val="00ED7180"/>
    <w:rsid w:val="00ED71F4"/>
    <w:rsid w:val="00ED730D"/>
    <w:rsid w:val="00ED7462"/>
    <w:rsid w:val="00ED74A1"/>
    <w:rsid w:val="00ED7A95"/>
    <w:rsid w:val="00ED7BAE"/>
    <w:rsid w:val="00ED7BB6"/>
    <w:rsid w:val="00ED7CF5"/>
    <w:rsid w:val="00ED7D1E"/>
    <w:rsid w:val="00ED7D3A"/>
    <w:rsid w:val="00EE02BF"/>
    <w:rsid w:val="00EE0487"/>
    <w:rsid w:val="00EE0A9C"/>
    <w:rsid w:val="00EE0BF6"/>
    <w:rsid w:val="00EE0C2F"/>
    <w:rsid w:val="00EE0CE4"/>
    <w:rsid w:val="00EE1073"/>
    <w:rsid w:val="00EE10A5"/>
    <w:rsid w:val="00EE11AA"/>
    <w:rsid w:val="00EE12A2"/>
    <w:rsid w:val="00EE13BA"/>
    <w:rsid w:val="00EE1DB6"/>
    <w:rsid w:val="00EE1EFD"/>
    <w:rsid w:val="00EE1FD5"/>
    <w:rsid w:val="00EE226C"/>
    <w:rsid w:val="00EE25C9"/>
    <w:rsid w:val="00EE26D3"/>
    <w:rsid w:val="00EE2992"/>
    <w:rsid w:val="00EE2E92"/>
    <w:rsid w:val="00EE2F5D"/>
    <w:rsid w:val="00EE323A"/>
    <w:rsid w:val="00EE3354"/>
    <w:rsid w:val="00EE3489"/>
    <w:rsid w:val="00EE3567"/>
    <w:rsid w:val="00EE36C0"/>
    <w:rsid w:val="00EE3744"/>
    <w:rsid w:val="00EE38AA"/>
    <w:rsid w:val="00EE3EF2"/>
    <w:rsid w:val="00EE3F82"/>
    <w:rsid w:val="00EE417C"/>
    <w:rsid w:val="00EE418C"/>
    <w:rsid w:val="00EE4577"/>
    <w:rsid w:val="00EE4601"/>
    <w:rsid w:val="00EE48A6"/>
    <w:rsid w:val="00EE4911"/>
    <w:rsid w:val="00EE499E"/>
    <w:rsid w:val="00EE4A20"/>
    <w:rsid w:val="00EE4A45"/>
    <w:rsid w:val="00EE4D2C"/>
    <w:rsid w:val="00EE5213"/>
    <w:rsid w:val="00EE5343"/>
    <w:rsid w:val="00EE56FE"/>
    <w:rsid w:val="00EE5D2A"/>
    <w:rsid w:val="00EE5D59"/>
    <w:rsid w:val="00EE5F7F"/>
    <w:rsid w:val="00EE6170"/>
    <w:rsid w:val="00EE633E"/>
    <w:rsid w:val="00EE65E9"/>
    <w:rsid w:val="00EE65F9"/>
    <w:rsid w:val="00EE66DB"/>
    <w:rsid w:val="00EE6754"/>
    <w:rsid w:val="00EE67D9"/>
    <w:rsid w:val="00EE6A5A"/>
    <w:rsid w:val="00EE6BF3"/>
    <w:rsid w:val="00EE6CCA"/>
    <w:rsid w:val="00EE6DF0"/>
    <w:rsid w:val="00EE7196"/>
    <w:rsid w:val="00EE7425"/>
    <w:rsid w:val="00EE7439"/>
    <w:rsid w:val="00EE784C"/>
    <w:rsid w:val="00EE7899"/>
    <w:rsid w:val="00EE79CE"/>
    <w:rsid w:val="00EE7BC0"/>
    <w:rsid w:val="00EE7C70"/>
    <w:rsid w:val="00EE7CFB"/>
    <w:rsid w:val="00EE7F46"/>
    <w:rsid w:val="00EF010F"/>
    <w:rsid w:val="00EF0111"/>
    <w:rsid w:val="00EF02E1"/>
    <w:rsid w:val="00EF02FE"/>
    <w:rsid w:val="00EF06BF"/>
    <w:rsid w:val="00EF088C"/>
    <w:rsid w:val="00EF0ACD"/>
    <w:rsid w:val="00EF0BF1"/>
    <w:rsid w:val="00EF0CAE"/>
    <w:rsid w:val="00EF100C"/>
    <w:rsid w:val="00EF10C7"/>
    <w:rsid w:val="00EF111B"/>
    <w:rsid w:val="00EF138B"/>
    <w:rsid w:val="00EF13E3"/>
    <w:rsid w:val="00EF142C"/>
    <w:rsid w:val="00EF144C"/>
    <w:rsid w:val="00EF18E9"/>
    <w:rsid w:val="00EF19AF"/>
    <w:rsid w:val="00EF19F6"/>
    <w:rsid w:val="00EF1A57"/>
    <w:rsid w:val="00EF1B87"/>
    <w:rsid w:val="00EF210D"/>
    <w:rsid w:val="00EF211A"/>
    <w:rsid w:val="00EF220E"/>
    <w:rsid w:val="00EF2431"/>
    <w:rsid w:val="00EF2439"/>
    <w:rsid w:val="00EF24E0"/>
    <w:rsid w:val="00EF24F1"/>
    <w:rsid w:val="00EF2795"/>
    <w:rsid w:val="00EF2A7B"/>
    <w:rsid w:val="00EF2ABF"/>
    <w:rsid w:val="00EF2AFF"/>
    <w:rsid w:val="00EF2B7B"/>
    <w:rsid w:val="00EF2DF4"/>
    <w:rsid w:val="00EF3027"/>
    <w:rsid w:val="00EF315E"/>
    <w:rsid w:val="00EF31A1"/>
    <w:rsid w:val="00EF3212"/>
    <w:rsid w:val="00EF34E7"/>
    <w:rsid w:val="00EF362D"/>
    <w:rsid w:val="00EF36FA"/>
    <w:rsid w:val="00EF3702"/>
    <w:rsid w:val="00EF3BD8"/>
    <w:rsid w:val="00EF3C03"/>
    <w:rsid w:val="00EF3D82"/>
    <w:rsid w:val="00EF3F2E"/>
    <w:rsid w:val="00EF40C3"/>
    <w:rsid w:val="00EF4204"/>
    <w:rsid w:val="00EF4242"/>
    <w:rsid w:val="00EF45DA"/>
    <w:rsid w:val="00EF4BAB"/>
    <w:rsid w:val="00EF4C7F"/>
    <w:rsid w:val="00EF4E90"/>
    <w:rsid w:val="00EF4F83"/>
    <w:rsid w:val="00EF5061"/>
    <w:rsid w:val="00EF51D0"/>
    <w:rsid w:val="00EF5434"/>
    <w:rsid w:val="00EF549F"/>
    <w:rsid w:val="00EF54CE"/>
    <w:rsid w:val="00EF5518"/>
    <w:rsid w:val="00EF57FF"/>
    <w:rsid w:val="00EF586A"/>
    <w:rsid w:val="00EF5BDB"/>
    <w:rsid w:val="00EF5CA6"/>
    <w:rsid w:val="00EF6168"/>
    <w:rsid w:val="00EF6322"/>
    <w:rsid w:val="00EF64AC"/>
    <w:rsid w:val="00EF655E"/>
    <w:rsid w:val="00EF6577"/>
    <w:rsid w:val="00EF6793"/>
    <w:rsid w:val="00EF68BF"/>
    <w:rsid w:val="00EF6AAF"/>
    <w:rsid w:val="00EF6FBB"/>
    <w:rsid w:val="00EF7269"/>
    <w:rsid w:val="00EF7A20"/>
    <w:rsid w:val="00EF7B01"/>
    <w:rsid w:val="00EF7ED6"/>
    <w:rsid w:val="00F0048E"/>
    <w:rsid w:val="00F004CC"/>
    <w:rsid w:val="00F00673"/>
    <w:rsid w:val="00F00752"/>
    <w:rsid w:val="00F00893"/>
    <w:rsid w:val="00F00CF2"/>
    <w:rsid w:val="00F00EB8"/>
    <w:rsid w:val="00F00F7C"/>
    <w:rsid w:val="00F00FAB"/>
    <w:rsid w:val="00F01007"/>
    <w:rsid w:val="00F0101C"/>
    <w:rsid w:val="00F01294"/>
    <w:rsid w:val="00F0140A"/>
    <w:rsid w:val="00F014DB"/>
    <w:rsid w:val="00F01677"/>
    <w:rsid w:val="00F01895"/>
    <w:rsid w:val="00F01B02"/>
    <w:rsid w:val="00F01E1B"/>
    <w:rsid w:val="00F024DA"/>
    <w:rsid w:val="00F02697"/>
    <w:rsid w:val="00F026D5"/>
    <w:rsid w:val="00F02812"/>
    <w:rsid w:val="00F028E1"/>
    <w:rsid w:val="00F02A85"/>
    <w:rsid w:val="00F02C6E"/>
    <w:rsid w:val="00F02D11"/>
    <w:rsid w:val="00F02E64"/>
    <w:rsid w:val="00F02E9B"/>
    <w:rsid w:val="00F02EE6"/>
    <w:rsid w:val="00F02EFE"/>
    <w:rsid w:val="00F0304E"/>
    <w:rsid w:val="00F03148"/>
    <w:rsid w:val="00F03262"/>
    <w:rsid w:val="00F03332"/>
    <w:rsid w:val="00F03751"/>
    <w:rsid w:val="00F037AC"/>
    <w:rsid w:val="00F03A05"/>
    <w:rsid w:val="00F03AD2"/>
    <w:rsid w:val="00F03BB2"/>
    <w:rsid w:val="00F03D42"/>
    <w:rsid w:val="00F03DF6"/>
    <w:rsid w:val="00F03F02"/>
    <w:rsid w:val="00F0413C"/>
    <w:rsid w:val="00F0433F"/>
    <w:rsid w:val="00F047A0"/>
    <w:rsid w:val="00F04825"/>
    <w:rsid w:val="00F04EEA"/>
    <w:rsid w:val="00F04F01"/>
    <w:rsid w:val="00F05099"/>
    <w:rsid w:val="00F050A5"/>
    <w:rsid w:val="00F05377"/>
    <w:rsid w:val="00F05524"/>
    <w:rsid w:val="00F056B6"/>
    <w:rsid w:val="00F05D6B"/>
    <w:rsid w:val="00F063A8"/>
    <w:rsid w:val="00F067C4"/>
    <w:rsid w:val="00F0683E"/>
    <w:rsid w:val="00F06B70"/>
    <w:rsid w:val="00F06DFB"/>
    <w:rsid w:val="00F06F63"/>
    <w:rsid w:val="00F07033"/>
    <w:rsid w:val="00F07102"/>
    <w:rsid w:val="00F0717F"/>
    <w:rsid w:val="00F07205"/>
    <w:rsid w:val="00F07271"/>
    <w:rsid w:val="00F072AF"/>
    <w:rsid w:val="00F075EE"/>
    <w:rsid w:val="00F07918"/>
    <w:rsid w:val="00F07964"/>
    <w:rsid w:val="00F07B1D"/>
    <w:rsid w:val="00F07EA4"/>
    <w:rsid w:val="00F10190"/>
    <w:rsid w:val="00F1021C"/>
    <w:rsid w:val="00F10226"/>
    <w:rsid w:val="00F102F4"/>
    <w:rsid w:val="00F1063F"/>
    <w:rsid w:val="00F1068A"/>
    <w:rsid w:val="00F10BA9"/>
    <w:rsid w:val="00F10C34"/>
    <w:rsid w:val="00F10CB9"/>
    <w:rsid w:val="00F10FB6"/>
    <w:rsid w:val="00F10FD5"/>
    <w:rsid w:val="00F111D3"/>
    <w:rsid w:val="00F114F2"/>
    <w:rsid w:val="00F11679"/>
    <w:rsid w:val="00F11879"/>
    <w:rsid w:val="00F11931"/>
    <w:rsid w:val="00F119CB"/>
    <w:rsid w:val="00F11BC1"/>
    <w:rsid w:val="00F11E51"/>
    <w:rsid w:val="00F1205D"/>
    <w:rsid w:val="00F120D7"/>
    <w:rsid w:val="00F1219B"/>
    <w:rsid w:val="00F12277"/>
    <w:rsid w:val="00F12389"/>
    <w:rsid w:val="00F12417"/>
    <w:rsid w:val="00F12493"/>
    <w:rsid w:val="00F12B1E"/>
    <w:rsid w:val="00F12BF9"/>
    <w:rsid w:val="00F12C08"/>
    <w:rsid w:val="00F12C38"/>
    <w:rsid w:val="00F12D11"/>
    <w:rsid w:val="00F1310A"/>
    <w:rsid w:val="00F133BB"/>
    <w:rsid w:val="00F135B2"/>
    <w:rsid w:val="00F13796"/>
    <w:rsid w:val="00F13809"/>
    <w:rsid w:val="00F13B68"/>
    <w:rsid w:val="00F13D4C"/>
    <w:rsid w:val="00F13FF2"/>
    <w:rsid w:val="00F140D8"/>
    <w:rsid w:val="00F1430B"/>
    <w:rsid w:val="00F1452C"/>
    <w:rsid w:val="00F145A3"/>
    <w:rsid w:val="00F145E8"/>
    <w:rsid w:val="00F14695"/>
    <w:rsid w:val="00F149EE"/>
    <w:rsid w:val="00F14A18"/>
    <w:rsid w:val="00F14A56"/>
    <w:rsid w:val="00F14B27"/>
    <w:rsid w:val="00F14C4B"/>
    <w:rsid w:val="00F14F25"/>
    <w:rsid w:val="00F15110"/>
    <w:rsid w:val="00F15236"/>
    <w:rsid w:val="00F15490"/>
    <w:rsid w:val="00F15509"/>
    <w:rsid w:val="00F1574E"/>
    <w:rsid w:val="00F15796"/>
    <w:rsid w:val="00F15C42"/>
    <w:rsid w:val="00F15C73"/>
    <w:rsid w:val="00F15D83"/>
    <w:rsid w:val="00F15F83"/>
    <w:rsid w:val="00F1605C"/>
    <w:rsid w:val="00F1606D"/>
    <w:rsid w:val="00F161EA"/>
    <w:rsid w:val="00F1669F"/>
    <w:rsid w:val="00F167B1"/>
    <w:rsid w:val="00F1695E"/>
    <w:rsid w:val="00F16968"/>
    <w:rsid w:val="00F16E81"/>
    <w:rsid w:val="00F16F36"/>
    <w:rsid w:val="00F17176"/>
    <w:rsid w:val="00F1719B"/>
    <w:rsid w:val="00F17256"/>
    <w:rsid w:val="00F17355"/>
    <w:rsid w:val="00F174F9"/>
    <w:rsid w:val="00F17538"/>
    <w:rsid w:val="00F17622"/>
    <w:rsid w:val="00F17A55"/>
    <w:rsid w:val="00F17A75"/>
    <w:rsid w:val="00F17B65"/>
    <w:rsid w:val="00F17BA7"/>
    <w:rsid w:val="00F17EF2"/>
    <w:rsid w:val="00F17F2E"/>
    <w:rsid w:val="00F2027E"/>
    <w:rsid w:val="00F20420"/>
    <w:rsid w:val="00F204AF"/>
    <w:rsid w:val="00F20547"/>
    <w:rsid w:val="00F207A1"/>
    <w:rsid w:val="00F20BA2"/>
    <w:rsid w:val="00F20C4F"/>
    <w:rsid w:val="00F20CB4"/>
    <w:rsid w:val="00F20D9B"/>
    <w:rsid w:val="00F20F16"/>
    <w:rsid w:val="00F2103F"/>
    <w:rsid w:val="00F21107"/>
    <w:rsid w:val="00F212B1"/>
    <w:rsid w:val="00F213D1"/>
    <w:rsid w:val="00F21848"/>
    <w:rsid w:val="00F21994"/>
    <w:rsid w:val="00F21D3D"/>
    <w:rsid w:val="00F21E54"/>
    <w:rsid w:val="00F21EBF"/>
    <w:rsid w:val="00F21F1B"/>
    <w:rsid w:val="00F22169"/>
    <w:rsid w:val="00F225FC"/>
    <w:rsid w:val="00F22625"/>
    <w:rsid w:val="00F22857"/>
    <w:rsid w:val="00F228E5"/>
    <w:rsid w:val="00F229EE"/>
    <w:rsid w:val="00F22A54"/>
    <w:rsid w:val="00F22AE9"/>
    <w:rsid w:val="00F22C55"/>
    <w:rsid w:val="00F22F00"/>
    <w:rsid w:val="00F2308A"/>
    <w:rsid w:val="00F23106"/>
    <w:rsid w:val="00F232FF"/>
    <w:rsid w:val="00F2346D"/>
    <w:rsid w:val="00F2370F"/>
    <w:rsid w:val="00F23744"/>
    <w:rsid w:val="00F23959"/>
    <w:rsid w:val="00F23A1F"/>
    <w:rsid w:val="00F23B6F"/>
    <w:rsid w:val="00F23CD9"/>
    <w:rsid w:val="00F240FB"/>
    <w:rsid w:val="00F24116"/>
    <w:rsid w:val="00F24135"/>
    <w:rsid w:val="00F24285"/>
    <w:rsid w:val="00F2445E"/>
    <w:rsid w:val="00F2446D"/>
    <w:rsid w:val="00F2447D"/>
    <w:rsid w:val="00F24915"/>
    <w:rsid w:val="00F24B6A"/>
    <w:rsid w:val="00F24BC7"/>
    <w:rsid w:val="00F24C0A"/>
    <w:rsid w:val="00F24CB3"/>
    <w:rsid w:val="00F24E5E"/>
    <w:rsid w:val="00F2519F"/>
    <w:rsid w:val="00F252C4"/>
    <w:rsid w:val="00F2541D"/>
    <w:rsid w:val="00F2550A"/>
    <w:rsid w:val="00F2568A"/>
    <w:rsid w:val="00F25915"/>
    <w:rsid w:val="00F259D0"/>
    <w:rsid w:val="00F25AF0"/>
    <w:rsid w:val="00F25DC8"/>
    <w:rsid w:val="00F25FB2"/>
    <w:rsid w:val="00F2617B"/>
    <w:rsid w:val="00F26237"/>
    <w:rsid w:val="00F26434"/>
    <w:rsid w:val="00F26452"/>
    <w:rsid w:val="00F266B7"/>
    <w:rsid w:val="00F266D6"/>
    <w:rsid w:val="00F26BE7"/>
    <w:rsid w:val="00F26C79"/>
    <w:rsid w:val="00F2700A"/>
    <w:rsid w:val="00F2716F"/>
    <w:rsid w:val="00F27488"/>
    <w:rsid w:val="00F276B4"/>
    <w:rsid w:val="00F27A40"/>
    <w:rsid w:val="00F27AF7"/>
    <w:rsid w:val="00F27CC8"/>
    <w:rsid w:val="00F27D5A"/>
    <w:rsid w:val="00F27FAF"/>
    <w:rsid w:val="00F300CB"/>
    <w:rsid w:val="00F304C9"/>
    <w:rsid w:val="00F30539"/>
    <w:rsid w:val="00F30684"/>
    <w:rsid w:val="00F306BD"/>
    <w:rsid w:val="00F30762"/>
    <w:rsid w:val="00F30766"/>
    <w:rsid w:val="00F30AFB"/>
    <w:rsid w:val="00F30F8F"/>
    <w:rsid w:val="00F31022"/>
    <w:rsid w:val="00F311BA"/>
    <w:rsid w:val="00F31258"/>
    <w:rsid w:val="00F31674"/>
    <w:rsid w:val="00F31742"/>
    <w:rsid w:val="00F31788"/>
    <w:rsid w:val="00F31897"/>
    <w:rsid w:val="00F319D3"/>
    <w:rsid w:val="00F31CE4"/>
    <w:rsid w:val="00F31DBF"/>
    <w:rsid w:val="00F31EA8"/>
    <w:rsid w:val="00F32243"/>
    <w:rsid w:val="00F32664"/>
    <w:rsid w:val="00F32733"/>
    <w:rsid w:val="00F329EF"/>
    <w:rsid w:val="00F32AB1"/>
    <w:rsid w:val="00F32D81"/>
    <w:rsid w:val="00F332AA"/>
    <w:rsid w:val="00F332AC"/>
    <w:rsid w:val="00F332EE"/>
    <w:rsid w:val="00F33368"/>
    <w:rsid w:val="00F3343D"/>
    <w:rsid w:val="00F33562"/>
    <w:rsid w:val="00F33AC5"/>
    <w:rsid w:val="00F33D56"/>
    <w:rsid w:val="00F33D88"/>
    <w:rsid w:val="00F340DC"/>
    <w:rsid w:val="00F3412E"/>
    <w:rsid w:val="00F34758"/>
    <w:rsid w:val="00F34963"/>
    <w:rsid w:val="00F34A21"/>
    <w:rsid w:val="00F34ACD"/>
    <w:rsid w:val="00F34CBD"/>
    <w:rsid w:val="00F34F77"/>
    <w:rsid w:val="00F35037"/>
    <w:rsid w:val="00F350DA"/>
    <w:rsid w:val="00F3511B"/>
    <w:rsid w:val="00F35136"/>
    <w:rsid w:val="00F3530A"/>
    <w:rsid w:val="00F355B5"/>
    <w:rsid w:val="00F35629"/>
    <w:rsid w:val="00F357A2"/>
    <w:rsid w:val="00F359D3"/>
    <w:rsid w:val="00F35AB7"/>
    <w:rsid w:val="00F35B7E"/>
    <w:rsid w:val="00F35BD4"/>
    <w:rsid w:val="00F35DC2"/>
    <w:rsid w:val="00F35E61"/>
    <w:rsid w:val="00F360B8"/>
    <w:rsid w:val="00F360BD"/>
    <w:rsid w:val="00F36758"/>
    <w:rsid w:val="00F36890"/>
    <w:rsid w:val="00F3692C"/>
    <w:rsid w:val="00F36A78"/>
    <w:rsid w:val="00F36ADF"/>
    <w:rsid w:val="00F36AF4"/>
    <w:rsid w:val="00F36B97"/>
    <w:rsid w:val="00F36D24"/>
    <w:rsid w:val="00F36DCF"/>
    <w:rsid w:val="00F36FFF"/>
    <w:rsid w:val="00F37150"/>
    <w:rsid w:val="00F37674"/>
    <w:rsid w:val="00F37869"/>
    <w:rsid w:val="00F37986"/>
    <w:rsid w:val="00F37A78"/>
    <w:rsid w:val="00F37BA1"/>
    <w:rsid w:val="00F37E70"/>
    <w:rsid w:val="00F37E8E"/>
    <w:rsid w:val="00F37F2C"/>
    <w:rsid w:val="00F4014B"/>
    <w:rsid w:val="00F40165"/>
    <w:rsid w:val="00F402E9"/>
    <w:rsid w:val="00F4036C"/>
    <w:rsid w:val="00F40453"/>
    <w:rsid w:val="00F405DE"/>
    <w:rsid w:val="00F40C01"/>
    <w:rsid w:val="00F40CEF"/>
    <w:rsid w:val="00F40D4E"/>
    <w:rsid w:val="00F41054"/>
    <w:rsid w:val="00F413C2"/>
    <w:rsid w:val="00F41471"/>
    <w:rsid w:val="00F4178E"/>
    <w:rsid w:val="00F41867"/>
    <w:rsid w:val="00F41C09"/>
    <w:rsid w:val="00F41F89"/>
    <w:rsid w:val="00F42042"/>
    <w:rsid w:val="00F42104"/>
    <w:rsid w:val="00F4223A"/>
    <w:rsid w:val="00F42309"/>
    <w:rsid w:val="00F423C0"/>
    <w:rsid w:val="00F42593"/>
    <w:rsid w:val="00F426D4"/>
    <w:rsid w:val="00F427F3"/>
    <w:rsid w:val="00F4289F"/>
    <w:rsid w:val="00F428C4"/>
    <w:rsid w:val="00F42A3D"/>
    <w:rsid w:val="00F42A7F"/>
    <w:rsid w:val="00F42E0E"/>
    <w:rsid w:val="00F42F75"/>
    <w:rsid w:val="00F42F85"/>
    <w:rsid w:val="00F4306C"/>
    <w:rsid w:val="00F43224"/>
    <w:rsid w:val="00F435C1"/>
    <w:rsid w:val="00F435D8"/>
    <w:rsid w:val="00F43679"/>
    <w:rsid w:val="00F436B8"/>
    <w:rsid w:val="00F43780"/>
    <w:rsid w:val="00F437AC"/>
    <w:rsid w:val="00F43827"/>
    <w:rsid w:val="00F43902"/>
    <w:rsid w:val="00F4396A"/>
    <w:rsid w:val="00F43C89"/>
    <w:rsid w:val="00F43F1B"/>
    <w:rsid w:val="00F440C9"/>
    <w:rsid w:val="00F440E8"/>
    <w:rsid w:val="00F444B6"/>
    <w:rsid w:val="00F44581"/>
    <w:rsid w:val="00F44775"/>
    <w:rsid w:val="00F4478B"/>
    <w:rsid w:val="00F44B10"/>
    <w:rsid w:val="00F44C63"/>
    <w:rsid w:val="00F44F25"/>
    <w:rsid w:val="00F44FED"/>
    <w:rsid w:val="00F45001"/>
    <w:rsid w:val="00F45053"/>
    <w:rsid w:val="00F45AA9"/>
    <w:rsid w:val="00F45B2E"/>
    <w:rsid w:val="00F45BB1"/>
    <w:rsid w:val="00F45BCA"/>
    <w:rsid w:val="00F45BCD"/>
    <w:rsid w:val="00F45D83"/>
    <w:rsid w:val="00F45D8D"/>
    <w:rsid w:val="00F45FF1"/>
    <w:rsid w:val="00F4607B"/>
    <w:rsid w:val="00F46360"/>
    <w:rsid w:val="00F465DA"/>
    <w:rsid w:val="00F46633"/>
    <w:rsid w:val="00F468B3"/>
    <w:rsid w:val="00F46927"/>
    <w:rsid w:val="00F469C0"/>
    <w:rsid w:val="00F46D90"/>
    <w:rsid w:val="00F46F8E"/>
    <w:rsid w:val="00F470C2"/>
    <w:rsid w:val="00F471B7"/>
    <w:rsid w:val="00F47209"/>
    <w:rsid w:val="00F4747E"/>
    <w:rsid w:val="00F47561"/>
    <w:rsid w:val="00F47650"/>
    <w:rsid w:val="00F47CA4"/>
    <w:rsid w:val="00F47CD0"/>
    <w:rsid w:val="00F47ED8"/>
    <w:rsid w:val="00F5003C"/>
    <w:rsid w:val="00F5029C"/>
    <w:rsid w:val="00F50717"/>
    <w:rsid w:val="00F5071B"/>
    <w:rsid w:val="00F50884"/>
    <w:rsid w:val="00F50CD1"/>
    <w:rsid w:val="00F50CE9"/>
    <w:rsid w:val="00F50EC6"/>
    <w:rsid w:val="00F51000"/>
    <w:rsid w:val="00F510F3"/>
    <w:rsid w:val="00F5153B"/>
    <w:rsid w:val="00F516E1"/>
    <w:rsid w:val="00F51A02"/>
    <w:rsid w:val="00F51BE6"/>
    <w:rsid w:val="00F51E62"/>
    <w:rsid w:val="00F51EAF"/>
    <w:rsid w:val="00F51F6E"/>
    <w:rsid w:val="00F5208B"/>
    <w:rsid w:val="00F520DF"/>
    <w:rsid w:val="00F520FA"/>
    <w:rsid w:val="00F5246F"/>
    <w:rsid w:val="00F5252E"/>
    <w:rsid w:val="00F526F3"/>
    <w:rsid w:val="00F52D6B"/>
    <w:rsid w:val="00F52DE2"/>
    <w:rsid w:val="00F532BE"/>
    <w:rsid w:val="00F53405"/>
    <w:rsid w:val="00F5352F"/>
    <w:rsid w:val="00F53534"/>
    <w:rsid w:val="00F53554"/>
    <w:rsid w:val="00F5388F"/>
    <w:rsid w:val="00F53B1F"/>
    <w:rsid w:val="00F53CBE"/>
    <w:rsid w:val="00F54194"/>
    <w:rsid w:val="00F5429C"/>
    <w:rsid w:val="00F542B8"/>
    <w:rsid w:val="00F549FF"/>
    <w:rsid w:val="00F54E48"/>
    <w:rsid w:val="00F55450"/>
    <w:rsid w:val="00F555D3"/>
    <w:rsid w:val="00F55656"/>
    <w:rsid w:val="00F5590D"/>
    <w:rsid w:val="00F559A0"/>
    <w:rsid w:val="00F55B28"/>
    <w:rsid w:val="00F55BF1"/>
    <w:rsid w:val="00F55CF7"/>
    <w:rsid w:val="00F56190"/>
    <w:rsid w:val="00F56332"/>
    <w:rsid w:val="00F5655D"/>
    <w:rsid w:val="00F565EF"/>
    <w:rsid w:val="00F56718"/>
    <w:rsid w:val="00F5681F"/>
    <w:rsid w:val="00F56B05"/>
    <w:rsid w:val="00F56B82"/>
    <w:rsid w:val="00F56BDA"/>
    <w:rsid w:val="00F56C03"/>
    <w:rsid w:val="00F56DCE"/>
    <w:rsid w:val="00F571DD"/>
    <w:rsid w:val="00F571F7"/>
    <w:rsid w:val="00F57200"/>
    <w:rsid w:val="00F5745E"/>
    <w:rsid w:val="00F574B1"/>
    <w:rsid w:val="00F57649"/>
    <w:rsid w:val="00F576C1"/>
    <w:rsid w:val="00F5776D"/>
    <w:rsid w:val="00F577BF"/>
    <w:rsid w:val="00F57950"/>
    <w:rsid w:val="00F57BC3"/>
    <w:rsid w:val="00F57BDF"/>
    <w:rsid w:val="00F57D0F"/>
    <w:rsid w:val="00F57D58"/>
    <w:rsid w:val="00F57D9B"/>
    <w:rsid w:val="00F57D9E"/>
    <w:rsid w:val="00F57ECC"/>
    <w:rsid w:val="00F57F4A"/>
    <w:rsid w:val="00F57FA3"/>
    <w:rsid w:val="00F60033"/>
    <w:rsid w:val="00F60052"/>
    <w:rsid w:val="00F600B6"/>
    <w:rsid w:val="00F60355"/>
    <w:rsid w:val="00F603EA"/>
    <w:rsid w:val="00F605BF"/>
    <w:rsid w:val="00F60703"/>
    <w:rsid w:val="00F60B27"/>
    <w:rsid w:val="00F60B49"/>
    <w:rsid w:val="00F60CB1"/>
    <w:rsid w:val="00F60DD1"/>
    <w:rsid w:val="00F60DE3"/>
    <w:rsid w:val="00F60FE5"/>
    <w:rsid w:val="00F615CE"/>
    <w:rsid w:val="00F616D2"/>
    <w:rsid w:val="00F619CD"/>
    <w:rsid w:val="00F61B11"/>
    <w:rsid w:val="00F61DC2"/>
    <w:rsid w:val="00F61DD4"/>
    <w:rsid w:val="00F61DE6"/>
    <w:rsid w:val="00F61ECF"/>
    <w:rsid w:val="00F61FD9"/>
    <w:rsid w:val="00F6207C"/>
    <w:rsid w:val="00F62242"/>
    <w:rsid w:val="00F6247B"/>
    <w:rsid w:val="00F62717"/>
    <w:rsid w:val="00F62749"/>
    <w:rsid w:val="00F627B2"/>
    <w:rsid w:val="00F62BF2"/>
    <w:rsid w:val="00F62CDC"/>
    <w:rsid w:val="00F62F31"/>
    <w:rsid w:val="00F62F7C"/>
    <w:rsid w:val="00F6306F"/>
    <w:rsid w:val="00F63179"/>
    <w:rsid w:val="00F634ED"/>
    <w:rsid w:val="00F635B1"/>
    <w:rsid w:val="00F63B02"/>
    <w:rsid w:val="00F63B64"/>
    <w:rsid w:val="00F63BE5"/>
    <w:rsid w:val="00F63E1B"/>
    <w:rsid w:val="00F63F6B"/>
    <w:rsid w:val="00F64209"/>
    <w:rsid w:val="00F642A2"/>
    <w:rsid w:val="00F643E6"/>
    <w:rsid w:val="00F645E1"/>
    <w:rsid w:val="00F647E3"/>
    <w:rsid w:val="00F648EA"/>
    <w:rsid w:val="00F64C22"/>
    <w:rsid w:val="00F64C80"/>
    <w:rsid w:val="00F64F5A"/>
    <w:rsid w:val="00F65267"/>
    <w:rsid w:val="00F65291"/>
    <w:rsid w:val="00F6536C"/>
    <w:rsid w:val="00F654DC"/>
    <w:rsid w:val="00F65543"/>
    <w:rsid w:val="00F6563E"/>
    <w:rsid w:val="00F6568D"/>
    <w:rsid w:val="00F65B0F"/>
    <w:rsid w:val="00F65D73"/>
    <w:rsid w:val="00F660DD"/>
    <w:rsid w:val="00F6611E"/>
    <w:rsid w:val="00F664D2"/>
    <w:rsid w:val="00F6661F"/>
    <w:rsid w:val="00F66690"/>
    <w:rsid w:val="00F6673E"/>
    <w:rsid w:val="00F6687F"/>
    <w:rsid w:val="00F669AF"/>
    <w:rsid w:val="00F66D89"/>
    <w:rsid w:val="00F66EFA"/>
    <w:rsid w:val="00F66F4D"/>
    <w:rsid w:val="00F66FAB"/>
    <w:rsid w:val="00F6701C"/>
    <w:rsid w:val="00F672C2"/>
    <w:rsid w:val="00F673F0"/>
    <w:rsid w:val="00F67769"/>
    <w:rsid w:val="00F678DE"/>
    <w:rsid w:val="00F67AF8"/>
    <w:rsid w:val="00F70526"/>
    <w:rsid w:val="00F7057C"/>
    <w:rsid w:val="00F705F4"/>
    <w:rsid w:val="00F7082F"/>
    <w:rsid w:val="00F70A20"/>
    <w:rsid w:val="00F70BA4"/>
    <w:rsid w:val="00F70BCA"/>
    <w:rsid w:val="00F713C9"/>
    <w:rsid w:val="00F714AC"/>
    <w:rsid w:val="00F71507"/>
    <w:rsid w:val="00F71591"/>
    <w:rsid w:val="00F715E6"/>
    <w:rsid w:val="00F71790"/>
    <w:rsid w:val="00F717AC"/>
    <w:rsid w:val="00F718D7"/>
    <w:rsid w:val="00F719B8"/>
    <w:rsid w:val="00F71A64"/>
    <w:rsid w:val="00F71C14"/>
    <w:rsid w:val="00F71CC4"/>
    <w:rsid w:val="00F71F5F"/>
    <w:rsid w:val="00F72085"/>
    <w:rsid w:val="00F720E7"/>
    <w:rsid w:val="00F72189"/>
    <w:rsid w:val="00F721F8"/>
    <w:rsid w:val="00F72233"/>
    <w:rsid w:val="00F722B8"/>
    <w:rsid w:val="00F7242D"/>
    <w:rsid w:val="00F72480"/>
    <w:rsid w:val="00F725CD"/>
    <w:rsid w:val="00F72719"/>
    <w:rsid w:val="00F72731"/>
    <w:rsid w:val="00F729AC"/>
    <w:rsid w:val="00F729FF"/>
    <w:rsid w:val="00F72B2C"/>
    <w:rsid w:val="00F72BE8"/>
    <w:rsid w:val="00F72CCE"/>
    <w:rsid w:val="00F72DC3"/>
    <w:rsid w:val="00F72FD6"/>
    <w:rsid w:val="00F730B2"/>
    <w:rsid w:val="00F73506"/>
    <w:rsid w:val="00F73C1E"/>
    <w:rsid w:val="00F73DCD"/>
    <w:rsid w:val="00F73DFC"/>
    <w:rsid w:val="00F7417A"/>
    <w:rsid w:val="00F741DD"/>
    <w:rsid w:val="00F7421E"/>
    <w:rsid w:val="00F74276"/>
    <w:rsid w:val="00F74471"/>
    <w:rsid w:val="00F744E6"/>
    <w:rsid w:val="00F744FD"/>
    <w:rsid w:val="00F74AB1"/>
    <w:rsid w:val="00F74BA9"/>
    <w:rsid w:val="00F74C20"/>
    <w:rsid w:val="00F74C42"/>
    <w:rsid w:val="00F74CFB"/>
    <w:rsid w:val="00F74D79"/>
    <w:rsid w:val="00F751BA"/>
    <w:rsid w:val="00F75346"/>
    <w:rsid w:val="00F759AB"/>
    <w:rsid w:val="00F75A2D"/>
    <w:rsid w:val="00F75D59"/>
    <w:rsid w:val="00F76500"/>
    <w:rsid w:val="00F7651A"/>
    <w:rsid w:val="00F76715"/>
    <w:rsid w:val="00F769F5"/>
    <w:rsid w:val="00F76A05"/>
    <w:rsid w:val="00F76B43"/>
    <w:rsid w:val="00F76B66"/>
    <w:rsid w:val="00F76EC3"/>
    <w:rsid w:val="00F76F89"/>
    <w:rsid w:val="00F7719B"/>
    <w:rsid w:val="00F77317"/>
    <w:rsid w:val="00F7750B"/>
    <w:rsid w:val="00F77775"/>
    <w:rsid w:val="00F7791D"/>
    <w:rsid w:val="00F77C61"/>
    <w:rsid w:val="00F77D26"/>
    <w:rsid w:val="00F77D51"/>
    <w:rsid w:val="00F77F95"/>
    <w:rsid w:val="00F8011B"/>
    <w:rsid w:val="00F80198"/>
    <w:rsid w:val="00F801BC"/>
    <w:rsid w:val="00F805F9"/>
    <w:rsid w:val="00F8097A"/>
    <w:rsid w:val="00F80B9F"/>
    <w:rsid w:val="00F80CC8"/>
    <w:rsid w:val="00F81713"/>
    <w:rsid w:val="00F81879"/>
    <w:rsid w:val="00F819C5"/>
    <w:rsid w:val="00F819D8"/>
    <w:rsid w:val="00F81E83"/>
    <w:rsid w:val="00F821BC"/>
    <w:rsid w:val="00F8260F"/>
    <w:rsid w:val="00F82615"/>
    <w:rsid w:val="00F827BE"/>
    <w:rsid w:val="00F82842"/>
    <w:rsid w:val="00F828B5"/>
    <w:rsid w:val="00F82C9C"/>
    <w:rsid w:val="00F82D1B"/>
    <w:rsid w:val="00F82E78"/>
    <w:rsid w:val="00F82E8B"/>
    <w:rsid w:val="00F8316F"/>
    <w:rsid w:val="00F831D0"/>
    <w:rsid w:val="00F83349"/>
    <w:rsid w:val="00F8339A"/>
    <w:rsid w:val="00F833D9"/>
    <w:rsid w:val="00F836C7"/>
    <w:rsid w:val="00F83765"/>
    <w:rsid w:val="00F837C0"/>
    <w:rsid w:val="00F83954"/>
    <w:rsid w:val="00F83987"/>
    <w:rsid w:val="00F83A31"/>
    <w:rsid w:val="00F83B77"/>
    <w:rsid w:val="00F83E14"/>
    <w:rsid w:val="00F83FB6"/>
    <w:rsid w:val="00F84084"/>
    <w:rsid w:val="00F84514"/>
    <w:rsid w:val="00F84749"/>
    <w:rsid w:val="00F8490C"/>
    <w:rsid w:val="00F84B2F"/>
    <w:rsid w:val="00F84BC4"/>
    <w:rsid w:val="00F84E9C"/>
    <w:rsid w:val="00F850B9"/>
    <w:rsid w:val="00F8512C"/>
    <w:rsid w:val="00F8540D"/>
    <w:rsid w:val="00F8544A"/>
    <w:rsid w:val="00F85818"/>
    <w:rsid w:val="00F85889"/>
    <w:rsid w:val="00F8592D"/>
    <w:rsid w:val="00F85CB4"/>
    <w:rsid w:val="00F85E04"/>
    <w:rsid w:val="00F8630A"/>
    <w:rsid w:val="00F86589"/>
    <w:rsid w:val="00F865BC"/>
    <w:rsid w:val="00F86783"/>
    <w:rsid w:val="00F86989"/>
    <w:rsid w:val="00F86A0C"/>
    <w:rsid w:val="00F86C7D"/>
    <w:rsid w:val="00F86DA0"/>
    <w:rsid w:val="00F86E92"/>
    <w:rsid w:val="00F86F92"/>
    <w:rsid w:val="00F86FF4"/>
    <w:rsid w:val="00F87215"/>
    <w:rsid w:val="00F87430"/>
    <w:rsid w:val="00F87753"/>
    <w:rsid w:val="00F8775D"/>
    <w:rsid w:val="00F878C2"/>
    <w:rsid w:val="00F87BC1"/>
    <w:rsid w:val="00F87CBD"/>
    <w:rsid w:val="00F87D9B"/>
    <w:rsid w:val="00F87E2D"/>
    <w:rsid w:val="00F90058"/>
    <w:rsid w:val="00F9006A"/>
    <w:rsid w:val="00F90568"/>
    <w:rsid w:val="00F909CF"/>
    <w:rsid w:val="00F90A6B"/>
    <w:rsid w:val="00F90ADD"/>
    <w:rsid w:val="00F90B45"/>
    <w:rsid w:val="00F90B7D"/>
    <w:rsid w:val="00F90B8F"/>
    <w:rsid w:val="00F90CB9"/>
    <w:rsid w:val="00F9116B"/>
    <w:rsid w:val="00F912F3"/>
    <w:rsid w:val="00F9151F"/>
    <w:rsid w:val="00F915B9"/>
    <w:rsid w:val="00F91660"/>
    <w:rsid w:val="00F91B12"/>
    <w:rsid w:val="00F91C78"/>
    <w:rsid w:val="00F91E9C"/>
    <w:rsid w:val="00F92257"/>
    <w:rsid w:val="00F9240B"/>
    <w:rsid w:val="00F927B6"/>
    <w:rsid w:val="00F927DD"/>
    <w:rsid w:val="00F9297F"/>
    <w:rsid w:val="00F92C0E"/>
    <w:rsid w:val="00F92E97"/>
    <w:rsid w:val="00F92F05"/>
    <w:rsid w:val="00F9335A"/>
    <w:rsid w:val="00F93486"/>
    <w:rsid w:val="00F9357B"/>
    <w:rsid w:val="00F93714"/>
    <w:rsid w:val="00F93770"/>
    <w:rsid w:val="00F93B13"/>
    <w:rsid w:val="00F93B69"/>
    <w:rsid w:val="00F93B97"/>
    <w:rsid w:val="00F93F78"/>
    <w:rsid w:val="00F941D0"/>
    <w:rsid w:val="00F943AC"/>
    <w:rsid w:val="00F9441A"/>
    <w:rsid w:val="00F944BE"/>
    <w:rsid w:val="00F94952"/>
    <w:rsid w:val="00F94FBD"/>
    <w:rsid w:val="00F9549F"/>
    <w:rsid w:val="00F956A6"/>
    <w:rsid w:val="00F957BF"/>
    <w:rsid w:val="00F95917"/>
    <w:rsid w:val="00F95986"/>
    <w:rsid w:val="00F95D49"/>
    <w:rsid w:val="00F95DC9"/>
    <w:rsid w:val="00F95E23"/>
    <w:rsid w:val="00F95EB8"/>
    <w:rsid w:val="00F962A8"/>
    <w:rsid w:val="00F963D0"/>
    <w:rsid w:val="00F96607"/>
    <w:rsid w:val="00F967EA"/>
    <w:rsid w:val="00F96938"/>
    <w:rsid w:val="00F969C4"/>
    <w:rsid w:val="00F96B08"/>
    <w:rsid w:val="00F96BCE"/>
    <w:rsid w:val="00F96CBC"/>
    <w:rsid w:val="00F96D6B"/>
    <w:rsid w:val="00F97061"/>
    <w:rsid w:val="00F97238"/>
    <w:rsid w:val="00F97444"/>
    <w:rsid w:val="00F97528"/>
    <w:rsid w:val="00F97605"/>
    <w:rsid w:val="00F9760B"/>
    <w:rsid w:val="00F97813"/>
    <w:rsid w:val="00F97A47"/>
    <w:rsid w:val="00FA0142"/>
    <w:rsid w:val="00FA019E"/>
    <w:rsid w:val="00FA0496"/>
    <w:rsid w:val="00FA070A"/>
    <w:rsid w:val="00FA0976"/>
    <w:rsid w:val="00FA0CB3"/>
    <w:rsid w:val="00FA0CE5"/>
    <w:rsid w:val="00FA0EDB"/>
    <w:rsid w:val="00FA1246"/>
    <w:rsid w:val="00FA141F"/>
    <w:rsid w:val="00FA163F"/>
    <w:rsid w:val="00FA1695"/>
    <w:rsid w:val="00FA1921"/>
    <w:rsid w:val="00FA1942"/>
    <w:rsid w:val="00FA1AA1"/>
    <w:rsid w:val="00FA1DC6"/>
    <w:rsid w:val="00FA1E9E"/>
    <w:rsid w:val="00FA2394"/>
    <w:rsid w:val="00FA27D3"/>
    <w:rsid w:val="00FA27DD"/>
    <w:rsid w:val="00FA2897"/>
    <w:rsid w:val="00FA290C"/>
    <w:rsid w:val="00FA29CC"/>
    <w:rsid w:val="00FA2E98"/>
    <w:rsid w:val="00FA2F29"/>
    <w:rsid w:val="00FA2F65"/>
    <w:rsid w:val="00FA3246"/>
    <w:rsid w:val="00FA334A"/>
    <w:rsid w:val="00FA3545"/>
    <w:rsid w:val="00FA374A"/>
    <w:rsid w:val="00FA3843"/>
    <w:rsid w:val="00FA3D98"/>
    <w:rsid w:val="00FA3EDD"/>
    <w:rsid w:val="00FA41C7"/>
    <w:rsid w:val="00FA46E8"/>
    <w:rsid w:val="00FA47AE"/>
    <w:rsid w:val="00FA47EB"/>
    <w:rsid w:val="00FA49ED"/>
    <w:rsid w:val="00FA501E"/>
    <w:rsid w:val="00FA51C8"/>
    <w:rsid w:val="00FA522C"/>
    <w:rsid w:val="00FA55B3"/>
    <w:rsid w:val="00FA5791"/>
    <w:rsid w:val="00FA57B1"/>
    <w:rsid w:val="00FA57C9"/>
    <w:rsid w:val="00FA581E"/>
    <w:rsid w:val="00FA5C07"/>
    <w:rsid w:val="00FA5CDD"/>
    <w:rsid w:val="00FA60D6"/>
    <w:rsid w:val="00FA6255"/>
    <w:rsid w:val="00FA63FA"/>
    <w:rsid w:val="00FA64D3"/>
    <w:rsid w:val="00FA65CD"/>
    <w:rsid w:val="00FA6E7A"/>
    <w:rsid w:val="00FA6F18"/>
    <w:rsid w:val="00FA6F3C"/>
    <w:rsid w:val="00FA7111"/>
    <w:rsid w:val="00FA72D0"/>
    <w:rsid w:val="00FA73C0"/>
    <w:rsid w:val="00FA75A3"/>
    <w:rsid w:val="00FA762A"/>
    <w:rsid w:val="00FA7AAF"/>
    <w:rsid w:val="00FA7AE2"/>
    <w:rsid w:val="00FA7D8E"/>
    <w:rsid w:val="00FA7EDC"/>
    <w:rsid w:val="00FB0166"/>
    <w:rsid w:val="00FB02B3"/>
    <w:rsid w:val="00FB0668"/>
    <w:rsid w:val="00FB098E"/>
    <w:rsid w:val="00FB0C77"/>
    <w:rsid w:val="00FB0D9F"/>
    <w:rsid w:val="00FB0DAB"/>
    <w:rsid w:val="00FB0E7F"/>
    <w:rsid w:val="00FB0EC6"/>
    <w:rsid w:val="00FB0ED6"/>
    <w:rsid w:val="00FB102E"/>
    <w:rsid w:val="00FB11A4"/>
    <w:rsid w:val="00FB1813"/>
    <w:rsid w:val="00FB21B9"/>
    <w:rsid w:val="00FB21D8"/>
    <w:rsid w:val="00FB2305"/>
    <w:rsid w:val="00FB23BA"/>
    <w:rsid w:val="00FB24C9"/>
    <w:rsid w:val="00FB24F4"/>
    <w:rsid w:val="00FB25BF"/>
    <w:rsid w:val="00FB25ED"/>
    <w:rsid w:val="00FB266E"/>
    <w:rsid w:val="00FB2A6A"/>
    <w:rsid w:val="00FB2BD6"/>
    <w:rsid w:val="00FB3058"/>
    <w:rsid w:val="00FB3151"/>
    <w:rsid w:val="00FB327B"/>
    <w:rsid w:val="00FB3A7A"/>
    <w:rsid w:val="00FB3AF7"/>
    <w:rsid w:val="00FB3F49"/>
    <w:rsid w:val="00FB40AE"/>
    <w:rsid w:val="00FB41DE"/>
    <w:rsid w:val="00FB44BD"/>
    <w:rsid w:val="00FB44C2"/>
    <w:rsid w:val="00FB48F5"/>
    <w:rsid w:val="00FB4C12"/>
    <w:rsid w:val="00FB4D52"/>
    <w:rsid w:val="00FB4D65"/>
    <w:rsid w:val="00FB4DE4"/>
    <w:rsid w:val="00FB4E3F"/>
    <w:rsid w:val="00FB4F45"/>
    <w:rsid w:val="00FB4FB8"/>
    <w:rsid w:val="00FB5024"/>
    <w:rsid w:val="00FB5041"/>
    <w:rsid w:val="00FB5238"/>
    <w:rsid w:val="00FB531E"/>
    <w:rsid w:val="00FB54BA"/>
    <w:rsid w:val="00FB56A2"/>
    <w:rsid w:val="00FB585E"/>
    <w:rsid w:val="00FB5D54"/>
    <w:rsid w:val="00FB621E"/>
    <w:rsid w:val="00FB63E2"/>
    <w:rsid w:val="00FB6654"/>
    <w:rsid w:val="00FB6ABC"/>
    <w:rsid w:val="00FB6DA8"/>
    <w:rsid w:val="00FB7152"/>
    <w:rsid w:val="00FB74D3"/>
    <w:rsid w:val="00FB7C20"/>
    <w:rsid w:val="00FB7CAF"/>
    <w:rsid w:val="00FB7CC1"/>
    <w:rsid w:val="00FB7DCE"/>
    <w:rsid w:val="00FB7ED0"/>
    <w:rsid w:val="00FC00E3"/>
    <w:rsid w:val="00FC03F4"/>
    <w:rsid w:val="00FC0462"/>
    <w:rsid w:val="00FC05F3"/>
    <w:rsid w:val="00FC0738"/>
    <w:rsid w:val="00FC0859"/>
    <w:rsid w:val="00FC09BA"/>
    <w:rsid w:val="00FC0B0A"/>
    <w:rsid w:val="00FC0CFD"/>
    <w:rsid w:val="00FC0D66"/>
    <w:rsid w:val="00FC0DA6"/>
    <w:rsid w:val="00FC0F09"/>
    <w:rsid w:val="00FC0FDA"/>
    <w:rsid w:val="00FC108A"/>
    <w:rsid w:val="00FC1255"/>
    <w:rsid w:val="00FC1259"/>
    <w:rsid w:val="00FC18BC"/>
    <w:rsid w:val="00FC1947"/>
    <w:rsid w:val="00FC199B"/>
    <w:rsid w:val="00FC1C79"/>
    <w:rsid w:val="00FC2091"/>
    <w:rsid w:val="00FC209A"/>
    <w:rsid w:val="00FC23CC"/>
    <w:rsid w:val="00FC23F7"/>
    <w:rsid w:val="00FC2C15"/>
    <w:rsid w:val="00FC2C82"/>
    <w:rsid w:val="00FC2CDC"/>
    <w:rsid w:val="00FC2D0B"/>
    <w:rsid w:val="00FC2E75"/>
    <w:rsid w:val="00FC2F0C"/>
    <w:rsid w:val="00FC307C"/>
    <w:rsid w:val="00FC31FC"/>
    <w:rsid w:val="00FC343C"/>
    <w:rsid w:val="00FC376E"/>
    <w:rsid w:val="00FC378A"/>
    <w:rsid w:val="00FC3910"/>
    <w:rsid w:val="00FC414F"/>
    <w:rsid w:val="00FC425A"/>
    <w:rsid w:val="00FC4293"/>
    <w:rsid w:val="00FC4369"/>
    <w:rsid w:val="00FC4370"/>
    <w:rsid w:val="00FC46F5"/>
    <w:rsid w:val="00FC479B"/>
    <w:rsid w:val="00FC4874"/>
    <w:rsid w:val="00FC4939"/>
    <w:rsid w:val="00FC4A4C"/>
    <w:rsid w:val="00FC4D36"/>
    <w:rsid w:val="00FC4DA4"/>
    <w:rsid w:val="00FC4E59"/>
    <w:rsid w:val="00FC51B3"/>
    <w:rsid w:val="00FC51CB"/>
    <w:rsid w:val="00FC522B"/>
    <w:rsid w:val="00FC53E3"/>
    <w:rsid w:val="00FC55AD"/>
    <w:rsid w:val="00FC5720"/>
    <w:rsid w:val="00FC573D"/>
    <w:rsid w:val="00FC5936"/>
    <w:rsid w:val="00FC5B6F"/>
    <w:rsid w:val="00FC5B9E"/>
    <w:rsid w:val="00FC6202"/>
    <w:rsid w:val="00FC642B"/>
    <w:rsid w:val="00FC65A5"/>
    <w:rsid w:val="00FC6656"/>
    <w:rsid w:val="00FC6748"/>
    <w:rsid w:val="00FC6B9F"/>
    <w:rsid w:val="00FC6BEE"/>
    <w:rsid w:val="00FC6C1B"/>
    <w:rsid w:val="00FC6D65"/>
    <w:rsid w:val="00FC6E6A"/>
    <w:rsid w:val="00FC7183"/>
    <w:rsid w:val="00FC71BA"/>
    <w:rsid w:val="00FC71F0"/>
    <w:rsid w:val="00FC732F"/>
    <w:rsid w:val="00FC7811"/>
    <w:rsid w:val="00FC7AB8"/>
    <w:rsid w:val="00FC7BEF"/>
    <w:rsid w:val="00FC7E78"/>
    <w:rsid w:val="00FC7E8D"/>
    <w:rsid w:val="00FD01B4"/>
    <w:rsid w:val="00FD020F"/>
    <w:rsid w:val="00FD0361"/>
    <w:rsid w:val="00FD0391"/>
    <w:rsid w:val="00FD03AF"/>
    <w:rsid w:val="00FD07C3"/>
    <w:rsid w:val="00FD09C8"/>
    <w:rsid w:val="00FD0C34"/>
    <w:rsid w:val="00FD0EB6"/>
    <w:rsid w:val="00FD0F58"/>
    <w:rsid w:val="00FD11CE"/>
    <w:rsid w:val="00FD1323"/>
    <w:rsid w:val="00FD1440"/>
    <w:rsid w:val="00FD156A"/>
    <w:rsid w:val="00FD1851"/>
    <w:rsid w:val="00FD19D8"/>
    <w:rsid w:val="00FD19F9"/>
    <w:rsid w:val="00FD1A11"/>
    <w:rsid w:val="00FD1A6B"/>
    <w:rsid w:val="00FD1C3C"/>
    <w:rsid w:val="00FD1E2F"/>
    <w:rsid w:val="00FD1E5F"/>
    <w:rsid w:val="00FD1F22"/>
    <w:rsid w:val="00FD1F7F"/>
    <w:rsid w:val="00FD1FCD"/>
    <w:rsid w:val="00FD2046"/>
    <w:rsid w:val="00FD2160"/>
    <w:rsid w:val="00FD22D1"/>
    <w:rsid w:val="00FD269F"/>
    <w:rsid w:val="00FD284F"/>
    <w:rsid w:val="00FD2DDC"/>
    <w:rsid w:val="00FD2F17"/>
    <w:rsid w:val="00FD2FFA"/>
    <w:rsid w:val="00FD301C"/>
    <w:rsid w:val="00FD3109"/>
    <w:rsid w:val="00FD3286"/>
    <w:rsid w:val="00FD362A"/>
    <w:rsid w:val="00FD3897"/>
    <w:rsid w:val="00FD38A4"/>
    <w:rsid w:val="00FD38AA"/>
    <w:rsid w:val="00FD38C5"/>
    <w:rsid w:val="00FD39E4"/>
    <w:rsid w:val="00FD3AE9"/>
    <w:rsid w:val="00FD3BF7"/>
    <w:rsid w:val="00FD3C4E"/>
    <w:rsid w:val="00FD3DAC"/>
    <w:rsid w:val="00FD3E2D"/>
    <w:rsid w:val="00FD3E66"/>
    <w:rsid w:val="00FD3EA6"/>
    <w:rsid w:val="00FD3F72"/>
    <w:rsid w:val="00FD3FB6"/>
    <w:rsid w:val="00FD4487"/>
    <w:rsid w:val="00FD4DFE"/>
    <w:rsid w:val="00FD5023"/>
    <w:rsid w:val="00FD50C3"/>
    <w:rsid w:val="00FD5142"/>
    <w:rsid w:val="00FD5177"/>
    <w:rsid w:val="00FD52AA"/>
    <w:rsid w:val="00FD536E"/>
    <w:rsid w:val="00FD576F"/>
    <w:rsid w:val="00FD5CB1"/>
    <w:rsid w:val="00FD5D3D"/>
    <w:rsid w:val="00FD5FAA"/>
    <w:rsid w:val="00FD5FD1"/>
    <w:rsid w:val="00FD6056"/>
    <w:rsid w:val="00FD6141"/>
    <w:rsid w:val="00FD617D"/>
    <w:rsid w:val="00FD674E"/>
    <w:rsid w:val="00FD680E"/>
    <w:rsid w:val="00FD6A8E"/>
    <w:rsid w:val="00FD6AC0"/>
    <w:rsid w:val="00FD6AD6"/>
    <w:rsid w:val="00FD6BE0"/>
    <w:rsid w:val="00FD6C52"/>
    <w:rsid w:val="00FD70AD"/>
    <w:rsid w:val="00FD710D"/>
    <w:rsid w:val="00FD71BE"/>
    <w:rsid w:val="00FD7301"/>
    <w:rsid w:val="00FD730E"/>
    <w:rsid w:val="00FD7B84"/>
    <w:rsid w:val="00FD7C1B"/>
    <w:rsid w:val="00FD7C22"/>
    <w:rsid w:val="00FD7CA5"/>
    <w:rsid w:val="00FD7D41"/>
    <w:rsid w:val="00FD7DC9"/>
    <w:rsid w:val="00FD7DDB"/>
    <w:rsid w:val="00FD7EDD"/>
    <w:rsid w:val="00FD7F25"/>
    <w:rsid w:val="00FD7F8C"/>
    <w:rsid w:val="00FE00A7"/>
    <w:rsid w:val="00FE019A"/>
    <w:rsid w:val="00FE01B0"/>
    <w:rsid w:val="00FE0213"/>
    <w:rsid w:val="00FE0523"/>
    <w:rsid w:val="00FE05AD"/>
    <w:rsid w:val="00FE0939"/>
    <w:rsid w:val="00FE0B74"/>
    <w:rsid w:val="00FE0BA5"/>
    <w:rsid w:val="00FE0C06"/>
    <w:rsid w:val="00FE0D6B"/>
    <w:rsid w:val="00FE0F76"/>
    <w:rsid w:val="00FE13B4"/>
    <w:rsid w:val="00FE1581"/>
    <w:rsid w:val="00FE16A0"/>
    <w:rsid w:val="00FE1825"/>
    <w:rsid w:val="00FE1AC3"/>
    <w:rsid w:val="00FE1F2F"/>
    <w:rsid w:val="00FE21A5"/>
    <w:rsid w:val="00FE262D"/>
    <w:rsid w:val="00FE26A6"/>
    <w:rsid w:val="00FE2770"/>
    <w:rsid w:val="00FE296B"/>
    <w:rsid w:val="00FE2AC4"/>
    <w:rsid w:val="00FE2C50"/>
    <w:rsid w:val="00FE30F8"/>
    <w:rsid w:val="00FE3185"/>
    <w:rsid w:val="00FE34C3"/>
    <w:rsid w:val="00FE362D"/>
    <w:rsid w:val="00FE36A9"/>
    <w:rsid w:val="00FE399F"/>
    <w:rsid w:val="00FE3DB2"/>
    <w:rsid w:val="00FE3E68"/>
    <w:rsid w:val="00FE3FB4"/>
    <w:rsid w:val="00FE41A8"/>
    <w:rsid w:val="00FE41E1"/>
    <w:rsid w:val="00FE4349"/>
    <w:rsid w:val="00FE45C9"/>
    <w:rsid w:val="00FE46CA"/>
    <w:rsid w:val="00FE46E8"/>
    <w:rsid w:val="00FE4D24"/>
    <w:rsid w:val="00FE50B7"/>
    <w:rsid w:val="00FE54DF"/>
    <w:rsid w:val="00FE55E1"/>
    <w:rsid w:val="00FE5AE2"/>
    <w:rsid w:val="00FE5CD7"/>
    <w:rsid w:val="00FE5D59"/>
    <w:rsid w:val="00FE5DD1"/>
    <w:rsid w:val="00FE6051"/>
    <w:rsid w:val="00FE606B"/>
    <w:rsid w:val="00FE60B7"/>
    <w:rsid w:val="00FE6AF6"/>
    <w:rsid w:val="00FE6BF5"/>
    <w:rsid w:val="00FE6E5F"/>
    <w:rsid w:val="00FE6EAC"/>
    <w:rsid w:val="00FE6F5A"/>
    <w:rsid w:val="00FE7130"/>
    <w:rsid w:val="00FE7303"/>
    <w:rsid w:val="00FE7425"/>
    <w:rsid w:val="00FE744B"/>
    <w:rsid w:val="00FE76EC"/>
    <w:rsid w:val="00FE76F9"/>
    <w:rsid w:val="00FE787B"/>
    <w:rsid w:val="00FE7A37"/>
    <w:rsid w:val="00FE7AF7"/>
    <w:rsid w:val="00FE7B6D"/>
    <w:rsid w:val="00FE7C23"/>
    <w:rsid w:val="00FE7C3F"/>
    <w:rsid w:val="00FE7EAD"/>
    <w:rsid w:val="00FF0209"/>
    <w:rsid w:val="00FF0215"/>
    <w:rsid w:val="00FF03B2"/>
    <w:rsid w:val="00FF0590"/>
    <w:rsid w:val="00FF0668"/>
    <w:rsid w:val="00FF0A67"/>
    <w:rsid w:val="00FF0A78"/>
    <w:rsid w:val="00FF0E17"/>
    <w:rsid w:val="00FF0E5B"/>
    <w:rsid w:val="00FF0EF7"/>
    <w:rsid w:val="00FF1459"/>
    <w:rsid w:val="00FF1476"/>
    <w:rsid w:val="00FF152D"/>
    <w:rsid w:val="00FF1531"/>
    <w:rsid w:val="00FF1540"/>
    <w:rsid w:val="00FF1D08"/>
    <w:rsid w:val="00FF1D45"/>
    <w:rsid w:val="00FF1F67"/>
    <w:rsid w:val="00FF1FCF"/>
    <w:rsid w:val="00FF204E"/>
    <w:rsid w:val="00FF2204"/>
    <w:rsid w:val="00FF24F1"/>
    <w:rsid w:val="00FF2CFA"/>
    <w:rsid w:val="00FF2E01"/>
    <w:rsid w:val="00FF2E18"/>
    <w:rsid w:val="00FF2F80"/>
    <w:rsid w:val="00FF37D0"/>
    <w:rsid w:val="00FF39BF"/>
    <w:rsid w:val="00FF3A15"/>
    <w:rsid w:val="00FF3AF1"/>
    <w:rsid w:val="00FF3B07"/>
    <w:rsid w:val="00FF3DD1"/>
    <w:rsid w:val="00FF3ED2"/>
    <w:rsid w:val="00FF4017"/>
    <w:rsid w:val="00FF40B5"/>
    <w:rsid w:val="00FF427A"/>
    <w:rsid w:val="00FF4299"/>
    <w:rsid w:val="00FF42CA"/>
    <w:rsid w:val="00FF43E4"/>
    <w:rsid w:val="00FF4421"/>
    <w:rsid w:val="00FF4692"/>
    <w:rsid w:val="00FF481D"/>
    <w:rsid w:val="00FF4A8B"/>
    <w:rsid w:val="00FF4CB3"/>
    <w:rsid w:val="00FF4CCF"/>
    <w:rsid w:val="00FF4DE1"/>
    <w:rsid w:val="00FF4F3B"/>
    <w:rsid w:val="00FF5123"/>
    <w:rsid w:val="00FF537F"/>
    <w:rsid w:val="00FF5547"/>
    <w:rsid w:val="00FF55AA"/>
    <w:rsid w:val="00FF5E4B"/>
    <w:rsid w:val="00FF5F45"/>
    <w:rsid w:val="00FF5FF7"/>
    <w:rsid w:val="00FF6040"/>
    <w:rsid w:val="00FF60EB"/>
    <w:rsid w:val="00FF6249"/>
    <w:rsid w:val="00FF66DC"/>
    <w:rsid w:val="00FF683C"/>
    <w:rsid w:val="00FF7126"/>
    <w:rsid w:val="00FF71A9"/>
    <w:rsid w:val="00FF7493"/>
    <w:rsid w:val="00FF74A6"/>
    <w:rsid w:val="00FF7681"/>
    <w:rsid w:val="00FF787F"/>
    <w:rsid w:val="00FF7CBE"/>
    <w:rsid w:val="00FF7DDC"/>
    <w:rsid w:val="00FF7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73">
      <o:colormenu v:ext="edit" shadowcolor="none"/>
    </o:shapedefaults>
    <o:shapelayout v:ext="edit">
      <o:idmap v:ext="edit" data="1"/>
      <o:rules v:ext="edit">
        <o:r id="V:Rule90" type="connector" idref="#_x0000_s1264">
          <o:proxy start="" idref="#_x0000_s1246" connectloc="2"/>
          <o:proxy end="" idref="#_x0000_s1263" connectloc="0"/>
        </o:r>
        <o:r id="V:Rule91" type="connector" idref="#_x0000_s1360">
          <o:proxy start="" idref="#_x0000_s1356" connectloc="2"/>
          <o:proxy end="" idref="#_x0000_s1326" connectloc="0"/>
        </o:r>
        <o:r id="V:Rule92" type="connector" idref="#_x0000_s1358">
          <o:proxy start="" idref="#_x0000_s1327" connectloc="2"/>
          <o:proxy end="" idref="#_x0000_s1354" connectloc="0"/>
        </o:r>
        <o:r id="V:Rule93" type="connector" idref="#_x0000_s1534">
          <o:proxy start="" idref="#_x0000_s1453" connectloc="0"/>
          <o:proxy end="" idref="#_x0000_s1491" connectloc="1"/>
        </o:r>
        <o:r id="V:Rule94" type="connector" idref="#_x0000_s1584">
          <o:proxy start="" idref="#_x0000_s1573" connectloc="0"/>
          <o:proxy end="" idref="#_x0000_s1576" connectloc="4"/>
        </o:r>
        <o:r id="V:Rule95" type="connector" idref="#_x0000_s1538">
          <o:proxy start="" idref="#_x0000_s1453" connectloc="4"/>
          <o:proxy end="" idref="#_x0000_s1536" connectloc="1"/>
        </o:r>
        <o:r id="V:Rule96" type="connector" idref="#_x0000_s1454">
          <o:proxy start="" idref="#_x0000_s1451" connectloc="0"/>
          <o:proxy end="" idref="#_x0000_s1453" connectloc="0"/>
        </o:r>
        <o:r id="V:Rule97" type="connector" idref="#_x0000_s1353">
          <o:proxy start="" idref="#_x0000_s1354" connectloc="3"/>
          <o:proxy end="" idref="#_x0000_s1332" connectloc="3"/>
        </o:r>
        <o:r id="V:Rule98" type="connector" idref="#_x0000_s1587">
          <o:proxy start="" idref="#_x0000_s1577" connectloc="6"/>
          <o:proxy end="" idref="#_x0000_s1586" connectloc="1"/>
        </o:r>
        <o:r id="V:Rule99" type="connector" idref="#_x0000_s1816">
          <o:proxy start="" idref="#_x0000_s1311" connectloc="2"/>
          <o:proxy end="" idref="#_x0000_s1317" connectloc="0"/>
        </o:r>
        <o:r id="V:Rule100" type="connector" idref="#_x0000_s1520">
          <o:proxy start="" idref="#_x0000_s1451" connectloc="2"/>
          <o:proxy end="" idref="#_x0000_s1453" connectloc="2"/>
        </o:r>
        <o:r id="V:Rule101" type="connector" idref="#_x0000_s1591">
          <o:proxy start="" idref="#_x0000_s1577" connectloc="6"/>
          <o:proxy end="" idref="#_x0000_s1590" connectloc="0"/>
        </o:r>
        <o:r id="V:Rule102" type="connector" idref="#_x0000_s1357">
          <o:proxy start="" idref="#_x0000_s1348" connectloc="2"/>
          <o:proxy end="" idref="#_x0000_s1350" connectloc="0"/>
        </o:r>
        <o:r id="V:Rule103" type="connector" idref="#_x0000_s1257">
          <o:proxy start="" idref="#_x0000_s1248" connectloc="2"/>
          <o:proxy end="" idref="#_x0000_s1253" connectloc="0"/>
        </o:r>
        <o:r id="V:Rule104" type="connector" idref="#_x0000_s1817">
          <o:proxy start="" idref="#_x0000_s1389" connectloc="1"/>
          <o:proxy end="" idref="#_x0000_s1317" connectloc="3"/>
        </o:r>
        <o:r id="V:Rule105" type="connector" idref="#_x0000_s1818">
          <o:proxy start="" idref="#_x0000_s1389" connectloc="3"/>
          <o:proxy end="" idref="#_x0000_s1318" connectloc="1"/>
        </o:r>
        <o:r id="V:Rule106" type="connector" idref="#_x0000_s1667">
          <o:proxy start="" idref="#_x0000_s1652" connectloc="3"/>
          <o:proxy end="" idref="#_x0000_s1665" connectloc="3"/>
        </o:r>
        <o:r id="V:Rule107" type="connector" idref="#_x0000_s1522">
          <o:proxy start="" idref="#_x0000_s1453" connectloc="5"/>
          <o:proxy end="" idref="#_x0000_s1451" connectloc="5"/>
        </o:r>
        <o:r id="V:Rule108" type="connector" idref="#_x0000_s1558"/>
        <o:r id="V:Rule109" type="connector" idref="#_x0000_s1519">
          <o:proxy start="" idref="#_x0000_s1451" connectloc="6"/>
          <o:proxy end="" idref="#_x0000_s1453" connectloc="6"/>
        </o:r>
        <o:r id="V:Rule110" type="connector" idref="#_x0000_s1814">
          <o:proxy start="" idref="#_x0000_s1307" connectloc="2"/>
          <o:proxy end="" idref="#_x0000_s1311" connectloc="0"/>
        </o:r>
        <o:r id="V:Rule111" type="connector" idref="#_x0000_s1365"/>
        <o:r id="V:Rule112" type="connector" idref="#_x0000_s1342"/>
        <o:r id="V:Rule113" type="connector" idref="#_x0000_s1815">
          <o:proxy start="" idref="#_x0000_s1309" connectloc="2"/>
          <o:proxy end="" idref="#_x0000_s1317" connectloc="0"/>
        </o:r>
        <o:r id="V:Rule114" type="connector" idref="#_x0000_s1565">
          <o:proxy start="" idref="#_x0000_s1453" connectloc="6"/>
          <o:proxy end="" idref="#_x0000_s1562" connectloc="1"/>
        </o:r>
        <o:r id="V:Rule115" type="connector" idref="#_x0000_s1581">
          <o:proxy start="" idref="#_x0000_s1573" connectloc="2"/>
          <o:proxy end="" idref="#_x0000_s1579" connectloc="0"/>
        </o:r>
        <o:r id="V:Rule116" type="connector" idref="#_x0000_s1377">
          <o:proxy end="" idref="#_x0000_s1324" connectloc="0"/>
        </o:r>
        <o:r id="V:Rule117" type="connector" idref="#_x0000_s1786">
          <o:proxy start="" idref="#_x0000_s1771" connectloc="2"/>
          <o:proxy end="" idref="#_x0000_s1776" connectloc="0"/>
        </o:r>
        <o:r id="V:Rule118" type="connector" idref="#_x0000_s1388">
          <o:proxy start="" idref="#_x0000_s1293" connectloc="1"/>
          <o:proxy end="" idref="#_x0000_s1292" connectloc="3"/>
        </o:r>
        <o:r id="V:Rule119" type="connector" idref="#_x0000_s1821">
          <o:proxy start="" idref="#_x0000_s1313" connectloc="2"/>
          <o:proxy end="" idref="#_x0000_s1318" connectloc="0"/>
        </o:r>
        <o:r id="V:Rule120" type="connector" idref="#_x0000_s1345"/>
        <o:r id="V:Rule121" type="connector" idref="#_x0000_s1790">
          <o:proxy start="" idref="#_x0000_s1772" connectloc="2"/>
          <o:proxy end="" idref="#_x0000_s1783" connectloc="0"/>
        </o:r>
        <o:r id="V:Rule122" type="connector" idref="#_x0000_s1271"/>
        <o:r id="V:Rule123" type="connector" idref="#_x0000_s1256">
          <o:proxy start="" idref="#_x0000_s1247" connectloc="2"/>
          <o:proxy end="" idref="#_x0000_s1253" connectloc="0"/>
        </o:r>
        <o:r id="V:Rule124" type="connector" idref="#_x0000_s1593">
          <o:proxy start="" idref="#_x0000_s1573" connectloc="1"/>
          <o:proxy end="" idref="#_x0000_s1574" connectloc="6"/>
        </o:r>
        <o:r id="V:Rule125" type="connector" idref="#_x0000_s1521">
          <o:proxy start="" idref="#_x0000_s1453" connectloc="3"/>
          <o:proxy end="" idref="#_x0000_s1451" connectloc="3"/>
        </o:r>
        <o:r id="V:Rule126" type="connector" idref="#_x0000_s1349"/>
        <o:r id="V:Rule127" type="connector" idref="#_x0000_s1376">
          <o:proxy end="" idref="#_x0000_s1324" connectloc="0"/>
        </o:r>
        <o:r id="V:Rule128" type="connector" idref="#_x0000_s1812">
          <o:proxy start="" idref="#_x0000_s1307" connectloc="2"/>
          <o:proxy end="" idref="#_x0000_s1309" connectloc="0"/>
        </o:r>
        <o:r id="V:Rule129" type="connector" idref="#_x0000_s1330"/>
        <o:r id="V:Rule130" type="connector" idref="#_x0000_s1773">
          <o:proxy start="" idref="#_x0000_s1770" connectloc="2"/>
          <o:proxy end="" idref="#_x0000_s1771" connectloc="0"/>
        </o:r>
        <o:r id="V:Rule131" type="connector" idref="#_x0000_s1351">
          <o:proxy start="" idref="#_x0000_s1350" connectloc="1"/>
          <o:proxy end="" idref="#_x0000_s1332" connectloc="1"/>
        </o:r>
        <o:r id="V:Rule132" type="connector" idref="#_x0000_s1820">
          <o:proxy start="" idref="#_x0000_s1308" connectloc="2"/>
          <o:proxy end="" idref="#_x0000_s1314" connectloc="0"/>
        </o:r>
        <o:r id="V:Rule133" type="connector" idref="#_x0000_s1274"/>
        <o:r id="V:Rule134" type="connector" idref="#_x0000_s1297"/>
        <o:r id="V:Rule135" type="connector" idref="#_x0000_s1582">
          <o:proxy start="" idref="#_x0000_s1573" connectloc="0"/>
          <o:proxy end="" idref="#_x0000_s1575" connectloc="4"/>
        </o:r>
        <o:r id="V:Rule136" type="connector" idref="#_x0000_s1262">
          <o:proxy start="" idref="#_x0000_s1246" connectloc="2"/>
          <o:proxy end="" idref="#_x0000_s1261" connectloc="0"/>
        </o:r>
        <o:r id="V:Rule137" type="connector" idref="#_x0000_s1663">
          <o:proxy start="" idref="#_x0000_s1659" connectloc="6"/>
          <o:proxy end="" idref="#_x0000_s1660" connectloc="2"/>
        </o:r>
        <o:r id="V:Rule138" type="connector" idref="#_x0000_s1791">
          <o:proxy start="" idref="#_x0000_s1772" connectloc="2"/>
          <o:proxy end="" idref="#_x0000_s1779" connectloc="0"/>
        </o:r>
        <o:r id="V:Rule139" type="connector" idref="#_x0000_s1585">
          <o:proxy start="" idref="#_x0000_s1573" connectloc="2"/>
          <o:proxy end="" idref="#_x0000_s1578" connectloc="0"/>
        </o:r>
        <o:r id="V:Rule140" type="connector" idref="#_x0000_s1774">
          <o:proxy start="" idref="#_x0000_s1770" connectloc="2"/>
          <o:proxy end="" idref="#_x0000_s1772" connectloc="0"/>
        </o:r>
        <o:r id="V:Rule141" type="connector" idref="#_x0000_s1592">
          <o:proxy start="" idref="#_x0000_s1573" connectloc="3"/>
          <o:proxy end="" idref="#_x0000_s1577" connectloc="2"/>
        </o:r>
        <o:r id="V:Rule142" type="connector" idref="#_x0000_s1518">
          <o:proxy start="" idref="#_x0000_s1453" connectloc="7"/>
          <o:proxy end="" idref="#_x0000_s1451" connectloc="7"/>
        </o:r>
        <o:r id="V:Rule143" type="connector" idref="#_x0000_s1787">
          <o:proxy start="" idref="#_x0000_s1771" connectloc="2"/>
          <o:proxy end="" idref="#_x0000_s1777" connectloc="0"/>
        </o:r>
        <o:r id="V:Rule144" type="connector" idref="#_x0000_s1802">
          <o:proxy start="" idref="#_x0000_s1300" connectloc="1"/>
          <o:proxy end="" idref="#_x0000_s1299" connectloc="3"/>
        </o:r>
        <o:r id="V:Rule145" type="connector" idref="#_x0000_s1589">
          <o:proxy start="" idref="#_x0000_s1577" connectloc="6"/>
          <o:proxy end="" idref="#_x0000_s1588" connectloc="2"/>
        </o:r>
        <o:r id="V:Rule146" type="connector" idref="#_x0000_s1794">
          <o:proxy start="" idref="#_x0000_s1772" connectloc="2"/>
          <o:proxy end="" idref="#_x0000_s1782" connectloc="0"/>
        </o:r>
        <o:r id="V:Rule147" type="connector" idref="#_x0000_s1384"/>
        <o:r id="V:Rule148" type="connector" idref="#_x0000_s1258">
          <o:proxy start="" idref="#_x0000_s1248" connectloc="2"/>
          <o:proxy end="" idref="#_x0000_s1254" connectloc="0"/>
        </o:r>
        <o:r id="V:Rule149" type="connector" idref="#_x0000_s1276"/>
        <o:r id="V:Rule150" type="connector" idref="#_x0000_s1329"/>
        <o:r id="V:Rule151" type="connector" idref="#_x0000_s1306"/>
        <o:r id="V:Rule152" type="connector" idref="#_x0000_s1792">
          <o:proxy start="" idref="#_x0000_s1772" connectloc="2"/>
          <o:proxy end="" idref="#_x0000_s1780" connectloc="0"/>
        </o:r>
        <o:r id="V:Rule153" type="connector" idref="#_x0000_s1656">
          <o:proxy start="" idref="#_x0000_s1655" connectloc="6"/>
          <o:proxy end="" idref="#_x0000_s1652" connectloc="1"/>
        </o:r>
        <o:r id="V:Rule154" type="connector" idref="#_x0000_s1549">
          <o:proxy start="" idref="#_x0000_s1547" connectloc="3"/>
          <o:proxy end="" idref="#_x0000_s1547" connectloc="1"/>
        </o:r>
        <o:r id="V:Rule155" type="connector" idref="#_x0000_s1785">
          <o:proxy start="" idref="#_x0000_s1771" connectloc="2"/>
          <o:proxy end="" idref="#_x0000_s1775" connectloc="0"/>
        </o:r>
        <o:r id="V:Rule156" type="connector" idref="#_x0000_s1669">
          <o:proxy start="" idref="#_x0000_s1665" connectloc="2"/>
          <o:proxy end="" idref="#_x0000_s1664" connectloc="6"/>
        </o:r>
        <o:r id="V:Rule157" type="connector" idref="#_x0000_s1793">
          <o:proxy start="" idref="#_x0000_s1772" connectloc="2"/>
          <o:proxy end="" idref="#_x0000_s1781" connectloc="0"/>
        </o:r>
        <o:r id="V:Rule158" type="connector" idref="#_x0000_s1362"/>
        <o:r id="V:Rule159" type="connector" idref="#_x0000_s1517">
          <o:proxy start="" idref="#_x0000_s1453" connectloc="1"/>
          <o:proxy end="" idref="#_x0000_s1451" connectloc="1"/>
        </o:r>
        <o:r id="V:Rule160" type="connector" idref="#_x0000_s1272"/>
        <o:r id="V:Rule161" type="connector" idref="#_x0000_s1788">
          <o:proxy start="" idref="#_x0000_s1771" connectloc="2"/>
          <o:proxy end="" idref="#_x0000_s1778" connectloc="0"/>
        </o:r>
        <o:r id="V:Rule162" type="connector" idref="#_x0000_s1555"/>
        <o:r id="V:Rule163" type="connector" idref="#_x0000_s1328"/>
        <o:r id="V:Rule164" type="connector" idref="#_x0000_s1662">
          <o:proxy start="" idref="#_x0000_s1652" connectloc="1"/>
          <o:proxy end="" idref="#_x0000_s1659" connectloc="7"/>
        </o:r>
        <o:r id="V:Rule165" type="connector" idref="#_x0000_s1661">
          <o:proxy start="" idref="#_x0000_s1652" connectloc="1"/>
          <o:proxy end="" idref="#_x0000_s1653" connectloc="5"/>
        </o:r>
        <o:r id="V:Rule166" type="connector" idref="#_x0000_s1819">
          <o:proxy start="" idref="#_x0000_s1308" connectloc="2"/>
          <o:proxy end="" idref="#_x0000_s1313" connectloc="0"/>
        </o:r>
        <o:r id="V:Rule167" type="connector" idref="#_x0000_s1255">
          <o:proxy start="" idref="#_x0000_s1247" connectloc="2"/>
          <o:proxy end="" idref="#_x0000_s1252" connectloc="0"/>
        </o:r>
        <o:r id="V:Rule168" type="connector" idref="#_x0000_s1544">
          <o:proxy end="" idref="#_x0000_s1543" connectloc="3"/>
        </o:r>
        <o:r id="V:Rule169" type="connector" idref="#_x0000_s1658">
          <o:proxy start="" idref="#_x0000_s1657" connectloc="2"/>
          <o:proxy end="" idref="#_x0000_s1652" connectloc="3"/>
        </o:r>
        <o:r id="V:Rule170" type="connector" idref="#_x0000_s1456">
          <o:proxy start="" idref="#_x0000_s1451" connectloc="4"/>
          <o:proxy end="" idref="#_x0000_s1453" connectloc="4"/>
        </o:r>
        <o:r id="V:Rule171" type="connector" idref="#_x0000_s1668">
          <o:proxy start="" idref="#_x0000_s1652" connectloc="3"/>
          <o:proxy end="" idref="#_x0000_s1654" connectloc="1"/>
        </o:r>
        <o:r id="V:Rule172" type="connector" idref="#_x0000_s1803">
          <o:proxy start="" idref="#_x0000_s1800" connectloc="3"/>
          <o:proxy end="" idref="#_x0000_s1299" connectloc="1"/>
        </o:r>
        <o:r id="V:Rule173" type="connector" idref="#_x0000_s1822">
          <o:proxy start="" idref="#_x0000_s1314" connectloc="2"/>
          <o:proxy end="" idref="#_x0000_s1318" connectloc="0"/>
        </o:r>
        <o:r id="V:Rule174" type="connector" idref="#_x0000_s1333"/>
        <o:r id="V:Rule175" type="connector" idref="#_x0000_s1359">
          <o:proxy start="" idref="#_x0000_s1356" connectloc="2"/>
          <o:proxy end="" idref="#_x0000_s1347" connectloc="0"/>
        </o:r>
        <o:r id="V:Rule176" type="connector" idref="#_x0000_s1387">
          <o:proxy start="" idref="#_x0000_s1293" connectloc="1"/>
          <o:proxy end="" idref="#_x0000_s1295" connectloc="3"/>
        </o:r>
        <o:r id="V:Rule177" type="connector" idref="#_x0000_s1383"/>
        <o:r id="V:Rule178" type="connector" idref="#_x0000_s1542">
          <o:proxy start="" idref="#_x0000_s1541" connectloc="1"/>
          <o:proxy end="" idref="#_x0000_s1541" connectloc="3"/>
        </o:r>
      </o:rules>
      <o:regrouptable v:ext="edit">
        <o:entry new="1" old="0"/>
        <o:entry new="2" old="1"/>
        <o:entry new="3" old="0"/>
        <o:entry new="4" old="3"/>
        <o:entry new="5" old="0"/>
        <o:entry new="6" old="0"/>
        <o:entry new="7" old="0"/>
        <o:entry new="8" old="0"/>
        <o:entry new="9" old="0"/>
        <o:entry new="10" old="0"/>
        <o:entry new="11" old="0"/>
        <o:entry new="1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B2A"/>
    <w:pPr>
      <w:widowControl w:val="0"/>
      <w:spacing w:after="40" w:line="360" w:lineRule="auto"/>
      <w:ind w:firstLine="533"/>
      <w:contextualSpacing/>
      <w:jc w:val="both"/>
    </w:pPr>
    <w:rPr>
      <w:rFonts w:ascii="Times New Roman" w:hAnsi="Times New Roman" w:cs="Times New Roman"/>
      <w:sz w:val="24"/>
      <w:szCs w:val="20"/>
      <w:lang w:val="lt-LT"/>
    </w:rPr>
  </w:style>
  <w:style w:type="paragraph" w:styleId="Heading1">
    <w:name w:val="heading 1"/>
    <w:basedOn w:val="Normal"/>
    <w:next w:val="Normal"/>
    <w:link w:val="Heading1Char"/>
    <w:autoRedefine/>
    <w:uiPriority w:val="9"/>
    <w:qFormat/>
    <w:rsid w:val="00FD7D41"/>
    <w:pPr>
      <w:keepNext/>
      <w:keepLines/>
      <w:numPr>
        <w:numId w:val="39"/>
      </w:numPr>
      <w:spacing w:after="60"/>
      <w:jc w:val="center"/>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03125F"/>
    <w:pPr>
      <w:keepNext/>
      <w:keepLines/>
      <w:numPr>
        <w:ilvl w:val="1"/>
        <w:numId w:val="39"/>
      </w:numPr>
      <w:spacing w:after="60"/>
      <w:contextualSpacing w:val="0"/>
      <w:jc w:val="left"/>
      <w:outlineLvl w:val="1"/>
    </w:pPr>
    <w:rPr>
      <w:rFonts w:eastAsiaTheme="majorEastAsia" w:cstheme="majorBidi"/>
      <w:b/>
      <w:bCs/>
      <w:sz w:val="25"/>
      <w:szCs w:val="26"/>
    </w:rPr>
  </w:style>
  <w:style w:type="paragraph" w:styleId="Heading3">
    <w:name w:val="heading 3"/>
    <w:basedOn w:val="Normal"/>
    <w:next w:val="Normal"/>
    <w:link w:val="Heading3Char"/>
    <w:autoRedefine/>
    <w:uiPriority w:val="9"/>
    <w:unhideWhenUsed/>
    <w:qFormat/>
    <w:rsid w:val="00404939"/>
    <w:pPr>
      <w:keepNext/>
      <w:keepLines/>
      <w:numPr>
        <w:ilvl w:val="2"/>
        <w:numId w:val="39"/>
      </w:numPr>
      <w:jc w:val="left"/>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C63EDF"/>
    <w:pPr>
      <w:keepNext/>
      <w:keepLines/>
      <w:numPr>
        <w:ilvl w:val="3"/>
        <w:numId w:val="3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63EDF"/>
    <w:pPr>
      <w:keepNext/>
      <w:keepLines/>
      <w:numPr>
        <w:ilvl w:val="4"/>
        <w:numId w:val="3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63EDF"/>
    <w:pPr>
      <w:keepNext/>
      <w:keepLines/>
      <w:numPr>
        <w:ilvl w:val="5"/>
        <w:numId w:val="3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63EDF"/>
    <w:pPr>
      <w:keepNext/>
      <w:keepLines/>
      <w:numPr>
        <w:ilvl w:val="6"/>
        <w:numId w:val="3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63EDF"/>
    <w:pPr>
      <w:keepNext/>
      <w:keepLines/>
      <w:numPr>
        <w:ilvl w:val="7"/>
        <w:numId w:val="39"/>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63EDF"/>
    <w:pPr>
      <w:keepNext/>
      <w:keepLines/>
      <w:numPr>
        <w:ilvl w:val="8"/>
        <w:numId w:val="39"/>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D41"/>
    <w:rPr>
      <w:rFonts w:ascii="Times New Roman" w:eastAsiaTheme="majorEastAsia" w:hAnsi="Times New Roman" w:cstheme="majorBidi"/>
      <w:b/>
      <w:bCs/>
      <w:sz w:val="24"/>
      <w:szCs w:val="28"/>
      <w:lang w:val="lt-LT"/>
    </w:rPr>
  </w:style>
  <w:style w:type="character" w:customStyle="1" w:styleId="Heading2Char">
    <w:name w:val="Heading 2 Char"/>
    <w:basedOn w:val="DefaultParagraphFont"/>
    <w:link w:val="Heading2"/>
    <w:uiPriority w:val="9"/>
    <w:rsid w:val="0003125F"/>
    <w:rPr>
      <w:rFonts w:ascii="Times New Roman" w:eastAsiaTheme="majorEastAsia" w:hAnsi="Times New Roman" w:cstheme="majorBidi"/>
      <w:b/>
      <w:bCs/>
      <w:sz w:val="25"/>
      <w:szCs w:val="26"/>
      <w:lang w:val="lt-LT"/>
    </w:rPr>
  </w:style>
  <w:style w:type="character" w:customStyle="1" w:styleId="Heading3Char">
    <w:name w:val="Heading 3 Char"/>
    <w:basedOn w:val="DefaultParagraphFont"/>
    <w:link w:val="Heading3"/>
    <w:uiPriority w:val="9"/>
    <w:rsid w:val="00404939"/>
    <w:rPr>
      <w:rFonts w:ascii="Times New Roman" w:eastAsiaTheme="majorEastAsia" w:hAnsi="Times New Roman" w:cstheme="majorBidi"/>
      <w:b/>
      <w:bCs/>
      <w:i/>
      <w:sz w:val="24"/>
      <w:szCs w:val="20"/>
      <w:lang w:val="lt-LT"/>
    </w:rPr>
  </w:style>
  <w:style w:type="paragraph" w:styleId="Caption">
    <w:name w:val="caption"/>
    <w:basedOn w:val="Normal"/>
    <w:next w:val="Normal"/>
    <w:autoRedefine/>
    <w:unhideWhenUsed/>
    <w:qFormat/>
    <w:rsid w:val="00886347"/>
    <w:pPr>
      <w:spacing w:after="20" w:line="240" w:lineRule="auto"/>
      <w:ind w:firstLine="0"/>
      <w:jc w:val="center"/>
    </w:pPr>
    <w:rPr>
      <w:rFonts w:eastAsia="MS Mincho"/>
      <w:b/>
      <w:bCs/>
      <w:noProof/>
      <w:sz w:val="20"/>
      <w:szCs w:val="18"/>
    </w:rPr>
  </w:style>
  <w:style w:type="paragraph" w:styleId="Header">
    <w:name w:val="header"/>
    <w:basedOn w:val="Normal"/>
    <w:link w:val="HeaderChar"/>
    <w:uiPriority w:val="99"/>
    <w:unhideWhenUsed/>
    <w:rsid w:val="00B21BAC"/>
    <w:pPr>
      <w:tabs>
        <w:tab w:val="center" w:pos="4986"/>
        <w:tab w:val="right" w:pos="9972"/>
      </w:tabs>
      <w:spacing w:after="0" w:line="240" w:lineRule="auto"/>
    </w:pPr>
  </w:style>
  <w:style w:type="character" w:customStyle="1" w:styleId="HeaderChar">
    <w:name w:val="Header Char"/>
    <w:basedOn w:val="DefaultParagraphFont"/>
    <w:link w:val="Header"/>
    <w:uiPriority w:val="99"/>
    <w:rsid w:val="00B21BAC"/>
    <w:rPr>
      <w:rFonts w:ascii="Times New Roman" w:hAnsi="Times New Roman" w:cs="Times New Roman"/>
      <w:sz w:val="24"/>
      <w:szCs w:val="20"/>
      <w:lang w:val="lt-LT"/>
    </w:rPr>
  </w:style>
  <w:style w:type="paragraph" w:styleId="Footer">
    <w:name w:val="footer"/>
    <w:basedOn w:val="Normal"/>
    <w:link w:val="FooterChar"/>
    <w:uiPriority w:val="99"/>
    <w:unhideWhenUsed/>
    <w:rsid w:val="00B21BAC"/>
    <w:pPr>
      <w:tabs>
        <w:tab w:val="center" w:pos="4986"/>
        <w:tab w:val="right" w:pos="9972"/>
      </w:tabs>
      <w:spacing w:after="0" w:line="240" w:lineRule="auto"/>
    </w:pPr>
  </w:style>
  <w:style w:type="character" w:customStyle="1" w:styleId="FooterChar">
    <w:name w:val="Footer Char"/>
    <w:basedOn w:val="DefaultParagraphFont"/>
    <w:link w:val="Footer"/>
    <w:uiPriority w:val="99"/>
    <w:rsid w:val="00B21BAC"/>
    <w:rPr>
      <w:rFonts w:ascii="Times New Roman" w:hAnsi="Times New Roman" w:cs="Times New Roman"/>
      <w:sz w:val="24"/>
      <w:szCs w:val="20"/>
      <w:lang w:val="lt-LT"/>
    </w:rPr>
  </w:style>
  <w:style w:type="paragraph" w:styleId="ListParagraph">
    <w:name w:val="List Paragraph"/>
    <w:basedOn w:val="Normal"/>
    <w:uiPriority w:val="34"/>
    <w:qFormat/>
    <w:rsid w:val="008240A1"/>
    <w:pPr>
      <w:ind w:left="720"/>
    </w:pPr>
  </w:style>
  <w:style w:type="paragraph" w:styleId="FootnoteText">
    <w:name w:val="footnote text"/>
    <w:basedOn w:val="Normal"/>
    <w:link w:val="FootnoteTextChar"/>
    <w:uiPriority w:val="99"/>
    <w:unhideWhenUsed/>
    <w:rsid w:val="00CE5385"/>
    <w:pPr>
      <w:spacing w:after="0" w:line="240" w:lineRule="auto"/>
    </w:pPr>
    <w:rPr>
      <w:sz w:val="20"/>
    </w:rPr>
  </w:style>
  <w:style w:type="character" w:customStyle="1" w:styleId="FootnoteTextChar">
    <w:name w:val="Footnote Text Char"/>
    <w:basedOn w:val="DefaultParagraphFont"/>
    <w:link w:val="FootnoteText"/>
    <w:uiPriority w:val="99"/>
    <w:rsid w:val="00CE5385"/>
    <w:rPr>
      <w:rFonts w:ascii="Times New Roman" w:hAnsi="Times New Roman" w:cs="Times New Roman"/>
      <w:sz w:val="20"/>
      <w:szCs w:val="20"/>
      <w:lang w:val="lt-LT"/>
    </w:rPr>
  </w:style>
  <w:style w:type="character" w:styleId="FootnoteReference">
    <w:name w:val="footnote reference"/>
    <w:basedOn w:val="DefaultParagraphFont"/>
    <w:uiPriority w:val="99"/>
    <w:semiHidden/>
    <w:unhideWhenUsed/>
    <w:rsid w:val="00CE5385"/>
    <w:rPr>
      <w:vertAlign w:val="superscript"/>
    </w:rPr>
  </w:style>
  <w:style w:type="character" w:styleId="Hyperlink">
    <w:name w:val="Hyperlink"/>
    <w:basedOn w:val="DefaultParagraphFont"/>
    <w:uiPriority w:val="99"/>
    <w:unhideWhenUsed/>
    <w:rsid w:val="007D67D1"/>
    <w:rPr>
      <w:color w:val="0000FF"/>
      <w:u w:val="single"/>
    </w:rPr>
  </w:style>
  <w:style w:type="paragraph" w:styleId="BalloonText">
    <w:name w:val="Balloon Text"/>
    <w:basedOn w:val="Normal"/>
    <w:link w:val="BalloonTextChar"/>
    <w:uiPriority w:val="99"/>
    <w:semiHidden/>
    <w:unhideWhenUsed/>
    <w:rsid w:val="007D67D1"/>
    <w:pPr>
      <w:spacing w:after="0" w:line="240" w:lineRule="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7D67D1"/>
    <w:rPr>
      <w:rFonts w:ascii="Tahoma" w:eastAsiaTheme="minorEastAsia" w:hAnsi="Tahoma" w:cs="Tahoma"/>
      <w:sz w:val="16"/>
      <w:szCs w:val="16"/>
      <w:lang w:val="lt-LT" w:eastAsia="zh-CN"/>
    </w:rPr>
  </w:style>
  <w:style w:type="character" w:customStyle="1" w:styleId="apple-converted-space">
    <w:name w:val="apple-converted-space"/>
    <w:basedOn w:val="DefaultParagraphFont"/>
    <w:rsid w:val="007D67D1"/>
  </w:style>
  <w:style w:type="paragraph" w:customStyle="1" w:styleId="Default">
    <w:name w:val="Default"/>
    <w:rsid w:val="007D67D1"/>
    <w:pPr>
      <w:autoSpaceDE w:val="0"/>
      <w:autoSpaceDN w:val="0"/>
      <w:adjustRightInd w:val="0"/>
      <w:spacing w:after="0" w:line="240" w:lineRule="auto"/>
    </w:pPr>
    <w:rPr>
      <w:rFonts w:ascii="Adobe Garamond Pro" w:eastAsiaTheme="minorEastAsia" w:hAnsi="Adobe Garamond Pro" w:cs="Adobe Garamond Pro"/>
      <w:color w:val="000000"/>
      <w:sz w:val="24"/>
      <w:szCs w:val="24"/>
      <w:lang w:eastAsia="zh-CN"/>
    </w:rPr>
  </w:style>
  <w:style w:type="character" w:customStyle="1" w:styleId="A0">
    <w:name w:val="A0"/>
    <w:uiPriority w:val="99"/>
    <w:rsid w:val="007D67D1"/>
    <w:rPr>
      <w:rFonts w:cs="Adobe Garamond Pro"/>
      <w:color w:val="000000"/>
      <w:sz w:val="15"/>
      <w:szCs w:val="15"/>
    </w:rPr>
  </w:style>
  <w:style w:type="table" w:styleId="TableGrid">
    <w:name w:val="Table Grid"/>
    <w:basedOn w:val="TableNormal"/>
    <w:uiPriority w:val="59"/>
    <w:rsid w:val="007D67D1"/>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47523E"/>
    <w:pPr>
      <w:tabs>
        <w:tab w:val="left" w:pos="450"/>
        <w:tab w:val="right" w:leader="dot" w:pos="10245"/>
      </w:tabs>
      <w:spacing w:after="0"/>
      <w:ind w:firstLine="0"/>
      <w:jc w:val="left"/>
    </w:pPr>
    <w:rPr>
      <w:rFonts w:asciiTheme="minorHAnsi" w:eastAsiaTheme="minorEastAsia" w:hAnsiTheme="minorHAnsi" w:cstheme="minorHAnsi"/>
      <w:b/>
      <w:bCs/>
      <w:caps/>
      <w:sz w:val="20"/>
      <w:lang w:eastAsia="zh-CN"/>
    </w:rPr>
  </w:style>
  <w:style w:type="paragraph" w:styleId="TOC2">
    <w:name w:val="toc 2"/>
    <w:basedOn w:val="Normal"/>
    <w:next w:val="Normal"/>
    <w:autoRedefine/>
    <w:uiPriority w:val="39"/>
    <w:unhideWhenUsed/>
    <w:qFormat/>
    <w:rsid w:val="0047523E"/>
    <w:pPr>
      <w:tabs>
        <w:tab w:val="left" w:pos="720"/>
        <w:tab w:val="right" w:leader="dot" w:pos="10245"/>
      </w:tabs>
      <w:spacing w:after="0"/>
      <w:ind w:firstLine="0"/>
      <w:jc w:val="left"/>
    </w:pPr>
    <w:rPr>
      <w:rFonts w:eastAsiaTheme="minorEastAsia"/>
      <w:noProof/>
      <w:sz w:val="20"/>
      <w:lang w:eastAsia="zh-CN"/>
    </w:rPr>
  </w:style>
  <w:style w:type="paragraph" w:styleId="TOC3">
    <w:name w:val="toc 3"/>
    <w:basedOn w:val="Normal"/>
    <w:next w:val="Normal"/>
    <w:autoRedefine/>
    <w:uiPriority w:val="39"/>
    <w:unhideWhenUsed/>
    <w:qFormat/>
    <w:rsid w:val="0047523E"/>
    <w:pPr>
      <w:tabs>
        <w:tab w:val="left" w:pos="990"/>
        <w:tab w:val="right" w:leader="dot" w:pos="10245"/>
      </w:tabs>
      <w:spacing w:after="0"/>
      <w:ind w:firstLine="0"/>
      <w:jc w:val="left"/>
    </w:pPr>
    <w:rPr>
      <w:rFonts w:asciiTheme="minorHAnsi" w:eastAsiaTheme="minorEastAsia" w:hAnsiTheme="minorHAnsi" w:cstheme="minorHAnsi"/>
      <w:i/>
      <w:iCs/>
      <w:sz w:val="20"/>
      <w:lang w:eastAsia="zh-CN"/>
    </w:rPr>
  </w:style>
  <w:style w:type="paragraph" w:styleId="TOC4">
    <w:name w:val="toc 4"/>
    <w:basedOn w:val="Normal"/>
    <w:next w:val="Normal"/>
    <w:autoRedefine/>
    <w:uiPriority w:val="39"/>
    <w:unhideWhenUsed/>
    <w:rsid w:val="007D67D1"/>
    <w:pPr>
      <w:spacing w:after="0"/>
      <w:ind w:left="690"/>
      <w:jc w:val="left"/>
    </w:pPr>
    <w:rPr>
      <w:rFonts w:asciiTheme="minorHAnsi" w:eastAsiaTheme="minorEastAsia" w:hAnsiTheme="minorHAnsi" w:cstheme="minorHAnsi"/>
      <w:sz w:val="18"/>
      <w:szCs w:val="18"/>
      <w:lang w:eastAsia="zh-CN"/>
    </w:rPr>
  </w:style>
  <w:style w:type="paragraph" w:styleId="TOC5">
    <w:name w:val="toc 5"/>
    <w:basedOn w:val="Normal"/>
    <w:next w:val="Normal"/>
    <w:autoRedefine/>
    <w:uiPriority w:val="39"/>
    <w:unhideWhenUsed/>
    <w:rsid w:val="007D67D1"/>
    <w:pPr>
      <w:spacing w:after="0"/>
      <w:ind w:left="920"/>
      <w:jc w:val="left"/>
    </w:pPr>
    <w:rPr>
      <w:rFonts w:asciiTheme="minorHAnsi" w:eastAsiaTheme="minorEastAsia" w:hAnsiTheme="minorHAnsi" w:cstheme="minorHAnsi"/>
      <w:sz w:val="18"/>
      <w:szCs w:val="18"/>
      <w:lang w:eastAsia="zh-CN"/>
    </w:rPr>
  </w:style>
  <w:style w:type="paragraph" w:styleId="TOC6">
    <w:name w:val="toc 6"/>
    <w:basedOn w:val="Normal"/>
    <w:next w:val="Normal"/>
    <w:autoRedefine/>
    <w:uiPriority w:val="39"/>
    <w:unhideWhenUsed/>
    <w:rsid w:val="007D67D1"/>
    <w:pPr>
      <w:spacing w:after="0"/>
      <w:ind w:left="1150"/>
      <w:jc w:val="left"/>
    </w:pPr>
    <w:rPr>
      <w:rFonts w:asciiTheme="minorHAnsi" w:eastAsiaTheme="minorEastAsia" w:hAnsiTheme="minorHAnsi" w:cstheme="minorHAnsi"/>
      <w:sz w:val="18"/>
      <w:szCs w:val="18"/>
      <w:lang w:eastAsia="zh-CN"/>
    </w:rPr>
  </w:style>
  <w:style w:type="paragraph" w:styleId="TOC7">
    <w:name w:val="toc 7"/>
    <w:basedOn w:val="Normal"/>
    <w:next w:val="Normal"/>
    <w:autoRedefine/>
    <w:uiPriority w:val="39"/>
    <w:unhideWhenUsed/>
    <w:rsid w:val="007D67D1"/>
    <w:pPr>
      <w:spacing w:after="0"/>
      <w:ind w:left="1380"/>
      <w:jc w:val="left"/>
    </w:pPr>
    <w:rPr>
      <w:rFonts w:asciiTheme="minorHAnsi" w:eastAsiaTheme="minorEastAsia" w:hAnsiTheme="minorHAnsi" w:cstheme="minorHAnsi"/>
      <w:sz w:val="18"/>
      <w:szCs w:val="18"/>
      <w:lang w:eastAsia="zh-CN"/>
    </w:rPr>
  </w:style>
  <w:style w:type="paragraph" w:styleId="TOC8">
    <w:name w:val="toc 8"/>
    <w:basedOn w:val="Normal"/>
    <w:next w:val="Normal"/>
    <w:autoRedefine/>
    <w:uiPriority w:val="39"/>
    <w:unhideWhenUsed/>
    <w:rsid w:val="007D67D1"/>
    <w:pPr>
      <w:spacing w:after="0"/>
      <w:ind w:left="1610"/>
      <w:jc w:val="left"/>
    </w:pPr>
    <w:rPr>
      <w:rFonts w:asciiTheme="minorHAnsi" w:eastAsiaTheme="minorEastAsia" w:hAnsiTheme="minorHAnsi" w:cstheme="minorHAnsi"/>
      <w:sz w:val="18"/>
      <w:szCs w:val="18"/>
      <w:lang w:eastAsia="zh-CN"/>
    </w:rPr>
  </w:style>
  <w:style w:type="paragraph" w:styleId="TOC9">
    <w:name w:val="toc 9"/>
    <w:basedOn w:val="Normal"/>
    <w:next w:val="Normal"/>
    <w:autoRedefine/>
    <w:uiPriority w:val="39"/>
    <w:unhideWhenUsed/>
    <w:rsid w:val="007D67D1"/>
    <w:pPr>
      <w:spacing w:after="0"/>
      <w:ind w:left="1840"/>
      <w:jc w:val="left"/>
    </w:pPr>
    <w:rPr>
      <w:rFonts w:asciiTheme="minorHAnsi" w:eastAsiaTheme="minorEastAsia" w:hAnsiTheme="minorHAnsi" w:cstheme="minorHAnsi"/>
      <w:sz w:val="18"/>
      <w:szCs w:val="18"/>
      <w:lang w:eastAsia="zh-CN"/>
    </w:rPr>
  </w:style>
  <w:style w:type="paragraph" w:styleId="TOCHeading">
    <w:name w:val="TOC Heading"/>
    <w:basedOn w:val="Heading1"/>
    <w:next w:val="Normal"/>
    <w:uiPriority w:val="39"/>
    <w:semiHidden/>
    <w:unhideWhenUsed/>
    <w:qFormat/>
    <w:rsid w:val="00E215E4"/>
    <w:pPr>
      <w:widowControl/>
      <w:spacing w:before="480" w:after="0" w:line="276" w:lineRule="auto"/>
      <w:contextualSpacing w:val="0"/>
      <w:jc w:val="left"/>
      <w:outlineLvl w:val="9"/>
    </w:pPr>
    <w:rPr>
      <w:rFonts w:asciiTheme="majorHAnsi" w:hAnsiTheme="majorHAnsi"/>
      <w:color w:val="365F91" w:themeColor="accent1" w:themeShade="BF"/>
      <w:sz w:val="28"/>
      <w:lang w:val="en-US"/>
    </w:rPr>
  </w:style>
  <w:style w:type="paragraph" w:styleId="EndnoteText">
    <w:name w:val="endnote text"/>
    <w:basedOn w:val="Normal"/>
    <w:link w:val="EndnoteTextChar"/>
    <w:uiPriority w:val="99"/>
    <w:semiHidden/>
    <w:unhideWhenUsed/>
    <w:rsid w:val="008C0074"/>
    <w:pPr>
      <w:spacing w:after="0" w:line="240" w:lineRule="auto"/>
    </w:pPr>
    <w:rPr>
      <w:sz w:val="20"/>
    </w:rPr>
  </w:style>
  <w:style w:type="character" w:customStyle="1" w:styleId="EndnoteTextChar">
    <w:name w:val="Endnote Text Char"/>
    <w:basedOn w:val="DefaultParagraphFont"/>
    <w:link w:val="EndnoteText"/>
    <w:uiPriority w:val="99"/>
    <w:semiHidden/>
    <w:rsid w:val="008C0074"/>
    <w:rPr>
      <w:rFonts w:ascii="Times New Roman" w:hAnsi="Times New Roman" w:cs="Times New Roman"/>
      <w:sz w:val="20"/>
      <w:szCs w:val="20"/>
      <w:lang w:val="lt-LT"/>
    </w:rPr>
  </w:style>
  <w:style w:type="character" w:styleId="EndnoteReference">
    <w:name w:val="endnote reference"/>
    <w:basedOn w:val="DefaultParagraphFont"/>
    <w:uiPriority w:val="99"/>
    <w:semiHidden/>
    <w:unhideWhenUsed/>
    <w:rsid w:val="008C0074"/>
    <w:rPr>
      <w:vertAlign w:val="superscript"/>
    </w:rPr>
  </w:style>
  <w:style w:type="paragraph" w:customStyle="1" w:styleId="Referatai">
    <w:name w:val="Referatai"/>
    <w:basedOn w:val="Normal"/>
    <w:link w:val="ReferataiChar"/>
    <w:autoRedefine/>
    <w:rsid w:val="00C73710"/>
    <w:pPr>
      <w:widowControl/>
      <w:autoSpaceDE w:val="0"/>
      <w:autoSpaceDN w:val="0"/>
      <w:adjustRightInd w:val="0"/>
      <w:ind w:firstLine="547"/>
    </w:pPr>
    <w:rPr>
      <w:rFonts w:eastAsia="Times New Roman" w:cs="Arial"/>
      <w:szCs w:val="24"/>
      <w:lang w:eastAsia="lt-LT"/>
    </w:rPr>
  </w:style>
  <w:style w:type="character" w:customStyle="1" w:styleId="ReferataiChar">
    <w:name w:val="Referatai Char"/>
    <w:basedOn w:val="DefaultParagraphFont"/>
    <w:link w:val="Referatai"/>
    <w:rsid w:val="00C73710"/>
    <w:rPr>
      <w:rFonts w:ascii="Times New Roman" w:eastAsia="Times New Roman" w:hAnsi="Times New Roman" w:cs="Arial"/>
      <w:sz w:val="24"/>
      <w:szCs w:val="24"/>
      <w:lang w:val="lt-LT" w:eastAsia="lt-LT"/>
    </w:rPr>
  </w:style>
  <w:style w:type="character" w:styleId="PlaceholderText">
    <w:name w:val="Placeholder Text"/>
    <w:basedOn w:val="DefaultParagraphFont"/>
    <w:uiPriority w:val="99"/>
    <w:semiHidden/>
    <w:rsid w:val="00651616"/>
    <w:rPr>
      <w:color w:val="808080"/>
    </w:rPr>
  </w:style>
  <w:style w:type="character" w:customStyle="1" w:styleId="Heading4Char">
    <w:name w:val="Heading 4 Char"/>
    <w:basedOn w:val="DefaultParagraphFont"/>
    <w:link w:val="Heading4"/>
    <w:uiPriority w:val="9"/>
    <w:rsid w:val="00C63EDF"/>
    <w:rPr>
      <w:rFonts w:asciiTheme="majorHAnsi" w:eastAsiaTheme="majorEastAsia" w:hAnsiTheme="majorHAnsi" w:cstheme="majorBidi"/>
      <w:b/>
      <w:bCs/>
      <w:i/>
      <w:iCs/>
      <w:color w:val="4F81BD" w:themeColor="accent1"/>
      <w:sz w:val="24"/>
      <w:szCs w:val="20"/>
      <w:lang w:val="lt-LT"/>
    </w:rPr>
  </w:style>
  <w:style w:type="character" w:customStyle="1" w:styleId="Heading5Char">
    <w:name w:val="Heading 5 Char"/>
    <w:basedOn w:val="DefaultParagraphFont"/>
    <w:link w:val="Heading5"/>
    <w:uiPriority w:val="9"/>
    <w:semiHidden/>
    <w:rsid w:val="00C63EDF"/>
    <w:rPr>
      <w:rFonts w:asciiTheme="majorHAnsi" w:eastAsiaTheme="majorEastAsia" w:hAnsiTheme="majorHAnsi" w:cstheme="majorBidi"/>
      <w:color w:val="243F60" w:themeColor="accent1" w:themeShade="7F"/>
      <w:sz w:val="24"/>
      <w:szCs w:val="20"/>
      <w:lang w:val="lt-LT"/>
    </w:rPr>
  </w:style>
  <w:style w:type="character" w:customStyle="1" w:styleId="Heading6Char">
    <w:name w:val="Heading 6 Char"/>
    <w:basedOn w:val="DefaultParagraphFont"/>
    <w:link w:val="Heading6"/>
    <w:uiPriority w:val="9"/>
    <w:semiHidden/>
    <w:rsid w:val="00C63EDF"/>
    <w:rPr>
      <w:rFonts w:asciiTheme="majorHAnsi" w:eastAsiaTheme="majorEastAsia" w:hAnsiTheme="majorHAnsi" w:cstheme="majorBidi"/>
      <w:i/>
      <w:iCs/>
      <w:color w:val="243F60" w:themeColor="accent1" w:themeShade="7F"/>
      <w:sz w:val="24"/>
      <w:szCs w:val="20"/>
      <w:lang w:val="lt-LT"/>
    </w:rPr>
  </w:style>
  <w:style w:type="character" w:customStyle="1" w:styleId="Heading7Char">
    <w:name w:val="Heading 7 Char"/>
    <w:basedOn w:val="DefaultParagraphFont"/>
    <w:link w:val="Heading7"/>
    <w:uiPriority w:val="9"/>
    <w:semiHidden/>
    <w:rsid w:val="00C63EDF"/>
    <w:rPr>
      <w:rFonts w:asciiTheme="majorHAnsi" w:eastAsiaTheme="majorEastAsia" w:hAnsiTheme="majorHAnsi" w:cstheme="majorBidi"/>
      <w:i/>
      <w:iCs/>
      <w:color w:val="404040" w:themeColor="text1" w:themeTint="BF"/>
      <w:sz w:val="24"/>
      <w:szCs w:val="20"/>
      <w:lang w:val="lt-LT"/>
    </w:rPr>
  </w:style>
  <w:style w:type="character" w:customStyle="1" w:styleId="Heading8Char">
    <w:name w:val="Heading 8 Char"/>
    <w:basedOn w:val="DefaultParagraphFont"/>
    <w:link w:val="Heading8"/>
    <w:uiPriority w:val="9"/>
    <w:semiHidden/>
    <w:rsid w:val="00C63EDF"/>
    <w:rPr>
      <w:rFonts w:asciiTheme="majorHAnsi" w:eastAsiaTheme="majorEastAsia" w:hAnsiTheme="majorHAnsi" w:cstheme="majorBidi"/>
      <w:color w:val="404040" w:themeColor="text1" w:themeTint="BF"/>
      <w:sz w:val="20"/>
      <w:szCs w:val="20"/>
      <w:lang w:val="lt-LT"/>
    </w:rPr>
  </w:style>
  <w:style w:type="character" w:customStyle="1" w:styleId="Heading9Char">
    <w:name w:val="Heading 9 Char"/>
    <w:basedOn w:val="DefaultParagraphFont"/>
    <w:link w:val="Heading9"/>
    <w:uiPriority w:val="9"/>
    <w:semiHidden/>
    <w:rsid w:val="00C63EDF"/>
    <w:rPr>
      <w:rFonts w:asciiTheme="majorHAnsi" w:eastAsiaTheme="majorEastAsia" w:hAnsiTheme="majorHAnsi" w:cstheme="majorBidi"/>
      <w:i/>
      <w:iCs/>
      <w:color w:val="404040" w:themeColor="text1" w:themeTint="BF"/>
      <w:sz w:val="20"/>
      <w:szCs w:val="20"/>
      <w:lang w:val="lt-LT"/>
    </w:rPr>
  </w:style>
  <w:style w:type="numbering" w:customStyle="1" w:styleId="Style1">
    <w:name w:val="Style1"/>
    <w:uiPriority w:val="99"/>
    <w:rsid w:val="00563942"/>
    <w:pPr>
      <w:numPr>
        <w:numId w:val="36"/>
      </w:numPr>
    </w:pPr>
  </w:style>
  <w:style w:type="numbering" w:customStyle="1" w:styleId="Style2">
    <w:name w:val="Style2"/>
    <w:uiPriority w:val="99"/>
    <w:rsid w:val="00563942"/>
    <w:pPr>
      <w:numPr>
        <w:numId w:val="37"/>
      </w:numPr>
    </w:pPr>
  </w:style>
  <w:style w:type="numbering" w:customStyle="1" w:styleId="Style3">
    <w:name w:val="Style3"/>
    <w:uiPriority w:val="99"/>
    <w:rsid w:val="00563942"/>
    <w:pPr>
      <w:numPr>
        <w:numId w:val="38"/>
      </w:numPr>
    </w:pPr>
  </w:style>
  <w:style w:type="paragraph" w:styleId="TableofFigures">
    <w:name w:val="table of figures"/>
    <w:basedOn w:val="Normal"/>
    <w:next w:val="Normal"/>
    <w:autoRedefine/>
    <w:uiPriority w:val="99"/>
    <w:unhideWhenUsed/>
    <w:qFormat/>
    <w:rsid w:val="00154441"/>
    <w:pPr>
      <w:tabs>
        <w:tab w:val="right" w:leader="dot" w:pos="10245"/>
      </w:tabs>
      <w:ind w:firstLine="0"/>
    </w:pPr>
  </w:style>
  <w:style w:type="character" w:styleId="FollowedHyperlink">
    <w:name w:val="FollowedHyperlink"/>
    <w:basedOn w:val="DefaultParagraphFont"/>
    <w:uiPriority w:val="99"/>
    <w:semiHidden/>
    <w:unhideWhenUsed/>
    <w:rsid w:val="00E532AD"/>
    <w:rPr>
      <w:color w:val="800080" w:themeColor="followedHyperlink"/>
      <w:u w:val="single"/>
    </w:rPr>
  </w:style>
  <w:style w:type="table" w:styleId="LightGrid-Accent5">
    <w:name w:val="Light Grid Accent 5"/>
    <w:basedOn w:val="TableNormal"/>
    <w:uiPriority w:val="62"/>
    <w:rsid w:val="0088634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divs>
    <w:div w:id="69811659">
      <w:bodyDiv w:val="1"/>
      <w:marLeft w:val="0"/>
      <w:marRight w:val="0"/>
      <w:marTop w:val="0"/>
      <w:marBottom w:val="0"/>
      <w:divBdr>
        <w:top w:val="none" w:sz="0" w:space="0" w:color="auto"/>
        <w:left w:val="none" w:sz="0" w:space="0" w:color="auto"/>
        <w:bottom w:val="none" w:sz="0" w:space="0" w:color="auto"/>
        <w:right w:val="none" w:sz="0" w:space="0" w:color="auto"/>
      </w:divBdr>
    </w:div>
    <w:div w:id="670454452">
      <w:bodyDiv w:val="1"/>
      <w:marLeft w:val="0"/>
      <w:marRight w:val="0"/>
      <w:marTop w:val="0"/>
      <w:marBottom w:val="0"/>
      <w:divBdr>
        <w:top w:val="none" w:sz="0" w:space="0" w:color="auto"/>
        <w:left w:val="none" w:sz="0" w:space="0" w:color="auto"/>
        <w:bottom w:val="none" w:sz="0" w:space="0" w:color="auto"/>
        <w:right w:val="none" w:sz="0" w:space="0" w:color="auto"/>
      </w:divBdr>
    </w:div>
    <w:div w:id="676080861">
      <w:bodyDiv w:val="1"/>
      <w:marLeft w:val="0"/>
      <w:marRight w:val="0"/>
      <w:marTop w:val="0"/>
      <w:marBottom w:val="0"/>
      <w:divBdr>
        <w:top w:val="none" w:sz="0" w:space="0" w:color="auto"/>
        <w:left w:val="none" w:sz="0" w:space="0" w:color="auto"/>
        <w:bottom w:val="none" w:sz="0" w:space="0" w:color="auto"/>
        <w:right w:val="none" w:sz="0" w:space="0" w:color="auto"/>
      </w:divBdr>
    </w:div>
    <w:div w:id="1185899623">
      <w:bodyDiv w:val="1"/>
      <w:marLeft w:val="0"/>
      <w:marRight w:val="0"/>
      <w:marTop w:val="0"/>
      <w:marBottom w:val="0"/>
      <w:divBdr>
        <w:top w:val="none" w:sz="0" w:space="0" w:color="auto"/>
        <w:left w:val="none" w:sz="0" w:space="0" w:color="auto"/>
        <w:bottom w:val="none" w:sz="0" w:space="0" w:color="auto"/>
        <w:right w:val="none" w:sz="0" w:space="0" w:color="auto"/>
      </w:divBdr>
    </w:div>
    <w:div w:id="1503081356">
      <w:bodyDiv w:val="1"/>
      <w:marLeft w:val="0"/>
      <w:marRight w:val="0"/>
      <w:marTop w:val="0"/>
      <w:marBottom w:val="0"/>
      <w:divBdr>
        <w:top w:val="none" w:sz="0" w:space="0" w:color="auto"/>
        <w:left w:val="none" w:sz="0" w:space="0" w:color="auto"/>
        <w:bottom w:val="none" w:sz="0" w:space="0" w:color="auto"/>
        <w:right w:val="none" w:sz="0" w:space="0" w:color="auto"/>
      </w:divBdr>
    </w:div>
    <w:div w:id="182701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image" Target="media/image3.png"/><Relationship Id="rId39" Type="http://schemas.openxmlformats.org/officeDocument/2006/relationships/oleObject" Target="embeddings/oleObject7.bin"/><Relationship Id="rId21" Type="http://schemas.openxmlformats.org/officeDocument/2006/relationships/header" Target="header2.xml"/><Relationship Id="rId34" Type="http://schemas.openxmlformats.org/officeDocument/2006/relationships/oleObject" Target="embeddings/oleObject4.bin"/><Relationship Id="rId42" Type="http://schemas.openxmlformats.org/officeDocument/2006/relationships/oleObject" Target="embeddings/oleObject9.bin"/><Relationship Id="rId47" Type="http://schemas.openxmlformats.org/officeDocument/2006/relationships/oleObject" Target="embeddings/oleObject12.bin"/><Relationship Id="rId50" Type="http://schemas.openxmlformats.org/officeDocument/2006/relationships/control" Target="activeX/activeX1.xml"/><Relationship Id="rId55" Type="http://schemas.openxmlformats.org/officeDocument/2006/relationships/control" Target="activeX/activeX6.xml"/><Relationship Id="rId63" Type="http://schemas.openxmlformats.org/officeDocument/2006/relationships/control" Target="activeX/activeX14.xml"/><Relationship Id="rId68" Type="http://schemas.openxmlformats.org/officeDocument/2006/relationships/control" Target="activeX/activeX19.xml"/><Relationship Id="rId76" Type="http://schemas.openxmlformats.org/officeDocument/2006/relationships/control" Target="activeX/activeX27.xml"/><Relationship Id="rId84" Type="http://schemas.openxmlformats.org/officeDocument/2006/relationships/control" Target="activeX/activeX34.xm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ontrol" Target="activeX/activeX22.xml"/><Relationship Id="rId2" Type="http://schemas.openxmlformats.org/officeDocument/2006/relationships/numbering" Target="numbering.xml"/><Relationship Id="rId16" Type="http://schemas.openxmlformats.org/officeDocument/2006/relationships/chart" Target="charts/chart7.xml"/><Relationship Id="rId29" Type="http://schemas.openxmlformats.org/officeDocument/2006/relationships/image" Target="media/image5.wmf"/><Relationship Id="rId11" Type="http://schemas.openxmlformats.org/officeDocument/2006/relationships/chart" Target="charts/chart2.xml"/><Relationship Id="rId24" Type="http://schemas.openxmlformats.org/officeDocument/2006/relationships/header" Target="header3.xml"/><Relationship Id="rId32" Type="http://schemas.openxmlformats.org/officeDocument/2006/relationships/oleObject" Target="embeddings/oleObject3.bin"/><Relationship Id="rId37" Type="http://schemas.openxmlformats.org/officeDocument/2006/relationships/oleObject" Target="embeddings/oleObject6.bin"/><Relationship Id="rId40" Type="http://schemas.openxmlformats.org/officeDocument/2006/relationships/image" Target="media/image10.wmf"/><Relationship Id="rId45" Type="http://schemas.openxmlformats.org/officeDocument/2006/relationships/image" Target="media/image12.wmf"/><Relationship Id="rId53" Type="http://schemas.openxmlformats.org/officeDocument/2006/relationships/control" Target="activeX/activeX4.xml"/><Relationship Id="rId58" Type="http://schemas.openxmlformats.org/officeDocument/2006/relationships/control" Target="activeX/activeX9.xml"/><Relationship Id="rId66" Type="http://schemas.openxmlformats.org/officeDocument/2006/relationships/control" Target="activeX/activeX17.xml"/><Relationship Id="rId74" Type="http://schemas.openxmlformats.org/officeDocument/2006/relationships/control" Target="activeX/activeX25.xml"/><Relationship Id="rId79" Type="http://schemas.openxmlformats.org/officeDocument/2006/relationships/control" Target="activeX/activeX30.xml"/><Relationship Id="rId87" Type="http://schemas.openxmlformats.org/officeDocument/2006/relationships/control" Target="activeX/activeX37.xml"/><Relationship Id="rId5" Type="http://schemas.openxmlformats.org/officeDocument/2006/relationships/webSettings" Target="webSettings.xml"/><Relationship Id="rId61" Type="http://schemas.openxmlformats.org/officeDocument/2006/relationships/control" Target="activeX/activeX12.xml"/><Relationship Id="rId82" Type="http://schemas.openxmlformats.org/officeDocument/2006/relationships/image" Target="media/image14.png"/><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footer" Target="footer1.xml"/><Relationship Id="rId27" Type="http://schemas.openxmlformats.org/officeDocument/2006/relationships/image" Target="media/image4.wmf"/><Relationship Id="rId30" Type="http://schemas.openxmlformats.org/officeDocument/2006/relationships/oleObject" Target="embeddings/oleObject2.bin"/><Relationship Id="rId35" Type="http://schemas.openxmlformats.org/officeDocument/2006/relationships/image" Target="media/image8.wmf"/><Relationship Id="rId43" Type="http://schemas.openxmlformats.org/officeDocument/2006/relationships/image" Target="media/image11.wmf"/><Relationship Id="rId48" Type="http://schemas.openxmlformats.org/officeDocument/2006/relationships/header" Target="header4.xml"/><Relationship Id="rId56" Type="http://schemas.openxmlformats.org/officeDocument/2006/relationships/control" Target="activeX/activeX7.xml"/><Relationship Id="rId64" Type="http://schemas.openxmlformats.org/officeDocument/2006/relationships/control" Target="activeX/activeX15.xml"/><Relationship Id="rId69" Type="http://schemas.openxmlformats.org/officeDocument/2006/relationships/control" Target="activeX/activeX20.xml"/><Relationship Id="rId77" Type="http://schemas.openxmlformats.org/officeDocument/2006/relationships/control" Target="activeX/activeX28.xml"/><Relationship Id="rId8" Type="http://schemas.openxmlformats.org/officeDocument/2006/relationships/image" Target="media/image1.png"/><Relationship Id="rId51" Type="http://schemas.openxmlformats.org/officeDocument/2006/relationships/control" Target="activeX/activeX2.xml"/><Relationship Id="rId72" Type="http://schemas.openxmlformats.org/officeDocument/2006/relationships/control" Target="activeX/activeX23.xml"/><Relationship Id="rId80" Type="http://schemas.openxmlformats.org/officeDocument/2006/relationships/control" Target="activeX/activeX31.xml"/><Relationship Id="rId85" Type="http://schemas.openxmlformats.org/officeDocument/2006/relationships/control" Target="activeX/activeX35.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3.xml"/><Relationship Id="rId33" Type="http://schemas.openxmlformats.org/officeDocument/2006/relationships/image" Target="media/image7.wmf"/><Relationship Id="rId38" Type="http://schemas.openxmlformats.org/officeDocument/2006/relationships/image" Target="media/image9.wmf"/><Relationship Id="rId46" Type="http://schemas.openxmlformats.org/officeDocument/2006/relationships/oleObject" Target="embeddings/oleObject11.bin"/><Relationship Id="rId59" Type="http://schemas.openxmlformats.org/officeDocument/2006/relationships/control" Target="activeX/activeX10.xml"/><Relationship Id="rId67" Type="http://schemas.openxmlformats.org/officeDocument/2006/relationships/control" Target="activeX/activeX18.xml"/><Relationship Id="rId20" Type="http://schemas.openxmlformats.org/officeDocument/2006/relationships/header" Target="header1.xml"/><Relationship Id="rId41" Type="http://schemas.openxmlformats.org/officeDocument/2006/relationships/oleObject" Target="embeddings/oleObject8.bin"/><Relationship Id="rId54" Type="http://schemas.openxmlformats.org/officeDocument/2006/relationships/control" Target="activeX/activeX5.xml"/><Relationship Id="rId62" Type="http://schemas.openxmlformats.org/officeDocument/2006/relationships/control" Target="activeX/activeX13.xml"/><Relationship Id="rId70" Type="http://schemas.openxmlformats.org/officeDocument/2006/relationships/control" Target="activeX/activeX21.xml"/><Relationship Id="rId75" Type="http://schemas.openxmlformats.org/officeDocument/2006/relationships/control" Target="activeX/activeX26.xml"/><Relationship Id="rId83" Type="http://schemas.openxmlformats.org/officeDocument/2006/relationships/control" Target="activeX/activeX33.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footer" Target="footer2.xml"/><Relationship Id="rId28" Type="http://schemas.openxmlformats.org/officeDocument/2006/relationships/oleObject" Target="embeddings/oleObject1.bin"/><Relationship Id="rId36" Type="http://schemas.openxmlformats.org/officeDocument/2006/relationships/oleObject" Target="embeddings/oleObject5.bin"/><Relationship Id="rId49" Type="http://schemas.openxmlformats.org/officeDocument/2006/relationships/image" Target="media/image13.wmf"/><Relationship Id="rId57" Type="http://schemas.openxmlformats.org/officeDocument/2006/relationships/control" Target="activeX/activeX8.xml"/><Relationship Id="rId10" Type="http://schemas.openxmlformats.org/officeDocument/2006/relationships/chart" Target="charts/chart1.xml"/><Relationship Id="rId31" Type="http://schemas.openxmlformats.org/officeDocument/2006/relationships/image" Target="media/image6.wmf"/><Relationship Id="rId44" Type="http://schemas.openxmlformats.org/officeDocument/2006/relationships/oleObject" Target="embeddings/oleObject10.bin"/><Relationship Id="rId52" Type="http://schemas.openxmlformats.org/officeDocument/2006/relationships/control" Target="activeX/activeX3.xml"/><Relationship Id="rId60" Type="http://schemas.openxmlformats.org/officeDocument/2006/relationships/control" Target="activeX/activeX11.xml"/><Relationship Id="rId65" Type="http://schemas.openxmlformats.org/officeDocument/2006/relationships/control" Target="activeX/activeX16.xml"/><Relationship Id="rId73" Type="http://schemas.openxmlformats.org/officeDocument/2006/relationships/control" Target="activeX/activeX24.xml"/><Relationship Id="rId78" Type="http://schemas.openxmlformats.org/officeDocument/2006/relationships/control" Target="activeX/activeX29.xml"/><Relationship Id="rId81" Type="http://schemas.openxmlformats.org/officeDocument/2006/relationships/control" Target="activeX/activeX32.xml"/><Relationship Id="rId86" Type="http://schemas.openxmlformats.org/officeDocument/2006/relationships/control" Target="activeX/activeX3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4132619053116947"/>
          <c:y val="0.11787083099968153"/>
          <c:w val="0.27936084235804903"/>
          <c:h val="0.82122454520771049"/>
        </c:manualLayout>
      </c:layout>
      <c:radarChart>
        <c:radarStyle val="marker"/>
        <c:ser>
          <c:idx val="0"/>
          <c:order val="0"/>
          <c:tx>
            <c:strRef>
              <c:f>Sheet1!$B$1</c:f>
              <c:strCache>
                <c:ptCount val="1"/>
                <c:pt idx="0">
                  <c:v>Apklausos rezultatai</c:v>
                </c:pt>
              </c:strCache>
            </c:strRef>
          </c:tx>
          <c:spPr>
            <a:ln>
              <a:solidFill>
                <a:srgbClr val="FF0000"/>
              </a:solidFill>
            </a:ln>
          </c:spPr>
          <c:marker>
            <c:symbol val="none"/>
          </c:marker>
          <c:cat>
            <c:strRef>
              <c:f>Sheet1!$A$2:$A$10</c:f>
              <c:strCache>
                <c:ptCount val="9"/>
                <c:pt idx="0">
                  <c:v>a1</c:v>
                </c:pt>
                <c:pt idx="1">
                  <c:v>a2</c:v>
                </c:pt>
                <c:pt idx="2">
                  <c:v>a3</c:v>
                </c:pt>
                <c:pt idx="3">
                  <c:v>a4</c:v>
                </c:pt>
                <c:pt idx="4">
                  <c:v>a5</c:v>
                </c:pt>
                <c:pt idx="5">
                  <c:v>a6</c:v>
                </c:pt>
                <c:pt idx="6">
                  <c:v>a7</c:v>
                </c:pt>
                <c:pt idx="7">
                  <c:v>a8</c:v>
                </c:pt>
                <c:pt idx="8">
                  <c:v>a9</c:v>
                </c:pt>
              </c:strCache>
            </c:strRef>
          </c:cat>
          <c:val>
            <c:numRef>
              <c:f>Sheet1!$B$2:$B$10</c:f>
              <c:numCache>
                <c:formatCode>General</c:formatCode>
                <c:ptCount val="9"/>
                <c:pt idx="0">
                  <c:v>1.5</c:v>
                </c:pt>
                <c:pt idx="1">
                  <c:v>1.5</c:v>
                </c:pt>
                <c:pt idx="2">
                  <c:v>1.5</c:v>
                </c:pt>
                <c:pt idx="3">
                  <c:v>4.5</c:v>
                </c:pt>
                <c:pt idx="4">
                  <c:v>6</c:v>
                </c:pt>
                <c:pt idx="5">
                  <c:v>6</c:v>
                </c:pt>
                <c:pt idx="6">
                  <c:v>4.5</c:v>
                </c:pt>
                <c:pt idx="7">
                  <c:v>3</c:v>
                </c:pt>
                <c:pt idx="8">
                  <c:v>3</c:v>
                </c:pt>
              </c:numCache>
            </c:numRef>
          </c:val>
        </c:ser>
        <c:ser>
          <c:idx val="1"/>
          <c:order val="1"/>
          <c:tx>
            <c:strRef>
              <c:f>Sheet1!$C$1</c:f>
              <c:strCache>
                <c:ptCount val="1"/>
                <c:pt idx="0">
                  <c:v>Pageidautina reikšmė</c:v>
                </c:pt>
              </c:strCache>
            </c:strRef>
          </c:tx>
          <c:spPr>
            <a:ln>
              <a:solidFill>
                <a:srgbClr val="0070C0"/>
              </a:solidFill>
            </a:ln>
          </c:spPr>
          <c:marker>
            <c:symbol val="none"/>
          </c:marker>
          <c:cat>
            <c:strRef>
              <c:f>Sheet1!$A$2:$A$10</c:f>
              <c:strCache>
                <c:ptCount val="9"/>
                <c:pt idx="0">
                  <c:v>a1</c:v>
                </c:pt>
                <c:pt idx="1">
                  <c:v>a2</c:v>
                </c:pt>
                <c:pt idx="2">
                  <c:v>a3</c:v>
                </c:pt>
                <c:pt idx="3">
                  <c:v>a4</c:v>
                </c:pt>
                <c:pt idx="4">
                  <c:v>a5</c:v>
                </c:pt>
                <c:pt idx="5">
                  <c:v>a6</c:v>
                </c:pt>
                <c:pt idx="6">
                  <c:v>a7</c:v>
                </c:pt>
                <c:pt idx="7">
                  <c:v>a8</c:v>
                </c:pt>
                <c:pt idx="8">
                  <c:v>a9</c:v>
                </c:pt>
              </c:strCache>
            </c:strRef>
          </c:cat>
          <c:val>
            <c:numRef>
              <c:f>Sheet1!$C$2:$C$10</c:f>
              <c:numCache>
                <c:formatCode>General</c:formatCode>
                <c:ptCount val="9"/>
                <c:pt idx="0">
                  <c:v>7.5</c:v>
                </c:pt>
                <c:pt idx="1">
                  <c:v>6</c:v>
                </c:pt>
                <c:pt idx="2">
                  <c:v>6</c:v>
                </c:pt>
                <c:pt idx="3">
                  <c:v>7.5</c:v>
                </c:pt>
                <c:pt idx="4">
                  <c:v>6</c:v>
                </c:pt>
                <c:pt idx="5">
                  <c:v>8</c:v>
                </c:pt>
                <c:pt idx="6">
                  <c:v>6</c:v>
                </c:pt>
                <c:pt idx="7">
                  <c:v>5</c:v>
                </c:pt>
                <c:pt idx="8">
                  <c:v>6</c:v>
                </c:pt>
              </c:numCache>
            </c:numRef>
          </c:val>
        </c:ser>
        <c:ser>
          <c:idx val="2"/>
          <c:order val="2"/>
          <c:tx>
            <c:strRef>
              <c:f>Sheet1!$D$1</c:f>
              <c:strCache>
                <c:ptCount val="1"/>
                <c:pt idx="0">
                  <c:v>„Pusiausvyros taškas“</c:v>
                </c:pt>
              </c:strCache>
            </c:strRef>
          </c:tx>
          <c:spPr>
            <a:ln>
              <a:solidFill>
                <a:srgbClr val="E01AD2"/>
              </a:solidFill>
              <a:prstDash val="sysDash"/>
            </a:ln>
          </c:spPr>
          <c:marker>
            <c:symbol val="none"/>
          </c:marker>
          <c:cat>
            <c:strRef>
              <c:f>Sheet1!$A$2:$A$10</c:f>
              <c:strCache>
                <c:ptCount val="9"/>
                <c:pt idx="0">
                  <c:v>a1</c:v>
                </c:pt>
                <c:pt idx="1">
                  <c:v>a2</c:v>
                </c:pt>
                <c:pt idx="2">
                  <c:v>a3</c:v>
                </c:pt>
                <c:pt idx="3">
                  <c:v>a4</c:v>
                </c:pt>
                <c:pt idx="4">
                  <c:v>a5</c:v>
                </c:pt>
                <c:pt idx="5">
                  <c:v>a6</c:v>
                </c:pt>
                <c:pt idx="6">
                  <c:v>a7</c:v>
                </c:pt>
                <c:pt idx="7">
                  <c:v>a8</c:v>
                </c:pt>
                <c:pt idx="8">
                  <c:v>a9</c:v>
                </c:pt>
              </c:strCache>
            </c:strRef>
          </c:cat>
          <c:val>
            <c:numRef>
              <c:f>Sheet1!$D$2:$D$10</c:f>
              <c:numCache>
                <c:formatCode>General</c:formatCode>
                <c:ptCount val="9"/>
                <c:pt idx="0">
                  <c:v>3.75</c:v>
                </c:pt>
                <c:pt idx="1">
                  <c:v>3</c:v>
                </c:pt>
                <c:pt idx="2">
                  <c:v>3</c:v>
                </c:pt>
                <c:pt idx="3">
                  <c:v>3.75</c:v>
                </c:pt>
                <c:pt idx="4">
                  <c:v>3</c:v>
                </c:pt>
                <c:pt idx="5">
                  <c:v>4</c:v>
                </c:pt>
                <c:pt idx="6">
                  <c:v>3</c:v>
                </c:pt>
                <c:pt idx="7">
                  <c:v>2.5</c:v>
                </c:pt>
                <c:pt idx="8">
                  <c:v>3</c:v>
                </c:pt>
              </c:numCache>
            </c:numRef>
          </c:val>
        </c:ser>
        <c:axId val="71182208"/>
        <c:axId val="71183744"/>
      </c:radarChart>
      <c:catAx>
        <c:axId val="71182208"/>
        <c:scaling>
          <c:orientation val="minMax"/>
        </c:scaling>
        <c:axPos val="b"/>
        <c:majorGridlines/>
        <c:majorTickMark val="none"/>
        <c:tickLblPos val="nextTo"/>
        <c:spPr>
          <a:ln w="9525">
            <a:noFill/>
          </a:ln>
        </c:spPr>
        <c:crossAx val="71183744"/>
        <c:crosses val="autoZero"/>
        <c:auto val="1"/>
        <c:lblAlgn val="ctr"/>
        <c:lblOffset val="100"/>
      </c:catAx>
      <c:valAx>
        <c:axId val="71183744"/>
        <c:scaling>
          <c:orientation val="minMax"/>
          <c:max val="10"/>
        </c:scaling>
        <c:axPos val="l"/>
        <c:majorGridlines/>
        <c:numFmt formatCode="General" sourceLinked="1"/>
        <c:tickLblPos val="nextTo"/>
        <c:crossAx val="71182208"/>
        <c:crosses val="autoZero"/>
        <c:crossBetween val="between"/>
        <c:minorUnit val="1"/>
      </c:valAx>
    </c:plotArea>
    <c:legend>
      <c:legendPos val="r"/>
      <c:layout/>
    </c:legend>
    <c:plotVisOnly val="1"/>
  </c:chart>
  <c:spPr>
    <a:ln w="25400">
      <a:solidFill>
        <a:schemeClr val="accent1">
          <a:lumMod val="75000"/>
        </a:schemeClr>
      </a:solidFill>
    </a:ln>
    <a:effectLst>
      <a:outerShdw blurRad="50800" dist="38100" dir="2700000" algn="tl" rotWithShape="0">
        <a:schemeClr val="tx1">
          <a:alpha val="40000"/>
        </a:scheme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5.7060282375562064E-2"/>
          <c:y val="5.7377362713381772E-2"/>
          <c:w val="0.68064082433381956"/>
          <c:h val="0.79835187956877385"/>
        </c:manualLayout>
      </c:layout>
      <c:barChart>
        <c:barDir val="col"/>
        <c:grouping val="clustered"/>
        <c:ser>
          <c:idx val="0"/>
          <c:order val="0"/>
          <c:tx>
            <c:strRef>
              <c:f>Sheet1!$B$1</c:f>
              <c:strCache>
                <c:ptCount val="1"/>
                <c:pt idx="0">
                  <c:v>Ekspertų vertinimas</c:v>
                </c:pt>
              </c:strCache>
            </c:strRef>
          </c:tx>
          <c:spPr>
            <a:solidFill>
              <a:srgbClr val="00B050"/>
            </a:solidFill>
            <a:ln>
              <a:solidFill>
                <a:schemeClr val="accent3">
                  <a:lumMod val="50000"/>
                </a:schemeClr>
              </a:solidFill>
            </a:ln>
          </c:spPr>
          <c:dLbls>
            <c:dLblPos val="inBase"/>
            <c:showVal val="1"/>
          </c:dLbls>
          <c:cat>
            <c:strRef>
              <c:f>Sheet1!$A$2:$A$5</c:f>
              <c:strCache>
                <c:ptCount val="4"/>
                <c:pt idx="0">
                  <c:v>A</c:v>
                </c:pt>
                <c:pt idx="1">
                  <c:v>B</c:v>
                </c:pt>
                <c:pt idx="2">
                  <c:v>C</c:v>
                </c:pt>
                <c:pt idx="3">
                  <c:v>D</c:v>
                </c:pt>
              </c:strCache>
            </c:strRef>
          </c:cat>
          <c:val>
            <c:numRef>
              <c:f>Sheet1!$B$2:$B$5</c:f>
              <c:numCache>
                <c:formatCode>General</c:formatCode>
                <c:ptCount val="4"/>
                <c:pt idx="0">
                  <c:v>26</c:v>
                </c:pt>
                <c:pt idx="1">
                  <c:v>20</c:v>
                </c:pt>
                <c:pt idx="2">
                  <c:v>13.5</c:v>
                </c:pt>
                <c:pt idx="3">
                  <c:v>9</c:v>
                </c:pt>
              </c:numCache>
            </c:numRef>
          </c:val>
        </c:ser>
        <c:ser>
          <c:idx val="1"/>
          <c:order val="1"/>
          <c:tx>
            <c:strRef>
              <c:f>Sheet1!$C$1</c:f>
              <c:strCache>
                <c:ptCount val="1"/>
                <c:pt idx="0">
                  <c:v>Apklausos rezultatai</c:v>
                </c:pt>
              </c:strCache>
            </c:strRef>
          </c:tx>
          <c:spPr>
            <a:solidFill>
              <a:srgbClr val="FF0000"/>
            </a:solidFill>
            <a:ln>
              <a:solidFill>
                <a:srgbClr val="C00000"/>
              </a:solidFill>
            </a:ln>
          </c:spPr>
          <c:dLbls>
            <c:dLblPos val="inBase"/>
            <c:showVal val="1"/>
          </c:dLbls>
          <c:cat>
            <c:strRef>
              <c:f>Sheet1!$A$2:$A$5</c:f>
              <c:strCache>
                <c:ptCount val="4"/>
                <c:pt idx="0">
                  <c:v>A</c:v>
                </c:pt>
                <c:pt idx="1">
                  <c:v>B</c:v>
                </c:pt>
                <c:pt idx="2">
                  <c:v>C</c:v>
                </c:pt>
                <c:pt idx="3">
                  <c:v>D</c:v>
                </c:pt>
              </c:strCache>
            </c:strRef>
          </c:cat>
          <c:val>
            <c:numRef>
              <c:f>Sheet1!$C$2:$C$5</c:f>
              <c:numCache>
                <c:formatCode>General</c:formatCode>
                <c:ptCount val="4"/>
                <c:pt idx="0">
                  <c:v>31.5</c:v>
                </c:pt>
                <c:pt idx="1">
                  <c:v>29</c:v>
                </c:pt>
                <c:pt idx="2">
                  <c:v>19</c:v>
                </c:pt>
                <c:pt idx="3">
                  <c:v>15</c:v>
                </c:pt>
              </c:numCache>
            </c:numRef>
          </c:val>
        </c:ser>
        <c:ser>
          <c:idx val="3"/>
          <c:order val="3"/>
          <c:tx>
            <c:strRef>
              <c:f>Sheet1!$E$1</c:f>
              <c:strCache>
                <c:ptCount val="1"/>
                <c:pt idx="0">
                  <c:v>Pageidautina reikšmė</c:v>
                </c:pt>
              </c:strCache>
            </c:strRef>
          </c:tx>
          <c:spPr>
            <a:solidFill>
              <a:srgbClr val="99CCFF"/>
            </a:solidFill>
            <a:ln>
              <a:solidFill>
                <a:srgbClr val="0070C0"/>
              </a:solidFill>
            </a:ln>
          </c:spPr>
          <c:dLbls>
            <c:dLblPos val="inBase"/>
            <c:showVal val="1"/>
          </c:dLbls>
          <c:cat>
            <c:strRef>
              <c:f>Sheet1!$A$2:$A$5</c:f>
              <c:strCache>
                <c:ptCount val="4"/>
                <c:pt idx="0">
                  <c:v>A</c:v>
                </c:pt>
                <c:pt idx="1">
                  <c:v>B</c:v>
                </c:pt>
                <c:pt idx="2">
                  <c:v>C</c:v>
                </c:pt>
                <c:pt idx="3">
                  <c:v>D</c:v>
                </c:pt>
              </c:strCache>
            </c:strRef>
          </c:cat>
          <c:val>
            <c:numRef>
              <c:f>Sheet1!$E$2:$E$5</c:f>
              <c:numCache>
                <c:formatCode>General</c:formatCode>
                <c:ptCount val="4"/>
                <c:pt idx="0">
                  <c:v>58</c:v>
                </c:pt>
                <c:pt idx="1">
                  <c:v>36</c:v>
                </c:pt>
                <c:pt idx="2">
                  <c:v>34</c:v>
                </c:pt>
                <c:pt idx="3">
                  <c:v>20</c:v>
                </c:pt>
              </c:numCache>
            </c:numRef>
          </c:val>
        </c:ser>
        <c:axId val="79356672"/>
        <c:axId val="79358208"/>
      </c:barChart>
      <c:lineChart>
        <c:grouping val="stacked"/>
        <c:ser>
          <c:idx val="2"/>
          <c:order val="2"/>
          <c:tx>
            <c:strRef>
              <c:f>Sheet1!$D$1</c:f>
              <c:strCache>
                <c:ptCount val="1"/>
                <c:pt idx="0">
                  <c:v>„Pusiausvyros taškas“</c:v>
                </c:pt>
              </c:strCache>
            </c:strRef>
          </c:tx>
          <c:spPr>
            <a:ln w="25400">
              <a:solidFill>
                <a:srgbClr val="FF66CC"/>
              </a:solidFill>
            </a:ln>
          </c:spPr>
          <c:marker>
            <c:symbol val="circle"/>
            <c:size val="4"/>
            <c:spPr>
              <a:solidFill>
                <a:srgbClr val="FF66CC"/>
              </a:solidFill>
              <a:ln>
                <a:solidFill>
                  <a:srgbClr val="FF66CC"/>
                </a:solidFill>
              </a:ln>
            </c:spPr>
          </c:marker>
          <c:dLbls>
            <c:dLblPos val="t"/>
            <c:showVal val="1"/>
          </c:dLbls>
          <c:cat>
            <c:strRef>
              <c:f>Sheet1!$A$2:$A$5</c:f>
              <c:strCache>
                <c:ptCount val="4"/>
                <c:pt idx="0">
                  <c:v>A</c:v>
                </c:pt>
                <c:pt idx="1">
                  <c:v>B</c:v>
                </c:pt>
                <c:pt idx="2">
                  <c:v>C</c:v>
                </c:pt>
                <c:pt idx="3">
                  <c:v>D</c:v>
                </c:pt>
              </c:strCache>
            </c:strRef>
          </c:cat>
          <c:val>
            <c:numRef>
              <c:f>Sheet1!$D$2:$D$5</c:f>
              <c:numCache>
                <c:formatCode>General</c:formatCode>
                <c:ptCount val="4"/>
                <c:pt idx="0">
                  <c:v>29</c:v>
                </c:pt>
                <c:pt idx="1">
                  <c:v>18</c:v>
                </c:pt>
                <c:pt idx="2">
                  <c:v>17</c:v>
                </c:pt>
                <c:pt idx="3">
                  <c:v>10</c:v>
                </c:pt>
              </c:numCache>
            </c:numRef>
          </c:val>
          <c:smooth val="1"/>
        </c:ser>
        <c:marker val="1"/>
        <c:axId val="79356672"/>
        <c:axId val="79358208"/>
      </c:lineChart>
      <c:catAx>
        <c:axId val="79356672"/>
        <c:scaling>
          <c:orientation val="minMax"/>
        </c:scaling>
        <c:axPos val="b"/>
        <c:majorGridlines/>
        <c:numFmt formatCode="General" sourceLinked="1"/>
        <c:tickLblPos val="nextTo"/>
        <c:crossAx val="79358208"/>
        <c:crosses val="autoZero"/>
        <c:auto val="1"/>
        <c:lblAlgn val="ctr"/>
        <c:lblOffset val="100"/>
      </c:catAx>
      <c:valAx>
        <c:axId val="79358208"/>
        <c:scaling>
          <c:orientation val="minMax"/>
          <c:max val="60"/>
          <c:min val="0"/>
        </c:scaling>
        <c:axPos val="l"/>
        <c:majorGridlines/>
        <c:numFmt formatCode="General" sourceLinked="1"/>
        <c:majorTickMark val="cross"/>
        <c:tickLblPos val="nextTo"/>
        <c:crossAx val="79356672"/>
        <c:crosses val="autoZero"/>
        <c:crossBetween val="between"/>
        <c:minorUnit val="1"/>
      </c:valAx>
    </c:plotArea>
    <c:legend>
      <c:legendPos val="r"/>
      <c:layout/>
      <c:txPr>
        <a:bodyPr/>
        <a:lstStyle/>
        <a:p>
          <a:pPr rtl="0">
            <a:defRPr/>
          </a:pPr>
          <a:endParaRPr lang="en-US"/>
        </a:p>
      </c:txPr>
    </c:legend>
    <c:plotVisOnly val="1"/>
    <c:dispBlanksAs val="zero"/>
  </c:chart>
  <c:spPr>
    <a:ln w="25400">
      <a:solidFill>
        <a:schemeClr val="accent1">
          <a:lumMod val="75000"/>
        </a:schemeClr>
      </a:solidFill>
    </a:ln>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0.24132619053116958"/>
          <c:y val="0.11787083099968153"/>
          <c:w val="0.27936084235804926"/>
          <c:h val="0.82122454520771049"/>
        </c:manualLayout>
      </c:layout>
      <c:radarChart>
        <c:radarStyle val="marker"/>
        <c:ser>
          <c:idx val="0"/>
          <c:order val="0"/>
          <c:tx>
            <c:strRef>
              <c:f>Sheet1!$B$1</c:f>
              <c:strCache>
                <c:ptCount val="1"/>
                <c:pt idx="0">
                  <c:v>Apklausos rezultatai</c:v>
                </c:pt>
              </c:strCache>
            </c:strRef>
          </c:tx>
          <c:spPr>
            <a:ln>
              <a:solidFill>
                <a:srgbClr val="FF0000"/>
              </a:solidFill>
            </a:ln>
          </c:spPr>
          <c:marker>
            <c:symbol val="none"/>
          </c:marker>
          <c:cat>
            <c:strRef>
              <c:f>Sheet1!$A$2:$A$8</c:f>
              <c:strCache>
                <c:ptCount val="7"/>
                <c:pt idx="0">
                  <c:v>b1</c:v>
                </c:pt>
                <c:pt idx="1">
                  <c:v>b2</c:v>
                </c:pt>
                <c:pt idx="2">
                  <c:v>b3</c:v>
                </c:pt>
                <c:pt idx="3">
                  <c:v>b4</c:v>
                </c:pt>
                <c:pt idx="4">
                  <c:v>b5</c:v>
                </c:pt>
                <c:pt idx="5">
                  <c:v>b6</c:v>
                </c:pt>
                <c:pt idx="6">
                  <c:v>b7</c:v>
                </c:pt>
              </c:strCache>
            </c:strRef>
          </c:cat>
          <c:val>
            <c:numRef>
              <c:f>Sheet1!$B$2:$B$8</c:f>
              <c:numCache>
                <c:formatCode>General</c:formatCode>
                <c:ptCount val="7"/>
                <c:pt idx="0">
                  <c:v>4</c:v>
                </c:pt>
                <c:pt idx="1">
                  <c:v>3</c:v>
                </c:pt>
                <c:pt idx="2">
                  <c:v>4.5</c:v>
                </c:pt>
                <c:pt idx="3">
                  <c:v>3</c:v>
                </c:pt>
                <c:pt idx="4">
                  <c:v>6</c:v>
                </c:pt>
                <c:pt idx="5">
                  <c:v>4.5</c:v>
                </c:pt>
                <c:pt idx="6">
                  <c:v>4</c:v>
                </c:pt>
              </c:numCache>
            </c:numRef>
          </c:val>
        </c:ser>
        <c:ser>
          <c:idx val="1"/>
          <c:order val="1"/>
          <c:tx>
            <c:strRef>
              <c:f>Sheet1!$C$1</c:f>
              <c:strCache>
                <c:ptCount val="1"/>
                <c:pt idx="0">
                  <c:v>Pageidautina reikšmė</c:v>
                </c:pt>
              </c:strCache>
            </c:strRef>
          </c:tx>
          <c:spPr>
            <a:ln>
              <a:solidFill>
                <a:srgbClr val="AC14A1"/>
              </a:solidFill>
            </a:ln>
          </c:spPr>
          <c:marker>
            <c:symbol val="none"/>
          </c:marker>
          <c:cat>
            <c:strRef>
              <c:f>Sheet1!$A$2:$A$8</c:f>
              <c:strCache>
                <c:ptCount val="7"/>
                <c:pt idx="0">
                  <c:v>b1</c:v>
                </c:pt>
                <c:pt idx="1">
                  <c:v>b2</c:v>
                </c:pt>
                <c:pt idx="2">
                  <c:v>b3</c:v>
                </c:pt>
                <c:pt idx="3">
                  <c:v>b4</c:v>
                </c:pt>
                <c:pt idx="4">
                  <c:v>b5</c:v>
                </c:pt>
                <c:pt idx="5">
                  <c:v>b6</c:v>
                </c:pt>
                <c:pt idx="6">
                  <c:v>b7</c:v>
                </c:pt>
              </c:strCache>
            </c:strRef>
          </c:cat>
          <c:val>
            <c:numRef>
              <c:f>Sheet1!$C$2:$C$8</c:f>
              <c:numCache>
                <c:formatCode>General</c:formatCode>
                <c:ptCount val="7"/>
                <c:pt idx="0">
                  <c:v>4</c:v>
                </c:pt>
                <c:pt idx="1">
                  <c:v>4.5</c:v>
                </c:pt>
                <c:pt idx="2">
                  <c:v>4.5</c:v>
                </c:pt>
                <c:pt idx="3">
                  <c:v>4.5</c:v>
                </c:pt>
                <c:pt idx="4">
                  <c:v>6</c:v>
                </c:pt>
                <c:pt idx="5">
                  <c:v>7.5</c:v>
                </c:pt>
                <c:pt idx="6">
                  <c:v>5</c:v>
                </c:pt>
              </c:numCache>
            </c:numRef>
          </c:val>
        </c:ser>
        <c:ser>
          <c:idx val="2"/>
          <c:order val="2"/>
          <c:tx>
            <c:strRef>
              <c:f>Sheet1!$D$1</c:f>
              <c:strCache>
                <c:ptCount val="1"/>
                <c:pt idx="0">
                  <c:v>„Pusiausvyros taškas“</c:v>
                </c:pt>
              </c:strCache>
            </c:strRef>
          </c:tx>
          <c:spPr>
            <a:ln>
              <a:solidFill>
                <a:srgbClr val="E01AD2"/>
              </a:solidFill>
              <a:prstDash val="sysDash"/>
            </a:ln>
          </c:spPr>
          <c:marker>
            <c:symbol val="none"/>
          </c:marker>
          <c:cat>
            <c:strRef>
              <c:f>Sheet1!$A$2:$A$8</c:f>
              <c:strCache>
                <c:ptCount val="7"/>
                <c:pt idx="0">
                  <c:v>b1</c:v>
                </c:pt>
                <c:pt idx="1">
                  <c:v>b2</c:v>
                </c:pt>
                <c:pt idx="2">
                  <c:v>b3</c:v>
                </c:pt>
                <c:pt idx="3">
                  <c:v>b4</c:v>
                </c:pt>
                <c:pt idx="4">
                  <c:v>b5</c:v>
                </c:pt>
                <c:pt idx="5">
                  <c:v>b6</c:v>
                </c:pt>
                <c:pt idx="6">
                  <c:v>b7</c:v>
                </c:pt>
              </c:strCache>
            </c:strRef>
          </c:cat>
          <c:val>
            <c:numRef>
              <c:f>Sheet1!$D$2:$D$8</c:f>
              <c:numCache>
                <c:formatCode>General</c:formatCode>
                <c:ptCount val="7"/>
                <c:pt idx="0">
                  <c:v>2</c:v>
                </c:pt>
                <c:pt idx="1">
                  <c:v>2.25</c:v>
                </c:pt>
                <c:pt idx="2">
                  <c:v>2.25</c:v>
                </c:pt>
                <c:pt idx="3">
                  <c:v>2.25</c:v>
                </c:pt>
                <c:pt idx="4">
                  <c:v>3</c:v>
                </c:pt>
                <c:pt idx="5">
                  <c:v>3.75</c:v>
                </c:pt>
                <c:pt idx="6">
                  <c:v>2.5</c:v>
                </c:pt>
              </c:numCache>
            </c:numRef>
          </c:val>
        </c:ser>
        <c:axId val="71070464"/>
        <c:axId val="71072000"/>
      </c:radarChart>
      <c:catAx>
        <c:axId val="71070464"/>
        <c:scaling>
          <c:orientation val="minMax"/>
        </c:scaling>
        <c:axPos val="b"/>
        <c:majorGridlines/>
        <c:majorTickMark val="none"/>
        <c:tickLblPos val="nextTo"/>
        <c:spPr>
          <a:ln w="9525">
            <a:noFill/>
          </a:ln>
        </c:spPr>
        <c:crossAx val="71072000"/>
        <c:crosses val="autoZero"/>
        <c:auto val="1"/>
        <c:lblAlgn val="ctr"/>
        <c:lblOffset val="100"/>
      </c:catAx>
      <c:valAx>
        <c:axId val="71072000"/>
        <c:scaling>
          <c:orientation val="minMax"/>
          <c:max val="10"/>
        </c:scaling>
        <c:axPos val="l"/>
        <c:majorGridlines/>
        <c:numFmt formatCode="General" sourceLinked="1"/>
        <c:tickLblPos val="nextTo"/>
        <c:crossAx val="71070464"/>
        <c:crosses val="autoZero"/>
        <c:crossBetween val="between"/>
        <c:minorUnit val="1"/>
      </c:valAx>
    </c:plotArea>
    <c:legend>
      <c:legendPos val="r"/>
      <c:layout/>
    </c:legend>
    <c:plotVisOnly val="1"/>
  </c:chart>
  <c:spPr>
    <a:ln w="25400">
      <a:solidFill>
        <a:schemeClr val="accent1">
          <a:lumMod val="75000"/>
        </a:schemeClr>
      </a:solidFill>
    </a:ln>
    <a:effectLst>
      <a:outerShdw blurRad="50800" dist="38100" dir="2700000" algn="tl" rotWithShape="0">
        <a:schemeClr val="tx1">
          <a:alpha val="40000"/>
        </a:scheme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0.24132619053116969"/>
          <c:y val="0.11787083099968153"/>
          <c:w val="0.27936084235804942"/>
          <c:h val="0.82122454520771049"/>
        </c:manualLayout>
      </c:layout>
      <c:radarChart>
        <c:radarStyle val="marker"/>
        <c:ser>
          <c:idx val="0"/>
          <c:order val="0"/>
          <c:tx>
            <c:strRef>
              <c:f>Sheet1!$B$1</c:f>
              <c:strCache>
                <c:ptCount val="1"/>
                <c:pt idx="0">
                  <c:v>Apklausos rezultatai</c:v>
                </c:pt>
              </c:strCache>
            </c:strRef>
          </c:tx>
          <c:spPr>
            <a:ln>
              <a:solidFill>
                <a:srgbClr val="FF0000"/>
              </a:solidFill>
            </a:ln>
          </c:spPr>
          <c:marker>
            <c:symbol val="none"/>
          </c:marker>
          <c:cat>
            <c:strRef>
              <c:f>Sheet1!$A$2:$A$6</c:f>
              <c:strCache>
                <c:ptCount val="5"/>
                <c:pt idx="0">
                  <c:v>c1</c:v>
                </c:pt>
                <c:pt idx="1">
                  <c:v>c2</c:v>
                </c:pt>
                <c:pt idx="2">
                  <c:v>c3</c:v>
                </c:pt>
                <c:pt idx="3">
                  <c:v>c4</c:v>
                </c:pt>
                <c:pt idx="4">
                  <c:v>c5</c:v>
                </c:pt>
              </c:strCache>
            </c:strRef>
          </c:cat>
          <c:val>
            <c:numRef>
              <c:f>Sheet1!$B$2:$B$6</c:f>
              <c:numCache>
                <c:formatCode>General</c:formatCode>
                <c:ptCount val="5"/>
                <c:pt idx="0">
                  <c:v>4</c:v>
                </c:pt>
                <c:pt idx="1">
                  <c:v>3</c:v>
                </c:pt>
                <c:pt idx="2">
                  <c:v>3</c:v>
                </c:pt>
                <c:pt idx="3">
                  <c:v>3</c:v>
                </c:pt>
                <c:pt idx="4">
                  <c:v>6</c:v>
                </c:pt>
              </c:numCache>
            </c:numRef>
          </c:val>
        </c:ser>
        <c:ser>
          <c:idx val="1"/>
          <c:order val="1"/>
          <c:tx>
            <c:strRef>
              <c:f>Sheet1!$C$1</c:f>
              <c:strCache>
                <c:ptCount val="1"/>
                <c:pt idx="0">
                  <c:v>Pageidautina reikšmė</c:v>
                </c:pt>
              </c:strCache>
            </c:strRef>
          </c:tx>
          <c:spPr>
            <a:ln>
              <a:solidFill>
                <a:srgbClr val="C00000"/>
              </a:solidFill>
            </a:ln>
          </c:spPr>
          <c:marker>
            <c:symbol val="none"/>
          </c:marker>
          <c:cat>
            <c:strRef>
              <c:f>Sheet1!$A$2:$A$6</c:f>
              <c:strCache>
                <c:ptCount val="5"/>
                <c:pt idx="0">
                  <c:v>c1</c:v>
                </c:pt>
                <c:pt idx="1">
                  <c:v>c2</c:v>
                </c:pt>
                <c:pt idx="2">
                  <c:v>c3</c:v>
                </c:pt>
                <c:pt idx="3">
                  <c:v>c4</c:v>
                </c:pt>
                <c:pt idx="4">
                  <c:v>c5</c:v>
                </c:pt>
              </c:strCache>
            </c:strRef>
          </c:cat>
          <c:val>
            <c:numRef>
              <c:f>Sheet1!$C$2:$C$6</c:f>
              <c:numCache>
                <c:formatCode>General</c:formatCode>
                <c:ptCount val="5"/>
                <c:pt idx="0">
                  <c:v>6</c:v>
                </c:pt>
                <c:pt idx="1">
                  <c:v>7.5</c:v>
                </c:pt>
                <c:pt idx="2">
                  <c:v>6</c:v>
                </c:pt>
                <c:pt idx="3">
                  <c:v>4.5</c:v>
                </c:pt>
                <c:pt idx="4">
                  <c:v>10</c:v>
                </c:pt>
              </c:numCache>
            </c:numRef>
          </c:val>
        </c:ser>
        <c:ser>
          <c:idx val="2"/>
          <c:order val="2"/>
          <c:tx>
            <c:strRef>
              <c:f>Sheet1!$D$1</c:f>
              <c:strCache>
                <c:ptCount val="1"/>
                <c:pt idx="0">
                  <c:v>„Pusiausvyros taškas“</c:v>
                </c:pt>
              </c:strCache>
            </c:strRef>
          </c:tx>
          <c:spPr>
            <a:ln>
              <a:solidFill>
                <a:srgbClr val="E01AD2"/>
              </a:solidFill>
              <a:prstDash val="sysDash"/>
            </a:ln>
          </c:spPr>
          <c:marker>
            <c:symbol val="none"/>
          </c:marker>
          <c:cat>
            <c:strRef>
              <c:f>Sheet1!$A$2:$A$6</c:f>
              <c:strCache>
                <c:ptCount val="5"/>
                <c:pt idx="0">
                  <c:v>c1</c:v>
                </c:pt>
                <c:pt idx="1">
                  <c:v>c2</c:v>
                </c:pt>
                <c:pt idx="2">
                  <c:v>c3</c:v>
                </c:pt>
                <c:pt idx="3">
                  <c:v>c4</c:v>
                </c:pt>
                <c:pt idx="4">
                  <c:v>c5</c:v>
                </c:pt>
              </c:strCache>
            </c:strRef>
          </c:cat>
          <c:val>
            <c:numRef>
              <c:f>Sheet1!$D$2:$D$6</c:f>
              <c:numCache>
                <c:formatCode>General</c:formatCode>
                <c:ptCount val="5"/>
                <c:pt idx="0">
                  <c:v>3</c:v>
                </c:pt>
                <c:pt idx="1">
                  <c:v>3.75</c:v>
                </c:pt>
                <c:pt idx="2">
                  <c:v>3</c:v>
                </c:pt>
                <c:pt idx="3">
                  <c:v>2.25</c:v>
                </c:pt>
                <c:pt idx="4">
                  <c:v>5</c:v>
                </c:pt>
              </c:numCache>
            </c:numRef>
          </c:val>
        </c:ser>
        <c:axId val="77569024"/>
        <c:axId val="77579008"/>
      </c:radarChart>
      <c:catAx>
        <c:axId val="77569024"/>
        <c:scaling>
          <c:orientation val="minMax"/>
        </c:scaling>
        <c:axPos val="b"/>
        <c:majorGridlines/>
        <c:numFmt formatCode="General" sourceLinked="1"/>
        <c:majorTickMark val="none"/>
        <c:tickLblPos val="nextTo"/>
        <c:spPr>
          <a:ln w="9525">
            <a:noFill/>
          </a:ln>
        </c:spPr>
        <c:crossAx val="77579008"/>
        <c:crosses val="autoZero"/>
        <c:auto val="1"/>
        <c:lblAlgn val="ctr"/>
        <c:lblOffset val="100"/>
      </c:catAx>
      <c:valAx>
        <c:axId val="77579008"/>
        <c:scaling>
          <c:orientation val="minMax"/>
          <c:max val="10"/>
        </c:scaling>
        <c:axPos val="l"/>
        <c:majorGridlines/>
        <c:numFmt formatCode="General" sourceLinked="1"/>
        <c:tickLblPos val="nextTo"/>
        <c:crossAx val="77569024"/>
        <c:crosses val="autoZero"/>
        <c:crossBetween val="between"/>
        <c:minorUnit val="1"/>
      </c:valAx>
    </c:plotArea>
    <c:legend>
      <c:legendPos val="r"/>
      <c:layout/>
    </c:legend>
    <c:plotVisOnly val="1"/>
  </c:chart>
  <c:spPr>
    <a:ln w="25400">
      <a:solidFill>
        <a:schemeClr val="accent1">
          <a:lumMod val="75000"/>
        </a:schemeClr>
      </a:solidFill>
    </a:ln>
    <a:effectLst>
      <a:outerShdw blurRad="50800" dist="38100" dir="2700000" algn="tl" rotWithShape="0">
        <a:schemeClr val="tx1">
          <a:alpha val="40000"/>
        </a:scheme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0.24132619053116977"/>
          <c:y val="0.11787083099968153"/>
          <c:w val="0.27936084235804953"/>
          <c:h val="0.82122454520771049"/>
        </c:manualLayout>
      </c:layout>
      <c:radarChart>
        <c:radarStyle val="marker"/>
        <c:ser>
          <c:idx val="0"/>
          <c:order val="0"/>
          <c:tx>
            <c:strRef>
              <c:f>Sheet1!$B$1</c:f>
              <c:strCache>
                <c:ptCount val="1"/>
                <c:pt idx="0">
                  <c:v>Apklausos rezultatai</c:v>
                </c:pt>
              </c:strCache>
            </c:strRef>
          </c:tx>
          <c:spPr>
            <a:ln>
              <a:solidFill>
                <a:srgbClr val="FF0000"/>
              </a:solidFill>
            </a:ln>
          </c:spPr>
          <c:marker>
            <c:symbol val="none"/>
          </c:marker>
          <c:cat>
            <c:strRef>
              <c:f>Sheet1!$A$2:$A$4</c:f>
              <c:strCache>
                <c:ptCount val="3"/>
                <c:pt idx="0">
                  <c:v>d1</c:v>
                </c:pt>
                <c:pt idx="1">
                  <c:v>d2</c:v>
                </c:pt>
                <c:pt idx="2">
                  <c:v>d3</c:v>
                </c:pt>
              </c:strCache>
            </c:strRef>
          </c:cat>
          <c:val>
            <c:numRef>
              <c:f>Sheet1!$B$2:$B$4</c:f>
              <c:numCache>
                <c:formatCode>General</c:formatCode>
                <c:ptCount val="3"/>
                <c:pt idx="0">
                  <c:v>6</c:v>
                </c:pt>
                <c:pt idx="1">
                  <c:v>6</c:v>
                </c:pt>
                <c:pt idx="2">
                  <c:v>3</c:v>
                </c:pt>
              </c:numCache>
            </c:numRef>
          </c:val>
        </c:ser>
        <c:ser>
          <c:idx val="1"/>
          <c:order val="1"/>
          <c:tx>
            <c:strRef>
              <c:f>Sheet1!$C$1</c:f>
              <c:strCache>
                <c:ptCount val="1"/>
                <c:pt idx="0">
                  <c:v>Pageidautina reikšmė</c:v>
                </c:pt>
              </c:strCache>
            </c:strRef>
          </c:tx>
          <c:spPr>
            <a:ln>
              <a:solidFill>
                <a:schemeClr val="accent6">
                  <a:lumMod val="75000"/>
                </a:schemeClr>
              </a:solidFill>
            </a:ln>
          </c:spPr>
          <c:marker>
            <c:symbol val="none"/>
          </c:marker>
          <c:cat>
            <c:strRef>
              <c:f>Sheet1!$A$2:$A$4</c:f>
              <c:strCache>
                <c:ptCount val="3"/>
                <c:pt idx="0">
                  <c:v>d1</c:v>
                </c:pt>
                <c:pt idx="1">
                  <c:v>d2</c:v>
                </c:pt>
                <c:pt idx="2">
                  <c:v>d3</c:v>
                </c:pt>
              </c:strCache>
            </c:strRef>
          </c:cat>
          <c:val>
            <c:numRef>
              <c:f>Sheet1!$C$2:$C$4</c:f>
              <c:numCache>
                <c:formatCode>General</c:formatCode>
                <c:ptCount val="3"/>
                <c:pt idx="0">
                  <c:v>6</c:v>
                </c:pt>
                <c:pt idx="1">
                  <c:v>8</c:v>
                </c:pt>
                <c:pt idx="2">
                  <c:v>6</c:v>
                </c:pt>
              </c:numCache>
            </c:numRef>
          </c:val>
        </c:ser>
        <c:ser>
          <c:idx val="2"/>
          <c:order val="2"/>
          <c:tx>
            <c:strRef>
              <c:f>Sheet1!$D$1</c:f>
              <c:strCache>
                <c:ptCount val="1"/>
                <c:pt idx="0">
                  <c:v>„Pusiausvyros taškas“</c:v>
                </c:pt>
              </c:strCache>
            </c:strRef>
          </c:tx>
          <c:spPr>
            <a:ln>
              <a:solidFill>
                <a:srgbClr val="E01AD2"/>
              </a:solidFill>
              <a:prstDash val="sysDash"/>
            </a:ln>
          </c:spPr>
          <c:marker>
            <c:symbol val="none"/>
          </c:marker>
          <c:cat>
            <c:strRef>
              <c:f>Sheet1!$A$2:$A$4</c:f>
              <c:strCache>
                <c:ptCount val="3"/>
                <c:pt idx="0">
                  <c:v>d1</c:v>
                </c:pt>
                <c:pt idx="1">
                  <c:v>d2</c:v>
                </c:pt>
                <c:pt idx="2">
                  <c:v>d3</c:v>
                </c:pt>
              </c:strCache>
            </c:strRef>
          </c:cat>
          <c:val>
            <c:numRef>
              <c:f>Sheet1!$D$2:$D$4</c:f>
              <c:numCache>
                <c:formatCode>General</c:formatCode>
                <c:ptCount val="3"/>
                <c:pt idx="0">
                  <c:v>3</c:v>
                </c:pt>
                <c:pt idx="1">
                  <c:v>4</c:v>
                </c:pt>
                <c:pt idx="2">
                  <c:v>3</c:v>
                </c:pt>
              </c:numCache>
            </c:numRef>
          </c:val>
        </c:ser>
        <c:axId val="77551104"/>
        <c:axId val="77552640"/>
      </c:radarChart>
      <c:catAx>
        <c:axId val="77551104"/>
        <c:scaling>
          <c:orientation val="minMax"/>
        </c:scaling>
        <c:axPos val="b"/>
        <c:majorGridlines/>
        <c:numFmt formatCode="General" sourceLinked="1"/>
        <c:majorTickMark val="none"/>
        <c:tickLblPos val="nextTo"/>
        <c:spPr>
          <a:ln w="9525">
            <a:noFill/>
          </a:ln>
        </c:spPr>
        <c:crossAx val="77552640"/>
        <c:crosses val="autoZero"/>
        <c:auto val="1"/>
        <c:lblAlgn val="ctr"/>
        <c:lblOffset val="100"/>
      </c:catAx>
      <c:valAx>
        <c:axId val="77552640"/>
        <c:scaling>
          <c:orientation val="minMax"/>
          <c:max val="10"/>
        </c:scaling>
        <c:axPos val="l"/>
        <c:majorGridlines/>
        <c:numFmt formatCode="General" sourceLinked="1"/>
        <c:tickLblPos val="nextTo"/>
        <c:crossAx val="77551104"/>
        <c:crosses val="autoZero"/>
        <c:crossBetween val="between"/>
        <c:minorUnit val="1"/>
      </c:valAx>
    </c:plotArea>
    <c:legend>
      <c:legendPos val="r"/>
      <c:layout/>
    </c:legend>
    <c:plotVisOnly val="1"/>
  </c:chart>
  <c:spPr>
    <a:ln w="25400">
      <a:solidFill>
        <a:schemeClr val="accent1">
          <a:lumMod val="75000"/>
        </a:schemeClr>
      </a:solidFill>
    </a:ln>
    <a:effectLst>
      <a:outerShdw blurRad="50800" dist="38100" dir="2700000" algn="tl" rotWithShape="0">
        <a:schemeClr val="tx1">
          <a:alpha val="40000"/>
        </a:scheme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5.7060282375562064E-2"/>
          <c:y val="5.7377362713381772E-2"/>
          <c:w val="0.65723760639135165"/>
          <c:h val="0.82815118927254716"/>
        </c:manualLayout>
      </c:layout>
      <c:barChart>
        <c:barDir val="col"/>
        <c:grouping val="clustered"/>
        <c:ser>
          <c:idx val="0"/>
          <c:order val="0"/>
          <c:tx>
            <c:strRef>
              <c:f>Sheet1!$B$1</c:f>
              <c:strCache>
                <c:ptCount val="1"/>
                <c:pt idx="0">
                  <c:v>Apklausos rezultatai</c:v>
                </c:pt>
              </c:strCache>
            </c:strRef>
          </c:tx>
          <c:spPr>
            <a:solidFill>
              <a:srgbClr val="FF0000"/>
            </a:solidFill>
            <a:ln w="12700">
              <a:solidFill>
                <a:srgbClr val="CC0000"/>
              </a:solidFill>
            </a:ln>
          </c:spPr>
          <c:dLbls>
            <c:dLblPos val="inBase"/>
            <c:showVal val="1"/>
          </c:dLbls>
          <c:cat>
            <c:strRef>
              <c:f>Sheet1!$A$2:$A$5</c:f>
              <c:strCache>
                <c:ptCount val="4"/>
                <c:pt idx="0">
                  <c:v>A</c:v>
                </c:pt>
                <c:pt idx="1">
                  <c:v>B</c:v>
                </c:pt>
                <c:pt idx="2">
                  <c:v>C</c:v>
                </c:pt>
                <c:pt idx="3">
                  <c:v>D</c:v>
                </c:pt>
              </c:strCache>
            </c:strRef>
          </c:cat>
          <c:val>
            <c:numRef>
              <c:f>Sheet1!$B$2:$B$5</c:f>
              <c:numCache>
                <c:formatCode>General</c:formatCode>
                <c:ptCount val="4"/>
                <c:pt idx="0">
                  <c:v>31.5</c:v>
                </c:pt>
                <c:pt idx="1">
                  <c:v>29</c:v>
                </c:pt>
                <c:pt idx="2">
                  <c:v>19</c:v>
                </c:pt>
                <c:pt idx="3">
                  <c:v>15</c:v>
                </c:pt>
              </c:numCache>
            </c:numRef>
          </c:val>
        </c:ser>
        <c:ser>
          <c:idx val="2"/>
          <c:order val="2"/>
          <c:tx>
            <c:strRef>
              <c:f>Sheet1!$D$1</c:f>
              <c:strCache>
                <c:ptCount val="1"/>
                <c:pt idx="0">
                  <c:v>Pageidautina reikšmė</c:v>
                </c:pt>
              </c:strCache>
            </c:strRef>
          </c:tx>
          <c:spPr>
            <a:solidFill>
              <a:srgbClr val="99CCFF"/>
            </a:solidFill>
            <a:ln w="12700">
              <a:solidFill>
                <a:schemeClr val="accent5">
                  <a:lumMod val="75000"/>
                </a:schemeClr>
              </a:solidFill>
            </a:ln>
          </c:spPr>
          <c:dLbls>
            <c:dLblPos val="inEnd"/>
            <c:showVal val="1"/>
          </c:dLbls>
          <c:cat>
            <c:strRef>
              <c:f>Sheet1!$A$2:$A$5</c:f>
              <c:strCache>
                <c:ptCount val="4"/>
                <c:pt idx="0">
                  <c:v>A</c:v>
                </c:pt>
                <c:pt idx="1">
                  <c:v>B</c:v>
                </c:pt>
                <c:pt idx="2">
                  <c:v>C</c:v>
                </c:pt>
                <c:pt idx="3">
                  <c:v>D</c:v>
                </c:pt>
              </c:strCache>
            </c:strRef>
          </c:cat>
          <c:val>
            <c:numRef>
              <c:f>Sheet1!$D$2:$D$5</c:f>
              <c:numCache>
                <c:formatCode>General</c:formatCode>
                <c:ptCount val="4"/>
                <c:pt idx="0">
                  <c:v>58</c:v>
                </c:pt>
                <c:pt idx="1">
                  <c:v>36</c:v>
                </c:pt>
                <c:pt idx="2">
                  <c:v>34</c:v>
                </c:pt>
                <c:pt idx="3">
                  <c:v>20</c:v>
                </c:pt>
              </c:numCache>
            </c:numRef>
          </c:val>
        </c:ser>
        <c:axId val="78027392"/>
        <c:axId val="78053760"/>
      </c:barChart>
      <c:lineChart>
        <c:grouping val="stacked"/>
        <c:ser>
          <c:idx val="1"/>
          <c:order val="1"/>
          <c:tx>
            <c:strRef>
              <c:f>Sheet1!$C$1</c:f>
              <c:strCache>
                <c:ptCount val="1"/>
                <c:pt idx="0">
                  <c:v>„Pusiausvyros taškas“</c:v>
                </c:pt>
              </c:strCache>
            </c:strRef>
          </c:tx>
          <c:spPr>
            <a:ln>
              <a:solidFill>
                <a:srgbClr val="FF66CC"/>
              </a:solidFill>
            </a:ln>
          </c:spPr>
          <c:marker>
            <c:symbol val="circle"/>
            <c:size val="5"/>
            <c:spPr>
              <a:solidFill>
                <a:srgbClr val="FF66CC"/>
              </a:solidFill>
            </c:spPr>
          </c:marker>
          <c:dLbls>
            <c:dLblPos val="t"/>
            <c:showVal val="1"/>
          </c:dLbls>
          <c:cat>
            <c:strRef>
              <c:f>Sheet1!$A$2:$A$5</c:f>
              <c:strCache>
                <c:ptCount val="4"/>
                <c:pt idx="0">
                  <c:v>A</c:v>
                </c:pt>
                <c:pt idx="1">
                  <c:v>B</c:v>
                </c:pt>
                <c:pt idx="2">
                  <c:v>C</c:v>
                </c:pt>
                <c:pt idx="3">
                  <c:v>D</c:v>
                </c:pt>
              </c:strCache>
            </c:strRef>
          </c:cat>
          <c:val>
            <c:numRef>
              <c:f>Sheet1!$C$2:$C$5</c:f>
              <c:numCache>
                <c:formatCode>General</c:formatCode>
                <c:ptCount val="4"/>
                <c:pt idx="0">
                  <c:v>29</c:v>
                </c:pt>
                <c:pt idx="1">
                  <c:v>18</c:v>
                </c:pt>
                <c:pt idx="2">
                  <c:v>17</c:v>
                </c:pt>
                <c:pt idx="3">
                  <c:v>10</c:v>
                </c:pt>
              </c:numCache>
            </c:numRef>
          </c:val>
        </c:ser>
        <c:marker val="1"/>
        <c:axId val="78027392"/>
        <c:axId val="78053760"/>
      </c:lineChart>
      <c:catAx>
        <c:axId val="78027392"/>
        <c:scaling>
          <c:orientation val="minMax"/>
        </c:scaling>
        <c:axPos val="b"/>
        <c:majorGridlines/>
        <c:numFmt formatCode="General" sourceLinked="1"/>
        <c:tickLblPos val="nextTo"/>
        <c:crossAx val="78053760"/>
        <c:crosses val="autoZero"/>
        <c:auto val="1"/>
        <c:lblAlgn val="ctr"/>
        <c:lblOffset val="100"/>
      </c:catAx>
      <c:valAx>
        <c:axId val="78053760"/>
        <c:scaling>
          <c:orientation val="minMax"/>
          <c:max val="60"/>
          <c:min val="0"/>
        </c:scaling>
        <c:axPos val="l"/>
        <c:majorGridlines/>
        <c:numFmt formatCode="General" sourceLinked="1"/>
        <c:majorTickMark val="cross"/>
        <c:tickLblPos val="nextTo"/>
        <c:crossAx val="78027392"/>
        <c:crosses val="autoZero"/>
        <c:crossBetween val="between"/>
        <c:minorUnit val="1"/>
      </c:valAx>
    </c:plotArea>
    <c:legend>
      <c:legendPos val="r"/>
      <c:layout/>
      <c:txPr>
        <a:bodyPr/>
        <a:lstStyle/>
        <a:p>
          <a:pPr rtl="0">
            <a:defRPr/>
          </a:pPr>
          <a:endParaRPr lang="en-US"/>
        </a:p>
      </c:txPr>
    </c:legend>
    <c:plotVisOnly val="1"/>
    <c:dispBlanksAs val="zero"/>
  </c:chart>
  <c:spPr>
    <a:ln w="25400">
      <a:solidFill>
        <a:schemeClr val="accent1">
          <a:lumMod val="75000"/>
        </a:schemeClr>
      </a:solidFill>
    </a:ln>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4132619053116947"/>
          <c:y val="0.11787083099968153"/>
          <c:w val="0.27936084235804903"/>
          <c:h val="0.82122454520771049"/>
        </c:manualLayout>
      </c:layout>
      <c:radarChart>
        <c:radarStyle val="marker"/>
        <c:ser>
          <c:idx val="0"/>
          <c:order val="0"/>
          <c:tx>
            <c:strRef>
              <c:f>Sheet1!$B$1</c:f>
              <c:strCache>
                <c:ptCount val="1"/>
                <c:pt idx="0">
                  <c:v>Ekspertų vertinimas</c:v>
                </c:pt>
              </c:strCache>
            </c:strRef>
          </c:tx>
          <c:spPr>
            <a:ln>
              <a:solidFill>
                <a:srgbClr val="00B050"/>
              </a:solidFill>
            </a:ln>
          </c:spPr>
          <c:marker>
            <c:symbol val="none"/>
          </c:marker>
          <c:cat>
            <c:strRef>
              <c:f>Sheet1!$A$2:$A$10</c:f>
              <c:strCache>
                <c:ptCount val="9"/>
                <c:pt idx="0">
                  <c:v>a1</c:v>
                </c:pt>
                <c:pt idx="1">
                  <c:v>a2</c:v>
                </c:pt>
                <c:pt idx="2">
                  <c:v>a3</c:v>
                </c:pt>
                <c:pt idx="3">
                  <c:v>a4</c:v>
                </c:pt>
                <c:pt idx="4">
                  <c:v>a5</c:v>
                </c:pt>
                <c:pt idx="5">
                  <c:v>a6</c:v>
                </c:pt>
                <c:pt idx="6">
                  <c:v>a7</c:v>
                </c:pt>
                <c:pt idx="7">
                  <c:v>a8</c:v>
                </c:pt>
                <c:pt idx="8">
                  <c:v>a9</c:v>
                </c:pt>
              </c:strCache>
            </c:strRef>
          </c:cat>
          <c:val>
            <c:numRef>
              <c:f>Sheet1!$B$2:$B$10</c:f>
              <c:numCache>
                <c:formatCode>General</c:formatCode>
                <c:ptCount val="9"/>
                <c:pt idx="0">
                  <c:v>1.5</c:v>
                </c:pt>
                <c:pt idx="1">
                  <c:v>1.5</c:v>
                </c:pt>
                <c:pt idx="2">
                  <c:v>4.5</c:v>
                </c:pt>
                <c:pt idx="3">
                  <c:v>3</c:v>
                </c:pt>
                <c:pt idx="4">
                  <c:v>3</c:v>
                </c:pt>
                <c:pt idx="5">
                  <c:v>2</c:v>
                </c:pt>
                <c:pt idx="6">
                  <c:v>4.5</c:v>
                </c:pt>
                <c:pt idx="7">
                  <c:v>3</c:v>
                </c:pt>
                <c:pt idx="8">
                  <c:v>3</c:v>
                </c:pt>
              </c:numCache>
            </c:numRef>
          </c:val>
        </c:ser>
        <c:ser>
          <c:idx val="1"/>
          <c:order val="1"/>
          <c:tx>
            <c:strRef>
              <c:f>Sheet1!$C$1</c:f>
              <c:strCache>
                <c:ptCount val="1"/>
                <c:pt idx="0">
                  <c:v>Apklausos rezultatai</c:v>
                </c:pt>
              </c:strCache>
            </c:strRef>
          </c:tx>
          <c:spPr>
            <a:ln>
              <a:solidFill>
                <a:srgbClr val="FF0000"/>
              </a:solidFill>
            </a:ln>
          </c:spPr>
          <c:marker>
            <c:symbol val="none"/>
          </c:marker>
          <c:cat>
            <c:strRef>
              <c:f>Sheet1!$A$2:$A$10</c:f>
              <c:strCache>
                <c:ptCount val="9"/>
                <c:pt idx="0">
                  <c:v>a1</c:v>
                </c:pt>
                <c:pt idx="1">
                  <c:v>a2</c:v>
                </c:pt>
                <c:pt idx="2">
                  <c:v>a3</c:v>
                </c:pt>
                <c:pt idx="3">
                  <c:v>a4</c:v>
                </c:pt>
                <c:pt idx="4">
                  <c:v>a5</c:v>
                </c:pt>
                <c:pt idx="5">
                  <c:v>a6</c:v>
                </c:pt>
                <c:pt idx="6">
                  <c:v>a7</c:v>
                </c:pt>
                <c:pt idx="7">
                  <c:v>a8</c:v>
                </c:pt>
                <c:pt idx="8">
                  <c:v>a9</c:v>
                </c:pt>
              </c:strCache>
            </c:strRef>
          </c:cat>
          <c:val>
            <c:numRef>
              <c:f>Sheet1!$C$2:$C$10</c:f>
              <c:numCache>
                <c:formatCode>General</c:formatCode>
                <c:ptCount val="9"/>
                <c:pt idx="0">
                  <c:v>1.5</c:v>
                </c:pt>
                <c:pt idx="1">
                  <c:v>1.5</c:v>
                </c:pt>
                <c:pt idx="2">
                  <c:v>1.5</c:v>
                </c:pt>
                <c:pt idx="3">
                  <c:v>4.5</c:v>
                </c:pt>
                <c:pt idx="4">
                  <c:v>6</c:v>
                </c:pt>
                <c:pt idx="5">
                  <c:v>6</c:v>
                </c:pt>
                <c:pt idx="6">
                  <c:v>4.5</c:v>
                </c:pt>
                <c:pt idx="7">
                  <c:v>3</c:v>
                </c:pt>
                <c:pt idx="8">
                  <c:v>3</c:v>
                </c:pt>
              </c:numCache>
            </c:numRef>
          </c:val>
        </c:ser>
        <c:ser>
          <c:idx val="2"/>
          <c:order val="2"/>
          <c:tx>
            <c:strRef>
              <c:f>Sheet1!$D$1</c:f>
              <c:strCache>
                <c:ptCount val="1"/>
                <c:pt idx="0">
                  <c:v>Pageidautina reikšmė</c:v>
                </c:pt>
              </c:strCache>
            </c:strRef>
          </c:tx>
          <c:spPr>
            <a:ln>
              <a:solidFill>
                <a:srgbClr val="0070C0"/>
              </a:solidFill>
            </a:ln>
          </c:spPr>
          <c:marker>
            <c:symbol val="none"/>
          </c:marker>
          <c:cat>
            <c:strRef>
              <c:f>Sheet1!$A$2:$A$10</c:f>
              <c:strCache>
                <c:ptCount val="9"/>
                <c:pt idx="0">
                  <c:v>a1</c:v>
                </c:pt>
                <c:pt idx="1">
                  <c:v>a2</c:v>
                </c:pt>
                <c:pt idx="2">
                  <c:v>a3</c:v>
                </c:pt>
                <c:pt idx="3">
                  <c:v>a4</c:v>
                </c:pt>
                <c:pt idx="4">
                  <c:v>a5</c:v>
                </c:pt>
                <c:pt idx="5">
                  <c:v>a6</c:v>
                </c:pt>
                <c:pt idx="6">
                  <c:v>a7</c:v>
                </c:pt>
                <c:pt idx="7">
                  <c:v>a8</c:v>
                </c:pt>
                <c:pt idx="8">
                  <c:v>a9</c:v>
                </c:pt>
              </c:strCache>
            </c:strRef>
          </c:cat>
          <c:val>
            <c:numRef>
              <c:f>Sheet1!$D$2:$D$10</c:f>
              <c:numCache>
                <c:formatCode>General</c:formatCode>
                <c:ptCount val="9"/>
                <c:pt idx="0">
                  <c:v>7.5</c:v>
                </c:pt>
                <c:pt idx="1">
                  <c:v>6</c:v>
                </c:pt>
                <c:pt idx="2">
                  <c:v>6</c:v>
                </c:pt>
                <c:pt idx="3">
                  <c:v>7.5</c:v>
                </c:pt>
                <c:pt idx="4">
                  <c:v>6</c:v>
                </c:pt>
                <c:pt idx="5">
                  <c:v>8</c:v>
                </c:pt>
                <c:pt idx="6">
                  <c:v>6</c:v>
                </c:pt>
                <c:pt idx="7">
                  <c:v>5</c:v>
                </c:pt>
                <c:pt idx="8">
                  <c:v>6</c:v>
                </c:pt>
              </c:numCache>
            </c:numRef>
          </c:val>
        </c:ser>
        <c:axId val="78097408"/>
        <c:axId val="78099200"/>
      </c:radarChart>
      <c:catAx>
        <c:axId val="78097408"/>
        <c:scaling>
          <c:orientation val="minMax"/>
        </c:scaling>
        <c:axPos val="b"/>
        <c:majorGridlines/>
        <c:majorTickMark val="none"/>
        <c:tickLblPos val="nextTo"/>
        <c:spPr>
          <a:ln w="9525">
            <a:noFill/>
          </a:ln>
        </c:spPr>
        <c:crossAx val="78099200"/>
        <c:crosses val="autoZero"/>
        <c:auto val="1"/>
        <c:lblAlgn val="ctr"/>
        <c:lblOffset val="100"/>
      </c:catAx>
      <c:valAx>
        <c:axId val="78099200"/>
        <c:scaling>
          <c:orientation val="minMax"/>
          <c:max val="10"/>
        </c:scaling>
        <c:axPos val="l"/>
        <c:majorGridlines/>
        <c:numFmt formatCode="General" sourceLinked="1"/>
        <c:tickLblPos val="nextTo"/>
        <c:crossAx val="78097408"/>
        <c:crosses val="autoZero"/>
        <c:crossBetween val="between"/>
        <c:minorUnit val="1"/>
      </c:valAx>
    </c:plotArea>
    <c:legend>
      <c:legendPos val="r"/>
      <c:layout/>
    </c:legend>
    <c:plotVisOnly val="1"/>
  </c:chart>
  <c:spPr>
    <a:ln w="25400">
      <a:solidFill>
        <a:schemeClr val="accent1">
          <a:lumMod val="75000"/>
        </a:schemeClr>
      </a:solidFill>
    </a:ln>
    <a:effectLst>
      <a:outerShdw blurRad="50800" dist="38100" dir="2700000" algn="tl" rotWithShape="0">
        <a:schemeClr val="tx1">
          <a:alpha val="40000"/>
        </a:scheme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9719524642753022"/>
          <c:y val="0.11987714301669752"/>
          <c:w val="0.33331784047827423"/>
          <c:h val="0.81087440665661614"/>
        </c:manualLayout>
      </c:layout>
      <c:radarChart>
        <c:radarStyle val="marker"/>
        <c:ser>
          <c:idx val="0"/>
          <c:order val="0"/>
          <c:tx>
            <c:strRef>
              <c:f>Sheet1!$B$1</c:f>
              <c:strCache>
                <c:ptCount val="1"/>
                <c:pt idx="0">
                  <c:v>Ekspertų vertinimas</c:v>
                </c:pt>
              </c:strCache>
            </c:strRef>
          </c:tx>
          <c:spPr>
            <a:ln>
              <a:solidFill>
                <a:srgbClr val="00B050"/>
              </a:solidFill>
            </a:ln>
          </c:spPr>
          <c:marker>
            <c:symbol val="none"/>
          </c:marker>
          <c:cat>
            <c:strRef>
              <c:f>Sheet1!$A$2:$A$8</c:f>
              <c:strCache>
                <c:ptCount val="7"/>
                <c:pt idx="0">
                  <c:v>b1</c:v>
                </c:pt>
                <c:pt idx="1">
                  <c:v>b2</c:v>
                </c:pt>
                <c:pt idx="2">
                  <c:v>b3</c:v>
                </c:pt>
                <c:pt idx="3">
                  <c:v>b4</c:v>
                </c:pt>
                <c:pt idx="4">
                  <c:v>b5</c:v>
                </c:pt>
                <c:pt idx="5">
                  <c:v>b6</c:v>
                </c:pt>
                <c:pt idx="6">
                  <c:v>b7</c:v>
                </c:pt>
              </c:strCache>
            </c:strRef>
          </c:cat>
          <c:val>
            <c:numRef>
              <c:f>Sheet1!$B$2:$B$8</c:f>
              <c:numCache>
                <c:formatCode>General</c:formatCode>
                <c:ptCount val="7"/>
                <c:pt idx="0">
                  <c:v>2</c:v>
                </c:pt>
                <c:pt idx="1">
                  <c:v>3</c:v>
                </c:pt>
                <c:pt idx="2">
                  <c:v>3</c:v>
                </c:pt>
                <c:pt idx="3">
                  <c:v>3</c:v>
                </c:pt>
                <c:pt idx="4">
                  <c:v>3</c:v>
                </c:pt>
                <c:pt idx="5">
                  <c:v>3</c:v>
                </c:pt>
                <c:pt idx="6">
                  <c:v>3</c:v>
                </c:pt>
              </c:numCache>
            </c:numRef>
          </c:val>
        </c:ser>
        <c:ser>
          <c:idx val="1"/>
          <c:order val="1"/>
          <c:tx>
            <c:strRef>
              <c:f>Sheet1!$C$1</c:f>
              <c:strCache>
                <c:ptCount val="1"/>
                <c:pt idx="0">
                  <c:v>Apklausos rezultatai</c:v>
                </c:pt>
              </c:strCache>
            </c:strRef>
          </c:tx>
          <c:spPr>
            <a:ln>
              <a:solidFill>
                <a:srgbClr val="FF0000"/>
              </a:solidFill>
            </a:ln>
          </c:spPr>
          <c:marker>
            <c:symbol val="none"/>
          </c:marker>
          <c:cat>
            <c:strRef>
              <c:f>Sheet1!$A$2:$A$8</c:f>
              <c:strCache>
                <c:ptCount val="7"/>
                <c:pt idx="0">
                  <c:v>b1</c:v>
                </c:pt>
                <c:pt idx="1">
                  <c:v>b2</c:v>
                </c:pt>
                <c:pt idx="2">
                  <c:v>b3</c:v>
                </c:pt>
                <c:pt idx="3">
                  <c:v>b4</c:v>
                </c:pt>
                <c:pt idx="4">
                  <c:v>b5</c:v>
                </c:pt>
                <c:pt idx="5">
                  <c:v>b6</c:v>
                </c:pt>
                <c:pt idx="6">
                  <c:v>b7</c:v>
                </c:pt>
              </c:strCache>
            </c:strRef>
          </c:cat>
          <c:val>
            <c:numRef>
              <c:f>Sheet1!$C$2:$C$8</c:f>
              <c:numCache>
                <c:formatCode>General</c:formatCode>
                <c:ptCount val="7"/>
                <c:pt idx="0">
                  <c:v>4</c:v>
                </c:pt>
                <c:pt idx="1">
                  <c:v>3</c:v>
                </c:pt>
                <c:pt idx="2">
                  <c:v>4.5</c:v>
                </c:pt>
                <c:pt idx="3">
                  <c:v>3</c:v>
                </c:pt>
                <c:pt idx="4">
                  <c:v>6</c:v>
                </c:pt>
                <c:pt idx="5">
                  <c:v>4.5</c:v>
                </c:pt>
                <c:pt idx="6">
                  <c:v>4</c:v>
                </c:pt>
              </c:numCache>
            </c:numRef>
          </c:val>
        </c:ser>
        <c:ser>
          <c:idx val="2"/>
          <c:order val="2"/>
          <c:tx>
            <c:strRef>
              <c:f>Sheet1!$D$1</c:f>
              <c:strCache>
                <c:ptCount val="1"/>
                <c:pt idx="0">
                  <c:v>Pageidautina reikšmė</c:v>
                </c:pt>
              </c:strCache>
            </c:strRef>
          </c:tx>
          <c:spPr>
            <a:ln>
              <a:solidFill>
                <a:srgbClr val="AC14A1"/>
              </a:solidFill>
            </a:ln>
          </c:spPr>
          <c:marker>
            <c:symbol val="none"/>
          </c:marker>
          <c:cat>
            <c:strRef>
              <c:f>Sheet1!$A$2:$A$8</c:f>
              <c:strCache>
                <c:ptCount val="7"/>
                <c:pt idx="0">
                  <c:v>b1</c:v>
                </c:pt>
                <c:pt idx="1">
                  <c:v>b2</c:v>
                </c:pt>
                <c:pt idx="2">
                  <c:v>b3</c:v>
                </c:pt>
                <c:pt idx="3">
                  <c:v>b4</c:v>
                </c:pt>
                <c:pt idx="4">
                  <c:v>b5</c:v>
                </c:pt>
                <c:pt idx="5">
                  <c:v>b6</c:v>
                </c:pt>
                <c:pt idx="6">
                  <c:v>b7</c:v>
                </c:pt>
              </c:strCache>
            </c:strRef>
          </c:cat>
          <c:val>
            <c:numRef>
              <c:f>Sheet1!$D$2:$D$8</c:f>
              <c:numCache>
                <c:formatCode>General</c:formatCode>
                <c:ptCount val="7"/>
                <c:pt idx="0">
                  <c:v>4</c:v>
                </c:pt>
                <c:pt idx="1">
                  <c:v>4.5</c:v>
                </c:pt>
                <c:pt idx="2">
                  <c:v>4.5</c:v>
                </c:pt>
                <c:pt idx="3">
                  <c:v>4.5</c:v>
                </c:pt>
                <c:pt idx="4">
                  <c:v>6</c:v>
                </c:pt>
                <c:pt idx="5">
                  <c:v>7.5</c:v>
                </c:pt>
                <c:pt idx="6">
                  <c:v>5</c:v>
                </c:pt>
              </c:numCache>
            </c:numRef>
          </c:val>
        </c:ser>
        <c:axId val="78394880"/>
        <c:axId val="78396416"/>
      </c:radarChart>
      <c:catAx>
        <c:axId val="78394880"/>
        <c:scaling>
          <c:orientation val="minMax"/>
        </c:scaling>
        <c:axPos val="b"/>
        <c:majorGridlines/>
        <c:numFmt formatCode="General" sourceLinked="1"/>
        <c:tickLblPos val="nextTo"/>
        <c:crossAx val="78396416"/>
        <c:crosses val="autoZero"/>
        <c:auto val="1"/>
        <c:lblAlgn val="ctr"/>
        <c:lblOffset val="100"/>
      </c:catAx>
      <c:valAx>
        <c:axId val="78396416"/>
        <c:scaling>
          <c:orientation val="minMax"/>
          <c:max val="10"/>
        </c:scaling>
        <c:axPos val="l"/>
        <c:majorGridlines/>
        <c:numFmt formatCode="General" sourceLinked="1"/>
        <c:majorTickMark val="cross"/>
        <c:tickLblPos val="nextTo"/>
        <c:crossAx val="78394880"/>
        <c:crosses val="autoZero"/>
        <c:crossBetween val="between"/>
        <c:minorUnit val="1"/>
      </c:valAx>
    </c:plotArea>
    <c:legend>
      <c:legendPos val="r"/>
      <c:layout/>
    </c:legend>
    <c:plotVisOnly val="1"/>
  </c:chart>
  <c:spPr>
    <a:ln w="25400">
      <a:solidFill>
        <a:schemeClr val="accent1">
          <a:lumMod val="75000"/>
        </a:schemeClr>
      </a:solidFill>
    </a:ln>
    <a:effectLst>
      <a:outerShdw blurRad="50800" dist="38100" dir="2700000" algn="tl" rotWithShape="0">
        <a:schemeClr val="tx1">
          <a:alpha val="40000"/>
        </a:scheme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4062055839511287"/>
          <c:y val="0.11689264982955982"/>
          <c:w val="0.30115654402848768"/>
          <c:h val="0.81558292765271556"/>
        </c:manualLayout>
      </c:layout>
      <c:radarChart>
        <c:radarStyle val="marker"/>
        <c:ser>
          <c:idx val="0"/>
          <c:order val="0"/>
          <c:tx>
            <c:strRef>
              <c:f>Sheet1!$B$1</c:f>
              <c:strCache>
                <c:ptCount val="1"/>
                <c:pt idx="0">
                  <c:v>Ekspertų vertinimas</c:v>
                </c:pt>
              </c:strCache>
            </c:strRef>
          </c:tx>
          <c:spPr>
            <a:ln>
              <a:solidFill>
                <a:srgbClr val="00B050"/>
              </a:solidFill>
            </a:ln>
          </c:spPr>
          <c:marker>
            <c:symbol val="none"/>
          </c:marker>
          <c:cat>
            <c:strRef>
              <c:f>Sheet1!$A$2:$A$6</c:f>
              <c:strCache>
                <c:ptCount val="5"/>
                <c:pt idx="0">
                  <c:v>c1</c:v>
                </c:pt>
                <c:pt idx="1">
                  <c:v>c2</c:v>
                </c:pt>
                <c:pt idx="2">
                  <c:v>c3</c:v>
                </c:pt>
                <c:pt idx="3">
                  <c:v>c4</c:v>
                </c:pt>
                <c:pt idx="4">
                  <c:v>c5</c:v>
                </c:pt>
              </c:strCache>
            </c:strRef>
          </c:cat>
          <c:val>
            <c:numRef>
              <c:f>Sheet1!$B$2:$B$6</c:f>
              <c:numCache>
                <c:formatCode>General</c:formatCode>
                <c:ptCount val="5"/>
                <c:pt idx="0">
                  <c:v>2</c:v>
                </c:pt>
                <c:pt idx="1">
                  <c:v>3</c:v>
                </c:pt>
                <c:pt idx="2">
                  <c:v>3</c:v>
                </c:pt>
                <c:pt idx="3">
                  <c:v>1.5</c:v>
                </c:pt>
                <c:pt idx="4">
                  <c:v>4</c:v>
                </c:pt>
              </c:numCache>
            </c:numRef>
          </c:val>
        </c:ser>
        <c:ser>
          <c:idx val="1"/>
          <c:order val="1"/>
          <c:tx>
            <c:strRef>
              <c:f>Sheet1!$C$1</c:f>
              <c:strCache>
                <c:ptCount val="1"/>
                <c:pt idx="0">
                  <c:v>Apklausos rezultatai</c:v>
                </c:pt>
              </c:strCache>
            </c:strRef>
          </c:tx>
          <c:spPr>
            <a:ln>
              <a:solidFill>
                <a:srgbClr val="FF0000"/>
              </a:solidFill>
            </a:ln>
          </c:spPr>
          <c:marker>
            <c:symbol val="none"/>
          </c:marker>
          <c:cat>
            <c:strRef>
              <c:f>Sheet1!$A$2:$A$6</c:f>
              <c:strCache>
                <c:ptCount val="5"/>
                <c:pt idx="0">
                  <c:v>c1</c:v>
                </c:pt>
                <c:pt idx="1">
                  <c:v>c2</c:v>
                </c:pt>
                <c:pt idx="2">
                  <c:v>c3</c:v>
                </c:pt>
                <c:pt idx="3">
                  <c:v>c4</c:v>
                </c:pt>
                <c:pt idx="4">
                  <c:v>c5</c:v>
                </c:pt>
              </c:strCache>
            </c:strRef>
          </c:cat>
          <c:val>
            <c:numRef>
              <c:f>Sheet1!$C$2:$C$6</c:f>
              <c:numCache>
                <c:formatCode>General</c:formatCode>
                <c:ptCount val="5"/>
                <c:pt idx="0">
                  <c:v>4</c:v>
                </c:pt>
                <c:pt idx="1">
                  <c:v>3</c:v>
                </c:pt>
                <c:pt idx="2">
                  <c:v>3</c:v>
                </c:pt>
                <c:pt idx="3">
                  <c:v>3</c:v>
                </c:pt>
                <c:pt idx="4">
                  <c:v>6</c:v>
                </c:pt>
              </c:numCache>
            </c:numRef>
          </c:val>
        </c:ser>
        <c:ser>
          <c:idx val="2"/>
          <c:order val="2"/>
          <c:tx>
            <c:strRef>
              <c:f>Sheet1!$D$1</c:f>
              <c:strCache>
                <c:ptCount val="1"/>
                <c:pt idx="0">
                  <c:v>Pageidautina reikšmė</c:v>
                </c:pt>
              </c:strCache>
            </c:strRef>
          </c:tx>
          <c:spPr>
            <a:ln>
              <a:solidFill>
                <a:srgbClr val="C00000"/>
              </a:solidFill>
            </a:ln>
          </c:spPr>
          <c:marker>
            <c:symbol val="none"/>
          </c:marker>
          <c:cat>
            <c:strRef>
              <c:f>Sheet1!$A$2:$A$6</c:f>
              <c:strCache>
                <c:ptCount val="5"/>
                <c:pt idx="0">
                  <c:v>c1</c:v>
                </c:pt>
                <c:pt idx="1">
                  <c:v>c2</c:v>
                </c:pt>
                <c:pt idx="2">
                  <c:v>c3</c:v>
                </c:pt>
                <c:pt idx="3">
                  <c:v>c4</c:v>
                </c:pt>
                <c:pt idx="4">
                  <c:v>c5</c:v>
                </c:pt>
              </c:strCache>
            </c:strRef>
          </c:cat>
          <c:val>
            <c:numRef>
              <c:f>Sheet1!$D$2:$D$6</c:f>
              <c:numCache>
                <c:formatCode>General</c:formatCode>
                <c:ptCount val="5"/>
                <c:pt idx="0">
                  <c:v>6</c:v>
                </c:pt>
                <c:pt idx="1">
                  <c:v>7.5</c:v>
                </c:pt>
                <c:pt idx="2">
                  <c:v>6</c:v>
                </c:pt>
                <c:pt idx="3">
                  <c:v>4.5</c:v>
                </c:pt>
                <c:pt idx="4">
                  <c:v>10</c:v>
                </c:pt>
              </c:numCache>
            </c:numRef>
          </c:val>
        </c:ser>
        <c:axId val="78434304"/>
        <c:axId val="78435840"/>
      </c:radarChart>
      <c:catAx>
        <c:axId val="78434304"/>
        <c:scaling>
          <c:orientation val="minMax"/>
        </c:scaling>
        <c:axPos val="b"/>
        <c:majorGridlines/>
        <c:tickLblPos val="nextTo"/>
        <c:crossAx val="78435840"/>
        <c:crosses val="autoZero"/>
        <c:auto val="1"/>
        <c:lblAlgn val="ctr"/>
        <c:lblOffset val="100"/>
      </c:catAx>
      <c:valAx>
        <c:axId val="78435840"/>
        <c:scaling>
          <c:orientation val="minMax"/>
        </c:scaling>
        <c:axPos val="l"/>
        <c:majorGridlines/>
        <c:numFmt formatCode="General" sourceLinked="1"/>
        <c:majorTickMark val="cross"/>
        <c:tickLblPos val="nextTo"/>
        <c:crossAx val="78434304"/>
        <c:crosses val="autoZero"/>
        <c:crossBetween val="between"/>
      </c:valAx>
    </c:plotArea>
    <c:legend>
      <c:legendPos val="r"/>
      <c:layout/>
    </c:legend>
    <c:plotVisOnly val="1"/>
  </c:chart>
  <c:spPr>
    <a:ln w="25400">
      <a:solidFill>
        <a:schemeClr val="accent1">
          <a:lumMod val="75000"/>
        </a:schemeClr>
      </a:solidFill>
    </a:ln>
    <a:effectLst>
      <a:outerShdw blurRad="50800" dist="38100" dir="2700000" algn="tl" rotWithShape="0">
        <a:schemeClr val="tx1">
          <a:alpha val="40000"/>
        </a:scheme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30244954029869081"/>
          <c:y val="0.14747186262734122"/>
          <c:w val="0.28804899387576643"/>
          <c:h val="0.79487254771119709"/>
        </c:manualLayout>
      </c:layout>
      <c:radarChart>
        <c:radarStyle val="marker"/>
        <c:ser>
          <c:idx val="0"/>
          <c:order val="0"/>
          <c:tx>
            <c:strRef>
              <c:f>Sheet1!$B$1</c:f>
              <c:strCache>
                <c:ptCount val="1"/>
                <c:pt idx="0">
                  <c:v>Ekspertų vertinimas</c:v>
                </c:pt>
              </c:strCache>
            </c:strRef>
          </c:tx>
          <c:spPr>
            <a:ln>
              <a:solidFill>
                <a:srgbClr val="00B050"/>
              </a:solidFill>
            </a:ln>
          </c:spPr>
          <c:marker>
            <c:symbol val="none"/>
          </c:marker>
          <c:cat>
            <c:strRef>
              <c:f>Sheet1!$A$2:$A$4</c:f>
              <c:strCache>
                <c:ptCount val="3"/>
                <c:pt idx="0">
                  <c:v>d1</c:v>
                </c:pt>
                <c:pt idx="1">
                  <c:v>d2</c:v>
                </c:pt>
                <c:pt idx="2">
                  <c:v>d3</c:v>
                </c:pt>
              </c:strCache>
            </c:strRef>
          </c:cat>
          <c:val>
            <c:numRef>
              <c:f>Sheet1!$B$2:$B$4</c:f>
              <c:numCache>
                <c:formatCode>General</c:formatCode>
                <c:ptCount val="3"/>
                <c:pt idx="0">
                  <c:v>2</c:v>
                </c:pt>
                <c:pt idx="1">
                  <c:v>4</c:v>
                </c:pt>
                <c:pt idx="2">
                  <c:v>3</c:v>
                </c:pt>
              </c:numCache>
            </c:numRef>
          </c:val>
        </c:ser>
        <c:ser>
          <c:idx val="1"/>
          <c:order val="1"/>
          <c:tx>
            <c:strRef>
              <c:f>Sheet1!$C$1</c:f>
              <c:strCache>
                <c:ptCount val="1"/>
                <c:pt idx="0">
                  <c:v>Apklausos rezultatai</c:v>
                </c:pt>
              </c:strCache>
            </c:strRef>
          </c:tx>
          <c:spPr>
            <a:ln>
              <a:solidFill>
                <a:srgbClr val="FF0000"/>
              </a:solidFill>
            </a:ln>
          </c:spPr>
          <c:marker>
            <c:symbol val="none"/>
          </c:marker>
          <c:cat>
            <c:strRef>
              <c:f>Sheet1!$A$2:$A$4</c:f>
              <c:strCache>
                <c:ptCount val="3"/>
                <c:pt idx="0">
                  <c:v>d1</c:v>
                </c:pt>
                <c:pt idx="1">
                  <c:v>d2</c:v>
                </c:pt>
                <c:pt idx="2">
                  <c:v>d3</c:v>
                </c:pt>
              </c:strCache>
            </c:strRef>
          </c:cat>
          <c:val>
            <c:numRef>
              <c:f>Sheet1!$C$2:$C$4</c:f>
              <c:numCache>
                <c:formatCode>General</c:formatCode>
                <c:ptCount val="3"/>
                <c:pt idx="0">
                  <c:v>6</c:v>
                </c:pt>
                <c:pt idx="1">
                  <c:v>6</c:v>
                </c:pt>
                <c:pt idx="2">
                  <c:v>3</c:v>
                </c:pt>
              </c:numCache>
            </c:numRef>
          </c:val>
        </c:ser>
        <c:ser>
          <c:idx val="2"/>
          <c:order val="2"/>
          <c:tx>
            <c:strRef>
              <c:f>Sheet1!$D$1</c:f>
              <c:strCache>
                <c:ptCount val="1"/>
                <c:pt idx="0">
                  <c:v>Pageidautina reikšmė</c:v>
                </c:pt>
              </c:strCache>
            </c:strRef>
          </c:tx>
          <c:spPr>
            <a:ln>
              <a:solidFill>
                <a:schemeClr val="accent6">
                  <a:lumMod val="75000"/>
                </a:schemeClr>
              </a:solidFill>
            </a:ln>
          </c:spPr>
          <c:marker>
            <c:symbol val="none"/>
          </c:marker>
          <c:cat>
            <c:strRef>
              <c:f>Sheet1!$A$2:$A$4</c:f>
              <c:strCache>
                <c:ptCount val="3"/>
                <c:pt idx="0">
                  <c:v>d1</c:v>
                </c:pt>
                <c:pt idx="1">
                  <c:v>d2</c:v>
                </c:pt>
                <c:pt idx="2">
                  <c:v>d3</c:v>
                </c:pt>
              </c:strCache>
            </c:strRef>
          </c:cat>
          <c:val>
            <c:numRef>
              <c:f>Sheet1!$D$2:$D$4</c:f>
              <c:numCache>
                <c:formatCode>General</c:formatCode>
                <c:ptCount val="3"/>
                <c:pt idx="0">
                  <c:v>6</c:v>
                </c:pt>
                <c:pt idx="1">
                  <c:v>8</c:v>
                </c:pt>
                <c:pt idx="2">
                  <c:v>6</c:v>
                </c:pt>
              </c:numCache>
            </c:numRef>
          </c:val>
        </c:ser>
        <c:axId val="78481664"/>
        <c:axId val="78491648"/>
      </c:radarChart>
      <c:catAx>
        <c:axId val="78481664"/>
        <c:scaling>
          <c:orientation val="minMax"/>
        </c:scaling>
        <c:axPos val="b"/>
        <c:majorGridlines/>
        <c:tickLblPos val="nextTo"/>
        <c:crossAx val="78491648"/>
        <c:crosses val="autoZero"/>
        <c:auto val="1"/>
        <c:lblAlgn val="ctr"/>
        <c:lblOffset val="100"/>
      </c:catAx>
      <c:valAx>
        <c:axId val="78491648"/>
        <c:scaling>
          <c:orientation val="minMax"/>
          <c:max val="10"/>
        </c:scaling>
        <c:axPos val="l"/>
        <c:majorGridlines/>
        <c:numFmt formatCode="General" sourceLinked="1"/>
        <c:majorTickMark val="cross"/>
        <c:tickLblPos val="nextTo"/>
        <c:crossAx val="78481664"/>
        <c:crosses val="autoZero"/>
        <c:crossBetween val="between"/>
        <c:minorUnit val="1"/>
      </c:valAx>
    </c:plotArea>
    <c:legend>
      <c:legendPos val="r"/>
      <c:layout/>
    </c:legend>
    <c:plotVisOnly val="1"/>
  </c:chart>
  <c:spPr>
    <a:ln w="25400">
      <a:solidFill>
        <a:schemeClr val="accent1">
          <a:lumMod val="75000"/>
        </a:schemeClr>
      </a:solidFill>
    </a:ln>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86BE4-F362-4383-9446-1F5309C7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110</Pages>
  <Words>48671</Words>
  <Characters>277426</Characters>
  <Application>Microsoft Office Word</Application>
  <DocSecurity>4</DocSecurity>
  <Lines>2311</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dc:creator>
  <cp:lastModifiedBy>Rolanda</cp:lastModifiedBy>
  <cp:revision>2</cp:revision>
  <dcterms:created xsi:type="dcterms:W3CDTF">2013-01-14T18:31:00Z</dcterms:created>
  <dcterms:modified xsi:type="dcterms:W3CDTF">2013-01-14T18:31:00Z</dcterms:modified>
</cp:coreProperties>
</file>