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C1" w:rsidRPr="00BC7D15" w:rsidRDefault="003B27C1" w:rsidP="008337C8">
      <w:pPr>
        <w:tabs>
          <w:tab w:val="left" w:pos="0"/>
          <w:tab w:val="left" w:pos="3402"/>
        </w:tabs>
        <w:spacing w:before="60" w:line="240" w:lineRule="auto"/>
        <w:ind w:firstLine="0"/>
        <w:jc w:val="center"/>
        <w:rPr>
          <w:color w:val="000000"/>
          <w:sz w:val="32"/>
          <w:szCs w:val="32"/>
        </w:rPr>
      </w:pPr>
      <w:bookmarkStart w:id="0" w:name="_Toc303250637"/>
      <w:bookmarkStart w:id="1" w:name="_Toc303768620"/>
      <w:r w:rsidRPr="00BC7D15">
        <w:rPr>
          <w:b/>
          <w:color w:val="000000"/>
          <w:sz w:val="32"/>
          <w:szCs w:val="32"/>
        </w:rPr>
        <w:t>MYKOLO ROMERIO UNIVERSITETAS</w:t>
      </w:r>
    </w:p>
    <w:p w:rsidR="00C744D8" w:rsidRDefault="003B27C1" w:rsidP="008337C8">
      <w:pPr>
        <w:tabs>
          <w:tab w:val="left" w:pos="0"/>
          <w:tab w:val="left" w:pos="3402"/>
        </w:tabs>
        <w:spacing w:before="60" w:line="240" w:lineRule="auto"/>
        <w:ind w:firstLine="0"/>
        <w:jc w:val="center"/>
        <w:rPr>
          <w:b/>
          <w:bCs/>
          <w:color w:val="000000"/>
          <w:sz w:val="28"/>
          <w:szCs w:val="28"/>
        </w:rPr>
      </w:pPr>
      <w:r w:rsidRPr="00BC7D15">
        <w:rPr>
          <w:b/>
          <w:bCs/>
          <w:color w:val="000000"/>
          <w:sz w:val="28"/>
          <w:szCs w:val="28"/>
        </w:rPr>
        <w:t xml:space="preserve">EKONOMIKOS IR FINANSŲ VALDYMO FAKULTETAS </w:t>
      </w:r>
    </w:p>
    <w:p w:rsidR="003B27C1" w:rsidRPr="00C744D8" w:rsidRDefault="003B27C1" w:rsidP="008337C8">
      <w:pPr>
        <w:tabs>
          <w:tab w:val="left" w:pos="0"/>
          <w:tab w:val="left" w:pos="3402"/>
        </w:tabs>
        <w:spacing w:before="60" w:line="240" w:lineRule="auto"/>
        <w:ind w:firstLine="0"/>
        <w:jc w:val="center"/>
        <w:rPr>
          <w:b/>
          <w:color w:val="000000"/>
          <w:szCs w:val="24"/>
        </w:rPr>
      </w:pPr>
      <w:r w:rsidRPr="00C744D8">
        <w:rPr>
          <w:b/>
          <w:color w:val="000000"/>
          <w:szCs w:val="24"/>
        </w:rPr>
        <w:t>BANKININKYSTĖS IR INVESTICIJŲ KATEDRA</w:t>
      </w:r>
    </w:p>
    <w:p w:rsidR="003B27C1" w:rsidRDefault="003B27C1" w:rsidP="003B27C1">
      <w:pPr>
        <w:tabs>
          <w:tab w:val="left" w:pos="0"/>
          <w:tab w:val="left" w:pos="3402"/>
        </w:tabs>
        <w:ind w:firstLine="0"/>
        <w:jc w:val="center"/>
        <w:rPr>
          <w:b/>
          <w:color w:val="000000"/>
          <w:sz w:val="22"/>
        </w:rPr>
      </w:pPr>
    </w:p>
    <w:p w:rsidR="007F0800" w:rsidRDefault="007F0800" w:rsidP="003B27C1">
      <w:pPr>
        <w:tabs>
          <w:tab w:val="left" w:pos="0"/>
          <w:tab w:val="left" w:pos="3402"/>
        </w:tabs>
        <w:ind w:firstLine="0"/>
        <w:jc w:val="center"/>
        <w:rPr>
          <w:b/>
          <w:color w:val="000000"/>
          <w:sz w:val="22"/>
        </w:rPr>
      </w:pPr>
    </w:p>
    <w:p w:rsidR="00C744D8" w:rsidRDefault="00C744D8" w:rsidP="007F0800">
      <w:pPr>
        <w:tabs>
          <w:tab w:val="left" w:pos="0"/>
          <w:tab w:val="left" w:pos="3402"/>
        </w:tabs>
        <w:ind w:firstLine="0"/>
        <w:rPr>
          <w:b/>
          <w:caps/>
          <w:color w:val="000000"/>
          <w:sz w:val="32"/>
          <w:szCs w:val="32"/>
        </w:rPr>
      </w:pPr>
    </w:p>
    <w:p w:rsidR="00C744D8" w:rsidRDefault="00C744D8" w:rsidP="007F0800">
      <w:pPr>
        <w:tabs>
          <w:tab w:val="left" w:pos="0"/>
          <w:tab w:val="left" w:pos="3402"/>
        </w:tabs>
        <w:ind w:firstLine="0"/>
        <w:rPr>
          <w:b/>
          <w:caps/>
          <w:color w:val="000000"/>
          <w:sz w:val="32"/>
          <w:szCs w:val="32"/>
        </w:rPr>
      </w:pPr>
    </w:p>
    <w:p w:rsidR="003B27C1" w:rsidRPr="00C744D8" w:rsidRDefault="00C744D8" w:rsidP="00C744D8">
      <w:pPr>
        <w:tabs>
          <w:tab w:val="left" w:pos="0"/>
          <w:tab w:val="left" w:pos="3402"/>
        </w:tabs>
        <w:ind w:firstLine="0"/>
        <w:jc w:val="center"/>
        <w:rPr>
          <w:b/>
          <w:caps/>
          <w:color w:val="000000"/>
          <w:sz w:val="32"/>
          <w:szCs w:val="32"/>
        </w:rPr>
      </w:pPr>
      <w:r w:rsidRPr="00C744D8">
        <w:rPr>
          <w:b/>
          <w:caps/>
          <w:color w:val="000000"/>
          <w:sz w:val="32"/>
          <w:szCs w:val="32"/>
        </w:rPr>
        <w:t>Vytautas Tamošiūnas</w:t>
      </w:r>
    </w:p>
    <w:p w:rsidR="003B27C1" w:rsidRDefault="003B27C1" w:rsidP="007F0800">
      <w:pPr>
        <w:tabs>
          <w:tab w:val="left" w:pos="0"/>
          <w:tab w:val="left" w:pos="3402"/>
        </w:tabs>
        <w:ind w:firstLine="0"/>
        <w:rPr>
          <w:b/>
          <w:color w:val="000000"/>
          <w:sz w:val="32"/>
          <w:szCs w:val="32"/>
        </w:rPr>
      </w:pPr>
    </w:p>
    <w:p w:rsidR="008337C8" w:rsidRDefault="008337C8" w:rsidP="003B27C1">
      <w:pPr>
        <w:tabs>
          <w:tab w:val="left" w:pos="0"/>
          <w:tab w:val="left" w:pos="3402"/>
        </w:tabs>
        <w:ind w:firstLine="0"/>
        <w:jc w:val="center"/>
        <w:rPr>
          <w:b/>
          <w:color w:val="000000"/>
          <w:sz w:val="32"/>
          <w:szCs w:val="32"/>
        </w:rPr>
      </w:pPr>
    </w:p>
    <w:p w:rsidR="003B27C1" w:rsidRDefault="003B27C1" w:rsidP="003B27C1">
      <w:pPr>
        <w:tabs>
          <w:tab w:val="left" w:pos="0"/>
          <w:tab w:val="left" w:pos="3402"/>
        </w:tabs>
        <w:spacing w:line="240" w:lineRule="auto"/>
        <w:ind w:right="-442" w:firstLine="0"/>
        <w:jc w:val="center"/>
        <w:rPr>
          <w:b/>
          <w:color w:val="000000"/>
          <w:sz w:val="40"/>
          <w:szCs w:val="40"/>
        </w:rPr>
      </w:pPr>
      <w:r>
        <w:rPr>
          <w:b/>
          <w:color w:val="000000"/>
          <w:sz w:val="40"/>
          <w:szCs w:val="40"/>
        </w:rPr>
        <w:t>DIVIDENDINIO INVESTAVIMO STRATEGIJOS MODELIAVIMAS</w:t>
      </w:r>
    </w:p>
    <w:p w:rsidR="003B27C1" w:rsidRPr="00BC7D15" w:rsidRDefault="003B27C1" w:rsidP="001B34E3">
      <w:pPr>
        <w:tabs>
          <w:tab w:val="left" w:pos="0"/>
        </w:tabs>
        <w:ind w:firstLine="0"/>
        <w:jc w:val="center"/>
        <w:rPr>
          <w:b/>
          <w:color w:val="000000"/>
          <w:sz w:val="28"/>
          <w:szCs w:val="28"/>
        </w:rPr>
      </w:pPr>
      <w:r w:rsidRPr="00BC7D15">
        <w:rPr>
          <w:b/>
          <w:color w:val="000000"/>
          <w:sz w:val="28"/>
          <w:szCs w:val="28"/>
        </w:rPr>
        <w:t xml:space="preserve">Magistro </w:t>
      </w:r>
      <w:r>
        <w:rPr>
          <w:b/>
          <w:color w:val="000000"/>
          <w:sz w:val="28"/>
          <w:szCs w:val="28"/>
        </w:rPr>
        <w:t>baigiamasis darbas</w:t>
      </w:r>
    </w:p>
    <w:p w:rsidR="003B27C1" w:rsidRDefault="003B27C1" w:rsidP="003B27C1">
      <w:pPr>
        <w:tabs>
          <w:tab w:val="left" w:pos="0"/>
        </w:tabs>
        <w:ind w:firstLine="0"/>
        <w:jc w:val="center"/>
        <w:rPr>
          <w:b/>
          <w:color w:val="000000"/>
          <w:sz w:val="22"/>
        </w:rPr>
      </w:pPr>
    </w:p>
    <w:p w:rsidR="003B27C1" w:rsidRDefault="003B27C1" w:rsidP="003B27C1">
      <w:pPr>
        <w:tabs>
          <w:tab w:val="left" w:pos="0"/>
        </w:tabs>
        <w:ind w:firstLine="0"/>
        <w:rPr>
          <w:b/>
          <w:color w:val="000000"/>
          <w:sz w:val="22"/>
        </w:rPr>
      </w:pPr>
    </w:p>
    <w:p w:rsidR="003B27C1" w:rsidRDefault="003B27C1" w:rsidP="003B27C1">
      <w:pPr>
        <w:tabs>
          <w:tab w:val="left" w:pos="0"/>
        </w:tabs>
        <w:ind w:firstLine="0"/>
        <w:rPr>
          <w:b/>
          <w:color w:val="000000"/>
          <w:sz w:val="22"/>
        </w:rPr>
      </w:pPr>
    </w:p>
    <w:p w:rsidR="003B27C1" w:rsidRDefault="003B27C1" w:rsidP="003B27C1">
      <w:pPr>
        <w:tabs>
          <w:tab w:val="left" w:pos="0"/>
        </w:tabs>
        <w:ind w:firstLine="0"/>
        <w:jc w:val="center"/>
        <w:rPr>
          <w:b/>
          <w:color w:val="000000"/>
          <w:sz w:val="22"/>
        </w:rPr>
      </w:pPr>
    </w:p>
    <w:p w:rsidR="003B27C1" w:rsidRDefault="003B27C1" w:rsidP="003B27C1">
      <w:pPr>
        <w:tabs>
          <w:tab w:val="left" w:pos="0"/>
        </w:tabs>
        <w:ind w:firstLine="5670"/>
        <w:rPr>
          <w:b/>
          <w:color w:val="000000"/>
          <w:szCs w:val="24"/>
        </w:rPr>
      </w:pPr>
    </w:p>
    <w:p w:rsidR="00942E38" w:rsidRPr="00BC7D15" w:rsidRDefault="00942E38" w:rsidP="003B27C1">
      <w:pPr>
        <w:tabs>
          <w:tab w:val="left" w:pos="0"/>
        </w:tabs>
        <w:ind w:firstLine="5670"/>
        <w:rPr>
          <w:b/>
          <w:color w:val="000000"/>
          <w:szCs w:val="24"/>
        </w:rPr>
      </w:pPr>
    </w:p>
    <w:p w:rsidR="003B27C1" w:rsidRPr="00BC7D15" w:rsidRDefault="003B27C1" w:rsidP="00DB1E1F">
      <w:pPr>
        <w:tabs>
          <w:tab w:val="left" w:pos="0"/>
        </w:tabs>
        <w:spacing w:before="0" w:line="240" w:lineRule="auto"/>
        <w:ind w:firstLine="6804"/>
        <w:rPr>
          <w:b/>
          <w:color w:val="000000"/>
          <w:szCs w:val="24"/>
        </w:rPr>
      </w:pPr>
      <w:r w:rsidRPr="00BC7D15">
        <w:rPr>
          <w:b/>
          <w:color w:val="000000"/>
          <w:szCs w:val="24"/>
        </w:rPr>
        <w:t>Vadovė</w:t>
      </w:r>
    </w:p>
    <w:p w:rsidR="003B27C1" w:rsidRPr="00BC7D15" w:rsidRDefault="00DB1E1F" w:rsidP="00DB1E1F">
      <w:pPr>
        <w:tabs>
          <w:tab w:val="left" w:pos="0"/>
        </w:tabs>
        <w:spacing w:before="0" w:line="240" w:lineRule="auto"/>
        <w:ind w:right="28" w:firstLine="6804"/>
        <w:rPr>
          <w:b/>
          <w:color w:val="000000"/>
          <w:szCs w:val="24"/>
        </w:rPr>
      </w:pPr>
      <w:r>
        <w:rPr>
          <w:b/>
          <w:color w:val="000000"/>
          <w:szCs w:val="24"/>
        </w:rPr>
        <w:t xml:space="preserve">doc. </w:t>
      </w:r>
      <w:r w:rsidR="00CD3753">
        <w:rPr>
          <w:b/>
          <w:color w:val="000000"/>
          <w:szCs w:val="24"/>
        </w:rPr>
        <w:t xml:space="preserve">dr. </w:t>
      </w:r>
      <w:r w:rsidR="003B27C1">
        <w:rPr>
          <w:b/>
          <w:color w:val="000000"/>
          <w:szCs w:val="24"/>
        </w:rPr>
        <w:t>D. Teresienė</w:t>
      </w:r>
    </w:p>
    <w:p w:rsidR="003B27C1" w:rsidRDefault="003B27C1" w:rsidP="003B27C1">
      <w:pPr>
        <w:ind w:firstLine="0"/>
        <w:jc w:val="center"/>
        <w:rPr>
          <w:b/>
          <w:color w:val="000000"/>
          <w:sz w:val="28"/>
          <w:szCs w:val="28"/>
        </w:rPr>
      </w:pPr>
    </w:p>
    <w:p w:rsidR="003B27C1" w:rsidRDefault="003B27C1" w:rsidP="003B27C1">
      <w:pPr>
        <w:ind w:firstLine="0"/>
        <w:jc w:val="center"/>
        <w:rPr>
          <w:b/>
          <w:color w:val="000000"/>
          <w:sz w:val="28"/>
          <w:szCs w:val="28"/>
        </w:rPr>
      </w:pPr>
    </w:p>
    <w:p w:rsidR="00875BBE" w:rsidRDefault="00875BBE" w:rsidP="003B27C1">
      <w:pPr>
        <w:ind w:firstLine="0"/>
        <w:jc w:val="center"/>
        <w:rPr>
          <w:b/>
          <w:color w:val="000000"/>
          <w:sz w:val="28"/>
          <w:szCs w:val="28"/>
        </w:rPr>
      </w:pPr>
    </w:p>
    <w:p w:rsidR="007F0800" w:rsidRDefault="007F0800" w:rsidP="003B27C1">
      <w:pPr>
        <w:ind w:firstLine="0"/>
        <w:jc w:val="center"/>
        <w:rPr>
          <w:b/>
          <w:color w:val="000000"/>
          <w:sz w:val="28"/>
          <w:szCs w:val="28"/>
        </w:rPr>
      </w:pPr>
    </w:p>
    <w:p w:rsidR="00AE37D6" w:rsidRDefault="00AE37D6" w:rsidP="003B27C1">
      <w:pPr>
        <w:ind w:firstLine="0"/>
        <w:jc w:val="center"/>
        <w:rPr>
          <w:b/>
          <w:color w:val="000000"/>
          <w:sz w:val="28"/>
          <w:szCs w:val="28"/>
        </w:rPr>
      </w:pPr>
    </w:p>
    <w:p w:rsidR="00DB1E1F" w:rsidRDefault="003B27C1" w:rsidP="00AE37D6">
      <w:pPr>
        <w:ind w:firstLine="0"/>
        <w:jc w:val="center"/>
        <w:rPr>
          <w:b/>
          <w:color w:val="000000"/>
          <w:sz w:val="28"/>
          <w:szCs w:val="28"/>
        </w:rPr>
      </w:pPr>
      <w:r>
        <w:rPr>
          <w:b/>
          <w:color w:val="000000"/>
          <w:sz w:val="28"/>
          <w:szCs w:val="28"/>
        </w:rPr>
        <w:t>VILNIUS, 2012</w:t>
      </w:r>
    </w:p>
    <w:p w:rsidR="00DB1E1F" w:rsidRPr="00BC7D15" w:rsidRDefault="00DB1E1F" w:rsidP="00DB1E1F">
      <w:pPr>
        <w:tabs>
          <w:tab w:val="left" w:pos="0"/>
          <w:tab w:val="left" w:pos="3402"/>
        </w:tabs>
        <w:spacing w:before="60" w:line="240" w:lineRule="auto"/>
        <w:ind w:firstLine="0"/>
        <w:jc w:val="center"/>
        <w:rPr>
          <w:color w:val="000000"/>
          <w:sz w:val="32"/>
          <w:szCs w:val="32"/>
        </w:rPr>
      </w:pPr>
      <w:r w:rsidRPr="00BC7D15">
        <w:rPr>
          <w:b/>
          <w:color w:val="000000"/>
          <w:sz w:val="32"/>
          <w:szCs w:val="32"/>
        </w:rPr>
        <w:lastRenderedPageBreak/>
        <w:t>MYKOLO ROMERIO UNIVERSITETAS</w:t>
      </w:r>
    </w:p>
    <w:p w:rsidR="00DB1E1F" w:rsidRDefault="00DB1E1F" w:rsidP="00DB1E1F">
      <w:pPr>
        <w:tabs>
          <w:tab w:val="left" w:pos="0"/>
          <w:tab w:val="left" w:pos="3402"/>
        </w:tabs>
        <w:spacing w:before="60" w:line="240" w:lineRule="auto"/>
        <w:ind w:firstLine="0"/>
        <w:jc w:val="center"/>
        <w:rPr>
          <w:b/>
          <w:bCs/>
          <w:color w:val="000000"/>
          <w:sz w:val="28"/>
          <w:szCs w:val="28"/>
        </w:rPr>
      </w:pPr>
      <w:r w:rsidRPr="00BC7D15">
        <w:rPr>
          <w:b/>
          <w:bCs/>
          <w:color w:val="000000"/>
          <w:sz w:val="28"/>
          <w:szCs w:val="28"/>
        </w:rPr>
        <w:t xml:space="preserve">EKONOMIKOS IR FINANSŲ VALDYMO FAKULTETAS </w:t>
      </w:r>
    </w:p>
    <w:p w:rsidR="00DB1E1F" w:rsidRPr="00C744D8" w:rsidRDefault="00DB1E1F" w:rsidP="00DB1E1F">
      <w:pPr>
        <w:tabs>
          <w:tab w:val="left" w:pos="0"/>
          <w:tab w:val="left" w:pos="3402"/>
        </w:tabs>
        <w:spacing w:before="60" w:line="240" w:lineRule="auto"/>
        <w:ind w:firstLine="0"/>
        <w:jc w:val="center"/>
        <w:rPr>
          <w:b/>
          <w:color w:val="000000"/>
          <w:szCs w:val="24"/>
        </w:rPr>
      </w:pPr>
      <w:r w:rsidRPr="00C744D8">
        <w:rPr>
          <w:b/>
          <w:color w:val="000000"/>
          <w:szCs w:val="24"/>
        </w:rPr>
        <w:t>BANKININKYSTĖS IR INVESTICIJŲ KATEDRA</w:t>
      </w:r>
    </w:p>
    <w:p w:rsidR="00DB1E1F" w:rsidRDefault="00DB1E1F" w:rsidP="00DB1E1F">
      <w:pPr>
        <w:tabs>
          <w:tab w:val="left" w:pos="0"/>
          <w:tab w:val="left" w:pos="3402"/>
        </w:tabs>
        <w:ind w:firstLine="0"/>
        <w:jc w:val="center"/>
        <w:rPr>
          <w:b/>
          <w:color w:val="000000"/>
          <w:sz w:val="22"/>
        </w:rPr>
      </w:pPr>
    </w:p>
    <w:p w:rsidR="00DB1E1F" w:rsidRDefault="00DB1E1F" w:rsidP="00DB1E1F">
      <w:pPr>
        <w:tabs>
          <w:tab w:val="left" w:pos="0"/>
          <w:tab w:val="left" w:pos="3402"/>
        </w:tabs>
        <w:ind w:firstLine="0"/>
        <w:jc w:val="center"/>
        <w:rPr>
          <w:b/>
          <w:color w:val="000000"/>
          <w:sz w:val="22"/>
        </w:rPr>
      </w:pPr>
    </w:p>
    <w:p w:rsidR="00DB1E1F" w:rsidRDefault="00DB1E1F" w:rsidP="00DB1E1F">
      <w:pPr>
        <w:tabs>
          <w:tab w:val="left" w:pos="0"/>
          <w:tab w:val="left" w:pos="3402"/>
        </w:tabs>
        <w:ind w:firstLine="0"/>
        <w:jc w:val="center"/>
        <w:rPr>
          <w:b/>
          <w:caps/>
          <w:color w:val="000000"/>
          <w:sz w:val="32"/>
          <w:szCs w:val="32"/>
        </w:rPr>
      </w:pPr>
    </w:p>
    <w:p w:rsidR="00DB1E1F" w:rsidRDefault="00DB1E1F" w:rsidP="00DB1E1F">
      <w:pPr>
        <w:tabs>
          <w:tab w:val="left" w:pos="0"/>
          <w:tab w:val="left" w:pos="3402"/>
        </w:tabs>
        <w:ind w:firstLine="0"/>
        <w:jc w:val="center"/>
        <w:rPr>
          <w:b/>
          <w:caps/>
          <w:color w:val="000000"/>
          <w:sz w:val="32"/>
          <w:szCs w:val="32"/>
        </w:rPr>
      </w:pPr>
    </w:p>
    <w:p w:rsidR="00DB1E1F" w:rsidRDefault="00DB1E1F" w:rsidP="00DB1E1F">
      <w:pPr>
        <w:tabs>
          <w:tab w:val="left" w:pos="0"/>
          <w:tab w:val="left" w:pos="3402"/>
        </w:tabs>
        <w:ind w:firstLine="0"/>
        <w:jc w:val="center"/>
        <w:rPr>
          <w:b/>
          <w:color w:val="000000"/>
          <w:sz w:val="32"/>
          <w:szCs w:val="32"/>
        </w:rPr>
      </w:pPr>
    </w:p>
    <w:p w:rsidR="007F0800" w:rsidRDefault="007F0800" w:rsidP="00DB1E1F">
      <w:pPr>
        <w:tabs>
          <w:tab w:val="left" w:pos="0"/>
          <w:tab w:val="left" w:pos="3402"/>
        </w:tabs>
        <w:ind w:firstLine="0"/>
        <w:jc w:val="center"/>
        <w:rPr>
          <w:b/>
          <w:color w:val="000000"/>
          <w:sz w:val="32"/>
          <w:szCs w:val="32"/>
        </w:rPr>
      </w:pPr>
    </w:p>
    <w:p w:rsidR="007F0800" w:rsidRDefault="007F0800" w:rsidP="00DB1E1F">
      <w:pPr>
        <w:tabs>
          <w:tab w:val="left" w:pos="0"/>
          <w:tab w:val="left" w:pos="3402"/>
        </w:tabs>
        <w:ind w:firstLine="0"/>
        <w:jc w:val="center"/>
        <w:rPr>
          <w:b/>
          <w:color w:val="000000"/>
          <w:sz w:val="32"/>
          <w:szCs w:val="32"/>
        </w:rPr>
      </w:pPr>
    </w:p>
    <w:p w:rsidR="00DB1E1F" w:rsidRDefault="00DB1E1F" w:rsidP="00DB1E1F">
      <w:pPr>
        <w:tabs>
          <w:tab w:val="left" w:pos="0"/>
          <w:tab w:val="left" w:pos="3402"/>
        </w:tabs>
        <w:spacing w:line="240" w:lineRule="auto"/>
        <w:ind w:right="-442" w:firstLine="0"/>
        <w:jc w:val="center"/>
        <w:rPr>
          <w:b/>
          <w:color w:val="000000"/>
          <w:sz w:val="40"/>
          <w:szCs w:val="40"/>
        </w:rPr>
      </w:pPr>
      <w:r>
        <w:rPr>
          <w:b/>
          <w:color w:val="000000"/>
          <w:sz w:val="40"/>
          <w:szCs w:val="40"/>
        </w:rPr>
        <w:t>DIVIDENDINIO INVESTAVIMO STRATEGIJOS MODELIAVIMAS</w:t>
      </w:r>
    </w:p>
    <w:p w:rsidR="00DB1E1F" w:rsidRDefault="00DB1E1F" w:rsidP="001B34E3">
      <w:pPr>
        <w:tabs>
          <w:tab w:val="left" w:pos="0"/>
        </w:tabs>
        <w:spacing w:line="240" w:lineRule="auto"/>
        <w:ind w:firstLine="0"/>
        <w:jc w:val="center"/>
        <w:rPr>
          <w:b/>
          <w:color w:val="000000"/>
          <w:sz w:val="28"/>
          <w:szCs w:val="28"/>
        </w:rPr>
      </w:pPr>
      <w:r>
        <w:rPr>
          <w:b/>
          <w:color w:val="000000"/>
          <w:sz w:val="28"/>
          <w:szCs w:val="28"/>
        </w:rPr>
        <w:t>Finansų rinkų m</w:t>
      </w:r>
      <w:r w:rsidRPr="00BC7D15">
        <w:rPr>
          <w:b/>
          <w:color w:val="000000"/>
          <w:sz w:val="28"/>
          <w:szCs w:val="28"/>
        </w:rPr>
        <w:t xml:space="preserve">agistro </w:t>
      </w:r>
      <w:r>
        <w:rPr>
          <w:b/>
          <w:color w:val="000000"/>
          <w:sz w:val="28"/>
          <w:szCs w:val="28"/>
        </w:rPr>
        <w:t>baigiamasis darbas</w:t>
      </w:r>
    </w:p>
    <w:p w:rsidR="00DB1E1F" w:rsidRPr="007F0800" w:rsidRDefault="001B34E3" w:rsidP="007F0800">
      <w:pPr>
        <w:tabs>
          <w:tab w:val="left" w:pos="0"/>
        </w:tabs>
        <w:spacing w:before="0"/>
        <w:ind w:firstLine="0"/>
        <w:jc w:val="center"/>
        <w:rPr>
          <w:b/>
          <w:color w:val="000000"/>
          <w:sz w:val="28"/>
          <w:szCs w:val="28"/>
        </w:rPr>
      </w:pPr>
      <w:r>
        <w:rPr>
          <w:b/>
          <w:color w:val="000000"/>
          <w:sz w:val="28"/>
          <w:szCs w:val="28"/>
        </w:rPr>
        <w:t xml:space="preserve">Studijų programa </w:t>
      </w:r>
      <w:r w:rsidRPr="001B34E3">
        <w:rPr>
          <w:b/>
          <w:color w:val="000000"/>
          <w:sz w:val="28"/>
          <w:szCs w:val="28"/>
        </w:rPr>
        <w:t>621L10009</w:t>
      </w:r>
    </w:p>
    <w:p w:rsidR="00DB1E1F" w:rsidRDefault="00DB1E1F" w:rsidP="00DB1E1F">
      <w:pPr>
        <w:tabs>
          <w:tab w:val="left" w:pos="0"/>
        </w:tabs>
        <w:ind w:firstLine="0"/>
        <w:jc w:val="center"/>
        <w:rPr>
          <w:b/>
          <w:color w:val="000000"/>
          <w:sz w:val="22"/>
        </w:rPr>
      </w:pPr>
    </w:p>
    <w:p w:rsidR="00DB1E1F" w:rsidRDefault="00DB1E1F" w:rsidP="00DB1E1F">
      <w:pPr>
        <w:tabs>
          <w:tab w:val="left" w:pos="0"/>
        </w:tabs>
        <w:ind w:firstLine="0"/>
        <w:jc w:val="center"/>
        <w:rPr>
          <w:b/>
          <w:color w:val="000000"/>
          <w:sz w:val="22"/>
        </w:rPr>
      </w:pPr>
    </w:p>
    <w:tbl>
      <w:tblPr>
        <w:tblW w:w="0" w:type="auto"/>
        <w:tblLook w:val="04A0"/>
      </w:tblPr>
      <w:tblGrid>
        <w:gridCol w:w="6062"/>
        <w:gridCol w:w="4075"/>
      </w:tblGrid>
      <w:tr w:rsidR="00DB1E1F" w:rsidTr="00DB1E1F">
        <w:tc>
          <w:tcPr>
            <w:tcW w:w="6062" w:type="dxa"/>
          </w:tcPr>
          <w:p w:rsidR="00DB1E1F" w:rsidRDefault="00DB1E1F" w:rsidP="00DB1E1F">
            <w:pPr>
              <w:tabs>
                <w:tab w:val="left" w:pos="0"/>
              </w:tabs>
              <w:spacing w:before="0" w:line="288" w:lineRule="auto"/>
              <w:ind w:firstLine="0"/>
              <w:rPr>
                <w:b/>
                <w:color w:val="000000"/>
              </w:rPr>
            </w:pPr>
          </w:p>
        </w:tc>
        <w:tc>
          <w:tcPr>
            <w:tcW w:w="4075" w:type="dxa"/>
          </w:tcPr>
          <w:p w:rsidR="00DB1E1F" w:rsidRPr="00DB1E1F" w:rsidRDefault="00DB1E1F" w:rsidP="00DB1E1F">
            <w:pPr>
              <w:tabs>
                <w:tab w:val="left" w:pos="176"/>
              </w:tabs>
              <w:spacing w:before="0" w:line="288" w:lineRule="auto"/>
              <w:ind w:firstLine="0"/>
              <w:rPr>
                <w:b/>
                <w:color w:val="000000"/>
                <w:szCs w:val="24"/>
              </w:rPr>
            </w:pPr>
          </w:p>
          <w:p w:rsidR="00DB1E1F" w:rsidRPr="00DB1E1F" w:rsidRDefault="00DB1E1F" w:rsidP="00DB1E1F">
            <w:pPr>
              <w:tabs>
                <w:tab w:val="left" w:pos="176"/>
              </w:tabs>
              <w:spacing w:before="0" w:line="288" w:lineRule="auto"/>
              <w:ind w:firstLine="0"/>
              <w:rPr>
                <w:b/>
                <w:color w:val="000000"/>
                <w:szCs w:val="24"/>
              </w:rPr>
            </w:pPr>
            <w:r w:rsidRPr="00DB1E1F">
              <w:rPr>
                <w:b/>
                <w:color w:val="000000"/>
                <w:szCs w:val="24"/>
              </w:rPr>
              <w:t>Vadovė</w:t>
            </w:r>
          </w:p>
          <w:p w:rsidR="00DB1E1F" w:rsidRDefault="00DB1E1F" w:rsidP="00DB1E1F">
            <w:pPr>
              <w:tabs>
                <w:tab w:val="left" w:pos="0"/>
              </w:tabs>
              <w:spacing w:before="0" w:line="288" w:lineRule="auto"/>
              <w:ind w:right="28" w:firstLine="0"/>
              <w:rPr>
                <w:b/>
                <w:color w:val="000000"/>
                <w:szCs w:val="24"/>
              </w:rPr>
            </w:pPr>
            <w:r w:rsidRPr="00DB1E1F">
              <w:rPr>
                <w:b/>
                <w:color w:val="000000"/>
                <w:szCs w:val="24"/>
              </w:rPr>
              <w:t xml:space="preserve">(parašas) </w:t>
            </w:r>
            <w:r>
              <w:rPr>
                <w:b/>
                <w:color w:val="000000"/>
                <w:szCs w:val="24"/>
              </w:rPr>
              <w:t xml:space="preserve">doc. </w:t>
            </w:r>
            <w:r w:rsidRPr="00DB1E1F">
              <w:rPr>
                <w:b/>
                <w:color w:val="000000"/>
                <w:szCs w:val="24"/>
              </w:rPr>
              <w:t xml:space="preserve">dr. </w:t>
            </w:r>
            <w:r>
              <w:rPr>
                <w:b/>
                <w:color w:val="000000"/>
                <w:szCs w:val="24"/>
              </w:rPr>
              <w:t>D. Teresienė</w:t>
            </w:r>
          </w:p>
          <w:p w:rsidR="00DB1E1F" w:rsidRPr="00DB1E1F" w:rsidRDefault="00992797" w:rsidP="00DB1E1F">
            <w:pPr>
              <w:tabs>
                <w:tab w:val="left" w:pos="0"/>
              </w:tabs>
              <w:spacing w:before="0" w:line="288" w:lineRule="auto"/>
              <w:ind w:right="28" w:firstLine="0"/>
              <w:rPr>
                <w:b/>
                <w:color w:val="000000"/>
                <w:szCs w:val="24"/>
              </w:rPr>
            </w:pPr>
            <w:r>
              <w:rPr>
                <w:b/>
                <w:color w:val="000000"/>
                <w:szCs w:val="24"/>
              </w:rPr>
              <w:t>2012 12</w:t>
            </w:r>
          </w:p>
          <w:p w:rsidR="00DB1E1F" w:rsidRPr="00DB1E1F" w:rsidRDefault="00DB1E1F" w:rsidP="00DB1E1F">
            <w:pPr>
              <w:tabs>
                <w:tab w:val="left" w:pos="0"/>
              </w:tabs>
              <w:spacing w:before="0" w:line="288" w:lineRule="auto"/>
              <w:ind w:firstLine="0"/>
              <w:rPr>
                <w:b/>
                <w:color w:val="000000"/>
                <w:szCs w:val="24"/>
              </w:rPr>
            </w:pPr>
          </w:p>
        </w:tc>
      </w:tr>
      <w:tr w:rsidR="00DB1E1F" w:rsidTr="00DB1E1F">
        <w:tc>
          <w:tcPr>
            <w:tcW w:w="6062" w:type="dxa"/>
          </w:tcPr>
          <w:p w:rsidR="00DB1E1F" w:rsidRDefault="00DB1E1F" w:rsidP="00DB1E1F">
            <w:pPr>
              <w:tabs>
                <w:tab w:val="left" w:pos="0"/>
              </w:tabs>
              <w:spacing w:before="0" w:line="288" w:lineRule="auto"/>
              <w:ind w:firstLine="0"/>
              <w:rPr>
                <w:b/>
                <w:color w:val="000000"/>
              </w:rPr>
            </w:pPr>
          </w:p>
          <w:p w:rsidR="00DB1E1F" w:rsidRDefault="00DB1E1F" w:rsidP="00DB1E1F">
            <w:pPr>
              <w:tabs>
                <w:tab w:val="left" w:pos="0"/>
              </w:tabs>
              <w:spacing w:before="0" w:line="288" w:lineRule="auto"/>
              <w:ind w:firstLine="0"/>
              <w:rPr>
                <w:b/>
                <w:color w:val="000000"/>
              </w:rPr>
            </w:pPr>
          </w:p>
          <w:p w:rsidR="00DB1E1F" w:rsidRDefault="00DB1E1F" w:rsidP="00DB1E1F">
            <w:pPr>
              <w:tabs>
                <w:tab w:val="left" w:pos="0"/>
              </w:tabs>
              <w:spacing w:before="0" w:line="288" w:lineRule="auto"/>
              <w:ind w:firstLine="0"/>
              <w:rPr>
                <w:b/>
                <w:color w:val="000000"/>
              </w:rPr>
            </w:pPr>
            <w:r>
              <w:rPr>
                <w:b/>
                <w:color w:val="000000"/>
              </w:rPr>
              <w:t>Recenzentas</w:t>
            </w:r>
          </w:p>
          <w:p w:rsidR="00DB1E1F" w:rsidRDefault="00DB1E1F" w:rsidP="00DB1E1F">
            <w:pPr>
              <w:tabs>
                <w:tab w:val="left" w:pos="0"/>
              </w:tabs>
              <w:spacing w:before="0" w:line="288" w:lineRule="auto"/>
              <w:ind w:firstLine="0"/>
              <w:rPr>
                <w:b/>
                <w:color w:val="000000"/>
              </w:rPr>
            </w:pPr>
            <w:r>
              <w:rPr>
                <w:b/>
                <w:color w:val="000000"/>
              </w:rPr>
              <w:t>(parašas)</w:t>
            </w:r>
          </w:p>
          <w:p w:rsidR="00DB1E1F" w:rsidRDefault="00DB1E1F" w:rsidP="00DB1E1F">
            <w:pPr>
              <w:tabs>
                <w:tab w:val="left" w:pos="0"/>
              </w:tabs>
              <w:spacing w:before="0" w:line="288" w:lineRule="auto"/>
              <w:ind w:firstLine="0"/>
              <w:rPr>
                <w:b/>
                <w:color w:val="000000"/>
              </w:rPr>
            </w:pPr>
            <w:r>
              <w:rPr>
                <w:b/>
                <w:color w:val="000000"/>
              </w:rPr>
              <w:t>2012 12</w:t>
            </w:r>
          </w:p>
        </w:tc>
        <w:tc>
          <w:tcPr>
            <w:tcW w:w="4075" w:type="dxa"/>
          </w:tcPr>
          <w:p w:rsidR="00DB1E1F" w:rsidRDefault="00DB1E1F" w:rsidP="00DB1E1F">
            <w:pPr>
              <w:tabs>
                <w:tab w:val="left" w:pos="0"/>
              </w:tabs>
              <w:spacing w:before="0" w:line="288" w:lineRule="auto"/>
              <w:ind w:firstLine="0"/>
              <w:rPr>
                <w:b/>
                <w:color w:val="000000"/>
                <w:szCs w:val="24"/>
              </w:rPr>
            </w:pPr>
          </w:p>
          <w:p w:rsidR="00DB1E1F" w:rsidRDefault="00DB1E1F" w:rsidP="00DB1E1F">
            <w:pPr>
              <w:tabs>
                <w:tab w:val="left" w:pos="0"/>
              </w:tabs>
              <w:spacing w:before="0" w:line="288" w:lineRule="auto"/>
              <w:ind w:firstLine="0"/>
              <w:rPr>
                <w:b/>
                <w:color w:val="000000"/>
                <w:szCs w:val="24"/>
              </w:rPr>
            </w:pPr>
          </w:p>
          <w:p w:rsidR="00DB1E1F" w:rsidRPr="00DB1E1F" w:rsidRDefault="00DB1E1F" w:rsidP="00DB1E1F">
            <w:pPr>
              <w:tabs>
                <w:tab w:val="left" w:pos="0"/>
              </w:tabs>
              <w:spacing w:before="0" w:line="288" w:lineRule="auto"/>
              <w:ind w:firstLine="0"/>
              <w:rPr>
                <w:b/>
                <w:color w:val="000000"/>
                <w:szCs w:val="24"/>
              </w:rPr>
            </w:pPr>
            <w:r w:rsidRPr="00DB1E1F">
              <w:rPr>
                <w:b/>
                <w:color w:val="000000"/>
                <w:szCs w:val="24"/>
              </w:rPr>
              <w:t>Atliko</w:t>
            </w:r>
          </w:p>
          <w:p w:rsidR="00DB1E1F" w:rsidRPr="00DB1E1F" w:rsidRDefault="00DB1E1F" w:rsidP="00DB1E1F">
            <w:pPr>
              <w:tabs>
                <w:tab w:val="left" w:pos="0"/>
              </w:tabs>
              <w:spacing w:before="0" w:line="288" w:lineRule="auto"/>
              <w:ind w:firstLine="0"/>
              <w:rPr>
                <w:b/>
                <w:color w:val="000000"/>
                <w:szCs w:val="24"/>
              </w:rPr>
            </w:pPr>
            <w:r w:rsidRPr="00DB1E1F">
              <w:rPr>
                <w:b/>
                <w:color w:val="000000"/>
                <w:szCs w:val="24"/>
              </w:rPr>
              <w:t>FRmns1-01 gr. stud.</w:t>
            </w:r>
          </w:p>
          <w:p w:rsidR="00DB1E1F" w:rsidRDefault="00DB1E1F" w:rsidP="00DB1E1F">
            <w:pPr>
              <w:tabs>
                <w:tab w:val="left" w:pos="0"/>
              </w:tabs>
              <w:spacing w:before="0" w:line="288" w:lineRule="auto"/>
              <w:ind w:firstLine="0"/>
              <w:rPr>
                <w:b/>
                <w:color w:val="000000"/>
                <w:szCs w:val="24"/>
              </w:rPr>
            </w:pPr>
            <w:r w:rsidRPr="00DB1E1F">
              <w:rPr>
                <w:b/>
                <w:color w:val="000000"/>
                <w:szCs w:val="24"/>
              </w:rPr>
              <w:t>(parašas) Vytautas Tamošiūnas</w:t>
            </w:r>
          </w:p>
          <w:p w:rsidR="00DB1E1F" w:rsidRPr="00DB1E1F" w:rsidRDefault="00DB1E1F" w:rsidP="00DB1E1F">
            <w:pPr>
              <w:tabs>
                <w:tab w:val="left" w:pos="0"/>
              </w:tabs>
              <w:spacing w:before="0" w:line="288" w:lineRule="auto"/>
              <w:ind w:firstLine="0"/>
              <w:rPr>
                <w:b/>
                <w:color w:val="000000"/>
                <w:szCs w:val="24"/>
              </w:rPr>
            </w:pPr>
            <w:r>
              <w:rPr>
                <w:b/>
                <w:color w:val="000000"/>
                <w:szCs w:val="24"/>
              </w:rPr>
              <w:t>2012 12 20</w:t>
            </w:r>
          </w:p>
        </w:tc>
      </w:tr>
    </w:tbl>
    <w:p w:rsidR="00DB1E1F" w:rsidRDefault="00DB1E1F" w:rsidP="00DB1E1F">
      <w:pPr>
        <w:tabs>
          <w:tab w:val="left" w:pos="0"/>
        </w:tabs>
        <w:ind w:firstLine="0"/>
        <w:rPr>
          <w:b/>
          <w:color w:val="000000"/>
          <w:sz w:val="22"/>
        </w:rPr>
      </w:pPr>
    </w:p>
    <w:p w:rsidR="00DB1E1F" w:rsidRDefault="00DB1E1F" w:rsidP="00DB1E1F">
      <w:pPr>
        <w:tabs>
          <w:tab w:val="left" w:pos="0"/>
        </w:tabs>
        <w:ind w:firstLine="0"/>
        <w:rPr>
          <w:b/>
          <w:color w:val="000000"/>
          <w:sz w:val="22"/>
        </w:rPr>
      </w:pPr>
    </w:p>
    <w:p w:rsidR="00DB1E1F" w:rsidRDefault="00DB1E1F" w:rsidP="00A8316B">
      <w:pPr>
        <w:ind w:firstLine="0"/>
        <w:rPr>
          <w:b/>
          <w:color w:val="000000"/>
          <w:sz w:val="28"/>
          <w:szCs w:val="28"/>
        </w:rPr>
      </w:pPr>
    </w:p>
    <w:p w:rsidR="00380F5A" w:rsidRDefault="00DB1E1F" w:rsidP="00DB1E1F">
      <w:pPr>
        <w:ind w:firstLine="0"/>
        <w:jc w:val="center"/>
        <w:rPr>
          <w:b/>
          <w:color w:val="000000"/>
          <w:sz w:val="28"/>
          <w:szCs w:val="28"/>
        </w:rPr>
        <w:sectPr w:rsidR="00380F5A" w:rsidSect="00E10F7A">
          <w:headerReference w:type="default" r:id="rId8"/>
          <w:headerReference w:type="first" r:id="rId9"/>
          <w:pgSz w:w="11906" w:h="16838"/>
          <w:pgMar w:top="1134" w:right="567" w:bottom="1134" w:left="1418" w:header="0" w:footer="283" w:gutter="0"/>
          <w:pgNumType w:start="1"/>
          <w:cols w:space="1296"/>
          <w:docGrid w:linePitch="360"/>
        </w:sectPr>
      </w:pPr>
      <w:r>
        <w:rPr>
          <w:b/>
          <w:color w:val="000000"/>
          <w:sz w:val="28"/>
          <w:szCs w:val="28"/>
        </w:rPr>
        <w:t>VILNIUS, 2012</w:t>
      </w:r>
    </w:p>
    <w:p w:rsidR="001D6A6E" w:rsidRDefault="001D6A6E" w:rsidP="00F63203">
      <w:pPr>
        <w:pStyle w:val="Heading1"/>
      </w:pPr>
      <w:bookmarkStart w:id="2" w:name="_Ref343347734"/>
      <w:bookmarkStart w:id="3" w:name="_Toc343349267"/>
      <w:bookmarkStart w:id="4" w:name="_Toc343350122"/>
      <w:bookmarkStart w:id="5" w:name="_Toc343536624"/>
      <w:bookmarkStart w:id="6" w:name="_Toc343677733"/>
      <w:r>
        <w:lastRenderedPageBreak/>
        <w:t>Turinys</w:t>
      </w:r>
      <w:bookmarkEnd w:id="2"/>
      <w:bookmarkEnd w:id="3"/>
      <w:bookmarkEnd w:id="4"/>
      <w:bookmarkEnd w:id="5"/>
      <w:bookmarkEnd w:id="6"/>
    </w:p>
    <w:p w:rsidR="007F7304" w:rsidRDefault="00EC7800">
      <w:pPr>
        <w:pStyle w:val="TOC1"/>
        <w:rPr>
          <w:rFonts w:asciiTheme="minorHAnsi" w:eastAsiaTheme="minorEastAsia" w:hAnsiTheme="minorHAnsi"/>
          <w:bCs w:val="0"/>
          <w:caps w:val="0"/>
          <w:noProof/>
          <w:sz w:val="22"/>
          <w:szCs w:val="22"/>
          <w:lang w:eastAsia="lt-LT"/>
        </w:rPr>
      </w:pPr>
      <w:r w:rsidRPr="00EC7800">
        <w:rPr>
          <w:rFonts w:eastAsiaTheme="majorEastAsia" w:cstheme="majorBidi"/>
          <w:bCs w:val="0"/>
          <w:caps w:val="0"/>
          <w:sz w:val="28"/>
          <w:szCs w:val="28"/>
        </w:rPr>
        <w:fldChar w:fldCharType="begin"/>
      </w:r>
      <w:r w:rsidR="00465C33">
        <w:rPr>
          <w:rFonts w:eastAsiaTheme="majorEastAsia" w:cstheme="majorBidi"/>
          <w:bCs w:val="0"/>
          <w:caps w:val="0"/>
          <w:sz w:val="28"/>
          <w:szCs w:val="28"/>
        </w:rPr>
        <w:instrText xml:space="preserve"> TOC \o "1-3" \h \z \u </w:instrText>
      </w:r>
      <w:r w:rsidRPr="00EC7800">
        <w:rPr>
          <w:rFonts w:eastAsiaTheme="majorEastAsia" w:cstheme="majorBidi"/>
          <w:bCs w:val="0"/>
          <w:caps w:val="0"/>
          <w:sz w:val="28"/>
          <w:szCs w:val="28"/>
        </w:rPr>
        <w:fldChar w:fldCharType="separate"/>
      </w:r>
      <w:hyperlink w:anchor="_Toc343677737" w:history="1">
        <w:r w:rsidR="007F7304" w:rsidRPr="00652E8A">
          <w:rPr>
            <w:rStyle w:val="Hyperlink"/>
            <w:noProof/>
          </w:rPr>
          <w:t>ĮVADAS</w:t>
        </w:r>
        <w:r w:rsidR="007F7304">
          <w:rPr>
            <w:noProof/>
            <w:webHidden/>
          </w:rPr>
          <w:tab/>
        </w:r>
        <w:r>
          <w:rPr>
            <w:noProof/>
            <w:webHidden/>
          </w:rPr>
          <w:fldChar w:fldCharType="begin"/>
        </w:r>
        <w:r w:rsidR="007F7304">
          <w:rPr>
            <w:noProof/>
            <w:webHidden/>
          </w:rPr>
          <w:instrText xml:space="preserve"> PAGEREF _Toc343677737 \h </w:instrText>
        </w:r>
        <w:r>
          <w:rPr>
            <w:noProof/>
            <w:webHidden/>
          </w:rPr>
        </w:r>
        <w:r>
          <w:rPr>
            <w:noProof/>
            <w:webHidden/>
          </w:rPr>
          <w:fldChar w:fldCharType="separate"/>
        </w:r>
        <w:r w:rsidR="0009577F">
          <w:rPr>
            <w:noProof/>
            <w:webHidden/>
          </w:rPr>
          <w:t>7</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38" w:history="1">
        <w:r w:rsidR="007F7304" w:rsidRPr="00652E8A">
          <w:rPr>
            <w:rStyle w:val="Hyperlink"/>
            <w:noProof/>
          </w:rPr>
          <w:t>1.</w:t>
        </w:r>
        <w:r w:rsidR="007F7304">
          <w:rPr>
            <w:rFonts w:asciiTheme="minorHAnsi" w:eastAsiaTheme="minorEastAsia" w:hAnsiTheme="minorHAnsi"/>
            <w:bCs w:val="0"/>
            <w:caps w:val="0"/>
            <w:noProof/>
            <w:sz w:val="22"/>
            <w:szCs w:val="22"/>
            <w:lang w:eastAsia="lt-LT"/>
          </w:rPr>
          <w:tab/>
        </w:r>
        <w:r w:rsidR="007F7304" w:rsidRPr="00652E8A">
          <w:rPr>
            <w:rStyle w:val="Hyperlink"/>
            <w:noProof/>
          </w:rPr>
          <w:t>Dividendinio investavimo teorija</w:t>
        </w:r>
        <w:r w:rsidR="007F7304">
          <w:rPr>
            <w:noProof/>
            <w:webHidden/>
          </w:rPr>
          <w:tab/>
        </w:r>
        <w:r>
          <w:rPr>
            <w:noProof/>
            <w:webHidden/>
          </w:rPr>
          <w:fldChar w:fldCharType="begin"/>
        </w:r>
        <w:r w:rsidR="007F7304">
          <w:rPr>
            <w:noProof/>
            <w:webHidden/>
          </w:rPr>
          <w:instrText xml:space="preserve"> PAGEREF _Toc343677738 \h </w:instrText>
        </w:r>
        <w:r>
          <w:rPr>
            <w:noProof/>
            <w:webHidden/>
          </w:rPr>
        </w:r>
        <w:r>
          <w:rPr>
            <w:noProof/>
            <w:webHidden/>
          </w:rPr>
          <w:fldChar w:fldCharType="separate"/>
        </w:r>
        <w:r w:rsidR="0009577F">
          <w:rPr>
            <w:noProof/>
            <w:webHidden/>
          </w:rPr>
          <w:t>9</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39" w:history="1">
        <w:r w:rsidR="007F7304" w:rsidRPr="00652E8A">
          <w:rPr>
            <w:rStyle w:val="Hyperlink"/>
            <w:noProof/>
          </w:rPr>
          <w:t>1.1.</w:t>
        </w:r>
        <w:r w:rsidR="007F7304">
          <w:rPr>
            <w:rFonts w:asciiTheme="minorHAnsi" w:eastAsiaTheme="minorEastAsia" w:hAnsiTheme="minorHAnsi"/>
            <w:noProof/>
            <w:sz w:val="22"/>
            <w:szCs w:val="22"/>
            <w:lang w:eastAsia="lt-LT"/>
          </w:rPr>
          <w:tab/>
        </w:r>
        <w:r w:rsidR="007F7304" w:rsidRPr="00652E8A">
          <w:rPr>
            <w:rStyle w:val="Hyperlink"/>
            <w:noProof/>
          </w:rPr>
          <w:t>Įmonės dividendų politikos reikšmė investiciniu aspektu</w:t>
        </w:r>
        <w:r w:rsidR="007F7304">
          <w:rPr>
            <w:noProof/>
            <w:webHidden/>
          </w:rPr>
          <w:tab/>
        </w:r>
        <w:r>
          <w:rPr>
            <w:noProof/>
            <w:webHidden/>
          </w:rPr>
          <w:fldChar w:fldCharType="begin"/>
        </w:r>
        <w:r w:rsidR="007F7304">
          <w:rPr>
            <w:noProof/>
            <w:webHidden/>
          </w:rPr>
          <w:instrText xml:space="preserve"> PAGEREF _Toc343677739 \h </w:instrText>
        </w:r>
        <w:r>
          <w:rPr>
            <w:noProof/>
            <w:webHidden/>
          </w:rPr>
        </w:r>
        <w:r>
          <w:rPr>
            <w:noProof/>
            <w:webHidden/>
          </w:rPr>
          <w:fldChar w:fldCharType="separate"/>
        </w:r>
        <w:r w:rsidR="0009577F">
          <w:rPr>
            <w:noProof/>
            <w:webHidden/>
          </w:rPr>
          <w:t>9</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40" w:history="1">
        <w:r w:rsidR="007F7304" w:rsidRPr="00652E8A">
          <w:rPr>
            <w:rStyle w:val="Hyperlink"/>
            <w:noProof/>
          </w:rPr>
          <w:t>1.1.1.</w:t>
        </w:r>
        <w:r w:rsidR="007F7304">
          <w:rPr>
            <w:rFonts w:asciiTheme="minorHAnsi" w:eastAsiaTheme="minorEastAsia" w:hAnsiTheme="minorHAnsi"/>
            <w:iCs w:val="0"/>
            <w:noProof/>
            <w:sz w:val="22"/>
            <w:szCs w:val="22"/>
            <w:lang w:eastAsia="lt-LT"/>
          </w:rPr>
          <w:tab/>
        </w:r>
        <w:r w:rsidR="007F7304" w:rsidRPr="00652E8A">
          <w:rPr>
            <w:rStyle w:val="Hyperlink"/>
            <w:noProof/>
          </w:rPr>
          <w:t>Dividendų politikos teorijos</w:t>
        </w:r>
        <w:r w:rsidR="007F7304">
          <w:rPr>
            <w:noProof/>
            <w:webHidden/>
          </w:rPr>
          <w:tab/>
        </w:r>
        <w:r>
          <w:rPr>
            <w:noProof/>
            <w:webHidden/>
          </w:rPr>
          <w:fldChar w:fldCharType="begin"/>
        </w:r>
        <w:r w:rsidR="007F7304">
          <w:rPr>
            <w:noProof/>
            <w:webHidden/>
          </w:rPr>
          <w:instrText xml:space="preserve"> PAGEREF _Toc343677740 \h </w:instrText>
        </w:r>
        <w:r>
          <w:rPr>
            <w:noProof/>
            <w:webHidden/>
          </w:rPr>
        </w:r>
        <w:r>
          <w:rPr>
            <w:noProof/>
            <w:webHidden/>
          </w:rPr>
          <w:fldChar w:fldCharType="separate"/>
        </w:r>
        <w:r w:rsidR="0009577F">
          <w:rPr>
            <w:noProof/>
            <w:webHidden/>
          </w:rPr>
          <w:t>9</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41" w:history="1">
        <w:r w:rsidR="007F7304" w:rsidRPr="00652E8A">
          <w:rPr>
            <w:rStyle w:val="Hyperlink"/>
            <w:noProof/>
          </w:rPr>
          <w:t>1.1.2.</w:t>
        </w:r>
        <w:r w:rsidR="007F7304">
          <w:rPr>
            <w:rFonts w:asciiTheme="minorHAnsi" w:eastAsiaTheme="minorEastAsia" w:hAnsiTheme="minorHAnsi"/>
            <w:iCs w:val="0"/>
            <w:noProof/>
            <w:sz w:val="22"/>
            <w:szCs w:val="22"/>
            <w:lang w:eastAsia="lt-LT"/>
          </w:rPr>
          <w:tab/>
        </w:r>
        <w:r w:rsidR="007F7304" w:rsidRPr="00652E8A">
          <w:rPr>
            <w:rStyle w:val="Hyperlink"/>
            <w:noProof/>
          </w:rPr>
          <w:t>Dividendinių naujienų įtaka akcijų pelningumui dividendų paskelbimo dienomis</w:t>
        </w:r>
        <w:r w:rsidR="007F7304">
          <w:rPr>
            <w:noProof/>
            <w:webHidden/>
          </w:rPr>
          <w:tab/>
        </w:r>
        <w:r>
          <w:rPr>
            <w:noProof/>
            <w:webHidden/>
          </w:rPr>
          <w:fldChar w:fldCharType="begin"/>
        </w:r>
        <w:r w:rsidR="007F7304">
          <w:rPr>
            <w:noProof/>
            <w:webHidden/>
          </w:rPr>
          <w:instrText xml:space="preserve"> PAGEREF _Toc343677741 \h </w:instrText>
        </w:r>
        <w:r>
          <w:rPr>
            <w:noProof/>
            <w:webHidden/>
          </w:rPr>
        </w:r>
        <w:r>
          <w:rPr>
            <w:noProof/>
            <w:webHidden/>
          </w:rPr>
          <w:fldChar w:fldCharType="separate"/>
        </w:r>
        <w:r w:rsidR="0009577F">
          <w:rPr>
            <w:noProof/>
            <w:webHidden/>
          </w:rPr>
          <w:t>18</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42" w:history="1">
        <w:r w:rsidR="007F7304" w:rsidRPr="00652E8A">
          <w:rPr>
            <w:rStyle w:val="Hyperlink"/>
            <w:noProof/>
          </w:rPr>
          <w:t>1.2.</w:t>
        </w:r>
        <w:r w:rsidR="007F7304">
          <w:rPr>
            <w:rFonts w:asciiTheme="minorHAnsi" w:eastAsiaTheme="minorEastAsia" w:hAnsiTheme="minorHAnsi"/>
            <w:noProof/>
            <w:sz w:val="22"/>
            <w:szCs w:val="22"/>
            <w:lang w:eastAsia="lt-LT"/>
          </w:rPr>
          <w:tab/>
        </w:r>
        <w:r w:rsidR="007F7304" w:rsidRPr="00652E8A">
          <w:rPr>
            <w:rStyle w:val="Hyperlink"/>
            <w:noProof/>
          </w:rPr>
          <w:t>Dividendinio investavimo strategijos</w:t>
        </w:r>
        <w:r w:rsidR="007F7304">
          <w:rPr>
            <w:noProof/>
            <w:webHidden/>
          </w:rPr>
          <w:tab/>
        </w:r>
        <w:r>
          <w:rPr>
            <w:noProof/>
            <w:webHidden/>
          </w:rPr>
          <w:fldChar w:fldCharType="begin"/>
        </w:r>
        <w:r w:rsidR="007F7304">
          <w:rPr>
            <w:noProof/>
            <w:webHidden/>
          </w:rPr>
          <w:instrText xml:space="preserve"> PAGEREF _Toc343677742 \h </w:instrText>
        </w:r>
        <w:r>
          <w:rPr>
            <w:noProof/>
            <w:webHidden/>
          </w:rPr>
        </w:r>
        <w:r>
          <w:rPr>
            <w:noProof/>
            <w:webHidden/>
          </w:rPr>
          <w:fldChar w:fldCharType="separate"/>
        </w:r>
        <w:r w:rsidR="0009577F">
          <w:rPr>
            <w:noProof/>
            <w:webHidden/>
          </w:rPr>
          <w:t>21</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43" w:history="1">
        <w:r w:rsidR="007F7304" w:rsidRPr="00652E8A">
          <w:rPr>
            <w:rStyle w:val="Hyperlink"/>
            <w:noProof/>
          </w:rPr>
          <w:t>1.2.1.</w:t>
        </w:r>
        <w:r w:rsidR="007F7304">
          <w:rPr>
            <w:rFonts w:asciiTheme="minorHAnsi" w:eastAsiaTheme="minorEastAsia" w:hAnsiTheme="minorHAnsi"/>
            <w:iCs w:val="0"/>
            <w:noProof/>
            <w:sz w:val="22"/>
            <w:szCs w:val="22"/>
            <w:lang w:eastAsia="lt-LT"/>
          </w:rPr>
          <w:tab/>
        </w:r>
        <w:r w:rsidR="007F7304" w:rsidRPr="00652E8A">
          <w:rPr>
            <w:rStyle w:val="Hyperlink"/>
            <w:noProof/>
          </w:rPr>
          <w:t>Strategijos orientuotos į dividendų pajamingumą</w:t>
        </w:r>
        <w:r w:rsidR="007F7304">
          <w:rPr>
            <w:noProof/>
            <w:webHidden/>
          </w:rPr>
          <w:tab/>
        </w:r>
        <w:r>
          <w:rPr>
            <w:noProof/>
            <w:webHidden/>
          </w:rPr>
          <w:fldChar w:fldCharType="begin"/>
        </w:r>
        <w:r w:rsidR="007F7304">
          <w:rPr>
            <w:noProof/>
            <w:webHidden/>
          </w:rPr>
          <w:instrText xml:space="preserve"> PAGEREF _Toc343677743 \h </w:instrText>
        </w:r>
        <w:r>
          <w:rPr>
            <w:noProof/>
            <w:webHidden/>
          </w:rPr>
        </w:r>
        <w:r>
          <w:rPr>
            <w:noProof/>
            <w:webHidden/>
          </w:rPr>
          <w:fldChar w:fldCharType="separate"/>
        </w:r>
        <w:r w:rsidR="0009577F">
          <w:rPr>
            <w:noProof/>
            <w:webHidden/>
          </w:rPr>
          <w:t>22</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44" w:history="1">
        <w:r w:rsidR="007F7304" w:rsidRPr="00652E8A">
          <w:rPr>
            <w:rStyle w:val="Hyperlink"/>
            <w:noProof/>
          </w:rPr>
          <w:t>1.2.2.</w:t>
        </w:r>
        <w:r w:rsidR="007F7304">
          <w:rPr>
            <w:rFonts w:asciiTheme="minorHAnsi" w:eastAsiaTheme="minorEastAsia" w:hAnsiTheme="minorHAnsi"/>
            <w:iCs w:val="0"/>
            <w:noProof/>
            <w:sz w:val="22"/>
            <w:szCs w:val="22"/>
            <w:lang w:eastAsia="lt-LT"/>
          </w:rPr>
          <w:tab/>
        </w:r>
        <w:r w:rsidR="007F7304" w:rsidRPr="00652E8A">
          <w:rPr>
            <w:rStyle w:val="Hyperlink"/>
            <w:noProof/>
          </w:rPr>
          <w:t>Strategijos orientuotos į dividendų augimą</w:t>
        </w:r>
        <w:r w:rsidR="007F7304">
          <w:rPr>
            <w:noProof/>
            <w:webHidden/>
          </w:rPr>
          <w:tab/>
        </w:r>
        <w:r>
          <w:rPr>
            <w:noProof/>
            <w:webHidden/>
          </w:rPr>
          <w:fldChar w:fldCharType="begin"/>
        </w:r>
        <w:r w:rsidR="007F7304">
          <w:rPr>
            <w:noProof/>
            <w:webHidden/>
          </w:rPr>
          <w:instrText xml:space="preserve"> PAGEREF _Toc343677744 \h </w:instrText>
        </w:r>
        <w:r>
          <w:rPr>
            <w:noProof/>
            <w:webHidden/>
          </w:rPr>
        </w:r>
        <w:r>
          <w:rPr>
            <w:noProof/>
            <w:webHidden/>
          </w:rPr>
          <w:fldChar w:fldCharType="separate"/>
        </w:r>
        <w:r w:rsidR="0009577F">
          <w:rPr>
            <w:noProof/>
            <w:webHidden/>
          </w:rPr>
          <w:t>25</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45" w:history="1">
        <w:r w:rsidR="007F7304" w:rsidRPr="00652E8A">
          <w:rPr>
            <w:rStyle w:val="Hyperlink"/>
            <w:noProof/>
          </w:rPr>
          <w:t>1.3.</w:t>
        </w:r>
        <w:r w:rsidR="007F7304">
          <w:rPr>
            <w:rFonts w:asciiTheme="minorHAnsi" w:eastAsiaTheme="minorEastAsia" w:hAnsiTheme="minorHAnsi"/>
            <w:noProof/>
            <w:sz w:val="22"/>
            <w:szCs w:val="22"/>
            <w:lang w:eastAsia="lt-LT"/>
          </w:rPr>
          <w:tab/>
        </w:r>
        <w:r w:rsidR="007F7304" w:rsidRPr="00652E8A">
          <w:rPr>
            <w:rStyle w:val="Hyperlink"/>
            <w:noProof/>
          </w:rPr>
          <w:t>Daugiakriteriniai įmonės dividendų politikos vertinimo modeliai</w:t>
        </w:r>
        <w:r w:rsidR="007F7304">
          <w:rPr>
            <w:noProof/>
            <w:webHidden/>
          </w:rPr>
          <w:tab/>
        </w:r>
        <w:r>
          <w:rPr>
            <w:noProof/>
            <w:webHidden/>
          </w:rPr>
          <w:fldChar w:fldCharType="begin"/>
        </w:r>
        <w:r w:rsidR="007F7304">
          <w:rPr>
            <w:noProof/>
            <w:webHidden/>
          </w:rPr>
          <w:instrText xml:space="preserve"> PAGEREF _Toc343677745 \h </w:instrText>
        </w:r>
        <w:r>
          <w:rPr>
            <w:noProof/>
            <w:webHidden/>
          </w:rPr>
        </w:r>
        <w:r>
          <w:rPr>
            <w:noProof/>
            <w:webHidden/>
          </w:rPr>
          <w:fldChar w:fldCharType="separate"/>
        </w:r>
        <w:r w:rsidR="0009577F">
          <w:rPr>
            <w:noProof/>
            <w:webHidden/>
          </w:rPr>
          <w:t>27</w:t>
        </w:r>
        <w:r>
          <w:rPr>
            <w:noProof/>
            <w:webHidden/>
          </w:rPr>
          <w:fldChar w:fldCharType="end"/>
        </w:r>
      </w:hyperlink>
    </w:p>
    <w:p w:rsidR="007F7304" w:rsidRDefault="00EC7800">
      <w:pPr>
        <w:pStyle w:val="TOC1"/>
        <w:rPr>
          <w:rFonts w:asciiTheme="minorHAnsi" w:eastAsiaTheme="minorEastAsia" w:hAnsiTheme="minorHAnsi"/>
          <w:bCs w:val="0"/>
          <w:caps w:val="0"/>
          <w:noProof/>
          <w:sz w:val="22"/>
          <w:szCs w:val="22"/>
          <w:lang w:eastAsia="lt-LT"/>
        </w:rPr>
      </w:pPr>
      <w:hyperlink w:anchor="_Toc343677746" w:history="1">
        <w:r w:rsidR="007F7304" w:rsidRPr="00652E8A">
          <w:rPr>
            <w:rStyle w:val="Hyperlink"/>
            <w:noProof/>
          </w:rPr>
          <w:t>2.</w:t>
        </w:r>
        <w:r w:rsidR="007F7304">
          <w:rPr>
            <w:rFonts w:asciiTheme="minorHAnsi" w:eastAsiaTheme="minorEastAsia" w:hAnsiTheme="minorHAnsi"/>
            <w:bCs w:val="0"/>
            <w:caps w:val="0"/>
            <w:noProof/>
            <w:sz w:val="22"/>
            <w:szCs w:val="22"/>
            <w:lang w:eastAsia="lt-LT"/>
          </w:rPr>
          <w:tab/>
        </w:r>
        <w:r w:rsidR="007F7304" w:rsidRPr="00652E8A">
          <w:rPr>
            <w:rStyle w:val="Hyperlink"/>
            <w:noProof/>
          </w:rPr>
          <w:t>DIVIDENDINIO INVESTAVIMO STRATEGIJŲ MODELIAVIMO METODOLOGIJA</w:t>
        </w:r>
        <w:r w:rsidR="007F7304">
          <w:rPr>
            <w:noProof/>
            <w:webHidden/>
          </w:rPr>
          <w:tab/>
        </w:r>
        <w:r>
          <w:rPr>
            <w:noProof/>
            <w:webHidden/>
          </w:rPr>
          <w:fldChar w:fldCharType="begin"/>
        </w:r>
        <w:r w:rsidR="007F7304">
          <w:rPr>
            <w:noProof/>
            <w:webHidden/>
          </w:rPr>
          <w:instrText xml:space="preserve"> PAGEREF _Toc343677746 \h </w:instrText>
        </w:r>
        <w:r>
          <w:rPr>
            <w:noProof/>
            <w:webHidden/>
          </w:rPr>
        </w:r>
        <w:r>
          <w:rPr>
            <w:noProof/>
            <w:webHidden/>
          </w:rPr>
          <w:fldChar w:fldCharType="separate"/>
        </w:r>
        <w:r w:rsidR="0009577F">
          <w:rPr>
            <w:noProof/>
            <w:webHidden/>
          </w:rPr>
          <w:t>31</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47" w:history="1">
        <w:r w:rsidR="007F7304" w:rsidRPr="00652E8A">
          <w:rPr>
            <w:rStyle w:val="Hyperlink"/>
            <w:noProof/>
          </w:rPr>
          <w:t>2.1.</w:t>
        </w:r>
        <w:r w:rsidR="007F7304">
          <w:rPr>
            <w:rFonts w:asciiTheme="minorHAnsi" w:eastAsiaTheme="minorEastAsia" w:hAnsiTheme="minorHAnsi"/>
            <w:noProof/>
            <w:sz w:val="22"/>
            <w:szCs w:val="22"/>
            <w:lang w:eastAsia="lt-LT"/>
          </w:rPr>
          <w:tab/>
        </w:r>
        <w:r w:rsidR="007F7304" w:rsidRPr="00652E8A">
          <w:rPr>
            <w:rStyle w:val="Hyperlink"/>
            <w:noProof/>
          </w:rPr>
          <w:t>Tyrimo hipotezės formulavimas ir tyrimo duomenų atranka</w:t>
        </w:r>
        <w:r w:rsidR="007F7304">
          <w:rPr>
            <w:noProof/>
            <w:webHidden/>
          </w:rPr>
          <w:tab/>
        </w:r>
        <w:r>
          <w:rPr>
            <w:noProof/>
            <w:webHidden/>
          </w:rPr>
          <w:fldChar w:fldCharType="begin"/>
        </w:r>
        <w:r w:rsidR="007F7304">
          <w:rPr>
            <w:noProof/>
            <w:webHidden/>
          </w:rPr>
          <w:instrText xml:space="preserve"> PAGEREF _Toc343677747 \h </w:instrText>
        </w:r>
        <w:r>
          <w:rPr>
            <w:noProof/>
            <w:webHidden/>
          </w:rPr>
        </w:r>
        <w:r>
          <w:rPr>
            <w:noProof/>
            <w:webHidden/>
          </w:rPr>
          <w:fldChar w:fldCharType="separate"/>
        </w:r>
        <w:r w:rsidR="0009577F">
          <w:rPr>
            <w:noProof/>
            <w:webHidden/>
          </w:rPr>
          <w:t>31</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48" w:history="1">
        <w:r w:rsidR="007F7304" w:rsidRPr="00652E8A">
          <w:rPr>
            <w:rStyle w:val="Hyperlink"/>
            <w:noProof/>
          </w:rPr>
          <w:t>2.2.</w:t>
        </w:r>
        <w:r w:rsidR="007F7304">
          <w:rPr>
            <w:rFonts w:asciiTheme="minorHAnsi" w:eastAsiaTheme="minorEastAsia" w:hAnsiTheme="minorHAnsi"/>
            <w:noProof/>
            <w:sz w:val="22"/>
            <w:szCs w:val="22"/>
            <w:lang w:eastAsia="lt-LT"/>
          </w:rPr>
          <w:tab/>
        </w:r>
        <w:r w:rsidR="007F7304" w:rsidRPr="00652E8A">
          <w:rPr>
            <w:rStyle w:val="Hyperlink"/>
            <w:noProof/>
          </w:rPr>
          <w:t>Dividendinių akcijų pelningumo vertinimo kriterijai dividendų paskelbimo dienomis</w:t>
        </w:r>
        <w:r w:rsidR="007F7304">
          <w:rPr>
            <w:noProof/>
            <w:webHidden/>
          </w:rPr>
          <w:tab/>
        </w:r>
        <w:r>
          <w:rPr>
            <w:noProof/>
            <w:webHidden/>
          </w:rPr>
          <w:fldChar w:fldCharType="begin"/>
        </w:r>
        <w:r w:rsidR="007F7304">
          <w:rPr>
            <w:noProof/>
            <w:webHidden/>
          </w:rPr>
          <w:instrText xml:space="preserve"> PAGEREF _Toc343677748 \h </w:instrText>
        </w:r>
        <w:r>
          <w:rPr>
            <w:noProof/>
            <w:webHidden/>
          </w:rPr>
        </w:r>
        <w:r>
          <w:rPr>
            <w:noProof/>
            <w:webHidden/>
          </w:rPr>
          <w:fldChar w:fldCharType="separate"/>
        </w:r>
        <w:r w:rsidR="0009577F">
          <w:rPr>
            <w:noProof/>
            <w:webHidden/>
          </w:rPr>
          <w:t>34</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49" w:history="1">
        <w:r w:rsidR="007F7304" w:rsidRPr="00652E8A">
          <w:rPr>
            <w:rStyle w:val="Hyperlink"/>
            <w:noProof/>
          </w:rPr>
          <w:t>2.2.1.</w:t>
        </w:r>
        <w:r w:rsidR="007F7304">
          <w:rPr>
            <w:rFonts w:asciiTheme="minorHAnsi" w:eastAsiaTheme="minorEastAsia" w:hAnsiTheme="minorHAnsi"/>
            <w:iCs w:val="0"/>
            <w:noProof/>
            <w:sz w:val="22"/>
            <w:szCs w:val="22"/>
            <w:lang w:eastAsia="lt-LT"/>
          </w:rPr>
          <w:tab/>
        </w:r>
        <w:r w:rsidR="007F7304" w:rsidRPr="00652E8A">
          <w:rPr>
            <w:rStyle w:val="Hyperlink"/>
            <w:noProof/>
          </w:rPr>
          <w:t>Dividendinių akcijų pelningumo apskaičiavimas</w:t>
        </w:r>
        <w:r w:rsidR="007F7304">
          <w:rPr>
            <w:noProof/>
            <w:webHidden/>
          </w:rPr>
          <w:tab/>
        </w:r>
        <w:r>
          <w:rPr>
            <w:noProof/>
            <w:webHidden/>
          </w:rPr>
          <w:fldChar w:fldCharType="begin"/>
        </w:r>
        <w:r w:rsidR="007F7304">
          <w:rPr>
            <w:noProof/>
            <w:webHidden/>
          </w:rPr>
          <w:instrText xml:space="preserve"> PAGEREF _Toc343677749 \h </w:instrText>
        </w:r>
        <w:r>
          <w:rPr>
            <w:noProof/>
            <w:webHidden/>
          </w:rPr>
        </w:r>
        <w:r>
          <w:rPr>
            <w:noProof/>
            <w:webHidden/>
          </w:rPr>
          <w:fldChar w:fldCharType="separate"/>
        </w:r>
        <w:r w:rsidR="0009577F">
          <w:rPr>
            <w:noProof/>
            <w:webHidden/>
          </w:rPr>
          <w:t>35</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0" w:history="1">
        <w:r w:rsidR="007F7304" w:rsidRPr="00652E8A">
          <w:rPr>
            <w:rStyle w:val="Hyperlink"/>
            <w:noProof/>
          </w:rPr>
          <w:t>2.2.2.</w:t>
        </w:r>
        <w:r w:rsidR="007F7304">
          <w:rPr>
            <w:rFonts w:asciiTheme="minorHAnsi" w:eastAsiaTheme="minorEastAsia" w:hAnsiTheme="minorHAnsi"/>
            <w:iCs w:val="0"/>
            <w:noProof/>
            <w:sz w:val="22"/>
            <w:szCs w:val="22"/>
            <w:lang w:eastAsia="lt-LT"/>
          </w:rPr>
          <w:tab/>
        </w:r>
        <w:r w:rsidR="007F7304" w:rsidRPr="00652E8A">
          <w:rPr>
            <w:rStyle w:val="Hyperlink"/>
            <w:noProof/>
          </w:rPr>
          <w:t>Akcijų pelningumo statistinio reikšmingumo tikrinimas</w:t>
        </w:r>
        <w:r w:rsidR="007F7304">
          <w:rPr>
            <w:noProof/>
            <w:webHidden/>
          </w:rPr>
          <w:tab/>
        </w:r>
        <w:r>
          <w:rPr>
            <w:noProof/>
            <w:webHidden/>
          </w:rPr>
          <w:fldChar w:fldCharType="begin"/>
        </w:r>
        <w:r w:rsidR="007F7304">
          <w:rPr>
            <w:noProof/>
            <w:webHidden/>
          </w:rPr>
          <w:instrText xml:space="preserve"> PAGEREF _Toc343677750 \h </w:instrText>
        </w:r>
        <w:r>
          <w:rPr>
            <w:noProof/>
            <w:webHidden/>
          </w:rPr>
        </w:r>
        <w:r>
          <w:rPr>
            <w:noProof/>
            <w:webHidden/>
          </w:rPr>
          <w:fldChar w:fldCharType="separate"/>
        </w:r>
        <w:r w:rsidR="0009577F">
          <w:rPr>
            <w:noProof/>
            <w:webHidden/>
          </w:rPr>
          <w:t>36</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51" w:history="1">
        <w:r w:rsidR="007F7304" w:rsidRPr="00652E8A">
          <w:rPr>
            <w:rStyle w:val="Hyperlink"/>
            <w:noProof/>
          </w:rPr>
          <w:t>2.3.</w:t>
        </w:r>
        <w:r w:rsidR="007F7304">
          <w:rPr>
            <w:rFonts w:asciiTheme="minorHAnsi" w:eastAsiaTheme="minorEastAsia" w:hAnsiTheme="minorHAnsi"/>
            <w:noProof/>
            <w:sz w:val="22"/>
            <w:szCs w:val="22"/>
            <w:lang w:eastAsia="lt-LT"/>
          </w:rPr>
          <w:tab/>
        </w:r>
        <w:r w:rsidR="007F7304" w:rsidRPr="00652E8A">
          <w:rPr>
            <w:rStyle w:val="Hyperlink"/>
            <w:noProof/>
          </w:rPr>
          <w:t>Daugiakriterinės investavimo strategijos modeliavimo metodika</w:t>
        </w:r>
        <w:r w:rsidR="007F7304">
          <w:rPr>
            <w:noProof/>
            <w:webHidden/>
          </w:rPr>
          <w:tab/>
        </w:r>
        <w:r>
          <w:rPr>
            <w:noProof/>
            <w:webHidden/>
          </w:rPr>
          <w:fldChar w:fldCharType="begin"/>
        </w:r>
        <w:r w:rsidR="007F7304">
          <w:rPr>
            <w:noProof/>
            <w:webHidden/>
          </w:rPr>
          <w:instrText xml:space="preserve"> PAGEREF _Toc343677751 \h </w:instrText>
        </w:r>
        <w:r>
          <w:rPr>
            <w:noProof/>
            <w:webHidden/>
          </w:rPr>
        </w:r>
        <w:r>
          <w:rPr>
            <w:noProof/>
            <w:webHidden/>
          </w:rPr>
          <w:fldChar w:fldCharType="separate"/>
        </w:r>
        <w:r w:rsidR="0009577F">
          <w:rPr>
            <w:noProof/>
            <w:webHidden/>
          </w:rPr>
          <w:t>39</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2" w:history="1">
        <w:r w:rsidR="007F7304" w:rsidRPr="00652E8A">
          <w:rPr>
            <w:rStyle w:val="Hyperlink"/>
            <w:noProof/>
          </w:rPr>
          <w:t>2.3.1.</w:t>
        </w:r>
        <w:r w:rsidR="007F7304">
          <w:rPr>
            <w:rFonts w:asciiTheme="minorHAnsi" w:eastAsiaTheme="minorEastAsia" w:hAnsiTheme="minorHAnsi"/>
            <w:iCs w:val="0"/>
            <w:noProof/>
            <w:sz w:val="22"/>
            <w:szCs w:val="22"/>
            <w:lang w:eastAsia="lt-LT"/>
          </w:rPr>
          <w:tab/>
        </w:r>
        <w:r w:rsidR="007F7304" w:rsidRPr="00652E8A">
          <w:rPr>
            <w:rStyle w:val="Hyperlink"/>
            <w:noProof/>
          </w:rPr>
          <w:t>Planuojamo daugiakriterinio tyrimo ribos</w:t>
        </w:r>
        <w:r w:rsidR="007F7304">
          <w:rPr>
            <w:noProof/>
            <w:webHidden/>
          </w:rPr>
          <w:tab/>
        </w:r>
        <w:r>
          <w:rPr>
            <w:noProof/>
            <w:webHidden/>
          </w:rPr>
          <w:fldChar w:fldCharType="begin"/>
        </w:r>
        <w:r w:rsidR="007F7304">
          <w:rPr>
            <w:noProof/>
            <w:webHidden/>
          </w:rPr>
          <w:instrText xml:space="preserve"> PAGEREF _Toc343677752 \h </w:instrText>
        </w:r>
        <w:r>
          <w:rPr>
            <w:noProof/>
            <w:webHidden/>
          </w:rPr>
        </w:r>
        <w:r>
          <w:rPr>
            <w:noProof/>
            <w:webHidden/>
          </w:rPr>
          <w:fldChar w:fldCharType="separate"/>
        </w:r>
        <w:r w:rsidR="0009577F">
          <w:rPr>
            <w:noProof/>
            <w:webHidden/>
          </w:rPr>
          <w:t>39</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3" w:history="1">
        <w:r w:rsidR="007F7304" w:rsidRPr="00652E8A">
          <w:rPr>
            <w:rStyle w:val="Hyperlink"/>
            <w:noProof/>
          </w:rPr>
          <w:t>2.3.2.</w:t>
        </w:r>
        <w:r w:rsidR="007F7304">
          <w:rPr>
            <w:rFonts w:asciiTheme="minorHAnsi" w:eastAsiaTheme="minorEastAsia" w:hAnsiTheme="minorHAnsi"/>
            <w:iCs w:val="0"/>
            <w:noProof/>
            <w:sz w:val="22"/>
            <w:szCs w:val="22"/>
            <w:lang w:eastAsia="lt-LT"/>
          </w:rPr>
          <w:tab/>
        </w:r>
        <w:r w:rsidR="007F7304" w:rsidRPr="00652E8A">
          <w:rPr>
            <w:rStyle w:val="Hyperlink"/>
            <w:noProof/>
          </w:rPr>
          <w:t>Tyrimo kriterijų aibės sudarymas</w:t>
        </w:r>
        <w:r w:rsidR="007F7304">
          <w:rPr>
            <w:noProof/>
            <w:webHidden/>
          </w:rPr>
          <w:tab/>
        </w:r>
        <w:r>
          <w:rPr>
            <w:noProof/>
            <w:webHidden/>
          </w:rPr>
          <w:fldChar w:fldCharType="begin"/>
        </w:r>
        <w:r w:rsidR="007F7304">
          <w:rPr>
            <w:noProof/>
            <w:webHidden/>
          </w:rPr>
          <w:instrText xml:space="preserve"> PAGEREF _Toc343677753 \h </w:instrText>
        </w:r>
        <w:r>
          <w:rPr>
            <w:noProof/>
            <w:webHidden/>
          </w:rPr>
        </w:r>
        <w:r>
          <w:rPr>
            <w:noProof/>
            <w:webHidden/>
          </w:rPr>
          <w:fldChar w:fldCharType="separate"/>
        </w:r>
        <w:r w:rsidR="0009577F">
          <w:rPr>
            <w:noProof/>
            <w:webHidden/>
          </w:rPr>
          <w:t>40</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4" w:history="1">
        <w:r w:rsidR="007F7304" w:rsidRPr="00652E8A">
          <w:rPr>
            <w:rStyle w:val="Hyperlink"/>
            <w:noProof/>
          </w:rPr>
          <w:t>2.3.3.</w:t>
        </w:r>
        <w:r w:rsidR="007F7304">
          <w:rPr>
            <w:rFonts w:asciiTheme="minorHAnsi" w:eastAsiaTheme="minorEastAsia" w:hAnsiTheme="minorHAnsi"/>
            <w:iCs w:val="0"/>
            <w:noProof/>
            <w:sz w:val="22"/>
            <w:szCs w:val="22"/>
            <w:lang w:eastAsia="lt-LT"/>
          </w:rPr>
          <w:tab/>
        </w:r>
        <w:r w:rsidR="007F7304" w:rsidRPr="00652E8A">
          <w:rPr>
            <w:rStyle w:val="Hyperlink"/>
            <w:noProof/>
          </w:rPr>
          <w:t>Tyrimo kriterijų standartizuotų reikšmių apskaičiavimo metodikos</w:t>
        </w:r>
        <w:r w:rsidR="007F7304">
          <w:rPr>
            <w:noProof/>
            <w:webHidden/>
          </w:rPr>
          <w:tab/>
        </w:r>
        <w:r>
          <w:rPr>
            <w:noProof/>
            <w:webHidden/>
          </w:rPr>
          <w:fldChar w:fldCharType="begin"/>
        </w:r>
        <w:r w:rsidR="007F7304">
          <w:rPr>
            <w:noProof/>
            <w:webHidden/>
          </w:rPr>
          <w:instrText xml:space="preserve"> PAGEREF _Toc343677754 \h </w:instrText>
        </w:r>
        <w:r>
          <w:rPr>
            <w:noProof/>
            <w:webHidden/>
          </w:rPr>
        </w:r>
        <w:r>
          <w:rPr>
            <w:noProof/>
            <w:webHidden/>
          </w:rPr>
          <w:fldChar w:fldCharType="separate"/>
        </w:r>
        <w:r w:rsidR="0009577F">
          <w:rPr>
            <w:noProof/>
            <w:webHidden/>
          </w:rPr>
          <w:t>46</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5" w:history="1">
        <w:r w:rsidR="007F7304" w:rsidRPr="00652E8A">
          <w:rPr>
            <w:rStyle w:val="Hyperlink"/>
            <w:rFonts w:eastAsiaTheme="majorEastAsia"/>
            <w:noProof/>
          </w:rPr>
          <w:t>2.3.4.</w:t>
        </w:r>
        <w:r w:rsidR="007F7304">
          <w:rPr>
            <w:rFonts w:asciiTheme="minorHAnsi" w:eastAsiaTheme="minorEastAsia" w:hAnsiTheme="minorHAnsi"/>
            <w:iCs w:val="0"/>
            <w:noProof/>
            <w:sz w:val="22"/>
            <w:szCs w:val="22"/>
            <w:lang w:eastAsia="lt-LT"/>
          </w:rPr>
          <w:tab/>
        </w:r>
        <w:r w:rsidR="007F7304" w:rsidRPr="00652E8A">
          <w:rPr>
            <w:rStyle w:val="Hyperlink"/>
            <w:noProof/>
          </w:rPr>
          <w:t>Tyrimo kriterijų tarpusavio koreliacijos įvertinimas ir rezultatų interpretavimas</w:t>
        </w:r>
        <w:r w:rsidR="007F7304">
          <w:rPr>
            <w:noProof/>
            <w:webHidden/>
          </w:rPr>
          <w:tab/>
        </w:r>
        <w:r>
          <w:rPr>
            <w:noProof/>
            <w:webHidden/>
          </w:rPr>
          <w:fldChar w:fldCharType="begin"/>
        </w:r>
        <w:r w:rsidR="007F7304">
          <w:rPr>
            <w:noProof/>
            <w:webHidden/>
          </w:rPr>
          <w:instrText xml:space="preserve"> PAGEREF _Toc343677755 \h </w:instrText>
        </w:r>
        <w:r>
          <w:rPr>
            <w:noProof/>
            <w:webHidden/>
          </w:rPr>
        </w:r>
        <w:r>
          <w:rPr>
            <w:noProof/>
            <w:webHidden/>
          </w:rPr>
          <w:fldChar w:fldCharType="separate"/>
        </w:r>
        <w:r w:rsidR="0009577F">
          <w:rPr>
            <w:noProof/>
            <w:webHidden/>
          </w:rPr>
          <w:t>48</w:t>
        </w:r>
        <w:r>
          <w:rPr>
            <w:noProof/>
            <w:webHidden/>
          </w:rPr>
          <w:fldChar w:fldCharType="end"/>
        </w:r>
      </w:hyperlink>
    </w:p>
    <w:p w:rsidR="007F7304" w:rsidRDefault="00EC7800">
      <w:pPr>
        <w:pStyle w:val="TOC1"/>
        <w:rPr>
          <w:rFonts w:asciiTheme="minorHAnsi" w:eastAsiaTheme="minorEastAsia" w:hAnsiTheme="minorHAnsi"/>
          <w:bCs w:val="0"/>
          <w:caps w:val="0"/>
          <w:noProof/>
          <w:sz w:val="22"/>
          <w:szCs w:val="22"/>
          <w:lang w:eastAsia="lt-LT"/>
        </w:rPr>
      </w:pPr>
      <w:hyperlink w:anchor="_Toc343677756" w:history="1">
        <w:r w:rsidR="007F7304" w:rsidRPr="00652E8A">
          <w:rPr>
            <w:rStyle w:val="Hyperlink"/>
            <w:noProof/>
          </w:rPr>
          <w:t>3.</w:t>
        </w:r>
        <w:r w:rsidR="007F7304">
          <w:rPr>
            <w:rFonts w:asciiTheme="minorHAnsi" w:eastAsiaTheme="minorEastAsia" w:hAnsiTheme="minorHAnsi"/>
            <w:bCs w:val="0"/>
            <w:caps w:val="0"/>
            <w:noProof/>
            <w:sz w:val="22"/>
            <w:szCs w:val="22"/>
            <w:lang w:eastAsia="lt-LT"/>
          </w:rPr>
          <w:tab/>
        </w:r>
        <w:r w:rsidR="007F7304" w:rsidRPr="00652E8A">
          <w:rPr>
            <w:rStyle w:val="Hyperlink"/>
            <w:noProof/>
          </w:rPr>
          <w:t>Dividendinio investavimo strategijŲ taikymo empirInis pagrindimas</w:t>
        </w:r>
        <w:r w:rsidR="007F7304">
          <w:rPr>
            <w:noProof/>
            <w:webHidden/>
          </w:rPr>
          <w:tab/>
        </w:r>
        <w:r>
          <w:rPr>
            <w:noProof/>
            <w:webHidden/>
          </w:rPr>
          <w:fldChar w:fldCharType="begin"/>
        </w:r>
        <w:r w:rsidR="007F7304">
          <w:rPr>
            <w:noProof/>
            <w:webHidden/>
          </w:rPr>
          <w:instrText xml:space="preserve"> PAGEREF _Toc343677756 \h </w:instrText>
        </w:r>
        <w:r>
          <w:rPr>
            <w:noProof/>
            <w:webHidden/>
          </w:rPr>
        </w:r>
        <w:r>
          <w:rPr>
            <w:noProof/>
            <w:webHidden/>
          </w:rPr>
          <w:fldChar w:fldCharType="separate"/>
        </w:r>
        <w:r w:rsidR="0009577F">
          <w:rPr>
            <w:noProof/>
            <w:webHidden/>
          </w:rPr>
          <w:t>51</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57" w:history="1">
        <w:r w:rsidR="007F7304" w:rsidRPr="00652E8A">
          <w:rPr>
            <w:rStyle w:val="Hyperlink"/>
            <w:noProof/>
          </w:rPr>
          <w:t>3.1.</w:t>
        </w:r>
        <w:r w:rsidR="007F7304">
          <w:rPr>
            <w:rFonts w:asciiTheme="minorHAnsi" w:eastAsiaTheme="minorEastAsia" w:hAnsiTheme="minorHAnsi"/>
            <w:noProof/>
            <w:sz w:val="22"/>
            <w:szCs w:val="22"/>
            <w:lang w:eastAsia="lt-LT"/>
          </w:rPr>
          <w:tab/>
        </w:r>
        <w:r w:rsidR="007F7304" w:rsidRPr="00652E8A">
          <w:rPr>
            <w:rStyle w:val="Hyperlink"/>
            <w:noProof/>
          </w:rPr>
          <w:t>Dividendinių įmonių rinkos struktūra ir pagrindinių rodiklių analizė</w:t>
        </w:r>
        <w:r w:rsidR="007F7304">
          <w:rPr>
            <w:noProof/>
            <w:webHidden/>
          </w:rPr>
          <w:tab/>
        </w:r>
        <w:r>
          <w:rPr>
            <w:noProof/>
            <w:webHidden/>
          </w:rPr>
          <w:fldChar w:fldCharType="begin"/>
        </w:r>
        <w:r w:rsidR="007F7304">
          <w:rPr>
            <w:noProof/>
            <w:webHidden/>
          </w:rPr>
          <w:instrText xml:space="preserve"> PAGEREF _Toc343677757 \h </w:instrText>
        </w:r>
        <w:r>
          <w:rPr>
            <w:noProof/>
            <w:webHidden/>
          </w:rPr>
        </w:r>
        <w:r>
          <w:rPr>
            <w:noProof/>
            <w:webHidden/>
          </w:rPr>
          <w:fldChar w:fldCharType="separate"/>
        </w:r>
        <w:r w:rsidR="0009577F">
          <w:rPr>
            <w:noProof/>
            <w:webHidden/>
          </w:rPr>
          <w:t>51</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58" w:history="1">
        <w:r w:rsidR="007F7304" w:rsidRPr="00652E8A">
          <w:rPr>
            <w:rStyle w:val="Hyperlink"/>
            <w:noProof/>
          </w:rPr>
          <w:t>3.2.</w:t>
        </w:r>
        <w:r w:rsidR="007F7304">
          <w:rPr>
            <w:rFonts w:asciiTheme="minorHAnsi" w:eastAsiaTheme="minorEastAsia" w:hAnsiTheme="minorHAnsi"/>
            <w:noProof/>
            <w:sz w:val="22"/>
            <w:szCs w:val="22"/>
            <w:lang w:eastAsia="lt-LT"/>
          </w:rPr>
          <w:tab/>
        </w:r>
        <w:r w:rsidR="007F7304" w:rsidRPr="00652E8A">
          <w:rPr>
            <w:rStyle w:val="Hyperlink"/>
            <w:noProof/>
          </w:rPr>
          <w:t>Dividendų naujienų įtakos akcijų pelningumui vertinimas</w:t>
        </w:r>
        <w:r w:rsidR="007F7304">
          <w:rPr>
            <w:noProof/>
            <w:webHidden/>
          </w:rPr>
          <w:tab/>
        </w:r>
        <w:r>
          <w:rPr>
            <w:noProof/>
            <w:webHidden/>
          </w:rPr>
          <w:fldChar w:fldCharType="begin"/>
        </w:r>
        <w:r w:rsidR="007F7304">
          <w:rPr>
            <w:noProof/>
            <w:webHidden/>
          </w:rPr>
          <w:instrText xml:space="preserve"> PAGEREF _Toc343677758 \h </w:instrText>
        </w:r>
        <w:r>
          <w:rPr>
            <w:noProof/>
            <w:webHidden/>
          </w:rPr>
        </w:r>
        <w:r>
          <w:rPr>
            <w:noProof/>
            <w:webHidden/>
          </w:rPr>
          <w:fldChar w:fldCharType="separate"/>
        </w:r>
        <w:r w:rsidR="0009577F">
          <w:rPr>
            <w:noProof/>
            <w:webHidden/>
          </w:rPr>
          <w:t>57</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59" w:history="1">
        <w:r w:rsidR="007F7304" w:rsidRPr="00652E8A">
          <w:rPr>
            <w:rStyle w:val="Hyperlink"/>
            <w:noProof/>
          </w:rPr>
          <w:t>3.2.1.</w:t>
        </w:r>
        <w:r w:rsidR="007F7304">
          <w:rPr>
            <w:rFonts w:asciiTheme="minorHAnsi" w:eastAsiaTheme="minorEastAsia" w:hAnsiTheme="minorHAnsi"/>
            <w:iCs w:val="0"/>
            <w:noProof/>
            <w:sz w:val="22"/>
            <w:szCs w:val="22"/>
            <w:lang w:eastAsia="lt-LT"/>
          </w:rPr>
          <w:tab/>
        </w:r>
        <w:r w:rsidR="007F7304" w:rsidRPr="00652E8A">
          <w:rPr>
            <w:rStyle w:val="Hyperlink"/>
            <w:noProof/>
          </w:rPr>
          <w:t>Dividendų tenkančių akcijai rodiklio pokyčio įtaka vidutiniam akcijų pelningumui</w:t>
        </w:r>
        <w:r w:rsidR="007F7304">
          <w:rPr>
            <w:noProof/>
            <w:webHidden/>
          </w:rPr>
          <w:tab/>
        </w:r>
        <w:r>
          <w:rPr>
            <w:noProof/>
            <w:webHidden/>
          </w:rPr>
          <w:fldChar w:fldCharType="begin"/>
        </w:r>
        <w:r w:rsidR="007F7304">
          <w:rPr>
            <w:noProof/>
            <w:webHidden/>
          </w:rPr>
          <w:instrText xml:space="preserve"> PAGEREF _Toc343677759 \h </w:instrText>
        </w:r>
        <w:r>
          <w:rPr>
            <w:noProof/>
            <w:webHidden/>
          </w:rPr>
        </w:r>
        <w:r>
          <w:rPr>
            <w:noProof/>
            <w:webHidden/>
          </w:rPr>
          <w:fldChar w:fldCharType="separate"/>
        </w:r>
        <w:r w:rsidR="0009577F">
          <w:rPr>
            <w:noProof/>
            <w:webHidden/>
          </w:rPr>
          <w:t>58</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60" w:history="1">
        <w:r w:rsidR="007F7304" w:rsidRPr="00652E8A">
          <w:rPr>
            <w:rStyle w:val="Hyperlink"/>
            <w:noProof/>
          </w:rPr>
          <w:t>3.2.2.</w:t>
        </w:r>
        <w:r w:rsidR="007F7304">
          <w:rPr>
            <w:rFonts w:asciiTheme="minorHAnsi" w:eastAsiaTheme="minorEastAsia" w:hAnsiTheme="minorHAnsi"/>
            <w:iCs w:val="0"/>
            <w:noProof/>
            <w:sz w:val="22"/>
            <w:szCs w:val="22"/>
            <w:lang w:eastAsia="lt-LT"/>
          </w:rPr>
          <w:tab/>
        </w:r>
        <w:r w:rsidR="007F7304" w:rsidRPr="00652E8A">
          <w:rPr>
            <w:rStyle w:val="Hyperlink"/>
            <w:noProof/>
          </w:rPr>
          <w:t>Dividendų pajamingumo pokyčio įtaka akcijų pelningumui prekybos dienomis</w:t>
        </w:r>
        <w:r w:rsidR="007F7304">
          <w:rPr>
            <w:noProof/>
            <w:webHidden/>
          </w:rPr>
          <w:tab/>
        </w:r>
        <w:r>
          <w:rPr>
            <w:noProof/>
            <w:webHidden/>
          </w:rPr>
          <w:fldChar w:fldCharType="begin"/>
        </w:r>
        <w:r w:rsidR="007F7304">
          <w:rPr>
            <w:noProof/>
            <w:webHidden/>
          </w:rPr>
          <w:instrText xml:space="preserve"> PAGEREF _Toc343677760 \h </w:instrText>
        </w:r>
        <w:r>
          <w:rPr>
            <w:noProof/>
            <w:webHidden/>
          </w:rPr>
        </w:r>
        <w:r>
          <w:rPr>
            <w:noProof/>
            <w:webHidden/>
          </w:rPr>
          <w:fldChar w:fldCharType="separate"/>
        </w:r>
        <w:r w:rsidR="0009577F">
          <w:rPr>
            <w:noProof/>
            <w:webHidden/>
          </w:rPr>
          <w:t>61</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61" w:history="1">
        <w:r w:rsidR="007F7304" w:rsidRPr="00652E8A">
          <w:rPr>
            <w:rStyle w:val="Hyperlink"/>
            <w:noProof/>
          </w:rPr>
          <w:t>3.2.3.</w:t>
        </w:r>
        <w:r w:rsidR="007F7304">
          <w:rPr>
            <w:rFonts w:asciiTheme="minorHAnsi" w:eastAsiaTheme="minorEastAsia" w:hAnsiTheme="minorHAnsi"/>
            <w:iCs w:val="0"/>
            <w:noProof/>
            <w:sz w:val="22"/>
            <w:szCs w:val="22"/>
            <w:lang w:eastAsia="lt-LT"/>
          </w:rPr>
          <w:tab/>
        </w:r>
        <w:r w:rsidR="007F7304" w:rsidRPr="00652E8A">
          <w:rPr>
            <w:rStyle w:val="Hyperlink"/>
            <w:noProof/>
          </w:rPr>
          <w:t>Dividendų pajamingumo pokyčio įtaka akcijų pelningumui prekybos intervaluose</w:t>
        </w:r>
        <w:r w:rsidR="007F7304">
          <w:rPr>
            <w:noProof/>
            <w:webHidden/>
          </w:rPr>
          <w:tab/>
        </w:r>
        <w:r>
          <w:rPr>
            <w:noProof/>
            <w:webHidden/>
          </w:rPr>
          <w:fldChar w:fldCharType="begin"/>
        </w:r>
        <w:r w:rsidR="007F7304">
          <w:rPr>
            <w:noProof/>
            <w:webHidden/>
          </w:rPr>
          <w:instrText xml:space="preserve"> PAGEREF _Toc343677761 \h </w:instrText>
        </w:r>
        <w:r>
          <w:rPr>
            <w:noProof/>
            <w:webHidden/>
          </w:rPr>
        </w:r>
        <w:r>
          <w:rPr>
            <w:noProof/>
            <w:webHidden/>
          </w:rPr>
          <w:fldChar w:fldCharType="separate"/>
        </w:r>
        <w:r w:rsidR="0009577F">
          <w:rPr>
            <w:noProof/>
            <w:webHidden/>
          </w:rPr>
          <w:t>64</w:t>
        </w:r>
        <w:r>
          <w:rPr>
            <w:noProof/>
            <w:webHidden/>
          </w:rPr>
          <w:fldChar w:fldCharType="end"/>
        </w:r>
      </w:hyperlink>
    </w:p>
    <w:p w:rsidR="007F7304" w:rsidRDefault="00EC7800">
      <w:pPr>
        <w:pStyle w:val="TOC2"/>
        <w:rPr>
          <w:rFonts w:asciiTheme="minorHAnsi" w:eastAsiaTheme="minorEastAsia" w:hAnsiTheme="minorHAnsi"/>
          <w:noProof/>
          <w:sz w:val="22"/>
          <w:szCs w:val="22"/>
          <w:lang w:eastAsia="lt-LT"/>
        </w:rPr>
      </w:pPr>
      <w:hyperlink w:anchor="_Toc343677762" w:history="1">
        <w:r w:rsidR="007F7304" w:rsidRPr="00652E8A">
          <w:rPr>
            <w:rStyle w:val="Hyperlink"/>
            <w:noProof/>
          </w:rPr>
          <w:t>3.3.</w:t>
        </w:r>
        <w:r w:rsidR="007F7304">
          <w:rPr>
            <w:rFonts w:asciiTheme="minorHAnsi" w:eastAsiaTheme="minorEastAsia" w:hAnsiTheme="minorHAnsi"/>
            <w:noProof/>
            <w:sz w:val="22"/>
            <w:szCs w:val="22"/>
            <w:lang w:eastAsia="lt-LT"/>
          </w:rPr>
          <w:tab/>
        </w:r>
        <w:r w:rsidR="007F7304" w:rsidRPr="00652E8A">
          <w:rPr>
            <w:rStyle w:val="Hyperlink"/>
            <w:noProof/>
          </w:rPr>
          <w:t>Dividendinio investavimo modelio empirinis vertinimas</w:t>
        </w:r>
        <w:r w:rsidR="007F7304">
          <w:rPr>
            <w:noProof/>
            <w:webHidden/>
          </w:rPr>
          <w:tab/>
        </w:r>
        <w:r>
          <w:rPr>
            <w:noProof/>
            <w:webHidden/>
          </w:rPr>
          <w:fldChar w:fldCharType="begin"/>
        </w:r>
        <w:r w:rsidR="007F7304">
          <w:rPr>
            <w:noProof/>
            <w:webHidden/>
          </w:rPr>
          <w:instrText xml:space="preserve"> PAGEREF _Toc343677762 \h </w:instrText>
        </w:r>
        <w:r>
          <w:rPr>
            <w:noProof/>
            <w:webHidden/>
          </w:rPr>
        </w:r>
        <w:r>
          <w:rPr>
            <w:noProof/>
            <w:webHidden/>
          </w:rPr>
          <w:fldChar w:fldCharType="separate"/>
        </w:r>
        <w:r w:rsidR="0009577F">
          <w:rPr>
            <w:noProof/>
            <w:webHidden/>
          </w:rPr>
          <w:t>68</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63" w:history="1">
        <w:r w:rsidR="007F7304" w:rsidRPr="00652E8A">
          <w:rPr>
            <w:rStyle w:val="Hyperlink"/>
            <w:noProof/>
            <w:lang w:val="en-US"/>
          </w:rPr>
          <w:t>3.3.1.</w:t>
        </w:r>
        <w:r w:rsidR="007F7304">
          <w:rPr>
            <w:rFonts w:asciiTheme="minorHAnsi" w:eastAsiaTheme="minorEastAsia" w:hAnsiTheme="minorHAnsi"/>
            <w:iCs w:val="0"/>
            <w:noProof/>
            <w:sz w:val="22"/>
            <w:szCs w:val="22"/>
            <w:lang w:eastAsia="lt-LT"/>
          </w:rPr>
          <w:tab/>
        </w:r>
        <w:r w:rsidR="007F7304" w:rsidRPr="00652E8A">
          <w:rPr>
            <w:rStyle w:val="Hyperlink"/>
            <w:noProof/>
            <w:lang w:val="en-US"/>
          </w:rPr>
          <w:t>Daugiakriterinio modelio kintamųjų koreliacinė analizė</w:t>
        </w:r>
        <w:r w:rsidR="007F7304">
          <w:rPr>
            <w:noProof/>
            <w:webHidden/>
          </w:rPr>
          <w:tab/>
        </w:r>
        <w:r>
          <w:rPr>
            <w:noProof/>
            <w:webHidden/>
          </w:rPr>
          <w:fldChar w:fldCharType="begin"/>
        </w:r>
        <w:r w:rsidR="007F7304">
          <w:rPr>
            <w:noProof/>
            <w:webHidden/>
          </w:rPr>
          <w:instrText xml:space="preserve"> PAGEREF _Toc343677763 \h </w:instrText>
        </w:r>
        <w:r>
          <w:rPr>
            <w:noProof/>
            <w:webHidden/>
          </w:rPr>
        </w:r>
        <w:r>
          <w:rPr>
            <w:noProof/>
            <w:webHidden/>
          </w:rPr>
          <w:fldChar w:fldCharType="separate"/>
        </w:r>
        <w:r w:rsidR="0009577F">
          <w:rPr>
            <w:noProof/>
            <w:webHidden/>
          </w:rPr>
          <w:t>71</w:t>
        </w:r>
        <w:r>
          <w:rPr>
            <w:noProof/>
            <w:webHidden/>
          </w:rPr>
          <w:fldChar w:fldCharType="end"/>
        </w:r>
      </w:hyperlink>
    </w:p>
    <w:p w:rsidR="007F7304" w:rsidRDefault="00EC7800">
      <w:pPr>
        <w:pStyle w:val="TOC3"/>
        <w:tabs>
          <w:tab w:val="left" w:pos="1440"/>
          <w:tab w:val="right" w:leader="dot" w:pos="9911"/>
        </w:tabs>
        <w:rPr>
          <w:rFonts w:asciiTheme="minorHAnsi" w:eastAsiaTheme="minorEastAsia" w:hAnsiTheme="minorHAnsi"/>
          <w:iCs w:val="0"/>
          <w:noProof/>
          <w:sz w:val="22"/>
          <w:szCs w:val="22"/>
          <w:lang w:eastAsia="lt-LT"/>
        </w:rPr>
      </w:pPr>
      <w:hyperlink w:anchor="_Toc343677764" w:history="1">
        <w:r w:rsidR="007F7304" w:rsidRPr="00652E8A">
          <w:rPr>
            <w:rStyle w:val="Hyperlink"/>
            <w:rFonts w:eastAsiaTheme="majorEastAsia"/>
            <w:noProof/>
          </w:rPr>
          <w:t>3.3.2.</w:t>
        </w:r>
        <w:r w:rsidR="007F7304">
          <w:rPr>
            <w:rFonts w:asciiTheme="minorHAnsi" w:eastAsiaTheme="minorEastAsia" w:hAnsiTheme="minorHAnsi"/>
            <w:iCs w:val="0"/>
            <w:noProof/>
            <w:sz w:val="22"/>
            <w:szCs w:val="22"/>
            <w:lang w:eastAsia="lt-LT"/>
          </w:rPr>
          <w:tab/>
        </w:r>
        <w:r w:rsidR="007F7304" w:rsidRPr="00652E8A">
          <w:rPr>
            <w:rStyle w:val="Hyperlink"/>
            <w:rFonts w:eastAsiaTheme="majorEastAsia"/>
            <w:noProof/>
          </w:rPr>
          <w:t>Daugiakriterinis fundamentinių rodiklių įtakos akcijų pelningumui vertinimas</w:t>
        </w:r>
        <w:r w:rsidR="007F7304">
          <w:rPr>
            <w:noProof/>
            <w:webHidden/>
          </w:rPr>
          <w:tab/>
        </w:r>
        <w:r>
          <w:rPr>
            <w:noProof/>
            <w:webHidden/>
          </w:rPr>
          <w:fldChar w:fldCharType="begin"/>
        </w:r>
        <w:r w:rsidR="007F7304">
          <w:rPr>
            <w:noProof/>
            <w:webHidden/>
          </w:rPr>
          <w:instrText xml:space="preserve"> PAGEREF _Toc343677764 \h </w:instrText>
        </w:r>
        <w:r>
          <w:rPr>
            <w:noProof/>
            <w:webHidden/>
          </w:rPr>
        </w:r>
        <w:r>
          <w:rPr>
            <w:noProof/>
            <w:webHidden/>
          </w:rPr>
          <w:fldChar w:fldCharType="separate"/>
        </w:r>
        <w:r w:rsidR="0009577F">
          <w:rPr>
            <w:noProof/>
            <w:webHidden/>
          </w:rPr>
          <w:t>74</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65" w:history="1">
        <w:r w:rsidR="007F7304" w:rsidRPr="00652E8A">
          <w:rPr>
            <w:rStyle w:val="Hyperlink"/>
            <w:noProof/>
          </w:rPr>
          <w:t>IŠVADOS IR SIŪLYMAI</w:t>
        </w:r>
        <w:r w:rsidR="007F7304">
          <w:rPr>
            <w:noProof/>
            <w:webHidden/>
          </w:rPr>
          <w:tab/>
        </w:r>
        <w:r>
          <w:rPr>
            <w:noProof/>
            <w:webHidden/>
          </w:rPr>
          <w:fldChar w:fldCharType="begin"/>
        </w:r>
        <w:r w:rsidR="007F7304">
          <w:rPr>
            <w:noProof/>
            <w:webHidden/>
          </w:rPr>
          <w:instrText xml:space="preserve"> PAGEREF _Toc343677765 \h </w:instrText>
        </w:r>
        <w:r>
          <w:rPr>
            <w:noProof/>
            <w:webHidden/>
          </w:rPr>
        </w:r>
        <w:r>
          <w:rPr>
            <w:noProof/>
            <w:webHidden/>
          </w:rPr>
          <w:fldChar w:fldCharType="separate"/>
        </w:r>
        <w:r w:rsidR="0009577F">
          <w:rPr>
            <w:noProof/>
            <w:webHidden/>
          </w:rPr>
          <w:t>83</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66" w:history="1">
        <w:r w:rsidR="007F7304" w:rsidRPr="00652E8A">
          <w:rPr>
            <w:rStyle w:val="Hyperlink"/>
            <w:noProof/>
          </w:rPr>
          <w:t>LITERATŪRA</w:t>
        </w:r>
        <w:r w:rsidR="007F7304">
          <w:rPr>
            <w:noProof/>
            <w:webHidden/>
          </w:rPr>
          <w:tab/>
        </w:r>
        <w:r>
          <w:rPr>
            <w:noProof/>
            <w:webHidden/>
          </w:rPr>
          <w:fldChar w:fldCharType="begin"/>
        </w:r>
        <w:r w:rsidR="007F7304">
          <w:rPr>
            <w:noProof/>
            <w:webHidden/>
          </w:rPr>
          <w:instrText xml:space="preserve"> PAGEREF _Toc343677766 \h </w:instrText>
        </w:r>
        <w:r>
          <w:rPr>
            <w:noProof/>
            <w:webHidden/>
          </w:rPr>
        </w:r>
        <w:r>
          <w:rPr>
            <w:noProof/>
            <w:webHidden/>
          </w:rPr>
          <w:fldChar w:fldCharType="separate"/>
        </w:r>
        <w:r w:rsidR="0009577F">
          <w:rPr>
            <w:noProof/>
            <w:webHidden/>
          </w:rPr>
          <w:t>86</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67" w:history="1">
        <w:r w:rsidR="007F7304" w:rsidRPr="00652E8A">
          <w:rPr>
            <w:rStyle w:val="Hyperlink"/>
            <w:rFonts w:eastAsia="TT747o00"/>
            <w:noProof/>
          </w:rPr>
          <w:t>ANOTACIJA</w:t>
        </w:r>
        <w:r w:rsidR="007F7304">
          <w:rPr>
            <w:noProof/>
            <w:webHidden/>
          </w:rPr>
          <w:tab/>
        </w:r>
        <w:r>
          <w:rPr>
            <w:noProof/>
            <w:webHidden/>
          </w:rPr>
          <w:fldChar w:fldCharType="begin"/>
        </w:r>
        <w:r w:rsidR="007F7304">
          <w:rPr>
            <w:noProof/>
            <w:webHidden/>
          </w:rPr>
          <w:instrText xml:space="preserve"> PAGEREF _Toc343677767 \h </w:instrText>
        </w:r>
        <w:r>
          <w:rPr>
            <w:noProof/>
            <w:webHidden/>
          </w:rPr>
        </w:r>
        <w:r>
          <w:rPr>
            <w:noProof/>
            <w:webHidden/>
          </w:rPr>
          <w:fldChar w:fldCharType="separate"/>
        </w:r>
        <w:r w:rsidR="0009577F">
          <w:rPr>
            <w:noProof/>
            <w:webHidden/>
          </w:rPr>
          <w:t>93</w:t>
        </w:r>
        <w:r>
          <w:rPr>
            <w:noProof/>
            <w:webHidden/>
          </w:rPr>
          <w:fldChar w:fldCharType="end"/>
        </w:r>
      </w:hyperlink>
    </w:p>
    <w:p w:rsidR="005B00AC" w:rsidRDefault="005B00AC">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68" w:history="1">
        <w:r w:rsidR="007F7304" w:rsidRPr="00652E8A">
          <w:rPr>
            <w:rStyle w:val="Hyperlink"/>
            <w:rFonts w:eastAsia="TT747o00"/>
            <w:noProof/>
          </w:rPr>
          <w:t>ANOTATION</w:t>
        </w:r>
        <w:r w:rsidR="007F7304">
          <w:rPr>
            <w:noProof/>
            <w:webHidden/>
          </w:rPr>
          <w:tab/>
        </w:r>
        <w:r>
          <w:rPr>
            <w:noProof/>
            <w:webHidden/>
          </w:rPr>
          <w:fldChar w:fldCharType="begin"/>
        </w:r>
        <w:r w:rsidR="007F7304">
          <w:rPr>
            <w:noProof/>
            <w:webHidden/>
          </w:rPr>
          <w:instrText xml:space="preserve"> PAGEREF _Toc343677768 \h </w:instrText>
        </w:r>
        <w:r>
          <w:rPr>
            <w:noProof/>
            <w:webHidden/>
          </w:rPr>
        </w:r>
        <w:r>
          <w:rPr>
            <w:noProof/>
            <w:webHidden/>
          </w:rPr>
          <w:fldChar w:fldCharType="separate"/>
        </w:r>
        <w:r w:rsidR="0009577F">
          <w:rPr>
            <w:noProof/>
            <w:webHidden/>
          </w:rPr>
          <w:t>94</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69" w:history="1">
        <w:r w:rsidR="007F7304" w:rsidRPr="00652E8A">
          <w:rPr>
            <w:rStyle w:val="Hyperlink"/>
            <w:noProof/>
          </w:rPr>
          <w:t>SANTRAUKA</w:t>
        </w:r>
        <w:r w:rsidR="007F7304">
          <w:rPr>
            <w:noProof/>
            <w:webHidden/>
          </w:rPr>
          <w:tab/>
        </w:r>
        <w:r>
          <w:rPr>
            <w:noProof/>
            <w:webHidden/>
          </w:rPr>
          <w:fldChar w:fldCharType="begin"/>
        </w:r>
        <w:r w:rsidR="007F7304">
          <w:rPr>
            <w:noProof/>
            <w:webHidden/>
          </w:rPr>
          <w:instrText xml:space="preserve"> PAGEREF _Toc343677769 \h </w:instrText>
        </w:r>
        <w:r>
          <w:rPr>
            <w:noProof/>
            <w:webHidden/>
          </w:rPr>
        </w:r>
        <w:r>
          <w:rPr>
            <w:noProof/>
            <w:webHidden/>
          </w:rPr>
          <w:fldChar w:fldCharType="separate"/>
        </w:r>
        <w:r w:rsidR="0009577F">
          <w:rPr>
            <w:noProof/>
            <w:webHidden/>
          </w:rPr>
          <w:t>95</w:t>
        </w:r>
        <w:r>
          <w:rPr>
            <w:noProof/>
            <w:webHidden/>
          </w:rPr>
          <w:fldChar w:fldCharType="end"/>
        </w:r>
      </w:hyperlink>
    </w:p>
    <w:p w:rsidR="005B00AC" w:rsidRDefault="005B00AC">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70" w:history="1">
        <w:r w:rsidR="007F7304" w:rsidRPr="00652E8A">
          <w:rPr>
            <w:rStyle w:val="Hyperlink"/>
            <w:rFonts w:eastAsia="TT747o00"/>
            <w:noProof/>
            <w:lang w:val="en-US"/>
          </w:rPr>
          <w:t>SUMMARY</w:t>
        </w:r>
        <w:r w:rsidR="007F7304">
          <w:rPr>
            <w:noProof/>
            <w:webHidden/>
          </w:rPr>
          <w:tab/>
        </w:r>
        <w:r>
          <w:rPr>
            <w:noProof/>
            <w:webHidden/>
          </w:rPr>
          <w:fldChar w:fldCharType="begin"/>
        </w:r>
        <w:r w:rsidR="007F7304">
          <w:rPr>
            <w:noProof/>
            <w:webHidden/>
          </w:rPr>
          <w:instrText xml:space="preserve"> PAGEREF _Toc343677770 \h </w:instrText>
        </w:r>
        <w:r>
          <w:rPr>
            <w:noProof/>
            <w:webHidden/>
          </w:rPr>
        </w:r>
        <w:r>
          <w:rPr>
            <w:noProof/>
            <w:webHidden/>
          </w:rPr>
          <w:fldChar w:fldCharType="separate"/>
        </w:r>
        <w:r w:rsidR="0009577F">
          <w:rPr>
            <w:noProof/>
            <w:webHidden/>
          </w:rPr>
          <w:t>96</w:t>
        </w:r>
        <w:r>
          <w:rPr>
            <w:noProof/>
            <w:webHidden/>
          </w:rPr>
          <w:fldChar w:fldCharType="end"/>
        </w:r>
      </w:hyperlink>
    </w:p>
    <w:p w:rsidR="007F7304" w:rsidRDefault="007F7304">
      <w:pPr>
        <w:pStyle w:val="TOC1"/>
        <w:rPr>
          <w:rStyle w:val="Hyperlink"/>
          <w:noProof/>
        </w:rPr>
      </w:pPr>
    </w:p>
    <w:p w:rsidR="007F7304" w:rsidRDefault="00EC7800">
      <w:pPr>
        <w:pStyle w:val="TOC1"/>
        <w:rPr>
          <w:rFonts w:asciiTheme="minorHAnsi" w:eastAsiaTheme="minorEastAsia" w:hAnsiTheme="minorHAnsi"/>
          <w:bCs w:val="0"/>
          <w:caps w:val="0"/>
          <w:noProof/>
          <w:sz w:val="22"/>
          <w:szCs w:val="22"/>
          <w:lang w:eastAsia="lt-LT"/>
        </w:rPr>
      </w:pPr>
      <w:hyperlink w:anchor="_Toc343677771" w:history="1">
        <w:r w:rsidR="007F7304" w:rsidRPr="00652E8A">
          <w:rPr>
            <w:rStyle w:val="Hyperlink"/>
            <w:rFonts w:eastAsia="TT746o00"/>
            <w:noProof/>
          </w:rPr>
          <w:t>PRIEDAI</w:t>
        </w:r>
        <w:r w:rsidR="007F7304">
          <w:rPr>
            <w:noProof/>
            <w:webHidden/>
          </w:rPr>
          <w:tab/>
        </w:r>
        <w:r>
          <w:rPr>
            <w:noProof/>
            <w:webHidden/>
          </w:rPr>
          <w:fldChar w:fldCharType="begin"/>
        </w:r>
        <w:r w:rsidR="007F7304">
          <w:rPr>
            <w:noProof/>
            <w:webHidden/>
          </w:rPr>
          <w:instrText xml:space="preserve"> PAGEREF _Toc343677771 \h </w:instrText>
        </w:r>
        <w:r>
          <w:rPr>
            <w:noProof/>
            <w:webHidden/>
          </w:rPr>
        </w:r>
        <w:r>
          <w:rPr>
            <w:noProof/>
            <w:webHidden/>
          </w:rPr>
          <w:fldChar w:fldCharType="separate"/>
        </w:r>
        <w:r w:rsidR="0009577F">
          <w:rPr>
            <w:noProof/>
            <w:webHidden/>
          </w:rPr>
          <w:t>97</w:t>
        </w:r>
        <w:r>
          <w:rPr>
            <w:noProof/>
            <w:webHidden/>
          </w:rPr>
          <w:fldChar w:fldCharType="end"/>
        </w:r>
      </w:hyperlink>
    </w:p>
    <w:p w:rsidR="00A8316B" w:rsidRDefault="00EC7800" w:rsidP="001D6A6E">
      <w:pPr>
        <w:ind w:firstLine="0"/>
        <w:rPr>
          <w:rFonts w:eastAsiaTheme="majorEastAsia" w:cstheme="majorBidi"/>
          <w:bCs/>
          <w:caps/>
          <w:sz w:val="28"/>
          <w:szCs w:val="28"/>
        </w:rPr>
      </w:pPr>
      <w:r>
        <w:rPr>
          <w:rFonts w:eastAsiaTheme="majorEastAsia" w:cstheme="majorBidi"/>
          <w:bCs/>
          <w:caps/>
          <w:sz w:val="28"/>
          <w:szCs w:val="28"/>
        </w:rPr>
        <w:fldChar w:fldCharType="end"/>
      </w:r>
    </w:p>
    <w:p w:rsidR="00A8316B" w:rsidRDefault="00A8316B">
      <w:pPr>
        <w:spacing w:before="0" w:after="200" w:line="276" w:lineRule="auto"/>
        <w:ind w:firstLine="0"/>
        <w:jc w:val="left"/>
        <w:rPr>
          <w:rFonts w:eastAsiaTheme="majorEastAsia" w:cstheme="majorBidi"/>
          <w:bCs/>
          <w:caps/>
          <w:sz w:val="28"/>
          <w:szCs w:val="28"/>
        </w:rPr>
      </w:pPr>
      <w:r>
        <w:rPr>
          <w:rFonts w:eastAsiaTheme="majorEastAsia" w:cstheme="majorBidi"/>
          <w:bCs/>
          <w:caps/>
          <w:sz w:val="28"/>
          <w:szCs w:val="28"/>
        </w:rPr>
        <w:br w:type="page"/>
      </w:r>
    </w:p>
    <w:p w:rsidR="001D6A6E" w:rsidRDefault="001D6A6E" w:rsidP="00F63203">
      <w:pPr>
        <w:pStyle w:val="Heading1"/>
      </w:pPr>
      <w:bookmarkStart w:id="7" w:name="_Toc343349268"/>
      <w:bookmarkStart w:id="8" w:name="_Toc343350123"/>
      <w:bookmarkStart w:id="9" w:name="_Toc343536625"/>
      <w:bookmarkStart w:id="10" w:name="_Toc343677734"/>
      <w:r>
        <w:lastRenderedPageBreak/>
        <w:t>Priedai</w:t>
      </w:r>
      <w:bookmarkEnd w:id="7"/>
      <w:bookmarkEnd w:id="8"/>
      <w:bookmarkEnd w:id="9"/>
      <w:bookmarkEnd w:id="10"/>
    </w:p>
    <w:p w:rsidR="007F7304" w:rsidRDefault="00EC7800" w:rsidP="00B5369C">
      <w:pPr>
        <w:pStyle w:val="TableofFigures"/>
        <w:tabs>
          <w:tab w:val="left" w:pos="1701"/>
          <w:tab w:val="right" w:leader="dot" w:pos="9911"/>
        </w:tabs>
        <w:ind w:left="1701" w:hanging="1701"/>
        <w:rPr>
          <w:rFonts w:asciiTheme="minorHAnsi" w:eastAsiaTheme="minorEastAsia" w:hAnsiTheme="minorHAnsi"/>
          <w:noProof/>
          <w:sz w:val="22"/>
          <w:lang w:eastAsia="lt-LT"/>
        </w:rPr>
      </w:pPr>
      <w:r>
        <w:fldChar w:fldCharType="begin"/>
      </w:r>
      <w:r w:rsidR="003D34C3">
        <w:instrText xml:space="preserve"> TOC \h \z \t "Priedai" \c </w:instrText>
      </w:r>
      <w:r>
        <w:fldChar w:fldCharType="separate"/>
      </w:r>
      <w:hyperlink w:anchor="_Toc343677776" w:history="1">
        <w:r w:rsidR="007F7304" w:rsidRPr="00D42963">
          <w:rPr>
            <w:rStyle w:val="Hyperlink"/>
            <w:rFonts w:cs="Times New Roman"/>
            <w:noProof/>
          </w:rPr>
          <w:t>1 PRIEDAS</w:t>
        </w:r>
        <w:r w:rsidR="007F7304">
          <w:rPr>
            <w:rFonts w:asciiTheme="minorHAnsi" w:eastAsiaTheme="minorEastAsia" w:hAnsiTheme="minorHAnsi"/>
            <w:noProof/>
            <w:sz w:val="22"/>
            <w:lang w:eastAsia="lt-LT"/>
          </w:rPr>
          <w:tab/>
        </w:r>
        <w:r w:rsidR="00B5369C">
          <w:rPr>
            <w:rFonts w:asciiTheme="minorHAnsi" w:eastAsiaTheme="minorEastAsia" w:hAnsiTheme="minorHAnsi"/>
            <w:noProof/>
            <w:sz w:val="22"/>
            <w:lang w:eastAsia="lt-LT"/>
          </w:rPr>
          <w:tab/>
        </w:r>
        <w:r w:rsidR="007F7304" w:rsidRPr="00D42963">
          <w:rPr>
            <w:rStyle w:val="Hyperlink"/>
            <w:noProof/>
          </w:rPr>
          <w:t>Kitos literatūroje nagrinėjamos dividendinių modelių metodinės koncepcijos ir tyrimo kriterijai</w:t>
        </w:r>
        <w:r w:rsidR="007F7304">
          <w:rPr>
            <w:noProof/>
            <w:webHidden/>
          </w:rPr>
          <w:tab/>
        </w:r>
        <w:r>
          <w:rPr>
            <w:noProof/>
            <w:webHidden/>
          </w:rPr>
          <w:fldChar w:fldCharType="begin"/>
        </w:r>
        <w:r w:rsidR="007F7304">
          <w:rPr>
            <w:noProof/>
            <w:webHidden/>
          </w:rPr>
          <w:instrText xml:space="preserve"> PAGEREF _Toc343677776 \h </w:instrText>
        </w:r>
        <w:r>
          <w:rPr>
            <w:noProof/>
            <w:webHidden/>
          </w:rPr>
        </w:r>
        <w:r>
          <w:rPr>
            <w:noProof/>
            <w:webHidden/>
          </w:rPr>
          <w:fldChar w:fldCharType="separate"/>
        </w:r>
        <w:r w:rsidR="0009577F">
          <w:rPr>
            <w:noProof/>
            <w:webHidden/>
          </w:rPr>
          <w:t>98</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77" w:history="1">
        <w:r w:rsidR="007F7304" w:rsidRPr="00D42963">
          <w:rPr>
            <w:rStyle w:val="Hyperlink"/>
            <w:rFonts w:cs="Times New Roman"/>
            <w:noProof/>
          </w:rPr>
          <w:t>2 PRIEDAS</w:t>
        </w:r>
        <w:r w:rsidR="007F7304">
          <w:rPr>
            <w:rFonts w:asciiTheme="minorHAnsi" w:eastAsiaTheme="minorEastAsia" w:hAnsiTheme="minorHAnsi"/>
            <w:noProof/>
            <w:sz w:val="22"/>
            <w:lang w:eastAsia="lt-LT"/>
          </w:rPr>
          <w:tab/>
        </w:r>
        <w:r w:rsidR="007F7304" w:rsidRPr="00D42963">
          <w:rPr>
            <w:rStyle w:val="Hyperlink"/>
            <w:noProof/>
          </w:rPr>
          <w:t>Dividendų paskelbimo laikas ir išmokamų dividendų dydis 2007-2012</w:t>
        </w:r>
        <w:r w:rsidR="007F7304">
          <w:rPr>
            <w:noProof/>
            <w:webHidden/>
          </w:rPr>
          <w:tab/>
        </w:r>
        <w:r>
          <w:rPr>
            <w:noProof/>
            <w:webHidden/>
          </w:rPr>
          <w:fldChar w:fldCharType="begin"/>
        </w:r>
        <w:r w:rsidR="007F7304">
          <w:rPr>
            <w:noProof/>
            <w:webHidden/>
          </w:rPr>
          <w:instrText xml:space="preserve"> PAGEREF _Toc343677777 \h </w:instrText>
        </w:r>
        <w:r>
          <w:rPr>
            <w:noProof/>
            <w:webHidden/>
          </w:rPr>
        </w:r>
        <w:r>
          <w:rPr>
            <w:noProof/>
            <w:webHidden/>
          </w:rPr>
          <w:fldChar w:fldCharType="separate"/>
        </w:r>
        <w:r w:rsidR="0009577F">
          <w:rPr>
            <w:noProof/>
            <w:webHidden/>
          </w:rPr>
          <w:t>99</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78" w:history="1">
        <w:r w:rsidR="007F7304" w:rsidRPr="00D42963">
          <w:rPr>
            <w:rStyle w:val="Hyperlink"/>
            <w:rFonts w:cs="Times New Roman"/>
            <w:noProof/>
          </w:rPr>
          <w:t>3 PRIEDAS</w:t>
        </w:r>
        <w:r w:rsidR="007F7304">
          <w:rPr>
            <w:rFonts w:asciiTheme="minorHAnsi" w:eastAsiaTheme="minorEastAsia" w:hAnsiTheme="minorHAnsi"/>
            <w:noProof/>
            <w:sz w:val="22"/>
            <w:lang w:eastAsia="lt-LT"/>
          </w:rPr>
          <w:tab/>
        </w:r>
        <w:r w:rsidR="007F7304" w:rsidRPr="00D42963">
          <w:rPr>
            <w:rStyle w:val="Hyperlink"/>
            <w:noProof/>
          </w:rPr>
          <w:t>Analizuojamų prekybos dienų pelningumų skirstinio distribucijos tikrinimas</w:t>
        </w:r>
        <w:r w:rsidR="007F7304">
          <w:rPr>
            <w:noProof/>
            <w:webHidden/>
          </w:rPr>
          <w:tab/>
        </w:r>
        <w:r>
          <w:rPr>
            <w:noProof/>
            <w:webHidden/>
          </w:rPr>
          <w:fldChar w:fldCharType="begin"/>
        </w:r>
        <w:r w:rsidR="007F7304">
          <w:rPr>
            <w:noProof/>
            <w:webHidden/>
          </w:rPr>
          <w:instrText xml:space="preserve"> PAGEREF _Toc343677778 \h </w:instrText>
        </w:r>
        <w:r>
          <w:rPr>
            <w:noProof/>
            <w:webHidden/>
          </w:rPr>
        </w:r>
        <w:r>
          <w:rPr>
            <w:noProof/>
            <w:webHidden/>
          </w:rPr>
          <w:fldChar w:fldCharType="separate"/>
        </w:r>
        <w:r w:rsidR="0009577F">
          <w:rPr>
            <w:noProof/>
            <w:webHidden/>
          </w:rPr>
          <w:t>101</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79" w:history="1">
        <w:r w:rsidR="007F7304" w:rsidRPr="00D42963">
          <w:rPr>
            <w:rStyle w:val="Hyperlink"/>
            <w:rFonts w:cs="Times New Roman"/>
            <w:noProof/>
          </w:rPr>
          <w:t>4 PRIEDAS</w:t>
        </w:r>
        <w:r w:rsidR="007F7304">
          <w:rPr>
            <w:rFonts w:asciiTheme="minorHAnsi" w:eastAsiaTheme="minorEastAsia" w:hAnsiTheme="minorHAnsi"/>
            <w:noProof/>
            <w:sz w:val="22"/>
            <w:lang w:eastAsia="lt-LT"/>
          </w:rPr>
          <w:tab/>
        </w:r>
        <w:r w:rsidR="007F7304" w:rsidRPr="00D42963">
          <w:rPr>
            <w:rStyle w:val="Hyperlink"/>
            <w:noProof/>
          </w:rPr>
          <w:t>Levene‘o testas nepriklausomoms imtims DPS pokyčio atveju</w:t>
        </w:r>
        <w:r w:rsidR="007F7304">
          <w:rPr>
            <w:noProof/>
            <w:webHidden/>
          </w:rPr>
          <w:tab/>
        </w:r>
        <w:r>
          <w:rPr>
            <w:noProof/>
            <w:webHidden/>
          </w:rPr>
          <w:fldChar w:fldCharType="begin"/>
        </w:r>
        <w:r w:rsidR="007F7304">
          <w:rPr>
            <w:noProof/>
            <w:webHidden/>
          </w:rPr>
          <w:instrText xml:space="preserve"> PAGEREF _Toc343677779 \h </w:instrText>
        </w:r>
        <w:r>
          <w:rPr>
            <w:noProof/>
            <w:webHidden/>
          </w:rPr>
        </w:r>
        <w:r>
          <w:rPr>
            <w:noProof/>
            <w:webHidden/>
          </w:rPr>
          <w:fldChar w:fldCharType="separate"/>
        </w:r>
        <w:r w:rsidR="0009577F">
          <w:rPr>
            <w:noProof/>
            <w:webHidden/>
          </w:rPr>
          <w:t>102</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80" w:history="1">
        <w:r w:rsidR="007F7304" w:rsidRPr="00D42963">
          <w:rPr>
            <w:rStyle w:val="Hyperlink"/>
            <w:rFonts w:cs="Times New Roman"/>
            <w:noProof/>
          </w:rPr>
          <w:t>5 PRIEDAS</w:t>
        </w:r>
        <w:r w:rsidR="007F7304">
          <w:rPr>
            <w:rFonts w:asciiTheme="minorHAnsi" w:eastAsiaTheme="minorEastAsia" w:hAnsiTheme="minorHAnsi"/>
            <w:noProof/>
            <w:sz w:val="22"/>
            <w:lang w:eastAsia="lt-LT"/>
          </w:rPr>
          <w:tab/>
        </w:r>
        <w:r w:rsidR="007F7304" w:rsidRPr="00D42963">
          <w:rPr>
            <w:rStyle w:val="Hyperlink"/>
            <w:noProof/>
          </w:rPr>
          <w:t>Levene‘o testas nepriklausomoms imtims DY pokyčio atveju</w:t>
        </w:r>
        <w:r w:rsidR="007F7304">
          <w:rPr>
            <w:noProof/>
            <w:webHidden/>
          </w:rPr>
          <w:tab/>
        </w:r>
        <w:r>
          <w:rPr>
            <w:noProof/>
            <w:webHidden/>
          </w:rPr>
          <w:fldChar w:fldCharType="begin"/>
        </w:r>
        <w:r w:rsidR="007F7304">
          <w:rPr>
            <w:noProof/>
            <w:webHidden/>
          </w:rPr>
          <w:instrText xml:space="preserve"> PAGEREF _Toc343677780 \h </w:instrText>
        </w:r>
        <w:r>
          <w:rPr>
            <w:noProof/>
            <w:webHidden/>
          </w:rPr>
        </w:r>
        <w:r>
          <w:rPr>
            <w:noProof/>
            <w:webHidden/>
          </w:rPr>
          <w:fldChar w:fldCharType="separate"/>
        </w:r>
        <w:r w:rsidR="0009577F">
          <w:rPr>
            <w:noProof/>
            <w:webHidden/>
          </w:rPr>
          <w:t>103</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81" w:history="1">
        <w:r w:rsidR="007F7304" w:rsidRPr="00D42963">
          <w:rPr>
            <w:rStyle w:val="Hyperlink"/>
            <w:rFonts w:cs="Times New Roman"/>
            <w:noProof/>
          </w:rPr>
          <w:t>6 PRIEDAS</w:t>
        </w:r>
        <w:r w:rsidR="007F7304">
          <w:rPr>
            <w:rFonts w:asciiTheme="minorHAnsi" w:eastAsiaTheme="minorEastAsia" w:hAnsiTheme="minorHAnsi"/>
            <w:noProof/>
            <w:sz w:val="22"/>
            <w:lang w:eastAsia="lt-LT"/>
          </w:rPr>
          <w:tab/>
        </w:r>
        <w:r w:rsidR="007F7304" w:rsidRPr="00D42963">
          <w:rPr>
            <w:rStyle w:val="Hyperlink"/>
            <w:noProof/>
          </w:rPr>
          <w:t>Dividendų rodikliai, vidutinės akcijų kainos dividendų paskelbimo dienomis</w:t>
        </w:r>
        <w:r w:rsidR="007F7304">
          <w:rPr>
            <w:noProof/>
            <w:webHidden/>
          </w:rPr>
          <w:tab/>
        </w:r>
        <w:r>
          <w:rPr>
            <w:noProof/>
            <w:webHidden/>
          </w:rPr>
          <w:fldChar w:fldCharType="begin"/>
        </w:r>
        <w:r w:rsidR="007F7304">
          <w:rPr>
            <w:noProof/>
            <w:webHidden/>
          </w:rPr>
          <w:instrText xml:space="preserve"> PAGEREF _Toc343677781 \h </w:instrText>
        </w:r>
        <w:r>
          <w:rPr>
            <w:noProof/>
            <w:webHidden/>
          </w:rPr>
        </w:r>
        <w:r>
          <w:rPr>
            <w:noProof/>
            <w:webHidden/>
          </w:rPr>
          <w:fldChar w:fldCharType="separate"/>
        </w:r>
        <w:r w:rsidR="0009577F">
          <w:rPr>
            <w:noProof/>
            <w:webHidden/>
          </w:rPr>
          <w:t>104</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82" w:history="1">
        <w:r w:rsidR="007F7304" w:rsidRPr="00D42963">
          <w:rPr>
            <w:rStyle w:val="Hyperlink"/>
            <w:rFonts w:cs="Times New Roman"/>
            <w:noProof/>
          </w:rPr>
          <w:t>7 PRIEDAS</w:t>
        </w:r>
        <w:r w:rsidR="007F7304">
          <w:rPr>
            <w:rFonts w:asciiTheme="minorHAnsi" w:eastAsiaTheme="minorEastAsia" w:hAnsiTheme="minorHAnsi"/>
            <w:noProof/>
            <w:sz w:val="22"/>
            <w:lang w:eastAsia="lt-LT"/>
          </w:rPr>
          <w:tab/>
        </w:r>
        <w:r w:rsidR="007F7304" w:rsidRPr="00D42963">
          <w:rPr>
            <w:rStyle w:val="Hyperlink"/>
            <w:noProof/>
          </w:rPr>
          <w:t>Akcijų pelningumai dividendų paskelbimo dienomis, įvertinus rinkos rizikos faktorių</w:t>
        </w:r>
        <w:r w:rsidR="007F7304">
          <w:rPr>
            <w:noProof/>
            <w:webHidden/>
          </w:rPr>
          <w:tab/>
        </w:r>
        <w:r w:rsidR="007F7304">
          <w:rPr>
            <w:noProof/>
            <w:webHidden/>
          </w:rPr>
          <w:tab/>
        </w:r>
        <w:r w:rsidR="007F7304">
          <w:rPr>
            <w:noProof/>
            <w:webHidden/>
          </w:rPr>
          <w:tab/>
        </w:r>
        <w:r>
          <w:rPr>
            <w:noProof/>
            <w:webHidden/>
          </w:rPr>
          <w:fldChar w:fldCharType="begin"/>
        </w:r>
        <w:r w:rsidR="007F7304">
          <w:rPr>
            <w:noProof/>
            <w:webHidden/>
          </w:rPr>
          <w:instrText xml:space="preserve"> PAGEREF _Toc343677782 \h </w:instrText>
        </w:r>
        <w:r>
          <w:rPr>
            <w:noProof/>
            <w:webHidden/>
          </w:rPr>
        </w:r>
        <w:r>
          <w:rPr>
            <w:noProof/>
            <w:webHidden/>
          </w:rPr>
          <w:fldChar w:fldCharType="separate"/>
        </w:r>
        <w:r w:rsidR="0009577F">
          <w:rPr>
            <w:noProof/>
            <w:webHidden/>
          </w:rPr>
          <w:t>106</w:t>
        </w:r>
        <w:r>
          <w:rPr>
            <w:noProof/>
            <w:webHidden/>
          </w:rPr>
          <w:fldChar w:fldCharType="end"/>
        </w:r>
      </w:hyperlink>
    </w:p>
    <w:p w:rsidR="007F7304" w:rsidRDefault="00EC7800" w:rsidP="00B5369C">
      <w:pPr>
        <w:pStyle w:val="TableofFigures"/>
        <w:tabs>
          <w:tab w:val="left" w:pos="1680"/>
          <w:tab w:val="right" w:leader="dot" w:pos="9911"/>
        </w:tabs>
        <w:ind w:left="1701" w:hanging="1701"/>
        <w:rPr>
          <w:rFonts w:asciiTheme="minorHAnsi" w:eastAsiaTheme="minorEastAsia" w:hAnsiTheme="minorHAnsi"/>
          <w:noProof/>
          <w:sz w:val="22"/>
          <w:lang w:eastAsia="lt-LT"/>
        </w:rPr>
      </w:pPr>
      <w:hyperlink w:anchor="_Toc343677783" w:history="1">
        <w:r w:rsidR="007F7304" w:rsidRPr="00D42963">
          <w:rPr>
            <w:rStyle w:val="Hyperlink"/>
            <w:rFonts w:cs="Times New Roman"/>
            <w:noProof/>
          </w:rPr>
          <w:t>8 PRIEDAS</w:t>
        </w:r>
        <w:r w:rsidR="007F7304">
          <w:rPr>
            <w:rFonts w:asciiTheme="minorHAnsi" w:eastAsiaTheme="minorEastAsia" w:hAnsiTheme="minorHAnsi"/>
            <w:noProof/>
            <w:sz w:val="22"/>
            <w:lang w:eastAsia="lt-LT"/>
          </w:rPr>
          <w:tab/>
        </w:r>
        <w:r w:rsidR="007F7304" w:rsidRPr="00D42963">
          <w:rPr>
            <w:rStyle w:val="Hyperlink"/>
            <w:noProof/>
          </w:rPr>
          <w:t>Div</w:t>
        </w:r>
        <w:r w:rsidR="007F7304">
          <w:rPr>
            <w:rStyle w:val="Hyperlink"/>
            <w:noProof/>
          </w:rPr>
          <w:t>idendų pelningumai, standartinis</w:t>
        </w:r>
        <w:r w:rsidR="007F7304" w:rsidRPr="00D42963">
          <w:rPr>
            <w:rStyle w:val="Hyperlink"/>
            <w:noProof/>
          </w:rPr>
          <w:t xml:space="preserve"> nuokrypis, t ir z reikšmės analizuojamais periodais</w:t>
        </w:r>
        <w:r w:rsidR="007F7304">
          <w:rPr>
            <w:noProof/>
            <w:webHidden/>
          </w:rPr>
          <w:tab/>
        </w:r>
        <w:r>
          <w:rPr>
            <w:noProof/>
            <w:webHidden/>
          </w:rPr>
          <w:fldChar w:fldCharType="begin"/>
        </w:r>
        <w:r w:rsidR="007F7304">
          <w:rPr>
            <w:noProof/>
            <w:webHidden/>
          </w:rPr>
          <w:instrText xml:space="preserve"> PAGEREF _Toc343677783 \h </w:instrText>
        </w:r>
        <w:r>
          <w:rPr>
            <w:noProof/>
            <w:webHidden/>
          </w:rPr>
        </w:r>
        <w:r>
          <w:rPr>
            <w:noProof/>
            <w:webHidden/>
          </w:rPr>
          <w:fldChar w:fldCharType="separate"/>
        </w:r>
        <w:r w:rsidR="0009577F">
          <w:rPr>
            <w:noProof/>
            <w:webHidden/>
          </w:rPr>
          <w:t>109</w:t>
        </w:r>
        <w:r>
          <w:rPr>
            <w:noProof/>
            <w:webHidden/>
          </w:rPr>
          <w:fldChar w:fldCharType="end"/>
        </w:r>
      </w:hyperlink>
    </w:p>
    <w:p w:rsidR="007F7304" w:rsidRDefault="00EC7800" w:rsidP="00B5369C">
      <w:pPr>
        <w:pStyle w:val="TableofFigures"/>
        <w:tabs>
          <w:tab w:val="left" w:pos="1701"/>
          <w:tab w:val="right" w:leader="dot" w:pos="9911"/>
        </w:tabs>
        <w:rPr>
          <w:rFonts w:asciiTheme="minorHAnsi" w:eastAsiaTheme="minorEastAsia" w:hAnsiTheme="minorHAnsi"/>
          <w:noProof/>
          <w:sz w:val="22"/>
          <w:lang w:eastAsia="lt-LT"/>
        </w:rPr>
      </w:pPr>
      <w:hyperlink w:anchor="_Toc343677784" w:history="1">
        <w:r w:rsidR="007F7304" w:rsidRPr="00D42963">
          <w:rPr>
            <w:rStyle w:val="Hyperlink"/>
            <w:rFonts w:cs="Times New Roman"/>
            <w:noProof/>
          </w:rPr>
          <w:t>9 PRIEDAS</w:t>
        </w:r>
        <w:r w:rsidR="007F7304">
          <w:rPr>
            <w:rFonts w:asciiTheme="minorHAnsi" w:eastAsiaTheme="minorEastAsia" w:hAnsiTheme="minorHAnsi"/>
            <w:noProof/>
            <w:sz w:val="22"/>
            <w:lang w:eastAsia="lt-LT"/>
          </w:rPr>
          <w:tab/>
        </w:r>
        <w:r w:rsidR="007F7304" w:rsidRPr="00D42963">
          <w:rPr>
            <w:rStyle w:val="Hyperlink"/>
            <w:noProof/>
          </w:rPr>
          <w:t>Porinių imčių neparametriniai testai skirtingoms dividendų naujienų grupėms</w:t>
        </w:r>
        <w:r w:rsidR="007F7304">
          <w:rPr>
            <w:noProof/>
            <w:webHidden/>
          </w:rPr>
          <w:tab/>
        </w:r>
        <w:r>
          <w:rPr>
            <w:noProof/>
            <w:webHidden/>
          </w:rPr>
          <w:fldChar w:fldCharType="begin"/>
        </w:r>
        <w:r w:rsidR="007F7304">
          <w:rPr>
            <w:noProof/>
            <w:webHidden/>
          </w:rPr>
          <w:instrText xml:space="preserve"> PAGEREF _Toc343677784 \h </w:instrText>
        </w:r>
        <w:r>
          <w:rPr>
            <w:noProof/>
            <w:webHidden/>
          </w:rPr>
        </w:r>
        <w:r>
          <w:rPr>
            <w:noProof/>
            <w:webHidden/>
          </w:rPr>
          <w:fldChar w:fldCharType="separate"/>
        </w:r>
        <w:r w:rsidR="0009577F">
          <w:rPr>
            <w:noProof/>
            <w:webHidden/>
          </w:rPr>
          <w:t>110</w:t>
        </w:r>
        <w:r>
          <w:rPr>
            <w:noProof/>
            <w:webHidden/>
          </w:rPr>
          <w:fldChar w:fldCharType="end"/>
        </w:r>
      </w:hyperlink>
    </w:p>
    <w:p w:rsidR="007F7304" w:rsidRDefault="00EC7800">
      <w:pPr>
        <w:pStyle w:val="TableofFigures"/>
        <w:tabs>
          <w:tab w:val="left" w:pos="1680"/>
          <w:tab w:val="right" w:leader="dot" w:pos="9911"/>
        </w:tabs>
        <w:rPr>
          <w:rFonts w:asciiTheme="minorHAnsi" w:eastAsiaTheme="minorEastAsia" w:hAnsiTheme="minorHAnsi"/>
          <w:noProof/>
          <w:sz w:val="22"/>
          <w:lang w:eastAsia="lt-LT"/>
        </w:rPr>
      </w:pPr>
      <w:hyperlink w:anchor="_Toc343677785" w:history="1">
        <w:r w:rsidR="007F7304" w:rsidRPr="00D42963">
          <w:rPr>
            <w:rStyle w:val="Hyperlink"/>
            <w:rFonts w:cs="Times New Roman"/>
            <w:noProof/>
          </w:rPr>
          <w:t>10 PRIEDAS</w:t>
        </w:r>
        <w:r w:rsidR="007F7304">
          <w:rPr>
            <w:rFonts w:asciiTheme="minorHAnsi" w:eastAsiaTheme="minorEastAsia" w:hAnsiTheme="minorHAnsi"/>
            <w:noProof/>
            <w:sz w:val="22"/>
            <w:lang w:eastAsia="lt-LT"/>
          </w:rPr>
          <w:tab/>
        </w:r>
        <w:r w:rsidR="007F7304" w:rsidRPr="00D42963">
          <w:rPr>
            <w:rStyle w:val="Hyperlink"/>
            <w:noProof/>
          </w:rPr>
          <w:t>Sharpe rodiklio reikšmės analizuojamais dividendų naujienų intervalais</w:t>
        </w:r>
        <w:r w:rsidR="007F7304">
          <w:rPr>
            <w:noProof/>
            <w:webHidden/>
          </w:rPr>
          <w:tab/>
        </w:r>
        <w:r>
          <w:rPr>
            <w:noProof/>
            <w:webHidden/>
          </w:rPr>
          <w:fldChar w:fldCharType="begin"/>
        </w:r>
        <w:r w:rsidR="007F7304">
          <w:rPr>
            <w:noProof/>
            <w:webHidden/>
          </w:rPr>
          <w:instrText xml:space="preserve"> PAGEREF _Toc343677785 \h </w:instrText>
        </w:r>
        <w:r>
          <w:rPr>
            <w:noProof/>
            <w:webHidden/>
          </w:rPr>
        </w:r>
        <w:r>
          <w:rPr>
            <w:noProof/>
            <w:webHidden/>
          </w:rPr>
          <w:fldChar w:fldCharType="separate"/>
        </w:r>
        <w:r w:rsidR="0009577F">
          <w:rPr>
            <w:noProof/>
            <w:webHidden/>
          </w:rPr>
          <w:t>111</w:t>
        </w:r>
        <w:r>
          <w:rPr>
            <w:noProof/>
            <w:webHidden/>
          </w:rPr>
          <w:fldChar w:fldCharType="end"/>
        </w:r>
      </w:hyperlink>
    </w:p>
    <w:p w:rsidR="007F7304" w:rsidRDefault="00EC7800">
      <w:pPr>
        <w:pStyle w:val="TableofFigures"/>
        <w:tabs>
          <w:tab w:val="left" w:pos="1680"/>
          <w:tab w:val="right" w:leader="dot" w:pos="9911"/>
        </w:tabs>
        <w:rPr>
          <w:rFonts w:asciiTheme="minorHAnsi" w:eastAsiaTheme="minorEastAsia" w:hAnsiTheme="minorHAnsi"/>
          <w:noProof/>
          <w:sz w:val="22"/>
          <w:lang w:eastAsia="lt-LT"/>
        </w:rPr>
      </w:pPr>
      <w:hyperlink w:anchor="_Toc343677786" w:history="1">
        <w:r w:rsidR="007F7304" w:rsidRPr="00D42963">
          <w:rPr>
            <w:rStyle w:val="Hyperlink"/>
            <w:rFonts w:cs="Times New Roman"/>
            <w:noProof/>
          </w:rPr>
          <w:t>11 PRIEDAS</w:t>
        </w:r>
        <w:r w:rsidR="007F7304">
          <w:rPr>
            <w:rFonts w:asciiTheme="minorHAnsi" w:eastAsiaTheme="minorEastAsia" w:hAnsiTheme="minorHAnsi"/>
            <w:noProof/>
            <w:sz w:val="22"/>
            <w:lang w:eastAsia="lt-LT"/>
          </w:rPr>
          <w:tab/>
        </w:r>
        <w:r w:rsidR="007F7304" w:rsidRPr="00D42963">
          <w:rPr>
            <w:rStyle w:val="Hyperlink"/>
            <w:noProof/>
          </w:rPr>
          <w:t>Dividendinių įmonių fundamentinių rodiklių duomenys 2007-2011</w:t>
        </w:r>
        <w:r w:rsidR="007F7304">
          <w:rPr>
            <w:noProof/>
            <w:webHidden/>
          </w:rPr>
          <w:tab/>
        </w:r>
        <w:r>
          <w:rPr>
            <w:noProof/>
            <w:webHidden/>
          </w:rPr>
          <w:fldChar w:fldCharType="begin"/>
        </w:r>
        <w:r w:rsidR="007F7304">
          <w:rPr>
            <w:noProof/>
            <w:webHidden/>
          </w:rPr>
          <w:instrText xml:space="preserve"> PAGEREF _Toc343677786 \h </w:instrText>
        </w:r>
        <w:r>
          <w:rPr>
            <w:noProof/>
            <w:webHidden/>
          </w:rPr>
        </w:r>
        <w:r>
          <w:rPr>
            <w:noProof/>
            <w:webHidden/>
          </w:rPr>
          <w:fldChar w:fldCharType="separate"/>
        </w:r>
        <w:r w:rsidR="0009577F">
          <w:rPr>
            <w:noProof/>
            <w:webHidden/>
          </w:rPr>
          <w:t>112</w:t>
        </w:r>
        <w:r>
          <w:rPr>
            <w:noProof/>
            <w:webHidden/>
          </w:rPr>
          <w:fldChar w:fldCharType="end"/>
        </w:r>
      </w:hyperlink>
    </w:p>
    <w:p w:rsidR="007F7304" w:rsidRDefault="00EC7800">
      <w:pPr>
        <w:pStyle w:val="TableofFigures"/>
        <w:tabs>
          <w:tab w:val="left" w:pos="1680"/>
          <w:tab w:val="right" w:leader="dot" w:pos="9911"/>
        </w:tabs>
        <w:rPr>
          <w:rFonts w:asciiTheme="minorHAnsi" w:eastAsiaTheme="minorEastAsia" w:hAnsiTheme="minorHAnsi"/>
          <w:noProof/>
          <w:sz w:val="22"/>
          <w:lang w:eastAsia="lt-LT"/>
        </w:rPr>
      </w:pPr>
      <w:hyperlink w:anchor="_Toc343677787" w:history="1">
        <w:r w:rsidR="007F7304" w:rsidRPr="00D42963">
          <w:rPr>
            <w:rStyle w:val="Hyperlink"/>
            <w:rFonts w:cs="Times New Roman"/>
            <w:noProof/>
          </w:rPr>
          <w:t>12 PRIEDAS</w:t>
        </w:r>
        <w:r w:rsidR="007F7304">
          <w:rPr>
            <w:rFonts w:asciiTheme="minorHAnsi" w:eastAsiaTheme="minorEastAsia" w:hAnsiTheme="minorHAnsi"/>
            <w:noProof/>
            <w:sz w:val="22"/>
            <w:lang w:eastAsia="lt-LT"/>
          </w:rPr>
          <w:tab/>
        </w:r>
        <w:r w:rsidR="007F7304" w:rsidRPr="00D42963">
          <w:rPr>
            <w:rStyle w:val="Hyperlink"/>
            <w:noProof/>
          </w:rPr>
          <w:t>Dividendinio investavimo modelių rezultatai fiksuotų ir atsitiktinių efektų atvejais</w:t>
        </w:r>
        <w:r w:rsidR="007F7304">
          <w:rPr>
            <w:noProof/>
            <w:webHidden/>
          </w:rPr>
          <w:tab/>
        </w:r>
        <w:r w:rsidR="007F7304">
          <w:rPr>
            <w:noProof/>
            <w:webHidden/>
          </w:rPr>
          <w:tab/>
        </w:r>
        <w:r w:rsidR="007F7304">
          <w:rPr>
            <w:noProof/>
            <w:webHidden/>
          </w:rPr>
          <w:tab/>
        </w:r>
        <w:r>
          <w:rPr>
            <w:noProof/>
            <w:webHidden/>
          </w:rPr>
          <w:fldChar w:fldCharType="begin"/>
        </w:r>
        <w:r w:rsidR="007F7304">
          <w:rPr>
            <w:noProof/>
            <w:webHidden/>
          </w:rPr>
          <w:instrText xml:space="preserve"> PAGEREF _Toc343677787 \h </w:instrText>
        </w:r>
        <w:r>
          <w:rPr>
            <w:noProof/>
            <w:webHidden/>
          </w:rPr>
        </w:r>
        <w:r>
          <w:rPr>
            <w:noProof/>
            <w:webHidden/>
          </w:rPr>
          <w:fldChar w:fldCharType="separate"/>
        </w:r>
        <w:r w:rsidR="0009577F">
          <w:rPr>
            <w:noProof/>
            <w:webHidden/>
          </w:rPr>
          <w:t>115</w:t>
        </w:r>
        <w:r>
          <w:rPr>
            <w:noProof/>
            <w:webHidden/>
          </w:rPr>
          <w:fldChar w:fldCharType="end"/>
        </w:r>
      </w:hyperlink>
    </w:p>
    <w:p w:rsidR="001D6A6E" w:rsidRDefault="00EC7800" w:rsidP="001D6A6E">
      <w:pPr>
        <w:rPr>
          <w:rFonts w:eastAsiaTheme="majorEastAsia" w:cstheme="majorBidi"/>
          <w:sz w:val="28"/>
          <w:szCs w:val="28"/>
        </w:rPr>
      </w:pPr>
      <w:r>
        <w:fldChar w:fldCharType="end"/>
      </w:r>
      <w:r w:rsidR="001D6A6E">
        <w:br w:type="page"/>
      </w:r>
    </w:p>
    <w:p w:rsidR="007F7304" w:rsidRDefault="001D6A6E" w:rsidP="003D34C3">
      <w:pPr>
        <w:pStyle w:val="Heading1"/>
        <w:rPr>
          <w:noProof/>
        </w:rPr>
      </w:pPr>
      <w:bookmarkStart w:id="11" w:name="_Toc343349269"/>
      <w:bookmarkStart w:id="12" w:name="_Toc343350124"/>
      <w:bookmarkStart w:id="13" w:name="_Toc343536626"/>
      <w:bookmarkStart w:id="14" w:name="_Toc343677735"/>
      <w:r>
        <w:lastRenderedPageBreak/>
        <w:t>Lentelės</w:t>
      </w:r>
      <w:bookmarkEnd w:id="11"/>
      <w:bookmarkEnd w:id="12"/>
      <w:bookmarkEnd w:id="13"/>
      <w:bookmarkEnd w:id="14"/>
      <w:r w:rsidR="00EC7800" w:rsidRPr="00EC7800">
        <w:fldChar w:fldCharType="begin"/>
      </w:r>
      <w:r w:rsidR="003D34C3">
        <w:instrText xml:space="preserve"> TOC \h \z \t "Caption;Lentelės" \c </w:instrText>
      </w:r>
      <w:r w:rsidR="00EC7800" w:rsidRPr="00EC7800">
        <w:fldChar w:fldCharType="separate"/>
      </w:r>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19" w:history="1">
        <w:r w:rsidR="007F7304" w:rsidRPr="00047EC2">
          <w:rPr>
            <w:rStyle w:val="Hyperlink"/>
            <w:noProof/>
          </w:rPr>
          <w:t>1 lentelė.</w:t>
        </w:r>
        <w:r w:rsidR="007F7304">
          <w:rPr>
            <w:rFonts w:asciiTheme="minorHAnsi" w:eastAsiaTheme="minorEastAsia" w:hAnsiTheme="minorHAnsi"/>
            <w:noProof/>
            <w:sz w:val="22"/>
            <w:lang w:eastAsia="lt-LT"/>
          </w:rPr>
          <w:tab/>
        </w:r>
        <w:r w:rsidR="007F7304" w:rsidRPr="00047EC2">
          <w:rPr>
            <w:rStyle w:val="Hyperlink"/>
            <w:noProof/>
          </w:rPr>
          <w:t>Skirtingų investuotojų tipų elgsena dividendų mokėjimo dienomis</w:t>
        </w:r>
        <w:r w:rsidR="007F7304">
          <w:rPr>
            <w:noProof/>
            <w:webHidden/>
          </w:rPr>
          <w:tab/>
        </w:r>
        <w:r>
          <w:rPr>
            <w:noProof/>
            <w:webHidden/>
          </w:rPr>
          <w:fldChar w:fldCharType="begin"/>
        </w:r>
        <w:r w:rsidR="007F7304">
          <w:rPr>
            <w:noProof/>
            <w:webHidden/>
          </w:rPr>
          <w:instrText xml:space="preserve"> PAGEREF _Toc343677819 \h </w:instrText>
        </w:r>
        <w:r>
          <w:rPr>
            <w:noProof/>
            <w:webHidden/>
          </w:rPr>
        </w:r>
        <w:r>
          <w:rPr>
            <w:noProof/>
            <w:webHidden/>
          </w:rPr>
          <w:fldChar w:fldCharType="separate"/>
        </w:r>
        <w:r w:rsidR="0009577F">
          <w:rPr>
            <w:noProof/>
            <w:webHidden/>
          </w:rPr>
          <w:t>13</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0" w:history="1">
        <w:r w:rsidR="007F7304" w:rsidRPr="00047EC2">
          <w:rPr>
            <w:rStyle w:val="Hyperlink"/>
            <w:noProof/>
          </w:rPr>
          <w:t>2 lentelė.</w:t>
        </w:r>
        <w:r w:rsidR="007F7304">
          <w:rPr>
            <w:rFonts w:asciiTheme="minorHAnsi" w:eastAsiaTheme="minorEastAsia" w:hAnsiTheme="minorHAnsi"/>
            <w:noProof/>
            <w:sz w:val="22"/>
            <w:lang w:eastAsia="lt-LT"/>
          </w:rPr>
          <w:tab/>
        </w:r>
        <w:r w:rsidR="007F7304" w:rsidRPr="00047EC2">
          <w:rPr>
            <w:rStyle w:val="Hyperlink"/>
            <w:noProof/>
          </w:rPr>
          <w:t>Sudėtinis pelningumas CAR gerų ir blogų dividendų naujienų atvejais</w:t>
        </w:r>
        <w:r w:rsidR="007F7304">
          <w:rPr>
            <w:noProof/>
            <w:webHidden/>
          </w:rPr>
          <w:tab/>
        </w:r>
        <w:r>
          <w:rPr>
            <w:noProof/>
            <w:webHidden/>
          </w:rPr>
          <w:fldChar w:fldCharType="begin"/>
        </w:r>
        <w:r w:rsidR="007F7304">
          <w:rPr>
            <w:noProof/>
            <w:webHidden/>
          </w:rPr>
          <w:instrText xml:space="preserve"> PAGEREF _Toc343677820 \h </w:instrText>
        </w:r>
        <w:r>
          <w:rPr>
            <w:noProof/>
            <w:webHidden/>
          </w:rPr>
        </w:r>
        <w:r>
          <w:rPr>
            <w:noProof/>
            <w:webHidden/>
          </w:rPr>
          <w:fldChar w:fldCharType="separate"/>
        </w:r>
        <w:r w:rsidR="0009577F">
          <w:rPr>
            <w:noProof/>
            <w:webHidden/>
          </w:rPr>
          <w:t>20</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1" w:history="1">
        <w:r w:rsidR="007F7304" w:rsidRPr="00047EC2">
          <w:rPr>
            <w:rStyle w:val="Hyperlink"/>
            <w:noProof/>
          </w:rPr>
          <w:t>3 lentelė.</w:t>
        </w:r>
        <w:r w:rsidR="007F7304">
          <w:rPr>
            <w:rFonts w:asciiTheme="minorHAnsi" w:eastAsiaTheme="minorEastAsia" w:hAnsiTheme="minorHAnsi"/>
            <w:noProof/>
            <w:sz w:val="22"/>
            <w:lang w:eastAsia="lt-LT"/>
          </w:rPr>
          <w:tab/>
        </w:r>
        <w:r w:rsidR="007F7304" w:rsidRPr="00047EC2">
          <w:rPr>
            <w:rStyle w:val="Hyperlink"/>
            <w:noProof/>
          </w:rPr>
          <w:t>„Dow“ dividendų strategijos grąža 1973</w:t>
        </w:r>
        <w:r w:rsidR="007F7304" w:rsidRPr="00047EC2">
          <w:rPr>
            <w:rStyle w:val="Hyperlink"/>
            <w:noProof/>
            <w:lang w:val="en-US"/>
          </w:rPr>
          <w:t>-1992</w:t>
        </w:r>
        <w:r w:rsidR="007F7304">
          <w:rPr>
            <w:noProof/>
            <w:webHidden/>
          </w:rPr>
          <w:tab/>
        </w:r>
        <w:r>
          <w:rPr>
            <w:noProof/>
            <w:webHidden/>
          </w:rPr>
          <w:fldChar w:fldCharType="begin"/>
        </w:r>
        <w:r w:rsidR="007F7304">
          <w:rPr>
            <w:noProof/>
            <w:webHidden/>
          </w:rPr>
          <w:instrText xml:space="preserve"> PAGEREF _Toc343677821 \h </w:instrText>
        </w:r>
        <w:r>
          <w:rPr>
            <w:noProof/>
            <w:webHidden/>
          </w:rPr>
        </w:r>
        <w:r>
          <w:rPr>
            <w:noProof/>
            <w:webHidden/>
          </w:rPr>
          <w:fldChar w:fldCharType="separate"/>
        </w:r>
        <w:r w:rsidR="0009577F">
          <w:rPr>
            <w:noProof/>
            <w:webHidden/>
          </w:rPr>
          <w:t>22</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2" w:history="1">
        <w:r w:rsidR="007F7304" w:rsidRPr="00047EC2">
          <w:rPr>
            <w:rStyle w:val="Hyperlink"/>
            <w:noProof/>
          </w:rPr>
          <w:t>4 lentelė.</w:t>
        </w:r>
        <w:r w:rsidR="007F7304">
          <w:rPr>
            <w:rFonts w:asciiTheme="minorHAnsi" w:eastAsiaTheme="minorEastAsia" w:hAnsiTheme="minorHAnsi"/>
            <w:noProof/>
            <w:sz w:val="22"/>
            <w:lang w:eastAsia="lt-LT"/>
          </w:rPr>
          <w:tab/>
        </w:r>
        <w:r w:rsidR="007F7304" w:rsidRPr="00047EC2">
          <w:rPr>
            <w:rStyle w:val="Hyperlink"/>
            <w:noProof/>
          </w:rPr>
          <w:t>DJIA indekso dividendinės akcijos ir taikytinos investavimo strategijos</w:t>
        </w:r>
        <w:r w:rsidR="007F7304">
          <w:rPr>
            <w:noProof/>
            <w:webHidden/>
          </w:rPr>
          <w:tab/>
        </w:r>
        <w:r>
          <w:rPr>
            <w:noProof/>
            <w:webHidden/>
          </w:rPr>
          <w:fldChar w:fldCharType="begin"/>
        </w:r>
        <w:r w:rsidR="007F7304">
          <w:rPr>
            <w:noProof/>
            <w:webHidden/>
          </w:rPr>
          <w:instrText xml:space="preserve"> PAGEREF _Toc343677822 \h </w:instrText>
        </w:r>
        <w:r>
          <w:rPr>
            <w:noProof/>
            <w:webHidden/>
          </w:rPr>
        </w:r>
        <w:r>
          <w:rPr>
            <w:noProof/>
            <w:webHidden/>
          </w:rPr>
          <w:fldChar w:fldCharType="separate"/>
        </w:r>
        <w:r w:rsidR="0009577F">
          <w:rPr>
            <w:noProof/>
            <w:webHidden/>
          </w:rPr>
          <w:t>24</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3" w:history="1">
        <w:r w:rsidR="007F7304" w:rsidRPr="00047EC2">
          <w:rPr>
            <w:rStyle w:val="Hyperlink"/>
            <w:noProof/>
          </w:rPr>
          <w:t>5 lentelė.</w:t>
        </w:r>
        <w:r w:rsidR="007F7304">
          <w:rPr>
            <w:rFonts w:asciiTheme="minorHAnsi" w:eastAsiaTheme="minorEastAsia" w:hAnsiTheme="minorHAnsi"/>
            <w:noProof/>
            <w:sz w:val="22"/>
            <w:lang w:eastAsia="lt-LT"/>
          </w:rPr>
          <w:tab/>
        </w:r>
        <w:r w:rsidR="007F7304" w:rsidRPr="00047EC2">
          <w:rPr>
            <w:rStyle w:val="Hyperlink"/>
            <w:noProof/>
          </w:rPr>
          <w:t>Pastoviai augančių dividendų akcijų krepšelio rezultatai 1986-2006</w:t>
        </w:r>
        <w:r w:rsidR="007F7304">
          <w:rPr>
            <w:noProof/>
            <w:webHidden/>
          </w:rPr>
          <w:tab/>
        </w:r>
        <w:r>
          <w:rPr>
            <w:noProof/>
            <w:webHidden/>
          </w:rPr>
          <w:fldChar w:fldCharType="begin"/>
        </w:r>
        <w:r w:rsidR="007F7304">
          <w:rPr>
            <w:noProof/>
            <w:webHidden/>
          </w:rPr>
          <w:instrText xml:space="preserve"> PAGEREF _Toc343677823 \h </w:instrText>
        </w:r>
        <w:r>
          <w:rPr>
            <w:noProof/>
            <w:webHidden/>
          </w:rPr>
        </w:r>
        <w:r>
          <w:rPr>
            <w:noProof/>
            <w:webHidden/>
          </w:rPr>
          <w:fldChar w:fldCharType="separate"/>
        </w:r>
        <w:r w:rsidR="0009577F">
          <w:rPr>
            <w:noProof/>
            <w:webHidden/>
          </w:rPr>
          <w:t>26</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4" w:history="1">
        <w:r w:rsidR="007F7304" w:rsidRPr="00047EC2">
          <w:rPr>
            <w:rStyle w:val="Hyperlink"/>
            <w:noProof/>
          </w:rPr>
          <w:t>6 lentelė.</w:t>
        </w:r>
        <w:r w:rsidR="007F7304">
          <w:rPr>
            <w:rFonts w:asciiTheme="minorHAnsi" w:eastAsiaTheme="minorEastAsia" w:hAnsiTheme="minorHAnsi"/>
            <w:noProof/>
            <w:sz w:val="22"/>
            <w:lang w:eastAsia="lt-LT"/>
          </w:rPr>
          <w:tab/>
        </w:r>
        <w:r w:rsidR="007F7304" w:rsidRPr="00047EC2">
          <w:rPr>
            <w:rStyle w:val="Hyperlink"/>
            <w:noProof/>
          </w:rPr>
          <w:t>Pagrindinės dividendinių modelių metodinės koncepcijos ir tyrimo kriterijų aibės</w:t>
        </w:r>
        <w:r w:rsidR="007F7304">
          <w:rPr>
            <w:noProof/>
            <w:webHidden/>
          </w:rPr>
          <w:tab/>
        </w:r>
        <w:r>
          <w:rPr>
            <w:noProof/>
            <w:webHidden/>
          </w:rPr>
          <w:fldChar w:fldCharType="begin"/>
        </w:r>
        <w:r w:rsidR="007F7304">
          <w:rPr>
            <w:noProof/>
            <w:webHidden/>
          </w:rPr>
          <w:instrText xml:space="preserve"> PAGEREF _Toc343677824 \h </w:instrText>
        </w:r>
        <w:r>
          <w:rPr>
            <w:noProof/>
            <w:webHidden/>
          </w:rPr>
        </w:r>
        <w:r>
          <w:rPr>
            <w:noProof/>
            <w:webHidden/>
          </w:rPr>
          <w:fldChar w:fldCharType="separate"/>
        </w:r>
        <w:r w:rsidR="0009577F">
          <w:rPr>
            <w:noProof/>
            <w:webHidden/>
          </w:rPr>
          <w:t>29</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5" w:history="1">
        <w:r w:rsidR="007F7304" w:rsidRPr="00047EC2">
          <w:rPr>
            <w:rStyle w:val="Hyperlink"/>
            <w:noProof/>
          </w:rPr>
          <w:t>7 lentelė.</w:t>
        </w:r>
        <w:r w:rsidR="007F7304">
          <w:rPr>
            <w:rFonts w:asciiTheme="minorHAnsi" w:eastAsiaTheme="minorEastAsia" w:hAnsiTheme="minorHAnsi"/>
            <w:noProof/>
            <w:sz w:val="22"/>
            <w:lang w:eastAsia="lt-LT"/>
          </w:rPr>
          <w:tab/>
        </w:r>
        <w:r w:rsidR="007F7304" w:rsidRPr="00047EC2">
          <w:rPr>
            <w:rStyle w:val="Hyperlink"/>
            <w:noProof/>
          </w:rPr>
          <w:t>Analizuojami dividendų informacijos tipai ir dividendų politikos rodikliai</w:t>
        </w:r>
        <w:r w:rsidR="007F7304">
          <w:rPr>
            <w:noProof/>
            <w:webHidden/>
          </w:rPr>
          <w:tab/>
        </w:r>
        <w:r>
          <w:rPr>
            <w:noProof/>
            <w:webHidden/>
          </w:rPr>
          <w:fldChar w:fldCharType="begin"/>
        </w:r>
        <w:r w:rsidR="007F7304">
          <w:rPr>
            <w:noProof/>
            <w:webHidden/>
          </w:rPr>
          <w:instrText xml:space="preserve"> PAGEREF _Toc343677825 \h </w:instrText>
        </w:r>
        <w:r>
          <w:rPr>
            <w:noProof/>
            <w:webHidden/>
          </w:rPr>
        </w:r>
        <w:r>
          <w:rPr>
            <w:noProof/>
            <w:webHidden/>
          </w:rPr>
          <w:fldChar w:fldCharType="separate"/>
        </w:r>
        <w:r w:rsidR="0009577F">
          <w:rPr>
            <w:noProof/>
            <w:webHidden/>
          </w:rPr>
          <w:t>33</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6" w:history="1">
        <w:r w:rsidR="007F7304" w:rsidRPr="00047EC2">
          <w:rPr>
            <w:rStyle w:val="Hyperlink"/>
            <w:noProof/>
          </w:rPr>
          <w:t>8 lentelė.</w:t>
        </w:r>
        <w:r w:rsidR="007F7304">
          <w:rPr>
            <w:rFonts w:asciiTheme="minorHAnsi" w:eastAsiaTheme="minorEastAsia" w:hAnsiTheme="minorHAnsi"/>
            <w:noProof/>
            <w:sz w:val="22"/>
            <w:lang w:eastAsia="lt-LT"/>
          </w:rPr>
          <w:tab/>
        </w:r>
        <w:r w:rsidR="007F7304" w:rsidRPr="00047EC2">
          <w:rPr>
            <w:rStyle w:val="Hyperlink"/>
            <w:noProof/>
          </w:rPr>
          <w:t>Analizuojami dividendų paskelbimo įvykio periodai ir analizės tikslai</w:t>
        </w:r>
        <w:r w:rsidR="007F7304">
          <w:rPr>
            <w:noProof/>
            <w:webHidden/>
          </w:rPr>
          <w:tab/>
        </w:r>
        <w:r>
          <w:rPr>
            <w:noProof/>
            <w:webHidden/>
          </w:rPr>
          <w:fldChar w:fldCharType="begin"/>
        </w:r>
        <w:r w:rsidR="007F7304">
          <w:rPr>
            <w:noProof/>
            <w:webHidden/>
          </w:rPr>
          <w:instrText xml:space="preserve"> PAGEREF _Toc343677826 \h </w:instrText>
        </w:r>
        <w:r>
          <w:rPr>
            <w:noProof/>
            <w:webHidden/>
          </w:rPr>
        </w:r>
        <w:r>
          <w:rPr>
            <w:noProof/>
            <w:webHidden/>
          </w:rPr>
          <w:fldChar w:fldCharType="separate"/>
        </w:r>
        <w:r w:rsidR="0009577F">
          <w:rPr>
            <w:noProof/>
            <w:webHidden/>
          </w:rPr>
          <w:t>34</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7" w:history="1">
        <w:r w:rsidR="007F7304" w:rsidRPr="00047EC2">
          <w:rPr>
            <w:rStyle w:val="Hyperlink"/>
            <w:noProof/>
          </w:rPr>
          <w:t>9 lentelė.</w:t>
        </w:r>
        <w:r w:rsidR="007F7304">
          <w:rPr>
            <w:rFonts w:asciiTheme="minorHAnsi" w:eastAsiaTheme="minorEastAsia" w:hAnsiTheme="minorHAnsi"/>
            <w:noProof/>
            <w:sz w:val="22"/>
            <w:lang w:eastAsia="lt-LT"/>
          </w:rPr>
          <w:tab/>
        </w:r>
        <w:r w:rsidR="007F7304" w:rsidRPr="00047EC2">
          <w:rPr>
            <w:rStyle w:val="Hyperlink"/>
            <w:noProof/>
          </w:rPr>
          <w:t>Apibendrinta formuojamo dividendinio investavimo modelio kriterijų aibė</w:t>
        </w:r>
        <w:r w:rsidR="007F7304">
          <w:rPr>
            <w:noProof/>
            <w:webHidden/>
          </w:rPr>
          <w:tab/>
        </w:r>
        <w:r>
          <w:rPr>
            <w:noProof/>
            <w:webHidden/>
          </w:rPr>
          <w:fldChar w:fldCharType="begin"/>
        </w:r>
        <w:r w:rsidR="007F7304">
          <w:rPr>
            <w:noProof/>
            <w:webHidden/>
          </w:rPr>
          <w:instrText xml:space="preserve"> PAGEREF _Toc343677827 \h </w:instrText>
        </w:r>
        <w:r>
          <w:rPr>
            <w:noProof/>
            <w:webHidden/>
          </w:rPr>
        </w:r>
        <w:r>
          <w:rPr>
            <w:noProof/>
            <w:webHidden/>
          </w:rPr>
          <w:fldChar w:fldCharType="separate"/>
        </w:r>
        <w:r w:rsidR="0009577F">
          <w:rPr>
            <w:noProof/>
            <w:webHidden/>
          </w:rPr>
          <w:t>45</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8" w:history="1">
        <w:r w:rsidR="007F7304" w:rsidRPr="00047EC2">
          <w:rPr>
            <w:rStyle w:val="Hyperlink"/>
            <w:noProof/>
          </w:rPr>
          <w:t>10 lentelė.</w:t>
        </w:r>
        <w:r w:rsidR="007F7304">
          <w:rPr>
            <w:rFonts w:asciiTheme="minorHAnsi" w:eastAsiaTheme="minorEastAsia" w:hAnsiTheme="minorHAnsi"/>
            <w:noProof/>
            <w:sz w:val="22"/>
            <w:lang w:eastAsia="lt-LT"/>
          </w:rPr>
          <w:tab/>
        </w:r>
        <w:r w:rsidR="007F7304" w:rsidRPr="00047EC2">
          <w:rPr>
            <w:rStyle w:val="Hyperlink"/>
            <w:noProof/>
          </w:rPr>
          <w:t>Koreliacinio ryšio reikšmės ir kokybinė interpretacija</w:t>
        </w:r>
        <w:r w:rsidR="007F7304">
          <w:rPr>
            <w:noProof/>
            <w:webHidden/>
          </w:rPr>
          <w:tab/>
        </w:r>
        <w:r>
          <w:rPr>
            <w:noProof/>
            <w:webHidden/>
          </w:rPr>
          <w:fldChar w:fldCharType="begin"/>
        </w:r>
        <w:r w:rsidR="007F7304">
          <w:rPr>
            <w:noProof/>
            <w:webHidden/>
          </w:rPr>
          <w:instrText xml:space="preserve"> PAGEREF _Toc343677828 \h </w:instrText>
        </w:r>
        <w:r>
          <w:rPr>
            <w:noProof/>
            <w:webHidden/>
          </w:rPr>
        </w:r>
        <w:r>
          <w:rPr>
            <w:noProof/>
            <w:webHidden/>
          </w:rPr>
          <w:fldChar w:fldCharType="separate"/>
        </w:r>
        <w:r w:rsidR="0009577F">
          <w:rPr>
            <w:noProof/>
            <w:webHidden/>
          </w:rPr>
          <w:t>48</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29" w:history="1">
        <w:r w:rsidR="007F7304" w:rsidRPr="00047EC2">
          <w:rPr>
            <w:rStyle w:val="Hyperlink"/>
            <w:noProof/>
          </w:rPr>
          <w:t>11 lentelė.</w:t>
        </w:r>
        <w:r w:rsidR="007F7304">
          <w:rPr>
            <w:rFonts w:asciiTheme="minorHAnsi" w:eastAsiaTheme="minorEastAsia" w:hAnsiTheme="minorHAnsi"/>
            <w:noProof/>
            <w:sz w:val="22"/>
            <w:lang w:eastAsia="lt-LT"/>
          </w:rPr>
          <w:tab/>
        </w:r>
        <w:r w:rsidR="007F7304" w:rsidRPr="00047EC2">
          <w:rPr>
            <w:rStyle w:val="Hyperlink"/>
            <w:noProof/>
          </w:rPr>
          <w:t>Nereprezentatyvioji ir reprezentatyvioji tyrimo imtys</w:t>
        </w:r>
        <w:r w:rsidR="007F7304">
          <w:rPr>
            <w:noProof/>
            <w:webHidden/>
          </w:rPr>
          <w:tab/>
        </w:r>
        <w:r>
          <w:rPr>
            <w:noProof/>
            <w:webHidden/>
          </w:rPr>
          <w:fldChar w:fldCharType="begin"/>
        </w:r>
        <w:r w:rsidR="007F7304">
          <w:rPr>
            <w:noProof/>
            <w:webHidden/>
          </w:rPr>
          <w:instrText xml:space="preserve"> PAGEREF _Toc343677829 \h </w:instrText>
        </w:r>
        <w:r>
          <w:rPr>
            <w:noProof/>
            <w:webHidden/>
          </w:rPr>
        </w:r>
        <w:r>
          <w:rPr>
            <w:noProof/>
            <w:webHidden/>
          </w:rPr>
          <w:fldChar w:fldCharType="separate"/>
        </w:r>
        <w:r w:rsidR="0009577F">
          <w:rPr>
            <w:noProof/>
            <w:webHidden/>
          </w:rPr>
          <w:t>51</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0" w:history="1">
        <w:r w:rsidR="007F7304" w:rsidRPr="00047EC2">
          <w:rPr>
            <w:rStyle w:val="Hyperlink"/>
            <w:noProof/>
          </w:rPr>
          <w:t>12 lentelė.</w:t>
        </w:r>
        <w:r w:rsidR="007F7304">
          <w:rPr>
            <w:rFonts w:asciiTheme="minorHAnsi" w:eastAsiaTheme="minorEastAsia" w:hAnsiTheme="minorHAnsi"/>
            <w:noProof/>
            <w:sz w:val="22"/>
            <w:lang w:eastAsia="lt-LT"/>
          </w:rPr>
          <w:tab/>
        </w:r>
        <w:r w:rsidR="007F7304" w:rsidRPr="00047EC2">
          <w:rPr>
            <w:rStyle w:val="Hyperlink"/>
            <w:noProof/>
          </w:rPr>
          <w:t>Analizuojamų dividendinių akcijų svoriai ir veiklos sektoriai Baltijos rinkoje</w:t>
        </w:r>
        <w:r w:rsidR="007F7304">
          <w:rPr>
            <w:noProof/>
            <w:webHidden/>
          </w:rPr>
          <w:tab/>
        </w:r>
        <w:r>
          <w:rPr>
            <w:noProof/>
            <w:webHidden/>
          </w:rPr>
          <w:fldChar w:fldCharType="begin"/>
        </w:r>
        <w:r w:rsidR="007F7304">
          <w:rPr>
            <w:noProof/>
            <w:webHidden/>
          </w:rPr>
          <w:instrText xml:space="preserve"> PAGEREF _Toc343677830 \h </w:instrText>
        </w:r>
        <w:r>
          <w:rPr>
            <w:noProof/>
            <w:webHidden/>
          </w:rPr>
        </w:r>
        <w:r>
          <w:rPr>
            <w:noProof/>
            <w:webHidden/>
          </w:rPr>
          <w:fldChar w:fldCharType="separate"/>
        </w:r>
        <w:r w:rsidR="0009577F">
          <w:rPr>
            <w:noProof/>
            <w:webHidden/>
          </w:rPr>
          <w:t>52</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1" w:history="1">
        <w:r w:rsidR="007F7304" w:rsidRPr="00047EC2">
          <w:rPr>
            <w:rStyle w:val="Hyperlink"/>
            <w:noProof/>
            <w:lang w:val="en-US"/>
          </w:rPr>
          <w:t>13 lentelė.</w:t>
        </w:r>
        <w:r w:rsidR="007F7304">
          <w:rPr>
            <w:rFonts w:asciiTheme="minorHAnsi" w:eastAsiaTheme="minorEastAsia" w:hAnsiTheme="minorHAnsi"/>
            <w:noProof/>
            <w:sz w:val="22"/>
            <w:lang w:eastAsia="lt-LT"/>
          </w:rPr>
          <w:tab/>
        </w:r>
        <w:r w:rsidR="007F7304" w:rsidRPr="00047EC2">
          <w:rPr>
            <w:rStyle w:val="Hyperlink"/>
            <w:noProof/>
            <w:lang w:val="en-US"/>
          </w:rPr>
          <w:t>Pagrindiniai Baltijos šalių dividendinių įmonių dividendų politikos rodikliai 2012 metais</w:t>
        </w:r>
        <w:r w:rsidR="007F7304">
          <w:rPr>
            <w:noProof/>
            <w:webHidden/>
          </w:rPr>
          <w:tab/>
        </w:r>
        <w:r>
          <w:rPr>
            <w:noProof/>
            <w:webHidden/>
          </w:rPr>
          <w:fldChar w:fldCharType="begin"/>
        </w:r>
        <w:r w:rsidR="007F7304">
          <w:rPr>
            <w:noProof/>
            <w:webHidden/>
          </w:rPr>
          <w:instrText xml:space="preserve"> PAGEREF _Toc343677831 \h </w:instrText>
        </w:r>
        <w:r>
          <w:rPr>
            <w:noProof/>
            <w:webHidden/>
          </w:rPr>
        </w:r>
        <w:r>
          <w:rPr>
            <w:noProof/>
            <w:webHidden/>
          </w:rPr>
          <w:fldChar w:fldCharType="separate"/>
        </w:r>
        <w:r w:rsidR="0009577F">
          <w:rPr>
            <w:noProof/>
            <w:webHidden/>
          </w:rPr>
          <w:t>55</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2" w:history="1">
        <w:r w:rsidR="007F7304" w:rsidRPr="00047EC2">
          <w:rPr>
            <w:rStyle w:val="Hyperlink"/>
            <w:noProof/>
          </w:rPr>
          <w:t>14 lentelė.</w:t>
        </w:r>
        <w:r w:rsidR="007F7304">
          <w:rPr>
            <w:rFonts w:asciiTheme="minorHAnsi" w:eastAsiaTheme="minorEastAsia" w:hAnsiTheme="minorHAnsi"/>
            <w:noProof/>
            <w:sz w:val="22"/>
            <w:lang w:eastAsia="lt-LT"/>
          </w:rPr>
          <w:tab/>
        </w:r>
        <w:r w:rsidR="007F7304" w:rsidRPr="00047EC2">
          <w:rPr>
            <w:rStyle w:val="Hyperlink"/>
            <w:noProof/>
          </w:rPr>
          <w:t>Vidutiniai dividendų ir dividendų pajamingumo rodikliai Baltijos šalyse 2008-2012</w:t>
        </w:r>
        <w:r w:rsidR="007F7304">
          <w:rPr>
            <w:noProof/>
            <w:webHidden/>
          </w:rPr>
          <w:tab/>
        </w:r>
        <w:r>
          <w:rPr>
            <w:noProof/>
            <w:webHidden/>
          </w:rPr>
          <w:fldChar w:fldCharType="begin"/>
        </w:r>
        <w:r w:rsidR="007F7304">
          <w:rPr>
            <w:noProof/>
            <w:webHidden/>
          </w:rPr>
          <w:instrText xml:space="preserve"> PAGEREF _Toc343677832 \h </w:instrText>
        </w:r>
        <w:r>
          <w:rPr>
            <w:noProof/>
            <w:webHidden/>
          </w:rPr>
        </w:r>
        <w:r>
          <w:rPr>
            <w:noProof/>
            <w:webHidden/>
          </w:rPr>
          <w:fldChar w:fldCharType="separate"/>
        </w:r>
        <w:r w:rsidR="0009577F">
          <w:rPr>
            <w:noProof/>
            <w:webHidden/>
          </w:rPr>
          <w:t>57</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3" w:history="1">
        <w:r w:rsidR="007F7304" w:rsidRPr="00047EC2">
          <w:rPr>
            <w:rStyle w:val="Hyperlink"/>
            <w:noProof/>
          </w:rPr>
          <w:t>15 lentelė.</w:t>
        </w:r>
        <w:r w:rsidR="007F7304">
          <w:rPr>
            <w:rFonts w:asciiTheme="minorHAnsi" w:eastAsiaTheme="minorEastAsia" w:hAnsiTheme="minorHAnsi"/>
            <w:noProof/>
            <w:sz w:val="22"/>
            <w:lang w:eastAsia="lt-LT"/>
          </w:rPr>
          <w:tab/>
        </w:r>
        <w:r w:rsidR="007F7304" w:rsidRPr="00047EC2">
          <w:rPr>
            <w:rStyle w:val="Hyperlink"/>
            <w:noProof/>
          </w:rPr>
          <w:t>Dividendinės informacijos įtaka akcijų pelningumui dividendų paskelbimo dienomis</w:t>
        </w:r>
        <w:r w:rsidR="007F7304">
          <w:rPr>
            <w:noProof/>
            <w:webHidden/>
          </w:rPr>
          <w:tab/>
        </w:r>
        <w:r>
          <w:rPr>
            <w:noProof/>
            <w:webHidden/>
          </w:rPr>
          <w:fldChar w:fldCharType="begin"/>
        </w:r>
        <w:r w:rsidR="007F7304">
          <w:rPr>
            <w:noProof/>
            <w:webHidden/>
          </w:rPr>
          <w:instrText xml:space="preserve"> PAGEREF _Toc343677833 \h </w:instrText>
        </w:r>
        <w:r>
          <w:rPr>
            <w:noProof/>
            <w:webHidden/>
          </w:rPr>
        </w:r>
        <w:r>
          <w:rPr>
            <w:noProof/>
            <w:webHidden/>
          </w:rPr>
          <w:fldChar w:fldCharType="separate"/>
        </w:r>
        <w:r w:rsidR="0009577F">
          <w:rPr>
            <w:noProof/>
            <w:webHidden/>
          </w:rPr>
          <w:t>59</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4" w:history="1">
        <w:r w:rsidR="007F7304" w:rsidRPr="00047EC2">
          <w:rPr>
            <w:rStyle w:val="Hyperlink"/>
            <w:noProof/>
          </w:rPr>
          <w:t>16 lentelė.</w:t>
        </w:r>
        <w:r w:rsidR="007F7304">
          <w:rPr>
            <w:rFonts w:asciiTheme="minorHAnsi" w:eastAsiaTheme="minorEastAsia" w:hAnsiTheme="minorHAnsi"/>
            <w:noProof/>
            <w:sz w:val="22"/>
            <w:lang w:eastAsia="lt-LT"/>
          </w:rPr>
          <w:tab/>
        </w:r>
        <w:r w:rsidR="007F7304" w:rsidRPr="00047EC2">
          <w:rPr>
            <w:rStyle w:val="Hyperlink"/>
            <w:noProof/>
          </w:rPr>
          <w:t>Dividendinės informacijos įtaka akcijų pelningumui, įvertinus rinkos rizikos faktorių</w:t>
        </w:r>
        <w:r w:rsidR="007F7304">
          <w:rPr>
            <w:noProof/>
            <w:webHidden/>
          </w:rPr>
          <w:tab/>
        </w:r>
        <w:r>
          <w:rPr>
            <w:noProof/>
            <w:webHidden/>
          </w:rPr>
          <w:fldChar w:fldCharType="begin"/>
        </w:r>
        <w:r w:rsidR="007F7304">
          <w:rPr>
            <w:noProof/>
            <w:webHidden/>
          </w:rPr>
          <w:instrText xml:space="preserve"> PAGEREF _Toc343677834 \h </w:instrText>
        </w:r>
        <w:r>
          <w:rPr>
            <w:noProof/>
            <w:webHidden/>
          </w:rPr>
        </w:r>
        <w:r>
          <w:rPr>
            <w:noProof/>
            <w:webHidden/>
          </w:rPr>
          <w:fldChar w:fldCharType="separate"/>
        </w:r>
        <w:r w:rsidR="0009577F">
          <w:rPr>
            <w:noProof/>
            <w:webHidden/>
          </w:rPr>
          <w:t>60</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5" w:history="1">
        <w:r w:rsidR="007F7304" w:rsidRPr="00047EC2">
          <w:rPr>
            <w:rStyle w:val="Hyperlink"/>
            <w:noProof/>
          </w:rPr>
          <w:t>17 lentelė.</w:t>
        </w:r>
        <w:r w:rsidR="007F7304">
          <w:rPr>
            <w:rFonts w:asciiTheme="minorHAnsi" w:eastAsiaTheme="minorEastAsia" w:hAnsiTheme="minorHAnsi"/>
            <w:noProof/>
            <w:sz w:val="22"/>
            <w:lang w:eastAsia="lt-LT"/>
          </w:rPr>
          <w:tab/>
        </w:r>
        <w:r w:rsidR="007F7304" w:rsidRPr="00047EC2">
          <w:rPr>
            <w:rStyle w:val="Hyperlink"/>
            <w:noProof/>
          </w:rPr>
          <w:t>Dividendinio pajamingumo pokyčio įtaka akcijų pelningumui, įvertinus rinkos riziką</w:t>
        </w:r>
        <w:r w:rsidR="007F7304">
          <w:rPr>
            <w:noProof/>
            <w:webHidden/>
          </w:rPr>
          <w:tab/>
        </w:r>
        <w:r>
          <w:rPr>
            <w:noProof/>
            <w:webHidden/>
          </w:rPr>
          <w:fldChar w:fldCharType="begin"/>
        </w:r>
        <w:r w:rsidR="007F7304">
          <w:rPr>
            <w:noProof/>
            <w:webHidden/>
          </w:rPr>
          <w:instrText xml:space="preserve"> PAGEREF _Toc343677835 \h </w:instrText>
        </w:r>
        <w:r>
          <w:rPr>
            <w:noProof/>
            <w:webHidden/>
          </w:rPr>
        </w:r>
        <w:r>
          <w:rPr>
            <w:noProof/>
            <w:webHidden/>
          </w:rPr>
          <w:fldChar w:fldCharType="separate"/>
        </w:r>
        <w:r w:rsidR="0009577F">
          <w:rPr>
            <w:noProof/>
            <w:webHidden/>
          </w:rPr>
          <w:t>62</w:t>
        </w:r>
        <w:r>
          <w:rPr>
            <w:noProof/>
            <w:webHidden/>
          </w:rPr>
          <w:fldChar w:fldCharType="end"/>
        </w:r>
      </w:hyperlink>
    </w:p>
    <w:p w:rsidR="007F7304" w:rsidRDefault="00EC7800">
      <w:pPr>
        <w:pStyle w:val="TableofFigures"/>
        <w:tabs>
          <w:tab w:val="left" w:pos="1440"/>
          <w:tab w:val="right" w:leader="dot" w:pos="9911"/>
        </w:tabs>
        <w:rPr>
          <w:rFonts w:asciiTheme="minorHAnsi" w:eastAsiaTheme="minorEastAsia" w:hAnsiTheme="minorHAnsi"/>
          <w:noProof/>
          <w:sz w:val="22"/>
          <w:lang w:eastAsia="lt-LT"/>
        </w:rPr>
      </w:pPr>
      <w:hyperlink w:anchor="_Toc343677836" w:history="1">
        <w:r w:rsidR="007F7304" w:rsidRPr="00047EC2">
          <w:rPr>
            <w:rStyle w:val="Hyperlink"/>
            <w:noProof/>
          </w:rPr>
          <w:t>18 lentelė.</w:t>
        </w:r>
        <w:r w:rsidR="007F7304">
          <w:rPr>
            <w:rFonts w:asciiTheme="minorHAnsi" w:eastAsiaTheme="minorEastAsia" w:hAnsiTheme="minorHAnsi"/>
            <w:noProof/>
            <w:sz w:val="22"/>
            <w:lang w:eastAsia="lt-LT"/>
          </w:rPr>
          <w:tab/>
        </w:r>
        <w:r w:rsidR="007F7304" w:rsidRPr="00047EC2">
          <w:rPr>
            <w:rStyle w:val="Hyperlink"/>
            <w:noProof/>
          </w:rPr>
          <w:t>Dividendų pajamingumo pokyčio įtaka akcijų pelningumui skirtingais prekybos intervalais</w:t>
        </w:r>
        <w:r w:rsidR="007F7304">
          <w:rPr>
            <w:noProof/>
            <w:webHidden/>
          </w:rPr>
          <w:tab/>
        </w:r>
        <w:r w:rsidR="007F7304">
          <w:rPr>
            <w:noProof/>
            <w:webHidden/>
          </w:rPr>
          <w:tab/>
        </w:r>
        <w:r w:rsidR="007F7304">
          <w:rPr>
            <w:noProof/>
            <w:webHidden/>
          </w:rPr>
          <w:tab/>
        </w:r>
        <w:r>
          <w:rPr>
            <w:noProof/>
            <w:webHidden/>
          </w:rPr>
          <w:fldChar w:fldCharType="begin"/>
        </w:r>
        <w:r w:rsidR="007F7304">
          <w:rPr>
            <w:noProof/>
            <w:webHidden/>
          </w:rPr>
          <w:instrText xml:space="preserve"> PAGEREF _Toc343677836 \h </w:instrText>
        </w:r>
        <w:r>
          <w:rPr>
            <w:noProof/>
            <w:webHidden/>
          </w:rPr>
        </w:r>
        <w:r>
          <w:rPr>
            <w:noProof/>
            <w:webHidden/>
          </w:rPr>
          <w:fldChar w:fldCharType="separate"/>
        </w:r>
        <w:r w:rsidR="0009577F">
          <w:rPr>
            <w:noProof/>
            <w:webHidden/>
          </w:rPr>
          <w:t>65</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7" w:history="1">
        <w:r w:rsidR="007F7304" w:rsidRPr="00047EC2">
          <w:rPr>
            <w:rStyle w:val="Hyperlink"/>
            <w:noProof/>
          </w:rPr>
          <w:t>19 lentelė.</w:t>
        </w:r>
        <w:r w:rsidR="007F7304">
          <w:rPr>
            <w:rFonts w:asciiTheme="minorHAnsi" w:eastAsiaTheme="minorEastAsia" w:hAnsiTheme="minorHAnsi"/>
            <w:noProof/>
            <w:sz w:val="22"/>
            <w:lang w:eastAsia="lt-LT"/>
          </w:rPr>
          <w:tab/>
        </w:r>
        <w:r w:rsidR="007F7304" w:rsidRPr="00047EC2">
          <w:rPr>
            <w:rStyle w:val="Hyperlink"/>
            <w:noProof/>
          </w:rPr>
          <w:t>Sudėtinių pelningumų skirtumai tarp priešingos informacijos naujienų grupių</w:t>
        </w:r>
        <w:r w:rsidR="007F7304">
          <w:rPr>
            <w:noProof/>
            <w:webHidden/>
          </w:rPr>
          <w:tab/>
        </w:r>
        <w:r>
          <w:rPr>
            <w:noProof/>
            <w:webHidden/>
          </w:rPr>
          <w:fldChar w:fldCharType="begin"/>
        </w:r>
        <w:r w:rsidR="007F7304">
          <w:rPr>
            <w:noProof/>
            <w:webHidden/>
          </w:rPr>
          <w:instrText xml:space="preserve"> PAGEREF _Toc343677837 \h </w:instrText>
        </w:r>
        <w:r>
          <w:rPr>
            <w:noProof/>
            <w:webHidden/>
          </w:rPr>
        </w:r>
        <w:r>
          <w:rPr>
            <w:noProof/>
            <w:webHidden/>
          </w:rPr>
          <w:fldChar w:fldCharType="separate"/>
        </w:r>
        <w:r w:rsidR="0009577F">
          <w:rPr>
            <w:noProof/>
            <w:webHidden/>
          </w:rPr>
          <w:t>67</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8" w:history="1">
        <w:r w:rsidR="007F7304" w:rsidRPr="00047EC2">
          <w:rPr>
            <w:rStyle w:val="Hyperlink"/>
            <w:noProof/>
          </w:rPr>
          <w:t>20 lentelė.</w:t>
        </w:r>
        <w:r w:rsidR="007F7304">
          <w:rPr>
            <w:rFonts w:asciiTheme="minorHAnsi" w:eastAsiaTheme="minorEastAsia" w:hAnsiTheme="minorHAnsi"/>
            <w:noProof/>
            <w:sz w:val="22"/>
            <w:lang w:eastAsia="lt-LT"/>
          </w:rPr>
          <w:tab/>
        </w:r>
        <w:r w:rsidR="007F7304" w:rsidRPr="00047EC2">
          <w:rPr>
            <w:rStyle w:val="Hyperlink"/>
            <w:noProof/>
          </w:rPr>
          <w:t>Apskaičiuotų dividendinio modelio rodiklių aprašomoji statistika</w:t>
        </w:r>
        <w:r w:rsidR="007F7304">
          <w:rPr>
            <w:noProof/>
            <w:webHidden/>
          </w:rPr>
          <w:tab/>
        </w:r>
        <w:r>
          <w:rPr>
            <w:noProof/>
            <w:webHidden/>
          </w:rPr>
          <w:fldChar w:fldCharType="begin"/>
        </w:r>
        <w:r w:rsidR="007F7304">
          <w:rPr>
            <w:noProof/>
            <w:webHidden/>
          </w:rPr>
          <w:instrText xml:space="preserve"> PAGEREF _Toc343677838 \h </w:instrText>
        </w:r>
        <w:r>
          <w:rPr>
            <w:noProof/>
            <w:webHidden/>
          </w:rPr>
        </w:r>
        <w:r>
          <w:rPr>
            <w:noProof/>
            <w:webHidden/>
          </w:rPr>
          <w:fldChar w:fldCharType="separate"/>
        </w:r>
        <w:r w:rsidR="0009577F">
          <w:rPr>
            <w:noProof/>
            <w:webHidden/>
          </w:rPr>
          <w:t>69</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39" w:history="1">
        <w:r w:rsidR="007F7304" w:rsidRPr="00047EC2">
          <w:rPr>
            <w:rStyle w:val="Hyperlink"/>
            <w:noProof/>
          </w:rPr>
          <w:t>21 lentelė.</w:t>
        </w:r>
        <w:r w:rsidR="007F7304">
          <w:rPr>
            <w:rFonts w:asciiTheme="minorHAnsi" w:eastAsiaTheme="minorEastAsia" w:hAnsiTheme="minorHAnsi"/>
            <w:noProof/>
            <w:sz w:val="22"/>
            <w:lang w:eastAsia="lt-LT"/>
          </w:rPr>
          <w:tab/>
        </w:r>
        <w:r w:rsidR="007F7304" w:rsidRPr="00047EC2">
          <w:rPr>
            <w:rStyle w:val="Hyperlink"/>
            <w:noProof/>
          </w:rPr>
          <w:t>Pagrindinių tyrimo kintamųjų koreliacinė matrica ir numatomas tyrimo pagrindas</w:t>
        </w:r>
        <w:r w:rsidR="007F7304">
          <w:rPr>
            <w:noProof/>
            <w:webHidden/>
          </w:rPr>
          <w:tab/>
        </w:r>
        <w:r>
          <w:rPr>
            <w:noProof/>
            <w:webHidden/>
          </w:rPr>
          <w:fldChar w:fldCharType="begin"/>
        </w:r>
        <w:r w:rsidR="007F7304">
          <w:rPr>
            <w:noProof/>
            <w:webHidden/>
          </w:rPr>
          <w:instrText xml:space="preserve"> PAGEREF _Toc343677839 \h </w:instrText>
        </w:r>
        <w:r>
          <w:rPr>
            <w:noProof/>
            <w:webHidden/>
          </w:rPr>
        </w:r>
        <w:r>
          <w:rPr>
            <w:noProof/>
            <w:webHidden/>
          </w:rPr>
          <w:fldChar w:fldCharType="separate"/>
        </w:r>
        <w:r w:rsidR="0009577F">
          <w:rPr>
            <w:noProof/>
            <w:webHidden/>
          </w:rPr>
          <w:t>72</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0" w:history="1">
        <w:r w:rsidR="007F7304" w:rsidRPr="00047EC2">
          <w:rPr>
            <w:rStyle w:val="Hyperlink"/>
            <w:noProof/>
          </w:rPr>
          <w:t>22 lentelė.</w:t>
        </w:r>
        <w:r w:rsidR="007F7304">
          <w:rPr>
            <w:rFonts w:asciiTheme="minorHAnsi" w:eastAsiaTheme="minorEastAsia" w:hAnsiTheme="minorHAnsi"/>
            <w:noProof/>
            <w:sz w:val="22"/>
            <w:lang w:eastAsia="lt-LT"/>
          </w:rPr>
          <w:tab/>
        </w:r>
        <w:r w:rsidR="007F7304" w:rsidRPr="00047EC2">
          <w:rPr>
            <w:rStyle w:val="Hyperlink"/>
            <w:noProof/>
          </w:rPr>
          <w:t>Nepriklausomų ir priklausomų tyrimo kintamųjų koreliacinė matrica</w:t>
        </w:r>
        <w:r w:rsidR="007F7304">
          <w:rPr>
            <w:noProof/>
            <w:webHidden/>
          </w:rPr>
          <w:tab/>
        </w:r>
        <w:r>
          <w:rPr>
            <w:noProof/>
            <w:webHidden/>
          </w:rPr>
          <w:fldChar w:fldCharType="begin"/>
        </w:r>
        <w:r w:rsidR="007F7304">
          <w:rPr>
            <w:noProof/>
            <w:webHidden/>
          </w:rPr>
          <w:instrText xml:space="preserve"> PAGEREF _Toc343677840 \h </w:instrText>
        </w:r>
        <w:r>
          <w:rPr>
            <w:noProof/>
            <w:webHidden/>
          </w:rPr>
        </w:r>
        <w:r>
          <w:rPr>
            <w:noProof/>
            <w:webHidden/>
          </w:rPr>
          <w:fldChar w:fldCharType="separate"/>
        </w:r>
        <w:r w:rsidR="0009577F">
          <w:rPr>
            <w:noProof/>
            <w:webHidden/>
          </w:rPr>
          <w:t>72</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1" w:history="1">
        <w:r w:rsidR="007F7304" w:rsidRPr="00047EC2">
          <w:rPr>
            <w:rStyle w:val="Hyperlink"/>
            <w:noProof/>
          </w:rPr>
          <w:t>23 lentelė.</w:t>
        </w:r>
        <w:r w:rsidR="007F7304">
          <w:rPr>
            <w:rFonts w:asciiTheme="minorHAnsi" w:eastAsiaTheme="minorEastAsia" w:hAnsiTheme="minorHAnsi"/>
            <w:noProof/>
            <w:sz w:val="22"/>
            <w:lang w:eastAsia="lt-LT"/>
          </w:rPr>
          <w:tab/>
        </w:r>
        <w:r w:rsidR="007F7304" w:rsidRPr="00047EC2">
          <w:rPr>
            <w:rStyle w:val="Hyperlink"/>
            <w:noProof/>
          </w:rPr>
          <w:t>CAAR[-3;1] kriterijaus fiksuoto ir atsitiktinio efekto modelių charakteristikos</w:t>
        </w:r>
        <w:r w:rsidR="007F7304">
          <w:rPr>
            <w:noProof/>
            <w:webHidden/>
          </w:rPr>
          <w:tab/>
        </w:r>
        <w:r>
          <w:rPr>
            <w:noProof/>
            <w:webHidden/>
          </w:rPr>
          <w:fldChar w:fldCharType="begin"/>
        </w:r>
        <w:r w:rsidR="007F7304">
          <w:rPr>
            <w:noProof/>
            <w:webHidden/>
          </w:rPr>
          <w:instrText xml:space="preserve"> PAGEREF _Toc343677841 \h </w:instrText>
        </w:r>
        <w:r>
          <w:rPr>
            <w:noProof/>
            <w:webHidden/>
          </w:rPr>
        </w:r>
        <w:r>
          <w:rPr>
            <w:noProof/>
            <w:webHidden/>
          </w:rPr>
          <w:fldChar w:fldCharType="separate"/>
        </w:r>
        <w:r w:rsidR="0009577F">
          <w:rPr>
            <w:noProof/>
            <w:webHidden/>
          </w:rPr>
          <w:t>75</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2" w:history="1">
        <w:r w:rsidR="007F7304" w:rsidRPr="00047EC2">
          <w:rPr>
            <w:rStyle w:val="Hyperlink"/>
            <w:noProof/>
          </w:rPr>
          <w:t>24 lentelė.</w:t>
        </w:r>
        <w:r w:rsidR="007F7304">
          <w:rPr>
            <w:rFonts w:asciiTheme="minorHAnsi" w:eastAsiaTheme="minorEastAsia" w:hAnsiTheme="minorHAnsi"/>
            <w:noProof/>
            <w:sz w:val="22"/>
            <w:lang w:eastAsia="lt-LT"/>
          </w:rPr>
          <w:tab/>
        </w:r>
        <w:r w:rsidR="007F7304" w:rsidRPr="00047EC2">
          <w:rPr>
            <w:rStyle w:val="Hyperlink"/>
            <w:noProof/>
          </w:rPr>
          <w:t>AAR(0) kriterijaus fiksuoto ir atsitiktinio efekto modelių charakteristikos</w:t>
        </w:r>
        <w:r w:rsidR="007F7304">
          <w:rPr>
            <w:noProof/>
            <w:webHidden/>
          </w:rPr>
          <w:tab/>
        </w:r>
        <w:r>
          <w:rPr>
            <w:noProof/>
            <w:webHidden/>
          </w:rPr>
          <w:fldChar w:fldCharType="begin"/>
        </w:r>
        <w:r w:rsidR="007F7304">
          <w:rPr>
            <w:noProof/>
            <w:webHidden/>
          </w:rPr>
          <w:instrText xml:space="preserve"> PAGEREF _Toc343677842 \h </w:instrText>
        </w:r>
        <w:r>
          <w:rPr>
            <w:noProof/>
            <w:webHidden/>
          </w:rPr>
        </w:r>
        <w:r>
          <w:rPr>
            <w:noProof/>
            <w:webHidden/>
          </w:rPr>
          <w:fldChar w:fldCharType="separate"/>
        </w:r>
        <w:r w:rsidR="0009577F">
          <w:rPr>
            <w:noProof/>
            <w:webHidden/>
          </w:rPr>
          <w:t>78</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3" w:history="1">
        <w:r w:rsidR="007F7304" w:rsidRPr="00047EC2">
          <w:rPr>
            <w:rStyle w:val="Hyperlink"/>
            <w:noProof/>
          </w:rPr>
          <w:t>25 lentelė.</w:t>
        </w:r>
        <w:r w:rsidR="007F7304">
          <w:rPr>
            <w:rFonts w:asciiTheme="minorHAnsi" w:eastAsiaTheme="minorEastAsia" w:hAnsiTheme="minorHAnsi"/>
            <w:noProof/>
            <w:sz w:val="22"/>
            <w:lang w:eastAsia="lt-LT"/>
          </w:rPr>
          <w:tab/>
        </w:r>
        <w:r w:rsidR="007F7304" w:rsidRPr="00047EC2">
          <w:rPr>
            <w:rStyle w:val="Hyperlink"/>
            <w:noProof/>
          </w:rPr>
          <w:t>CAAR[0;5] kriterijaus fiksuoto ir atsitiktinio efekto modelių charakteristikos</w:t>
        </w:r>
        <w:r w:rsidR="007F7304">
          <w:rPr>
            <w:noProof/>
            <w:webHidden/>
          </w:rPr>
          <w:tab/>
        </w:r>
        <w:r>
          <w:rPr>
            <w:noProof/>
            <w:webHidden/>
          </w:rPr>
          <w:fldChar w:fldCharType="begin"/>
        </w:r>
        <w:r w:rsidR="007F7304">
          <w:rPr>
            <w:noProof/>
            <w:webHidden/>
          </w:rPr>
          <w:instrText xml:space="preserve"> PAGEREF _Toc343677843 \h </w:instrText>
        </w:r>
        <w:r>
          <w:rPr>
            <w:noProof/>
            <w:webHidden/>
          </w:rPr>
        </w:r>
        <w:r>
          <w:rPr>
            <w:noProof/>
            <w:webHidden/>
          </w:rPr>
          <w:fldChar w:fldCharType="separate"/>
        </w:r>
        <w:r w:rsidR="0009577F">
          <w:rPr>
            <w:noProof/>
            <w:webHidden/>
          </w:rPr>
          <w:t>80</w:t>
        </w:r>
        <w:r>
          <w:rPr>
            <w:noProof/>
            <w:webHidden/>
          </w:rPr>
          <w:fldChar w:fldCharType="end"/>
        </w:r>
      </w:hyperlink>
    </w:p>
    <w:p w:rsidR="003D34C3" w:rsidRDefault="00EC7800">
      <w:pPr>
        <w:spacing w:before="0" w:after="200" w:line="276" w:lineRule="auto"/>
        <w:ind w:firstLine="0"/>
        <w:jc w:val="left"/>
        <w:rPr>
          <w:sz w:val="28"/>
          <w:szCs w:val="28"/>
        </w:rPr>
      </w:pPr>
      <w:r>
        <w:rPr>
          <w:sz w:val="28"/>
          <w:szCs w:val="28"/>
        </w:rPr>
        <w:fldChar w:fldCharType="end"/>
      </w:r>
    </w:p>
    <w:p w:rsidR="00F63203" w:rsidRDefault="003D34C3">
      <w:pPr>
        <w:spacing w:before="0" w:after="200" w:line="276" w:lineRule="auto"/>
        <w:ind w:firstLine="0"/>
        <w:jc w:val="left"/>
        <w:rPr>
          <w:sz w:val="28"/>
          <w:szCs w:val="28"/>
        </w:rPr>
      </w:pPr>
      <w:r>
        <w:rPr>
          <w:sz w:val="28"/>
          <w:szCs w:val="28"/>
        </w:rPr>
        <w:br w:type="page"/>
      </w:r>
    </w:p>
    <w:p w:rsidR="007F7304" w:rsidRDefault="001D6A6E" w:rsidP="006F517F">
      <w:pPr>
        <w:pStyle w:val="Heading1"/>
        <w:rPr>
          <w:noProof/>
        </w:rPr>
      </w:pPr>
      <w:bookmarkStart w:id="15" w:name="_Toc343349270"/>
      <w:bookmarkStart w:id="16" w:name="_Toc343350125"/>
      <w:bookmarkStart w:id="17" w:name="_Toc343536627"/>
      <w:bookmarkStart w:id="18" w:name="_Toc343677736"/>
      <w:r>
        <w:lastRenderedPageBreak/>
        <w:t>Paveikslai</w:t>
      </w:r>
      <w:bookmarkEnd w:id="15"/>
      <w:bookmarkEnd w:id="16"/>
      <w:bookmarkEnd w:id="17"/>
      <w:bookmarkEnd w:id="18"/>
      <w:r w:rsidR="00EC7800" w:rsidRPr="00EC7800">
        <w:fldChar w:fldCharType="begin"/>
      </w:r>
      <w:r w:rsidR="006F517F">
        <w:instrText xml:space="preserve"> TOC \h \z \t "Subtitle;Paveikslai" \c </w:instrText>
      </w:r>
      <w:r w:rsidR="00EC7800" w:rsidRPr="00EC7800">
        <w:fldChar w:fldCharType="separate"/>
      </w:r>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4" w:history="1">
        <w:r w:rsidR="007F7304" w:rsidRPr="00801DFD">
          <w:rPr>
            <w:rStyle w:val="Hyperlink"/>
            <w:noProof/>
            <w:lang w:val="en-US"/>
          </w:rPr>
          <w:t>1 pav.</w:t>
        </w:r>
        <w:r w:rsidR="007F7304">
          <w:rPr>
            <w:rFonts w:asciiTheme="minorHAnsi" w:eastAsiaTheme="minorEastAsia" w:hAnsiTheme="minorHAnsi"/>
            <w:noProof/>
            <w:sz w:val="22"/>
            <w:lang w:eastAsia="lt-LT"/>
          </w:rPr>
          <w:tab/>
        </w:r>
        <w:r w:rsidR="007F7304" w:rsidRPr="00801DFD">
          <w:rPr>
            <w:rStyle w:val="Hyperlink"/>
            <w:noProof/>
          </w:rPr>
          <w:t xml:space="preserve">Dividendų premija ir riboto akcijų kiekio fondo „nuolaida“ </w:t>
        </w:r>
        <w:r w:rsidR="007F7304" w:rsidRPr="00801DFD">
          <w:rPr>
            <w:rStyle w:val="Hyperlink"/>
            <w:noProof/>
            <w:lang w:val="en-US"/>
          </w:rPr>
          <w:t>1962-2000</w:t>
        </w:r>
        <w:r w:rsidR="007F7304">
          <w:rPr>
            <w:noProof/>
            <w:webHidden/>
          </w:rPr>
          <w:tab/>
        </w:r>
        <w:r>
          <w:rPr>
            <w:noProof/>
            <w:webHidden/>
          </w:rPr>
          <w:fldChar w:fldCharType="begin"/>
        </w:r>
        <w:r w:rsidR="007F7304">
          <w:rPr>
            <w:noProof/>
            <w:webHidden/>
          </w:rPr>
          <w:instrText xml:space="preserve"> PAGEREF _Toc343677844 \h </w:instrText>
        </w:r>
        <w:r>
          <w:rPr>
            <w:noProof/>
            <w:webHidden/>
          </w:rPr>
        </w:r>
        <w:r>
          <w:rPr>
            <w:noProof/>
            <w:webHidden/>
          </w:rPr>
          <w:fldChar w:fldCharType="separate"/>
        </w:r>
        <w:r w:rsidR="0009577F">
          <w:rPr>
            <w:noProof/>
            <w:webHidden/>
          </w:rPr>
          <w:t>15</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5" w:history="1">
        <w:r w:rsidR="007F7304" w:rsidRPr="00801DFD">
          <w:rPr>
            <w:rStyle w:val="Hyperlink"/>
            <w:noProof/>
          </w:rPr>
          <w:t>2 pav.</w:t>
        </w:r>
        <w:r w:rsidR="007F7304">
          <w:rPr>
            <w:rFonts w:asciiTheme="minorHAnsi" w:eastAsiaTheme="minorEastAsia" w:hAnsiTheme="minorHAnsi"/>
            <w:noProof/>
            <w:sz w:val="22"/>
            <w:lang w:eastAsia="lt-LT"/>
          </w:rPr>
          <w:tab/>
        </w:r>
        <w:r w:rsidR="007F7304" w:rsidRPr="00801DFD">
          <w:rPr>
            <w:rStyle w:val="Hyperlink"/>
            <w:noProof/>
          </w:rPr>
          <w:t>Dividendų dydžio kitimo reikšmė per 21 dienų prekybos laikotarpį</w:t>
        </w:r>
        <w:r w:rsidR="007F7304">
          <w:rPr>
            <w:noProof/>
            <w:webHidden/>
          </w:rPr>
          <w:tab/>
        </w:r>
        <w:r>
          <w:rPr>
            <w:noProof/>
            <w:webHidden/>
          </w:rPr>
          <w:fldChar w:fldCharType="begin"/>
        </w:r>
        <w:r w:rsidR="007F7304">
          <w:rPr>
            <w:noProof/>
            <w:webHidden/>
          </w:rPr>
          <w:instrText xml:space="preserve"> PAGEREF _Toc343677845 \h </w:instrText>
        </w:r>
        <w:r>
          <w:rPr>
            <w:noProof/>
            <w:webHidden/>
          </w:rPr>
        </w:r>
        <w:r>
          <w:rPr>
            <w:noProof/>
            <w:webHidden/>
          </w:rPr>
          <w:fldChar w:fldCharType="separate"/>
        </w:r>
        <w:r w:rsidR="0009577F">
          <w:rPr>
            <w:noProof/>
            <w:webHidden/>
          </w:rPr>
          <w:t>19</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6" w:history="1">
        <w:r w:rsidR="007F7304" w:rsidRPr="00801DFD">
          <w:rPr>
            <w:rStyle w:val="Hyperlink"/>
            <w:noProof/>
          </w:rPr>
          <w:t>3 pav.</w:t>
        </w:r>
        <w:r w:rsidR="007F7304">
          <w:rPr>
            <w:rFonts w:asciiTheme="minorHAnsi" w:eastAsiaTheme="minorEastAsia" w:hAnsiTheme="minorHAnsi"/>
            <w:noProof/>
            <w:sz w:val="22"/>
            <w:lang w:eastAsia="lt-LT"/>
          </w:rPr>
          <w:tab/>
        </w:r>
        <w:r w:rsidR="007F7304" w:rsidRPr="00801DFD">
          <w:rPr>
            <w:rStyle w:val="Hyperlink"/>
            <w:noProof/>
          </w:rPr>
          <w:t>JAV įmonių pelningumo ir išmokamų dividendų kintamumo tendencijos 1871-2008</w:t>
        </w:r>
        <w:r w:rsidR="007F7304">
          <w:rPr>
            <w:noProof/>
            <w:webHidden/>
          </w:rPr>
          <w:tab/>
        </w:r>
        <w:r>
          <w:rPr>
            <w:noProof/>
            <w:webHidden/>
          </w:rPr>
          <w:fldChar w:fldCharType="begin"/>
        </w:r>
        <w:r w:rsidR="007F7304">
          <w:rPr>
            <w:noProof/>
            <w:webHidden/>
          </w:rPr>
          <w:instrText xml:space="preserve"> PAGEREF _Toc343677846 \h </w:instrText>
        </w:r>
        <w:r>
          <w:rPr>
            <w:noProof/>
            <w:webHidden/>
          </w:rPr>
        </w:r>
        <w:r>
          <w:rPr>
            <w:noProof/>
            <w:webHidden/>
          </w:rPr>
          <w:fldChar w:fldCharType="separate"/>
        </w:r>
        <w:r w:rsidR="0009577F">
          <w:rPr>
            <w:noProof/>
            <w:webHidden/>
          </w:rPr>
          <w:t>21</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7" w:history="1">
        <w:r w:rsidR="007F7304" w:rsidRPr="00801DFD">
          <w:rPr>
            <w:rStyle w:val="Hyperlink"/>
            <w:noProof/>
          </w:rPr>
          <w:t>4 pav.</w:t>
        </w:r>
        <w:r w:rsidR="007F7304">
          <w:rPr>
            <w:rFonts w:asciiTheme="minorHAnsi" w:eastAsiaTheme="minorEastAsia" w:hAnsiTheme="minorHAnsi"/>
            <w:noProof/>
            <w:sz w:val="22"/>
            <w:lang w:eastAsia="lt-LT"/>
          </w:rPr>
          <w:tab/>
        </w:r>
        <w:r w:rsidR="007F7304" w:rsidRPr="00801DFD">
          <w:rPr>
            <w:rStyle w:val="Hyperlink"/>
            <w:noProof/>
          </w:rPr>
          <w:t>Dividendų naujienų paskelbimo ir kitų įvykių laiko eilutės išsidėstymas</w:t>
        </w:r>
        <w:r w:rsidR="007F7304">
          <w:rPr>
            <w:noProof/>
            <w:webHidden/>
          </w:rPr>
          <w:tab/>
        </w:r>
        <w:r>
          <w:rPr>
            <w:noProof/>
            <w:webHidden/>
          </w:rPr>
          <w:fldChar w:fldCharType="begin"/>
        </w:r>
        <w:r w:rsidR="007F7304">
          <w:rPr>
            <w:noProof/>
            <w:webHidden/>
          </w:rPr>
          <w:instrText xml:space="preserve"> PAGEREF _Toc343677847 \h </w:instrText>
        </w:r>
        <w:r>
          <w:rPr>
            <w:noProof/>
            <w:webHidden/>
          </w:rPr>
        </w:r>
        <w:r>
          <w:rPr>
            <w:noProof/>
            <w:webHidden/>
          </w:rPr>
          <w:fldChar w:fldCharType="separate"/>
        </w:r>
        <w:r w:rsidR="0009577F">
          <w:rPr>
            <w:noProof/>
            <w:webHidden/>
          </w:rPr>
          <w:t>34</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8" w:history="1">
        <w:r w:rsidR="007F7304" w:rsidRPr="00801DFD">
          <w:rPr>
            <w:rStyle w:val="Hyperlink"/>
            <w:noProof/>
          </w:rPr>
          <w:t>5 pav.</w:t>
        </w:r>
        <w:r w:rsidR="007F7304">
          <w:rPr>
            <w:rFonts w:asciiTheme="minorHAnsi" w:eastAsiaTheme="minorEastAsia" w:hAnsiTheme="minorHAnsi"/>
            <w:noProof/>
            <w:sz w:val="22"/>
            <w:lang w:eastAsia="lt-LT"/>
          </w:rPr>
          <w:tab/>
        </w:r>
        <w:r w:rsidR="007F7304" w:rsidRPr="00801DFD">
          <w:rPr>
            <w:rStyle w:val="Hyperlink"/>
            <w:noProof/>
          </w:rPr>
          <w:t>Tyrimo daugiakriterinės analizės ribos remiantis akcijų portfelio formavimo modeliu</w:t>
        </w:r>
        <w:r w:rsidR="007F7304">
          <w:rPr>
            <w:noProof/>
            <w:webHidden/>
          </w:rPr>
          <w:tab/>
        </w:r>
        <w:r>
          <w:rPr>
            <w:noProof/>
            <w:webHidden/>
          </w:rPr>
          <w:fldChar w:fldCharType="begin"/>
        </w:r>
        <w:r w:rsidR="007F7304">
          <w:rPr>
            <w:noProof/>
            <w:webHidden/>
          </w:rPr>
          <w:instrText xml:space="preserve"> PAGEREF _Toc343677848 \h </w:instrText>
        </w:r>
        <w:r>
          <w:rPr>
            <w:noProof/>
            <w:webHidden/>
          </w:rPr>
        </w:r>
        <w:r>
          <w:rPr>
            <w:noProof/>
            <w:webHidden/>
          </w:rPr>
          <w:fldChar w:fldCharType="separate"/>
        </w:r>
        <w:r w:rsidR="0009577F">
          <w:rPr>
            <w:noProof/>
            <w:webHidden/>
          </w:rPr>
          <w:t>39</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49" w:history="1">
        <w:r w:rsidR="007F7304" w:rsidRPr="00801DFD">
          <w:rPr>
            <w:rStyle w:val="Hyperlink"/>
            <w:noProof/>
          </w:rPr>
          <w:t>6 pav.</w:t>
        </w:r>
        <w:r w:rsidR="007F7304">
          <w:rPr>
            <w:rFonts w:asciiTheme="minorHAnsi" w:eastAsiaTheme="minorEastAsia" w:hAnsiTheme="minorHAnsi"/>
            <w:noProof/>
            <w:sz w:val="22"/>
            <w:lang w:eastAsia="lt-LT"/>
          </w:rPr>
          <w:tab/>
        </w:r>
        <w:r w:rsidR="007F7304" w:rsidRPr="00801DFD">
          <w:rPr>
            <w:rStyle w:val="Hyperlink"/>
            <w:noProof/>
          </w:rPr>
          <w:t>Baltijos šalių ir S</w:t>
        </w:r>
        <w:r w:rsidR="007F7304" w:rsidRPr="00801DFD">
          <w:rPr>
            <w:rStyle w:val="Hyperlink"/>
            <w:noProof/>
            <w:lang w:val="en-US"/>
          </w:rPr>
          <w:t>&amp;P500</w:t>
        </w:r>
        <w:r w:rsidR="007F7304" w:rsidRPr="00801DFD">
          <w:rPr>
            <w:rStyle w:val="Hyperlink"/>
            <w:noProof/>
          </w:rPr>
          <w:t xml:space="preserve"> dividendinių įmonių pasiskirstymas pagal pramonės sektorius</w:t>
        </w:r>
        <w:r w:rsidR="007F7304">
          <w:rPr>
            <w:noProof/>
            <w:webHidden/>
          </w:rPr>
          <w:tab/>
        </w:r>
        <w:r>
          <w:rPr>
            <w:noProof/>
            <w:webHidden/>
          </w:rPr>
          <w:fldChar w:fldCharType="begin"/>
        </w:r>
        <w:r w:rsidR="007F7304">
          <w:rPr>
            <w:noProof/>
            <w:webHidden/>
          </w:rPr>
          <w:instrText xml:space="preserve"> PAGEREF _Toc343677849 \h </w:instrText>
        </w:r>
        <w:r>
          <w:rPr>
            <w:noProof/>
            <w:webHidden/>
          </w:rPr>
        </w:r>
        <w:r>
          <w:rPr>
            <w:noProof/>
            <w:webHidden/>
          </w:rPr>
          <w:fldChar w:fldCharType="separate"/>
        </w:r>
        <w:r w:rsidR="0009577F">
          <w:rPr>
            <w:noProof/>
            <w:webHidden/>
          </w:rPr>
          <w:t>53</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50" w:history="1">
        <w:r w:rsidR="007F7304" w:rsidRPr="00801DFD">
          <w:rPr>
            <w:rStyle w:val="Hyperlink"/>
            <w:noProof/>
          </w:rPr>
          <w:t>7 pav.</w:t>
        </w:r>
        <w:r w:rsidR="007F7304">
          <w:rPr>
            <w:rFonts w:asciiTheme="minorHAnsi" w:eastAsiaTheme="minorEastAsia" w:hAnsiTheme="minorHAnsi"/>
            <w:noProof/>
            <w:sz w:val="22"/>
            <w:lang w:eastAsia="lt-LT"/>
          </w:rPr>
          <w:tab/>
        </w:r>
        <w:r w:rsidR="007F7304" w:rsidRPr="00801DFD">
          <w:rPr>
            <w:rStyle w:val="Hyperlink"/>
            <w:noProof/>
          </w:rPr>
          <w:t>Dividendinių įmonių pasiskirstymas tarp sektorių pagal įmonių skaičių ir rinkos kapitalizaciją</w:t>
        </w:r>
        <w:r w:rsidR="007F7304">
          <w:rPr>
            <w:noProof/>
            <w:webHidden/>
          </w:rPr>
          <w:tab/>
        </w:r>
        <w:r>
          <w:rPr>
            <w:noProof/>
            <w:webHidden/>
          </w:rPr>
          <w:fldChar w:fldCharType="begin"/>
        </w:r>
        <w:r w:rsidR="007F7304">
          <w:rPr>
            <w:noProof/>
            <w:webHidden/>
          </w:rPr>
          <w:instrText xml:space="preserve"> PAGEREF _Toc343677850 \h </w:instrText>
        </w:r>
        <w:r>
          <w:rPr>
            <w:noProof/>
            <w:webHidden/>
          </w:rPr>
        </w:r>
        <w:r>
          <w:rPr>
            <w:noProof/>
            <w:webHidden/>
          </w:rPr>
          <w:fldChar w:fldCharType="separate"/>
        </w:r>
        <w:r w:rsidR="0009577F">
          <w:rPr>
            <w:noProof/>
            <w:webHidden/>
          </w:rPr>
          <w:t>54</w:t>
        </w:r>
        <w:r>
          <w:rPr>
            <w:noProof/>
            <w:webHidden/>
          </w:rPr>
          <w:fldChar w:fldCharType="end"/>
        </w:r>
      </w:hyperlink>
    </w:p>
    <w:p w:rsidR="007F7304" w:rsidRDefault="00EC7800">
      <w:pPr>
        <w:pStyle w:val="TableofFigures"/>
        <w:tabs>
          <w:tab w:val="right" w:leader="dot" w:pos="9911"/>
        </w:tabs>
        <w:rPr>
          <w:rFonts w:asciiTheme="minorHAnsi" w:eastAsiaTheme="minorEastAsia" w:hAnsiTheme="minorHAnsi"/>
          <w:noProof/>
          <w:sz w:val="22"/>
          <w:lang w:eastAsia="lt-LT"/>
        </w:rPr>
      </w:pPr>
      <w:hyperlink w:anchor="_Toc343677851" w:history="1">
        <w:r w:rsidR="007F7304" w:rsidRPr="00801DFD">
          <w:rPr>
            <w:rStyle w:val="Hyperlink"/>
            <w:noProof/>
          </w:rPr>
          <w:t>8 pav.</w:t>
        </w:r>
        <w:r w:rsidR="007F7304">
          <w:rPr>
            <w:rFonts w:asciiTheme="minorHAnsi" w:eastAsiaTheme="minorEastAsia" w:hAnsiTheme="minorHAnsi"/>
            <w:noProof/>
            <w:sz w:val="22"/>
            <w:lang w:eastAsia="lt-LT"/>
          </w:rPr>
          <w:tab/>
        </w:r>
        <w:r w:rsidR="007F7304" w:rsidRPr="00801DFD">
          <w:rPr>
            <w:rStyle w:val="Hyperlink"/>
            <w:noProof/>
            <w:lang w:eastAsia="zh-CN"/>
          </w:rPr>
          <w:t>Vidutinis ir sudėtinis dividendinių akcijų pelningumas dividendų naujienų paskelbimo dienomis</w:t>
        </w:r>
        <w:r w:rsidR="007F7304">
          <w:rPr>
            <w:noProof/>
            <w:webHidden/>
          </w:rPr>
          <w:tab/>
        </w:r>
        <w:r>
          <w:rPr>
            <w:noProof/>
            <w:webHidden/>
          </w:rPr>
          <w:fldChar w:fldCharType="begin"/>
        </w:r>
        <w:r w:rsidR="007F7304">
          <w:rPr>
            <w:noProof/>
            <w:webHidden/>
          </w:rPr>
          <w:instrText xml:space="preserve"> PAGEREF _Toc343677851 \h </w:instrText>
        </w:r>
        <w:r>
          <w:rPr>
            <w:noProof/>
            <w:webHidden/>
          </w:rPr>
        </w:r>
        <w:r>
          <w:rPr>
            <w:noProof/>
            <w:webHidden/>
          </w:rPr>
          <w:fldChar w:fldCharType="separate"/>
        </w:r>
        <w:r w:rsidR="0009577F">
          <w:rPr>
            <w:noProof/>
            <w:webHidden/>
          </w:rPr>
          <w:t>64</w:t>
        </w:r>
        <w:r>
          <w:rPr>
            <w:noProof/>
            <w:webHidden/>
          </w:rPr>
          <w:fldChar w:fldCharType="end"/>
        </w:r>
      </w:hyperlink>
    </w:p>
    <w:p w:rsidR="006F517F" w:rsidRDefault="00EC7800" w:rsidP="001D6A6E">
      <w:r>
        <w:fldChar w:fldCharType="end"/>
      </w:r>
    </w:p>
    <w:p w:rsidR="006F517F" w:rsidRDefault="006F517F">
      <w:pPr>
        <w:spacing w:before="0" w:after="200" w:line="276" w:lineRule="auto"/>
        <w:ind w:firstLine="0"/>
        <w:jc w:val="left"/>
      </w:pPr>
      <w:r>
        <w:br w:type="page"/>
      </w:r>
    </w:p>
    <w:p w:rsidR="004715CF" w:rsidRDefault="004715CF" w:rsidP="004715CF">
      <w:pPr>
        <w:pStyle w:val="Heading1"/>
        <w:rPr>
          <w:rStyle w:val="SubtleEmphasis"/>
          <w:i w:val="0"/>
          <w:iCs w:val="0"/>
          <w:color w:val="auto"/>
        </w:rPr>
      </w:pPr>
      <w:bookmarkStart w:id="19" w:name="_Toc343677737"/>
      <w:r>
        <w:rPr>
          <w:rStyle w:val="SubtleEmphasis"/>
          <w:i w:val="0"/>
          <w:iCs w:val="0"/>
          <w:color w:val="auto"/>
        </w:rPr>
        <w:lastRenderedPageBreak/>
        <w:t>ĮVADAS</w:t>
      </w:r>
      <w:bookmarkEnd w:id="19"/>
    </w:p>
    <w:p w:rsidR="003A2860" w:rsidRPr="003F2F6C" w:rsidRDefault="003A2860" w:rsidP="0038577C">
      <w:pPr>
        <w:rPr>
          <w:b/>
        </w:rPr>
      </w:pPr>
      <w:r w:rsidRPr="003A2860">
        <w:rPr>
          <w:b/>
        </w:rPr>
        <w:t xml:space="preserve">Tyrimo aktualumas. </w:t>
      </w:r>
      <w:r w:rsidRPr="003A2860">
        <w:t>Kelis pastaruosius dešimtmečius</w:t>
      </w:r>
      <w:r>
        <w:t xml:space="preserve"> dividendų politikos poveikis akcininkų materialinei gerovei buvo daugybės finansinių tyrimų diskusijų centre. Kuomet Miller ir Modigliani (1961) pristatė moderniosios korporacijos finansų teoriją, daugelis  mokslininkų siekė nustatyti ir paaiškinti rinkos reakcijas į įmonės dividendų paskelbimo naujienas.</w:t>
      </w:r>
      <w:r w:rsidR="003F2F6C">
        <w:t xml:space="preserve"> Vienuose moksliniuose tyrimuose dividendų politika</w:t>
      </w:r>
      <w:r w:rsidR="00C74A44">
        <w:t xml:space="preserve"> laiko</w:t>
      </w:r>
      <w:r w:rsidR="003F2F6C">
        <w:t>ma</w:t>
      </w:r>
      <w:r w:rsidR="00C74A44">
        <w:t xml:space="preserve"> svarbiu finansinės teorijos elementu, kur </w:t>
      </w:r>
      <w:r w:rsidR="003F2F6C">
        <w:t>laikomasi prielaidos</w:t>
      </w:r>
      <w:r w:rsidR="00C74A44">
        <w:t>, jog didesnis divid</w:t>
      </w:r>
      <w:r w:rsidR="008D0A34">
        <w:t>endų dydis didina</w:t>
      </w:r>
      <w:r w:rsidR="00C74A44">
        <w:t xml:space="preserve"> įmonės vertę ir </w:t>
      </w:r>
      <w:r w:rsidR="008D0A34">
        <w:t xml:space="preserve">atitinkamai </w:t>
      </w:r>
      <w:r w:rsidR="00C74A44">
        <w:t>teigiamai įtakoja akcijų kainas.</w:t>
      </w:r>
      <w:r w:rsidR="003F2F6C">
        <w:t xml:space="preserve"> Kiti moksliniai tyrimai palaiko prielaidą, jog didesni dividendai </w:t>
      </w:r>
      <w:r w:rsidR="008D0A34">
        <w:t xml:space="preserve">yra </w:t>
      </w:r>
      <w:r w:rsidR="003F2F6C">
        <w:t>atiti</w:t>
      </w:r>
      <w:r w:rsidR="008D0A34">
        <w:t>nkamai apmokestinami, kas mažina</w:t>
      </w:r>
      <w:r w:rsidR="003F2F6C">
        <w:t xml:space="preserve"> įmonės akcijų vertę</w:t>
      </w:r>
      <w:r w:rsidR="008D0A34">
        <w:t xml:space="preserve"> ir neigiamai įtakoja</w:t>
      </w:r>
      <w:r w:rsidR="003F2F6C">
        <w:t xml:space="preserve"> akcijų kain</w:t>
      </w:r>
      <w:r w:rsidR="008D0A34">
        <w:t>as</w:t>
      </w:r>
      <w:r w:rsidR="003F2F6C">
        <w:t>. Visgi pusiausvyrą tarp šių teiginių išlaiko Modigliani ir Miller (</w:t>
      </w:r>
      <w:r w:rsidR="00B6266D">
        <w:rPr>
          <w:lang w:val="en-US"/>
        </w:rPr>
        <w:t>1961</w:t>
      </w:r>
      <w:r w:rsidR="003F2F6C">
        <w:rPr>
          <w:lang w:val="en-US"/>
        </w:rPr>
        <w:t xml:space="preserve">), Black </w:t>
      </w:r>
      <w:r w:rsidR="00B6266D">
        <w:rPr>
          <w:lang w:val="en-US"/>
        </w:rPr>
        <w:t>(1976)</w:t>
      </w:r>
      <w:r w:rsidR="003F2F6C">
        <w:rPr>
          <w:lang w:val="en-US"/>
        </w:rPr>
        <w:t xml:space="preserve"> id</w:t>
      </w:r>
      <w:r w:rsidR="003F2F6C">
        <w:t>ėjos: dividendų politika neturi didesnės įtakos įmonės vertei.</w:t>
      </w:r>
      <w:r w:rsidR="00B6266D">
        <w:t xml:space="preserve"> </w:t>
      </w:r>
      <w:r w:rsidR="009439A5">
        <w:t>Nors</w:t>
      </w:r>
      <w:r w:rsidR="00B6266D">
        <w:t xml:space="preserve"> Black (</w:t>
      </w:r>
      <w:r w:rsidR="0023122A">
        <w:t>1976) pripažįsta</w:t>
      </w:r>
      <w:r w:rsidR="009439A5">
        <w:t>, jog dividendų politik</w:t>
      </w:r>
      <w:r w:rsidR="00B70E3E">
        <w:t>a</w:t>
      </w:r>
      <w:r w:rsidR="009439A5">
        <w:t xml:space="preserve"> yra tarsi neišspręstas finansų teorijų uždavinys, tačiau pažymi</w:t>
      </w:r>
      <w:r w:rsidR="0023122A">
        <w:t xml:space="preserve"> du esminius aspektus:</w:t>
      </w:r>
      <w:r w:rsidR="00B6266D" w:rsidRPr="00B6266D">
        <w:t xml:space="preserve"> </w:t>
      </w:r>
      <w:r w:rsidR="00B6266D" w:rsidRPr="009776FE">
        <w:t xml:space="preserve">įmonės </w:t>
      </w:r>
      <w:r w:rsidR="0023122A">
        <w:t>linkę mokėti</w:t>
      </w:r>
      <w:r w:rsidR="00B6266D" w:rsidRPr="009776FE">
        <w:t xml:space="preserve"> dividendus,</w:t>
      </w:r>
      <w:r w:rsidR="0023122A">
        <w:t xml:space="preserve"> tuo tarpu</w:t>
      </w:r>
      <w:r w:rsidR="00B6266D" w:rsidRPr="009776FE">
        <w:t xml:space="preserve"> investuotojai teikia dividendams išskirtinį dėmesį.</w:t>
      </w:r>
    </w:p>
    <w:p w:rsidR="0038577C" w:rsidRPr="009776FE" w:rsidRDefault="0038577C" w:rsidP="0038577C">
      <w:r>
        <w:t>Dividendų svarba išryškėjo ir pasauli</w:t>
      </w:r>
      <w:r w:rsidR="00AE37D6">
        <w:t>nio ekonomikos nuosmukio metais, kuomet</w:t>
      </w:r>
      <w:r>
        <w:t xml:space="preserve"> Baltijos šalių akcijų indeksas nuo 2007 metų pradžios iki 2009 metų kovo smuko daugiau kaip 70%. </w:t>
      </w:r>
      <w:r w:rsidRPr="009776FE">
        <w:t>Chiang,</w:t>
      </w:r>
      <w:r w:rsidRPr="0038577C">
        <w:t xml:space="preserve"> et al. </w:t>
      </w:r>
      <w:r w:rsidRPr="009776FE">
        <w:t>(2006)</w:t>
      </w:r>
      <w:r>
        <w:t xml:space="preserve"> pastebi, jog d</w:t>
      </w:r>
      <w:r w:rsidRPr="009776FE">
        <w:t>ividendų e</w:t>
      </w:r>
      <w:r>
        <w:t>konominio sunkmečio laikotarpiu, kuomet akcijų kainos ritasi į dugną</w:t>
      </w:r>
      <w:r w:rsidRPr="009776FE">
        <w:t xml:space="preserve">, investuotojai iš naujo atranda dividendines akcijas </w:t>
      </w:r>
      <w:r>
        <w:t>– rinkos dalyviams</w:t>
      </w:r>
      <w:r w:rsidRPr="009776FE">
        <w:t xml:space="preserve"> </w:t>
      </w:r>
      <w:r>
        <w:t>tampa svarbu</w:t>
      </w:r>
      <w:r w:rsidRPr="009776FE">
        <w:t xml:space="preserve"> užtikrinti finansinių aktyvų palaikymą ir saugią investicinę grąžą.</w:t>
      </w:r>
      <w:r>
        <w:t xml:space="preserve"> </w:t>
      </w:r>
      <w:r w:rsidR="00406B33">
        <w:t>Lietuvos</w:t>
      </w:r>
      <w:r>
        <w:t xml:space="preserve"> dividendinių įmonių akcijų rinką analizavo</w:t>
      </w:r>
      <w:r w:rsidR="00406B33">
        <w:t xml:space="preserve"> Aleknavičienė, Jatkūnienė, Žaltauskienė (2003) ir priėjo išvados, jog rinkoje nepasireiškia stiprus dividendų politikos signalinis efektas, o akcijų kainas įtakoja </w:t>
      </w:r>
      <w:r w:rsidR="00DA3F89">
        <w:t xml:space="preserve">ir </w:t>
      </w:r>
      <w:r w:rsidR="00406B33">
        <w:t>kiti</w:t>
      </w:r>
      <w:r w:rsidR="00DA3F89">
        <w:t xml:space="preserve"> ek</w:t>
      </w:r>
      <w:r w:rsidR="0064077C">
        <w:t>o</w:t>
      </w:r>
      <w:r w:rsidR="00DA3F89">
        <w:t>nominiai</w:t>
      </w:r>
      <w:r w:rsidR="00406B33">
        <w:t xml:space="preserve"> veiksnia</w:t>
      </w:r>
      <w:r w:rsidR="00DA3F89">
        <w:t>i</w:t>
      </w:r>
      <w:r w:rsidR="00406B33">
        <w:t>.</w:t>
      </w:r>
      <w:r w:rsidR="00DA3F89">
        <w:t xml:space="preserve"> Matusevičiaus (2010) atlikto Nasdaq OMX Baltic akcijų grąžos akcininkams tyrimo rezultatai parodė, jog dividendų išmokėjimo pranešimai generuodavo teigiamas perteklines </w:t>
      </w:r>
      <w:r w:rsidR="0023122A">
        <w:t>grąžas, kuomet akcijų supirkimo pranešimai</w:t>
      </w:r>
      <w:r w:rsidR="00DA3F89">
        <w:t xml:space="preserve"> pasireiškė mažesniais pelningumais. Visgi ankstesnių tyrimų rezultatai ir jų praktinės pritaikymo galimybės yra pakankamai ribotos, kadangi  </w:t>
      </w:r>
      <w:r w:rsidR="003A2860">
        <w:t>autoriai neanalizavo rinkos reakcijų  priklausomai nuo skelbia</w:t>
      </w:r>
      <w:r w:rsidR="0023122A">
        <w:t>mų dividendų naujienų konteksto, dividendų politika nebuvo nagrinėta kaip sudėtinis komponentas</w:t>
      </w:r>
      <w:r w:rsidR="008D0A34">
        <w:t xml:space="preserve"> kartu su įmonės fundamentiniais rodikliais</w:t>
      </w:r>
      <w:r w:rsidR="0023122A">
        <w:t>.</w:t>
      </w:r>
    </w:p>
    <w:p w:rsidR="007A5319" w:rsidRDefault="001907B7" w:rsidP="004715CF">
      <w:r>
        <w:t xml:space="preserve">Iškyla </w:t>
      </w:r>
      <w:r w:rsidRPr="003A2860">
        <w:rPr>
          <w:b/>
        </w:rPr>
        <w:t>mokslinė</w:t>
      </w:r>
      <w:r>
        <w:t xml:space="preserve"> </w:t>
      </w:r>
      <w:r w:rsidRPr="001907B7">
        <w:rPr>
          <w:b/>
        </w:rPr>
        <w:t>problema</w:t>
      </w:r>
      <w:r>
        <w:t xml:space="preserve">: </w:t>
      </w:r>
      <w:r w:rsidR="001D2D20">
        <w:t>kaip įvertinti dividendų naujienų</w:t>
      </w:r>
      <w:r w:rsidR="003A2860">
        <w:t xml:space="preserve"> ir jų konteksto</w:t>
      </w:r>
      <w:r w:rsidR="001D2D20">
        <w:t xml:space="preserve"> įtaką </w:t>
      </w:r>
      <w:r w:rsidR="001D2D20" w:rsidRPr="001D2D20">
        <w:rPr>
          <w:i/>
        </w:rPr>
        <w:t>N</w:t>
      </w:r>
      <w:r w:rsidR="00F16E96">
        <w:rPr>
          <w:i/>
        </w:rPr>
        <w:t>asdaq</w:t>
      </w:r>
      <w:r w:rsidR="001D2D20" w:rsidRPr="001D2D20">
        <w:rPr>
          <w:i/>
        </w:rPr>
        <w:t xml:space="preserve"> OMX Baltic</w:t>
      </w:r>
      <w:r w:rsidR="001D2D20">
        <w:t xml:space="preserve"> akcijų pelningumui dividendų paskelbimo dienomis ir </w:t>
      </w:r>
      <w:r>
        <w:t xml:space="preserve">kaip </w:t>
      </w:r>
      <w:r w:rsidR="005700B9">
        <w:t>sumodeliuoti</w:t>
      </w:r>
      <w:r>
        <w:t xml:space="preserve"> </w:t>
      </w:r>
      <w:r w:rsidR="00C751CE">
        <w:t>daugiakriterines</w:t>
      </w:r>
      <w:r>
        <w:t xml:space="preserve"> </w:t>
      </w:r>
      <w:r w:rsidR="00C751CE">
        <w:t>strategijas, pagrįstas</w:t>
      </w:r>
      <w:r w:rsidR="005700B9">
        <w:t xml:space="preserve"> </w:t>
      </w:r>
      <w:r w:rsidR="001C2D87">
        <w:t>dividendų politikos ir fundamentiniais veiksniais</w:t>
      </w:r>
      <w:r w:rsidR="00DA3F89">
        <w:t>, siekiant</w:t>
      </w:r>
      <w:r w:rsidR="00DA3F89" w:rsidRPr="00DA3F89">
        <w:t xml:space="preserve"> </w:t>
      </w:r>
      <w:r w:rsidR="00DA3F89">
        <w:t>investicinių ir analitinių tikslų</w:t>
      </w:r>
      <w:r w:rsidR="001D2D20">
        <w:t>?</w:t>
      </w:r>
      <w:r w:rsidR="003A2860">
        <w:t xml:space="preserve"> </w:t>
      </w:r>
    </w:p>
    <w:p w:rsidR="007A5319" w:rsidRDefault="003E38D3" w:rsidP="004715CF">
      <w:r>
        <w:rPr>
          <w:b/>
        </w:rPr>
        <w:t>Tyrimo t</w:t>
      </w:r>
      <w:r w:rsidR="004715CF" w:rsidRPr="001907B7">
        <w:rPr>
          <w:b/>
        </w:rPr>
        <w:t>ikslas</w:t>
      </w:r>
      <w:r w:rsidR="004715CF">
        <w:t xml:space="preserve">: </w:t>
      </w:r>
      <w:r w:rsidR="00C751CE">
        <w:t>įvertinti dividendinių investavimo strategijų</w:t>
      </w:r>
      <w:r w:rsidR="005F509C">
        <w:t xml:space="preserve"> </w:t>
      </w:r>
      <w:r w:rsidR="005F509C" w:rsidRPr="003E38D3">
        <w:rPr>
          <w:i/>
        </w:rPr>
        <w:t>Nasdaq OMX Baltic</w:t>
      </w:r>
      <w:r w:rsidR="005F509C">
        <w:t xml:space="preserve"> akcijų biržoje modeliavimo galimybes dividendų paskelbimo dienomis ir pa</w:t>
      </w:r>
      <w:r>
        <w:t>teikti galimus</w:t>
      </w:r>
      <w:r w:rsidR="005F509C">
        <w:t xml:space="preserve"> daugiakriterinius investavimo modelius.</w:t>
      </w:r>
      <w:r w:rsidR="007A5319" w:rsidRPr="007A5319">
        <w:t xml:space="preserve"> </w:t>
      </w:r>
    </w:p>
    <w:p w:rsidR="004715CF" w:rsidRDefault="007A5319" w:rsidP="004715CF">
      <w:r>
        <w:lastRenderedPageBreak/>
        <w:t xml:space="preserve">Šiame darbe analizuojamas </w:t>
      </w:r>
      <w:r w:rsidRPr="003A2860">
        <w:rPr>
          <w:b/>
        </w:rPr>
        <w:t>tyrimo objektas</w:t>
      </w:r>
      <w:r>
        <w:t xml:space="preserve"> </w:t>
      </w:r>
      <w:r w:rsidR="0067558C">
        <w:t>- daugiakriteriniai dividendinio</w:t>
      </w:r>
      <w:r>
        <w:t xml:space="preserve"> investavimo strategijos modeliai.</w:t>
      </w:r>
    </w:p>
    <w:p w:rsidR="001907B7" w:rsidRDefault="003E38D3" w:rsidP="004715CF">
      <w:r w:rsidRPr="003E38D3">
        <w:rPr>
          <w:b/>
        </w:rPr>
        <w:t>Tyrimo u</w:t>
      </w:r>
      <w:r w:rsidR="001907B7" w:rsidRPr="003E38D3">
        <w:rPr>
          <w:b/>
        </w:rPr>
        <w:t>ždaviniai</w:t>
      </w:r>
      <w:r w:rsidR="001907B7">
        <w:t>:</w:t>
      </w:r>
    </w:p>
    <w:p w:rsidR="001907B7" w:rsidRDefault="001907B7" w:rsidP="00B64EEA">
      <w:pPr>
        <w:pStyle w:val="ListParagraph"/>
        <w:numPr>
          <w:ilvl w:val="0"/>
          <w:numId w:val="23"/>
        </w:numPr>
      </w:pPr>
      <w:r>
        <w:t>Išanalizuoti mokslinę literatūrą įmonės dividendų politikos tematika ir pateikti teorinius dividendinės investavimo strategijos (dividendų politikos formavimo) modelius;</w:t>
      </w:r>
    </w:p>
    <w:p w:rsidR="001907B7" w:rsidRDefault="003E38D3" w:rsidP="00B64EEA">
      <w:pPr>
        <w:pStyle w:val="ListParagraph"/>
        <w:numPr>
          <w:ilvl w:val="0"/>
          <w:numId w:val="23"/>
        </w:numPr>
      </w:pPr>
      <w:r>
        <w:t>Apibrėžti analizuojamus dividendų politikos ir kontrolinius kriterijus, įtakojančius akcijų kainų pelningumą dividendų paskelbimo dienomis ir s</w:t>
      </w:r>
      <w:r w:rsidR="001907B7">
        <w:t>uformuoti dividendinės investavimo strategijos modelį Baltijos šalių</w:t>
      </w:r>
      <w:r>
        <w:t xml:space="preserve"> </w:t>
      </w:r>
      <w:r w:rsidR="001907B7">
        <w:t xml:space="preserve"> akcijų rinkai</w:t>
      </w:r>
      <w:r>
        <w:t>;</w:t>
      </w:r>
    </w:p>
    <w:p w:rsidR="003E38D3" w:rsidRDefault="003E38D3" w:rsidP="00B64EEA">
      <w:pPr>
        <w:pStyle w:val="ListParagraph"/>
        <w:numPr>
          <w:ilvl w:val="0"/>
          <w:numId w:val="23"/>
        </w:numPr>
      </w:pPr>
      <w:r>
        <w:t>Atlikti Baltijos šalių įmonių dividendų politikos analizę ir analitinį dividendų politikos rodiklių įtakos akcijų pelningumui dividendų paskelbimo dienomis vertinimą;</w:t>
      </w:r>
    </w:p>
    <w:p w:rsidR="00A8316B" w:rsidRDefault="003E38D3" w:rsidP="00B64EEA">
      <w:pPr>
        <w:pStyle w:val="ListParagraph"/>
        <w:numPr>
          <w:ilvl w:val="0"/>
          <w:numId w:val="23"/>
        </w:numPr>
      </w:pPr>
      <w:r>
        <w:t xml:space="preserve">Pateikti galimus daugiakriterinius investavimo ir dividendų politikos modeliavimo sprendimus </w:t>
      </w:r>
      <w:r w:rsidR="0023122A">
        <w:t xml:space="preserve">analizuojant įtaką </w:t>
      </w:r>
      <w:r>
        <w:t>akcijų pelningumui dividendų paskelbimo įvykių dienomis;</w:t>
      </w:r>
    </w:p>
    <w:p w:rsidR="00D029E9" w:rsidRDefault="0023122A" w:rsidP="00D029E9">
      <w:r w:rsidRPr="00D029E9">
        <w:rPr>
          <w:b/>
        </w:rPr>
        <w:t>Tyrimo metodika</w:t>
      </w:r>
      <w:r>
        <w:t xml:space="preserve">: </w:t>
      </w:r>
      <w:r w:rsidR="0067558C">
        <w:t>mokslinės literatūros analizė ir</w:t>
      </w:r>
      <w:r w:rsidR="0080514E">
        <w:t xml:space="preserve"> sisteminimas, </w:t>
      </w:r>
      <w:r w:rsidR="00D029E9">
        <w:t>dividendų paskelbimo įvykių analizė, daugiakriterinė dividendų politikos ir fundamentinių veiksnių įtakos akcijų pelningumui analizė</w:t>
      </w:r>
      <w:r w:rsidR="00374996">
        <w:t xml:space="preserve"> </w:t>
      </w:r>
      <w:r w:rsidR="00374996" w:rsidRPr="00374996">
        <w:rPr>
          <w:i/>
        </w:rPr>
        <w:t xml:space="preserve">fiksuoto </w:t>
      </w:r>
      <w:r w:rsidR="00374996" w:rsidRPr="00374996">
        <w:t>ir</w:t>
      </w:r>
      <w:r w:rsidR="00374996" w:rsidRPr="00374996">
        <w:rPr>
          <w:i/>
        </w:rPr>
        <w:t xml:space="preserve"> atsitiktinio efekto</w:t>
      </w:r>
      <w:r w:rsidR="00374996">
        <w:t xml:space="preserve"> metodais</w:t>
      </w:r>
      <w:r w:rsidR="00D029E9">
        <w:t>.</w:t>
      </w:r>
    </w:p>
    <w:p w:rsidR="009439A5" w:rsidRPr="00BD4E72" w:rsidRDefault="009439A5" w:rsidP="00D029E9">
      <w:r>
        <w:t xml:space="preserve">Pirmoje šio darbo dalyje </w:t>
      </w:r>
      <w:r w:rsidR="003057DA">
        <w:t>išanalizuotos</w:t>
      </w:r>
      <w:r w:rsidR="00BD4E72">
        <w:t xml:space="preserve"> esminės</w:t>
      </w:r>
      <w:r>
        <w:t xml:space="preserve"> įmonės dividendų politikos teorijos ir dividendų paskelbimo naujienų</w:t>
      </w:r>
      <w:r w:rsidR="00BD4E72">
        <w:t xml:space="preserve"> konteksto</w:t>
      </w:r>
      <w:r>
        <w:t xml:space="preserve"> poveik</w:t>
      </w:r>
      <w:r w:rsidR="003057DA">
        <w:t>io efektai akcijų pelningumams. A</w:t>
      </w:r>
      <w:r w:rsidR="00BD4E72">
        <w:t>pžvelg</w:t>
      </w:r>
      <w:r w:rsidR="003057DA">
        <w:t>tos</w:t>
      </w:r>
      <w:r w:rsidR="00BD4E72">
        <w:t xml:space="preserve"> </w:t>
      </w:r>
      <w:r w:rsidR="003057DA">
        <w:t xml:space="preserve">esminės </w:t>
      </w:r>
      <w:r w:rsidR="00BD4E72">
        <w:t>divide</w:t>
      </w:r>
      <w:r w:rsidR="003057DA">
        <w:t>ndinės investavimo strategijos, daugiakriterinės dividendų politikos</w:t>
      </w:r>
      <w:r w:rsidR="00E3315B">
        <w:t xml:space="preserve"> </w:t>
      </w:r>
      <w:r w:rsidR="003057DA">
        <w:t>tyrimo techniko</w:t>
      </w:r>
      <w:r w:rsidR="00BD4E72">
        <w:t>s</w:t>
      </w:r>
      <w:r w:rsidR="003057DA">
        <w:t>.</w:t>
      </w:r>
    </w:p>
    <w:p w:rsidR="00BD4E72" w:rsidRPr="00C80C4F" w:rsidRDefault="003057DA" w:rsidP="00BD4E72">
      <w:r>
        <w:t>Antroje</w:t>
      </w:r>
      <w:r w:rsidR="00BD4E72">
        <w:t xml:space="preserve"> darbo dalyje </w:t>
      </w:r>
      <w:r w:rsidR="007A5319">
        <w:t>suformu</w:t>
      </w:r>
      <w:r w:rsidR="002513C3">
        <w:t>lu</w:t>
      </w:r>
      <w:r w:rsidR="007A5319">
        <w:t xml:space="preserve">otos </w:t>
      </w:r>
      <w:r w:rsidR="008D0A34">
        <w:t>hipotezės</w:t>
      </w:r>
      <w:r>
        <w:t xml:space="preserve"> ir duomenų atrankos kriterijai</w:t>
      </w:r>
      <w:r w:rsidR="008D0A34">
        <w:t>,</w:t>
      </w:r>
      <w:r w:rsidR="00BD4E72">
        <w:t xml:space="preserve"> </w:t>
      </w:r>
      <w:r w:rsidR="008D0A34">
        <w:t>į</w:t>
      </w:r>
      <w:r>
        <w:t xml:space="preserve">vykių analizei apibrėžtas analizuojamas </w:t>
      </w:r>
      <w:r w:rsidR="007A5319">
        <w:rPr>
          <w:lang w:val="en-US"/>
        </w:rPr>
        <w:t>prekybos dien</w:t>
      </w:r>
      <w:r>
        <w:t>ų</w:t>
      </w:r>
      <w:r w:rsidR="007A5319">
        <w:t xml:space="preserve"> intervalas</w:t>
      </w:r>
      <w:r>
        <w:t xml:space="preserve"> ir pelningumo apskaičiavimo metodai.</w:t>
      </w:r>
      <w:r w:rsidR="00BD4E72">
        <w:t xml:space="preserve"> </w:t>
      </w:r>
      <w:r>
        <w:t>Strateginiam dividendinio investavimo modeliui s</w:t>
      </w:r>
      <w:r w:rsidR="00943F7F">
        <w:t>uformuota</w:t>
      </w:r>
      <w:r w:rsidR="007A5319">
        <w:t xml:space="preserve"> analizuojam</w:t>
      </w:r>
      <w:r w:rsidR="00943F7F">
        <w:t>ų</w:t>
      </w:r>
      <w:r w:rsidR="00BD4E72" w:rsidRPr="00C80C4F">
        <w:t xml:space="preserve"> dividendų politikos </w:t>
      </w:r>
      <w:r w:rsidR="00943F7F">
        <w:t>ir kontrolinių kintamųjų aibė</w:t>
      </w:r>
      <w:r w:rsidR="0080514E">
        <w:t xml:space="preserve"> ir parinktos modelių analizės technikos</w:t>
      </w:r>
      <w:r w:rsidR="00BD4E72">
        <w:t>.</w:t>
      </w:r>
    </w:p>
    <w:p w:rsidR="009439A5" w:rsidRDefault="00D46C47" w:rsidP="00D029E9">
      <w:r>
        <w:t>Trečioje</w:t>
      </w:r>
      <w:r w:rsidR="00374996">
        <w:t xml:space="preserve"> darbo dalyje gauti rezultatai patvirtino dividendų pajamingumo pokyčio signalizavimo ir paneigė informacijos asimetrijos efektus.</w:t>
      </w:r>
      <w:r w:rsidR="00943F7F">
        <w:t xml:space="preserve"> </w:t>
      </w:r>
      <w:r>
        <w:t>Išanalizuoti strateginiai investavimo modeliai dividendų paskelbimo dienomis</w:t>
      </w:r>
      <w:r w:rsidR="0080514E">
        <w:t xml:space="preserve"> ir įvertintos praktinės modelių pritaikymo galimybės</w:t>
      </w:r>
      <w:r>
        <w:t>. Nustatytas skirtingai pasireiškiantis</w:t>
      </w:r>
      <w:r w:rsidR="003057DA">
        <w:t xml:space="preserve"> dividendų politikos rodiklių reikšmingumas</w:t>
      </w:r>
      <w:r w:rsidR="00374996">
        <w:t xml:space="preserve">. </w:t>
      </w:r>
      <w:r w:rsidR="003057DA">
        <w:t xml:space="preserve">Gautos reikšmingos </w:t>
      </w:r>
      <w:r w:rsidR="00943F7F">
        <w:t xml:space="preserve">nepaskirstyto pelno (RR), </w:t>
      </w:r>
      <w:r w:rsidR="002513C3">
        <w:t>EBITDA</w:t>
      </w:r>
      <w:r w:rsidR="00943F7F">
        <w:t xml:space="preserve"> pokyčio, ROE</w:t>
      </w:r>
      <w:r w:rsidR="00374996">
        <w:t xml:space="preserve">, RETE rodiklių </w:t>
      </w:r>
      <w:r w:rsidR="003057DA">
        <w:t>reikšmės</w:t>
      </w:r>
      <w:r w:rsidR="00374996">
        <w:t xml:space="preserve"> atitinkamų modelių kontekste.</w:t>
      </w:r>
    </w:p>
    <w:p w:rsidR="004715CF" w:rsidRPr="002513C3" w:rsidRDefault="00D029E9" w:rsidP="00E3315B">
      <w:pPr>
        <w:rPr>
          <w:rStyle w:val="SubtleEmphasis"/>
          <w:rFonts w:eastAsia="TT747o00" w:cs="Times New Roman"/>
          <w:i w:val="0"/>
          <w:iCs w:val="0"/>
          <w:color w:val="auto"/>
          <w:szCs w:val="24"/>
        </w:rPr>
      </w:pPr>
      <w:r w:rsidRPr="00D029E9">
        <w:rPr>
          <w:b/>
        </w:rPr>
        <w:t>Tyrimo praktinė vertė ir rezultatų taikymo sritys:</w:t>
      </w:r>
      <w:r>
        <w:t xml:space="preserve"> </w:t>
      </w:r>
      <w:r w:rsidR="008D0A34">
        <w:t>dividendų naujienų efektas</w:t>
      </w:r>
      <w:r>
        <w:t xml:space="preserve"> </w:t>
      </w:r>
      <w:r w:rsidR="008D0A34">
        <w:t>ir laukiama</w:t>
      </w:r>
      <w:r w:rsidR="00D46C47">
        <w:t>s</w:t>
      </w:r>
      <w:r w:rsidR="008D0A34">
        <w:t xml:space="preserve"> </w:t>
      </w:r>
      <w:r w:rsidR="00415965">
        <w:t xml:space="preserve">dividendinių </w:t>
      </w:r>
      <w:r w:rsidR="008D0A34">
        <w:t>akcijų</w:t>
      </w:r>
      <w:r w:rsidR="00D46C47">
        <w:t xml:space="preserve"> pelningumas </w:t>
      </w:r>
      <w:r>
        <w:t>yra ne vien tik investuotojus, bet</w:t>
      </w:r>
      <w:r w:rsidR="008D0A34">
        <w:t xml:space="preserve"> ir</w:t>
      </w:r>
      <w:r>
        <w:t xml:space="preserve"> įmonių vadovus bei finansų analitikus dominančios </w:t>
      </w:r>
      <w:r w:rsidR="008D0A34">
        <w:t>finansinių tyrimų</w:t>
      </w:r>
      <w:r>
        <w:t xml:space="preserve"> sritys,</w:t>
      </w:r>
      <w:r w:rsidR="008D0A34">
        <w:t xml:space="preserve"> todėl</w:t>
      </w:r>
      <w:r>
        <w:t xml:space="preserve"> šiame tyrime gauti rezultatai ir siūlomi daugiakriteriniai modeliai </w:t>
      </w:r>
      <w:r w:rsidR="00D46C47">
        <w:t>gali būti tam tikras strateginis</w:t>
      </w:r>
      <w:r>
        <w:t xml:space="preserve"> pagrindas</w:t>
      </w:r>
      <w:r w:rsidR="009439A5">
        <w:t xml:space="preserve"> prieš priimant </w:t>
      </w:r>
      <w:r w:rsidR="00D46C47">
        <w:t>tam tikrus</w:t>
      </w:r>
      <w:r>
        <w:t xml:space="preserve"> investicini</w:t>
      </w:r>
      <w:r w:rsidR="009439A5">
        <w:t>us</w:t>
      </w:r>
      <w:r w:rsidR="008D0A34">
        <w:t xml:space="preserve"> sprendimus </w:t>
      </w:r>
      <w:r w:rsidR="009439A5">
        <w:t xml:space="preserve">ir atliekant </w:t>
      </w:r>
      <w:r>
        <w:t>dividendų politikos formavimo bei analitinius</w:t>
      </w:r>
      <w:r w:rsidR="008D0A34">
        <w:t xml:space="preserve"> finansinius</w:t>
      </w:r>
      <w:r>
        <w:t xml:space="preserve"> vertinim</w:t>
      </w:r>
      <w:r w:rsidR="009439A5">
        <w:t>us</w:t>
      </w:r>
      <w:r>
        <w:t>.</w:t>
      </w:r>
      <w:r w:rsidR="00A8316B">
        <w:br w:type="page"/>
      </w:r>
    </w:p>
    <w:p w:rsidR="00046FCB" w:rsidRDefault="00337DEC" w:rsidP="0082392A">
      <w:pPr>
        <w:pStyle w:val="Heading1"/>
        <w:numPr>
          <w:ilvl w:val="0"/>
          <w:numId w:val="4"/>
        </w:numPr>
        <w:rPr>
          <w:rStyle w:val="SubtleEmphasis"/>
          <w:i w:val="0"/>
          <w:iCs w:val="0"/>
          <w:color w:val="auto"/>
        </w:rPr>
      </w:pPr>
      <w:bookmarkStart w:id="20" w:name="_Toc343677738"/>
      <w:r w:rsidRPr="009776FE">
        <w:rPr>
          <w:rStyle w:val="SubtleEmphasis"/>
          <w:i w:val="0"/>
          <w:iCs w:val="0"/>
          <w:color w:val="auto"/>
        </w:rPr>
        <w:lastRenderedPageBreak/>
        <w:t>Dividendinio investavimo teorija</w:t>
      </w:r>
      <w:bookmarkEnd w:id="0"/>
      <w:bookmarkEnd w:id="1"/>
      <w:bookmarkEnd w:id="20"/>
    </w:p>
    <w:p w:rsidR="00B07A6C" w:rsidRPr="009776FE" w:rsidRDefault="00C958A0" w:rsidP="00151BC7">
      <w:r w:rsidRPr="009776FE">
        <w:t>Šiuolaikinėje m</w:t>
      </w:r>
      <w:r w:rsidR="006E185D" w:rsidRPr="009776FE">
        <w:t>okslin</w:t>
      </w:r>
      <w:r w:rsidRPr="009776FE">
        <w:t>ėje literatūroje dividendinės akcijos nagrinėjamos</w:t>
      </w:r>
      <w:r w:rsidR="006E185D" w:rsidRPr="009776FE">
        <w:t xml:space="preserve"> </w:t>
      </w:r>
      <w:r w:rsidR="004046D7" w:rsidRPr="009776FE">
        <w:t xml:space="preserve">plačiu spektru, </w:t>
      </w:r>
      <w:r w:rsidR="007745F4" w:rsidRPr="009776FE">
        <w:t>nors</w:t>
      </w:r>
      <w:r w:rsidR="006E185D" w:rsidRPr="009776FE">
        <w:t xml:space="preserve"> dividendinis investavimas kaip strategija dažnai vertinima</w:t>
      </w:r>
      <w:r w:rsidR="00E16B65" w:rsidRPr="009776FE">
        <w:t>s</w:t>
      </w:r>
      <w:r w:rsidR="006E185D" w:rsidRPr="009776FE">
        <w:t xml:space="preserve"> pakankamai prieštaringai</w:t>
      </w:r>
      <w:r w:rsidR="00AC4126" w:rsidRPr="009776FE">
        <w:t xml:space="preserve"> (Visscher, Filbeck, 2003, Brzeszczyński, Gajdka, 2007,</w:t>
      </w:r>
      <w:r w:rsidR="00AC4126" w:rsidRPr="009776FE">
        <w:rPr>
          <w:rFonts w:ascii="AdvTTb8864ccf.B" w:hAnsi="AdvTTb8864ccf.B" w:cs="AdvTTb8864ccf.B"/>
          <w:sz w:val="20"/>
          <w:szCs w:val="20"/>
        </w:rPr>
        <w:t xml:space="preserve"> </w:t>
      </w:r>
      <w:r w:rsidR="00AC4126" w:rsidRPr="009776FE">
        <w:t>Gwilym, Clare, Seaton ir Thomas, 2009 ir kiti)</w:t>
      </w:r>
      <w:r w:rsidR="00496256" w:rsidRPr="009776FE">
        <w:t xml:space="preserve">, o </w:t>
      </w:r>
      <w:r w:rsidR="00AC4126" w:rsidRPr="009776FE">
        <w:t>tokių</w:t>
      </w:r>
      <w:r w:rsidR="004046D7" w:rsidRPr="009776FE">
        <w:t xml:space="preserve"> </w:t>
      </w:r>
      <w:r w:rsidR="00B141ED" w:rsidRPr="009776FE">
        <w:t>mokslinių tyrimų rezultatai</w:t>
      </w:r>
      <w:r w:rsidR="00496256" w:rsidRPr="009776FE">
        <w:t xml:space="preserve"> yra pakankamai neapibrėžt</w:t>
      </w:r>
      <w:r w:rsidR="00E16B65" w:rsidRPr="009776FE">
        <w:t>i</w:t>
      </w:r>
      <w:r w:rsidR="00496256" w:rsidRPr="009776FE">
        <w:t xml:space="preserve"> ir nepagrįst</w:t>
      </w:r>
      <w:r w:rsidR="00E16B65" w:rsidRPr="009776FE">
        <w:t>i</w:t>
      </w:r>
      <w:r w:rsidR="006E185D" w:rsidRPr="009776FE">
        <w:t>.</w:t>
      </w:r>
      <w:r w:rsidR="0006203C" w:rsidRPr="009776FE">
        <w:t xml:space="preserve"> Black (1976) publikacijoje, plačiai </w:t>
      </w:r>
      <w:r w:rsidR="00C05644" w:rsidRPr="009776FE">
        <w:t>naudojamoje</w:t>
      </w:r>
      <w:r w:rsidR="0006203C" w:rsidRPr="009776FE">
        <w:t xml:space="preserve"> </w:t>
      </w:r>
      <w:r w:rsidR="00E16B65" w:rsidRPr="009776FE">
        <w:t xml:space="preserve">finansų </w:t>
      </w:r>
      <w:r w:rsidR="0006203C" w:rsidRPr="009776FE">
        <w:t>moksl</w:t>
      </w:r>
      <w:r w:rsidR="009916D5" w:rsidRPr="009776FE">
        <w:t>uose</w:t>
      </w:r>
      <w:r w:rsidR="0006203C" w:rsidRPr="009776FE">
        <w:t xml:space="preserve">, </w:t>
      </w:r>
      <w:r w:rsidR="007745F4" w:rsidRPr="009776FE">
        <w:t>autorius netgi</w:t>
      </w:r>
      <w:r w:rsidR="0006203C" w:rsidRPr="009776FE">
        <w:t xml:space="preserve"> išsireiškė, jog dividendai yra tarsi </w:t>
      </w:r>
      <w:r w:rsidR="00480F84" w:rsidRPr="009776FE">
        <w:t>sudėtingas uždavinys, kuris sus</w:t>
      </w:r>
      <w:r w:rsidR="00565AA6" w:rsidRPr="009776FE">
        <w:t>ideda iš dviejų esminių sąlygų</w:t>
      </w:r>
      <w:r w:rsidR="0006203C" w:rsidRPr="009776FE">
        <w:t>: įm</w:t>
      </w:r>
      <w:r w:rsidR="00480F84" w:rsidRPr="009776FE">
        <w:t xml:space="preserve">onės moka dividendus, </w:t>
      </w:r>
      <w:r w:rsidR="0006203C" w:rsidRPr="009776FE">
        <w:t>investuotojai teikia dividendams išskirtinį dėmesį.</w:t>
      </w:r>
      <w:r w:rsidR="006E185D" w:rsidRPr="009776FE">
        <w:t xml:space="preserve"> </w:t>
      </w:r>
    </w:p>
    <w:p w:rsidR="004871F3" w:rsidRDefault="006E185D" w:rsidP="00151BC7">
      <w:r w:rsidRPr="009776FE">
        <w:t xml:space="preserve">Iš esmės mokslinėje literatūroje </w:t>
      </w:r>
      <w:r w:rsidR="00B141ED" w:rsidRPr="009776FE">
        <w:t xml:space="preserve">dažniausiai </w:t>
      </w:r>
      <w:r w:rsidRPr="009776FE">
        <w:t xml:space="preserve">išskiriamos dvi </w:t>
      </w:r>
      <w:r w:rsidR="00C05644" w:rsidRPr="009776FE">
        <w:t>pagrindinės</w:t>
      </w:r>
      <w:r w:rsidRPr="009776FE">
        <w:t xml:space="preserve"> prielaidos</w:t>
      </w:r>
      <w:r w:rsidR="001448DF" w:rsidRPr="009776FE">
        <w:t>: racionaliai pagrįstos dividendų svarbos</w:t>
      </w:r>
      <w:r w:rsidR="009916D5" w:rsidRPr="009776FE">
        <w:t xml:space="preserve"> (</w:t>
      </w:r>
      <w:r w:rsidR="00366417" w:rsidRPr="009776FE">
        <w:t xml:space="preserve">Walter, 1956, </w:t>
      </w:r>
      <w:r w:rsidR="009916D5" w:rsidRPr="009776FE">
        <w:t>Gordon, Shapiro, 1</w:t>
      </w:r>
      <w:r w:rsidR="001448DF" w:rsidRPr="009776FE">
        <w:t>956</w:t>
      </w:r>
      <w:r w:rsidR="00126473" w:rsidRPr="009776FE">
        <w:t>, Gordon, 1961</w:t>
      </w:r>
      <w:r w:rsidR="00366417" w:rsidRPr="009776FE">
        <w:t>, Lintner, 1962</w:t>
      </w:r>
      <w:r w:rsidR="001448DF" w:rsidRPr="009776FE">
        <w:t>) ir dividendų irelevantiškumo</w:t>
      </w:r>
      <w:r w:rsidR="00342535" w:rsidRPr="009776FE">
        <w:t xml:space="preserve"> (Miller, Modigliani, 1961</w:t>
      </w:r>
      <w:r w:rsidR="009916D5" w:rsidRPr="009776FE">
        <w:t xml:space="preserve">). </w:t>
      </w:r>
      <w:r w:rsidR="00366417" w:rsidRPr="009776FE">
        <w:t>Pirmuoju aspektu, laikomasi prielaidos, jog piniginiai dividendai yra mažiau rizikingi negu, kad investicinio kapitalo prieaugis ateityje. Šios teorijos šalininkai teigia, jog investuotojai palankiau vertina įmones, kurios moka dividendus, o dividendai įtakoją akcijos kainą.</w:t>
      </w:r>
      <w:r w:rsidR="004871F3" w:rsidRPr="009776FE">
        <w:t xml:space="preserve"> </w:t>
      </w:r>
      <w:r w:rsidR="00B704D8" w:rsidRPr="009776FE">
        <w:t>Antruoju aspektu</w:t>
      </w:r>
      <w:r w:rsidR="004871F3" w:rsidRPr="009776FE">
        <w:t>, vadinamoji Miller ir Modigliani (</w:t>
      </w:r>
      <w:r w:rsidR="00342535" w:rsidRPr="009776FE">
        <w:t>1961</w:t>
      </w:r>
      <w:r w:rsidR="0004103E" w:rsidRPr="009776FE">
        <w:t>) teorema teigia, jog įmonės vertė nėra įtakojama jos dividendų politikos tobulos rinkos sąlygomis. Pagrindinės iš teoremos kylančios prielaidos teigia:</w:t>
      </w:r>
      <w:r w:rsidR="007A4C05" w:rsidRPr="009776FE">
        <w:t xml:space="preserve"> 1) </w:t>
      </w:r>
      <w:r w:rsidR="0004103E" w:rsidRPr="009776FE">
        <w:t xml:space="preserve">įmonės </w:t>
      </w:r>
      <w:r w:rsidR="007A4C05" w:rsidRPr="009776FE">
        <w:t>vadovybė yra mažai suinteresuota</w:t>
      </w:r>
      <w:r w:rsidR="0004103E" w:rsidRPr="009776FE">
        <w:t xml:space="preserve"> didinti </w:t>
      </w:r>
      <w:r w:rsidR="001B4DE7" w:rsidRPr="009776FE">
        <w:t xml:space="preserve">akcininkų vertę </w:t>
      </w:r>
      <w:r w:rsidR="0004103E" w:rsidRPr="009776FE">
        <w:t>(laikoma, kad nėra problemų, atstovaujant akcininkų interesus)</w:t>
      </w:r>
      <w:r w:rsidR="001B4DE7" w:rsidRPr="009776FE">
        <w:t xml:space="preserve">; </w:t>
      </w:r>
      <w:r w:rsidR="00B6266D">
        <w:t>2) į</w:t>
      </w:r>
      <w:r w:rsidR="001B4DE7" w:rsidRPr="009776FE">
        <w:t>monės darbuotojai turi tiek pat informacijos, kiek ir kiti asmenys (simetriškos informacijos prielaida).</w:t>
      </w:r>
    </w:p>
    <w:p w:rsidR="00565AA6" w:rsidRPr="009776FE" w:rsidRDefault="00565AA6" w:rsidP="00151BC7">
      <w:r w:rsidRPr="009776FE">
        <w:t>Visgi DeAngelo ir DeAngelo (2006) atrado spragų Miller ir Modigliani modelyje. Miller ir Modigliani (1961) teorija rėmėsi tuo, jog akcininkams išmokama dividendų suma yra lygi arba didesnė už įmonės laisvus pinigų srautus. Pasak DeAngelo ir DeAngelo (2006), dividendų politika gali būti nereikšminga tik tada, kai įmonės investicinių projektų vertės (NPV) rodikliai yra neigiami arba lygūs nuliui.</w:t>
      </w:r>
    </w:p>
    <w:p w:rsidR="003635D0" w:rsidRDefault="009916D5" w:rsidP="00151BC7">
      <w:r w:rsidRPr="009776FE">
        <w:t>Šios prielaidos suteikė pagrindą tolimesniems tyrimams, hipotezių tikrinimui</w:t>
      </w:r>
      <w:r w:rsidR="00841DF6" w:rsidRPr="009776FE">
        <w:t>,</w:t>
      </w:r>
      <w:r w:rsidRPr="009776FE">
        <w:t xml:space="preserve"> statistinių ryšių nagrinėjimui</w:t>
      </w:r>
      <w:r w:rsidR="00841DF6" w:rsidRPr="009776FE">
        <w:t xml:space="preserve">, </w:t>
      </w:r>
      <w:r w:rsidRPr="009776FE">
        <w:t>vėliau netgi išskirtas ir</w:t>
      </w:r>
      <w:r w:rsidR="00841DF6" w:rsidRPr="009776FE">
        <w:t xml:space="preserve"> psichologinis aspektas (</w:t>
      </w:r>
      <w:r w:rsidR="00CA77E8" w:rsidRPr="009776FE">
        <w:t>De Bondt, Thaler, 1985</w:t>
      </w:r>
      <w:r w:rsidR="00841DF6" w:rsidRPr="009776FE">
        <w:t>).</w:t>
      </w:r>
      <w:r w:rsidR="00151BC7" w:rsidRPr="009776FE">
        <w:t xml:space="preserve"> Pastarojo svarba išskiriama ir vėlesniuose mokslininkų darbuose (Chiang,</w:t>
      </w:r>
      <w:r w:rsidR="00E62962" w:rsidRPr="009776FE">
        <w:t xml:space="preserve"> Frankfurter, Kosedag, Wood</w:t>
      </w:r>
      <w:r w:rsidR="00151BC7" w:rsidRPr="009776FE">
        <w:t>, 2006). Minėti autoriai pastebi, jog vien tik statistiniai duomenys neatskleidžia žmonių motyvacijos ir polinkių dividendų atžvilgiu.</w:t>
      </w:r>
    </w:p>
    <w:p w:rsidR="00EF62CB" w:rsidRDefault="00EF62CB" w:rsidP="00EF62CB">
      <w:pPr>
        <w:pStyle w:val="Heading2"/>
        <w:numPr>
          <w:ilvl w:val="0"/>
          <w:numId w:val="5"/>
        </w:numPr>
      </w:pPr>
      <w:bookmarkStart w:id="21" w:name="_Toc343677739"/>
      <w:r w:rsidRPr="009776FE">
        <w:t>Įmonės dividendų politikos reikšmė investiciniu aspektu</w:t>
      </w:r>
      <w:bookmarkEnd w:id="21"/>
    </w:p>
    <w:p w:rsidR="00EF62CB" w:rsidRDefault="00EF62CB" w:rsidP="00EF62CB">
      <w:pPr>
        <w:pStyle w:val="Heading3"/>
        <w:numPr>
          <w:ilvl w:val="2"/>
          <w:numId w:val="4"/>
        </w:numPr>
        <w:ind w:left="1287"/>
      </w:pPr>
      <w:bookmarkStart w:id="22" w:name="_Toc343677740"/>
      <w:r>
        <w:t>Dividendų politikos teorijos</w:t>
      </w:r>
      <w:bookmarkEnd w:id="22"/>
    </w:p>
    <w:p w:rsidR="00841DF6" w:rsidRPr="009776FE" w:rsidRDefault="00E3315B" w:rsidP="003635D0">
      <w:r>
        <w:t>Kadangi d</w:t>
      </w:r>
      <w:r w:rsidR="00841DF6" w:rsidRPr="009776FE">
        <w:t>ividendai investiciniu aspektu išlieka svarbus mokslinių tyrimų objektas ir tikėtina, jog dividendų reikšmingumas</w:t>
      </w:r>
      <w:r w:rsidR="00496256" w:rsidRPr="009776FE">
        <w:t xml:space="preserve"> investicinių tyrimų lygmenyje</w:t>
      </w:r>
      <w:r w:rsidR="00841DF6" w:rsidRPr="009776FE">
        <w:t xml:space="preserve"> tik didės (Manley, Mueller-Glissman</w:t>
      </w:r>
      <w:r w:rsidR="00342535" w:rsidRPr="009776FE">
        <w:t>n</w:t>
      </w:r>
      <w:r w:rsidR="00841DF6" w:rsidRPr="009776FE">
        <w:t>, 2008).</w:t>
      </w:r>
      <w:r w:rsidR="00496256" w:rsidRPr="009776FE">
        <w:t xml:space="preserve"> </w:t>
      </w:r>
      <w:r w:rsidR="00496256" w:rsidRPr="009776FE">
        <w:lastRenderedPageBreak/>
        <w:t>Nepaisant to, investuotojų polinkiai ir dividendų svarba pakank</w:t>
      </w:r>
      <w:r w:rsidR="001B4DE7" w:rsidRPr="009776FE">
        <w:t>a</w:t>
      </w:r>
      <w:r w:rsidR="00496256" w:rsidRPr="009776FE">
        <w:t>mai reikšmingai skiriasi investuoto</w:t>
      </w:r>
      <w:r w:rsidR="00467C55" w:rsidRPr="009776FE">
        <w:t>jų tarpe ir šios tendencijos kitimas yra priklausomas</w:t>
      </w:r>
      <w:r>
        <w:t xml:space="preserve"> ne vien tik</w:t>
      </w:r>
      <w:r w:rsidR="00467C55" w:rsidRPr="009776FE">
        <w:t xml:space="preserve"> nuo šalies, rinko</w:t>
      </w:r>
      <w:r>
        <w:t>s, sektoriaus, bet ir įmonių veiklos rodiklių</w:t>
      </w:r>
      <w:r w:rsidR="00496256" w:rsidRPr="009776FE">
        <w:t xml:space="preserve"> </w:t>
      </w:r>
      <w:r>
        <w:t>bei</w:t>
      </w:r>
      <w:r w:rsidR="00496256" w:rsidRPr="009776FE">
        <w:t xml:space="preserve"> investuotojų lūkesčių.</w:t>
      </w:r>
    </w:p>
    <w:p w:rsidR="00D14500" w:rsidRPr="009776FE" w:rsidRDefault="00D14500" w:rsidP="00D14500">
      <w:r>
        <w:t>Literatūroje pastebima, jog d</w:t>
      </w:r>
      <w:r w:rsidRPr="009776FE">
        <w:t xml:space="preserve">ividendų svarba ypatingai </w:t>
      </w:r>
      <w:r>
        <w:t>išauga</w:t>
      </w:r>
      <w:r w:rsidRPr="009776FE">
        <w:t xml:space="preserve"> ekonominio sunkmečio laikotarpiu. Kaip pažymi Chiang,</w:t>
      </w:r>
      <w:r w:rsidRPr="0038577C">
        <w:t xml:space="preserve"> et al. </w:t>
      </w:r>
      <w:r w:rsidRPr="009776FE">
        <w:t>(2006), dividendų reikšmė tampa mažai pastebima, kuomet rinkoje jaučiami sentimentai į „augimą“ orientuotoms akcijoms, tačiau minėtų akcijų kainoms tiesiog nevaldomai krentant, investuotojai iš naujo atranda dividendines akcijas - tokiu momentu svarbiausia užtikrinti finansinių aktyvų palaikymą ir saugią investicinę grąžą.</w:t>
      </w:r>
    </w:p>
    <w:p w:rsidR="00D14500" w:rsidRPr="009776FE" w:rsidRDefault="00D14500" w:rsidP="00D14500">
      <w:r w:rsidRPr="009776FE">
        <w:t>Įmonės dividendų politika, kaip mokslinių tyr</w:t>
      </w:r>
      <w:r w:rsidR="00747731">
        <w:t>imų objektas, aktyviai nagrinėja</w:t>
      </w:r>
      <w:r w:rsidRPr="009776FE">
        <w:t>ma 5 dešimtmečius, bet iš tiesų dividendų politikos mokslas formavosi per pastaruosius šimtmečius (Frankfurter, Wood, 2003). Įmonės dividendų politikos svarba atsidūrė moderniųjų finansų ir finansų ekonomikos centre po taip vadinamo „žvirblio rankoje“ teiginio, kuriam pagrindą suteikė Graham ir Dodd (1934), o vėliau racionalų tokių modelių aiškinimą pat</w:t>
      </w:r>
      <w:r>
        <w:t>eikė Gordon ir Shapiro (1956), dar</w:t>
      </w:r>
      <w:r w:rsidRPr="009776FE">
        <w:t xml:space="preserve"> vėliau Gordon (1963), Solomon (1963), Walter (1963). </w:t>
      </w:r>
    </w:p>
    <w:p w:rsidR="00D14500" w:rsidRPr="009776FE" w:rsidRDefault="00D14500" w:rsidP="00D14500">
      <w:r w:rsidRPr="009776FE">
        <w:t>Nors dividendus mokančių bendrovių skaičius paskutiniais dešimtmečiais mažėjo, o kai kurie autoriai netgi nagrinėjo nykstančių dividendų problematiką (Fama ir French, 2001), išmokamų dividendų apimtys tendencingai augo. Tokias finansų rinkų paradigmas iš esmės tyrinėja dividendų politikos teorijos.</w:t>
      </w:r>
    </w:p>
    <w:p w:rsidR="00EF62CB" w:rsidRPr="001B74B6" w:rsidRDefault="00E3315B" w:rsidP="00EF62CB">
      <w:r>
        <w:t>Visų pirma, prieš analizuojant dividendų politikos teorijas, reiktų apibrėžti skirtingus dividendų išmokėjimo tipus. F</w:t>
      </w:r>
      <w:r w:rsidR="00EF62CB">
        <w:t>inansų teorijoje d</w:t>
      </w:r>
      <w:r w:rsidR="00EF62CB" w:rsidRPr="001B74B6">
        <w:t xml:space="preserve">ividendai pagal </w:t>
      </w:r>
      <w:r w:rsidR="00EF62CB">
        <w:t>savo prigimtį</w:t>
      </w:r>
      <w:r>
        <w:t xml:space="preserve"> dažniausiai</w:t>
      </w:r>
      <w:r w:rsidR="00EF62CB">
        <w:t xml:space="preserve"> klasifikuojami į </w:t>
      </w:r>
      <w:r>
        <w:t>tris tipus</w:t>
      </w:r>
      <w:r w:rsidR="00EF62CB">
        <w:t>: piniginius dividendus, imituotus dividendus ir akcijų supirkimą:</w:t>
      </w:r>
    </w:p>
    <w:p w:rsidR="00EF62CB" w:rsidRPr="00F45D07" w:rsidRDefault="00EF62CB" w:rsidP="00EF62CB">
      <w:pPr>
        <w:rPr>
          <w:b/>
        </w:rPr>
      </w:pPr>
      <w:r w:rsidRPr="00F45D07">
        <w:t>Kuomet piniginiai dividendai</w:t>
      </w:r>
      <w:r>
        <w:rPr>
          <w:b/>
        </w:rPr>
        <w:t xml:space="preserve"> </w:t>
      </w:r>
      <w:r w:rsidRPr="00237291">
        <w:t>(angl. cash dividends)</w:t>
      </w:r>
      <w:r w:rsidRPr="009776FE">
        <w:rPr>
          <w:b/>
        </w:rPr>
        <w:t xml:space="preserve"> </w:t>
      </w:r>
      <w:r>
        <w:t xml:space="preserve">yra </w:t>
      </w:r>
      <w:r w:rsidR="006E08AC">
        <w:t>įprasta dividendų mokėjimo forma</w:t>
      </w:r>
      <w:r>
        <w:t>, e</w:t>
      </w:r>
      <w:r w:rsidRPr="009776FE">
        <w:t>sant likvidžios rinkos sąlygoms, racionalus investuotojas, turėdamas likvidumo poreikį performuojant akcijų portfelį</w:t>
      </w:r>
      <w:r>
        <w:t>, pats suformuoja paskirstomą sumą</w:t>
      </w:r>
      <w:r w:rsidRPr="009776FE">
        <w:t xml:space="preserve">, parduodamas dalį aktyvų ir nepatirdamas jokių papildomų kaštų (Banerjee, Gatchev, Spindt, 2005). Tokiu atveju investuotojas nemato didelio skirtumo tarp gaunamų piniginių dividendų sumos ir tarp parduodamų akcijų vertės. </w:t>
      </w:r>
      <w:r>
        <w:t xml:space="preserve">Tokia dividendų rūšis vadinama </w:t>
      </w:r>
      <w:r w:rsidRPr="00F45D07">
        <w:t>imituotais dividendai iš aktyvų pardavimo</w:t>
      </w:r>
      <w:r w:rsidRPr="009776FE">
        <w:rPr>
          <w:b/>
        </w:rPr>
        <w:t xml:space="preserve"> </w:t>
      </w:r>
      <w:r w:rsidRPr="009776FE">
        <w:t>(angl. homemade dividends)</w:t>
      </w:r>
    </w:p>
    <w:p w:rsidR="00EF62CB" w:rsidRDefault="00EF62CB" w:rsidP="00EF62CB">
      <w:r w:rsidRPr="009776FE">
        <w:t>Fama ir French (</w:t>
      </w:r>
      <w:r w:rsidRPr="009776FE">
        <w:rPr>
          <w:lang w:val="en-US"/>
        </w:rPr>
        <w:t xml:space="preserve">2001) </w:t>
      </w:r>
      <w:r w:rsidRPr="009776FE">
        <w:t xml:space="preserve">savo moksliniame darbe pastebėjo dividendus mokančių įmonių skaičiaus mažėjimo tendenciją. </w:t>
      </w:r>
      <w:r>
        <w:t>Pasak Fama ir French (</w:t>
      </w:r>
      <w:r w:rsidRPr="009776FE">
        <w:t>2001</w:t>
      </w:r>
      <w:r>
        <w:t>), toks reiškinys paaiškinamas  vis populiarėjančiu įmonės savų akcijų supirkimu (angl. stock repurchases)</w:t>
      </w:r>
      <w:r w:rsidRPr="009776FE">
        <w:t>. Chahyadi, Salas (2010) teigia, jog jei laikytume savas akcijas superkančias įmon</w:t>
      </w:r>
      <w:r>
        <w:t xml:space="preserve">es dividendų mokėtojais, </w:t>
      </w:r>
      <w:r w:rsidRPr="009776FE">
        <w:t>būtų</w:t>
      </w:r>
      <w:r>
        <w:t xml:space="preserve"> galima</w:t>
      </w:r>
      <w:r w:rsidRPr="009776FE">
        <w:t xml:space="preserve"> pilnai paaiškinti dividendus</w:t>
      </w:r>
      <w:r>
        <w:t xml:space="preserve"> mokančių įmonių sumažėjimą</w:t>
      </w:r>
      <w:r w:rsidRPr="009776FE">
        <w:t>. Dividendinių akcijų elgseną ir akcijų supirkimą detaliau savo moksliniuose darbuose n</w:t>
      </w:r>
      <w:r>
        <w:t xml:space="preserve">agrinėjo Baker, </w:t>
      </w:r>
      <w:r w:rsidRPr="009776FE">
        <w:t>Wurgler (2004) ir kiti autoriai</w:t>
      </w:r>
    </w:p>
    <w:p w:rsidR="000C2C03" w:rsidRPr="009776FE" w:rsidRDefault="00D14500" w:rsidP="001448DF">
      <w:r>
        <w:lastRenderedPageBreak/>
        <w:t>Kaip jau minėta prieš tai,</w:t>
      </w:r>
      <w:r w:rsidR="000C2C03" w:rsidRPr="009776FE">
        <w:t xml:space="preserve"> ekonominį pagrindą dividendų politikai suteikė „žvirblio rankoje“ modeli</w:t>
      </w:r>
      <w:r w:rsidR="007A3AA8">
        <w:t>s</w:t>
      </w:r>
      <w:r w:rsidR="000C2C03" w:rsidRPr="009776FE">
        <w:t xml:space="preserve"> (Gordon, Shapiro, 1956), tačiau vėliau kai kurie autoriai ėmėsi nagri</w:t>
      </w:r>
      <w:r w:rsidR="007A3AA8">
        <w:t>nėti dividendų politikos teorijos</w:t>
      </w:r>
      <w:r w:rsidR="000C2C03" w:rsidRPr="009776FE">
        <w:t xml:space="preserve"> irelevantiškumo</w:t>
      </w:r>
      <w:r w:rsidR="007A3AA8">
        <w:t xml:space="preserve"> principo</w:t>
      </w:r>
      <w:r w:rsidR="000C2C03" w:rsidRPr="009776FE">
        <w:t xml:space="preserve"> (Miller, Modigliani, 1961). Nepaisant </w:t>
      </w:r>
      <w:r w:rsidR="008A090F" w:rsidRPr="009776FE">
        <w:t>dviejų</w:t>
      </w:r>
      <w:r w:rsidR="00F573F5" w:rsidRPr="009776FE">
        <w:t xml:space="preserve"> esminių įmonės</w:t>
      </w:r>
      <w:r w:rsidR="008A090F" w:rsidRPr="009776FE">
        <w:t xml:space="preserve"> dividendų politikos pozicijų</w:t>
      </w:r>
      <w:r w:rsidR="000C2C03" w:rsidRPr="009776FE">
        <w:t>, liter</w:t>
      </w:r>
      <w:r w:rsidR="00F573F5" w:rsidRPr="009776FE">
        <w:t>a</w:t>
      </w:r>
      <w:r w:rsidR="000C2C03" w:rsidRPr="009776FE">
        <w:t>tūroje dažnai įvardijama daugiau dividendų politiką nagrinėjančių teorinių modelių (Chang, et al., 2006):</w:t>
      </w:r>
    </w:p>
    <w:p w:rsidR="000275BE" w:rsidRDefault="000275BE" w:rsidP="002C032C">
      <w:pPr>
        <w:pStyle w:val="ListParagraph"/>
        <w:numPr>
          <w:ilvl w:val="0"/>
          <w:numId w:val="8"/>
        </w:numPr>
      </w:pPr>
      <w:r>
        <w:t>Brandos stadijos hipotezė;</w:t>
      </w:r>
    </w:p>
    <w:p w:rsidR="00281424" w:rsidRPr="009776FE" w:rsidRDefault="001F0819" w:rsidP="002C032C">
      <w:pPr>
        <w:pStyle w:val="ListParagraph"/>
        <w:numPr>
          <w:ilvl w:val="0"/>
          <w:numId w:val="8"/>
        </w:numPr>
      </w:pPr>
      <w:r w:rsidRPr="009776FE">
        <w:t>Mokesčių poveikio modeliai;</w:t>
      </w:r>
    </w:p>
    <w:p w:rsidR="00281424" w:rsidRPr="009776FE" w:rsidRDefault="001F0819" w:rsidP="002C032C">
      <w:pPr>
        <w:pStyle w:val="ListParagraph"/>
        <w:numPr>
          <w:ilvl w:val="0"/>
          <w:numId w:val="8"/>
        </w:numPr>
      </w:pPr>
      <w:r w:rsidRPr="009776FE">
        <w:t>Klientūros poveikio modeliai;</w:t>
      </w:r>
    </w:p>
    <w:p w:rsidR="00A80EBA" w:rsidRPr="009776FE" w:rsidRDefault="001F0819" w:rsidP="002C032C">
      <w:pPr>
        <w:pStyle w:val="ListParagraph"/>
        <w:numPr>
          <w:ilvl w:val="0"/>
          <w:numId w:val="8"/>
        </w:numPr>
      </w:pPr>
      <w:r w:rsidRPr="009776FE">
        <w:t>Signalizavimo modeliai;</w:t>
      </w:r>
    </w:p>
    <w:p w:rsidR="00281424" w:rsidRPr="009776FE" w:rsidRDefault="001F0819" w:rsidP="002C032C">
      <w:pPr>
        <w:pStyle w:val="ListParagraph"/>
        <w:numPr>
          <w:ilvl w:val="0"/>
          <w:numId w:val="8"/>
        </w:numPr>
      </w:pPr>
      <w:r w:rsidRPr="009776FE">
        <w:t>Agentavimo</w:t>
      </w:r>
      <w:r w:rsidR="000275BE">
        <w:t xml:space="preserve"> (laisvo pinigų srauto)</w:t>
      </w:r>
      <w:r w:rsidRPr="009776FE">
        <w:t xml:space="preserve"> teoriniai modeliai;</w:t>
      </w:r>
    </w:p>
    <w:p w:rsidR="000950F1" w:rsidRPr="009776FE" w:rsidRDefault="001F0819" w:rsidP="002C032C">
      <w:pPr>
        <w:pStyle w:val="ListParagraph"/>
        <w:numPr>
          <w:ilvl w:val="0"/>
          <w:numId w:val="8"/>
        </w:numPr>
      </w:pPr>
      <w:r w:rsidRPr="009776FE">
        <w:t>Pataikavimo teorija;</w:t>
      </w:r>
    </w:p>
    <w:p w:rsidR="000A499F" w:rsidRPr="009776FE" w:rsidRDefault="00281424" w:rsidP="002C032C">
      <w:pPr>
        <w:pStyle w:val="ListParagraph"/>
        <w:numPr>
          <w:ilvl w:val="0"/>
          <w:numId w:val="8"/>
        </w:numPr>
      </w:pPr>
      <w:r w:rsidRPr="009776FE">
        <w:t>Psichologiniai/sociologiniai modeliai</w:t>
      </w:r>
      <w:r w:rsidR="001F0819" w:rsidRPr="009776FE">
        <w:t>.</w:t>
      </w:r>
    </w:p>
    <w:p w:rsidR="000275BE" w:rsidRDefault="000275BE" w:rsidP="00797B7D">
      <w:pPr>
        <w:rPr>
          <w:b/>
        </w:rPr>
      </w:pPr>
      <w:r>
        <w:rPr>
          <w:b/>
        </w:rPr>
        <w:t xml:space="preserve">Brandos stadijos hipotezė. </w:t>
      </w:r>
      <w:r>
        <w:t>Dividendų signalai atspindi įmonės brandos stadiją. Kuomet įmonė didina (mažina) išmokamų dividendų dydį, laikoma, jog įmonė pasiekė brandos ciklo lygį (grįžo į ankstesnę stadiją), patirdama mažesnę (didesnę) sisteminę riziką (DeAngelo, Deangelo, Stulz, 2006).</w:t>
      </w:r>
    </w:p>
    <w:p w:rsidR="000A499F" w:rsidRPr="009776FE" w:rsidRDefault="00281424" w:rsidP="00797B7D">
      <w:r w:rsidRPr="009776FE">
        <w:rPr>
          <w:b/>
        </w:rPr>
        <w:t>Mokesčių poveikio modeliai.</w:t>
      </w:r>
      <w:r w:rsidRPr="009776FE">
        <w:t xml:space="preserve"> </w:t>
      </w:r>
      <w:r w:rsidR="000A499F" w:rsidRPr="009776FE">
        <w:t>Dunbar, Veliotis</w:t>
      </w:r>
      <w:r w:rsidR="00797B7D" w:rsidRPr="009776FE">
        <w:t xml:space="preserve"> </w:t>
      </w:r>
      <w:r w:rsidR="000A499F" w:rsidRPr="009776FE">
        <w:t xml:space="preserve"> </w:t>
      </w:r>
      <w:r w:rsidR="00797B7D" w:rsidRPr="009776FE">
        <w:t>(</w:t>
      </w:r>
      <w:r w:rsidR="000A499F" w:rsidRPr="009776FE">
        <w:t>2012</w:t>
      </w:r>
      <w:r w:rsidR="00797B7D" w:rsidRPr="009776FE">
        <w:t>)</w:t>
      </w:r>
      <w:r w:rsidR="003A0529" w:rsidRPr="009776FE">
        <w:t xml:space="preserve"> atliktas</w:t>
      </w:r>
      <w:r w:rsidR="00797B7D" w:rsidRPr="009776FE">
        <w:t xml:space="preserve"> </w:t>
      </w:r>
      <w:r w:rsidR="00986EAC" w:rsidRPr="009776FE">
        <w:t xml:space="preserve">tyrimas, kuriame analizuojama </w:t>
      </w:r>
      <w:r w:rsidR="00797B7D" w:rsidRPr="009776FE">
        <w:t>mokesčių lengvatos privilegijuotoms akcijoms</w:t>
      </w:r>
      <w:r w:rsidR="00986EAC" w:rsidRPr="009776FE">
        <w:t xml:space="preserve"> įtaka</w:t>
      </w:r>
      <w:r w:rsidR="000A499F" w:rsidRPr="009776FE">
        <w:t>,</w:t>
      </w:r>
      <w:r w:rsidR="003A0529" w:rsidRPr="009776FE">
        <w:t xml:space="preserve"> parodė,</w:t>
      </w:r>
      <w:r w:rsidR="000A499F" w:rsidRPr="009776FE">
        <w:t xml:space="preserve"> jog Jungtinėse Amerikos Valstijose lengvatinių nuolaidų bazė, </w:t>
      </w:r>
      <w:r w:rsidR="00797B7D" w:rsidRPr="009776FE">
        <w:t>taikoma nuo</w:t>
      </w:r>
      <w:r w:rsidR="000A499F" w:rsidRPr="009776FE">
        <w:t xml:space="preserve"> 2003 met</w:t>
      </w:r>
      <w:r w:rsidR="00797B7D" w:rsidRPr="009776FE">
        <w:t>ų</w:t>
      </w:r>
      <w:r w:rsidR="000A499F" w:rsidRPr="009776FE">
        <w:t>, tur</w:t>
      </w:r>
      <w:r w:rsidR="00797B7D" w:rsidRPr="009776FE">
        <w:t>i</w:t>
      </w:r>
      <w:r w:rsidR="000A499F" w:rsidRPr="009776FE">
        <w:t xml:space="preserve"> pastebimą poveikį privilegijuot</w:t>
      </w:r>
      <w:r w:rsidR="00797B7D" w:rsidRPr="009776FE">
        <w:t>ų</w:t>
      </w:r>
      <w:r w:rsidR="000A499F" w:rsidRPr="009776FE">
        <w:t xml:space="preserve"> akci</w:t>
      </w:r>
      <w:r w:rsidR="00797B7D" w:rsidRPr="009776FE">
        <w:t xml:space="preserve">jų (angl. </w:t>
      </w:r>
      <w:r w:rsidR="00A258E1" w:rsidRPr="009776FE">
        <w:t>c</w:t>
      </w:r>
      <w:r w:rsidR="00797B7D" w:rsidRPr="009776FE">
        <w:t>onventional prefered stocks)</w:t>
      </w:r>
      <w:r w:rsidR="000A499F" w:rsidRPr="009776FE">
        <w:t>, kurioms</w:t>
      </w:r>
      <w:r w:rsidR="002F6598" w:rsidRPr="009776FE">
        <w:t xml:space="preserve"> pradėtas taikyti lengvatinis 15</w:t>
      </w:r>
      <w:r w:rsidR="000A499F" w:rsidRPr="009776FE">
        <w:t>% apmokestinimo tarifas</w:t>
      </w:r>
      <w:r w:rsidR="00797B7D" w:rsidRPr="009776FE">
        <w:t>, grąžai</w:t>
      </w:r>
      <w:r w:rsidR="008F44E8" w:rsidRPr="009776FE">
        <w:t>.</w:t>
      </w:r>
      <w:r w:rsidR="002F6598" w:rsidRPr="009776FE">
        <w:t xml:space="preserve"> Investiciniu atžvilgiu privilegijuotosios akcijos tapo patrauklesnės nei kolektyvinės obligacijos</w:t>
      </w:r>
      <w:r w:rsidR="008F44E8" w:rsidRPr="009776FE">
        <w:t xml:space="preserve"> dėl jų mokestinio patrauklumo, tačiau </w:t>
      </w:r>
      <w:r w:rsidR="004525F2" w:rsidRPr="009776FE">
        <w:t>laukiama privilegijuotų</w:t>
      </w:r>
      <w:r w:rsidR="008F44E8" w:rsidRPr="009776FE">
        <w:t xml:space="preserve"> akcijų grąža sumenko</w:t>
      </w:r>
      <w:r w:rsidR="004525F2" w:rsidRPr="009776FE">
        <w:t xml:space="preserve">. </w:t>
      </w:r>
      <w:r w:rsidR="00797B7D" w:rsidRPr="009776FE">
        <w:t>N</w:t>
      </w:r>
      <w:r w:rsidR="004525F2" w:rsidRPr="009776FE">
        <w:t>ors faktinis mokesčių sumažėjimas siekė nuo 35% iki 15%, tačiau numanomi mokesčiai (angl. implicit tax) padidėjo nuo 11,6% iki 19,2%</w:t>
      </w:r>
      <w:r w:rsidR="002F6598" w:rsidRPr="009776FE">
        <w:t xml:space="preserve"> (Dunbar, Veliotis, 2012)</w:t>
      </w:r>
      <w:r w:rsidR="004525F2" w:rsidRPr="009776FE">
        <w:t xml:space="preserve">. Pagal numanomų mokesčių </w:t>
      </w:r>
      <w:r w:rsidR="00A258E1" w:rsidRPr="009776FE">
        <w:t>sampratą</w:t>
      </w:r>
      <w:r w:rsidR="004525F2" w:rsidRPr="009776FE">
        <w:t xml:space="preserve">, galima prieiti išvados, jog grąža iš tradicinių privilegijuotų akcijų sumenko vidutiniškai 7,6%, lyginant </w:t>
      </w:r>
      <w:r w:rsidR="000F0AC0" w:rsidRPr="009776FE">
        <w:t>su</w:t>
      </w:r>
      <w:r w:rsidR="00CE5482">
        <w:t xml:space="preserve"> pirmenybiniais kredito įstaigų VP</w:t>
      </w:r>
      <w:r w:rsidR="000F0AC0" w:rsidRPr="009776FE">
        <w:t xml:space="preserve"> </w:t>
      </w:r>
      <w:r w:rsidR="00A258E1" w:rsidRPr="009776FE">
        <w:t xml:space="preserve">(angl. </w:t>
      </w:r>
      <w:r w:rsidR="000F0AC0" w:rsidRPr="009776FE">
        <w:t>trust preffered securities</w:t>
      </w:r>
      <w:r w:rsidR="00A258E1" w:rsidRPr="009776FE">
        <w:t>)</w:t>
      </w:r>
      <w:r w:rsidR="000F0AC0" w:rsidRPr="009776FE">
        <w:t>. Minėtų autorių tyrimo rezultatai rodo, jog mokesčių irelevantiškumo teorija neturi praktinio pagrind</w:t>
      </w:r>
      <w:r w:rsidR="00797B7D" w:rsidRPr="009776FE">
        <w:t>imo, o dividendų mokestinės lengvatos tęstinumas turi išlikti svarbiu debatų objektu.</w:t>
      </w:r>
    </w:p>
    <w:p w:rsidR="00507C67" w:rsidRPr="009776FE" w:rsidRDefault="00281424" w:rsidP="002E1CFF">
      <w:r w:rsidRPr="009776FE">
        <w:rPr>
          <w:b/>
        </w:rPr>
        <w:t>Klientūros poveikio modeliai</w:t>
      </w:r>
      <w:r w:rsidRPr="009776FE">
        <w:t xml:space="preserve"> teoriškai yra artimi prieš tai nagrinėtiems mokesčių poveikio modeliams</w:t>
      </w:r>
      <w:r w:rsidR="007B04C4" w:rsidRPr="009776FE">
        <w:t xml:space="preserve">. Investuotojų preferencijos renkantis dividendinės akcijas pasireiškia skirtingai (investuotojai renkasi akcijas kurios labiausiai atitinka jų lūkesčius), todėl būtent šį reiškinį nagrinėja klientūros poveikio efektas. </w:t>
      </w:r>
      <w:r w:rsidR="00507C67" w:rsidRPr="009776FE">
        <w:t>Miller ir Modigliani (1961) pastebėjo, jog kalbant apie dividendų politiką suderinamumas įmanomas tik tarp investuotojų, pageidaujančių dividendų, ir bendrovių, kurioms brangiai nekainuoja patenkinti tokius investuotojų lūkesčius, kitaip tariant bendrovės nustato savo dividendų politiką, o investuotojai renkasi, priklausomai nuo jų polink</w:t>
      </w:r>
      <w:r w:rsidR="00F63940" w:rsidRPr="009776FE">
        <w:t xml:space="preserve">io </w:t>
      </w:r>
      <w:r w:rsidR="00507C67" w:rsidRPr="009776FE">
        <w:t xml:space="preserve">dividendinėms akcijoms </w:t>
      </w:r>
      <w:r w:rsidR="00507C67" w:rsidRPr="009776FE">
        <w:lastRenderedPageBreak/>
        <w:t>(Ivkovic, Weisbenne</w:t>
      </w:r>
      <w:r w:rsidR="00F162C1" w:rsidRPr="009776FE">
        <w:t>r</w:t>
      </w:r>
      <w:r w:rsidR="00507C67" w:rsidRPr="009776FE">
        <w:t>r, 2011). Pastarieji au</w:t>
      </w:r>
      <w:r w:rsidR="003B33C8" w:rsidRPr="009776FE">
        <w:t>toriai tyrinėdami investuotojų, t.y. klientūros,</w:t>
      </w:r>
      <w:r w:rsidR="00507C67" w:rsidRPr="009776FE">
        <w:t xml:space="preserve"> rolę įmonės dividendų politikos paklausai, išskyrė savo tyrinėjamą populiaciją į dvi grupes – senjorus (vyresnius kaip 65 metų amžiaus), vietinius gyventojus</w:t>
      </w:r>
      <w:r w:rsidR="008D2071" w:rsidRPr="009776FE">
        <w:t>. Siekdami tikslesnių rezultatų autoriai grupes apjungė į vieną – vietinių senjorų. Gauti rezultatai parodė teigiamą efektą senjorų tarpe, tyrinėjant</w:t>
      </w:r>
      <w:r w:rsidR="007B04C4" w:rsidRPr="009776FE">
        <w:t xml:space="preserve"> reakciją į</w:t>
      </w:r>
      <w:r w:rsidR="008D2071" w:rsidRPr="009776FE">
        <w:t xml:space="preserve"> vietinių bendrovių dividendų </w:t>
      </w:r>
      <w:r w:rsidR="007B04C4" w:rsidRPr="009776FE">
        <w:t>iš</w:t>
      </w:r>
      <w:r w:rsidR="008D2071" w:rsidRPr="009776FE">
        <w:t xml:space="preserve">mokėjimą, </w:t>
      </w:r>
      <w:r w:rsidR="007B04C4" w:rsidRPr="009776FE">
        <w:t>iniciatyvas</w:t>
      </w:r>
      <w:r w:rsidR="002E1CFF" w:rsidRPr="009776FE">
        <w:t xml:space="preserve"> </w:t>
      </w:r>
      <w:r w:rsidR="007B04C4" w:rsidRPr="009776FE">
        <w:t>dividendams mokėti</w:t>
      </w:r>
      <w:r w:rsidR="008D2071" w:rsidRPr="009776FE">
        <w:t>, dividendų p</w:t>
      </w:r>
      <w:r w:rsidR="00F70833">
        <w:t>ajamingu</w:t>
      </w:r>
      <w:r w:rsidR="007B04C4" w:rsidRPr="009776FE">
        <w:t>mo rodiklio reikšmes</w:t>
      </w:r>
      <w:r w:rsidR="008D2071" w:rsidRPr="009776FE">
        <w:t>.</w:t>
      </w:r>
      <w:r w:rsidR="002E1CFF" w:rsidRPr="009776FE">
        <w:t xml:space="preserve"> Įmonės iniciatyva mokėti dividendus senjorų tarpe </w:t>
      </w:r>
      <w:r w:rsidR="00A80EBA" w:rsidRPr="009776FE">
        <w:t>pasireiškė kaip ne mažiau svarbus</w:t>
      </w:r>
      <w:r w:rsidR="002E1CFF" w:rsidRPr="009776FE">
        <w:t xml:space="preserve"> faktorius nei įmonės dydis ar amžius.</w:t>
      </w:r>
    </w:p>
    <w:p w:rsidR="00F63940" w:rsidRPr="009776FE" w:rsidRDefault="00F63940" w:rsidP="002E1CFF">
      <w:r w:rsidRPr="009776FE">
        <w:t>Miller ir Modigliani (1961)</w:t>
      </w:r>
      <w:r w:rsidR="007B04C4" w:rsidRPr="009776FE">
        <w:t xml:space="preserve"> taip pat</w:t>
      </w:r>
      <w:r w:rsidRPr="009776FE">
        <w:t xml:space="preserve"> pastebėjo, jog įmonės pritraukia dividendų klientūrą, pasinaudodamos jų polinkiu į aukštus dividendų išmokėjimo koeficientus.</w:t>
      </w:r>
      <w:r w:rsidR="00840AEB" w:rsidRPr="009776FE">
        <w:t xml:space="preserve"> Aptarnavimo įmonės turi aukštus dividendų išmokėjimo rodiklius, jos pritraukia akcininkus, kurie renkasi pajamas dabar, atsisakydami pajamų ateityje (Baker, Powell, 2000).</w:t>
      </w:r>
    </w:p>
    <w:p w:rsidR="002E42DB" w:rsidRDefault="003A0529" w:rsidP="00F162C1">
      <w:pPr>
        <w:rPr>
          <w:rFonts w:cs="Times New Roman"/>
          <w:szCs w:val="24"/>
        </w:rPr>
      </w:pPr>
      <w:r w:rsidRPr="009776FE">
        <w:rPr>
          <w:szCs w:val="24"/>
        </w:rPr>
        <w:t>Bajaj ir Vijh (1990) iškėlė prielaidą, jog dividendų klientūros modelis paaiškina akcijų kainos reakciją į pasikeitusių dividendų naujienas. Jie argument</w:t>
      </w:r>
      <w:r w:rsidR="00117C4F" w:rsidRPr="009776FE">
        <w:rPr>
          <w:szCs w:val="24"/>
        </w:rPr>
        <w:t>avo</w:t>
      </w:r>
      <w:r w:rsidRPr="009776FE">
        <w:rPr>
          <w:szCs w:val="24"/>
        </w:rPr>
        <w:t xml:space="preserve"> šią prielaidą tuo, jog ribinis investuotojas, investuojantis į skir</w:t>
      </w:r>
      <w:r w:rsidR="00117C4F" w:rsidRPr="009776FE">
        <w:rPr>
          <w:szCs w:val="24"/>
        </w:rPr>
        <w:t>tingas akcijas, dividendus vertina skirtingai, todėl</w:t>
      </w:r>
      <w:r w:rsidRPr="009776FE">
        <w:rPr>
          <w:szCs w:val="24"/>
        </w:rPr>
        <w:t xml:space="preserve"> </w:t>
      </w:r>
      <w:r w:rsidR="00117C4F" w:rsidRPr="009776FE">
        <w:rPr>
          <w:rFonts w:cs="Times New Roman"/>
          <w:szCs w:val="24"/>
        </w:rPr>
        <w:t>numatomas dividendų p</w:t>
      </w:r>
      <w:r w:rsidR="00F70833">
        <w:rPr>
          <w:rFonts w:cs="Times New Roman"/>
          <w:szCs w:val="24"/>
        </w:rPr>
        <w:t>ajamingum</w:t>
      </w:r>
      <w:r w:rsidR="00117C4F" w:rsidRPr="009776FE">
        <w:rPr>
          <w:rFonts w:cs="Times New Roman"/>
          <w:szCs w:val="24"/>
        </w:rPr>
        <w:t xml:space="preserve">as yra teoriškai susietas su akcijos kainos reakcijomis į naujienas </w:t>
      </w:r>
      <w:r w:rsidR="00B141ED" w:rsidRPr="009776FE">
        <w:rPr>
          <w:rFonts w:cs="Times New Roman"/>
          <w:szCs w:val="24"/>
        </w:rPr>
        <w:t>apie dividendų pasikeitimą. Vis</w:t>
      </w:r>
      <w:r w:rsidR="00117C4F" w:rsidRPr="009776FE">
        <w:rPr>
          <w:rFonts w:cs="Times New Roman"/>
          <w:szCs w:val="24"/>
        </w:rPr>
        <w:t>gi Kosedag, Qian (2009) teigia, jog tokia prielaida yra empiriškai netiksli, o tam, kad minimalizuoti empirinius netikslumus, autoriai atliko tyrimą,</w:t>
      </w:r>
      <w:r w:rsidR="00050267" w:rsidRPr="009776FE">
        <w:rPr>
          <w:rFonts w:cs="Times New Roman"/>
          <w:szCs w:val="24"/>
        </w:rPr>
        <w:t xml:space="preserve"> kurio rezultatai</w:t>
      </w:r>
      <w:r w:rsidR="00117C4F" w:rsidRPr="009776FE">
        <w:rPr>
          <w:rFonts w:cs="Times New Roman"/>
          <w:szCs w:val="24"/>
        </w:rPr>
        <w:t xml:space="preserve"> atskleidė prieštaringą poziciją:</w:t>
      </w:r>
      <w:r w:rsidR="00050267" w:rsidRPr="009776FE">
        <w:rPr>
          <w:rFonts w:cs="Times New Roman"/>
          <w:szCs w:val="24"/>
        </w:rPr>
        <w:t xml:space="preserve"> dividendų </w:t>
      </w:r>
      <w:r w:rsidR="00F70833">
        <w:rPr>
          <w:rFonts w:cs="Times New Roman"/>
          <w:szCs w:val="24"/>
        </w:rPr>
        <w:t>pajamingum</w:t>
      </w:r>
      <w:r w:rsidR="00050267" w:rsidRPr="009776FE">
        <w:rPr>
          <w:rFonts w:cs="Times New Roman"/>
          <w:szCs w:val="24"/>
        </w:rPr>
        <w:t>o efektas nėra ryškus, o jam poveikį daro informacijos efektas.</w:t>
      </w:r>
    </w:p>
    <w:p w:rsidR="00950BD8" w:rsidRDefault="00C70DB7" w:rsidP="00F162C1">
      <w:pPr>
        <w:rPr>
          <w:rFonts w:cs="Times New Roman"/>
          <w:szCs w:val="24"/>
        </w:rPr>
      </w:pPr>
      <w:r>
        <w:rPr>
          <w:rFonts w:cs="Times New Roman"/>
          <w:szCs w:val="24"/>
        </w:rPr>
        <w:t>Steen (2005) atliko tyrimą, kuriuo autorius siekė nustatyti ryšį tarp institucinių inve</w:t>
      </w:r>
      <w:r w:rsidR="001C6BA9">
        <w:rPr>
          <w:rFonts w:cs="Times New Roman"/>
          <w:szCs w:val="24"/>
        </w:rPr>
        <w:t>stuotojų ir</w:t>
      </w:r>
      <w:r>
        <w:rPr>
          <w:rFonts w:cs="Times New Roman"/>
          <w:szCs w:val="24"/>
        </w:rPr>
        <w:t xml:space="preserve"> įmonės dividendų politikos didžiausiose Europos ir JAV bendrovėse 1988-1998. Autoriaus nuomone, instituciniai investuotojai gali daryti teigiamą įtaką mažiesiems investuotojams efektyviai prisidėdami prie įmonės valdymo, tačiau tuo pačiu ir išsiskiria iš mažųjų investuotojų tarpo dėl </w:t>
      </w:r>
      <w:r w:rsidR="00E24DC7">
        <w:rPr>
          <w:rFonts w:cs="Times New Roman"/>
          <w:szCs w:val="24"/>
        </w:rPr>
        <w:t xml:space="preserve">teikiamos pirmenybės atidėtajam pelnui, iš kurio jie siekia privačios naudos dėl prisiimtos valdymo atsakomybės. Autorius pastebėjo, jog institucinių investuotojų proporcija yra didesnė Europoje, lyginant su JAV (ar Anglija), tuo tarpu įmonės vertė yra atitinkamai mažesnė. Tarp institucinių investuotojų kontrolės ir įmonės vertės pastebėtas neigiamas ryšys, kas reiškia jog investuotojų mažuma vertina nepalankiai </w:t>
      </w:r>
      <w:r w:rsidR="001C6BA9">
        <w:rPr>
          <w:rFonts w:cs="Times New Roman"/>
          <w:szCs w:val="24"/>
        </w:rPr>
        <w:t xml:space="preserve">didelę </w:t>
      </w:r>
      <w:r w:rsidR="00E24DC7">
        <w:rPr>
          <w:rFonts w:cs="Times New Roman"/>
          <w:szCs w:val="24"/>
        </w:rPr>
        <w:t xml:space="preserve">stambiųjų investuotojų </w:t>
      </w:r>
      <w:r w:rsidR="001C6BA9">
        <w:rPr>
          <w:rFonts w:cs="Times New Roman"/>
          <w:szCs w:val="24"/>
        </w:rPr>
        <w:t>įtaką</w:t>
      </w:r>
      <w:r w:rsidR="00E24DC7">
        <w:rPr>
          <w:rFonts w:cs="Times New Roman"/>
          <w:szCs w:val="24"/>
        </w:rPr>
        <w:t xml:space="preserve"> (Steen, 2005). Taip pat, didesnė institucinių investuotojų proporcija Europos įmonių valdyme iš esmės nėra susijusi su mažesniais dividendais</w:t>
      </w:r>
      <w:r w:rsidR="001C6BA9">
        <w:rPr>
          <w:rFonts w:cs="Times New Roman"/>
          <w:szCs w:val="24"/>
        </w:rPr>
        <w:t xml:space="preserve"> (kol institucinių investuotojų kiekis laikosi panašiame lygmenyje)</w:t>
      </w:r>
      <w:r w:rsidR="00E24DC7">
        <w:rPr>
          <w:rFonts w:cs="Times New Roman"/>
          <w:szCs w:val="24"/>
        </w:rPr>
        <w:t>, o akcijų rinka yra linkusi teigiamai reaguoti į išmokamų dividen</w:t>
      </w:r>
      <w:r w:rsidR="001C6BA9">
        <w:rPr>
          <w:rFonts w:cs="Times New Roman"/>
          <w:szCs w:val="24"/>
        </w:rPr>
        <w:t>dų dydžio augimą, kuomet institucinių investuotojų proporcija yra aukštame lygmenyje (Steen, 2005). Tuo tarpu JAV (Anglijos) rinkose didesnis institucinių investuotojų lygmuo įmonės valdyme reiškia mažesnius dividendus, kas vėlgi neigiamai įtakoja įmonės vertę.</w:t>
      </w:r>
      <w:r w:rsidR="00E76E6E">
        <w:rPr>
          <w:rFonts w:cs="Times New Roman"/>
          <w:szCs w:val="24"/>
        </w:rPr>
        <w:t xml:space="preserve"> Amihud ir Li (2006) </w:t>
      </w:r>
      <w:r w:rsidR="00CE5482">
        <w:rPr>
          <w:rFonts w:cs="Times New Roman"/>
          <w:szCs w:val="24"/>
        </w:rPr>
        <w:t>tyrimas iš esmės patvirtina tokį teiginį.</w:t>
      </w:r>
    </w:p>
    <w:p w:rsidR="00CE5482" w:rsidRDefault="00FA6A75" w:rsidP="00F162C1">
      <w:pPr>
        <w:rPr>
          <w:rFonts w:cs="Times New Roman"/>
          <w:szCs w:val="24"/>
        </w:rPr>
      </w:pPr>
      <w:r>
        <w:rPr>
          <w:rFonts w:cs="Times New Roman"/>
          <w:szCs w:val="24"/>
        </w:rPr>
        <w:lastRenderedPageBreak/>
        <w:t>Li (2010) tyrinėjo, kaip instituciniai ir individualūs investuotojai vykdo prekybą dienomis aplink paskutinę įskaičiuotų dividendų dieną (angl. cum-dividend). Autorius pastebėjo, jog institucijos pastebimai kaupia dividendus dėl apmokestinimo ypatumų pirkdami akcijas prieš išskaičiuotų dividendų (angl. ex-dividend) dieną, kuomet dividendai būna „nebeįskaičiuoti“ į akcijos kainą. Tiek institucijos, tiek individualūs investuotojai aktyviau prekiauja paskutinėmis dividendų dienomis, ypač kalbant apie aukšto p</w:t>
      </w:r>
      <w:r w:rsidR="00F70833">
        <w:rPr>
          <w:rFonts w:cs="Times New Roman"/>
          <w:szCs w:val="24"/>
        </w:rPr>
        <w:t>ajamingumo</w:t>
      </w:r>
      <w:r>
        <w:rPr>
          <w:rFonts w:cs="Times New Roman"/>
          <w:szCs w:val="24"/>
        </w:rPr>
        <w:t xml:space="preserve"> akcijas, o instituciniai investuotojai perka kur kas didesniais kiekiais nei individualūs. Ex-dividendų dieną nėra pastebimas perteklinis akcijų pirkimas ar pardavimas, taip pat institucinių investuotojų prekybos intensyvumas įtakoja akcijų kainas įskaičiuotų ir išskaičiuotų dividendų dienomis</w:t>
      </w:r>
      <w:r w:rsidR="00154FF3">
        <w:rPr>
          <w:rFonts w:cs="Times New Roman"/>
          <w:szCs w:val="24"/>
        </w:rPr>
        <w:t>, kas lemia ex-dividendų dienos</w:t>
      </w:r>
      <w:r>
        <w:rPr>
          <w:rFonts w:cs="Times New Roman"/>
          <w:szCs w:val="24"/>
        </w:rPr>
        <w:t xml:space="preserve"> kainos formavimą atitinkama kryptimi.</w:t>
      </w:r>
      <w:r w:rsidR="000A3999">
        <w:rPr>
          <w:rFonts w:cs="Times New Roman"/>
          <w:szCs w:val="24"/>
        </w:rPr>
        <w:t xml:space="preserve"> Rezultatai byloja, jog institucijos vykdo prekyba dividendinėmis dienomis atitinkamai pagal mokesčių preferencijas.</w:t>
      </w:r>
      <w:r w:rsidR="00154FF3">
        <w:rPr>
          <w:rFonts w:cs="Times New Roman"/>
          <w:szCs w:val="24"/>
        </w:rPr>
        <w:t xml:space="preserve"> Apibendrindamas tyrimo rezultatus Li (2010) pateikia skirtingų investuotojų tipų elgseną dividendų dienomis (žr. </w:t>
      </w:r>
      <w:r w:rsidR="00707DF4">
        <w:rPr>
          <w:rFonts w:cs="Times New Roman"/>
          <w:szCs w:val="24"/>
        </w:rPr>
        <w:t>1 lent.</w:t>
      </w:r>
      <w:r w:rsidR="00154FF3">
        <w:rPr>
          <w:rFonts w:cs="Times New Roman"/>
          <w:szCs w:val="24"/>
        </w:rPr>
        <w:t>)</w:t>
      </w:r>
    </w:p>
    <w:p w:rsidR="00D0253A" w:rsidRPr="009776FE" w:rsidRDefault="00B52CA2" w:rsidP="00D0253A">
      <w:pPr>
        <w:pStyle w:val="Caption"/>
      </w:pPr>
      <w:bookmarkStart w:id="23" w:name="_Ref328036502"/>
      <w:r>
        <w:t xml:space="preserve"> </w:t>
      </w:r>
      <w:bookmarkStart w:id="24" w:name="_Toc343677819"/>
      <w:r w:rsidR="00D0253A">
        <w:t>Skirtingų investuotojų tipų elgsena dividendų</w:t>
      </w:r>
      <w:r>
        <w:t xml:space="preserve"> mokėjimo</w:t>
      </w:r>
      <w:r w:rsidR="00D0253A">
        <w:t xml:space="preserve"> dienomis</w:t>
      </w:r>
      <w:bookmarkEnd w:id="23"/>
      <w:bookmarkEnd w:id="24"/>
    </w:p>
    <w:tbl>
      <w:tblPr>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43"/>
        <w:gridCol w:w="2054"/>
        <w:gridCol w:w="2126"/>
        <w:gridCol w:w="1915"/>
        <w:gridCol w:w="1985"/>
      </w:tblGrid>
      <w:tr w:rsidR="000A3999" w:rsidTr="0082679E">
        <w:trPr>
          <w:jc w:val="center"/>
        </w:trPr>
        <w:tc>
          <w:tcPr>
            <w:tcW w:w="1843" w:type="dxa"/>
            <w:vAlign w:val="center"/>
          </w:tcPr>
          <w:p w:rsidR="000A3999" w:rsidRPr="00B52CA2" w:rsidRDefault="00D0253A" w:rsidP="00E977C5">
            <w:pPr>
              <w:spacing w:before="0" w:line="240" w:lineRule="auto"/>
              <w:ind w:firstLine="0"/>
              <w:jc w:val="center"/>
              <w:rPr>
                <w:b/>
              </w:rPr>
            </w:pPr>
            <w:r w:rsidRPr="00B52CA2">
              <w:rPr>
                <w:b/>
              </w:rPr>
              <w:t xml:space="preserve">Investuotojo </w:t>
            </w:r>
            <w:r w:rsidR="00154FF3" w:rsidRPr="00B52CA2">
              <w:rPr>
                <w:b/>
              </w:rPr>
              <w:t>preferencija</w:t>
            </w:r>
            <w:r w:rsidRPr="00B52CA2">
              <w:rPr>
                <w:b/>
              </w:rPr>
              <w:t>:</w:t>
            </w:r>
          </w:p>
        </w:tc>
        <w:tc>
          <w:tcPr>
            <w:tcW w:w="2054" w:type="dxa"/>
            <w:vAlign w:val="center"/>
          </w:tcPr>
          <w:p w:rsidR="000A3999" w:rsidRPr="00B52CA2" w:rsidRDefault="000A3999" w:rsidP="00E977C5">
            <w:pPr>
              <w:spacing w:before="0" w:line="240" w:lineRule="auto"/>
              <w:ind w:firstLine="0"/>
              <w:jc w:val="center"/>
              <w:rPr>
                <w:b/>
              </w:rPr>
            </w:pPr>
            <w:r w:rsidRPr="00B52CA2">
              <w:rPr>
                <w:b/>
              </w:rPr>
              <w:t>Paskutinė dividendų diena</w:t>
            </w:r>
          </w:p>
        </w:tc>
        <w:tc>
          <w:tcPr>
            <w:tcW w:w="2126" w:type="dxa"/>
            <w:vAlign w:val="center"/>
          </w:tcPr>
          <w:p w:rsidR="000A3999" w:rsidRPr="00B52CA2" w:rsidRDefault="000A3999" w:rsidP="00E977C5">
            <w:pPr>
              <w:spacing w:before="0" w:line="240" w:lineRule="auto"/>
              <w:ind w:firstLine="0"/>
              <w:jc w:val="center"/>
              <w:rPr>
                <w:b/>
              </w:rPr>
            </w:pPr>
            <w:r w:rsidRPr="00B52CA2">
              <w:rPr>
                <w:b/>
              </w:rPr>
              <w:t>Ex-dividendų diena</w:t>
            </w:r>
          </w:p>
        </w:tc>
        <w:tc>
          <w:tcPr>
            <w:tcW w:w="1915" w:type="dxa"/>
            <w:vAlign w:val="center"/>
          </w:tcPr>
          <w:p w:rsidR="000A3999" w:rsidRPr="00B52CA2" w:rsidRDefault="000A3999" w:rsidP="00E977C5">
            <w:pPr>
              <w:spacing w:before="0" w:line="240" w:lineRule="auto"/>
              <w:ind w:left="106" w:hanging="106"/>
              <w:jc w:val="center"/>
              <w:rPr>
                <w:b/>
              </w:rPr>
            </w:pPr>
            <w:r w:rsidRPr="00B52CA2">
              <w:rPr>
                <w:b/>
              </w:rPr>
              <w:t>Pavedimo kaštai</w:t>
            </w:r>
          </w:p>
        </w:tc>
        <w:tc>
          <w:tcPr>
            <w:tcW w:w="1985" w:type="dxa"/>
            <w:vAlign w:val="center"/>
          </w:tcPr>
          <w:p w:rsidR="000A3999" w:rsidRPr="00B52CA2" w:rsidRDefault="000A3999" w:rsidP="00E977C5">
            <w:pPr>
              <w:spacing w:before="0" w:line="240" w:lineRule="auto"/>
              <w:ind w:firstLine="0"/>
              <w:jc w:val="center"/>
              <w:rPr>
                <w:b/>
              </w:rPr>
            </w:pPr>
            <w:r w:rsidRPr="00B52CA2">
              <w:rPr>
                <w:b/>
              </w:rPr>
              <w:t>Rizika</w:t>
            </w:r>
          </w:p>
        </w:tc>
      </w:tr>
      <w:tr w:rsidR="000A3999" w:rsidRPr="00D0253A" w:rsidTr="0082679E">
        <w:trPr>
          <w:trHeight w:val="478"/>
          <w:jc w:val="center"/>
        </w:trPr>
        <w:tc>
          <w:tcPr>
            <w:tcW w:w="9923" w:type="dxa"/>
            <w:gridSpan w:val="5"/>
            <w:vAlign w:val="center"/>
          </w:tcPr>
          <w:p w:rsidR="000A3999" w:rsidRPr="00B52CA2" w:rsidRDefault="000A3999" w:rsidP="00E977C5">
            <w:pPr>
              <w:spacing w:before="0" w:line="240" w:lineRule="auto"/>
              <w:ind w:firstLine="0"/>
              <w:jc w:val="center"/>
              <w:rPr>
                <w:b/>
                <w:szCs w:val="24"/>
              </w:rPr>
            </w:pPr>
            <w:r w:rsidRPr="00B52CA2">
              <w:rPr>
                <w:b/>
                <w:szCs w:val="24"/>
              </w:rPr>
              <w:t>Ilgalaikiai holdingo investuotojai</w:t>
            </w:r>
          </w:p>
        </w:tc>
      </w:tr>
      <w:tr w:rsidR="000A3999" w:rsidRPr="00D0253A" w:rsidTr="0082679E">
        <w:trPr>
          <w:jc w:val="center"/>
        </w:trPr>
        <w:tc>
          <w:tcPr>
            <w:tcW w:w="1843" w:type="dxa"/>
            <w:vAlign w:val="center"/>
          </w:tcPr>
          <w:p w:rsidR="000A3999" w:rsidRPr="00B52CA2" w:rsidRDefault="000A3999" w:rsidP="00E977C5">
            <w:pPr>
              <w:spacing w:before="0" w:line="240" w:lineRule="auto"/>
              <w:ind w:firstLine="0"/>
              <w:jc w:val="center"/>
              <w:rPr>
                <w:i/>
                <w:szCs w:val="24"/>
              </w:rPr>
            </w:pPr>
            <w:r w:rsidRPr="00B52CA2">
              <w:rPr>
                <w:i/>
                <w:szCs w:val="24"/>
              </w:rPr>
              <w:t>Neišreikšta</w:t>
            </w:r>
          </w:p>
        </w:tc>
        <w:tc>
          <w:tcPr>
            <w:tcW w:w="2054" w:type="dxa"/>
            <w:vAlign w:val="center"/>
          </w:tcPr>
          <w:p w:rsidR="000A3999" w:rsidRPr="00B52CA2" w:rsidRDefault="000A3999" w:rsidP="00E977C5">
            <w:pPr>
              <w:spacing w:before="0" w:line="240" w:lineRule="auto"/>
              <w:ind w:firstLine="0"/>
              <w:jc w:val="center"/>
              <w:rPr>
                <w:szCs w:val="24"/>
              </w:rPr>
            </w:pPr>
            <w:r w:rsidRPr="00B52CA2">
              <w:rPr>
                <w:szCs w:val="24"/>
              </w:rPr>
              <w:t>Nevykdo prekybos</w:t>
            </w:r>
          </w:p>
        </w:tc>
        <w:tc>
          <w:tcPr>
            <w:tcW w:w="2126" w:type="dxa"/>
            <w:vAlign w:val="center"/>
          </w:tcPr>
          <w:p w:rsidR="000A3999" w:rsidRPr="00B52CA2" w:rsidRDefault="000A3999" w:rsidP="00E977C5">
            <w:pPr>
              <w:spacing w:before="0" w:line="240" w:lineRule="auto"/>
              <w:ind w:firstLine="0"/>
              <w:jc w:val="center"/>
              <w:rPr>
                <w:szCs w:val="24"/>
              </w:rPr>
            </w:pPr>
            <w:r w:rsidRPr="00B52CA2">
              <w:rPr>
                <w:szCs w:val="24"/>
              </w:rPr>
              <w:t>Nevykdo prekybos</w:t>
            </w:r>
          </w:p>
        </w:tc>
        <w:tc>
          <w:tcPr>
            <w:tcW w:w="1915" w:type="dxa"/>
            <w:vAlign w:val="center"/>
          </w:tcPr>
          <w:p w:rsidR="000A3999" w:rsidRPr="00B52CA2" w:rsidRDefault="00D0253A" w:rsidP="00E977C5">
            <w:pPr>
              <w:spacing w:before="0" w:line="240" w:lineRule="auto"/>
              <w:ind w:firstLine="0"/>
              <w:jc w:val="center"/>
              <w:rPr>
                <w:szCs w:val="24"/>
              </w:rPr>
            </w:pPr>
            <w:r w:rsidRPr="00B52CA2">
              <w:rPr>
                <w:szCs w:val="24"/>
              </w:rPr>
              <w:t>Neturi efekto</w:t>
            </w:r>
          </w:p>
        </w:tc>
        <w:tc>
          <w:tcPr>
            <w:tcW w:w="1985" w:type="dxa"/>
            <w:vAlign w:val="center"/>
          </w:tcPr>
          <w:p w:rsidR="000A3999" w:rsidRPr="00B52CA2" w:rsidRDefault="00D0253A" w:rsidP="00E977C5">
            <w:pPr>
              <w:spacing w:before="0" w:line="240" w:lineRule="auto"/>
              <w:ind w:firstLine="0"/>
              <w:jc w:val="center"/>
              <w:rPr>
                <w:szCs w:val="24"/>
              </w:rPr>
            </w:pPr>
            <w:r w:rsidRPr="00B52CA2">
              <w:rPr>
                <w:szCs w:val="24"/>
              </w:rPr>
              <w:t>Neturi efekto</w:t>
            </w:r>
          </w:p>
        </w:tc>
      </w:tr>
      <w:tr w:rsidR="000A3999" w:rsidRPr="00D0253A" w:rsidTr="0082679E">
        <w:trPr>
          <w:trHeight w:val="387"/>
          <w:jc w:val="center"/>
        </w:trPr>
        <w:tc>
          <w:tcPr>
            <w:tcW w:w="9923" w:type="dxa"/>
            <w:gridSpan w:val="5"/>
            <w:vAlign w:val="center"/>
          </w:tcPr>
          <w:p w:rsidR="000A3999" w:rsidRPr="00B52CA2" w:rsidRDefault="000A3999" w:rsidP="00E977C5">
            <w:pPr>
              <w:spacing w:before="0" w:line="240" w:lineRule="auto"/>
              <w:ind w:firstLine="0"/>
              <w:jc w:val="center"/>
              <w:rPr>
                <w:b/>
                <w:szCs w:val="24"/>
              </w:rPr>
            </w:pPr>
            <w:r w:rsidRPr="00B52CA2">
              <w:rPr>
                <w:b/>
                <w:szCs w:val="24"/>
              </w:rPr>
              <w:t>Trumpalaikiai arbitražo investuotojai</w:t>
            </w:r>
          </w:p>
        </w:tc>
      </w:tr>
      <w:tr w:rsidR="000A3999" w:rsidRPr="00D0253A" w:rsidTr="0082679E">
        <w:trPr>
          <w:trHeight w:val="207"/>
          <w:jc w:val="center"/>
        </w:trPr>
        <w:tc>
          <w:tcPr>
            <w:tcW w:w="1843" w:type="dxa"/>
            <w:vAlign w:val="center"/>
          </w:tcPr>
          <w:p w:rsidR="000A3999" w:rsidRPr="00B52CA2" w:rsidRDefault="000A3999" w:rsidP="00E977C5">
            <w:pPr>
              <w:spacing w:before="0" w:line="240" w:lineRule="auto"/>
              <w:ind w:firstLine="0"/>
              <w:jc w:val="center"/>
              <w:rPr>
                <w:i/>
                <w:szCs w:val="24"/>
              </w:rPr>
            </w:pPr>
            <w:r w:rsidRPr="00B52CA2">
              <w:rPr>
                <w:i/>
                <w:szCs w:val="24"/>
              </w:rPr>
              <w:t>Dividenda</w:t>
            </w:r>
            <w:r w:rsidR="0082679E">
              <w:rPr>
                <w:i/>
                <w:szCs w:val="24"/>
              </w:rPr>
              <w:t>i</w:t>
            </w:r>
          </w:p>
        </w:tc>
        <w:tc>
          <w:tcPr>
            <w:tcW w:w="2054" w:type="dxa"/>
            <w:vAlign w:val="center"/>
          </w:tcPr>
          <w:p w:rsidR="000A3999" w:rsidRPr="00B52CA2" w:rsidRDefault="000A3999" w:rsidP="00E977C5">
            <w:pPr>
              <w:spacing w:before="0" w:line="240" w:lineRule="auto"/>
              <w:ind w:firstLine="0"/>
              <w:jc w:val="center"/>
              <w:rPr>
                <w:szCs w:val="24"/>
              </w:rPr>
            </w:pPr>
            <w:r w:rsidRPr="00B52CA2">
              <w:rPr>
                <w:szCs w:val="24"/>
              </w:rPr>
              <w:t>Perka</w:t>
            </w:r>
          </w:p>
        </w:tc>
        <w:tc>
          <w:tcPr>
            <w:tcW w:w="2126" w:type="dxa"/>
            <w:vAlign w:val="center"/>
          </w:tcPr>
          <w:p w:rsidR="000A3999" w:rsidRPr="00B52CA2" w:rsidRDefault="000A3999" w:rsidP="00E977C5">
            <w:pPr>
              <w:spacing w:before="0" w:line="240" w:lineRule="auto"/>
              <w:ind w:firstLine="0"/>
              <w:jc w:val="center"/>
              <w:rPr>
                <w:szCs w:val="24"/>
              </w:rPr>
            </w:pPr>
            <w:r w:rsidRPr="00B52CA2">
              <w:rPr>
                <w:szCs w:val="24"/>
              </w:rPr>
              <w:t>Parduoda</w:t>
            </w:r>
          </w:p>
        </w:tc>
        <w:tc>
          <w:tcPr>
            <w:tcW w:w="1915" w:type="dxa"/>
            <w:vAlign w:val="center"/>
          </w:tcPr>
          <w:p w:rsidR="000A3999" w:rsidRPr="00B52CA2" w:rsidRDefault="000A3999" w:rsidP="00E977C5">
            <w:pPr>
              <w:spacing w:before="0" w:line="240" w:lineRule="auto"/>
              <w:ind w:firstLine="0"/>
              <w:jc w:val="center"/>
              <w:rPr>
                <w:szCs w:val="24"/>
              </w:rPr>
            </w:pPr>
            <w:r w:rsidRPr="00B52CA2">
              <w:rPr>
                <w:szCs w:val="24"/>
              </w:rPr>
              <w:t>Apriboja prekybą</w:t>
            </w:r>
          </w:p>
        </w:tc>
        <w:tc>
          <w:tcPr>
            <w:tcW w:w="1985" w:type="dxa"/>
            <w:vAlign w:val="center"/>
          </w:tcPr>
          <w:p w:rsidR="000A3999" w:rsidRPr="00B52CA2" w:rsidRDefault="000A3999" w:rsidP="00E977C5">
            <w:pPr>
              <w:spacing w:before="0" w:line="240" w:lineRule="auto"/>
              <w:ind w:firstLine="0"/>
              <w:jc w:val="center"/>
              <w:rPr>
                <w:szCs w:val="24"/>
              </w:rPr>
            </w:pPr>
            <w:r w:rsidRPr="00B52CA2">
              <w:rPr>
                <w:szCs w:val="24"/>
              </w:rPr>
              <w:t>Apriboja prekyba</w:t>
            </w:r>
          </w:p>
        </w:tc>
      </w:tr>
      <w:tr w:rsidR="000A3999" w:rsidRPr="00D0253A" w:rsidTr="0082679E">
        <w:trPr>
          <w:jc w:val="center"/>
        </w:trPr>
        <w:tc>
          <w:tcPr>
            <w:tcW w:w="1843" w:type="dxa"/>
            <w:vAlign w:val="center"/>
          </w:tcPr>
          <w:p w:rsidR="000A3999" w:rsidRPr="00B52CA2" w:rsidRDefault="000A3999" w:rsidP="00E977C5">
            <w:pPr>
              <w:spacing w:before="0" w:line="240" w:lineRule="auto"/>
              <w:ind w:firstLine="0"/>
              <w:jc w:val="center"/>
              <w:rPr>
                <w:i/>
                <w:szCs w:val="24"/>
              </w:rPr>
            </w:pPr>
            <w:r w:rsidRPr="00B52CA2">
              <w:rPr>
                <w:i/>
                <w:szCs w:val="24"/>
              </w:rPr>
              <w:t>Kapitalo prieaugi</w:t>
            </w:r>
            <w:r w:rsidR="0082679E">
              <w:rPr>
                <w:i/>
                <w:szCs w:val="24"/>
              </w:rPr>
              <w:t>s</w:t>
            </w:r>
          </w:p>
        </w:tc>
        <w:tc>
          <w:tcPr>
            <w:tcW w:w="2054" w:type="dxa"/>
            <w:vAlign w:val="center"/>
          </w:tcPr>
          <w:p w:rsidR="000A3999" w:rsidRPr="00B52CA2" w:rsidRDefault="000A3999" w:rsidP="00E977C5">
            <w:pPr>
              <w:spacing w:before="0" w:line="240" w:lineRule="auto"/>
              <w:ind w:firstLine="0"/>
              <w:jc w:val="center"/>
              <w:rPr>
                <w:szCs w:val="24"/>
              </w:rPr>
            </w:pPr>
            <w:r w:rsidRPr="00B52CA2">
              <w:rPr>
                <w:szCs w:val="24"/>
              </w:rPr>
              <w:t>Parduoda</w:t>
            </w:r>
          </w:p>
        </w:tc>
        <w:tc>
          <w:tcPr>
            <w:tcW w:w="2126" w:type="dxa"/>
            <w:vAlign w:val="center"/>
          </w:tcPr>
          <w:p w:rsidR="000A3999" w:rsidRPr="00B52CA2" w:rsidRDefault="000A3999" w:rsidP="00E977C5">
            <w:pPr>
              <w:spacing w:before="0" w:line="240" w:lineRule="auto"/>
              <w:ind w:firstLine="0"/>
              <w:jc w:val="center"/>
              <w:rPr>
                <w:szCs w:val="24"/>
              </w:rPr>
            </w:pPr>
            <w:r w:rsidRPr="00B52CA2">
              <w:rPr>
                <w:szCs w:val="24"/>
              </w:rPr>
              <w:t>Perka</w:t>
            </w:r>
          </w:p>
        </w:tc>
        <w:tc>
          <w:tcPr>
            <w:tcW w:w="1915" w:type="dxa"/>
            <w:vAlign w:val="center"/>
          </w:tcPr>
          <w:p w:rsidR="000A3999" w:rsidRPr="00B52CA2" w:rsidRDefault="000A3999" w:rsidP="00E977C5">
            <w:pPr>
              <w:spacing w:before="0" w:line="240" w:lineRule="auto"/>
              <w:ind w:firstLine="0"/>
              <w:jc w:val="center"/>
              <w:rPr>
                <w:szCs w:val="24"/>
              </w:rPr>
            </w:pPr>
            <w:r w:rsidRPr="00B52CA2">
              <w:rPr>
                <w:szCs w:val="24"/>
              </w:rPr>
              <w:t>Apriboja prekybą</w:t>
            </w:r>
          </w:p>
        </w:tc>
        <w:tc>
          <w:tcPr>
            <w:tcW w:w="1985" w:type="dxa"/>
            <w:vAlign w:val="center"/>
          </w:tcPr>
          <w:p w:rsidR="000A3999" w:rsidRPr="00B52CA2" w:rsidRDefault="000A3999" w:rsidP="00E977C5">
            <w:pPr>
              <w:spacing w:before="0" w:line="240" w:lineRule="auto"/>
              <w:ind w:firstLine="0"/>
              <w:jc w:val="center"/>
              <w:rPr>
                <w:szCs w:val="24"/>
              </w:rPr>
            </w:pPr>
            <w:r w:rsidRPr="00B52CA2">
              <w:rPr>
                <w:szCs w:val="24"/>
              </w:rPr>
              <w:t>Apriboja prekyba</w:t>
            </w:r>
          </w:p>
        </w:tc>
      </w:tr>
      <w:tr w:rsidR="000A3999" w:rsidRPr="00D0253A" w:rsidTr="0082679E">
        <w:trPr>
          <w:trHeight w:val="351"/>
          <w:jc w:val="center"/>
        </w:trPr>
        <w:tc>
          <w:tcPr>
            <w:tcW w:w="9923" w:type="dxa"/>
            <w:gridSpan w:val="5"/>
            <w:vAlign w:val="center"/>
          </w:tcPr>
          <w:p w:rsidR="000A3999" w:rsidRPr="00B52CA2" w:rsidRDefault="000A3999" w:rsidP="00E977C5">
            <w:pPr>
              <w:spacing w:before="0" w:line="240" w:lineRule="auto"/>
              <w:ind w:firstLine="0"/>
              <w:jc w:val="center"/>
              <w:rPr>
                <w:b/>
                <w:szCs w:val="24"/>
              </w:rPr>
            </w:pPr>
            <w:r w:rsidRPr="00B52CA2">
              <w:rPr>
                <w:b/>
                <w:szCs w:val="24"/>
              </w:rPr>
              <w:t>Pavieniai pirkėjai</w:t>
            </w:r>
          </w:p>
        </w:tc>
      </w:tr>
      <w:tr w:rsidR="00D0253A" w:rsidRPr="00D0253A" w:rsidTr="0082679E">
        <w:trPr>
          <w:jc w:val="center"/>
        </w:trPr>
        <w:tc>
          <w:tcPr>
            <w:tcW w:w="1843" w:type="dxa"/>
            <w:vAlign w:val="center"/>
          </w:tcPr>
          <w:p w:rsidR="00D0253A" w:rsidRPr="00B52CA2" w:rsidRDefault="00D0253A" w:rsidP="00E977C5">
            <w:pPr>
              <w:spacing w:before="0" w:line="240" w:lineRule="auto"/>
              <w:ind w:firstLine="0"/>
              <w:jc w:val="center"/>
              <w:rPr>
                <w:i/>
                <w:szCs w:val="24"/>
              </w:rPr>
            </w:pPr>
            <w:r w:rsidRPr="00B52CA2">
              <w:rPr>
                <w:i/>
                <w:szCs w:val="24"/>
              </w:rPr>
              <w:t>Dividenda</w:t>
            </w:r>
            <w:r w:rsidR="0082679E">
              <w:rPr>
                <w:i/>
                <w:szCs w:val="24"/>
              </w:rPr>
              <w:t>i</w:t>
            </w:r>
          </w:p>
        </w:tc>
        <w:tc>
          <w:tcPr>
            <w:tcW w:w="2054" w:type="dxa"/>
            <w:vAlign w:val="center"/>
          </w:tcPr>
          <w:p w:rsidR="00D0253A" w:rsidRPr="00B52CA2" w:rsidRDefault="00D0253A" w:rsidP="00E977C5">
            <w:pPr>
              <w:spacing w:before="0" w:line="240" w:lineRule="auto"/>
              <w:ind w:firstLine="0"/>
              <w:jc w:val="center"/>
              <w:rPr>
                <w:szCs w:val="24"/>
              </w:rPr>
            </w:pPr>
            <w:r w:rsidRPr="00B52CA2">
              <w:rPr>
                <w:szCs w:val="24"/>
              </w:rPr>
              <w:t>Perka</w:t>
            </w:r>
          </w:p>
        </w:tc>
        <w:tc>
          <w:tcPr>
            <w:tcW w:w="2126" w:type="dxa"/>
            <w:vAlign w:val="center"/>
          </w:tcPr>
          <w:p w:rsidR="00D0253A" w:rsidRPr="00B52CA2" w:rsidRDefault="00D0253A" w:rsidP="00E977C5">
            <w:pPr>
              <w:spacing w:before="0" w:line="240" w:lineRule="auto"/>
              <w:ind w:firstLine="0"/>
              <w:jc w:val="center"/>
              <w:rPr>
                <w:szCs w:val="24"/>
              </w:rPr>
            </w:pPr>
            <w:r w:rsidRPr="00B52CA2">
              <w:rPr>
                <w:szCs w:val="24"/>
              </w:rPr>
              <w:t>Nevykdo prekybos</w:t>
            </w:r>
          </w:p>
        </w:tc>
        <w:tc>
          <w:tcPr>
            <w:tcW w:w="191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c>
          <w:tcPr>
            <w:tcW w:w="198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r>
      <w:tr w:rsidR="00D0253A" w:rsidRPr="00D0253A" w:rsidTr="0082679E">
        <w:trPr>
          <w:jc w:val="center"/>
        </w:trPr>
        <w:tc>
          <w:tcPr>
            <w:tcW w:w="1843" w:type="dxa"/>
            <w:vAlign w:val="center"/>
          </w:tcPr>
          <w:p w:rsidR="00D0253A" w:rsidRPr="00B52CA2" w:rsidRDefault="00D0253A" w:rsidP="00E977C5">
            <w:pPr>
              <w:spacing w:before="0" w:line="240" w:lineRule="auto"/>
              <w:ind w:firstLine="0"/>
              <w:jc w:val="center"/>
              <w:rPr>
                <w:i/>
                <w:szCs w:val="24"/>
              </w:rPr>
            </w:pPr>
            <w:r w:rsidRPr="00B52CA2">
              <w:rPr>
                <w:i/>
                <w:szCs w:val="24"/>
              </w:rPr>
              <w:t>Kapitalo prieaugi</w:t>
            </w:r>
            <w:r w:rsidR="0082679E">
              <w:rPr>
                <w:i/>
                <w:szCs w:val="24"/>
              </w:rPr>
              <w:t>s</w:t>
            </w:r>
          </w:p>
        </w:tc>
        <w:tc>
          <w:tcPr>
            <w:tcW w:w="2054" w:type="dxa"/>
            <w:vAlign w:val="center"/>
          </w:tcPr>
          <w:p w:rsidR="00D0253A" w:rsidRPr="00B52CA2" w:rsidRDefault="00D0253A" w:rsidP="00E977C5">
            <w:pPr>
              <w:spacing w:before="0" w:line="240" w:lineRule="auto"/>
              <w:ind w:firstLine="0"/>
              <w:jc w:val="center"/>
              <w:rPr>
                <w:szCs w:val="24"/>
              </w:rPr>
            </w:pPr>
            <w:r w:rsidRPr="00B52CA2">
              <w:rPr>
                <w:szCs w:val="24"/>
              </w:rPr>
              <w:t>Nevykdo prekybos</w:t>
            </w:r>
          </w:p>
        </w:tc>
        <w:tc>
          <w:tcPr>
            <w:tcW w:w="2126" w:type="dxa"/>
            <w:vAlign w:val="center"/>
          </w:tcPr>
          <w:p w:rsidR="00D0253A" w:rsidRPr="00B52CA2" w:rsidRDefault="00D0253A" w:rsidP="00E977C5">
            <w:pPr>
              <w:spacing w:before="0" w:line="240" w:lineRule="auto"/>
              <w:ind w:firstLine="0"/>
              <w:jc w:val="center"/>
              <w:rPr>
                <w:szCs w:val="24"/>
              </w:rPr>
            </w:pPr>
            <w:r w:rsidRPr="00B52CA2">
              <w:rPr>
                <w:szCs w:val="24"/>
              </w:rPr>
              <w:t>Perka</w:t>
            </w:r>
          </w:p>
        </w:tc>
        <w:tc>
          <w:tcPr>
            <w:tcW w:w="191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c>
          <w:tcPr>
            <w:tcW w:w="198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r>
      <w:tr w:rsidR="00D0253A" w:rsidRPr="00D0253A" w:rsidTr="0082679E">
        <w:trPr>
          <w:trHeight w:val="355"/>
          <w:jc w:val="center"/>
        </w:trPr>
        <w:tc>
          <w:tcPr>
            <w:tcW w:w="9923" w:type="dxa"/>
            <w:gridSpan w:val="5"/>
            <w:vAlign w:val="center"/>
          </w:tcPr>
          <w:p w:rsidR="00D0253A" w:rsidRPr="00B52CA2" w:rsidRDefault="00D0253A" w:rsidP="00E977C5">
            <w:pPr>
              <w:spacing w:before="0" w:line="240" w:lineRule="auto"/>
              <w:ind w:firstLine="0"/>
              <w:jc w:val="center"/>
              <w:rPr>
                <w:b/>
                <w:szCs w:val="24"/>
              </w:rPr>
            </w:pPr>
            <w:r w:rsidRPr="00B52CA2">
              <w:rPr>
                <w:b/>
                <w:szCs w:val="24"/>
              </w:rPr>
              <w:t>Pavieniai pardavėjai</w:t>
            </w:r>
          </w:p>
        </w:tc>
      </w:tr>
      <w:tr w:rsidR="00D0253A" w:rsidRPr="00D0253A" w:rsidTr="0082679E">
        <w:trPr>
          <w:jc w:val="center"/>
        </w:trPr>
        <w:tc>
          <w:tcPr>
            <w:tcW w:w="1843" w:type="dxa"/>
            <w:vAlign w:val="center"/>
          </w:tcPr>
          <w:p w:rsidR="00D0253A" w:rsidRPr="00B52CA2" w:rsidRDefault="00D0253A" w:rsidP="00E977C5">
            <w:pPr>
              <w:spacing w:before="0" w:line="240" w:lineRule="auto"/>
              <w:ind w:firstLine="0"/>
              <w:jc w:val="center"/>
              <w:rPr>
                <w:i/>
                <w:szCs w:val="24"/>
              </w:rPr>
            </w:pPr>
            <w:r w:rsidRPr="00B52CA2">
              <w:rPr>
                <w:i/>
                <w:szCs w:val="24"/>
              </w:rPr>
              <w:t>Dividenda</w:t>
            </w:r>
            <w:r w:rsidR="0082679E">
              <w:rPr>
                <w:i/>
                <w:szCs w:val="24"/>
              </w:rPr>
              <w:t>i</w:t>
            </w:r>
          </w:p>
        </w:tc>
        <w:tc>
          <w:tcPr>
            <w:tcW w:w="2054" w:type="dxa"/>
            <w:vAlign w:val="center"/>
          </w:tcPr>
          <w:p w:rsidR="00D0253A" w:rsidRPr="00B52CA2" w:rsidRDefault="00D0253A" w:rsidP="00E977C5">
            <w:pPr>
              <w:spacing w:before="0" w:line="240" w:lineRule="auto"/>
              <w:ind w:firstLine="0"/>
              <w:jc w:val="center"/>
              <w:rPr>
                <w:szCs w:val="24"/>
              </w:rPr>
            </w:pPr>
            <w:r w:rsidRPr="00B52CA2">
              <w:rPr>
                <w:szCs w:val="24"/>
              </w:rPr>
              <w:t>Nevykdo prekybos</w:t>
            </w:r>
          </w:p>
        </w:tc>
        <w:tc>
          <w:tcPr>
            <w:tcW w:w="2126" w:type="dxa"/>
            <w:vAlign w:val="center"/>
          </w:tcPr>
          <w:p w:rsidR="00D0253A" w:rsidRPr="00B52CA2" w:rsidRDefault="00D0253A" w:rsidP="00E977C5">
            <w:pPr>
              <w:spacing w:before="0" w:line="240" w:lineRule="auto"/>
              <w:ind w:firstLine="0"/>
              <w:jc w:val="center"/>
              <w:rPr>
                <w:szCs w:val="24"/>
              </w:rPr>
            </w:pPr>
            <w:r w:rsidRPr="00B52CA2">
              <w:rPr>
                <w:szCs w:val="24"/>
              </w:rPr>
              <w:t>Parduoda</w:t>
            </w:r>
          </w:p>
        </w:tc>
        <w:tc>
          <w:tcPr>
            <w:tcW w:w="191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c>
          <w:tcPr>
            <w:tcW w:w="198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r>
      <w:tr w:rsidR="00D0253A" w:rsidRPr="00D0253A" w:rsidTr="0082679E">
        <w:trPr>
          <w:jc w:val="center"/>
        </w:trPr>
        <w:tc>
          <w:tcPr>
            <w:tcW w:w="1843" w:type="dxa"/>
            <w:vAlign w:val="center"/>
          </w:tcPr>
          <w:p w:rsidR="00D0253A" w:rsidRPr="00B52CA2" w:rsidRDefault="00D0253A" w:rsidP="00E977C5">
            <w:pPr>
              <w:spacing w:before="0" w:line="240" w:lineRule="auto"/>
              <w:ind w:firstLine="0"/>
              <w:jc w:val="center"/>
              <w:rPr>
                <w:i/>
                <w:szCs w:val="24"/>
              </w:rPr>
            </w:pPr>
            <w:r w:rsidRPr="00B52CA2">
              <w:rPr>
                <w:i/>
                <w:szCs w:val="24"/>
              </w:rPr>
              <w:t>Kapitalo priea</w:t>
            </w:r>
            <w:r w:rsidR="00B52CA2">
              <w:rPr>
                <w:i/>
                <w:szCs w:val="24"/>
              </w:rPr>
              <w:t>augi</w:t>
            </w:r>
            <w:r w:rsidR="0082679E">
              <w:rPr>
                <w:i/>
                <w:szCs w:val="24"/>
              </w:rPr>
              <w:t>s</w:t>
            </w:r>
          </w:p>
        </w:tc>
        <w:tc>
          <w:tcPr>
            <w:tcW w:w="2054" w:type="dxa"/>
            <w:vAlign w:val="center"/>
          </w:tcPr>
          <w:p w:rsidR="00D0253A" w:rsidRPr="00B52CA2" w:rsidRDefault="00D0253A" w:rsidP="00E977C5">
            <w:pPr>
              <w:spacing w:before="0" w:line="240" w:lineRule="auto"/>
              <w:ind w:firstLine="0"/>
              <w:jc w:val="center"/>
              <w:rPr>
                <w:szCs w:val="24"/>
              </w:rPr>
            </w:pPr>
            <w:r w:rsidRPr="00B52CA2">
              <w:rPr>
                <w:szCs w:val="24"/>
              </w:rPr>
              <w:t>Parduoda</w:t>
            </w:r>
          </w:p>
        </w:tc>
        <w:tc>
          <w:tcPr>
            <w:tcW w:w="2126" w:type="dxa"/>
            <w:vAlign w:val="center"/>
          </w:tcPr>
          <w:p w:rsidR="00D0253A" w:rsidRPr="00B52CA2" w:rsidRDefault="00D0253A" w:rsidP="00E977C5">
            <w:pPr>
              <w:spacing w:before="0" w:line="240" w:lineRule="auto"/>
              <w:ind w:firstLine="0"/>
              <w:jc w:val="center"/>
              <w:rPr>
                <w:szCs w:val="24"/>
              </w:rPr>
            </w:pPr>
            <w:r w:rsidRPr="00B52CA2">
              <w:rPr>
                <w:szCs w:val="24"/>
              </w:rPr>
              <w:t>Nevykdo prekybos</w:t>
            </w:r>
          </w:p>
        </w:tc>
        <w:tc>
          <w:tcPr>
            <w:tcW w:w="191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c>
          <w:tcPr>
            <w:tcW w:w="1985" w:type="dxa"/>
            <w:vAlign w:val="center"/>
          </w:tcPr>
          <w:p w:rsidR="00D0253A" w:rsidRPr="00B52CA2" w:rsidRDefault="00D0253A" w:rsidP="00E977C5">
            <w:pPr>
              <w:spacing w:before="0" w:line="240" w:lineRule="auto"/>
              <w:ind w:firstLine="0"/>
              <w:jc w:val="center"/>
              <w:rPr>
                <w:szCs w:val="24"/>
              </w:rPr>
            </w:pPr>
            <w:r w:rsidRPr="00B52CA2">
              <w:rPr>
                <w:szCs w:val="24"/>
              </w:rPr>
              <w:t>Neturi efekto</w:t>
            </w:r>
          </w:p>
        </w:tc>
      </w:tr>
    </w:tbl>
    <w:p w:rsidR="00154FF3" w:rsidRPr="00B52CA2" w:rsidRDefault="00154FF3" w:rsidP="00B52CA2">
      <w:pPr>
        <w:autoSpaceDE w:val="0"/>
        <w:autoSpaceDN w:val="0"/>
        <w:adjustRightInd w:val="0"/>
        <w:spacing w:before="60" w:line="240" w:lineRule="auto"/>
        <w:ind w:firstLine="0"/>
        <w:rPr>
          <w:rFonts w:cs="Times New Roman"/>
          <w:sz w:val="20"/>
          <w:szCs w:val="20"/>
        </w:rPr>
      </w:pPr>
      <w:r w:rsidRPr="00B52CA2">
        <w:rPr>
          <w:rFonts w:cs="Times New Roman"/>
          <w:b/>
          <w:sz w:val="20"/>
          <w:szCs w:val="20"/>
        </w:rPr>
        <w:t>Šaltinis:</w:t>
      </w:r>
      <w:r w:rsidRPr="00B52CA2">
        <w:rPr>
          <w:rFonts w:cs="Times New Roman"/>
          <w:sz w:val="20"/>
          <w:szCs w:val="20"/>
        </w:rPr>
        <w:t xml:space="preserve"> Li (2010)</w:t>
      </w:r>
    </w:p>
    <w:p w:rsidR="00154FF3" w:rsidRDefault="00154FF3" w:rsidP="00154FF3">
      <w:r>
        <w:t xml:space="preserve">Akivaizdu, jog ilgalaikių holdingo investuotojų tarpe preferencijos nėra išreikštos, todėl paskutinėms dividendų prekybos dienoms didesnio dėmesio skiriama nėra. </w:t>
      </w:r>
      <w:r w:rsidR="00F92DA9">
        <w:t xml:space="preserve">Pavieniai pirkėjai, kurie orientuojasi į dividendus, įsigyja akcijas paskutinę dieną, kol dividendai būna įskaičiuoti (planuojantys parduoti akcijas, laukia sekančios prekybos sesijos). Pavieniai pirkėjai, kurie tikisi uždirbti iš kapitalo prieaugio perka akcijas, kuomet į akcijos kainą nebeįskaičiuojami dividendai, o pavieniai pardavėjai parduoda akcijas paskutinę dividendų dieną. Šioms grupėms pirkėjų pavedimo kaštai ir rizika neturi didesnio poveikio. Trumpalaikiai arbitražo investuotojai, reikalaujantys dividendų, perka akcijas </w:t>
      </w:r>
      <w:r w:rsidR="00F92DA9">
        <w:lastRenderedPageBreak/>
        <w:t>paskutinę dividendų dieną, parduodą sekančią dieną, priešingai elgiasi ta pati investuotojų grupė orientuota į kapitalo prieaugį (pavedimo kaštai ir rizika apriboja jų prekybos veiksmus).</w:t>
      </w:r>
    </w:p>
    <w:p w:rsidR="00FB4F93" w:rsidRDefault="005D6DC4" w:rsidP="00083A43">
      <w:r w:rsidRPr="009776FE">
        <w:rPr>
          <w:b/>
        </w:rPr>
        <w:t xml:space="preserve">Signalizavimo modeliai. </w:t>
      </w:r>
      <w:r w:rsidR="00083A43" w:rsidRPr="009776FE">
        <w:t xml:space="preserve">Fairchild (2010) nagrinėjo dividendų signalizavimo modelį, kaip gebantį analizuoti faktorius, įtakojančius dividendų </w:t>
      </w:r>
      <w:r w:rsidR="008A0564" w:rsidRPr="009776FE">
        <w:t>politiką ir įmonės vertę. Tyrimai</w:t>
      </w:r>
      <w:r w:rsidR="00083A43" w:rsidRPr="009776FE">
        <w:t>, kurių metu nagrinėta dividendų agentavimo ir asimetriškos rinkos informacijos problematika ir jos svarba dividendų politikai, dar labiau priartino prie dviejų konkuruojančių požiūrių</w:t>
      </w:r>
      <w:r w:rsidR="00C4577F" w:rsidRPr="009776FE">
        <w:t xml:space="preserve"> išryškinimo</w:t>
      </w:r>
      <w:r w:rsidR="00083A43" w:rsidRPr="009776FE">
        <w:t xml:space="preserve">: signalizavimo hipotezės ir įmonės laisvo pinigų srauto hipotezės (Fairchild, 2010). </w:t>
      </w:r>
      <w:r w:rsidRPr="009776FE">
        <w:t>Baker ir Powell (2000) atlikto tyrimo duomenimis, signalizav</w:t>
      </w:r>
      <w:r w:rsidR="00083A43" w:rsidRPr="009776FE">
        <w:t>imas išskiriamas</w:t>
      </w:r>
      <w:r w:rsidR="0040768B" w:rsidRPr="009776FE">
        <w:t xml:space="preserve"> kaip 4 pagal svarbą dividendų politikos determinantas: netikėtas dividendų pokytis veikia kaip pranešimas investuotojams arba kaip signalas akcijos kainai. Mokslinėje literatūroje galima rasti pakankamai nemažai atliktų tyrimų (Woolridge, 1983, Benesg, Keown, Pinkerton, 1984, Ghos</w:t>
      </w:r>
      <w:r w:rsidR="00DE6394" w:rsidRPr="009776FE">
        <w:t>h, Woolridge, 1988, Healy, Palepu</w:t>
      </w:r>
      <w:r w:rsidR="0040768B" w:rsidRPr="009776FE">
        <w:t>,</w:t>
      </w:r>
      <w:r w:rsidR="00DE6394" w:rsidRPr="009776FE">
        <w:t xml:space="preserve"> 1988, Bajaj ir Vijh, 1990 et al.), kuriuose nagrinėjamas pranešimo efektas, kuomet paskelbiama naujiena apie netikėtus įmonės dividendų pokyčius</w:t>
      </w:r>
      <w:r w:rsidR="0040768B" w:rsidRPr="009776FE">
        <w:t>.</w:t>
      </w:r>
      <w:r w:rsidR="00DE6394" w:rsidRPr="009776FE">
        <w:t xml:space="preserve"> Rezultatai</w:t>
      </w:r>
      <w:r w:rsidR="00E00978" w:rsidRPr="009776FE">
        <w:t xml:space="preserve"> iš esmės</w:t>
      </w:r>
      <w:r w:rsidR="00083A43" w:rsidRPr="009776FE">
        <w:t xml:space="preserve"> palaiko vien</w:t>
      </w:r>
      <w:r w:rsidR="00A258E1" w:rsidRPr="009776FE">
        <w:t>ingą nuomonę: kuomet rinkoje eg</w:t>
      </w:r>
      <w:r w:rsidR="00083A43" w:rsidRPr="009776FE">
        <w:t>z</w:t>
      </w:r>
      <w:r w:rsidR="00A258E1" w:rsidRPr="009776FE">
        <w:t>is</w:t>
      </w:r>
      <w:r w:rsidR="00083A43" w:rsidRPr="009776FE">
        <w:t>tuoja asimetriškos informacijos sąlygos tarp vadovų ir investuotojų,</w:t>
      </w:r>
      <w:r w:rsidR="00DE6394" w:rsidRPr="009776FE">
        <w:t xml:space="preserve"> dividendų pokyčius</w:t>
      </w:r>
      <w:r w:rsidR="0040768B" w:rsidRPr="009776FE">
        <w:t xml:space="preserve"> </w:t>
      </w:r>
      <w:r w:rsidR="00DE6394" w:rsidRPr="009776FE">
        <w:t>rinka</w:t>
      </w:r>
      <w:r w:rsidR="00083A43" w:rsidRPr="009776FE">
        <w:t xml:space="preserve"> savaime</w:t>
      </w:r>
      <w:r w:rsidR="00DE6394" w:rsidRPr="009776FE">
        <w:t xml:space="preserve"> interpretuoja kaip tam tikrus signalus apie įmonės veiklos perspektyvas ateityje</w:t>
      </w:r>
      <w:r w:rsidR="00083A43" w:rsidRPr="009776FE">
        <w:t xml:space="preserve"> (Fairchild, 2010)</w:t>
      </w:r>
      <w:r w:rsidR="00DE6394" w:rsidRPr="009776FE">
        <w:t>.</w:t>
      </w:r>
      <w:r w:rsidR="00083A43" w:rsidRPr="009776FE">
        <w:t xml:space="preserve"> Laisvų pinigų srauto hipotezė konstatuoja</w:t>
      </w:r>
      <w:r w:rsidR="00764D65" w:rsidRPr="009776FE">
        <w:t>, jog dividendų politikos atspindi agentavimo problematika tarp įmonės vadovų ir investuotojų.</w:t>
      </w:r>
    </w:p>
    <w:p w:rsidR="001C6BA9" w:rsidRPr="009776FE" w:rsidRDefault="00E76E6E" w:rsidP="00083A43">
      <w:r>
        <w:t>Amihud ir L</w:t>
      </w:r>
      <w:r w:rsidR="00CE5482">
        <w:t>i</w:t>
      </w:r>
      <w:r>
        <w:t xml:space="preserve"> (2006) pateikė prieš tai minėto „nykstančių dividendų“ fenomeno paaiškinimą: informacijos mažėjimas apie dividendų paskelbimą, mažina įmonių galimybes tokias naujienas naudoti kaip vertingą signalą. Autorių nuomone priežastis dėl kurios informacijos kiekis apie dividendus mažėja, yra didėjantis institucinių investuotojų kiekis, kurie yra geriau informuoti</w:t>
      </w:r>
      <w:r w:rsidR="00CE5482">
        <w:t>. Instituciniai išnaudoja informacijos pranašumą ir perka prieš signalą apie dividendų didėjimą, o paskelbimo momentu sudėtinė anomali grąža (angl. cummulative abnormal return) pastebimai mažėja jau eilę metų (Amihud,, Li, 2006).</w:t>
      </w:r>
    </w:p>
    <w:p w:rsidR="00764D65" w:rsidRPr="009776FE" w:rsidRDefault="00764D65" w:rsidP="00083A43">
      <w:r w:rsidRPr="009776FE">
        <w:rPr>
          <w:b/>
        </w:rPr>
        <w:t>A</w:t>
      </w:r>
      <w:r w:rsidR="002E42DB" w:rsidRPr="009776FE">
        <w:rPr>
          <w:b/>
        </w:rPr>
        <w:t>tstovavimo</w:t>
      </w:r>
      <w:r w:rsidRPr="009776FE">
        <w:rPr>
          <w:b/>
        </w:rPr>
        <w:t xml:space="preserve"> modeliai</w:t>
      </w:r>
      <w:r w:rsidR="000275BE">
        <w:rPr>
          <w:b/>
        </w:rPr>
        <w:t xml:space="preserve"> ir laisvo pinigų srauto hipotezė</w:t>
      </w:r>
      <w:r w:rsidRPr="009776FE">
        <w:rPr>
          <w:b/>
        </w:rPr>
        <w:t xml:space="preserve">. </w:t>
      </w:r>
      <w:r w:rsidRPr="009776FE">
        <w:t xml:space="preserve">Jensen (1986) analizė atskleidžia </w:t>
      </w:r>
      <w:r w:rsidR="00F162C1" w:rsidRPr="009776FE">
        <w:t>a</w:t>
      </w:r>
      <w:r w:rsidR="002E42DB" w:rsidRPr="009776FE">
        <w:t>tstovavimo (agentavimo)</w:t>
      </w:r>
      <w:r w:rsidRPr="009776FE">
        <w:t xml:space="preserve"> problematiką, kuri iškyla dėl aukščiausių įmonės vadovų </w:t>
      </w:r>
      <w:r w:rsidR="00541467" w:rsidRPr="009776FE">
        <w:t>inici</w:t>
      </w:r>
      <w:r w:rsidR="002E42DB" w:rsidRPr="009776FE">
        <w:t>atyvos investicijoms</w:t>
      </w:r>
      <w:r w:rsidR="00541467" w:rsidRPr="009776FE">
        <w:t xml:space="preserve"> </w:t>
      </w:r>
      <w:r w:rsidR="00541467" w:rsidRPr="009776FE">
        <w:rPr>
          <w:rFonts w:eastAsia="Malgun Gothic"/>
          <w:lang w:eastAsia="ko-KR"/>
        </w:rPr>
        <w:t>į</w:t>
      </w:r>
      <w:r w:rsidRPr="009776FE">
        <w:t xml:space="preserve"> projektus, turinčius neigiamą dabartinę vertę (NPV). Dividendai iš esmės minimizuoja laisvą pinigų srautą, kuriuo vėliau disponuoja vadovai (Fairchild, 2010).</w:t>
      </w:r>
      <w:r w:rsidR="00DE2361" w:rsidRPr="009776FE">
        <w:t xml:space="preserve"> Fairchild (2010) pateikiamame dividendų signalizavimo modelyje atsispindi atstovavimo problemos: vadovų iniciatyva investuoti į nepelningus projektus dėl asmeninės naudos, vadovai nemažina dividendų, nors turi galimybę investuoti į pelningus projektus, taip išvengdami neigiamo signalo apie esamą pelną. Visgi autorius teigia, jog ši atstovavimo problema išsprendžiama komunikuojant informaciją investuotojams.</w:t>
      </w:r>
    </w:p>
    <w:p w:rsidR="009848C1" w:rsidRPr="009776FE" w:rsidRDefault="009848C1" w:rsidP="009848C1">
      <w:r w:rsidRPr="009776FE">
        <w:t xml:space="preserve">Signalizavimo ir laisvo pinigų srauto hipotezės turi stiprų empirinį pagrindą, kadangi dividendų augimas turi teigiamą poveikį akcijų kainų didėjimui, ir atvirkščiai (Fuller, Thakor, 2002). Minėti </w:t>
      </w:r>
      <w:r w:rsidRPr="009776FE">
        <w:lastRenderedPageBreak/>
        <w:t xml:space="preserve">autoriai pirmieji pateikė integruotą modelį, nagrinėjantį dividendų politiką pagal dvejus aspektus, kurie pasak Black (1976) stokojo integruoto teorinio pagrindo komplikuotam dividendų uždaviniui spręsti. Fairchild (2010) papildė prieš tai minėtų autorių modelį ir laikėsi tolimesnių prielaidų. Visų pirmą, rinka į dividendų didinimą reaguos pozityviai, jei tai bus teigiamas signalas apie esamą pelną (dividendai minimizuos asimetriškos informacijos poveikį), arba reikš, kad įmonė neturi problemų valdydama laisvus pinigų srautus (dividendai minimizuos agentavimo poveikį). Antra, dividendų didinimas taip pat gali suveikti ir negatyviai, kas bylotų, kad įmonė stokoja augimo perspektyvų, priešingai - dividendų mažinimas bylotų, jog įmonė turi reikšmingų investicinių ir augimo perspektyvų. Fairchild (2010) siūlomas integruotas dividendų politikos modelis nagrinėja visus įmanomus dividendų didinimo/mažinimo efektus. Fairchild (2010) savo moksliniame darbe patvirtino, jog ryšys tarp vadovybės veiksmų, dividendų politikos ir įmonės vertės yra išties komplikuotas. </w:t>
      </w:r>
    </w:p>
    <w:p w:rsidR="000950F1" w:rsidRPr="009776FE" w:rsidRDefault="000950F1" w:rsidP="00DE2361">
      <w:r w:rsidRPr="009776FE">
        <w:rPr>
          <w:b/>
        </w:rPr>
        <w:t xml:space="preserve">Pataikavimo teorija. </w:t>
      </w:r>
      <w:r w:rsidRPr="009776FE">
        <w:t>Baker ir Wurgler (2004) iškėlė prielaidą, jog dividendų paklausa iš investuotojų pusės lemia įmonės sprendimą išmokėti dividendus.</w:t>
      </w:r>
      <w:r w:rsidR="00DF5F32" w:rsidRPr="009776FE">
        <w:t xml:space="preserve"> Autorių nuomone vadovai išmokėdami dividendus pataikauja</w:t>
      </w:r>
      <w:r w:rsidR="000275BE">
        <w:t xml:space="preserve"> (angl. catering)</w:t>
      </w:r>
      <w:r w:rsidR="00DF5F32" w:rsidRPr="009776FE">
        <w:t xml:space="preserve"> investuotojams, kurie pirkdami dividendinę akciją sumoka tam tikrą kainos premiją, o kuomet dividendinės akcijos rinkoje nėra paklausios, vadovų tikslas – nemokėti dividendų. Tai reiškia, jog vadovai yra pasiryžę investuotojams duoti tai, ko investuotojai reikalauja atitinkamu laiko momentu.</w:t>
      </w:r>
      <w:r w:rsidRPr="009776FE">
        <w:t xml:space="preserve"> Pagrindinė iš šios prielaidos kylanti problema – ar įmonė turi išmokėti dividendus.</w:t>
      </w:r>
      <w:r w:rsidR="00F32366" w:rsidRPr="009776FE">
        <w:t xml:space="preserve"> Baker ir Wurgler (2004) tyrė prognozavimo empirinį pagrindą, jog dividendų (ne-)išmokėjimas priklauso nuo esamos dividendų premijos</w:t>
      </w:r>
      <w:r w:rsidR="00732F7B" w:rsidRPr="009776FE">
        <w:t xml:space="preserve"> arba esamų rinkos kainų skirtum</w:t>
      </w:r>
      <w:r w:rsidR="00B421C9" w:rsidRPr="009776FE">
        <w:t>ų</w:t>
      </w:r>
      <w:r w:rsidR="00732F7B" w:rsidRPr="009776FE">
        <w:t xml:space="preserve"> tarp įmonių mokančių ir nemokančių dividendus atitinkamu laikotarpiu (žr.</w:t>
      </w:r>
      <w:r w:rsidR="00200A00">
        <w:t xml:space="preserve"> </w:t>
      </w:r>
      <w:r w:rsidR="00EC7800">
        <w:fldChar w:fldCharType="begin"/>
      </w:r>
      <w:r w:rsidR="00200A00">
        <w:instrText xml:space="preserve"> REF _Ref342668414 \r \h </w:instrText>
      </w:r>
      <w:r w:rsidR="00EC7800">
        <w:fldChar w:fldCharType="separate"/>
      </w:r>
      <w:r w:rsidR="0009577F">
        <w:t>1 pav</w:t>
      </w:r>
      <w:r w:rsidR="00EC7800">
        <w:fldChar w:fldCharType="end"/>
      </w:r>
      <w:r w:rsidR="00200A00">
        <w:t>.</w:t>
      </w:r>
      <w:r w:rsidR="00732F7B" w:rsidRPr="009776FE">
        <w:t>).</w:t>
      </w:r>
    </w:p>
    <w:p w:rsidR="009848C1" w:rsidRPr="009776FE" w:rsidRDefault="009848C1" w:rsidP="009848C1">
      <w:pPr>
        <w:ind w:firstLine="0"/>
        <w:jc w:val="center"/>
      </w:pPr>
      <w:r w:rsidRPr="009776FE">
        <w:rPr>
          <w:noProof/>
          <w:lang w:eastAsia="lt-LT"/>
        </w:rPr>
        <w:drawing>
          <wp:inline distT="0" distB="0" distL="0" distR="0">
            <wp:extent cx="5492720" cy="3219450"/>
            <wp:effectExtent l="19050" t="0" r="0" b="0"/>
            <wp:docPr id="3" name="Picture 2" descr="catering theor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ering theory2.png"/>
                    <pic:cNvPicPr/>
                  </pic:nvPicPr>
                  <pic:blipFill>
                    <a:blip r:embed="rId10" cstate="print"/>
                    <a:stretch>
                      <a:fillRect/>
                    </a:stretch>
                  </pic:blipFill>
                  <pic:spPr>
                    <a:xfrm>
                      <a:off x="0" y="0"/>
                      <a:ext cx="5498245" cy="3222688"/>
                    </a:xfrm>
                    <a:prstGeom prst="rect">
                      <a:avLst/>
                    </a:prstGeom>
                  </pic:spPr>
                </pic:pic>
              </a:graphicData>
            </a:graphic>
          </wp:inline>
        </w:drawing>
      </w:r>
    </w:p>
    <w:p w:rsidR="00B52CA2" w:rsidRPr="006F517F" w:rsidRDefault="00B52CA2" w:rsidP="006F517F">
      <w:pPr>
        <w:ind w:firstLine="709"/>
        <w:rPr>
          <w:sz w:val="20"/>
          <w:szCs w:val="20"/>
          <w:lang w:val="en-US"/>
        </w:rPr>
      </w:pPr>
      <w:bookmarkStart w:id="25" w:name="_Ref327875255"/>
      <w:r w:rsidRPr="006F517F">
        <w:rPr>
          <w:b/>
          <w:sz w:val="20"/>
          <w:szCs w:val="20"/>
        </w:rPr>
        <w:t>Šaltinis:</w:t>
      </w:r>
      <w:r w:rsidRPr="006F517F">
        <w:rPr>
          <w:sz w:val="20"/>
          <w:szCs w:val="20"/>
        </w:rPr>
        <w:t xml:space="preserve"> </w:t>
      </w:r>
      <w:r w:rsidR="001D2D20" w:rsidRPr="006F517F">
        <w:rPr>
          <w:sz w:val="20"/>
          <w:szCs w:val="20"/>
        </w:rPr>
        <w:t xml:space="preserve">adaptuota pagal </w:t>
      </w:r>
      <w:r w:rsidRPr="006F517F">
        <w:rPr>
          <w:sz w:val="20"/>
          <w:szCs w:val="20"/>
        </w:rPr>
        <w:t>Baker, Wurgler (</w:t>
      </w:r>
      <w:r w:rsidRPr="006F517F">
        <w:rPr>
          <w:sz w:val="20"/>
          <w:szCs w:val="20"/>
          <w:lang w:val="en-US"/>
        </w:rPr>
        <w:t>2004)</w:t>
      </w:r>
    </w:p>
    <w:p w:rsidR="0095120C" w:rsidRPr="009776FE" w:rsidRDefault="00B52CA2" w:rsidP="0095120C">
      <w:pPr>
        <w:pStyle w:val="Subtitle"/>
        <w:rPr>
          <w:lang w:val="en-US"/>
        </w:rPr>
      </w:pPr>
      <w:r>
        <w:t xml:space="preserve"> </w:t>
      </w:r>
      <w:bookmarkStart w:id="26" w:name="_Ref342668414"/>
      <w:bookmarkStart w:id="27" w:name="_Toc343677844"/>
      <w:r w:rsidR="0095120C" w:rsidRPr="009776FE">
        <w:t>Dividendų premija ir riboto akcijų kiekio fondo „</w:t>
      </w:r>
      <w:r w:rsidR="00702088" w:rsidRPr="009776FE">
        <w:t>nuolaida</w:t>
      </w:r>
      <w:r w:rsidR="0095120C" w:rsidRPr="009776FE">
        <w:t>“</w:t>
      </w:r>
      <w:r w:rsidR="00AD1FA1" w:rsidRPr="009776FE">
        <w:t xml:space="preserve"> </w:t>
      </w:r>
      <w:r w:rsidR="00AD1FA1" w:rsidRPr="009776FE">
        <w:rPr>
          <w:lang w:val="en-US"/>
        </w:rPr>
        <w:t>19</w:t>
      </w:r>
      <w:r w:rsidR="00A216A2" w:rsidRPr="009776FE">
        <w:rPr>
          <w:lang w:val="en-US"/>
        </w:rPr>
        <w:t>62-2000</w:t>
      </w:r>
      <w:bookmarkEnd w:id="25"/>
      <w:bookmarkEnd w:id="26"/>
      <w:bookmarkEnd w:id="27"/>
    </w:p>
    <w:p w:rsidR="00732F7B" w:rsidRPr="009776FE" w:rsidRDefault="009848C1" w:rsidP="00732F7B">
      <w:r w:rsidRPr="009776FE">
        <w:lastRenderedPageBreak/>
        <w:t>Atlikto tyrimo</w:t>
      </w:r>
      <w:r w:rsidR="00732F7B" w:rsidRPr="009776FE">
        <w:t xml:space="preserve"> </w:t>
      </w:r>
      <w:r w:rsidR="00D14500">
        <w:t>rezultatų tendencijos leidžia laikytis prielaidos</w:t>
      </w:r>
      <w:r w:rsidR="00732F7B" w:rsidRPr="009776FE">
        <w:t>, jog dividendų išmokėjimas (inicijavima</w:t>
      </w:r>
      <w:r w:rsidR="00D14500">
        <w:t>s) teigiamai koreliuoja su</w:t>
      </w:r>
      <w:r w:rsidR="00732F7B" w:rsidRPr="009776FE">
        <w:t xml:space="preserve"> </w:t>
      </w:r>
      <w:r w:rsidR="00D14500">
        <w:t>analizuotų</w:t>
      </w:r>
      <w:r w:rsidR="00732F7B" w:rsidRPr="009776FE">
        <w:t xml:space="preserve"> </w:t>
      </w:r>
      <w:r w:rsidR="00D14500">
        <w:t>akcijų</w:t>
      </w:r>
      <w:r w:rsidR="00732F7B" w:rsidRPr="009776FE">
        <w:t xml:space="preserve"> kainomis, o dividendų neišmokėjimas neigia</w:t>
      </w:r>
      <w:r w:rsidRPr="009776FE">
        <w:t xml:space="preserve">mai koreliuoja </w:t>
      </w:r>
      <w:r w:rsidR="00D14500">
        <w:t>su akcijų</w:t>
      </w:r>
      <w:r w:rsidRPr="009776FE">
        <w:t xml:space="preserve"> kainomis</w:t>
      </w:r>
      <w:r w:rsidR="00732F7B" w:rsidRPr="009776FE">
        <w:t>. Autoriai priėjo išvados, jog dividendų pataikavimo teorija yra logiškiausias tok</w:t>
      </w:r>
      <w:r w:rsidR="00B421C9" w:rsidRPr="009776FE">
        <w:t>io stebėjimo paaiškinimas, taip pat rezultatai rodo, jog dividendai yra svarbus akcijos vertės rodiklio matas, tačiau skirtingomis kryptimis ir laiko vienetais. Siekiant nustatyti dividendų paklausos šaltinį, autoriai išskyrė  rinkos sentimentų veiksnį, kurį atspindi grafike atvaizduojamas ryšys tarp dividendų premijos ir riboto akcijų kiekio fondo „nuolaidos“ (angl. discount)</w:t>
      </w:r>
      <w:r w:rsidR="00AD1FA1" w:rsidRPr="009776FE">
        <w:t>, ir kintamųjų, apibūdinančių dividendų premijos efektą dividendų išmokėjimui, įvertinimas.</w:t>
      </w:r>
      <w:r w:rsidR="00A216A2" w:rsidRPr="009776FE">
        <w:t xml:space="preserve"> Dividendų premija – akcijos rinkos ir buhalterinės (angl. market-to-book) vertės santykio skirtumas tarp dividendus mokančių ir dividendus nemokančių įmonių (Baker, Wurgler, </w:t>
      </w:r>
      <w:r w:rsidR="00A216A2" w:rsidRPr="009776FE">
        <w:rPr>
          <w:lang w:val="en-US"/>
        </w:rPr>
        <w:t>2004)</w:t>
      </w:r>
      <w:r w:rsidR="00A216A2" w:rsidRPr="009776FE">
        <w:t>.</w:t>
      </w:r>
    </w:p>
    <w:p w:rsidR="009848C1" w:rsidRPr="009776FE" w:rsidRDefault="009848C1" w:rsidP="00732F7B">
      <w:r w:rsidRPr="009776FE">
        <w:t>Kiek vėliau Cohen ir Yagil (2008) pateikė pataikavimo modelio formuluot</w:t>
      </w:r>
      <w:r w:rsidR="0047541B" w:rsidRPr="009776FE">
        <w:t>ės plėtotę, kuria autoriai siekė detalizuoti laukiamų dividendų dydį, dividendų išmokėjimo rodiklį, rizikas ir valstybės politikos veiksnius. Šio modelio implikacija yra ta, jog dividendų suma priklauso nuo jos poveikio trumpalaikei ir ilgalaikei akcijos kainai, taip pat nuo įmonės finansinio sverto ir investavimo galimybių (Cohen, Yagil, 2008).</w:t>
      </w:r>
    </w:p>
    <w:p w:rsidR="00C4577F" w:rsidRPr="009776FE" w:rsidRDefault="00A80EBA" w:rsidP="002A230E">
      <w:r w:rsidRPr="009776FE">
        <w:rPr>
          <w:b/>
        </w:rPr>
        <w:t xml:space="preserve">Psichologiniai/sociologiniai modeliai. </w:t>
      </w:r>
      <w:r w:rsidRPr="009776FE">
        <w:t>Shefrin ir Statman (1984) savo darbe nagrinėjo naujai pasireiškiančių psichologinių teorijų įtaką investuotojo pasirinkimui. Autoriai išskyrė dvi mokslinėje literatūroje atrandamas teorijas: savikontrolės teorija (</w:t>
      </w:r>
      <w:r w:rsidR="005C65EA" w:rsidRPr="009776FE">
        <w:t xml:space="preserve">pirmą kartą paminėta </w:t>
      </w:r>
      <w:r w:rsidRPr="009776FE">
        <w:t>Thaler, Shefrin, 1981), perspektyvų teorija (</w:t>
      </w:r>
      <w:r w:rsidR="005C65EA" w:rsidRPr="009776FE">
        <w:t xml:space="preserve">pirmą kartą paminėta </w:t>
      </w:r>
      <w:r w:rsidRPr="009776FE">
        <w:t>Kahnerman, Tversky</w:t>
      </w:r>
      <w:r w:rsidR="002A230E" w:rsidRPr="009776FE">
        <w:t>, 1979)</w:t>
      </w:r>
      <w:r w:rsidR="00747342" w:rsidRPr="009776FE">
        <w:t>, kurių pritaikomumą nagrinėjo savo darbe</w:t>
      </w:r>
      <w:r w:rsidR="002A230E" w:rsidRPr="009776FE">
        <w:t xml:space="preserve">. </w:t>
      </w:r>
    </w:p>
    <w:p w:rsidR="00A80EBA" w:rsidRPr="009776FE" w:rsidRDefault="002A230E" w:rsidP="00B64EEA">
      <w:pPr>
        <w:pStyle w:val="ListParagraph"/>
        <w:numPr>
          <w:ilvl w:val="0"/>
          <w:numId w:val="17"/>
        </w:numPr>
        <w:ind w:left="567" w:hanging="425"/>
      </w:pPr>
      <w:r w:rsidRPr="00B52CA2">
        <w:rPr>
          <w:i/>
        </w:rPr>
        <w:t>Savikontrolės teorija</w:t>
      </w:r>
      <w:r w:rsidRPr="009776FE">
        <w:t xml:space="preserve"> teigia, jog polinkis išleisti pinigus kyla iš gaunamų pajamų, bet ne iš kapitalo pajamų, todėl</w:t>
      </w:r>
      <w:r w:rsidR="00C3103D" w:rsidRPr="009776FE">
        <w:t xml:space="preserve"> kai kurie</w:t>
      </w:r>
      <w:r w:rsidRPr="009776FE">
        <w:t xml:space="preserve"> žmonės susiduria su taupymo problema ir teikia pirmenybę </w:t>
      </w:r>
      <w:r w:rsidR="00E9013C" w:rsidRPr="009776FE">
        <w:t>labiau dividendams nei kapitalo prieaugiui iš akcijų pardavimo</w:t>
      </w:r>
      <w:r w:rsidR="00C3103D" w:rsidRPr="009776FE">
        <w:t>. Tai reiškia, jog investuotojas nenori prisirišti prie investavimo į standartinės akcijas, kurios savaime pažeidžia investuotojo savikontrolę neprisirišti prie investicijos (kuomet prarandama galimybė akcijos pardavimo momentą atidėti į priekį).</w:t>
      </w:r>
      <w:r w:rsidR="002857BF" w:rsidRPr="009776FE">
        <w:t xml:space="preserve"> Teorija iš esmės naudoja atstovaujamojo-atstovo (</w:t>
      </w:r>
      <w:r w:rsidR="00932AE1">
        <w:t xml:space="preserve">angl. </w:t>
      </w:r>
      <w:r w:rsidR="002857BF" w:rsidRPr="009776FE">
        <w:t xml:space="preserve">principal-agent) teorinę struktūrą, kuomet atstovaujamasis reikalauja kažko atsisakyti (angl. self denial), o atstovas reikalauja betarpiško atlygio, teorija suteikia galimybę manipuliuoti atstovo galimybėmis sukeliant jiems spaudimą. </w:t>
      </w:r>
      <w:r w:rsidR="00C4577F" w:rsidRPr="009776FE">
        <w:t>Remiantis šia teorija, i</w:t>
      </w:r>
      <w:r w:rsidR="002857BF" w:rsidRPr="009776FE">
        <w:t>nvestuotojas, kuris siekia apsaugoti savo portfelio vertę</w:t>
      </w:r>
      <w:r w:rsidR="00C4577F" w:rsidRPr="009776FE">
        <w:t>,</w:t>
      </w:r>
      <w:r w:rsidR="002857BF" w:rsidRPr="009776FE">
        <w:t xml:space="preserve"> turi </w:t>
      </w:r>
      <w:r w:rsidR="00C4577F" w:rsidRPr="009776FE">
        <w:t>laikytis</w:t>
      </w:r>
      <w:r w:rsidR="002857BF" w:rsidRPr="009776FE">
        <w:t xml:space="preserve"> taisykl</w:t>
      </w:r>
      <w:r w:rsidR="00C4577F" w:rsidRPr="009776FE">
        <w:t>ės</w:t>
      </w:r>
      <w:r w:rsidR="002857BF" w:rsidRPr="009776FE">
        <w:t>, pagal kurią</w:t>
      </w:r>
      <w:r w:rsidR="00C4577F" w:rsidRPr="009776FE">
        <w:t xml:space="preserve"> gauti dividendai gali būti panaudoti, o likęs</w:t>
      </w:r>
      <w:r w:rsidR="002857BF" w:rsidRPr="009776FE">
        <w:t xml:space="preserve"> kapitalas </w:t>
      </w:r>
      <w:r w:rsidR="00C4577F" w:rsidRPr="009776FE">
        <w:t>– įšaldomas (Shefrin, Statman, 1984).</w:t>
      </w:r>
    </w:p>
    <w:p w:rsidR="005E2BD6" w:rsidRPr="009776FE" w:rsidRDefault="00C4577F" w:rsidP="00B64EEA">
      <w:pPr>
        <w:pStyle w:val="ListParagraph"/>
        <w:numPr>
          <w:ilvl w:val="0"/>
          <w:numId w:val="17"/>
        </w:numPr>
        <w:ind w:left="567" w:hanging="425"/>
      </w:pPr>
      <w:r w:rsidRPr="00B52CA2">
        <w:rPr>
          <w:i/>
        </w:rPr>
        <w:t xml:space="preserve">Perspektyvų teorija </w:t>
      </w:r>
      <w:r w:rsidRPr="009776FE">
        <w:t>– tai tam tikra forma, kuria pristatomos alternatyvos (sprendimų formulavimo būdas), įtakojanti galutinį sprendimą, neatsižvelgiant į tai ar ta forma</w:t>
      </w:r>
      <w:r w:rsidR="00B27057" w:rsidRPr="009776FE">
        <w:t xml:space="preserve"> yra esminė atliekamai analizei. Tai ypatingai galioja priimant rizikingus sprendimus: pirmenybė teikiama </w:t>
      </w:r>
      <w:r w:rsidR="00B27057" w:rsidRPr="009776FE">
        <w:lastRenderedPageBreak/>
        <w:t>pelnui ir nuostoliams labiau nei galutinei aktyvų vertei, situacijose, kuomet tikėtini dideli kapitalo prieaugiai ar nuostoliai, pirmenybę teikiama dividendams, investuotojai</w:t>
      </w:r>
      <w:r w:rsidR="00F1286A" w:rsidRPr="009776FE">
        <w:t xml:space="preserve"> taip pat</w:t>
      </w:r>
      <w:r w:rsidR="00B27057" w:rsidRPr="009776FE">
        <w:t xml:space="preserve"> laiko</w:t>
      </w:r>
      <w:r w:rsidR="00F1286A" w:rsidRPr="009776FE">
        <w:t>si nuomonės jog kapitalo prieaugio potencialas</w:t>
      </w:r>
      <w:r w:rsidR="00B27057" w:rsidRPr="009776FE">
        <w:t xml:space="preserve"> (iš dividendų) sukuri</w:t>
      </w:r>
      <w:r w:rsidR="00F1286A" w:rsidRPr="009776FE">
        <w:t xml:space="preserve">a didelę pridėtinę vertę, o jei akcijos vertė nuo įsigijimo momento sumažėja, investuotojai tikina save, kad </w:t>
      </w:r>
      <w:r w:rsidR="005A4EB8" w:rsidRPr="009776FE">
        <w:t xml:space="preserve">dividendai kompensuoja tokius nuostolius (Shefrin, Statman, </w:t>
      </w:r>
      <w:r w:rsidR="001146E0" w:rsidRPr="009776FE">
        <w:t>1984)</w:t>
      </w:r>
      <w:r w:rsidR="00F1286A" w:rsidRPr="009776FE">
        <w:t>.</w:t>
      </w:r>
    </w:p>
    <w:p w:rsidR="00920E18" w:rsidRPr="009776FE" w:rsidRDefault="001146E0" w:rsidP="00E753CB">
      <w:r w:rsidRPr="009776FE">
        <w:t>P</w:t>
      </w:r>
      <w:r w:rsidR="00FB4F93" w:rsidRPr="009776FE">
        <w:t>rieš tai įvardytų</w:t>
      </w:r>
      <w:r w:rsidR="00CF11F9" w:rsidRPr="009776FE">
        <w:t xml:space="preserve"> modelių teoriniai aspektai</w:t>
      </w:r>
      <w:r w:rsidRPr="009776FE">
        <w:t xml:space="preserve"> finansų literatūroje</w:t>
      </w:r>
      <w:r w:rsidR="00F33C3F" w:rsidRPr="009776FE">
        <w:t xml:space="preserve"> pateikiami, kaip </w:t>
      </w:r>
      <w:r w:rsidR="00E753CB" w:rsidRPr="009776FE">
        <w:t>esminiai</w:t>
      </w:r>
      <w:r w:rsidR="00F33C3F" w:rsidRPr="009776FE">
        <w:t xml:space="preserve">, siekiant identifikuoti įmonės dividendų politiką. Kiti mokslininkai savo publikacijose pateikia ir daugiau empiriškai patikrintų modelių, kurie geba paaiškinti dividendų elgseną. Nors tokių modelių yra </w:t>
      </w:r>
      <w:r w:rsidR="00FB4F93" w:rsidRPr="009776FE">
        <w:t>ne vienas</w:t>
      </w:r>
      <w:r w:rsidR="00F33C3F" w:rsidRPr="009776FE">
        <w:t>, tarp jų tikslinga išskirti Lintner (1956) dividendų politikos modelį, kuris ir dabartiniais laikais įvardijamas kaip vienas geriausiai apibūdinančių įmonės dividendų politiką (Benartzi, Michaely, Thaler, 1997). Li</w:t>
      </w:r>
      <w:r w:rsidR="0047541B" w:rsidRPr="009776FE">
        <w:t>n</w:t>
      </w:r>
      <w:r w:rsidR="00F33C3F" w:rsidRPr="009776FE">
        <w:t>tner (1956) buvo vienas pirmųjų, tyrinėjančių</w:t>
      </w:r>
      <w:r w:rsidR="003B33C8" w:rsidRPr="009776FE">
        <w:t xml:space="preserve"> dalinai pris</w:t>
      </w:r>
      <w:r w:rsidR="00F573F5" w:rsidRPr="009776FE">
        <w:t>i</w:t>
      </w:r>
      <w:r w:rsidR="003B33C8" w:rsidRPr="009776FE">
        <w:t>taikantį (angl. partially adjusted)</w:t>
      </w:r>
      <w:r w:rsidR="00F33C3F" w:rsidRPr="009776FE">
        <w:t xml:space="preserve"> modelį dividendams. Jo aprašytas elgsenos modelis </w:t>
      </w:r>
      <w:r w:rsidR="00E753CB" w:rsidRPr="009776FE">
        <w:t>siūlo laikytis tokios prielaidos:</w:t>
      </w:r>
      <w:r w:rsidR="00F33C3F" w:rsidRPr="009776FE">
        <w:t xml:space="preserve"> dividend</w:t>
      </w:r>
      <w:r w:rsidR="00E753CB" w:rsidRPr="009776FE">
        <w:t>ų</w:t>
      </w:r>
      <w:r w:rsidR="00F33C3F" w:rsidRPr="009776FE">
        <w:t xml:space="preserve"> pokytis yra</w:t>
      </w:r>
      <w:r w:rsidR="00E753CB" w:rsidRPr="009776FE">
        <w:t xml:space="preserve"> funkcija, išreikšta</w:t>
      </w:r>
      <w:r w:rsidR="0047541B" w:rsidRPr="009776FE">
        <w:t xml:space="preserve"> dvejai</w:t>
      </w:r>
      <w:r w:rsidR="003B33C8" w:rsidRPr="009776FE">
        <w:t>s parametrais - planiniu dividendų dydžiu</w:t>
      </w:r>
      <w:r w:rsidR="00E753CB" w:rsidRPr="009776FE">
        <w:t xml:space="preserve">, </w:t>
      </w:r>
      <w:r w:rsidR="003B33C8" w:rsidRPr="009776FE">
        <w:t>dividendų prisitaikymo greičiu prie planinio dydžio</w:t>
      </w:r>
      <w:r w:rsidR="00E753CB" w:rsidRPr="009776FE">
        <w:t xml:space="preserve"> (angl. speed of an adjustment factor)</w:t>
      </w:r>
      <w:r w:rsidR="00CF11F9" w:rsidRPr="009776FE">
        <w:t>. Li</w:t>
      </w:r>
      <w:r w:rsidR="0047541B" w:rsidRPr="009776FE">
        <w:t>n</w:t>
      </w:r>
      <w:r w:rsidR="00CF11F9" w:rsidRPr="009776FE">
        <w:t>tner (1956) testuodamas modelį nustatė, jog jis paaiškina dividendų pokyčius net tarp 85% atrinktų įmonių.</w:t>
      </w:r>
    </w:p>
    <w:p w:rsidR="005D6DC4" w:rsidRPr="009776FE" w:rsidRDefault="00281424" w:rsidP="00B27CD0">
      <w:r w:rsidRPr="009776FE">
        <w:t>V</w:t>
      </w:r>
      <w:r w:rsidR="00F81559" w:rsidRPr="009776FE">
        <w:t>ėliau kiti mokslininkai (Fama, Babiak, 1968, F</w:t>
      </w:r>
      <w:r w:rsidRPr="009776FE">
        <w:t xml:space="preserve">ama, 1974) </w:t>
      </w:r>
      <w:r w:rsidR="003B33C8" w:rsidRPr="009776FE">
        <w:t>analizavo</w:t>
      </w:r>
      <w:r w:rsidRPr="009776FE">
        <w:t xml:space="preserve"> keletą kitų dividendų politikos modelių, tačiau</w:t>
      </w:r>
      <w:r w:rsidR="003B33C8" w:rsidRPr="009776FE">
        <w:t xml:space="preserve"> jų gauti</w:t>
      </w:r>
      <w:r w:rsidRPr="009776FE">
        <w:t xml:space="preserve"> rezultatai iš esmės palaikė Li</w:t>
      </w:r>
      <w:r w:rsidR="0047541B" w:rsidRPr="009776FE">
        <w:t>n</w:t>
      </w:r>
      <w:r w:rsidRPr="009776FE">
        <w:t>tner (1956) požiūrį, jog vadovai yra labiau linkę išlaikyti stabilią dividendų politiką, vengdami juos didinti iki tokio kainos lygmens, kuriame būtų sunku juos išlaikyti.</w:t>
      </w:r>
      <w:r w:rsidR="00B27CD0" w:rsidRPr="009776FE">
        <w:t xml:space="preserve"> Apibendrinant Li</w:t>
      </w:r>
      <w:r w:rsidR="0047541B" w:rsidRPr="009776FE">
        <w:t>n</w:t>
      </w:r>
      <w:r w:rsidR="00B27CD0" w:rsidRPr="009776FE">
        <w:t xml:space="preserve">tner (1956) modelį galimą padalinti jo esmę į du svarbiausius aspektus: </w:t>
      </w:r>
    </w:p>
    <w:p w:rsidR="005D6DC4" w:rsidRPr="009776FE" w:rsidRDefault="00B27CD0" w:rsidP="00B27CD0">
      <w:r w:rsidRPr="009776FE">
        <w:t xml:space="preserve">1) Įmonės yra linkę užsibrėžti ilgalaikę dividendų, tenkančių gaunamam pelnui, ribą, atsižvelgiant į esamus projektus, turinčius teigiamą dabartinę vertę (NPV); </w:t>
      </w:r>
    </w:p>
    <w:p w:rsidR="00B27CD0" w:rsidRPr="009776FE" w:rsidRDefault="00B27CD0" w:rsidP="00B27CD0">
      <w:r w:rsidRPr="009776FE">
        <w:t>2) Gaunamas pelnas ne visada auga nuosekliai, todėl dividendų politika išlieka stabili, iki kol vadovai įvertina, jog įmonės pelnas ateityje gali persikelti į aukštesnį lygmenį.</w:t>
      </w:r>
    </w:p>
    <w:p w:rsidR="000C2C03" w:rsidRPr="009776FE" w:rsidRDefault="00281424" w:rsidP="001448DF">
      <w:r w:rsidRPr="009776FE">
        <w:t>Bond ir Mougoue (1991) tyrė</w:t>
      </w:r>
      <w:r w:rsidR="003B33C8" w:rsidRPr="009776FE">
        <w:t xml:space="preserve"> ar dividendų prisitaikymo greitis prie planinio dydžio ir planinis dividendų išmokėjimo lygis tiksliai charakterizuoja</w:t>
      </w:r>
      <w:r w:rsidR="000C00DC" w:rsidRPr="009776FE">
        <w:t xml:space="preserve"> įmonės dividendų politiką ir </w:t>
      </w:r>
      <w:r w:rsidR="00FB4F93" w:rsidRPr="009776FE">
        <w:t>priėjo išvados</w:t>
      </w:r>
      <w:r w:rsidR="000C00DC" w:rsidRPr="009776FE">
        <w:t>, jog Li</w:t>
      </w:r>
      <w:r w:rsidR="0047541B" w:rsidRPr="009776FE">
        <w:t>n</w:t>
      </w:r>
      <w:r w:rsidR="000C00DC" w:rsidRPr="009776FE">
        <w:t>tner (1956) modelis nesudaro unikalių sąlygų analizuoti individualios įmonės dividendų politikos. Kai kuriuose tyrimuose (Baker, Farrelly, Edelman, 1985, 1986) buvo analizuojami faktoriai, kurie laikytini svar</w:t>
      </w:r>
      <w:r w:rsidR="0047541B" w:rsidRPr="009776FE">
        <w:t>biausiais vadovų tarpe ir nulemia</w:t>
      </w:r>
      <w:r w:rsidR="000C00DC" w:rsidRPr="009776FE">
        <w:t>nčiais įmonės dividendų politiką. Autoriai, apklausę 318 NYSE biržoje listinguojamų įmonių vadovų, nustatė, jog pagrindiniai bruožai, nusakantys dividendų mokėjimus: laukiamas gautino pelno lygis</w:t>
      </w:r>
      <w:r w:rsidR="00AD3ED9" w:rsidRPr="009776FE">
        <w:t xml:space="preserve"> ateityje</w:t>
      </w:r>
      <w:r w:rsidR="000C00DC" w:rsidRPr="009776FE">
        <w:t xml:space="preserve"> ir </w:t>
      </w:r>
      <w:r w:rsidR="00AD3ED9" w:rsidRPr="009776FE">
        <w:t xml:space="preserve">istorinis </w:t>
      </w:r>
      <w:r w:rsidR="000C00DC" w:rsidRPr="009776FE">
        <w:t xml:space="preserve">praeities dividendų </w:t>
      </w:r>
      <w:r w:rsidR="00AD3ED9" w:rsidRPr="009776FE">
        <w:t>pagrindas</w:t>
      </w:r>
      <w:r w:rsidR="000C00DC" w:rsidRPr="009776FE">
        <w:t>.</w:t>
      </w:r>
      <w:r w:rsidR="00F81559" w:rsidRPr="009776FE">
        <w:t xml:space="preserve"> Tokius rezultatus</w:t>
      </w:r>
      <w:r w:rsidR="009B0952" w:rsidRPr="009776FE">
        <w:t xml:space="preserve"> vėliau</w:t>
      </w:r>
      <w:r w:rsidR="00F81559" w:rsidRPr="009776FE">
        <w:t xml:space="preserve"> patvirtino </w:t>
      </w:r>
      <w:r w:rsidR="009B0952" w:rsidRPr="009776FE">
        <w:t>Baker ir Powell (2000) tyrimas, kuriame buvo apklausti NYSE akcijų biržoje listinguojamų įmonių atsakingi asmenys: nors atsakymai buvo lyginami tarp gamybos, prekybos ir aptarnavimo sektoriaus įmonių, tačiau reikšmingumų skirtumų nepastebėta.</w:t>
      </w:r>
      <w:r w:rsidR="000C00DC" w:rsidRPr="009776FE">
        <w:t xml:space="preserve"> </w:t>
      </w:r>
      <w:r w:rsidR="009B0952" w:rsidRPr="009776FE">
        <w:t xml:space="preserve">Baker ir </w:t>
      </w:r>
      <w:r w:rsidR="009B0952" w:rsidRPr="009776FE">
        <w:lastRenderedPageBreak/>
        <w:t>Powell (20</w:t>
      </w:r>
      <w:r w:rsidR="0047541B" w:rsidRPr="009776FE">
        <w:t>0</w:t>
      </w:r>
      <w:r w:rsidR="009B0952" w:rsidRPr="009776FE">
        <w:t>0) taip pat išskyrė trečią pagal svarbą faktorių, įtakojantį įmonės dividendų politiką –</w:t>
      </w:r>
      <w:r w:rsidR="005D6DC4" w:rsidRPr="009776FE">
        <w:t xml:space="preserve"> vadovų</w:t>
      </w:r>
      <w:r w:rsidR="009B0952" w:rsidRPr="009776FE">
        <w:t xml:space="preserve"> interes</w:t>
      </w:r>
      <w:r w:rsidR="005D6DC4" w:rsidRPr="009776FE">
        <w:t>ą</w:t>
      </w:r>
      <w:r w:rsidR="009B0952" w:rsidRPr="009776FE">
        <w:t xml:space="preserve"> didinti akcijos kainą</w:t>
      </w:r>
      <w:r w:rsidR="005D6DC4" w:rsidRPr="009776FE">
        <w:t>.</w:t>
      </w:r>
      <w:r w:rsidR="009B0952" w:rsidRPr="009776FE">
        <w:t xml:space="preserve"> </w:t>
      </w:r>
    </w:p>
    <w:p w:rsidR="00F71E44" w:rsidRDefault="00FB4F93" w:rsidP="007A0A12">
      <w:r w:rsidRPr="009776FE">
        <w:t>Vėliau Baker ir Farrelly (1988) analizavo tik dividendų „</w:t>
      </w:r>
      <w:r w:rsidR="00420BC9" w:rsidRPr="009776FE">
        <w:t>lyderius</w:t>
      </w:r>
      <w:r w:rsidRPr="009776FE">
        <w:t>“ (angl. dividend achievers) – įmones, kurios turi ilgesnę kaip 10 metų dividendų mokėjimo istoriją, o rezultatai buvo panašūs kaip i</w:t>
      </w:r>
      <w:r w:rsidR="009B0952" w:rsidRPr="009776FE">
        <w:t>r prieš tai atliktų tyrimų</w:t>
      </w:r>
      <w:r w:rsidRPr="009776FE">
        <w:t>. Pruitt ir Gitman (1991) tyrimo, kurio metu buvo apklausiami finansų vadovai, duomenimis – didžiausią įtaką išmokamų dividendų dydžiui turi einamųjų ir praėjusių metų akcijos pelningumas, pelningumo kitimo tendencija ilgu laikotarpiu, pelningumo augimas. Autoriai taip pat pastebi, jog praeitų metų dividendų dydis turi reikšmingą įtaką esamiems</w:t>
      </w:r>
      <w:r w:rsidR="00834F33" w:rsidRPr="009776FE">
        <w:t xml:space="preserve"> dividendams. Iš esmės tokie rezultatai patvirtina Li</w:t>
      </w:r>
      <w:r w:rsidR="00420BC9" w:rsidRPr="009776FE">
        <w:t>n</w:t>
      </w:r>
      <w:r w:rsidR="00834F33" w:rsidRPr="009776FE">
        <w:t>tner (1956) dividendų politikos teoriją ir jau minėtų autorių atliktų empirinių tyrimų rezultatus.</w:t>
      </w:r>
    </w:p>
    <w:p w:rsidR="00022F83" w:rsidRDefault="006D17C3" w:rsidP="006D17C3">
      <w:pPr>
        <w:pStyle w:val="Heading3"/>
        <w:numPr>
          <w:ilvl w:val="2"/>
          <w:numId w:val="4"/>
        </w:numPr>
      </w:pPr>
      <w:bookmarkStart w:id="28" w:name="_Ref343171190"/>
      <w:bookmarkStart w:id="29" w:name="_Toc343677741"/>
      <w:r>
        <w:t>Dividendinių naujienų įtaka akcijų pelningumui dividendų paskelbimo dienomis</w:t>
      </w:r>
      <w:bookmarkEnd w:id="28"/>
      <w:bookmarkEnd w:id="29"/>
    </w:p>
    <w:p w:rsidR="00EF62CB" w:rsidRPr="009776FE" w:rsidRDefault="00EF62CB" w:rsidP="00EF62CB">
      <w:r w:rsidRPr="009776FE">
        <w:t xml:space="preserve">Kiekvienas investicinis sprendimas dažniausiai būna motyvuotas potencialios akcijų grąžos vertinimu. McMillan ir Mohar (2012) atliko statistinių duomenų analizę, kuria siekta nustatyti akcijos grąžos ir dividendų </w:t>
      </w:r>
      <w:r>
        <w:t>pajamingum</w:t>
      </w:r>
      <w:r w:rsidRPr="009776FE">
        <w:t>o ryšį, prognozuojant dividendinių įmonių grąžą ir dividendų augimo perspektyvas. Gauti rezultatai rodo, jog dividendų augimo rodiklio reikšmė - patikimesnė finansų rinkų neramumų metais, visų pirma dėl rinkos reguliavimo pokyčių arba dėl kraštutinių įvykių rinkose. Kitais metais dividendų p</w:t>
      </w:r>
      <w:r>
        <w:t>ajamingum</w:t>
      </w:r>
      <w:r w:rsidRPr="009776FE">
        <w:t>o reikšmė padeda tiksliau nustatyti numanomą akcijos grąžą, ir, sąlyginai, dividendų augimo potencialą.</w:t>
      </w:r>
    </w:p>
    <w:p w:rsidR="00EF62CB" w:rsidRPr="009776FE" w:rsidRDefault="00EF62CB" w:rsidP="00EF62CB">
      <w:r w:rsidRPr="009776FE">
        <w:t xml:space="preserve">Chiang </w:t>
      </w:r>
      <w:r w:rsidRPr="0038577C">
        <w:t>et al</w:t>
      </w:r>
      <w:r w:rsidRPr="009776FE">
        <w:rPr>
          <w:i/>
        </w:rPr>
        <w:t>.</w:t>
      </w:r>
      <w:r w:rsidRPr="009776FE">
        <w:t xml:space="preserve"> (2006) atlikto tyrimo duomenimis, kurio metu buvo apklausiami profesionalūs rinkos dalyviai (investuotojai ir įmonių vadovai), siekiant nustatyti dividendų suvokimą, autoriai priėjo prie pagrindinių išvadų, kurios turėtų išlikti tolimesnių tyrimų centre (Chiang </w:t>
      </w:r>
      <w:r w:rsidRPr="0038577C">
        <w:t>et al.,</w:t>
      </w:r>
      <w:r w:rsidRPr="009776FE">
        <w:t xml:space="preserve"> 2006):</w:t>
      </w:r>
    </w:p>
    <w:p w:rsidR="00EF62CB" w:rsidRPr="009776FE" w:rsidRDefault="00EF62CB" w:rsidP="00EF62CB">
      <w:pPr>
        <w:pStyle w:val="ListParagraph"/>
        <w:numPr>
          <w:ilvl w:val="0"/>
          <w:numId w:val="7"/>
        </w:numPr>
      </w:pPr>
      <w:r w:rsidRPr="009776FE">
        <w:t>Bendrąja prasme: investuotojų požiūris į dividendus - teigiamas;</w:t>
      </w:r>
    </w:p>
    <w:p w:rsidR="00EF62CB" w:rsidRPr="009776FE" w:rsidRDefault="00EF62CB" w:rsidP="00EF62CB">
      <w:pPr>
        <w:pStyle w:val="ListParagraph"/>
        <w:numPr>
          <w:ilvl w:val="0"/>
          <w:numId w:val="7"/>
        </w:numPr>
      </w:pPr>
      <w:r w:rsidRPr="009776FE">
        <w:t>Investuotojų požiūris į pastovius arba didėjančius dividendus - palankus;</w:t>
      </w:r>
    </w:p>
    <w:p w:rsidR="00EF62CB" w:rsidRPr="009776FE" w:rsidRDefault="00EF62CB" w:rsidP="00EF62CB">
      <w:pPr>
        <w:pStyle w:val="ListParagraph"/>
        <w:numPr>
          <w:ilvl w:val="0"/>
          <w:numId w:val="7"/>
        </w:numPr>
      </w:pPr>
      <w:r w:rsidRPr="009776FE">
        <w:t>Investuotojų požiūris į dalinai arba visiškai mažinamus dividendus – nepalankus;</w:t>
      </w:r>
    </w:p>
    <w:p w:rsidR="00EF62CB" w:rsidRPr="009776FE" w:rsidRDefault="00EF62CB" w:rsidP="00EF62CB">
      <w:pPr>
        <w:pStyle w:val="ListParagraph"/>
        <w:numPr>
          <w:ilvl w:val="0"/>
          <w:numId w:val="7"/>
        </w:numPr>
      </w:pPr>
      <w:r w:rsidRPr="009776FE">
        <w:t>Profesionalai, atsakingi už atitinkamų sprendimų priėmimą įmonės lygmenyje, investicinių fondų makleriai – atsižvelgia į minėtus investuotojų požiūrius;</w:t>
      </w:r>
    </w:p>
    <w:p w:rsidR="00EF62CB" w:rsidRPr="009776FE" w:rsidRDefault="00EF62CB" w:rsidP="00EF62CB">
      <w:pPr>
        <w:pStyle w:val="ListParagraph"/>
        <w:numPr>
          <w:ilvl w:val="0"/>
          <w:numId w:val="7"/>
        </w:numPr>
      </w:pPr>
      <w:r w:rsidRPr="009776FE">
        <w:t>Dauguma profesionalų pritaria dėl dividendų svarbos;</w:t>
      </w:r>
    </w:p>
    <w:p w:rsidR="00EF62CB" w:rsidRPr="009776FE" w:rsidRDefault="00EF62CB" w:rsidP="00EF62CB">
      <w:pPr>
        <w:pStyle w:val="ListParagraph"/>
        <w:numPr>
          <w:ilvl w:val="0"/>
          <w:numId w:val="7"/>
        </w:numPr>
      </w:pPr>
      <w:r w:rsidRPr="009776FE">
        <w:t>Įmonės sprendimas mokėti dividendus, įvertinus skirtingą įmonių dydį ir jų vystymosi stadiją, gali būti: vienu atžvilgiu - trumparegiškas sprendimas, kitu – ekonomiškai racionalus sprendimas;</w:t>
      </w:r>
    </w:p>
    <w:p w:rsidR="00EF62CB" w:rsidRPr="009776FE" w:rsidRDefault="00EF62CB" w:rsidP="00EF62CB">
      <w:pPr>
        <w:pStyle w:val="ListParagraph"/>
        <w:numPr>
          <w:ilvl w:val="0"/>
          <w:numId w:val="7"/>
        </w:numPr>
      </w:pPr>
      <w:r w:rsidRPr="009776FE">
        <w:t xml:space="preserve">Tam tikra dividendų struktūra (šabloniškumas) egzistuoja; tačiau įmonės ateities lūkesčių signalizavimas, naudojant dividendų politiką yra pakankamai ribotas ir neturi aiškaus pagrindimo.  </w:t>
      </w:r>
    </w:p>
    <w:p w:rsidR="006D17C3" w:rsidRPr="00A868F1" w:rsidRDefault="006D17C3" w:rsidP="006D17C3">
      <w:r>
        <w:lastRenderedPageBreak/>
        <w:t>Kaip rodo Anderson (2009) atlikto tyrimo rezultatai, dividendų signalai gali būti atskirti nuo įmonės pelningumo signalų. Dividendų dydžio kitimo reikšmė (</w:t>
      </w:r>
      <w:r w:rsidRPr="007A3AA8">
        <w:rPr>
          <w:i/>
        </w:rPr>
        <w:t>Beta</w:t>
      </w:r>
      <w:r>
        <w:t xml:space="preserve"> - </w:t>
      </w:r>
      <w:r>
        <w:rPr>
          <w:rFonts w:cs="Times New Roman"/>
        </w:rPr>
        <w:t>β</w:t>
      </w:r>
      <w:r>
        <w:t xml:space="preserve">) dividendų paskelbimo dieną Naujosios Zelandijos akcijų rinkoje beveik 10 kartų viršijo prieš tai buvusios prekybos dienos ir 3 kartus visų kitų analizuojamų prekybos dienų </w:t>
      </w:r>
      <w:r w:rsidRPr="007A3AA8">
        <w:rPr>
          <w:i/>
        </w:rPr>
        <w:t>Beta</w:t>
      </w:r>
      <w:r>
        <w:t xml:space="preserve"> reikšmes. Tai reiškia, jog investuotojai reaguoja į naujienas, tokiu būdu didindami faktinės ir tikėtinos grąžos skirtumo reikšmę (žr. </w:t>
      </w:r>
      <w:r w:rsidRPr="00E172EB">
        <w:t>1 pav.)</w:t>
      </w:r>
      <w:r>
        <w:t>. Pasak Anderson (2009) kuo didesnis dividendų pokytis, tuo tikėtina, bus didesnis ir grąžos skirtumas.</w:t>
      </w:r>
    </w:p>
    <w:p w:rsidR="006D17C3" w:rsidRDefault="006D17C3" w:rsidP="006D17C3">
      <w:pPr>
        <w:ind w:firstLine="0"/>
        <w:jc w:val="center"/>
        <w:rPr>
          <w:rStyle w:val="SubtleEmphasis"/>
          <w:i w:val="0"/>
          <w:iCs w:val="0"/>
          <w:color w:val="auto"/>
        </w:rPr>
      </w:pPr>
      <w:r>
        <w:rPr>
          <w:noProof/>
          <w:lang w:eastAsia="lt-LT"/>
        </w:rPr>
        <w:drawing>
          <wp:inline distT="0" distB="0" distL="0" distR="0">
            <wp:extent cx="4819650" cy="2419350"/>
            <wp:effectExtent l="19050" t="0" r="0" b="0"/>
            <wp:docPr id="1" name="Picture 0" descr="1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av.jpg"/>
                    <pic:cNvPicPr/>
                  </pic:nvPicPr>
                  <pic:blipFill>
                    <a:blip r:embed="rId11" cstate="print"/>
                    <a:stretch>
                      <a:fillRect/>
                    </a:stretch>
                  </pic:blipFill>
                  <pic:spPr>
                    <a:xfrm>
                      <a:off x="0" y="0"/>
                      <a:ext cx="4819650" cy="2419350"/>
                    </a:xfrm>
                    <a:prstGeom prst="rect">
                      <a:avLst/>
                    </a:prstGeom>
                  </pic:spPr>
                </pic:pic>
              </a:graphicData>
            </a:graphic>
          </wp:inline>
        </w:drawing>
      </w:r>
    </w:p>
    <w:p w:rsidR="006D17C3" w:rsidRPr="006F517F" w:rsidRDefault="006D17C3" w:rsidP="006F517F">
      <w:pPr>
        <w:ind w:firstLine="1276"/>
        <w:rPr>
          <w:sz w:val="20"/>
          <w:szCs w:val="20"/>
        </w:rPr>
      </w:pPr>
      <w:r w:rsidRPr="006F517F">
        <w:rPr>
          <w:b/>
          <w:sz w:val="20"/>
          <w:szCs w:val="20"/>
        </w:rPr>
        <w:t>Šaltinis:</w:t>
      </w:r>
      <w:r w:rsidRPr="006F517F">
        <w:rPr>
          <w:sz w:val="20"/>
          <w:szCs w:val="20"/>
        </w:rPr>
        <w:t xml:space="preserve"> Anderson (2009)</w:t>
      </w:r>
    </w:p>
    <w:p w:rsidR="006D17C3" w:rsidRPr="00B24E78" w:rsidRDefault="00EF62CB" w:rsidP="006D17C3">
      <w:pPr>
        <w:pStyle w:val="Subtitle"/>
        <w:rPr>
          <w:rStyle w:val="SubtleEmphasis"/>
          <w:i w:val="0"/>
          <w:iCs w:val="0"/>
          <w:color w:val="auto"/>
          <w:szCs w:val="28"/>
        </w:rPr>
      </w:pPr>
      <w:r>
        <w:rPr>
          <w:rStyle w:val="SubtleEmphasis"/>
          <w:i w:val="0"/>
          <w:iCs w:val="0"/>
          <w:color w:val="auto"/>
          <w:szCs w:val="28"/>
        </w:rPr>
        <w:t xml:space="preserve"> </w:t>
      </w:r>
      <w:bookmarkStart w:id="30" w:name="_Toc343677845"/>
      <w:r w:rsidR="001D2D20">
        <w:rPr>
          <w:rStyle w:val="SubtleEmphasis"/>
          <w:i w:val="0"/>
          <w:iCs w:val="0"/>
          <w:color w:val="auto"/>
          <w:szCs w:val="28"/>
        </w:rPr>
        <w:t>Dividendų dydžio kitimo</w:t>
      </w:r>
      <w:r w:rsidR="001D2D20" w:rsidRPr="00B24E78">
        <w:rPr>
          <w:rStyle w:val="SubtleEmphasis"/>
          <w:i w:val="0"/>
          <w:iCs w:val="0"/>
          <w:color w:val="auto"/>
          <w:szCs w:val="28"/>
        </w:rPr>
        <w:t xml:space="preserve"> </w:t>
      </w:r>
      <w:r w:rsidR="001D2D20">
        <w:rPr>
          <w:rStyle w:val="SubtleEmphasis"/>
          <w:i w:val="0"/>
          <w:iCs w:val="0"/>
          <w:color w:val="auto"/>
          <w:szCs w:val="28"/>
        </w:rPr>
        <w:t>reikšmė</w:t>
      </w:r>
      <w:r w:rsidR="006D17C3" w:rsidRPr="00B24E78">
        <w:rPr>
          <w:rStyle w:val="SubtleEmphasis"/>
          <w:i w:val="0"/>
          <w:iCs w:val="0"/>
          <w:color w:val="auto"/>
          <w:szCs w:val="28"/>
        </w:rPr>
        <w:t xml:space="preserve"> per 21 dienų prekybos laikotarpį</w:t>
      </w:r>
      <w:bookmarkEnd w:id="30"/>
    </w:p>
    <w:p w:rsidR="006D17C3" w:rsidRDefault="006D17C3" w:rsidP="006D17C3">
      <w:r>
        <w:t>Kaip priklausomą kintamąjį autorius nagrinėjo – VP faktinės ir tikėtinos grąžos skirtumą arba kitaip – perviršinę grąžą (angl. abnormal return</w:t>
      </w:r>
      <w:r w:rsidR="00522614">
        <w:t>, trump. AR</w:t>
      </w:r>
      <w:r>
        <w:t>). Skaičiuojant reikšmes, daroma prielaida, jog VP faktinės ir tikėtinos grąžos</w:t>
      </w:r>
      <w:r w:rsidRPr="006F3C91">
        <w:t xml:space="preserve"> </w:t>
      </w:r>
      <w:r>
        <w:t>skirtumas susiformuoja po tam tikrų įvykių rinkoje (pvz. dividendų ir pelno naujienų paskelbimo). Naujienų paskelbimo diena laikoma – t</w:t>
      </w:r>
      <w:r w:rsidRPr="00644050">
        <w:t>=0</w:t>
      </w:r>
      <w:r>
        <w:rPr>
          <w:vertAlign w:val="subscript"/>
        </w:rPr>
        <w:t>.</w:t>
      </w:r>
      <w:r>
        <w:t xml:space="preserve"> Autoriaus pateikiami rezultatai, rodo, jog dividendų pokyčio </w:t>
      </w:r>
      <w:r w:rsidRPr="00644050">
        <w:rPr>
          <w:i/>
        </w:rPr>
        <w:t>Beta</w:t>
      </w:r>
      <w:r>
        <w:t xml:space="preserve"> kintamasis turi daugiau kaip 4 kartus didesnę reikšmę, lyginant su pelningumo pokyčio </w:t>
      </w:r>
      <w:r w:rsidRPr="00644050">
        <w:rPr>
          <w:i/>
        </w:rPr>
        <w:t>Beta</w:t>
      </w:r>
      <w:r>
        <w:t xml:space="preserve"> kintamuoju (su 99% tikimybe.). Nepriklausomi kintamieji turi e</w:t>
      </w:r>
      <w:r w:rsidR="00522614">
        <w:t>fektą priklausomam kintamajam (AR).</w:t>
      </w:r>
      <w:r>
        <w:t xml:space="preserve"> Tai leidžia </w:t>
      </w:r>
      <w:r w:rsidR="00D25D8F">
        <w:t>prieiti tolimesnės išvados, jog</w:t>
      </w:r>
      <w:r>
        <w:t xml:space="preserve"> tiek dividendų ir pelno komponentai yra statistiškai reikšmingi kainų pokyčiui naujienų paskelbimo dieną.</w:t>
      </w:r>
    </w:p>
    <w:p w:rsidR="006D17C3" w:rsidRPr="00941D2F" w:rsidRDefault="006D17C3" w:rsidP="006D17C3">
      <w:r>
        <w:t>Autoriaus pateikiama metodika efektyviai nagrinėja tikėtiną grąžą, taip pat atskleidžia dividendų signalizavimo egzistavimą kartu nagrinėjant kelis informacijos objektus – rinkos informacija apie įmonės pelną ir dividendus: dividendų, tenkančių akcijai, pokyčio svyravimo reikšmė (</w:t>
      </w:r>
      <w:r>
        <w:rPr>
          <w:rFonts w:cs="Times New Roman"/>
        </w:rPr>
        <w:t>∆</w:t>
      </w:r>
      <w:r>
        <w:t>DPS) tris kartus viršija akcijos pelningumo svyravimo reikšmę (</w:t>
      </w:r>
      <w:r>
        <w:rPr>
          <w:rFonts w:cs="Times New Roman"/>
        </w:rPr>
        <w:t>∆</w:t>
      </w:r>
      <w:r>
        <w:t xml:space="preserve">EPS), o  esant tarpusavio sąveikavimo efektui minėti dydžiai skiriasi jau net 4 kartus. </w:t>
      </w:r>
      <w:r w:rsidRPr="00941D2F">
        <w:t>Rezultatai taip pat parodė, jog kitomis analizuojamomis prekybos dienomis, nėra didesnių faktinės ir tikėtinos grąžos pokyčių, kas gali reikšti jog informacija apie naujienas anksčiau laiko nenutekinama, o rinka veikia efektyviomis sąlygomis.</w:t>
      </w:r>
    </w:p>
    <w:p w:rsidR="006D17C3" w:rsidRPr="00941D2F" w:rsidRDefault="006D17C3" w:rsidP="006D17C3">
      <w:r w:rsidRPr="00941D2F">
        <w:lastRenderedPageBreak/>
        <w:t>Sharma (2011) savo moksliniame darbe nagrinėjo ir išplėtė efektyvios rinkos hipotezę, kuri teigia, jog esamos kainos atspindi prieinamą informaciją ir kad jokios perteklinės kapitalo grąžos investuotojas negali tikėtis, kadangi esamos kainos atspindi jau įskaičiuotą informacija. Autorius nagrinėjo, kaip akcijų kainos prisitaiko prie informacijos apie dividendų naujienas, naudodamas dienos prekybos rezultatus. Sharma (2011) savo analizei pasitelkė rodiklius, kuriais remiantis skaičiuojamas faktinės ir tikėtinos</w:t>
      </w:r>
      <w:r w:rsidR="00D25D8F">
        <w:t xml:space="preserve"> grąžos pokyčio rodiklis</w:t>
      </w:r>
      <w:r w:rsidRPr="00941D2F">
        <w:t xml:space="preserve">: naudojantis AAR rodikliu skaičiuojama vidutinės faktinės ir tikėtinos grąžos pokyčio reikšmė, CAAR – sudėtinė vidutinės faktinės ir tikėtinos grąžos pokyčio reikšmė, paskirsčius Indijos rinkos bendroves pagal 20 skirtingų pramonės sektorių. </w:t>
      </w:r>
    </w:p>
    <w:p w:rsidR="00522614" w:rsidRDefault="006D17C3" w:rsidP="00522614">
      <w:r>
        <w:t>Taneem ir Yuce (2011) turėjo</w:t>
      </w:r>
      <w:r w:rsidRPr="00941D2F">
        <w:t xml:space="preserve"> savų argumentų apie dividendų signalizavimo teoriją. Autoriai nagrinėjo prekybos laikotarpį 20 dienų prieš dividendų paskelbimo dieną ir tiek pat po dividendų paskelbimo dienos Indijoje. </w:t>
      </w:r>
      <w:r w:rsidR="00522614">
        <w:t>Nustatyta,</w:t>
      </w:r>
      <w:r w:rsidRPr="00941D2F">
        <w:t xml:space="preserve"> jog dividendų paskelbimas generuoja teigimą likutinę grąžą akcininkams, ypač dividendų augimo atvejais. Neigiama informacija apie dividendus rinkai paskleidžia neigiamą informaciją apie įmonę, ir didesnę dalį dienų aplink dividendų paskelbimo dieną generuojama likutinė grąža yra neigiama. Tuo tarpu sudėtinė grąža (CAR) prekybos dienomis nuo -20 iki -3 sudarė 2,57% (</w:t>
      </w:r>
      <w:r>
        <w:t>su 99</w:t>
      </w:r>
      <w:r>
        <w:rPr>
          <w:lang w:val="en-US"/>
        </w:rPr>
        <w:t xml:space="preserve">% </w:t>
      </w:r>
      <w:r w:rsidRPr="00522614">
        <w:t>tikimybe</w:t>
      </w:r>
      <w:r w:rsidRPr="00941D2F">
        <w:t>) gerų dividendų naujienų atveju. Tuo tarpu blogų dividendų naujienų atveju, CAR bu</w:t>
      </w:r>
      <w:r w:rsidR="00522614">
        <w:t>vo neigiamas ir sudarė -0,32%.</w:t>
      </w:r>
      <w:r w:rsidRPr="00941D2F">
        <w:t>, dar kartą patvirtinant teiginį, jog rinkoms būdinga augti prieš dividendų paskelbimo naujienas ir informacijos nutekėjimo nėra.</w:t>
      </w:r>
      <w:r w:rsidR="00522614" w:rsidRPr="00522614">
        <w:t xml:space="preserve"> </w:t>
      </w:r>
      <w:r w:rsidR="00522614" w:rsidRPr="00941D2F">
        <w:t>Kaip matyti iš duomenų</w:t>
      </w:r>
      <w:r w:rsidR="00522614">
        <w:t xml:space="preserve"> (žr. </w:t>
      </w:r>
      <w:r w:rsidR="00707DF4">
        <w:t>2 lent.</w:t>
      </w:r>
      <w:r w:rsidR="00522614">
        <w:t>)</w:t>
      </w:r>
      <w:r w:rsidR="00522614" w:rsidRPr="00941D2F">
        <w:t>, sudėtine likutinė grąža aplink dividendų paskelbimo dieną svyru</w:t>
      </w:r>
      <w:r w:rsidR="00D25D8F">
        <w:t>oja: gerų naujienų atveju nuo 0,95% iki 1,7%, blogų – nuo -3,</w:t>
      </w:r>
      <w:r w:rsidR="000275BE">
        <w:t>5</w:t>
      </w:r>
      <w:r w:rsidR="00D25D8F">
        <w:t>% iki -6,</w:t>
      </w:r>
      <w:r w:rsidR="00522614" w:rsidRPr="00941D2F">
        <w:t>9%. Tokie rezultatai byloja, jog dividendų naujienos įtakoja akcijų kainas (Yuce, Taneem, 2011).</w:t>
      </w:r>
    </w:p>
    <w:p w:rsidR="006D17C3" w:rsidRPr="00941D2F" w:rsidRDefault="00EF62CB" w:rsidP="006D17C3">
      <w:pPr>
        <w:pStyle w:val="Caption"/>
      </w:pPr>
      <w:bookmarkStart w:id="31" w:name="_Ref342926528"/>
      <w:r>
        <w:t xml:space="preserve"> </w:t>
      </w:r>
      <w:bookmarkStart w:id="32" w:name="_Toc343677820"/>
      <w:r w:rsidR="00D25D8F">
        <w:t xml:space="preserve">Sudėtinis pelningumas </w:t>
      </w:r>
      <w:r w:rsidR="006D17C3" w:rsidRPr="00941D2F">
        <w:t>CAR gerų ir blogų dividendų naujienų atvejais</w:t>
      </w:r>
      <w:bookmarkEnd w:id="31"/>
      <w:bookmarkEnd w:id="32"/>
    </w:p>
    <w:tbl>
      <w:tblPr>
        <w:tblW w:w="0" w:type="auto"/>
        <w:jc w:val="center"/>
        <w:tblInd w:w="-20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54"/>
        <w:gridCol w:w="3686"/>
        <w:gridCol w:w="3252"/>
      </w:tblGrid>
      <w:tr w:rsidR="006D17C3" w:rsidRPr="00941D2F" w:rsidTr="00D227FD">
        <w:trPr>
          <w:jc w:val="center"/>
        </w:trPr>
        <w:tc>
          <w:tcPr>
            <w:tcW w:w="1554" w:type="dxa"/>
          </w:tcPr>
          <w:p w:rsidR="006D17C3" w:rsidRPr="008A0B79" w:rsidRDefault="006D17C3" w:rsidP="00D227FD">
            <w:pPr>
              <w:spacing w:before="0" w:line="240" w:lineRule="auto"/>
              <w:ind w:firstLine="0"/>
              <w:jc w:val="center"/>
              <w:rPr>
                <w:b/>
                <w:szCs w:val="24"/>
              </w:rPr>
            </w:pPr>
            <w:r w:rsidRPr="008A0B79">
              <w:rPr>
                <w:b/>
                <w:szCs w:val="24"/>
              </w:rPr>
              <w:t>Prekybos dienos</w:t>
            </w:r>
          </w:p>
        </w:tc>
        <w:tc>
          <w:tcPr>
            <w:tcW w:w="3686" w:type="dxa"/>
          </w:tcPr>
          <w:p w:rsidR="006D17C3" w:rsidRPr="008A0B79" w:rsidRDefault="006D17C3" w:rsidP="00D227FD">
            <w:pPr>
              <w:spacing w:before="0" w:line="240" w:lineRule="auto"/>
              <w:ind w:firstLine="0"/>
              <w:jc w:val="center"/>
              <w:rPr>
                <w:b/>
                <w:szCs w:val="24"/>
              </w:rPr>
            </w:pPr>
            <w:r w:rsidRPr="008A0B79">
              <w:rPr>
                <w:b/>
                <w:szCs w:val="24"/>
              </w:rPr>
              <w:t>Geros naujienos</w:t>
            </w:r>
          </w:p>
          <w:p w:rsidR="006D17C3" w:rsidRPr="008A0B79" w:rsidRDefault="00D25D8F" w:rsidP="00D25D8F">
            <w:pPr>
              <w:spacing w:before="0" w:line="240" w:lineRule="auto"/>
              <w:ind w:firstLine="0"/>
              <w:jc w:val="center"/>
              <w:rPr>
                <w:b/>
                <w:szCs w:val="24"/>
              </w:rPr>
            </w:pPr>
            <w:r>
              <w:rPr>
                <w:b/>
                <w:szCs w:val="24"/>
              </w:rPr>
              <w:t>Sudėtinis pelningumas</w:t>
            </w:r>
            <w:r w:rsidR="006D17C3" w:rsidRPr="008A0B79">
              <w:rPr>
                <w:b/>
                <w:szCs w:val="24"/>
              </w:rPr>
              <w:t xml:space="preserve"> CAR</w:t>
            </w:r>
          </w:p>
        </w:tc>
        <w:tc>
          <w:tcPr>
            <w:tcW w:w="3252" w:type="dxa"/>
          </w:tcPr>
          <w:p w:rsidR="006D17C3" w:rsidRPr="008A0B79" w:rsidRDefault="006D17C3" w:rsidP="00D227FD">
            <w:pPr>
              <w:spacing w:before="0" w:line="240" w:lineRule="auto"/>
              <w:ind w:firstLine="0"/>
              <w:jc w:val="center"/>
              <w:rPr>
                <w:b/>
                <w:szCs w:val="24"/>
              </w:rPr>
            </w:pPr>
            <w:r w:rsidRPr="008A0B79">
              <w:rPr>
                <w:b/>
                <w:szCs w:val="24"/>
              </w:rPr>
              <w:t>Blogos naujienos</w:t>
            </w:r>
          </w:p>
          <w:p w:rsidR="006D17C3" w:rsidRPr="008A0B79" w:rsidRDefault="00D25D8F" w:rsidP="00D25D8F">
            <w:pPr>
              <w:spacing w:before="0" w:line="240" w:lineRule="auto"/>
              <w:ind w:firstLine="0"/>
              <w:jc w:val="center"/>
              <w:rPr>
                <w:b/>
                <w:szCs w:val="24"/>
              </w:rPr>
            </w:pPr>
            <w:r>
              <w:rPr>
                <w:b/>
                <w:szCs w:val="24"/>
              </w:rPr>
              <w:t xml:space="preserve">Sudėtinis pelningumas </w:t>
            </w:r>
            <w:r w:rsidR="006D17C3" w:rsidRPr="008A0B79">
              <w:rPr>
                <w:b/>
                <w:szCs w:val="24"/>
              </w:rPr>
              <w:t>CAR</w:t>
            </w:r>
          </w:p>
        </w:tc>
      </w:tr>
      <w:tr w:rsidR="006D17C3" w:rsidRPr="00941D2F" w:rsidTr="00D227FD">
        <w:trPr>
          <w:jc w:val="center"/>
        </w:trPr>
        <w:tc>
          <w:tcPr>
            <w:tcW w:w="1554" w:type="dxa"/>
          </w:tcPr>
          <w:p w:rsidR="006D17C3" w:rsidRPr="008A0B79" w:rsidRDefault="006D17C3" w:rsidP="00D227FD">
            <w:pPr>
              <w:spacing w:before="0" w:line="240" w:lineRule="auto"/>
              <w:ind w:firstLine="0"/>
              <w:rPr>
                <w:szCs w:val="24"/>
              </w:rPr>
            </w:pPr>
            <w:r w:rsidRPr="008A0B79">
              <w:rPr>
                <w:szCs w:val="24"/>
              </w:rPr>
              <w:t>[-20, 2]</w:t>
            </w:r>
          </w:p>
        </w:tc>
        <w:tc>
          <w:tcPr>
            <w:tcW w:w="3686" w:type="dxa"/>
          </w:tcPr>
          <w:p w:rsidR="006D17C3" w:rsidRPr="008A0B79" w:rsidRDefault="00D25D8F" w:rsidP="00D227FD">
            <w:pPr>
              <w:spacing w:before="0" w:line="240" w:lineRule="auto"/>
              <w:ind w:firstLine="0"/>
              <w:rPr>
                <w:szCs w:val="24"/>
              </w:rPr>
            </w:pPr>
            <w:r>
              <w:rPr>
                <w:szCs w:val="24"/>
              </w:rPr>
              <w:t>3,</w:t>
            </w:r>
            <w:r w:rsidR="006D17C3" w:rsidRPr="008A0B79">
              <w:rPr>
                <w:szCs w:val="24"/>
              </w:rPr>
              <w:t>82%</w:t>
            </w:r>
          </w:p>
        </w:tc>
        <w:tc>
          <w:tcPr>
            <w:tcW w:w="3252" w:type="dxa"/>
          </w:tcPr>
          <w:p w:rsidR="006D17C3" w:rsidRPr="008A0B79" w:rsidRDefault="00D25D8F" w:rsidP="00D227FD">
            <w:pPr>
              <w:spacing w:before="0" w:line="240" w:lineRule="auto"/>
              <w:ind w:firstLine="0"/>
              <w:rPr>
                <w:szCs w:val="24"/>
              </w:rPr>
            </w:pPr>
            <w:r>
              <w:rPr>
                <w:szCs w:val="24"/>
              </w:rPr>
              <w:t>-5,</w:t>
            </w:r>
            <w:r w:rsidR="006D17C3" w:rsidRPr="008A0B79">
              <w:rPr>
                <w:szCs w:val="24"/>
              </w:rPr>
              <w:t>78%</w:t>
            </w:r>
          </w:p>
        </w:tc>
      </w:tr>
      <w:tr w:rsidR="006D17C3" w:rsidRPr="00941D2F" w:rsidTr="00D227FD">
        <w:trPr>
          <w:jc w:val="center"/>
        </w:trPr>
        <w:tc>
          <w:tcPr>
            <w:tcW w:w="1554" w:type="dxa"/>
          </w:tcPr>
          <w:p w:rsidR="006D17C3" w:rsidRPr="008A0B79" w:rsidRDefault="006D17C3" w:rsidP="00D227FD">
            <w:pPr>
              <w:spacing w:before="0" w:line="240" w:lineRule="auto"/>
              <w:ind w:firstLine="0"/>
              <w:rPr>
                <w:szCs w:val="24"/>
              </w:rPr>
            </w:pPr>
            <w:r w:rsidRPr="008A0B79">
              <w:rPr>
                <w:szCs w:val="24"/>
              </w:rPr>
              <w:t>[-20, -3]</w:t>
            </w:r>
          </w:p>
        </w:tc>
        <w:tc>
          <w:tcPr>
            <w:tcW w:w="3686" w:type="dxa"/>
          </w:tcPr>
          <w:p w:rsidR="006D17C3" w:rsidRPr="008A0B79" w:rsidRDefault="00D25D8F" w:rsidP="00D227FD">
            <w:pPr>
              <w:spacing w:before="0" w:line="240" w:lineRule="auto"/>
              <w:ind w:firstLine="0"/>
              <w:rPr>
                <w:szCs w:val="24"/>
              </w:rPr>
            </w:pPr>
            <w:r>
              <w:rPr>
                <w:szCs w:val="24"/>
              </w:rPr>
              <w:t>2,</w:t>
            </w:r>
            <w:r w:rsidR="006D17C3" w:rsidRPr="008A0B79">
              <w:rPr>
                <w:szCs w:val="24"/>
              </w:rPr>
              <w:t>57%</w:t>
            </w:r>
          </w:p>
        </w:tc>
        <w:tc>
          <w:tcPr>
            <w:tcW w:w="3252" w:type="dxa"/>
          </w:tcPr>
          <w:p w:rsidR="006D17C3" w:rsidRPr="008A0B79" w:rsidRDefault="00D25D8F" w:rsidP="00D227FD">
            <w:pPr>
              <w:spacing w:before="0" w:line="240" w:lineRule="auto"/>
              <w:ind w:firstLine="0"/>
              <w:rPr>
                <w:szCs w:val="24"/>
              </w:rPr>
            </w:pPr>
            <w:r>
              <w:rPr>
                <w:szCs w:val="24"/>
              </w:rPr>
              <w:t>-0,</w:t>
            </w:r>
            <w:r w:rsidR="006D17C3" w:rsidRPr="008A0B79">
              <w:rPr>
                <w:szCs w:val="24"/>
              </w:rPr>
              <w:t>32%</w:t>
            </w:r>
          </w:p>
        </w:tc>
      </w:tr>
      <w:tr w:rsidR="006D17C3" w:rsidRPr="00941D2F" w:rsidTr="00D227FD">
        <w:trPr>
          <w:jc w:val="center"/>
        </w:trPr>
        <w:tc>
          <w:tcPr>
            <w:tcW w:w="1554" w:type="dxa"/>
          </w:tcPr>
          <w:p w:rsidR="006D17C3" w:rsidRPr="008A0B79" w:rsidRDefault="006D17C3" w:rsidP="00D227FD">
            <w:pPr>
              <w:spacing w:before="0" w:line="240" w:lineRule="auto"/>
              <w:ind w:firstLine="0"/>
              <w:rPr>
                <w:szCs w:val="24"/>
              </w:rPr>
            </w:pPr>
            <w:r w:rsidRPr="008A0B79">
              <w:rPr>
                <w:szCs w:val="24"/>
              </w:rPr>
              <w:t>[-5, 5]</w:t>
            </w:r>
          </w:p>
        </w:tc>
        <w:tc>
          <w:tcPr>
            <w:tcW w:w="3686" w:type="dxa"/>
          </w:tcPr>
          <w:p w:rsidR="006D17C3" w:rsidRPr="008A0B79" w:rsidRDefault="00D25D8F" w:rsidP="00D227FD">
            <w:pPr>
              <w:spacing w:before="0" w:line="240" w:lineRule="auto"/>
              <w:ind w:firstLine="0"/>
              <w:rPr>
                <w:szCs w:val="24"/>
              </w:rPr>
            </w:pPr>
            <w:r>
              <w:rPr>
                <w:szCs w:val="24"/>
              </w:rPr>
              <w:t>1,</w:t>
            </w:r>
            <w:r w:rsidR="006D17C3" w:rsidRPr="008A0B79">
              <w:rPr>
                <w:szCs w:val="24"/>
              </w:rPr>
              <w:t>73%</w:t>
            </w:r>
          </w:p>
        </w:tc>
        <w:tc>
          <w:tcPr>
            <w:tcW w:w="3252" w:type="dxa"/>
          </w:tcPr>
          <w:p w:rsidR="006D17C3" w:rsidRPr="008A0B79" w:rsidRDefault="00D25D8F" w:rsidP="00D227FD">
            <w:pPr>
              <w:spacing w:before="0" w:line="240" w:lineRule="auto"/>
              <w:ind w:firstLine="0"/>
              <w:rPr>
                <w:szCs w:val="24"/>
              </w:rPr>
            </w:pPr>
            <w:r>
              <w:rPr>
                <w:szCs w:val="24"/>
              </w:rPr>
              <w:t>-6,</w:t>
            </w:r>
            <w:r w:rsidR="006D17C3" w:rsidRPr="008A0B79">
              <w:rPr>
                <w:szCs w:val="24"/>
              </w:rPr>
              <w:t>90%</w:t>
            </w:r>
          </w:p>
        </w:tc>
      </w:tr>
      <w:tr w:rsidR="006D17C3" w:rsidRPr="00941D2F" w:rsidTr="00D227FD">
        <w:trPr>
          <w:jc w:val="center"/>
        </w:trPr>
        <w:tc>
          <w:tcPr>
            <w:tcW w:w="1554" w:type="dxa"/>
          </w:tcPr>
          <w:p w:rsidR="006D17C3" w:rsidRPr="008A0B79" w:rsidRDefault="006D17C3" w:rsidP="00D227FD">
            <w:pPr>
              <w:spacing w:before="0" w:line="240" w:lineRule="auto"/>
              <w:ind w:firstLine="0"/>
              <w:rPr>
                <w:szCs w:val="24"/>
              </w:rPr>
            </w:pPr>
            <w:r w:rsidRPr="008A0B79">
              <w:rPr>
                <w:szCs w:val="24"/>
              </w:rPr>
              <w:t>[-2, 2]</w:t>
            </w:r>
          </w:p>
        </w:tc>
        <w:tc>
          <w:tcPr>
            <w:tcW w:w="3686" w:type="dxa"/>
          </w:tcPr>
          <w:p w:rsidR="006D17C3" w:rsidRPr="008A0B79" w:rsidRDefault="00D25D8F" w:rsidP="00D227FD">
            <w:pPr>
              <w:spacing w:before="0" w:line="240" w:lineRule="auto"/>
              <w:ind w:firstLine="0"/>
              <w:rPr>
                <w:szCs w:val="24"/>
              </w:rPr>
            </w:pPr>
            <w:r>
              <w:rPr>
                <w:szCs w:val="24"/>
              </w:rPr>
              <w:t>12,</w:t>
            </w:r>
            <w:r w:rsidR="006D17C3" w:rsidRPr="008A0B79">
              <w:rPr>
                <w:szCs w:val="24"/>
              </w:rPr>
              <w:t>5%</w:t>
            </w:r>
          </w:p>
        </w:tc>
        <w:tc>
          <w:tcPr>
            <w:tcW w:w="3252" w:type="dxa"/>
          </w:tcPr>
          <w:p w:rsidR="006D17C3" w:rsidRPr="008A0B79" w:rsidRDefault="00D25D8F" w:rsidP="00D227FD">
            <w:pPr>
              <w:spacing w:before="0" w:line="240" w:lineRule="auto"/>
              <w:ind w:firstLine="0"/>
              <w:rPr>
                <w:szCs w:val="24"/>
              </w:rPr>
            </w:pPr>
            <w:r>
              <w:rPr>
                <w:szCs w:val="24"/>
              </w:rPr>
              <w:t>-5,</w:t>
            </w:r>
            <w:r w:rsidR="006D17C3" w:rsidRPr="008A0B79">
              <w:rPr>
                <w:szCs w:val="24"/>
              </w:rPr>
              <w:t>45%</w:t>
            </w:r>
          </w:p>
        </w:tc>
      </w:tr>
      <w:tr w:rsidR="006D17C3" w:rsidRPr="00941D2F" w:rsidTr="00D227FD">
        <w:trPr>
          <w:jc w:val="center"/>
        </w:trPr>
        <w:tc>
          <w:tcPr>
            <w:tcW w:w="1554" w:type="dxa"/>
          </w:tcPr>
          <w:p w:rsidR="006D17C3" w:rsidRPr="008A0B79" w:rsidRDefault="006D17C3" w:rsidP="00D227FD">
            <w:pPr>
              <w:spacing w:before="0" w:line="240" w:lineRule="auto"/>
              <w:ind w:firstLine="0"/>
              <w:rPr>
                <w:szCs w:val="24"/>
              </w:rPr>
            </w:pPr>
            <w:r w:rsidRPr="008A0B79">
              <w:rPr>
                <w:szCs w:val="24"/>
              </w:rPr>
              <w:t>[-1, 1]</w:t>
            </w:r>
          </w:p>
        </w:tc>
        <w:tc>
          <w:tcPr>
            <w:tcW w:w="3686" w:type="dxa"/>
          </w:tcPr>
          <w:p w:rsidR="006D17C3" w:rsidRPr="008A0B79" w:rsidRDefault="00D25D8F" w:rsidP="00D227FD">
            <w:pPr>
              <w:spacing w:before="0" w:line="240" w:lineRule="auto"/>
              <w:ind w:firstLine="0"/>
              <w:rPr>
                <w:szCs w:val="24"/>
              </w:rPr>
            </w:pPr>
            <w:r>
              <w:rPr>
                <w:szCs w:val="24"/>
              </w:rPr>
              <w:t>0,</w:t>
            </w:r>
            <w:r w:rsidR="006D17C3" w:rsidRPr="008A0B79">
              <w:rPr>
                <w:szCs w:val="24"/>
              </w:rPr>
              <w:t>95%</w:t>
            </w:r>
          </w:p>
        </w:tc>
        <w:tc>
          <w:tcPr>
            <w:tcW w:w="3252" w:type="dxa"/>
          </w:tcPr>
          <w:p w:rsidR="006D17C3" w:rsidRPr="008A0B79" w:rsidRDefault="00D25D8F" w:rsidP="00D227FD">
            <w:pPr>
              <w:spacing w:before="0" w:line="240" w:lineRule="auto"/>
              <w:ind w:firstLine="0"/>
              <w:rPr>
                <w:szCs w:val="24"/>
              </w:rPr>
            </w:pPr>
            <w:r>
              <w:rPr>
                <w:szCs w:val="24"/>
              </w:rPr>
              <w:t>-3,</w:t>
            </w:r>
            <w:r w:rsidR="006D17C3" w:rsidRPr="008A0B79">
              <w:rPr>
                <w:szCs w:val="24"/>
              </w:rPr>
              <w:t>51%</w:t>
            </w:r>
          </w:p>
        </w:tc>
      </w:tr>
    </w:tbl>
    <w:p w:rsidR="006D17C3" w:rsidRPr="00B24E78" w:rsidRDefault="006D17C3" w:rsidP="006D17C3">
      <w:pPr>
        <w:ind w:firstLine="709"/>
        <w:rPr>
          <w:sz w:val="20"/>
          <w:szCs w:val="20"/>
        </w:rPr>
      </w:pPr>
      <w:r w:rsidRPr="008A0B79">
        <w:rPr>
          <w:b/>
          <w:sz w:val="20"/>
          <w:szCs w:val="20"/>
        </w:rPr>
        <w:t>Šaltinis:</w:t>
      </w:r>
      <w:r w:rsidRPr="00B24E78">
        <w:rPr>
          <w:sz w:val="20"/>
          <w:szCs w:val="20"/>
        </w:rPr>
        <w:t xml:space="preserve"> Yuce, Taneem, 2011</w:t>
      </w:r>
    </w:p>
    <w:p w:rsidR="006D17C3" w:rsidRDefault="006D17C3" w:rsidP="006D17C3">
      <w:r>
        <w:t>Kur kas ankstyvesnių tyrimų metu Kwan (1981) pastebėjo, jog remiantis paprastomis dividendų informacijos klasifikavimo schemomis, tikėtinas dividendų lygis tėra praeities dividendų dydis, o didesni dividendų pokyčiai yra susiję su dideliais nuokrypiais nuo rinkos lūkesčių (ir atvirkščiai). Empiriškai tai reiškia, jog rinka stipriai reaguoja į didesnius dividendų pokyčius, silpniau – į mažesnius. Kwan (1981) rėmėsi ankstyvais Petit (1972) teiginiais: rinka teigiamai reaguoja į teigiamus 10-25</w:t>
      </w:r>
      <w:r w:rsidRPr="009617F4">
        <w:t xml:space="preserve">% </w:t>
      </w:r>
      <w:r>
        <w:t>dividendų dydžio pokyčius</w:t>
      </w:r>
      <w:r w:rsidRPr="009617F4">
        <w:t>, neigiamai – į visus neigiamus dividend</w:t>
      </w:r>
      <w:r>
        <w:t xml:space="preserve">ų pokyčius, tuo pačiu nereaguoja į dividendų padidėjimą mažesnį nei 10% ir didesnį nei </w:t>
      </w:r>
      <w:r w:rsidRPr="009617F4">
        <w:t>25%.</w:t>
      </w:r>
    </w:p>
    <w:p w:rsidR="00022F83" w:rsidRDefault="00022F83" w:rsidP="00E16CC4">
      <w:pPr>
        <w:pStyle w:val="Heading2"/>
        <w:numPr>
          <w:ilvl w:val="0"/>
          <w:numId w:val="5"/>
        </w:numPr>
        <w:ind w:left="993" w:hanging="633"/>
      </w:pPr>
      <w:bookmarkStart w:id="33" w:name="_Toc343677742"/>
      <w:r>
        <w:lastRenderedPageBreak/>
        <w:t>Dividendinio investavimo strategijos</w:t>
      </w:r>
      <w:bookmarkEnd w:id="33"/>
    </w:p>
    <w:p w:rsidR="003C61BD" w:rsidRDefault="003C61BD" w:rsidP="003C61BD">
      <w:r>
        <w:t>Dividendų strategijos iš esmės</w:t>
      </w:r>
      <w:r w:rsidR="001B2CF2">
        <w:t xml:space="preserve"> finansų</w:t>
      </w:r>
      <w:r>
        <w:t xml:space="preserve"> literatūroje dažniausiai skirstomos į dividendų p</w:t>
      </w:r>
      <w:r w:rsidR="00F70833">
        <w:t>ajamingum</w:t>
      </w:r>
      <w:r w:rsidR="00F72377">
        <w:t>o, dividendų augimo arba</w:t>
      </w:r>
      <w:r>
        <w:t xml:space="preserve"> kombinuotas. Šios strategijos vadinamos „vertės“ strategijomis.</w:t>
      </w:r>
      <w:r w:rsidR="000534D8">
        <w:t xml:space="preserve"> Į vertę orientuotos akcijos dažniausiai yra aukšto dividendų p</w:t>
      </w:r>
      <w:r w:rsidR="00F70833">
        <w:t>ajamingum</w:t>
      </w:r>
      <w:r w:rsidR="000534D8">
        <w:t xml:space="preserve">o, turinčios žemą akcijos kainos ir buhalterinės </w:t>
      </w:r>
      <w:r w:rsidR="006F0F7C">
        <w:t>vertės santykį, žemą P/E rodiklio reikšmę</w:t>
      </w:r>
      <w:r w:rsidR="000534D8">
        <w:t xml:space="preserve">, </w:t>
      </w:r>
      <w:r w:rsidR="006F0F7C">
        <w:t>abejotinas</w:t>
      </w:r>
      <w:r w:rsidR="000534D8">
        <w:t xml:space="preserve"> augimo perspektyvas, jei lygintume tokias akcijas su į augimą orientuotomis akcijomis</w:t>
      </w:r>
      <w:r w:rsidR="0018010D">
        <w:t xml:space="preserve"> (Fama, French, </w:t>
      </w:r>
      <w:r w:rsidR="0018010D" w:rsidRPr="00AC4126">
        <w:t>1998)</w:t>
      </w:r>
      <w:r w:rsidR="000534D8">
        <w:t>.</w:t>
      </w:r>
    </w:p>
    <w:p w:rsidR="00C13042" w:rsidRDefault="00C13042" w:rsidP="00C13042">
      <w:r>
        <w:t xml:space="preserve">Prieš tai minėtą prielaidą apie dviejų tipų akcijų santykinę grąžą iš esmės savo darbe nagrinėjo De Bondt ir Thaler (1985). Kaip teigia pastarieji autoriai, į vertę ir į augimą orientuotų akcijų investicinę grąžą lemia psichologiniai investuotojų motyvai. Kuomet investuotojai susiduria su dviejų rūšių informacija (gera ir bloga), jų požiūris tampa perdėtai optimistiškas į augimą orientuotų akcijų atžvilgiu ir pesimistiškas į vertę orientuotų akcijų atžvilgiu. Tuo tarpu, kuomet rinka prisitaiko prie šių perdėtų reakcijų, vertės akcijos su mažais investuotojų lūkesčiais dažniausiai viršija lūkesčius, tuo tarpu augimo akcijos demonstruoja prastesnius rezultatus (De Bondt, Thaler, 1985). Minėti autoriai cituoja Williams (1956), kurio nuomone „akcijų kainos per daug pagrįstos esamų pajamų perspektyva ir per mažai – ilgalaike dividendų mokėjimo perspektyva“. </w:t>
      </w:r>
    </w:p>
    <w:p w:rsidR="004A4880" w:rsidRDefault="00AC5C36" w:rsidP="00522614">
      <w:r>
        <w:t>Istoriniai</w:t>
      </w:r>
      <w:r w:rsidR="00D25D8F">
        <w:t xml:space="preserve"> duomenys</w:t>
      </w:r>
      <w:r w:rsidR="001E1E2F">
        <w:t xml:space="preserve"> (žr.</w:t>
      </w:r>
      <w:r w:rsidR="00200A00">
        <w:t xml:space="preserve"> </w:t>
      </w:r>
      <w:r w:rsidR="00EC7800">
        <w:fldChar w:fldCharType="begin"/>
      </w:r>
      <w:r w:rsidR="00200A00">
        <w:instrText xml:space="preserve"> REF _Ref342668429 \r \h </w:instrText>
      </w:r>
      <w:r w:rsidR="00EC7800">
        <w:fldChar w:fldCharType="separate"/>
      </w:r>
      <w:r w:rsidR="0009577F">
        <w:t>3 pav</w:t>
      </w:r>
      <w:r w:rsidR="00EC7800">
        <w:fldChar w:fldCharType="end"/>
      </w:r>
      <w:r w:rsidR="00200A00">
        <w:t>.</w:t>
      </w:r>
      <w:r w:rsidR="001E1E2F">
        <w:t>)</w:t>
      </w:r>
      <w:r w:rsidR="00D25D8F">
        <w:t xml:space="preserve"> rodo</w:t>
      </w:r>
      <w:r w:rsidR="000F582E">
        <w:t>,</w:t>
      </w:r>
      <w:r w:rsidR="00D25D8F">
        <w:t xml:space="preserve"> jog</w:t>
      </w:r>
      <w:r w:rsidR="004A4880">
        <w:t xml:space="preserve"> atitinkamais laikotarpiais įmonių išmokamų dividendų reikšmė</w:t>
      </w:r>
      <w:r w:rsidR="000F582E">
        <w:t>s</w:t>
      </w:r>
      <w:r w:rsidR="004A4880">
        <w:t xml:space="preserve"> kitimas</w:t>
      </w:r>
      <w:r w:rsidR="00522614">
        <w:t xml:space="preserve"> (standartinis nuokrypis)</w:t>
      </w:r>
      <w:r w:rsidR="004A4880">
        <w:t xml:space="preserve"> buvo palyginamai mažesnis negu įmonių p</w:t>
      </w:r>
      <w:r w:rsidR="00C619D8">
        <w:t>elningumo</w:t>
      </w:r>
      <w:r w:rsidR="004A4880">
        <w:t>.</w:t>
      </w:r>
    </w:p>
    <w:p w:rsidR="001B2CF2" w:rsidRPr="001E1E2F" w:rsidRDefault="001E1E2F" w:rsidP="003C61BD">
      <w:r>
        <w:rPr>
          <w:noProof/>
          <w:lang w:eastAsia="lt-LT"/>
        </w:rPr>
        <w:drawing>
          <wp:inline distT="0" distB="0" distL="0" distR="0">
            <wp:extent cx="5438775" cy="18097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2CA2" w:rsidRPr="00087250" w:rsidRDefault="00B52CA2" w:rsidP="00087250">
      <w:pPr>
        <w:spacing w:before="0"/>
        <w:rPr>
          <w:rFonts w:cs="Times New Roman"/>
          <w:sz w:val="20"/>
          <w:szCs w:val="20"/>
        </w:rPr>
      </w:pPr>
      <w:bookmarkStart w:id="34" w:name="_Ref327875157"/>
      <w:r w:rsidRPr="00087250">
        <w:rPr>
          <w:rFonts w:cs="Times New Roman"/>
          <w:sz w:val="20"/>
          <w:szCs w:val="20"/>
        </w:rPr>
        <w:t>Šaltinis:</w:t>
      </w:r>
      <w:r w:rsidR="00E977C5" w:rsidRPr="00087250">
        <w:rPr>
          <w:rFonts w:cs="Times New Roman"/>
          <w:sz w:val="20"/>
          <w:szCs w:val="20"/>
        </w:rPr>
        <w:t xml:space="preserve"> </w:t>
      </w:r>
      <w:r w:rsidR="00C619D8" w:rsidRPr="00087250">
        <w:rPr>
          <w:rFonts w:cs="Times New Roman"/>
          <w:sz w:val="20"/>
          <w:szCs w:val="20"/>
        </w:rPr>
        <w:t xml:space="preserve">Patel, Yao, Carlson, </w:t>
      </w:r>
      <w:r w:rsidR="009D2690" w:rsidRPr="00087250">
        <w:rPr>
          <w:rFonts w:cs="Times New Roman"/>
          <w:sz w:val="20"/>
          <w:szCs w:val="20"/>
        </w:rPr>
        <w:t>2009</w:t>
      </w:r>
    </w:p>
    <w:p w:rsidR="001B2CF2" w:rsidRDefault="00E977C5" w:rsidP="00087250">
      <w:pPr>
        <w:pStyle w:val="Subtitle"/>
        <w:ind w:left="709" w:hanging="709"/>
      </w:pPr>
      <w:r>
        <w:t xml:space="preserve"> </w:t>
      </w:r>
      <w:bookmarkStart w:id="35" w:name="_Ref342668429"/>
      <w:bookmarkStart w:id="36" w:name="_Toc343677846"/>
      <w:r w:rsidR="009D2690">
        <w:t>JAV įmonių</w:t>
      </w:r>
      <w:r w:rsidR="001B2CF2">
        <w:t xml:space="preserve"> </w:t>
      </w:r>
      <w:r w:rsidR="009D2690">
        <w:t>pelningumo</w:t>
      </w:r>
      <w:r w:rsidR="001B2CF2">
        <w:t xml:space="preserve"> ir išmokamų dividendų kintamumo tendencijos 1871-20</w:t>
      </w:r>
      <w:bookmarkEnd w:id="34"/>
      <w:bookmarkEnd w:id="35"/>
      <w:r w:rsidR="009D2690">
        <w:t>08</w:t>
      </w:r>
      <w:bookmarkEnd w:id="36"/>
    </w:p>
    <w:p w:rsidR="004A4880" w:rsidRDefault="004A4880" w:rsidP="004A4880">
      <w:r>
        <w:t>Akivaizdu, jog dividendinių įplaukų stabilumas akcijų portfelyje turėtų būti laikomas kertiniu investavimo pranašumu.</w:t>
      </w:r>
      <w:r w:rsidR="0006196E">
        <w:t xml:space="preserve"> De Bondt ir Thaler (1985) priduria, jog </w:t>
      </w:r>
      <w:r w:rsidR="000F582E">
        <w:t>stiprus koreliacinis ryšys tarp a</w:t>
      </w:r>
      <w:r w:rsidR="00C619D8">
        <w:t>kcijų kainų svyravimo ir gaunamo</w:t>
      </w:r>
      <w:r w:rsidR="000F582E">
        <w:t xml:space="preserve"> </w:t>
      </w:r>
      <w:r w:rsidR="00C619D8">
        <w:t>pelno</w:t>
      </w:r>
      <w:r w:rsidR="000F582E">
        <w:t xml:space="preserve">, sukuria pakankamą pagrindą perdėtoms investuotojų reakcijoms. Autoriai siūlo, jog akcijos, </w:t>
      </w:r>
      <w:r w:rsidR="008B4C8F">
        <w:t>su</w:t>
      </w:r>
      <w:r w:rsidR="000F582E">
        <w:t xml:space="preserve"> žem</w:t>
      </w:r>
      <w:r w:rsidR="008B4C8F">
        <w:t>u</w:t>
      </w:r>
      <w:r w:rsidR="000F582E">
        <w:t xml:space="preserve"> P/E rodikl</w:t>
      </w:r>
      <w:r w:rsidR="008B4C8F">
        <w:t>iu</w:t>
      </w:r>
      <w:r w:rsidR="000F582E">
        <w:t>, būtų laikomos laikinai neįvertintomis</w:t>
      </w:r>
      <w:r w:rsidR="008B4C8F">
        <w:t xml:space="preserve"> dėl prastų rezultatų praeityje</w:t>
      </w:r>
      <w:r w:rsidR="000F582E">
        <w:t>,</w:t>
      </w:r>
      <w:r w:rsidR="008B4C8F">
        <w:t xml:space="preserve"> kurie anksčiau ar vėliau pasisuks į geresnę pusę ir pralenks akcijas, kurių augimas buvo pagrįstas tik prognozėmis.</w:t>
      </w:r>
    </w:p>
    <w:p w:rsidR="00022F83" w:rsidRDefault="009C4442" w:rsidP="002C032C">
      <w:pPr>
        <w:pStyle w:val="Heading3"/>
        <w:numPr>
          <w:ilvl w:val="0"/>
          <w:numId w:val="6"/>
        </w:numPr>
        <w:ind w:left="567" w:hanging="567"/>
      </w:pPr>
      <w:bookmarkStart w:id="37" w:name="_Toc303768626"/>
      <w:bookmarkStart w:id="38" w:name="_Toc343677743"/>
      <w:r>
        <w:lastRenderedPageBreak/>
        <w:t>S</w:t>
      </w:r>
      <w:r w:rsidR="00444DB6">
        <w:t>trategij</w:t>
      </w:r>
      <w:bookmarkEnd w:id="37"/>
      <w:r>
        <w:t>os o</w:t>
      </w:r>
      <w:r w:rsidR="00F70833">
        <w:t>rientuotos į dividendų pajamingum</w:t>
      </w:r>
      <w:r>
        <w:t>ą</w:t>
      </w:r>
      <w:bookmarkEnd w:id="38"/>
    </w:p>
    <w:p w:rsidR="00C13042" w:rsidRPr="00D14500" w:rsidRDefault="00C13042" w:rsidP="00884204">
      <w:pPr>
        <w:rPr>
          <w:i/>
        </w:rPr>
      </w:pPr>
      <w:r>
        <w:t xml:space="preserve">Portfelyje, </w:t>
      </w:r>
      <w:r w:rsidR="00D14500">
        <w:t>sudaryto</w:t>
      </w:r>
      <w:r>
        <w:t xml:space="preserve"> iš aukšto dividendinio pajamingumo (aukštesnio rizikos laipsnio) akcijų, stabilios dividendų įplaukos įgyja didelę reikšmę, kuomet akcijos pasižymi dideliu kainų kintamumu per pastaruosius metus.</w:t>
      </w:r>
      <w:r w:rsidR="00D14500">
        <w:t xml:space="preserve"> Literatūroje plačiausiai naudojamos </w:t>
      </w:r>
      <w:r w:rsidR="00D14500" w:rsidRPr="00D14500">
        <w:rPr>
          <w:i/>
        </w:rPr>
        <w:t>Do</w:t>
      </w:r>
      <w:r w:rsidR="00D14500" w:rsidRPr="00D14500">
        <w:rPr>
          <w:i/>
          <w:lang w:val="en-US"/>
        </w:rPr>
        <w:t>w dividendų</w:t>
      </w:r>
      <w:r w:rsidR="00D14500">
        <w:rPr>
          <w:i/>
          <w:lang w:val="en-US"/>
        </w:rPr>
        <w:t xml:space="preserve"> pajamingumo</w:t>
      </w:r>
      <w:r w:rsidR="00D14500" w:rsidRPr="00D14500">
        <w:rPr>
          <w:i/>
          <w:lang w:val="en-US"/>
        </w:rPr>
        <w:t xml:space="preserve"> strategijos</w:t>
      </w:r>
      <w:r w:rsidR="00D14500">
        <w:rPr>
          <w:lang w:val="en-US"/>
        </w:rPr>
        <w:t>.</w:t>
      </w:r>
    </w:p>
    <w:p w:rsidR="00884204" w:rsidRDefault="00444DB6" w:rsidP="00884204">
      <w:r w:rsidRPr="00E977C5">
        <w:rPr>
          <w:i/>
        </w:rPr>
        <w:t>Dow dividendų strategija</w:t>
      </w:r>
      <w:r w:rsidR="00022F83">
        <w:t xml:space="preserve"> (angl. </w:t>
      </w:r>
      <w:r w:rsidR="00884204" w:rsidRPr="00AC4126">
        <w:t>“</w:t>
      </w:r>
      <w:r w:rsidR="00884204">
        <w:t>The Dow Dividends Strategy</w:t>
      </w:r>
      <w:r w:rsidR="00884204" w:rsidRPr="00AC4126">
        <w:t>”</w:t>
      </w:r>
      <w:r w:rsidR="005E2BD6" w:rsidRPr="00AC4126">
        <w:t>, toliau - DDS</w:t>
      </w:r>
      <w:r w:rsidR="00022F83" w:rsidRPr="00E02284">
        <w:t xml:space="preserve">) – </w:t>
      </w:r>
      <w:r w:rsidR="00022F83">
        <w:t>į akcijų dividendų p</w:t>
      </w:r>
      <w:r w:rsidR="00F70833">
        <w:t>ajamingum</w:t>
      </w:r>
      <w:r w:rsidR="004A4880">
        <w:t>o rodiklio reikšmę</w:t>
      </w:r>
      <w:r w:rsidR="00E02284">
        <w:t xml:space="preserve"> orientuota</w:t>
      </w:r>
      <w:r w:rsidR="00022F83">
        <w:t xml:space="preserve"> strategijos koncepcija</w:t>
      </w:r>
      <w:r w:rsidR="00E02284">
        <w:t>, pagal kurią atrenkamos investuotojų neįvertintos</w:t>
      </w:r>
      <w:r w:rsidR="00A37E92">
        <w:t xml:space="preserve"> (angl. </w:t>
      </w:r>
      <w:r w:rsidR="00884204" w:rsidRPr="00884204">
        <w:t>“</w:t>
      </w:r>
      <w:r w:rsidR="00A37E92">
        <w:t>Dogs of the Do</w:t>
      </w:r>
      <w:r w:rsidR="00884204">
        <w:t>w</w:t>
      </w:r>
      <w:r w:rsidR="00884204" w:rsidRPr="00884204">
        <w:t>”</w:t>
      </w:r>
      <w:r w:rsidR="00A37E92">
        <w:t>)</w:t>
      </w:r>
      <w:r w:rsidR="00E02284">
        <w:t xml:space="preserve"> akcijos, turinčios aukštą dividendų p</w:t>
      </w:r>
      <w:r w:rsidR="00F70833">
        <w:t>ajamingum</w:t>
      </w:r>
      <w:r w:rsidR="00E02284">
        <w:t>ą (santykinai žemą rinkos kainą ir aukštą dividendų išmokėjimo dydį).</w:t>
      </w:r>
      <w:r w:rsidR="002601D8">
        <w:t xml:space="preserve">  Pagal šios strategijos principą 30 </w:t>
      </w:r>
      <w:r w:rsidR="002601D8" w:rsidRPr="00AC5C36">
        <w:rPr>
          <w:i/>
        </w:rPr>
        <w:t>Dow Industrials</w:t>
      </w:r>
      <w:r w:rsidR="002601D8">
        <w:t xml:space="preserve"> indekso viršūnėje esančių akcijų </w:t>
      </w:r>
      <w:r w:rsidR="00A37E92">
        <w:t>atrenkama 10 akcijų su</w:t>
      </w:r>
      <w:r w:rsidR="00F70833">
        <w:t xml:space="preserve"> aukščiausia dividendų pajamingum</w:t>
      </w:r>
      <w:r w:rsidR="00A37E92">
        <w:t xml:space="preserve">o reikšme </w:t>
      </w:r>
      <w:r>
        <w:t>(Domian, Louton, Charles, 1998)</w:t>
      </w:r>
      <w:r w:rsidR="00A37E92">
        <w:t>.</w:t>
      </w:r>
      <w:r w:rsidR="00884204">
        <w:t xml:space="preserve"> Kaip teigia Silva (2001) strategijos pagrindą suformavo šios strategijos autorių (Slatter, 1988, Barry, 1993, O‘Higgins, Downes, 1992) tyrimų rezultatai, kurių metų nustatyta, jog atrinktos DJIA indekso akcijos su aukštu dividendiniu p</w:t>
      </w:r>
      <w:r w:rsidR="00F70833">
        <w:t>ajamingu</w:t>
      </w:r>
      <w:r w:rsidR="00884204">
        <w:t>mu demonstravo didesnį prieaugį nei lyginamosios DJIA indekso reikšmės pokytis.</w:t>
      </w:r>
    </w:p>
    <w:p w:rsidR="00A37E92" w:rsidRDefault="00A37E92" w:rsidP="00022F83">
      <w:r>
        <w:t xml:space="preserve">Turint omenyje </w:t>
      </w:r>
      <w:r w:rsidR="0082053B">
        <w:t>empirinius rezultatus</w:t>
      </w:r>
      <w:r w:rsidR="00AC5C36">
        <w:t xml:space="preserve"> (Slatter, 1988, </w:t>
      </w:r>
      <w:r w:rsidR="001E1E2F">
        <w:t>O‘Higgins, Downes, 1991.</w:t>
      </w:r>
      <w:r w:rsidR="001E1E2F" w:rsidRPr="0082053B">
        <w:t xml:space="preserve"> </w:t>
      </w:r>
      <w:r w:rsidR="001E1E2F">
        <w:t>Knowles, Petty, 1992)</w:t>
      </w:r>
      <w:r w:rsidR="0082053B">
        <w:t xml:space="preserve">, bylojančius </w:t>
      </w:r>
      <w:r>
        <w:t>a</w:t>
      </w:r>
      <w:r w:rsidR="0082053B">
        <w:t>pie</w:t>
      </w:r>
      <w:r>
        <w:t xml:space="preserve"> strategijos efektyvumą</w:t>
      </w:r>
      <w:r w:rsidR="001E1E2F">
        <w:t xml:space="preserve"> (žr. </w:t>
      </w:r>
      <w:r w:rsidR="00707DF4">
        <w:t>3 lent</w:t>
      </w:r>
      <w:r w:rsidR="00D227FD">
        <w:t>.</w:t>
      </w:r>
      <w:r w:rsidR="001E1E2F">
        <w:t>)</w:t>
      </w:r>
      <w:r w:rsidR="0082053B">
        <w:t xml:space="preserve">, </w:t>
      </w:r>
      <w:r w:rsidR="00884204">
        <w:t xml:space="preserve">dėl ilgalaikės grąžos per ilgesnį laikotarpį </w:t>
      </w:r>
      <w:r w:rsidR="0082053B">
        <w:t xml:space="preserve">DDS susilaukė nemažo tarptautinio susidomėjimo mokslininkų tarpe. </w:t>
      </w:r>
    </w:p>
    <w:p w:rsidR="00495F80" w:rsidRDefault="00E977C5" w:rsidP="005D6302">
      <w:pPr>
        <w:pStyle w:val="Caption"/>
        <w:ind w:left="1134"/>
      </w:pPr>
      <w:bookmarkStart w:id="39" w:name="_Ref327875349"/>
      <w:r>
        <w:t xml:space="preserve"> </w:t>
      </w:r>
      <w:bookmarkStart w:id="40" w:name="_Ref342927058"/>
      <w:bookmarkStart w:id="41" w:name="_Toc343677821"/>
      <w:r w:rsidR="00495F80">
        <w:t>„Dow“ dividendų strategijos grąža 1973</w:t>
      </w:r>
      <w:r w:rsidR="00495F80">
        <w:rPr>
          <w:lang w:val="en-US"/>
        </w:rPr>
        <w:t>-1992</w:t>
      </w:r>
      <w:bookmarkEnd w:id="39"/>
      <w:bookmarkEnd w:id="40"/>
      <w:bookmarkEnd w:id="41"/>
    </w:p>
    <w:tbl>
      <w:tblPr>
        <w:tblW w:w="8578" w:type="dxa"/>
        <w:jc w:val="center"/>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15"/>
        <w:gridCol w:w="1276"/>
        <w:gridCol w:w="3005"/>
        <w:gridCol w:w="1282"/>
      </w:tblGrid>
      <w:tr w:rsidR="0082053B" w:rsidRPr="0082053B" w:rsidTr="0082679E">
        <w:trPr>
          <w:trHeight w:val="570"/>
          <w:jc w:val="center"/>
        </w:trPr>
        <w:tc>
          <w:tcPr>
            <w:tcW w:w="3015" w:type="dxa"/>
            <w:shd w:val="clear" w:color="auto" w:fill="auto"/>
            <w:vAlign w:val="center"/>
            <w:hideMark/>
          </w:tcPr>
          <w:p w:rsidR="0082053B" w:rsidRPr="0082679E" w:rsidRDefault="0082053B" w:rsidP="00E977C5">
            <w:pPr>
              <w:spacing w:before="0" w:line="240" w:lineRule="auto"/>
              <w:ind w:firstLine="0"/>
              <w:jc w:val="center"/>
              <w:rPr>
                <w:rFonts w:eastAsia="Times New Roman" w:cs="Times New Roman"/>
                <w:b/>
                <w:bCs/>
                <w:color w:val="000000"/>
                <w:szCs w:val="24"/>
                <w:lang w:eastAsia="ja-JP"/>
              </w:rPr>
            </w:pPr>
            <w:r w:rsidRPr="0082679E">
              <w:rPr>
                <w:rFonts w:eastAsia="Times New Roman" w:cs="Times New Roman"/>
                <w:b/>
                <w:bCs/>
                <w:color w:val="000000"/>
                <w:szCs w:val="24"/>
                <w:lang w:eastAsia="ja-JP"/>
              </w:rPr>
              <w:t>Tyrimo autorius</w:t>
            </w:r>
          </w:p>
        </w:tc>
        <w:tc>
          <w:tcPr>
            <w:tcW w:w="1276" w:type="dxa"/>
            <w:shd w:val="clear" w:color="auto" w:fill="auto"/>
            <w:vAlign w:val="center"/>
            <w:hideMark/>
          </w:tcPr>
          <w:p w:rsidR="0082053B" w:rsidRPr="0082679E" w:rsidRDefault="0082053B" w:rsidP="00E977C5">
            <w:pPr>
              <w:spacing w:before="0" w:line="240" w:lineRule="auto"/>
              <w:ind w:firstLine="0"/>
              <w:jc w:val="center"/>
              <w:rPr>
                <w:rFonts w:eastAsia="Times New Roman" w:cs="Times New Roman"/>
                <w:b/>
                <w:bCs/>
                <w:color w:val="000000"/>
                <w:szCs w:val="24"/>
                <w:lang w:eastAsia="ja-JP"/>
              </w:rPr>
            </w:pPr>
            <w:r w:rsidRPr="0082679E">
              <w:rPr>
                <w:rFonts w:eastAsia="Times New Roman" w:cs="Times New Roman"/>
                <w:b/>
                <w:bCs/>
                <w:color w:val="000000"/>
                <w:szCs w:val="24"/>
                <w:lang w:eastAsia="ja-JP"/>
              </w:rPr>
              <w:t>Periodas</w:t>
            </w:r>
          </w:p>
        </w:tc>
        <w:tc>
          <w:tcPr>
            <w:tcW w:w="3005" w:type="dxa"/>
            <w:shd w:val="clear" w:color="auto" w:fill="auto"/>
            <w:vAlign w:val="center"/>
            <w:hideMark/>
          </w:tcPr>
          <w:p w:rsidR="0082053B" w:rsidRPr="0082679E" w:rsidRDefault="0082053B" w:rsidP="00E977C5">
            <w:pPr>
              <w:spacing w:before="0" w:line="240" w:lineRule="auto"/>
              <w:ind w:firstLine="0"/>
              <w:jc w:val="center"/>
              <w:rPr>
                <w:rFonts w:eastAsia="Times New Roman" w:cs="Times New Roman"/>
                <w:b/>
                <w:bCs/>
                <w:color w:val="000000"/>
                <w:szCs w:val="24"/>
                <w:lang w:eastAsia="ja-JP"/>
              </w:rPr>
            </w:pPr>
            <w:r w:rsidRPr="0082679E">
              <w:rPr>
                <w:rFonts w:eastAsia="Times New Roman" w:cs="Times New Roman"/>
                <w:b/>
                <w:bCs/>
                <w:color w:val="000000"/>
                <w:szCs w:val="24"/>
                <w:lang w:eastAsia="ja-JP"/>
              </w:rPr>
              <w:t>10</w:t>
            </w:r>
            <w:r w:rsidR="00F70833">
              <w:rPr>
                <w:rFonts w:eastAsia="Times New Roman" w:cs="Times New Roman"/>
                <w:b/>
                <w:bCs/>
                <w:color w:val="000000"/>
                <w:szCs w:val="24"/>
                <w:lang w:eastAsia="ja-JP"/>
              </w:rPr>
              <w:t xml:space="preserve"> aukščiausio dividendų pajamingum</w:t>
            </w:r>
            <w:r w:rsidRPr="0082679E">
              <w:rPr>
                <w:rFonts w:eastAsia="Times New Roman" w:cs="Times New Roman"/>
                <w:b/>
                <w:bCs/>
                <w:color w:val="000000"/>
                <w:szCs w:val="24"/>
                <w:lang w:eastAsia="ja-JP"/>
              </w:rPr>
              <w:t>o akcijų grąža</w:t>
            </w:r>
          </w:p>
        </w:tc>
        <w:tc>
          <w:tcPr>
            <w:tcW w:w="1282" w:type="dxa"/>
            <w:shd w:val="clear" w:color="auto" w:fill="auto"/>
            <w:vAlign w:val="center"/>
            <w:hideMark/>
          </w:tcPr>
          <w:p w:rsidR="0082053B" w:rsidRPr="0082679E" w:rsidRDefault="0082053B" w:rsidP="00E977C5">
            <w:pPr>
              <w:spacing w:before="0" w:line="240" w:lineRule="auto"/>
              <w:ind w:firstLine="0"/>
              <w:jc w:val="center"/>
              <w:rPr>
                <w:rFonts w:eastAsia="Times New Roman" w:cs="Times New Roman"/>
                <w:b/>
                <w:bCs/>
                <w:color w:val="000000"/>
                <w:szCs w:val="24"/>
                <w:lang w:eastAsia="ja-JP"/>
              </w:rPr>
            </w:pPr>
            <w:r w:rsidRPr="0082679E">
              <w:rPr>
                <w:rFonts w:eastAsia="Times New Roman" w:cs="Times New Roman"/>
                <w:b/>
                <w:bCs/>
                <w:color w:val="000000"/>
                <w:szCs w:val="24"/>
                <w:lang w:eastAsia="ja-JP"/>
              </w:rPr>
              <w:t>DJIA grąža</w:t>
            </w:r>
          </w:p>
        </w:tc>
      </w:tr>
      <w:tr w:rsidR="0082053B" w:rsidRPr="0082053B" w:rsidTr="0082679E">
        <w:trPr>
          <w:trHeight w:val="300"/>
          <w:jc w:val="center"/>
        </w:trPr>
        <w:tc>
          <w:tcPr>
            <w:tcW w:w="3015"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Slatter</w:t>
            </w:r>
            <w:r w:rsidR="0082679E">
              <w:rPr>
                <w:rFonts w:eastAsia="Times New Roman" w:cs="Times New Roman"/>
                <w:color w:val="000000"/>
                <w:szCs w:val="24"/>
                <w:lang w:eastAsia="ja-JP"/>
              </w:rPr>
              <w:t xml:space="preserve"> (1988)</w:t>
            </w:r>
          </w:p>
        </w:tc>
        <w:tc>
          <w:tcPr>
            <w:tcW w:w="1276"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1973-1988</w:t>
            </w:r>
          </w:p>
        </w:tc>
        <w:tc>
          <w:tcPr>
            <w:tcW w:w="3005"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18,39%</w:t>
            </w:r>
          </w:p>
        </w:tc>
        <w:tc>
          <w:tcPr>
            <w:tcW w:w="1282"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10,89%</w:t>
            </w:r>
          </w:p>
        </w:tc>
      </w:tr>
      <w:tr w:rsidR="0082053B" w:rsidRPr="0082053B" w:rsidTr="0082679E">
        <w:trPr>
          <w:trHeight w:val="300"/>
          <w:jc w:val="center"/>
        </w:trPr>
        <w:tc>
          <w:tcPr>
            <w:tcW w:w="3015"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O'Higgins ir Downes</w:t>
            </w:r>
            <w:r w:rsidR="0082679E">
              <w:rPr>
                <w:rFonts w:eastAsia="Times New Roman" w:cs="Times New Roman"/>
                <w:color w:val="000000"/>
                <w:szCs w:val="24"/>
                <w:lang w:eastAsia="ja-JP"/>
              </w:rPr>
              <w:t xml:space="preserve"> (1991)</w:t>
            </w:r>
          </w:p>
        </w:tc>
        <w:tc>
          <w:tcPr>
            <w:tcW w:w="1276"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1973-1991</w:t>
            </w:r>
          </w:p>
        </w:tc>
        <w:tc>
          <w:tcPr>
            <w:tcW w:w="3005"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16,61%</w:t>
            </w:r>
          </w:p>
        </w:tc>
        <w:tc>
          <w:tcPr>
            <w:tcW w:w="1282" w:type="dxa"/>
            <w:shd w:val="clear" w:color="auto" w:fill="auto"/>
            <w:noWrap/>
            <w:vAlign w:val="center"/>
            <w:hideMark/>
          </w:tcPr>
          <w:p w:rsidR="0082053B" w:rsidRPr="0082679E" w:rsidRDefault="0082053B"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10,43%</w:t>
            </w:r>
          </w:p>
        </w:tc>
      </w:tr>
      <w:tr w:rsidR="0082679E" w:rsidRPr="0082053B" w:rsidTr="0082679E">
        <w:trPr>
          <w:trHeight w:val="300"/>
          <w:jc w:val="center"/>
        </w:trPr>
        <w:tc>
          <w:tcPr>
            <w:tcW w:w="3015" w:type="dxa"/>
            <w:shd w:val="clear" w:color="auto" w:fill="auto"/>
            <w:noWrap/>
            <w:vAlign w:val="center"/>
            <w:hideMark/>
          </w:tcPr>
          <w:p w:rsidR="0082679E" w:rsidRPr="0082679E" w:rsidRDefault="0082679E" w:rsidP="00886EC8">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Knowles ir Petty</w:t>
            </w:r>
            <w:r>
              <w:rPr>
                <w:rFonts w:eastAsia="Times New Roman" w:cs="Times New Roman"/>
                <w:color w:val="000000"/>
                <w:szCs w:val="24"/>
                <w:lang w:eastAsia="ja-JP"/>
              </w:rPr>
              <w:t xml:space="preserve"> (1922)</w:t>
            </w:r>
          </w:p>
        </w:tc>
        <w:tc>
          <w:tcPr>
            <w:tcW w:w="1276" w:type="dxa"/>
            <w:shd w:val="clear" w:color="auto" w:fill="auto"/>
            <w:noWrap/>
            <w:vAlign w:val="center"/>
            <w:hideMark/>
          </w:tcPr>
          <w:p w:rsidR="0082679E" w:rsidRPr="0082679E" w:rsidRDefault="0082679E" w:rsidP="00886EC8">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1973-1990</w:t>
            </w:r>
          </w:p>
        </w:tc>
        <w:tc>
          <w:tcPr>
            <w:tcW w:w="3005" w:type="dxa"/>
            <w:shd w:val="clear" w:color="auto" w:fill="auto"/>
            <w:noWrap/>
            <w:vAlign w:val="center"/>
            <w:hideMark/>
          </w:tcPr>
          <w:p w:rsidR="0082679E" w:rsidRPr="0082679E" w:rsidRDefault="0082679E" w:rsidP="00886EC8">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17,81%</w:t>
            </w:r>
          </w:p>
        </w:tc>
        <w:tc>
          <w:tcPr>
            <w:tcW w:w="1282" w:type="dxa"/>
            <w:shd w:val="clear" w:color="auto" w:fill="auto"/>
            <w:noWrap/>
            <w:vAlign w:val="center"/>
            <w:hideMark/>
          </w:tcPr>
          <w:p w:rsidR="0082679E" w:rsidRPr="0082679E" w:rsidRDefault="0082679E" w:rsidP="00886EC8">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11,41%</w:t>
            </w:r>
          </w:p>
        </w:tc>
      </w:tr>
      <w:tr w:rsidR="0082679E" w:rsidRPr="0082053B" w:rsidTr="0082679E">
        <w:trPr>
          <w:trHeight w:val="300"/>
          <w:jc w:val="center"/>
        </w:trPr>
        <w:tc>
          <w:tcPr>
            <w:tcW w:w="3015" w:type="dxa"/>
            <w:shd w:val="clear" w:color="auto" w:fill="auto"/>
            <w:noWrap/>
            <w:vAlign w:val="center"/>
            <w:hideMark/>
          </w:tcPr>
          <w:p w:rsidR="0082679E" w:rsidRPr="0082679E" w:rsidRDefault="0082679E" w:rsidP="00E977C5">
            <w:pPr>
              <w:spacing w:before="0" w:line="240" w:lineRule="auto"/>
              <w:ind w:firstLine="0"/>
              <w:jc w:val="center"/>
              <w:rPr>
                <w:rFonts w:eastAsia="Times New Roman" w:cs="Times New Roman"/>
                <w:i/>
                <w:color w:val="000000"/>
                <w:szCs w:val="24"/>
                <w:lang w:eastAsia="ja-JP"/>
              </w:rPr>
            </w:pPr>
            <w:r w:rsidRPr="0082679E">
              <w:rPr>
                <w:rFonts w:eastAsia="Times New Roman" w:cs="Times New Roman"/>
                <w:i/>
                <w:color w:val="000000"/>
                <w:szCs w:val="24"/>
                <w:lang w:eastAsia="ja-JP"/>
              </w:rPr>
              <w:t>Prudential Securities</w:t>
            </w:r>
          </w:p>
        </w:tc>
        <w:tc>
          <w:tcPr>
            <w:tcW w:w="1276" w:type="dxa"/>
            <w:shd w:val="clear" w:color="auto" w:fill="auto"/>
            <w:noWrap/>
            <w:vAlign w:val="center"/>
            <w:hideMark/>
          </w:tcPr>
          <w:p w:rsidR="0082679E" w:rsidRPr="0082679E" w:rsidRDefault="0082679E"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1973-1992</w:t>
            </w:r>
          </w:p>
        </w:tc>
        <w:tc>
          <w:tcPr>
            <w:tcW w:w="3005" w:type="dxa"/>
            <w:shd w:val="clear" w:color="auto" w:fill="auto"/>
            <w:noWrap/>
            <w:vAlign w:val="center"/>
            <w:hideMark/>
          </w:tcPr>
          <w:p w:rsidR="0082679E" w:rsidRPr="0082679E" w:rsidRDefault="0082679E"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16,06%</w:t>
            </w:r>
          </w:p>
        </w:tc>
        <w:tc>
          <w:tcPr>
            <w:tcW w:w="1282" w:type="dxa"/>
            <w:shd w:val="clear" w:color="auto" w:fill="auto"/>
            <w:noWrap/>
            <w:vAlign w:val="center"/>
            <w:hideMark/>
          </w:tcPr>
          <w:p w:rsidR="0082679E" w:rsidRPr="0082679E" w:rsidRDefault="0082679E" w:rsidP="00E977C5">
            <w:pPr>
              <w:spacing w:before="0" w:line="240" w:lineRule="auto"/>
              <w:ind w:firstLine="0"/>
              <w:jc w:val="center"/>
              <w:rPr>
                <w:rFonts w:eastAsia="Times New Roman" w:cs="Times New Roman"/>
                <w:color w:val="000000"/>
                <w:szCs w:val="24"/>
                <w:lang w:eastAsia="ja-JP"/>
              </w:rPr>
            </w:pPr>
            <w:r w:rsidRPr="0082679E">
              <w:rPr>
                <w:rFonts w:eastAsia="Times New Roman" w:cs="Times New Roman"/>
                <w:color w:val="000000"/>
                <w:szCs w:val="24"/>
                <w:lang w:eastAsia="ja-JP"/>
              </w:rPr>
              <w:t>10,91%</w:t>
            </w:r>
          </w:p>
        </w:tc>
      </w:tr>
    </w:tbl>
    <w:p w:rsidR="0082053B" w:rsidRPr="00E977C5" w:rsidRDefault="0082053B" w:rsidP="0082679E">
      <w:pPr>
        <w:ind w:firstLine="709"/>
        <w:jc w:val="left"/>
        <w:rPr>
          <w:sz w:val="20"/>
          <w:szCs w:val="20"/>
        </w:rPr>
      </w:pPr>
      <w:r w:rsidRPr="00E977C5">
        <w:rPr>
          <w:b/>
          <w:sz w:val="20"/>
          <w:szCs w:val="20"/>
        </w:rPr>
        <w:t>Šaltinis:</w:t>
      </w:r>
      <w:r w:rsidRPr="00E977C5">
        <w:rPr>
          <w:sz w:val="20"/>
          <w:szCs w:val="20"/>
        </w:rPr>
        <w:t xml:space="preserve"> Domian, Louton, Charles, 1998</w:t>
      </w:r>
    </w:p>
    <w:p w:rsidR="00B75C26" w:rsidRPr="00B75C26" w:rsidRDefault="003A1DA3" w:rsidP="00B75C26">
      <w:pPr>
        <w:rPr>
          <w:rFonts w:cs="Times New Roman"/>
          <w:color w:val="141314"/>
          <w:szCs w:val="24"/>
        </w:rPr>
      </w:pPr>
      <w:r w:rsidRPr="00C8249A">
        <w:t>McQueen, Thorley</w:t>
      </w:r>
      <w:r>
        <w:rPr>
          <w:rFonts w:ascii="AdvTT3713a231" w:hAnsi="AdvTT3713a231" w:cs="AdvTT3713a231"/>
          <w:color w:val="141314"/>
          <w:sz w:val="16"/>
          <w:szCs w:val="16"/>
        </w:rPr>
        <w:t xml:space="preserve"> </w:t>
      </w:r>
      <w:r w:rsidR="00C8249A">
        <w:t>(1999</w:t>
      </w:r>
      <w:r w:rsidRPr="003C5056">
        <w:t>)</w:t>
      </w:r>
      <w:r w:rsidR="00B75C26">
        <w:t xml:space="preserve"> strategijos tyrimo rezultatai JAV rinkoje</w:t>
      </w:r>
      <w:r w:rsidRPr="003C5056">
        <w:t xml:space="preserve"> </w:t>
      </w:r>
      <w:r w:rsidR="00B75C26">
        <w:t>buvo palankūs</w:t>
      </w:r>
      <w:r w:rsidRPr="003C5056">
        <w:t>, tačiau rezultatai svyravo skirtingais periodais</w:t>
      </w:r>
      <w:r>
        <w:t xml:space="preserve">. </w:t>
      </w:r>
      <w:r w:rsidR="00884204" w:rsidRPr="00C8249A">
        <w:t>Dubois</w:t>
      </w:r>
      <w:r w:rsidR="00884204">
        <w:t xml:space="preserve"> (1997) pastebėjo, jog strategijos „europietiškoji“ versija įgauna vis didesnį populiarumą,</w:t>
      </w:r>
      <w:r>
        <w:t xml:space="preserve"> taip pat</w:t>
      </w:r>
      <w:r w:rsidR="00884204">
        <w:t xml:space="preserve"> panašūs strategijos tyrimai</w:t>
      </w:r>
      <w:r w:rsidR="00B75C26">
        <w:t xml:space="preserve"> atlikti Lenkijoje. Wypych (</w:t>
      </w:r>
      <w:r w:rsidR="00B75C26" w:rsidRPr="00142002">
        <w:t>2004</w:t>
      </w:r>
      <w:r w:rsidR="00B75C26" w:rsidRPr="00142002">
        <w:rPr>
          <w:rFonts w:cs="Times New Roman"/>
          <w:szCs w:val="24"/>
        </w:rPr>
        <w:t xml:space="preserve">), </w:t>
      </w:r>
      <w:r w:rsidR="00B75C26" w:rsidRPr="003C5056">
        <w:rPr>
          <w:rFonts w:cs="Times New Roman"/>
          <w:color w:val="141314"/>
          <w:szCs w:val="24"/>
        </w:rPr>
        <w:t>Brzeszczyń</w:t>
      </w:r>
      <w:r w:rsidR="00B75C26">
        <w:rPr>
          <w:rFonts w:cs="Times New Roman"/>
          <w:color w:val="141314"/>
          <w:szCs w:val="24"/>
        </w:rPr>
        <w:t>ski ir</w:t>
      </w:r>
      <w:r w:rsidR="00B75C26" w:rsidRPr="003C5056">
        <w:rPr>
          <w:rFonts w:cs="Times New Roman"/>
          <w:color w:val="141314"/>
          <w:szCs w:val="24"/>
        </w:rPr>
        <w:t xml:space="preserve"> Gajdka</w:t>
      </w:r>
      <w:r w:rsidR="00B75C26">
        <w:rPr>
          <w:rFonts w:cs="Times New Roman"/>
          <w:color w:val="141314"/>
          <w:szCs w:val="24"/>
        </w:rPr>
        <w:t xml:space="preserve"> (2005, </w:t>
      </w:r>
      <w:r w:rsidR="00B75C26" w:rsidRPr="00142002">
        <w:rPr>
          <w:rFonts w:cs="Times New Roman"/>
          <w:color w:val="141314"/>
          <w:szCs w:val="24"/>
        </w:rPr>
        <w:t>2007</w:t>
      </w:r>
      <w:r w:rsidR="00B75C26">
        <w:rPr>
          <w:rFonts w:cs="Times New Roman"/>
          <w:color w:val="141314"/>
          <w:szCs w:val="24"/>
        </w:rPr>
        <w:t xml:space="preserve">) nepriėjo vieningos išvados pritaikytinos Lenkijos VP rinkai, kadangi tik sėkmingiausios dividendinės akcijos turėjo ryškų pranašumą lyginant su rinkos indeksu, o diversifikuojant portfelį patiriamos per didelės išlaidos. </w:t>
      </w:r>
    </w:p>
    <w:p w:rsidR="00FD12B8" w:rsidRDefault="003A1DA3" w:rsidP="003A1DA3">
      <w:r w:rsidRPr="003C5056">
        <w:t>Jungtinėje Karalystėje</w:t>
      </w:r>
      <w:r>
        <w:t xml:space="preserve"> (</w:t>
      </w:r>
      <w:r w:rsidRPr="00142002">
        <w:t>Visscher</w:t>
      </w:r>
      <w:r>
        <w:t xml:space="preserve">, </w:t>
      </w:r>
      <w:r w:rsidRPr="00142002">
        <w:t>Filbeck</w:t>
      </w:r>
      <w:r>
        <w:t xml:space="preserve">, </w:t>
      </w:r>
      <w:r w:rsidRPr="00142002">
        <w:t xml:space="preserve">1997) </w:t>
      </w:r>
      <w:r w:rsidRPr="003C5056">
        <w:t xml:space="preserve"> </w:t>
      </w:r>
      <w:r w:rsidR="00B75C26">
        <w:t>atlikto tyrimo</w:t>
      </w:r>
      <w:r>
        <w:t xml:space="preserve"> rezultatai atskleidė, jog </w:t>
      </w:r>
      <w:r w:rsidRPr="003C5056">
        <w:t>strategija sistematiškai nepralenkia rinkos indekso</w:t>
      </w:r>
      <w:r w:rsidR="00B75C26">
        <w:t>.</w:t>
      </w:r>
      <w:r>
        <w:t xml:space="preserve"> </w:t>
      </w:r>
      <w:r w:rsidR="00884204">
        <w:t>Lotynų Amerikos rinkose (Silva, 2001)</w:t>
      </w:r>
      <w:r w:rsidR="00B75C26">
        <w:t xml:space="preserve"> atliktas tyrimas parodė, jog DDS strategija prideda vertės</w:t>
      </w:r>
      <w:r w:rsidR="00FD12B8">
        <w:t xml:space="preserve"> </w:t>
      </w:r>
      <w:r w:rsidR="00B75C26">
        <w:t xml:space="preserve"> kaip investavimo strategija visose Lotynų šalyse, išskyrus Braziliją</w:t>
      </w:r>
      <w:r w:rsidR="00FD12B8">
        <w:t>, tačiau skirtumas nėra statistiškai reikšmingas</w:t>
      </w:r>
      <w:r w:rsidR="00B75C26">
        <w:t>.</w:t>
      </w:r>
      <w:r w:rsidR="00884204">
        <w:t xml:space="preserve"> Kanadoje</w:t>
      </w:r>
      <w:r w:rsidR="00B75C26">
        <w:t xml:space="preserve"> atlikto tyrimo duomenimis -</w:t>
      </w:r>
      <w:r>
        <w:t xml:space="preserve"> </w:t>
      </w:r>
      <w:r w:rsidR="00B75C26">
        <w:lastRenderedPageBreak/>
        <w:t>patvirtintas</w:t>
      </w:r>
      <w:r>
        <w:t xml:space="preserve"> strategijos veiksmingumas</w:t>
      </w:r>
      <w:r w:rsidR="00B75C26">
        <w:t xml:space="preserve"> (Visscher, Filbeck, 2003</w:t>
      </w:r>
      <w:r w:rsidR="00AC4126">
        <w:t>)</w:t>
      </w:r>
      <w:r w:rsidR="00B75C26">
        <w:t>, Australijoje pritaikyta</w:t>
      </w:r>
      <w:r w:rsidR="00FD12B8">
        <w:t xml:space="preserve"> DDS</w:t>
      </w:r>
      <w:r w:rsidR="00B75C26">
        <w:t xml:space="preserve"> strategija</w:t>
      </w:r>
      <w:r w:rsidR="00B75C26" w:rsidRPr="00B75C26">
        <w:t xml:space="preserve"> </w:t>
      </w:r>
      <w:r w:rsidR="00B75C26" w:rsidRPr="006A3289">
        <w:t xml:space="preserve">ilgu laikotarpiu duoda </w:t>
      </w:r>
      <w:r w:rsidR="00B75C26">
        <w:t>didžiulę</w:t>
      </w:r>
      <w:r w:rsidR="00B75C26" w:rsidRPr="006A3289">
        <w:t xml:space="preserve"> investicinę grąžą</w:t>
      </w:r>
      <w:r w:rsidR="00B75C26">
        <w:t xml:space="preserve"> (</w:t>
      </w:r>
      <w:r w:rsidR="00B75C26" w:rsidRPr="00142002">
        <w:t>Prather, Webb</w:t>
      </w:r>
      <w:r w:rsidR="00B75C26">
        <w:t>, 2002).</w:t>
      </w:r>
      <w:r w:rsidR="00FD12B8">
        <w:t xml:space="preserve"> </w:t>
      </w:r>
    </w:p>
    <w:p w:rsidR="008B4C8F" w:rsidRDefault="003A1DA3" w:rsidP="003A1DA3">
      <w:r w:rsidRPr="003C5056">
        <w:rPr>
          <w:rFonts w:cs="Times New Roman"/>
          <w:szCs w:val="24"/>
        </w:rPr>
        <w:t>Japonų</w:t>
      </w:r>
      <w:r>
        <w:t xml:space="preserve"> mokslininkų (Chong, Luk</w:t>
      </w:r>
      <w:r w:rsidRPr="006A3289">
        <w:t>, 2010) atlikto tyrimo</w:t>
      </w:r>
      <w:r>
        <w:t xml:space="preserve"> </w:t>
      </w:r>
      <w:r w:rsidRPr="00142002">
        <w:t>Hong Kong</w:t>
      </w:r>
      <w:r>
        <w:t xml:space="preserve"> VP rinkoje</w:t>
      </w:r>
      <w:r w:rsidRPr="006A3289">
        <w:t xml:space="preserve"> išvados –</w:t>
      </w:r>
      <w:r>
        <w:t>optimistiškos</w:t>
      </w:r>
      <w:r w:rsidR="00FD12B8">
        <w:t xml:space="preserve"> DDS atžvilgiu</w:t>
      </w:r>
      <w:r w:rsidRPr="006A3289">
        <w:t>. Rezultatai parodė, jog</w:t>
      </w:r>
      <w:r>
        <w:t xml:space="preserve"> naudojant 1992-2007 metų duomenis ir atrenkant 10 aukščiausio dividendinio p</w:t>
      </w:r>
      <w:r w:rsidR="00F70833">
        <w:t>ajamingum</w:t>
      </w:r>
      <w:r>
        <w:t>o akcijų, investicinės grąžos reikšmės pokytis siekė   -</w:t>
      </w:r>
      <w:r w:rsidR="008B4C8F">
        <w:t xml:space="preserve"> </w:t>
      </w:r>
      <w:r w:rsidRPr="00142002">
        <w:t>1,3</w:t>
      </w:r>
      <w:r w:rsidRPr="00EA341C">
        <w:t xml:space="preserve">%, tačiau atrenkant 5 geriausias įmones šis rodiklis tampa teigiamas 8%. Autoriai ši reiškinį paaiškina tuo, jog </w:t>
      </w:r>
      <w:r w:rsidR="008B4C8F">
        <w:t xml:space="preserve">1998 metų </w:t>
      </w:r>
      <w:r w:rsidRPr="00EA341C">
        <w:t>Azijos</w:t>
      </w:r>
      <w:r w:rsidR="008B4C8F">
        <w:t xml:space="preserve"> finansinės krizės metu</w:t>
      </w:r>
      <w:r w:rsidRPr="00EA341C">
        <w:t xml:space="preserve"> </w:t>
      </w:r>
      <w:r w:rsidR="008B4C8F">
        <w:t>daug mažesnių įmonių bankrutavo.</w:t>
      </w:r>
      <w:r>
        <w:t xml:space="preserve"> Taip pat autoriai pažymi, jog</w:t>
      </w:r>
      <w:r w:rsidR="008B4C8F">
        <w:t xml:space="preserve"> 5</w:t>
      </w:r>
      <w:r>
        <w:t xml:space="preserve"> atrinktos įmonės –</w:t>
      </w:r>
      <w:r w:rsidR="008B4C8F">
        <w:t xml:space="preserve"> </w:t>
      </w:r>
      <w:r>
        <w:t>nacionalinės svarbos</w:t>
      </w:r>
      <w:r w:rsidR="008B4C8F">
        <w:t xml:space="preserve"> ir</w:t>
      </w:r>
      <w:r>
        <w:t xml:space="preserve"> </w:t>
      </w:r>
      <w:r w:rsidR="008B4C8F">
        <w:t>tur</w:t>
      </w:r>
      <w:r w:rsidR="00C619D8">
        <w:t>inčios stabilius pinigų srautus</w:t>
      </w:r>
      <w:r w:rsidR="008B4C8F">
        <w:t xml:space="preserve"> </w:t>
      </w:r>
      <w:r>
        <w:t xml:space="preserve">(angl. </w:t>
      </w:r>
      <w:r w:rsidRPr="00142002">
        <w:t>blue chips</w:t>
      </w:r>
      <w:r>
        <w:t xml:space="preserve">), kas užtikrina stabilų augimą ekonomikos pakilimo metu. </w:t>
      </w:r>
    </w:p>
    <w:p w:rsidR="008B4C8F" w:rsidRDefault="00FD12B8" w:rsidP="00495F80">
      <w:r>
        <w:t>Visgi minėti autoriai laikosi gana vieningos nuomonės, jog atlikti tyrimai nėra statistiškai patikimi, kadangi statistiškai vertinant strategijos veiksmingumą reiktų detaliau nagrinėti visus įmanomus investavimo strategiją įtakojančius faktorius.</w:t>
      </w:r>
    </w:p>
    <w:p w:rsidR="00022F83" w:rsidRDefault="00495F80" w:rsidP="00022F83">
      <w:r>
        <w:t>Turint omenyje</w:t>
      </w:r>
      <w:r w:rsidR="00022F83">
        <w:t xml:space="preserve"> skirtingą </w:t>
      </w:r>
      <w:r w:rsidR="009C4442">
        <w:t>į dividendų p</w:t>
      </w:r>
      <w:r w:rsidR="00F70833">
        <w:t>ajamingu</w:t>
      </w:r>
      <w:r w:rsidR="009C4442">
        <w:t>mą orientuoto</w:t>
      </w:r>
      <w:r w:rsidR="00022F83">
        <w:t xml:space="preserve"> strategijos pritaikomumą, ir siekiant tam tikrų investicinių tikslų</w:t>
      </w:r>
      <w:r w:rsidR="008B4C8F">
        <w:t xml:space="preserve"> literatūroje pateikiamos kelios </w:t>
      </w:r>
      <w:r w:rsidR="00E977C5" w:rsidRPr="00E977C5">
        <w:rPr>
          <w:i/>
        </w:rPr>
        <w:t>Dow</w:t>
      </w:r>
      <w:r w:rsidR="008B4C8F">
        <w:t xml:space="preserve"> dividendinio investavimo strategijos variacijos</w:t>
      </w:r>
      <w:r w:rsidR="009C4442">
        <w:t>, išplaukiančios iš bazinės DDS strategijos</w:t>
      </w:r>
      <w:r w:rsidR="00022F83">
        <w:t xml:space="preserve"> (angl.</w:t>
      </w:r>
      <w:r w:rsidR="00022F83" w:rsidRPr="008B4C8F">
        <w:t xml:space="preserve">“High Yield 10”). </w:t>
      </w:r>
      <w:r w:rsidR="00022F83">
        <w:rPr>
          <w:lang w:val="en-US"/>
        </w:rPr>
        <w:t xml:space="preserve">Be </w:t>
      </w:r>
      <w:r w:rsidR="00022F83">
        <w:t xml:space="preserve">pastarojo, kai kurie investuotojai naudoja </w:t>
      </w:r>
      <w:r w:rsidR="00022F83" w:rsidRPr="000F4A46">
        <w:t>„</w:t>
      </w:r>
      <w:r w:rsidR="00022F83">
        <w:t>Vyraujantį</w:t>
      </w:r>
      <w:r w:rsidR="00022F83" w:rsidRPr="000F4A46">
        <w:t xml:space="preserve"> </w:t>
      </w:r>
      <w:r w:rsidR="00022F83" w:rsidRPr="000F4A46">
        <w:rPr>
          <w:lang w:val="en-US"/>
        </w:rPr>
        <w:t>Dow</w:t>
      </w:r>
      <w:r w:rsidR="00022F83" w:rsidRPr="000F4A46">
        <w:t xml:space="preserve"> penketą“</w:t>
      </w:r>
      <w:r w:rsidR="00022F83">
        <w:t xml:space="preserve"> (</w:t>
      </w:r>
      <w:r w:rsidR="00022F83" w:rsidRPr="000F4A46">
        <w:t>angl.</w:t>
      </w:r>
      <w:r w:rsidR="00022F83">
        <w:rPr>
          <w:lang w:val="en-US"/>
        </w:rPr>
        <w:t xml:space="preserve"> “</w:t>
      </w:r>
      <w:r w:rsidR="00022F83" w:rsidRPr="000F4A46">
        <w:rPr>
          <w:lang w:val="en-US"/>
        </w:rPr>
        <w:t>Beating the Dow 5</w:t>
      </w:r>
      <w:r w:rsidR="00022F83">
        <w:rPr>
          <w:lang w:val="en-US"/>
        </w:rPr>
        <w:t>”</w:t>
      </w:r>
      <w:r w:rsidR="00022F83">
        <w:t>), „Apgaulingąjį</w:t>
      </w:r>
      <w:r w:rsidR="00022F83" w:rsidRPr="000F4A46">
        <w:t xml:space="preserve"> ketvertą“</w:t>
      </w:r>
      <w:r w:rsidR="00022F83">
        <w:t xml:space="preserve"> </w:t>
      </w:r>
      <w:r w:rsidR="00022F83" w:rsidRPr="000F4A46">
        <w:t>(</w:t>
      </w:r>
      <w:r w:rsidR="00022F83">
        <w:t>angl.</w:t>
      </w:r>
      <w:r w:rsidR="00022F83">
        <w:rPr>
          <w:lang w:val="en-US"/>
        </w:rPr>
        <w:t xml:space="preserve"> “</w:t>
      </w:r>
      <w:r w:rsidR="00022F83" w:rsidRPr="000F4A46">
        <w:rPr>
          <w:lang w:val="en-US"/>
        </w:rPr>
        <w:t>The Foolish Four</w:t>
      </w:r>
      <w:r w:rsidR="00022F83">
        <w:rPr>
          <w:lang w:val="en-US"/>
        </w:rPr>
        <w:t>”</w:t>
      </w:r>
      <w:r w:rsidR="00022F83" w:rsidRPr="001D5E7E">
        <w:t xml:space="preserve"> arba</w:t>
      </w:r>
      <w:r w:rsidR="00022F83">
        <w:rPr>
          <w:lang w:val="en-US"/>
        </w:rPr>
        <w:t xml:space="preserve"> “RP Variation”</w:t>
      </w:r>
      <w:r w:rsidR="00022F83">
        <w:t>), kurie iš esmės yra panašūs.</w:t>
      </w:r>
    </w:p>
    <w:p w:rsidR="00FA794E" w:rsidRDefault="00C638F2" w:rsidP="00FA794E">
      <w:r w:rsidRPr="00C13042">
        <w:rPr>
          <w:i/>
        </w:rPr>
        <w:t>Bazinė</w:t>
      </w:r>
      <w:r w:rsidR="00FA794E" w:rsidRPr="00C13042">
        <w:rPr>
          <w:i/>
        </w:rPr>
        <w:t xml:space="preserve"> DDS</w:t>
      </w:r>
      <w:r w:rsidRPr="00C13042">
        <w:rPr>
          <w:i/>
        </w:rPr>
        <w:t xml:space="preserve"> strategija</w:t>
      </w:r>
      <w:r w:rsidR="00022F83" w:rsidRPr="00C13042">
        <w:t>.</w:t>
      </w:r>
      <w:r w:rsidR="00FA794E">
        <w:rPr>
          <w:b/>
        </w:rPr>
        <w:t xml:space="preserve"> </w:t>
      </w:r>
      <w:r w:rsidR="002866B9" w:rsidRPr="002866B9">
        <w:t xml:space="preserve">Tai </w:t>
      </w:r>
      <w:r w:rsidR="002866B9">
        <w:t>trijų žingsnių</w:t>
      </w:r>
      <w:r w:rsidR="00E977C5">
        <w:t xml:space="preserve"> </w:t>
      </w:r>
      <w:r w:rsidR="00FA794E" w:rsidRPr="00C13042">
        <w:t>dividendų strategija</w:t>
      </w:r>
      <w:r w:rsidR="00FA794E" w:rsidRPr="00FA794E">
        <w:t xml:space="preserve"> </w:t>
      </w:r>
      <w:r w:rsidR="00FA794E">
        <w:rPr>
          <w:b/>
        </w:rPr>
        <w:t>(</w:t>
      </w:r>
      <w:r w:rsidR="00FA794E">
        <w:t>Domian, Louton, Charles, 1998</w:t>
      </w:r>
      <w:r w:rsidR="00FA794E" w:rsidRPr="00FA794E">
        <w:t>):</w:t>
      </w:r>
    </w:p>
    <w:p w:rsidR="00FA794E" w:rsidRDefault="00FA794E" w:rsidP="00FA794E">
      <w:r w:rsidRPr="00FA794E">
        <w:t xml:space="preserve"> 1)</w:t>
      </w:r>
      <w:r>
        <w:rPr>
          <w:b/>
        </w:rPr>
        <w:t xml:space="preserve"> </w:t>
      </w:r>
      <w:r w:rsidRPr="00FA794E">
        <w:t>Pasirenkamas investicijų pradžios laiko momentas (dažniausiai pirma prekybos diena metuose)</w:t>
      </w:r>
      <w:r>
        <w:t xml:space="preserve"> ir formuojamas portfelis</w:t>
      </w:r>
      <w:r>
        <w:rPr>
          <w:b/>
        </w:rPr>
        <w:t xml:space="preserve"> </w:t>
      </w:r>
      <w:r w:rsidRPr="00FA794E">
        <w:t>i</w:t>
      </w:r>
      <w:r w:rsidR="00022F83">
        <w:t xml:space="preserve">š </w:t>
      </w:r>
      <w:r w:rsidR="00022F83" w:rsidRPr="002A4B59">
        <w:t>10</w:t>
      </w:r>
      <w:r>
        <w:t xml:space="preserve"> akcijų (vienodomis vertės dalimis). Įmonės atrenkamos iš </w:t>
      </w:r>
      <w:r w:rsidRPr="00142002">
        <w:t xml:space="preserve">30 DJIA </w:t>
      </w:r>
      <w:r w:rsidRPr="002A4B59">
        <w:t>indekso įmonių</w:t>
      </w:r>
      <w:r>
        <w:t>,</w:t>
      </w:r>
      <w:r w:rsidRPr="002A4B59">
        <w:t xml:space="preserve"> </w:t>
      </w:r>
      <w:r w:rsidR="00022F83" w:rsidRPr="002A4B59">
        <w:t>kurių</w:t>
      </w:r>
      <w:r w:rsidR="00022F83">
        <w:t xml:space="preserve"> dividendinis p</w:t>
      </w:r>
      <w:r w:rsidR="00F70833">
        <w:t>ajamingu</w:t>
      </w:r>
      <w:r w:rsidR="00022F83">
        <w:t>mas didžiausias.</w:t>
      </w:r>
    </w:p>
    <w:p w:rsidR="00A63FDF" w:rsidRDefault="00FA794E" w:rsidP="00FA794E">
      <w:r>
        <w:t xml:space="preserve">2) Suformuotas portfelis laikomas vienerius metus. </w:t>
      </w:r>
      <w:r w:rsidR="00022F83">
        <w:t>Po metų laiko</w:t>
      </w:r>
      <w:r>
        <w:t xml:space="preserve"> nuo investicijų pradžios momento</w:t>
      </w:r>
      <w:r w:rsidR="00022F83">
        <w:t xml:space="preserve">, </w:t>
      </w:r>
      <w:r w:rsidR="00A63FDF">
        <w:t>nustatoma galutinė portfelio vertė, įskaitant visus dividendus ir kitas pinigines įplaukas/išlaidas, fiksuojant akcijų vertę paskutinės prekybos dienos uždarymo kainomis. Portfelis performuojamas investuojant 10</w:t>
      </w:r>
      <w:r w:rsidR="00A63FDF" w:rsidRPr="00A63FDF">
        <w:t>% nuo galutin</w:t>
      </w:r>
      <w:r w:rsidR="00A63FDF">
        <w:t xml:space="preserve">ės portfelio vertės į kiekvieną iš 10 DJIA akcijų su aukščiausiu dividendinio </w:t>
      </w:r>
      <w:r w:rsidR="00F70833">
        <w:t>pajamingumo</w:t>
      </w:r>
      <w:r w:rsidR="00A63FDF">
        <w:t xml:space="preserve"> rodikliu. Akcijos, kurios nebepatenka į šį sąrašą turi būti parduotos ir pakeistos akcijomis iš sąrašo.</w:t>
      </w:r>
    </w:p>
    <w:p w:rsidR="00A63FDF" w:rsidRPr="00A63FDF" w:rsidRDefault="00A63FDF" w:rsidP="00FA794E">
      <w:r>
        <w:t>3) Procesas kartojamas kiekvienais metais atitinkamai investicijų pradžios laiko momentui.</w:t>
      </w:r>
    </w:p>
    <w:p w:rsidR="00022F83" w:rsidRPr="00082B11" w:rsidRDefault="00E977C5" w:rsidP="00022F83">
      <w:pPr>
        <w:rPr>
          <w:b/>
        </w:rPr>
      </w:pPr>
      <w:r w:rsidRPr="00C13042">
        <w:rPr>
          <w:i/>
        </w:rPr>
        <w:t>„</w:t>
      </w:r>
      <w:r w:rsidR="00022F83" w:rsidRPr="00C13042">
        <w:rPr>
          <w:i/>
        </w:rPr>
        <w:t>Dow penketas</w:t>
      </w:r>
      <w:r w:rsidRPr="00C13042">
        <w:rPr>
          <w:i/>
        </w:rPr>
        <w:t>“</w:t>
      </w:r>
      <w:r w:rsidR="00022F83" w:rsidRPr="00C13042">
        <w:rPr>
          <w:i/>
        </w:rPr>
        <w:t>.</w:t>
      </w:r>
      <w:r w:rsidR="00022F83">
        <w:rPr>
          <w:b/>
        </w:rPr>
        <w:t xml:space="preserve"> </w:t>
      </w:r>
      <w:r w:rsidR="00C8249A">
        <w:t>Strategija pirmą kartą aprašyta</w:t>
      </w:r>
      <w:r w:rsidR="00022F83">
        <w:t xml:space="preserve"> </w:t>
      </w:r>
      <w:r w:rsidR="00022F83" w:rsidRPr="00142002">
        <w:t>O‘Higgins</w:t>
      </w:r>
      <w:r w:rsidR="00022F83">
        <w:t xml:space="preserve"> </w:t>
      </w:r>
      <w:r w:rsidR="00C8249A">
        <w:t>(</w:t>
      </w:r>
      <w:r w:rsidR="00C8249A" w:rsidRPr="00142002">
        <w:t>1991)</w:t>
      </w:r>
      <w:r w:rsidR="00C8249A">
        <w:t xml:space="preserve"> </w:t>
      </w:r>
      <w:r w:rsidR="00022F83">
        <w:t>knygoje</w:t>
      </w:r>
      <w:r w:rsidR="00022F83" w:rsidRPr="00142002">
        <w:t xml:space="preserve">. </w:t>
      </w:r>
      <w:r w:rsidR="00C8249A">
        <w:t>Pagal McQueen, Thorley (1999) Remiantis</w:t>
      </w:r>
      <w:r w:rsidR="00022F83" w:rsidRPr="002A47B9">
        <w:t xml:space="preserve"> šia strategija </w:t>
      </w:r>
      <w:r w:rsidR="00C8249A">
        <w:t xml:space="preserve">atrenkamos </w:t>
      </w:r>
      <w:r w:rsidR="00022F83" w:rsidRPr="002A47B9">
        <w:t>10 įmonių akcijų su didžiausiu dividendiniu p</w:t>
      </w:r>
      <w:r w:rsidR="00F70833">
        <w:t>ajamingum</w:t>
      </w:r>
      <w:r w:rsidR="00022F83" w:rsidRPr="002A47B9">
        <w:t>u.</w:t>
      </w:r>
      <w:r w:rsidR="00022F83">
        <w:t xml:space="preserve"> Toliau iš šio dešimtuko </w:t>
      </w:r>
      <w:r w:rsidR="00022F83" w:rsidRPr="002A4B59">
        <w:t>atrenkamos 5 akcijos, kurių akcijų kaina pigiausia.</w:t>
      </w:r>
      <w:r w:rsidR="00022F83">
        <w:t xml:space="preserve"> Po metų laiko portfelis performuojamas tuo pačiu principu, jei į penketą nepatenka kažkurios įmonės akcijos.</w:t>
      </w:r>
    </w:p>
    <w:p w:rsidR="00022F83" w:rsidRDefault="00E977C5" w:rsidP="00022F83">
      <w:r w:rsidRPr="00C13042">
        <w:rPr>
          <w:i/>
        </w:rPr>
        <w:lastRenderedPageBreak/>
        <w:t>„Dow</w:t>
      </w:r>
      <w:r w:rsidR="00AC4126" w:rsidRPr="00C13042">
        <w:rPr>
          <w:i/>
        </w:rPr>
        <w:t xml:space="preserve"> </w:t>
      </w:r>
      <w:r w:rsidR="00022F83" w:rsidRPr="00C13042">
        <w:rPr>
          <w:i/>
        </w:rPr>
        <w:t>ketvertas</w:t>
      </w:r>
      <w:r w:rsidRPr="00C13042">
        <w:rPr>
          <w:i/>
        </w:rPr>
        <w:t>“</w:t>
      </w:r>
      <w:r w:rsidR="00022F83" w:rsidRPr="00C13042">
        <w:rPr>
          <w:i/>
        </w:rPr>
        <w:t>.</w:t>
      </w:r>
      <w:r w:rsidR="00022F83">
        <w:rPr>
          <w:b/>
        </w:rPr>
        <w:t xml:space="preserve"> </w:t>
      </w:r>
      <w:r w:rsidR="00C8249A">
        <w:t>Pagal McQueen, Thorley (1999) an</w:t>
      </w:r>
      <w:r w:rsidR="009776FE">
        <w:t>k</w:t>
      </w:r>
      <w:r w:rsidR="00C8249A">
        <w:t>sčiau atliktų tyrimų rezultatai atskleidžia</w:t>
      </w:r>
      <w:r w:rsidR="00022F83" w:rsidRPr="00E57EEE">
        <w:t>, jog 1975-1999 metais kasmet kombinuoto ketverto prieaugis siekdavo vidutiniškai 24,5%.</w:t>
      </w:r>
      <w:r w:rsidR="00022F83">
        <w:t xml:space="preserve"> Tiesa, nuo </w:t>
      </w:r>
      <w:r w:rsidR="00022F83" w:rsidRPr="00142002">
        <w:t>2000 met</w:t>
      </w:r>
      <w:r w:rsidR="00022F83">
        <w:t xml:space="preserve">ų šios strategijos efektyvumas sumažėjo. Ketvertas atrenkamas skirtingai nei prieš tai minėtuose būduose, bet esmė labai panaši. Pirma, </w:t>
      </w:r>
      <w:r w:rsidR="00022F83" w:rsidRPr="00142002">
        <w:t xml:space="preserve">10 </w:t>
      </w:r>
      <w:r w:rsidR="00022F83" w:rsidRPr="00614C7E">
        <w:t xml:space="preserve">didžiausio dividendinio </w:t>
      </w:r>
      <w:r w:rsidR="00022F83">
        <w:t>p</w:t>
      </w:r>
      <w:r w:rsidR="00F70833">
        <w:t>ajamingum</w:t>
      </w:r>
      <w:r w:rsidR="00022F83">
        <w:t>o</w:t>
      </w:r>
      <w:r w:rsidR="00022F83" w:rsidRPr="00142002">
        <w:t xml:space="preserve"> </w:t>
      </w:r>
      <w:r w:rsidR="00022F83">
        <w:t>įmonės paskirstomos pagal</w:t>
      </w:r>
      <w:r w:rsidR="002866B9">
        <w:t xml:space="preserve"> santykį (nuo didžiausio iki mažiausio) tarp dividendų pajamingumo ir akcijos kainos kvadratinės šaknies</w:t>
      </w:r>
      <w:r w:rsidR="00022F83">
        <w:t xml:space="preserve">. Antra, didžiausią reitingą turinti akcija išbraukiama iš sąrašo, toliau perkamos sekančios </w:t>
      </w:r>
      <w:r w:rsidR="00022F83" w:rsidRPr="00142002">
        <w:t xml:space="preserve">4 </w:t>
      </w:r>
      <w:r w:rsidR="00022F83" w:rsidRPr="00E57EEE">
        <w:t>akcijos</w:t>
      </w:r>
      <w:r w:rsidR="00022F83" w:rsidRPr="00142002">
        <w:t xml:space="preserve"> </w:t>
      </w:r>
      <w:r w:rsidR="00022F83">
        <w:t>lygiomis vertės dalimis portfelyje. Istoriškai pastebėta, jog didžiausią dividendinį p</w:t>
      </w:r>
      <w:r w:rsidR="00F70833">
        <w:t>ajamingu</w:t>
      </w:r>
      <w:r w:rsidR="00022F83">
        <w:t xml:space="preserve">mą ir mažiausią akcijos kainą turinčios įmonės susiduria su problemomis. Tačiau, techniškai, jei pirma akcija nėra </w:t>
      </w:r>
      <w:r w:rsidR="00F70833">
        <w:t>didžiausio dividendinio pajamingu</w:t>
      </w:r>
      <w:r w:rsidR="00022F83">
        <w:t xml:space="preserve">mo ir mažiausios kainos, </w:t>
      </w:r>
      <w:r w:rsidR="005D6302">
        <w:t>ji perkama</w:t>
      </w:r>
      <w:r w:rsidR="00022F83">
        <w:t xml:space="preserve"> vietoj</w:t>
      </w:r>
      <w:r w:rsidR="005D6302">
        <w:t>e nr.</w:t>
      </w:r>
      <w:r w:rsidR="00022F83">
        <w:t xml:space="preserve"> </w:t>
      </w:r>
      <w:r w:rsidR="00022F83" w:rsidRPr="00142002">
        <w:t>5</w:t>
      </w:r>
      <w:r w:rsidR="00022F83" w:rsidRPr="00614C7E">
        <w:t xml:space="preserve"> akcijos</w:t>
      </w:r>
      <w:r w:rsidR="00022F83" w:rsidRPr="000131E3">
        <w:t xml:space="preserve">. </w:t>
      </w:r>
    </w:p>
    <w:p w:rsidR="005D6302" w:rsidRPr="00142002" w:rsidRDefault="00F70833" w:rsidP="005D6302">
      <w:r>
        <w:t>Aukštas dividendų pajamingum</w:t>
      </w:r>
      <w:r w:rsidR="00022F83" w:rsidRPr="000131E3">
        <w:t>as tiesio</w:t>
      </w:r>
      <w:r w:rsidR="00022F83">
        <w:t>giai koreliuoja su įmonės sėkme. Taip pat</w:t>
      </w:r>
      <w:r w:rsidR="00022F83" w:rsidRPr="000131E3">
        <w:t xml:space="preserve"> akademiniai tyrimai rodo, jog </w:t>
      </w:r>
      <w:r w:rsidR="00022F83">
        <w:t xml:space="preserve">akcijų kainos kintamumo rodiklis </w:t>
      </w:r>
      <w:r w:rsidR="00022F83" w:rsidRPr="001B07E6">
        <w:rPr>
          <w:i/>
        </w:rPr>
        <w:t>beta</w:t>
      </w:r>
      <w:r w:rsidR="00022F83">
        <w:t xml:space="preserve"> (pvz. jei indeksas akcijų rinka auga </w:t>
      </w:r>
      <w:r w:rsidR="00022F83" w:rsidRPr="00142002">
        <w:t xml:space="preserve">10%, </w:t>
      </w:r>
      <w:r w:rsidR="00022F83">
        <w:t>akcijos kaina auga 15%, tai</w:t>
      </w:r>
      <w:r w:rsidR="00022F83" w:rsidRPr="00142002">
        <w:t xml:space="preserve"> </w:t>
      </w:r>
      <w:r w:rsidR="00E16CC4">
        <w:rPr>
          <w:i/>
        </w:rPr>
        <w:t>B</w:t>
      </w:r>
      <w:r w:rsidR="00022F83" w:rsidRPr="00E16CC4">
        <w:rPr>
          <w:i/>
        </w:rPr>
        <w:t>eta</w:t>
      </w:r>
      <w:r w:rsidR="00E16CC4">
        <w:t xml:space="preserve"> </w:t>
      </w:r>
      <w:r w:rsidR="00022F83" w:rsidRPr="00142002">
        <w:t>=</w:t>
      </w:r>
      <w:r w:rsidR="00E16CC4">
        <w:t xml:space="preserve"> </w:t>
      </w:r>
      <w:r w:rsidR="00022F83" w:rsidRPr="00142002">
        <w:t>1,5</w:t>
      </w:r>
      <w:r w:rsidR="00022F83">
        <w:t>) koreliuoja su akcijos kaina</w:t>
      </w:r>
      <w:r w:rsidR="00022F83" w:rsidRPr="000131E3">
        <w:t xml:space="preserve">, bet dar labiau su kvadratine akcijos kainos </w:t>
      </w:r>
      <w:r w:rsidR="00022F83" w:rsidRPr="00C8249A">
        <w:t>šaknimi (Coleman, 1998).</w:t>
      </w:r>
      <w:r w:rsidR="00022F83">
        <w:t xml:space="preserve"> Šie du rodikliai yra itin svarbūs, kadangi jie paprastai atskleidžia įmonės sėkmės potencialą.</w:t>
      </w:r>
      <w:r w:rsidR="00022F83" w:rsidRPr="000131E3">
        <w:t xml:space="preserve"> </w:t>
      </w:r>
      <w:r w:rsidR="005D6302">
        <w:t>Remiantis kiekviena iš trijų strategijų, pateikiamas apibendrintas galimas akcijų išdėstymas eilės tvarka investiciniame portfelyje (žr</w:t>
      </w:r>
      <w:r w:rsidR="00707DF4">
        <w:t>. 4 lent</w:t>
      </w:r>
      <w:r w:rsidR="00CA7FAE">
        <w:t>.</w:t>
      </w:r>
      <w:r w:rsidR="005D6302" w:rsidRPr="00142002">
        <w:t>)</w:t>
      </w:r>
    </w:p>
    <w:p w:rsidR="00022F83" w:rsidRPr="00E46147" w:rsidRDefault="00022F83" w:rsidP="00022F83">
      <w:pPr>
        <w:pStyle w:val="Caption"/>
        <w:ind w:left="964" w:hanging="964"/>
      </w:pPr>
      <w:bookmarkStart w:id="42" w:name="_Toc303762852"/>
      <w:bookmarkStart w:id="43" w:name="_Ref327985096"/>
      <w:bookmarkStart w:id="44" w:name="_Ref342927076"/>
      <w:bookmarkStart w:id="45" w:name="_Toc343677822"/>
      <w:r w:rsidRPr="00E46147">
        <w:t>DJIA indekso divid</w:t>
      </w:r>
      <w:r>
        <w:t>end</w:t>
      </w:r>
      <w:r w:rsidRPr="00E46147">
        <w:t>inės akcijos ir taikytinos investavimo strategijos</w:t>
      </w:r>
      <w:bookmarkEnd w:id="42"/>
      <w:bookmarkEnd w:id="43"/>
      <w:bookmarkEnd w:id="44"/>
      <w:bookmarkEnd w:id="45"/>
    </w:p>
    <w:tbl>
      <w:tblPr>
        <w:tblW w:w="10043"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389"/>
        <w:gridCol w:w="1595"/>
        <w:gridCol w:w="709"/>
        <w:gridCol w:w="1559"/>
        <w:gridCol w:w="1523"/>
        <w:gridCol w:w="1377"/>
        <w:gridCol w:w="891"/>
      </w:tblGrid>
      <w:tr w:rsidR="00022F83" w:rsidRPr="00145AFB" w:rsidTr="005D6302">
        <w:trPr>
          <w:trHeight w:val="302"/>
        </w:trPr>
        <w:tc>
          <w:tcPr>
            <w:tcW w:w="4693" w:type="dxa"/>
            <w:gridSpan w:val="3"/>
            <w:shd w:val="clear" w:color="auto" w:fill="auto"/>
            <w:noWrap/>
            <w:vAlign w:val="bottom"/>
            <w:hideMark/>
          </w:tcPr>
          <w:p w:rsidR="00022F83" w:rsidRPr="005979B2" w:rsidRDefault="00022F83" w:rsidP="00E977C5">
            <w:pPr>
              <w:spacing w:before="0" w:line="240" w:lineRule="auto"/>
              <w:ind w:firstLine="0"/>
              <w:jc w:val="center"/>
              <w:rPr>
                <w:rFonts w:eastAsia="Times New Roman" w:cs="Times New Roman"/>
                <w:b/>
                <w:bCs/>
                <w:color w:val="000000"/>
                <w:lang w:eastAsia="lt-LT"/>
              </w:rPr>
            </w:pPr>
            <w:r w:rsidRPr="005979B2">
              <w:rPr>
                <w:rFonts w:eastAsia="Times New Roman" w:cs="Times New Roman"/>
                <w:b/>
                <w:bCs/>
                <w:color w:val="000000"/>
                <w:sz w:val="22"/>
                <w:lang w:eastAsia="lt-LT"/>
              </w:rPr>
              <w:t>VP duomenys</w:t>
            </w:r>
          </w:p>
        </w:tc>
        <w:tc>
          <w:tcPr>
            <w:tcW w:w="1559" w:type="dxa"/>
            <w:shd w:val="clear" w:color="auto" w:fill="auto"/>
            <w:noWrap/>
            <w:vAlign w:val="bottom"/>
            <w:hideMark/>
          </w:tcPr>
          <w:p w:rsidR="00022F83" w:rsidRPr="00E977C5" w:rsidRDefault="00E977C5" w:rsidP="00E977C5">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w:t>
            </w:r>
            <w:r>
              <w:rPr>
                <w:rFonts w:eastAsia="Times New Roman" w:cs="Times New Roman"/>
                <w:b/>
                <w:bCs/>
                <w:color w:val="000000"/>
                <w:sz w:val="22"/>
                <w:lang w:val="en-US" w:eastAsia="lt-LT"/>
              </w:rPr>
              <w:t>Dow</w:t>
            </w:r>
            <w:r w:rsidR="00AC4126">
              <w:rPr>
                <w:rFonts w:eastAsia="Times New Roman" w:cs="Times New Roman"/>
                <w:b/>
                <w:bCs/>
                <w:color w:val="000000"/>
                <w:sz w:val="22"/>
                <w:lang w:val="en-US" w:eastAsia="lt-LT"/>
              </w:rPr>
              <w:t xml:space="preserve"> 10</w:t>
            </w:r>
            <w:r>
              <w:rPr>
                <w:rFonts w:eastAsia="Times New Roman" w:cs="Times New Roman"/>
                <w:b/>
                <w:bCs/>
                <w:color w:val="000000"/>
                <w:sz w:val="22"/>
                <w:lang w:eastAsia="lt-LT"/>
              </w:rPr>
              <w:t>“</w:t>
            </w:r>
          </w:p>
        </w:tc>
        <w:tc>
          <w:tcPr>
            <w:tcW w:w="1523" w:type="dxa"/>
            <w:shd w:val="clear" w:color="auto" w:fill="auto"/>
            <w:noWrap/>
            <w:vAlign w:val="bottom"/>
            <w:hideMark/>
          </w:tcPr>
          <w:p w:rsidR="00022F83" w:rsidRPr="005979B2" w:rsidRDefault="00E977C5" w:rsidP="00E977C5">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w:t>
            </w:r>
            <w:r w:rsidR="00AC4126">
              <w:rPr>
                <w:rFonts w:eastAsia="Times New Roman" w:cs="Times New Roman"/>
                <w:b/>
                <w:bCs/>
                <w:color w:val="000000"/>
                <w:sz w:val="22"/>
                <w:lang w:eastAsia="lt-LT"/>
              </w:rPr>
              <w:t>Dow</w:t>
            </w:r>
            <w:r w:rsidR="00022F83" w:rsidRPr="005979B2">
              <w:rPr>
                <w:rFonts w:eastAsia="Times New Roman" w:cs="Times New Roman"/>
                <w:b/>
                <w:bCs/>
                <w:color w:val="000000"/>
                <w:sz w:val="22"/>
                <w:lang w:eastAsia="lt-LT"/>
              </w:rPr>
              <w:t xml:space="preserve"> 5</w:t>
            </w:r>
            <w:r>
              <w:rPr>
                <w:rFonts w:eastAsia="Times New Roman" w:cs="Times New Roman"/>
                <w:b/>
                <w:bCs/>
                <w:color w:val="000000"/>
                <w:sz w:val="22"/>
                <w:lang w:eastAsia="lt-LT"/>
              </w:rPr>
              <w:t>“</w:t>
            </w:r>
          </w:p>
        </w:tc>
        <w:tc>
          <w:tcPr>
            <w:tcW w:w="2268" w:type="dxa"/>
            <w:gridSpan w:val="2"/>
            <w:shd w:val="clear" w:color="auto" w:fill="auto"/>
            <w:noWrap/>
            <w:vAlign w:val="bottom"/>
            <w:hideMark/>
          </w:tcPr>
          <w:p w:rsidR="00022F83" w:rsidRPr="005979B2" w:rsidRDefault="00E977C5" w:rsidP="00E977C5">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w:t>
            </w:r>
            <w:r w:rsidR="00AC4126">
              <w:rPr>
                <w:rFonts w:eastAsia="Times New Roman" w:cs="Times New Roman"/>
                <w:b/>
                <w:bCs/>
                <w:color w:val="000000"/>
                <w:sz w:val="22"/>
                <w:lang w:val="en-US" w:eastAsia="lt-LT"/>
              </w:rPr>
              <w:t>Dow</w:t>
            </w:r>
            <w:r w:rsidR="00022F83" w:rsidRPr="005979B2">
              <w:rPr>
                <w:rFonts w:eastAsia="Times New Roman" w:cs="Times New Roman"/>
                <w:b/>
                <w:bCs/>
                <w:color w:val="000000"/>
                <w:sz w:val="22"/>
                <w:lang w:eastAsia="lt-LT"/>
              </w:rPr>
              <w:t xml:space="preserve"> 4</w:t>
            </w:r>
            <w:r>
              <w:rPr>
                <w:rFonts w:eastAsia="Times New Roman" w:cs="Times New Roman"/>
                <w:b/>
                <w:bCs/>
                <w:color w:val="000000"/>
                <w:sz w:val="22"/>
                <w:lang w:eastAsia="lt-LT"/>
              </w:rPr>
              <w:t>“</w:t>
            </w:r>
          </w:p>
        </w:tc>
      </w:tr>
      <w:tr w:rsidR="00022F83" w:rsidRPr="00145AFB" w:rsidTr="005D6302">
        <w:trPr>
          <w:trHeight w:val="302"/>
        </w:trPr>
        <w:tc>
          <w:tcPr>
            <w:tcW w:w="238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lang w:eastAsia="lt-LT"/>
              </w:rPr>
            </w:pPr>
            <w:r w:rsidRPr="0082679E">
              <w:rPr>
                <w:rFonts w:eastAsia="Times New Roman" w:cs="Times New Roman"/>
                <w:b/>
                <w:bCs/>
                <w:color w:val="000000"/>
                <w:sz w:val="22"/>
                <w:lang w:eastAsia="lt-LT"/>
              </w:rPr>
              <w:t>Pavadinimas</w:t>
            </w:r>
          </w:p>
        </w:tc>
        <w:tc>
          <w:tcPr>
            <w:tcW w:w="1595" w:type="dxa"/>
            <w:shd w:val="clear" w:color="auto" w:fill="auto"/>
            <w:noWrap/>
            <w:vAlign w:val="bottom"/>
            <w:hideMark/>
          </w:tcPr>
          <w:p w:rsidR="00022F83" w:rsidRPr="00200A00" w:rsidRDefault="005D6302" w:rsidP="005D6302">
            <w:pPr>
              <w:spacing w:before="0" w:line="240" w:lineRule="auto"/>
              <w:ind w:firstLine="0"/>
              <w:jc w:val="center"/>
              <w:rPr>
                <w:rFonts w:eastAsia="Times New Roman" w:cs="Times New Roman"/>
                <w:b/>
                <w:bCs/>
                <w:color w:val="000000"/>
                <w:vertAlign w:val="superscript"/>
                <w:lang w:eastAsia="lt-LT"/>
              </w:rPr>
            </w:pPr>
            <w:r>
              <w:rPr>
                <w:rFonts w:eastAsia="Times New Roman" w:cs="Times New Roman"/>
                <w:b/>
                <w:bCs/>
                <w:color w:val="000000"/>
                <w:sz w:val="22"/>
                <w:lang w:eastAsia="lt-LT"/>
              </w:rPr>
              <w:t>Akcijos kaina</w:t>
            </w:r>
          </w:p>
        </w:tc>
        <w:tc>
          <w:tcPr>
            <w:tcW w:w="709" w:type="dxa"/>
            <w:shd w:val="clear" w:color="auto" w:fill="auto"/>
            <w:noWrap/>
            <w:vAlign w:val="bottom"/>
            <w:hideMark/>
          </w:tcPr>
          <w:p w:rsidR="00022F83" w:rsidRPr="00200A00" w:rsidRDefault="00022F83" w:rsidP="00200A00">
            <w:pPr>
              <w:spacing w:before="0" w:line="240" w:lineRule="auto"/>
              <w:ind w:firstLine="0"/>
              <w:jc w:val="center"/>
              <w:rPr>
                <w:rFonts w:eastAsia="Times New Roman" w:cs="Times New Roman"/>
                <w:b/>
                <w:bCs/>
                <w:color w:val="000000"/>
                <w:vertAlign w:val="superscript"/>
                <w:lang w:eastAsia="lt-LT"/>
              </w:rPr>
            </w:pPr>
            <w:r w:rsidRPr="005979B2">
              <w:rPr>
                <w:rFonts w:eastAsia="Times New Roman" w:cs="Times New Roman"/>
                <w:b/>
                <w:bCs/>
                <w:color w:val="000000"/>
                <w:sz w:val="22"/>
                <w:lang w:eastAsia="lt-LT"/>
              </w:rPr>
              <w:t>D</w:t>
            </w:r>
            <w:r w:rsidR="00200A00">
              <w:rPr>
                <w:rFonts w:eastAsia="Times New Roman" w:cs="Times New Roman"/>
                <w:b/>
                <w:bCs/>
                <w:color w:val="000000"/>
                <w:sz w:val="22"/>
                <w:lang w:eastAsia="lt-LT"/>
              </w:rPr>
              <w:t>Y</w:t>
            </w:r>
            <w:r w:rsidR="00200A00">
              <w:rPr>
                <w:rFonts w:eastAsia="Times New Roman" w:cs="Times New Roman"/>
                <w:b/>
                <w:bCs/>
                <w:color w:val="000000"/>
                <w:sz w:val="22"/>
                <w:vertAlign w:val="superscript"/>
                <w:lang w:eastAsia="lt-LT"/>
              </w:rPr>
              <w:t>2</w:t>
            </w:r>
          </w:p>
        </w:tc>
        <w:tc>
          <w:tcPr>
            <w:tcW w:w="1559" w:type="dxa"/>
            <w:shd w:val="clear" w:color="auto" w:fill="auto"/>
            <w:noWrap/>
            <w:vAlign w:val="bottom"/>
            <w:hideMark/>
          </w:tcPr>
          <w:p w:rsidR="00022F83" w:rsidRPr="005979B2" w:rsidRDefault="00022F83" w:rsidP="00E977C5">
            <w:pPr>
              <w:spacing w:before="0" w:line="240" w:lineRule="auto"/>
              <w:ind w:firstLine="0"/>
              <w:jc w:val="center"/>
              <w:rPr>
                <w:rFonts w:eastAsia="Times New Roman" w:cs="Times New Roman"/>
                <w:b/>
                <w:bCs/>
                <w:color w:val="000000"/>
                <w:lang w:eastAsia="lt-LT"/>
              </w:rPr>
            </w:pPr>
            <w:r w:rsidRPr="005979B2">
              <w:rPr>
                <w:rFonts w:eastAsia="Times New Roman" w:cs="Times New Roman"/>
                <w:b/>
                <w:bCs/>
                <w:color w:val="000000"/>
                <w:sz w:val="22"/>
                <w:lang w:eastAsia="lt-LT"/>
              </w:rPr>
              <w:t>Eil. nr.</w:t>
            </w:r>
          </w:p>
        </w:tc>
        <w:tc>
          <w:tcPr>
            <w:tcW w:w="1523" w:type="dxa"/>
            <w:shd w:val="clear" w:color="auto" w:fill="auto"/>
            <w:noWrap/>
            <w:vAlign w:val="bottom"/>
            <w:hideMark/>
          </w:tcPr>
          <w:p w:rsidR="00022F83" w:rsidRPr="005979B2" w:rsidRDefault="00022F83" w:rsidP="00E977C5">
            <w:pPr>
              <w:spacing w:before="0" w:line="240" w:lineRule="auto"/>
              <w:ind w:firstLine="0"/>
              <w:jc w:val="center"/>
              <w:rPr>
                <w:rFonts w:eastAsia="Times New Roman" w:cs="Times New Roman"/>
                <w:b/>
                <w:bCs/>
                <w:color w:val="000000"/>
                <w:lang w:eastAsia="lt-LT"/>
              </w:rPr>
            </w:pPr>
            <w:r w:rsidRPr="005979B2">
              <w:rPr>
                <w:rFonts w:eastAsia="Times New Roman" w:cs="Times New Roman"/>
                <w:b/>
                <w:bCs/>
                <w:color w:val="000000"/>
                <w:sz w:val="22"/>
                <w:lang w:eastAsia="lt-LT"/>
              </w:rPr>
              <w:t>Eil. nr.</w:t>
            </w:r>
          </w:p>
        </w:tc>
        <w:tc>
          <w:tcPr>
            <w:tcW w:w="1377" w:type="dxa"/>
            <w:shd w:val="clear" w:color="auto" w:fill="auto"/>
            <w:noWrap/>
            <w:vAlign w:val="bottom"/>
            <w:hideMark/>
          </w:tcPr>
          <w:p w:rsidR="00022F83" w:rsidRPr="005979B2" w:rsidRDefault="00022F83" w:rsidP="00E977C5">
            <w:pPr>
              <w:spacing w:before="0" w:line="240" w:lineRule="auto"/>
              <w:ind w:firstLine="0"/>
              <w:jc w:val="center"/>
              <w:rPr>
                <w:rFonts w:eastAsia="Times New Roman" w:cs="Times New Roman"/>
                <w:b/>
                <w:bCs/>
                <w:color w:val="000000"/>
                <w:lang w:eastAsia="lt-LT"/>
              </w:rPr>
            </w:pPr>
            <w:r w:rsidRPr="005979B2">
              <w:rPr>
                <w:rFonts w:eastAsia="Times New Roman" w:cs="Times New Roman"/>
                <w:b/>
                <w:bCs/>
                <w:color w:val="000000"/>
                <w:sz w:val="22"/>
                <w:lang w:eastAsia="lt-LT"/>
              </w:rPr>
              <w:t>Koeficientas</w:t>
            </w:r>
          </w:p>
        </w:tc>
        <w:tc>
          <w:tcPr>
            <w:tcW w:w="891" w:type="dxa"/>
            <w:shd w:val="clear" w:color="auto" w:fill="auto"/>
            <w:noWrap/>
            <w:vAlign w:val="bottom"/>
            <w:hideMark/>
          </w:tcPr>
          <w:p w:rsidR="00022F83" w:rsidRPr="005979B2" w:rsidRDefault="00022F83" w:rsidP="00E977C5">
            <w:pPr>
              <w:spacing w:before="0" w:line="240" w:lineRule="auto"/>
              <w:ind w:firstLine="0"/>
              <w:jc w:val="center"/>
              <w:rPr>
                <w:rFonts w:eastAsia="Times New Roman" w:cs="Times New Roman"/>
                <w:b/>
                <w:bCs/>
                <w:color w:val="000000"/>
                <w:lang w:eastAsia="lt-LT"/>
              </w:rPr>
            </w:pPr>
            <w:r w:rsidRPr="005979B2">
              <w:rPr>
                <w:rFonts w:eastAsia="Times New Roman" w:cs="Times New Roman"/>
                <w:b/>
                <w:bCs/>
                <w:color w:val="000000"/>
                <w:sz w:val="22"/>
                <w:lang w:eastAsia="lt-LT"/>
              </w:rPr>
              <w:t>Eil. nr.</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At&amp;T</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27,88</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6,18</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1</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4</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1,17</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2</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Verizon Comm</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35,25</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5,6</w:t>
            </w:r>
            <w:r w:rsidR="002C42B6" w:rsidRPr="0082679E">
              <w:rPr>
                <w:rFonts w:eastAsia="Times New Roman" w:cs="Times New Roman"/>
                <w:color w:val="000000"/>
                <w:szCs w:val="24"/>
                <w:lang w:eastAsia="lt-LT"/>
              </w:rPr>
              <w:t>0</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2</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7</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0,94</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4</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Merck &amp; Co</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32</w:t>
            </w:r>
            <w:r w:rsidR="002C42B6" w:rsidRPr="0082679E">
              <w:rPr>
                <w:rFonts w:eastAsia="Times New Roman" w:cs="Times New Roman"/>
                <w:color w:val="000000"/>
                <w:szCs w:val="24"/>
                <w:lang w:eastAsia="lt-LT"/>
              </w:rPr>
              <w:t>,00</w:t>
            </w:r>
          </w:p>
        </w:tc>
        <w:tc>
          <w:tcPr>
            <w:tcW w:w="709" w:type="dxa"/>
            <w:shd w:val="clear" w:color="auto" w:fill="auto"/>
            <w:noWrap/>
            <w:vAlign w:val="bottom"/>
            <w:hideMark/>
          </w:tcPr>
          <w:p w:rsidR="00022F83" w:rsidRPr="0082679E" w:rsidRDefault="00022F83" w:rsidP="0082679E">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4,76</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3</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5</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0,84</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5</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Pfizer</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18,24</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4,28</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4</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2</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1,00</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3</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Du Pont</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44,28</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3,73</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5</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Cs/>
                <w:color w:val="000000"/>
                <w:szCs w:val="24"/>
                <w:lang w:eastAsia="lt-LT"/>
              </w:rPr>
            </w:pPr>
            <w:r w:rsidRPr="0082679E">
              <w:rPr>
                <w:rFonts w:eastAsia="Times New Roman" w:cs="Times New Roman"/>
                <w:bCs/>
                <w:color w:val="000000"/>
                <w:szCs w:val="24"/>
                <w:lang w:eastAsia="lt-LT"/>
              </w:rPr>
              <w:t>8</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0,56</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8</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General Electric</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3,73</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3,69</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6</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1</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1,91</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Intel</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20,28</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3,62</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7</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3</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0,80</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6</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Johnson &amp; Johnson</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63,59</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3,51</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8</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Cs/>
                <w:color w:val="000000"/>
                <w:szCs w:val="24"/>
                <w:lang w:eastAsia="lt-LT"/>
              </w:rPr>
            </w:pPr>
            <w:r w:rsidRPr="0082679E">
              <w:rPr>
                <w:rFonts w:eastAsia="Times New Roman" w:cs="Times New Roman"/>
                <w:bCs/>
                <w:color w:val="000000"/>
                <w:szCs w:val="24"/>
                <w:lang w:eastAsia="lt-LT"/>
              </w:rPr>
              <w:t>9</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0,44</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9</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Kraft Foods</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34,25</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3,43</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9</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Cs/>
                <w:color w:val="000000"/>
                <w:szCs w:val="24"/>
                <w:lang w:eastAsia="lt-LT"/>
              </w:rPr>
            </w:pPr>
            <w:r w:rsidRPr="0082679E">
              <w:rPr>
                <w:rFonts w:eastAsia="Times New Roman" w:cs="Times New Roman"/>
                <w:bCs/>
                <w:color w:val="000000"/>
                <w:szCs w:val="24"/>
                <w:lang w:eastAsia="lt-LT"/>
              </w:rPr>
              <w:t>6</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0,59</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7</w:t>
            </w:r>
          </w:p>
        </w:tc>
      </w:tr>
      <w:tr w:rsidR="00022F83" w:rsidRPr="00145AFB" w:rsidTr="005D6302">
        <w:trPr>
          <w:trHeight w:val="302"/>
        </w:trPr>
        <w:tc>
          <w:tcPr>
            <w:tcW w:w="2389" w:type="dxa"/>
            <w:shd w:val="clear" w:color="auto" w:fill="auto"/>
            <w:noWrap/>
            <w:vAlign w:val="bottom"/>
            <w:hideMark/>
          </w:tcPr>
          <w:p w:rsidR="00022F83" w:rsidRPr="0082679E" w:rsidRDefault="00E977C5" w:rsidP="00E977C5">
            <w:pPr>
              <w:spacing w:before="0" w:line="240" w:lineRule="auto"/>
              <w:ind w:firstLine="0"/>
              <w:jc w:val="center"/>
              <w:rPr>
                <w:rFonts w:eastAsia="Times New Roman" w:cs="Times New Roman"/>
                <w:i/>
                <w:color w:val="000000"/>
                <w:szCs w:val="24"/>
                <w:lang w:eastAsia="lt-LT"/>
              </w:rPr>
            </w:pPr>
            <w:r w:rsidRPr="0082679E">
              <w:rPr>
                <w:rFonts w:eastAsia="Times New Roman" w:cs="Times New Roman"/>
                <w:i/>
                <w:color w:val="000000"/>
                <w:szCs w:val="24"/>
                <w:lang w:eastAsia="lt-LT"/>
              </w:rPr>
              <w:t>Procter &amp; Gamble</w:t>
            </w:r>
          </w:p>
        </w:tc>
        <w:tc>
          <w:tcPr>
            <w:tcW w:w="1595"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61,83</w:t>
            </w:r>
          </w:p>
        </w:tc>
        <w:tc>
          <w:tcPr>
            <w:tcW w:w="70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3,26</w:t>
            </w:r>
          </w:p>
        </w:tc>
        <w:tc>
          <w:tcPr>
            <w:tcW w:w="1559"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
                <w:bCs/>
                <w:color w:val="000000"/>
                <w:szCs w:val="24"/>
                <w:lang w:eastAsia="lt-LT"/>
              </w:rPr>
            </w:pPr>
            <w:r w:rsidRPr="0082679E">
              <w:rPr>
                <w:rFonts w:eastAsia="Times New Roman" w:cs="Times New Roman"/>
                <w:b/>
                <w:bCs/>
                <w:color w:val="000000"/>
                <w:szCs w:val="24"/>
                <w:lang w:eastAsia="lt-LT"/>
              </w:rPr>
              <w:t>10</w:t>
            </w:r>
          </w:p>
        </w:tc>
        <w:tc>
          <w:tcPr>
            <w:tcW w:w="1523"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bCs/>
                <w:color w:val="000000"/>
                <w:szCs w:val="24"/>
                <w:lang w:eastAsia="lt-LT"/>
              </w:rPr>
            </w:pPr>
            <w:r w:rsidRPr="0082679E">
              <w:rPr>
                <w:rFonts w:eastAsia="Times New Roman" w:cs="Times New Roman"/>
                <w:bCs/>
                <w:color w:val="000000"/>
                <w:szCs w:val="24"/>
                <w:lang w:eastAsia="lt-LT"/>
              </w:rPr>
              <w:t>10</w:t>
            </w:r>
          </w:p>
        </w:tc>
        <w:tc>
          <w:tcPr>
            <w:tcW w:w="1377"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0,41</w:t>
            </w:r>
          </w:p>
        </w:tc>
        <w:tc>
          <w:tcPr>
            <w:tcW w:w="891" w:type="dxa"/>
            <w:shd w:val="clear" w:color="auto" w:fill="auto"/>
            <w:noWrap/>
            <w:vAlign w:val="bottom"/>
            <w:hideMark/>
          </w:tcPr>
          <w:p w:rsidR="00022F83" w:rsidRPr="0082679E" w:rsidRDefault="00022F83" w:rsidP="00E977C5">
            <w:pPr>
              <w:spacing w:before="0" w:line="240" w:lineRule="auto"/>
              <w:ind w:firstLine="0"/>
              <w:jc w:val="center"/>
              <w:rPr>
                <w:rFonts w:eastAsia="Times New Roman" w:cs="Times New Roman"/>
                <w:color w:val="000000"/>
                <w:szCs w:val="24"/>
                <w:lang w:eastAsia="lt-LT"/>
              </w:rPr>
            </w:pPr>
            <w:r w:rsidRPr="0082679E">
              <w:rPr>
                <w:rFonts w:eastAsia="Times New Roman" w:cs="Times New Roman"/>
                <w:color w:val="000000"/>
                <w:szCs w:val="24"/>
                <w:lang w:eastAsia="lt-LT"/>
              </w:rPr>
              <w:t>10</w:t>
            </w:r>
          </w:p>
        </w:tc>
      </w:tr>
    </w:tbl>
    <w:p w:rsidR="00022F83" w:rsidRPr="00E977C5" w:rsidRDefault="00200A00" w:rsidP="005D6302">
      <w:pPr>
        <w:spacing w:line="276" w:lineRule="auto"/>
        <w:rPr>
          <w:sz w:val="20"/>
          <w:szCs w:val="20"/>
        </w:rPr>
      </w:pPr>
      <w:r>
        <w:rPr>
          <w:sz w:val="20"/>
          <w:szCs w:val="20"/>
        </w:rPr>
        <w:t>Čia:</w:t>
      </w:r>
      <w:r w:rsidR="005D6302">
        <w:rPr>
          <w:sz w:val="20"/>
          <w:szCs w:val="20"/>
        </w:rPr>
        <w:tab/>
      </w:r>
      <w:r w:rsidRPr="00200A00">
        <w:rPr>
          <w:b/>
          <w:sz w:val="20"/>
          <w:szCs w:val="20"/>
        </w:rPr>
        <w:t xml:space="preserve"> </w:t>
      </w:r>
      <w:r w:rsidRPr="00200A00">
        <w:rPr>
          <w:b/>
          <w:sz w:val="20"/>
          <w:szCs w:val="20"/>
          <w:vertAlign w:val="superscript"/>
        </w:rPr>
        <w:t>2</w:t>
      </w:r>
      <w:r w:rsidRPr="00200A00">
        <w:rPr>
          <w:b/>
          <w:sz w:val="20"/>
          <w:szCs w:val="20"/>
        </w:rPr>
        <w:t>DY:</w:t>
      </w:r>
      <w:r>
        <w:rPr>
          <w:sz w:val="20"/>
          <w:szCs w:val="20"/>
        </w:rPr>
        <w:t xml:space="preserve"> dividendinis pajam</w:t>
      </w:r>
      <w:r w:rsidR="00022F83" w:rsidRPr="00E977C5">
        <w:rPr>
          <w:sz w:val="20"/>
          <w:szCs w:val="20"/>
        </w:rPr>
        <w:t>ingumas</w:t>
      </w:r>
    </w:p>
    <w:p w:rsidR="00022F83" w:rsidRPr="004D55A1" w:rsidRDefault="00022F83" w:rsidP="00E977C5">
      <w:pPr>
        <w:ind w:firstLine="0"/>
        <w:rPr>
          <w:sz w:val="20"/>
          <w:szCs w:val="20"/>
          <w:lang w:val="en-US"/>
        </w:rPr>
      </w:pPr>
      <w:r w:rsidRPr="004D55A1">
        <w:rPr>
          <w:b/>
          <w:sz w:val="20"/>
          <w:szCs w:val="20"/>
        </w:rPr>
        <w:t>Šaltinis:</w:t>
      </w:r>
      <w:r w:rsidR="00495F80">
        <w:rPr>
          <w:b/>
          <w:sz w:val="20"/>
          <w:szCs w:val="20"/>
        </w:rPr>
        <w:t xml:space="preserve"> </w:t>
      </w:r>
      <w:r w:rsidR="00495F80" w:rsidRPr="00495F80">
        <w:rPr>
          <w:sz w:val="20"/>
          <w:szCs w:val="20"/>
        </w:rPr>
        <w:t xml:space="preserve">Sudaryta autoriaus </w:t>
      </w:r>
      <w:r w:rsidR="006D17C3">
        <w:rPr>
          <w:sz w:val="20"/>
          <w:szCs w:val="20"/>
        </w:rPr>
        <w:t>remiantis TopYields.nl (2011)</w:t>
      </w:r>
    </w:p>
    <w:p w:rsidR="00022F83" w:rsidRDefault="00022F83" w:rsidP="00022F83">
      <w:r w:rsidRPr="003818E8">
        <w:t>Gau</w:t>
      </w:r>
      <w:r>
        <w:t>ti duomenys rodo, jog pirmos</w:t>
      </w:r>
      <w:r w:rsidRPr="003818E8">
        <w:t xml:space="preserve"> pagal eiliškumą</w:t>
      </w:r>
      <w:r>
        <w:t xml:space="preserve"> „Apgaulingo ketverto“ strategijoje minėtos akcijos (</w:t>
      </w:r>
      <w:r w:rsidRPr="00E977C5">
        <w:rPr>
          <w:i/>
          <w:lang w:val="en-US"/>
        </w:rPr>
        <w:t>General Electric</w:t>
      </w:r>
      <w:r>
        <w:t>) turi mažiau</w:t>
      </w:r>
      <w:r w:rsidR="00F70833">
        <w:t>sią kainą ir didžiausią pajamingu</w:t>
      </w:r>
      <w:r>
        <w:t xml:space="preserve">mo rodiklį. Tačiau sąraše jos nepatenka tarp </w:t>
      </w:r>
      <w:r w:rsidRPr="00142002">
        <w:t xml:space="preserve">5 </w:t>
      </w:r>
      <w:r w:rsidRPr="003818E8">
        <w:t>pelningiausių</w:t>
      </w:r>
      <w:r>
        <w:t xml:space="preserve">. </w:t>
      </w:r>
      <w:r w:rsidR="00B106B1">
        <w:t>Akcijos, patenkančios į visų trijų strategijų ribas –</w:t>
      </w:r>
      <w:r>
        <w:t xml:space="preserve"> </w:t>
      </w:r>
      <w:r w:rsidRPr="00E977C5">
        <w:rPr>
          <w:i/>
        </w:rPr>
        <w:t>AT&amp;T, Merck&amp;Co, Pfizer</w:t>
      </w:r>
      <w:r w:rsidRPr="00142002">
        <w:t>.</w:t>
      </w:r>
    </w:p>
    <w:p w:rsidR="00747342" w:rsidRDefault="009C4442" w:rsidP="002C032C">
      <w:pPr>
        <w:pStyle w:val="Heading3"/>
        <w:numPr>
          <w:ilvl w:val="0"/>
          <w:numId w:val="6"/>
        </w:numPr>
      </w:pPr>
      <w:bookmarkStart w:id="46" w:name="_Toc343677744"/>
      <w:r>
        <w:lastRenderedPageBreak/>
        <w:t>Strategijos orientuotos į dividendų augimą</w:t>
      </w:r>
      <w:bookmarkEnd w:id="46"/>
    </w:p>
    <w:p w:rsidR="00CC01F4" w:rsidRDefault="00747342" w:rsidP="00747342">
      <w:r>
        <w:t>Nors daugeliu atveju</w:t>
      </w:r>
      <w:r w:rsidR="00CC01F4">
        <w:t xml:space="preserve"> </w:t>
      </w:r>
      <w:r>
        <w:t>nagrinėtos į dividendų p</w:t>
      </w:r>
      <w:r w:rsidR="00F70833">
        <w:t>ajamingum</w:t>
      </w:r>
      <w:r>
        <w:t xml:space="preserve">ą orientuotos strategijos </w:t>
      </w:r>
      <w:r w:rsidR="00CC01F4">
        <w:t>pasiteisino,</w:t>
      </w:r>
      <w:r w:rsidR="00144A1D">
        <w:t xml:space="preserve"> literatūroje galime rasti</w:t>
      </w:r>
      <w:r w:rsidR="00CC01F4">
        <w:t xml:space="preserve"> </w:t>
      </w:r>
      <w:r w:rsidR="00144A1D">
        <w:t>svarbių</w:t>
      </w:r>
      <w:r w:rsidR="00CC01F4">
        <w:t xml:space="preserve"> priežasčių, kodėl investuotojai turėtų daugiau dėmesio skirti akcijoms, orientuotoms į nuoseklų dividendų augimą</w:t>
      </w:r>
      <w:r w:rsidR="00144A1D" w:rsidRPr="00144A1D">
        <w:t xml:space="preserve"> </w:t>
      </w:r>
      <w:r w:rsidR="00144A1D">
        <w:t>(Gwilym, Clare, Seaton ir Thomas, 2009):</w:t>
      </w:r>
      <w:r w:rsidR="00CC01F4">
        <w:t xml:space="preserve"> </w:t>
      </w:r>
    </w:p>
    <w:p w:rsidR="00144A1D" w:rsidRDefault="00CC01F4" w:rsidP="002C032C">
      <w:pPr>
        <w:pStyle w:val="ListParagraph"/>
        <w:numPr>
          <w:ilvl w:val="0"/>
          <w:numId w:val="11"/>
        </w:numPr>
        <w:ind w:left="993" w:hanging="426"/>
      </w:pPr>
      <w:r>
        <w:t>Visų pirm</w:t>
      </w:r>
      <w:r w:rsidR="00144A1D">
        <w:t>a, Gordon (1962) pateikiamame pastovaus augimo vertinimo modelyje vienas i</w:t>
      </w:r>
      <w:r w:rsidR="00847D0D">
        <w:t>š komponentų yra augimo tempas - g</w:t>
      </w:r>
      <w:r w:rsidR="00144A1D">
        <w:t>. Turint per tam tikrą laiką susiformavusį akcijos dividendų augimo istorinį pagrindą, yra kur kas lengviau prognozuoti augimo tempą ir ateinantiems metams.</w:t>
      </w:r>
    </w:p>
    <w:p w:rsidR="00847D0D" w:rsidRDefault="00144A1D" w:rsidP="002C032C">
      <w:pPr>
        <w:pStyle w:val="ListParagraph"/>
        <w:numPr>
          <w:ilvl w:val="0"/>
          <w:numId w:val="11"/>
        </w:numPr>
        <w:ind w:left="993" w:hanging="426"/>
      </w:pPr>
      <w:r>
        <w:t>Antra, Lintner (1956)</w:t>
      </w:r>
      <w:r w:rsidR="00847D0D">
        <w:t xml:space="preserve"> jau</w:t>
      </w:r>
      <w:r>
        <w:t xml:space="preserve"> ankstesniuose savo darbuose pastebėjo, jog įmonės vadovybė didina dividendus, </w:t>
      </w:r>
      <w:r w:rsidR="00847D0D">
        <w:t>remdamiesi pastoviais</w:t>
      </w:r>
      <w:r>
        <w:t xml:space="preserve"> </w:t>
      </w:r>
      <w:r w:rsidR="00847D0D">
        <w:t>pelno augimo tempais per pastaruosius metus. Tai leistų manyti, jog įmonės vadovybė ir toliau didins dividendus tik įžvelgdami teigiamą pelno augimo perspektyvą ateityje.</w:t>
      </w:r>
    </w:p>
    <w:p w:rsidR="0018010D" w:rsidRDefault="00847D0D" w:rsidP="002C032C">
      <w:pPr>
        <w:pStyle w:val="ListParagraph"/>
        <w:numPr>
          <w:ilvl w:val="0"/>
          <w:numId w:val="11"/>
        </w:numPr>
        <w:ind w:left="993" w:hanging="426"/>
      </w:pPr>
      <w:r>
        <w:t>Trečia,</w:t>
      </w:r>
      <w:r w:rsidR="0018010D">
        <w:t xml:space="preserve"> įmonės, turinčios pelno augimo istoriją, pasiekia aukštesnes P/E rodiklio reikšmes, prieš tai  suvaldę augimą ir rizikas. Ilgu laikotarpiu, dividendai ir pelnas yra tarpusavyje susiję, kas rodo, įmonių, pastoviai mokančių dividendus, vertinimo reikšmingumą.</w:t>
      </w:r>
    </w:p>
    <w:p w:rsidR="00A772A2" w:rsidRDefault="0018010D" w:rsidP="00847D0D">
      <w:r>
        <w:t xml:space="preserve"> Gwilym </w:t>
      </w:r>
      <w:r w:rsidRPr="00D14500">
        <w:t>et al.</w:t>
      </w:r>
      <w:r>
        <w:t xml:space="preserve"> (2009) savo moksliniame darbe tyrinėjo ryš</w:t>
      </w:r>
      <w:r w:rsidR="00B67DD5">
        <w:t xml:space="preserve">į tarp pastovaus dividendų augimo ir akcijų grąžos, orientuodamiesi į Anglijos VP rinkoje listinguojamas bendroves, turinčias ilgalaikę dividendų mokėjimų istoriją. </w:t>
      </w:r>
      <w:r w:rsidR="00A772A2">
        <w:t xml:space="preserve">Akcijos atrankos </w:t>
      </w:r>
      <w:r w:rsidR="00BB6E48">
        <w:t>sąlygos</w:t>
      </w:r>
      <w:r w:rsidR="00A772A2">
        <w:t>:</w:t>
      </w:r>
    </w:p>
    <w:p w:rsidR="00BB6E48" w:rsidRPr="00A10B16" w:rsidRDefault="00BB6E48" w:rsidP="002C032C">
      <w:pPr>
        <w:pStyle w:val="ListParagraph"/>
        <w:numPr>
          <w:ilvl w:val="0"/>
          <w:numId w:val="9"/>
        </w:numPr>
      </w:pPr>
      <w:r w:rsidRPr="00A10B16">
        <w:t>Akcijos atrenkamos iš šalies VP biržoje kotiruojamų bendrovių akcijų, laikantis esminės sąlygos: bendrovė per pastaruosius 12 mėnesių mokėjo didesnius dividendus nei per ankstesnius 12 mėnesių;</w:t>
      </w:r>
    </w:p>
    <w:p w:rsidR="00BB6E48" w:rsidRPr="00A10B16" w:rsidRDefault="00BB6E48" w:rsidP="002C032C">
      <w:pPr>
        <w:pStyle w:val="ListParagraph"/>
        <w:numPr>
          <w:ilvl w:val="0"/>
          <w:numId w:val="9"/>
        </w:numPr>
      </w:pPr>
      <w:r w:rsidRPr="00A10B16">
        <w:t>Portfelis formuojamas kiekvienų metų pradžioje, išlaikomas 12 mėnesių, o vėliau metų pradžioje perbalansuojamas.</w:t>
      </w:r>
    </w:p>
    <w:p w:rsidR="00BB6E48" w:rsidRPr="00A10B16" w:rsidRDefault="0020607E" w:rsidP="00A10B16">
      <w:r w:rsidRPr="00A10B16">
        <w:t>Stra</w:t>
      </w:r>
      <w:r w:rsidR="00A10B16">
        <w:t xml:space="preserve">tegijos veiksmingumui pagrįsti Gwilym </w:t>
      </w:r>
      <w:r w:rsidR="00A10B16" w:rsidRPr="00D14500">
        <w:t>et al.</w:t>
      </w:r>
      <w:r w:rsidR="00A10B16">
        <w:t xml:space="preserve"> (2009) atliko statistinių duomenų tyrimą, laikydamiesi anksčiau įvardytų sąlygų</w:t>
      </w:r>
      <w:r w:rsidRPr="00A10B16">
        <w:t>:</w:t>
      </w:r>
      <w:r w:rsidR="00BB6E48" w:rsidRPr="00A10B16">
        <w:t xml:space="preserve"> </w:t>
      </w:r>
    </w:p>
    <w:p w:rsidR="0020607E" w:rsidRPr="00A10B16" w:rsidRDefault="0020607E" w:rsidP="002C032C">
      <w:pPr>
        <w:pStyle w:val="ListParagraph"/>
        <w:numPr>
          <w:ilvl w:val="0"/>
          <w:numId w:val="10"/>
        </w:numPr>
      </w:pPr>
      <w:r w:rsidRPr="00A10B16">
        <w:t xml:space="preserve">Statistiniai duomenys parenkami </w:t>
      </w:r>
      <w:r w:rsidR="00A10B16" w:rsidRPr="00A10B16">
        <w:t>remiantis</w:t>
      </w:r>
      <w:r w:rsidRPr="00A10B16">
        <w:t xml:space="preserve"> Londono akcijų kainų duomenų bazės (LSPD) duomeni</w:t>
      </w:r>
      <w:r w:rsidR="00A10B16" w:rsidRPr="00A10B16">
        <w:t>mi</w:t>
      </w:r>
      <w:r w:rsidRPr="00A10B16">
        <w:t>s</w:t>
      </w:r>
      <w:r w:rsidR="00B67DD5" w:rsidRPr="00A10B16">
        <w:t xml:space="preserve"> 1986 – 2006 </w:t>
      </w:r>
      <w:r w:rsidRPr="00A10B16">
        <w:t>metų laikotarpiui;</w:t>
      </w:r>
    </w:p>
    <w:p w:rsidR="00A772A2" w:rsidRPr="0020607E" w:rsidRDefault="0020607E" w:rsidP="002C032C">
      <w:pPr>
        <w:pStyle w:val="ListParagraph"/>
        <w:numPr>
          <w:ilvl w:val="0"/>
          <w:numId w:val="10"/>
        </w:numPr>
        <w:rPr>
          <w:lang w:val="en-US"/>
        </w:rPr>
      </w:pPr>
      <w:r>
        <w:t>Atrenkamos tik tos įmonės, kurių dividendai augo, atitinkamai per - 5, 10, 1</w:t>
      </w:r>
      <w:r>
        <w:rPr>
          <w:lang w:val="en-US"/>
        </w:rPr>
        <w:t>5</w:t>
      </w:r>
      <w:r w:rsidR="00A10B16">
        <w:t>, 20 metų. Įmonės atitinkamai pas</w:t>
      </w:r>
      <w:r>
        <w:t>kirstomos į keturis krepšelius.</w:t>
      </w:r>
    </w:p>
    <w:p w:rsidR="00BB6E48" w:rsidRPr="00A10B16" w:rsidRDefault="00A772A2" w:rsidP="002C032C">
      <w:pPr>
        <w:pStyle w:val="ListParagraph"/>
        <w:numPr>
          <w:ilvl w:val="0"/>
          <w:numId w:val="10"/>
        </w:numPr>
        <w:rPr>
          <w:lang w:val="en-US"/>
        </w:rPr>
      </w:pPr>
      <w:r>
        <w:t>Įmonių svoris krepšelyje parenkamas dvejais būdais: lygiais svoriais pagal proporciją, proporcingai pagal rinkos kapitalizacijos rodiklius</w:t>
      </w:r>
      <w:r w:rsidR="00BB6E48">
        <w:t>;</w:t>
      </w:r>
    </w:p>
    <w:p w:rsidR="002963D7" w:rsidRPr="00AC4126" w:rsidRDefault="001B70AD" w:rsidP="00A772A2">
      <w:r>
        <w:t>Tyrimo metu nustatyta, jog nepriklausomai nuo</w:t>
      </w:r>
      <w:r w:rsidR="00A772A2">
        <w:t xml:space="preserve"> analizuojamo</w:t>
      </w:r>
      <w:r>
        <w:t xml:space="preserve"> periodo</w:t>
      </w:r>
      <w:r w:rsidR="00A772A2">
        <w:t xml:space="preserve">, krepšelio metinis augimo tempas buvo didesnis tarp tų įmonių akcijų, kurios ištisus 10 metų bent minimaliai didino išmokamus </w:t>
      </w:r>
      <w:r w:rsidR="00A772A2">
        <w:lastRenderedPageBreak/>
        <w:t xml:space="preserve">dividendus, lyginant su įmonių akcijomis, kurios dividendus mokėjo bent </w:t>
      </w:r>
      <w:r w:rsidR="00A772A2" w:rsidRPr="00A772A2">
        <w:rPr>
          <w:lang w:val="en-US"/>
        </w:rPr>
        <w:t xml:space="preserve">5 </w:t>
      </w:r>
      <w:r w:rsidR="00A772A2" w:rsidRPr="00A10B16">
        <w:t>metus nepertraukiamai. Ryškesnių tendencijų nepastebėta akcijų tarpe, kurios didino dividendus per pastaruosius 15 ar 20</w:t>
      </w:r>
      <w:r w:rsidR="00A772A2" w:rsidRPr="00A772A2">
        <w:rPr>
          <w:lang w:val="en-US"/>
        </w:rPr>
        <w:t xml:space="preserve"> met</w:t>
      </w:r>
      <w:r w:rsidR="00A772A2">
        <w:t>ų.</w:t>
      </w:r>
      <w:r w:rsidR="0020607E">
        <w:t xml:space="preserve"> 2001-2002 metai buvo </w:t>
      </w:r>
      <w:r w:rsidR="00A10B16">
        <w:t>nuosmu</w:t>
      </w:r>
      <w:r w:rsidR="0020607E">
        <w:t>kio Londono rinkoje metai</w:t>
      </w:r>
      <w:r w:rsidR="00685706">
        <w:t>:</w:t>
      </w:r>
      <w:r w:rsidR="00A10B16">
        <w:t xml:space="preserve"> p</w:t>
      </w:r>
      <w:r w:rsidR="00BB7DAA">
        <w:t xml:space="preserve">astoviai augančių dividendų akcijų </w:t>
      </w:r>
      <w:r w:rsidR="00BB7DAA" w:rsidRPr="00A10B16">
        <w:t>grąža pirmaisiais metais buvo teigiama, antraisiais buvo neigiama, tačiau abiem atvejais pranoko akcijų indekso reikšmes.</w:t>
      </w:r>
      <w:r w:rsidR="0020607E">
        <w:t xml:space="preserve"> </w:t>
      </w:r>
    </w:p>
    <w:p w:rsidR="00A10B16" w:rsidRDefault="002963D7" w:rsidP="00847D0D">
      <w:r>
        <w:t>Rezultatai parodė, jog vienodo akcijų svorio krepšeli</w:t>
      </w:r>
      <w:r w:rsidR="00706200">
        <w:t>o sudėtinė metinė investicijų grąža</w:t>
      </w:r>
      <w:r>
        <w:t xml:space="preserve"> </w:t>
      </w:r>
      <w:r w:rsidR="001B70AD">
        <w:t>daugeliu analizuojamų p</w:t>
      </w:r>
      <w:r w:rsidR="00706200">
        <w:t>eriodų buvo palyginamai didesnė</w:t>
      </w:r>
      <w:r w:rsidR="001B70AD">
        <w:t>, lyginant su k</w:t>
      </w:r>
      <w:r w:rsidR="00A10B16">
        <w:t>repšeliu, kuris suformuotas</w:t>
      </w:r>
      <w:r w:rsidR="001A279D">
        <w:t xml:space="preserve"> proporcingai</w:t>
      </w:r>
      <w:r w:rsidR="00A10B16">
        <w:t xml:space="preserve"> pagal įmonių </w:t>
      </w:r>
      <w:r w:rsidR="001A279D">
        <w:t xml:space="preserve">užimamą dalį </w:t>
      </w:r>
      <w:r w:rsidR="00A10B16">
        <w:t>rinkoje</w:t>
      </w:r>
      <w:r w:rsidR="00586B95">
        <w:t>. Todėl formuojant akcijų portfelį tikslinga atrinkinėti įmones proporcingomis</w:t>
      </w:r>
      <w:r w:rsidR="00F92DA9">
        <w:t xml:space="preserve"> dalimis</w:t>
      </w:r>
      <w:r w:rsidR="00586B95">
        <w:t>.</w:t>
      </w:r>
    </w:p>
    <w:p w:rsidR="00586B95" w:rsidRDefault="00282FBD" w:rsidP="00847D0D">
      <w:r>
        <w:t>A</w:t>
      </w:r>
      <w:r w:rsidR="00586B95">
        <w:t>utoriai pateikia minėto krepšelio ir Anglijos akcijų indekso duomenis bei įvairių rodiklių reikšmes</w:t>
      </w:r>
      <w:r>
        <w:t xml:space="preserve"> gautas tyrimo metu</w:t>
      </w:r>
      <w:r w:rsidR="00586B95">
        <w:t xml:space="preserve"> (žr. </w:t>
      </w:r>
      <w:r w:rsidR="00707DF4">
        <w:t>5 lent.</w:t>
      </w:r>
      <w:r w:rsidR="00586B95">
        <w:t>).</w:t>
      </w:r>
    </w:p>
    <w:p w:rsidR="00685706" w:rsidRDefault="001A279D" w:rsidP="001A279D">
      <w:pPr>
        <w:pStyle w:val="Caption"/>
      </w:pPr>
      <w:r>
        <w:t xml:space="preserve"> </w:t>
      </w:r>
      <w:bookmarkStart w:id="47" w:name="_Ref327959576"/>
      <w:bookmarkStart w:id="48" w:name="_Toc343677823"/>
      <w:r>
        <w:t>Pastoviai augančių dividendų</w:t>
      </w:r>
      <w:r w:rsidR="001F0819">
        <w:t xml:space="preserve"> akcijų</w:t>
      </w:r>
      <w:r>
        <w:t xml:space="preserve"> krepšelio</w:t>
      </w:r>
      <w:r w:rsidR="00586B95">
        <w:t xml:space="preserve"> rezultatai 1986-2006</w:t>
      </w:r>
      <w:bookmarkEnd w:id="47"/>
      <w:bookmarkEnd w:id="48"/>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253"/>
        <w:gridCol w:w="1276"/>
        <w:gridCol w:w="1701"/>
        <w:gridCol w:w="1844"/>
      </w:tblGrid>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b/>
              </w:rPr>
            </w:pPr>
          </w:p>
        </w:tc>
        <w:tc>
          <w:tcPr>
            <w:tcW w:w="2977" w:type="dxa"/>
            <w:gridSpan w:val="2"/>
          </w:tcPr>
          <w:p w:rsidR="001A279D" w:rsidRPr="0082679E" w:rsidRDefault="001A279D" w:rsidP="0082679E">
            <w:pPr>
              <w:spacing w:before="0" w:line="240" w:lineRule="auto"/>
              <w:ind w:firstLine="0"/>
              <w:jc w:val="center"/>
              <w:rPr>
                <w:rFonts w:cs="Times New Roman"/>
                <w:b/>
              </w:rPr>
            </w:pPr>
            <w:r w:rsidRPr="0082679E">
              <w:rPr>
                <w:rFonts w:cs="Times New Roman"/>
                <w:b/>
              </w:rPr>
              <w:t>Pastovaus dividendų augimo portfelio rodikliai</w:t>
            </w:r>
          </w:p>
        </w:tc>
        <w:tc>
          <w:tcPr>
            <w:tcW w:w="1844" w:type="dxa"/>
            <w:vMerge w:val="restart"/>
          </w:tcPr>
          <w:p w:rsidR="001A279D" w:rsidRPr="001A279D" w:rsidRDefault="001A279D" w:rsidP="0082679E">
            <w:pPr>
              <w:spacing w:before="0" w:line="240" w:lineRule="auto"/>
              <w:ind w:firstLine="0"/>
              <w:jc w:val="center"/>
              <w:rPr>
                <w:rFonts w:cs="Times New Roman"/>
                <w:b/>
              </w:rPr>
            </w:pPr>
            <w:r w:rsidRPr="001A279D">
              <w:rPr>
                <w:rFonts w:cs="Times New Roman"/>
                <w:b/>
              </w:rPr>
              <w:t>Akcijų indekso rodikliai</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b/>
              </w:rPr>
            </w:pPr>
            <w:r w:rsidRPr="0082679E">
              <w:rPr>
                <w:rFonts w:cs="Times New Roman"/>
                <w:b/>
              </w:rPr>
              <w:t>Minimalus dividendų augimo terminas</w:t>
            </w:r>
          </w:p>
        </w:tc>
        <w:tc>
          <w:tcPr>
            <w:tcW w:w="1276" w:type="dxa"/>
          </w:tcPr>
          <w:p w:rsidR="001A279D" w:rsidRPr="0082679E" w:rsidRDefault="001A279D" w:rsidP="0082679E">
            <w:pPr>
              <w:spacing w:before="0" w:line="240" w:lineRule="auto"/>
              <w:ind w:firstLine="0"/>
              <w:jc w:val="center"/>
              <w:rPr>
                <w:rFonts w:cs="Times New Roman"/>
                <w:b/>
              </w:rPr>
            </w:pPr>
            <w:r w:rsidRPr="0082679E">
              <w:rPr>
                <w:rFonts w:cs="Times New Roman"/>
                <w:b/>
              </w:rPr>
              <w:t>5 metai</w:t>
            </w:r>
          </w:p>
        </w:tc>
        <w:tc>
          <w:tcPr>
            <w:tcW w:w="1701" w:type="dxa"/>
          </w:tcPr>
          <w:p w:rsidR="001A279D" w:rsidRPr="0082679E" w:rsidRDefault="001A279D" w:rsidP="0082679E">
            <w:pPr>
              <w:spacing w:before="0" w:line="240" w:lineRule="auto"/>
              <w:ind w:firstLine="0"/>
              <w:jc w:val="center"/>
              <w:rPr>
                <w:rFonts w:cs="Times New Roman"/>
                <w:b/>
              </w:rPr>
            </w:pPr>
            <w:r w:rsidRPr="0082679E">
              <w:rPr>
                <w:rFonts w:cs="Times New Roman"/>
                <w:b/>
              </w:rPr>
              <w:t>10 metų</w:t>
            </w:r>
          </w:p>
        </w:tc>
        <w:tc>
          <w:tcPr>
            <w:tcW w:w="1844" w:type="dxa"/>
            <w:vMerge/>
          </w:tcPr>
          <w:p w:rsidR="001A279D" w:rsidRPr="0082679E" w:rsidRDefault="001A279D" w:rsidP="0082679E">
            <w:pPr>
              <w:spacing w:before="0" w:line="240" w:lineRule="auto"/>
              <w:ind w:firstLine="0"/>
              <w:jc w:val="center"/>
              <w:rPr>
                <w:rFonts w:cs="Times New Roman"/>
                <w:szCs w:val="24"/>
              </w:rPr>
            </w:pPr>
          </w:p>
        </w:tc>
      </w:tr>
      <w:tr w:rsidR="001A279D" w:rsidTr="0082679E">
        <w:trPr>
          <w:jc w:val="center"/>
        </w:trPr>
        <w:tc>
          <w:tcPr>
            <w:tcW w:w="4253" w:type="dxa"/>
          </w:tcPr>
          <w:p w:rsidR="001A279D" w:rsidRPr="0082679E" w:rsidRDefault="002E5DB1" w:rsidP="0082679E">
            <w:pPr>
              <w:spacing w:before="0" w:line="240" w:lineRule="auto"/>
              <w:ind w:firstLine="0"/>
              <w:jc w:val="center"/>
              <w:rPr>
                <w:rFonts w:cs="Times New Roman"/>
                <w:szCs w:val="24"/>
              </w:rPr>
            </w:pPr>
            <w:r w:rsidRPr="0082679E">
              <w:rPr>
                <w:rFonts w:cs="Times New Roman"/>
                <w:szCs w:val="24"/>
              </w:rPr>
              <w:t>Sudėtinė</w:t>
            </w:r>
            <w:r w:rsidR="00706200" w:rsidRPr="0082679E">
              <w:rPr>
                <w:rFonts w:cs="Times New Roman"/>
                <w:szCs w:val="24"/>
              </w:rPr>
              <w:t xml:space="preserve"> metinė</w:t>
            </w:r>
            <w:r w:rsidR="001A279D" w:rsidRPr="0082679E">
              <w:rPr>
                <w:rFonts w:cs="Times New Roman"/>
                <w:szCs w:val="24"/>
              </w:rPr>
              <w:t xml:space="preserve"> </w:t>
            </w:r>
            <w:r w:rsidR="00706200" w:rsidRPr="0082679E">
              <w:rPr>
                <w:rFonts w:cs="Times New Roman"/>
                <w:szCs w:val="24"/>
              </w:rPr>
              <w:t>vidutinė grąža</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14,80</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15,48</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12,31</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Metinis standartinis nuokrypis (%)</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14,56</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14,64</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17,14</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Distribucijos simetriškumas</w:t>
            </w:r>
          </w:p>
        </w:tc>
        <w:tc>
          <w:tcPr>
            <w:tcW w:w="1276" w:type="dxa"/>
          </w:tcPr>
          <w:p w:rsidR="001A279D" w:rsidRPr="0082679E" w:rsidRDefault="00237291" w:rsidP="0082679E">
            <w:pPr>
              <w:spacing w:before="0" w:line="240" w:lineRule="auto"/>
              <w:ind w:firstLine="0"/>
              <w:jc w:val="center"/>
              <w:rPr>
                <w:rFonts w:cs="Times New Roman"/>
                <w:szCs w:val="24"/>
              </w:rPr>
            </w:pPr>
            <w:r>
              <w:rPr>
                <w:rFonts w:cs="Times New Roman"/>
                <w:szCs w:val="24"/>
              </w:rPr>
              <w:t>-1,</w:t>
            </w:r>
            <w:r w:rsidR="001A279D" w:rsidRPr="0082679E">
              <w:rPr>
                <w:rFonts w:cs="Times New Roman"/>
                <w:szCs w:val="24"/>
              </w:rPr>
              <w:t>00</w:t>
            </w:r>
          </w:p>
        </w:tc>
        <w:tc>
          <w:tcPr>
            <w:tcW w:w="1701" w:type="dxa"/>
          </w:tcPr>
          <w:p w:rsidR="001A279D" w:rsidRPr="0082679E" w:rsidRDefault="00237291" w:rsidP="0082679E">
            <w:pPr>
              <w:spacing w:before="0" w:line="240" w:lineRule="auto"/>
              <w:ind w:firstLine="0"/>
              <w:jc w:val="center"/>
              <w:rPr>
                <w:rFonts w:cs="Times New Roman"/>
                <w:szCs w:val="24"/>
              </w:rPr>
            </w:pPr>
            <w:r>
              <w:rPr>
                <w:rFonts w:cs="Times New Roman"/>
                <w:szCs w:val="24"/>
              </w:rPr>
              <w:t>-1,</w:t>
            </w:r>
            <w:r w:rsidR="001A279D" w:rsidRPr="0082679E">
              <w:rPr>
                <w:rFonts w:cs="Times New Roman"/>
                <w:szCs w:val="24"/>
              </w:rPr>
              <w:t>00</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-0,86</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Sharpe rodiklis</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0,53</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0,58</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0,31</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lang w:val="en-US"/>
              </w:rPr>
            </w:pPr>
            <w:r w:rsidRPr="0082679E">
              <w:rPr>
                <w:rFonts w:cs="Times New Roman"/>
                <w:szCs w:val="24"/>
              </w:rPr>
              <w:t>Nuosmukio rodiklis</w:t>
            </w:r>
            <w:r w:rsidR="00F92DA9" w:rsidRPr="0082679E">
              <w:rPr>
                <w:rFonts w:cs="Times New Roman"/>
                <w:szCs w:val="24"/>
              </w:rPr>
              <w:t xml:space="preserve"> (</w:t>
            </w:r>
            <w:r w:rsidR="00F92DA9" w:rsidRPr="0082679E">
              <w:rPr>
                <w:rFonts w:cs="Times New Roman"/>
                <w:szCs w:val="24"/>
                <w:lang w:val="en-US"/>
              </w:rPr>
              <w:t>%)</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29,50</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30,42</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42,98</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lang w:val="en-US"/>
              </w:rPr>
            </w:pPr>
            <w:r w:rsidRPr="0082679E">
              <w:rPr>
                <w:rFonts w:cs="Times New Roman"/>
                <w:szCs w:val="24"/>
              </w:rPr>
              <w:t>Ulcer indeksas (</w:t>
            </w:r>
            <w:r w:rsidRPr="0082679E">
              <w:rPr>
                <w:rFonts w:cs="Times New Roman"/>
                <w:szCs w:val="24"/>
                <w:lang w:val="en-US"/>
              </w:rPr>
              <w:t>%)</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8,59</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7,83</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12,72</w:t>
            </w:r>
          </w:p>
        </w:tc>
      </w:tr>
      <w:tr w:rsidR="001A279D" w:rsidTr="0082679E">
        <w:trPr>
          <w:jc w:val="center"/>
        </w:trPr>
        <w:tc>
          <w:tcPr>
            <w:tcW w:w="4253"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Martin rodiklis</w:t>
            </w:r>
          </w:p>
        </w:tc>
        <w:tc>
          <w:tcPr>
            <w:tcW w:w="1276"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0,90</w:t>
            </w:r>
          </w:p>
        </w:tc>
        <w:tc>
          <w:tcPr>
            <w:tcW w:w="1701"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1,08</w:t>
            </w:r>
          </w:p>
        </w:tc>
        <w:tc>
          <w:tcPr>
            <w:tcW w:w="1844" w:type="dxa"/>
          </w:tcPr>
          <w:p w:rsidR="001A279D" w:rsidRPr="0082679E" w:rsidRDefault="001A279D" w:rsidP="0082679E">
            <w:pPr>
              <w:spacing w:before="0" w:line="240" w:lineRule="auto"/>
              <w:ind w:firstLine="0"/>
              <w:jc w:val="center"/>
              <w:rPr>
                <w:rFonts w:cs="Times New Roman"/>
                <w:szCs w:val="24"/>
              </w:rPr>
            </w:pPr>
            <w:r w:rsidRPr="0082679E">
              <w:rPr>
                <w:rFonts w:cs="Times New Roman"/>
                <w:szCs w:val="24"/>
              </w:rPr>
              <w:t>0,41</w:t>
            </w:r>
          </w:p>
        </w:tc>
      </w:tr>
    </w:tbl>
    <w:p w:rsidR="001B70AD" w:rsidRPr="00B106B1" w:rsidRDefault="001A279D" w:rsidP="0082679E">
      <w:pPr>
        <w:ind w:firstLine="426"/>
        <w:jc w:val="left"/>
        <w:rPr>
          <w:sz w:val="20"/>
          <w:szCs w:val="20"/>
        </w:rPr>
      </w:pPr>
      <w:r w:rsidRPr="0082679E">
        <w:rPr>
          <w:b/>
          <w:sz w:val="20"/>
          <w:szCs w:val="20"/>
        </w:rPr>
        <w:t>Šaltinis:</w:t>
      </w:r>
      <w:r w:rsidRPr="00B106B1">
        <w:rPr>
          <w:sz w:val="20"/>
          <w:szCs w:val="20"/>
        </w:rPr>
        <w:t xml:space="preserve"> Gwilym, Clare, Seaton, Thomas (2009)</w:t>
      </w:r>
    </w:p>
    <w:p w:rsidR="00282FBD" w:rsidRDefault="00282FBD" w:rsidP="00586B95">
      <w:r>
        <w:t>Įmonių</w:t>
      </w:r>
      <w:r w:rsidR="008B6B90">
        <w:t>,</w:t>
      </w:r>
      <w:r>
        <w:t xml:space="preserve"> kurio</w:t>
      </w:r>
      <w:r w:rsidR="008B6B90">
        <w:t>s didino išmokamų dividendų dydį</w:t>
      </w:r>
      <w:r>
        <w:t xml:space="preserve"> per pastaruosius 5 ir 10 metų</w:t>
      </w:r>
      <w:r w:rsidR="008B6B90">
        <w:t>,</w:t>
      </w:r>
      <w:r>
        <w:t xml:space="preserve"> s</w:t>
      </w:r>
      <w:r w:rsidR="00586B95">
        <w:t>udėtinis metinis</w:t>
      </w:r>
      <w:r>
        <w:t xml:space="preserve"> grąžos augimo tempas atitinkamai sudarė 14,80 </w:t>
      </w:r>
      <w:r w:rsidR="00586B95">
        <w:t xml:space="preserve"> </w:t>
      </w:r>
      <w:r>
        <w:t>ir 15,48, kai akcijų indekso rodiklio augimo tempas siekė 12,31. Standartinio nuokrypio reikšmės abiem atvejais buvo mažesnės beveik 2,5</w:t>
      </w:r>
      <w:r>
        <w:rPr>
          <w:lang w:val="en-US"/>
        </w:rPr>
        <w:t>%, lyginant su akcij</w:t>
      </w:r>
      <w:r>
        <w:t>ų indekso standartiniu nuokrypi</w:t>
      </w:r>
      <w:r w:rsidR="00B106B1">
        <w:t>u</w:t>
      </w:r>
      <w:r>
        <w:t xml:space="preserve">. </w:t>
      </w:r>
      <w:r w:rsidR="005E03D0">
        <w:t xml:space="preserve">Didesni grąžos augimo tempai ir mažesnės kintamumo reikšmės strategijų atžvilgiu įtakoja ir palankesnius </w:t>
      </w:r>
      <w:r w:rsidR="005E03D0" w:rsidRPr="00D227FD">
        <w:rPr>
          <w:i/>
        </w:rPr>
        <w:t>Sharpe</w:t>
      </w:r>
      <w:r w:rsidR="005E03D0">
        <w:t xml:space="preserve"> rizikos rodiklius, akcijų indekso atžvilgiu.</w:t>
      </w:r>
      <w:r w:rsidR="00F92DA9">
        <w:t xml:space="preserve"> Kadangi dividendų augimo portfeliai pasižymi mažesnių laukiamos grąžos kintamumu, portfelis patiria mažesnį nuosmukį (angl. drawdown), kuris skaičiuojamas nuo maksimalaus prieaugio taško iki žemutinės nuosmukio ribos.</w:t>
      </w:r>
      <w:r w:rsidR="00B43E46">
        <w:t xml:space="preserve"> Žemesnės nuosmukio rodiklio reikšmės įtakoja ir mažesnes </w:t>
      </w:r>
      <w:r w:rsidR="00B43E46" w:rsidRPr="00D227FD">
        <w:rPr>
          <w:i/>
        </w:rPr>
        <w:t>Ulcer</w:t>
      </w:r>
      <w:r w:rsidR="00B43E46">
        <w:t xml:space="preserve"> indekso reikšmes, kurios daro strategiją išskirtinai patrauklia, kadangi suteikia galimybę investuotojams išsigryninti kapitalą nepatiriant didelių nuostolių (</w:t>
      </w:r>
      <w:r w:rsidR="006959DD">
        <w:t>G</w:t>
      </w:r>
      <w:r w:rsidR="00B43E46">
        <w:t xml:space="preserve">wilym, </w:t>
      </w:r>
      <w:r w:rsidR="00B43E46" w:rsidRPr="00D14500">
        <w:t>et al.,</w:t>
      </w:r>
      <w:r w:rsidR="00B43E46">
        <w:t xml:space="preserve"> 2009). Toliau autoriai skaičiuoja </w:t>
      </w:r>
      <w:r w:rsidR="00B43E46" w:rsidRPr="00D227FD">
        <w:rPr>
          <w:i/>
        </w:rPr>
        <w:t>Martin</w:t>
      </w:r>
      <w:r w:rsidR="00B43E46">
        <w:t xml:space="preserve"> rodiklį, kuris skaičiuojamas panašiai kaip ir </w:t>
      </w:r>
      <w:r w:rsidR="00B43E46" w:rsidRPr="00D227FD">
        <w:rPr>
          <w:i/>
        </w:rPr>
        <w:t>Sharpe</w:t>
      </w:r>
      <w:r w:rsidR="00B43E46">
        <w:t xml:space="preserve">, tik skaičiavimuose standartinį nuokrypį keičia </w:t>
      </w:r>
      <w:r w:rsidR="00B43E46" w:rsidRPr="00D227FD">
        <w:rPr>
          <w:i/>
        </w:rPr>
        <w:t>Ulcer</w:t>
      </w:r>
      <w:r w:rsidR="00B43E46">
        <w:t xml:space="preserve"> reikšmė.</w:t>
      </w:r>
    </w:p>
    <w:p w:rsidR="00B43E46" w:rsidRDefault="00B43E46" w:rsidP="00586B95">
      <w:r>
        <w:lastRenderedPageBreak/>
        <w:t>Lyginant šią strategiją su strategijomis, orientuotomis į dividendų p</w:t>
      </w:r>
      <w:r w:rsidR="00F70833">
        <w:t>ajamingu</w:t>
      </w:r>
      <w:r>
        <w:t>mą, reiktų išskirti esminį strategijos bruožą: formuojant portfelį turi būti atrenkamas didesnis kiekis akcijų, kas oponuoja</w:t>
      </w:r>
      <w:r w:rsidR="006959DD">
        <w:t xml:space="preserve"> į</w:t>
      </w:r>
      <w:r>
        <w:t xml:space="preserve"> divide</w:t>
      </w:r>
      <w:r w:rsidR="00F70833">
        <w:t>ndų pajamingu</w:t>
      </w:r>
      <w:r>
        <w:t>mą orientuotoms strategijoms, kurių grąžos rodiklių kintamumas yra kur kas didesnis</w:t>
      </w:r>
      <w:r w:rsidR="006959DD">
        <w:t xml:space="preserve">. Nors pastaroji priežastis ir įtakoja portfelio pridėtinės grąžos galimybės, tačiau atitinkamai padidina rizikos laipsnį (Gwilym, </w:t>
      </w:r>
      <w:r w:rsidR="006959DD" w:rsidRPr="00D14500">
        <w:t>et al.,</w:t>
      </w:r>
      <w:r w:rsidR="006959DD">
        <w:t xml:space="preserve"> 2009). Taip pat autoriai teigia, jog į tyrimo imtį patekę mažosios įmonės, turinčios aukštą dividendinį p</w:t>
      </w:r>
      <w:r w:rsidR="00F70833">
        <w:t>ajamingu</w:t>
      </w:r>
      <w:r w:rsidR="006959DD">
        <w:t>mą, pasižymi žemiausiais dividendų augimo tempais.</w:t>
      </w:r>
    </w:p>
    <w:p w:rsidR="006959DD" w:rsidRDefault="006959DD" w:rsidP="00586B95">
      <w:r>
        <w:t>Autoriai pastebi, kad į 10 metų augimo portfelį patenka didžiausios rinkos įmonės, patenkančios į stambiausių įmonių decilę</w:t>
      </w:r>
      <w:r w:rsidR="00D03175">
        <w:t>, ir</w:t>
      </w:r>
      <w:r>
        <w:t xml:space="preserve"> sudaro 1/3</w:t>
      </w:r>
      <w:r w:rsidR="00D03175">
        <w:t xml:space="preserve"> analizuojamo</w:t>
      </w:r>
      <w:r>
        <w:t xml:space="preserve"> por</w:t>
      </w:r>
      <w:r w:rsidR="00D03175">
        <w:t>t</w:t>
      </w:r>
      <w:r>
        <w:t>felio. Paskirsčius rinkos įmones į keturias grupes - nemokančios dividendų, dividendų augimas iki 4 metų, dividendų augimas 5-9 metai</w:t>
      </w:r>
      <w:r w:rsidR="00706200">
        <w:t>, dividendų augimas 10 ir daugi</w:t>
      </w:r>
      <w:r>
        <w:t>a</w:t>
      </w:r>
      <w:r w:rsidR="00706200">
        <w:t>u</w:t>
      </w:r>
      <w:r>
        <w:t xml:space="preserve"> metų, rezultatai atskleidžia, jog Sharpe rodiklis, Ulcer indeksas ir Martin rodiklis, kaip ir kitos analizuojamos reikšmės išsidėsto</w:t>
      </w:r>
      <w:r w:rsidR="00D03175">
        <w:t xml:space="preserve">  atitinkamai pagal eiliškumą, t.y. įmonių, nemokančių dividendų analizuojami rodikliai prasčiausi, o kuo didesnis istorinis dividendų augimas, tuo rodikliai geresni.</w:t>
      </w:r>
    </w:p>
    <w:p w:rsidR="001D192F" w:rsidRDefault="001D192F" w:rsidP="00716F9B">
      <w:pPr>
        <w:pStyle w:val="Heading2"/>
        <w:numPr>
          <w:ilvl w:val="0"/>
          <w:numId w:val="5"/>
        </w:numPr>
        <w:ind w:left="993"/>
      </w:pPr>
      <w:bookmarkStart w:id="49" w:name="_Toc343677745"/>
      <w:r>
        <w:t>D</w:t>
      </w:r>
      <w:r w:rsidR="006D17C3">
        <w:t xml:space="preserve">augiakriteriniai </w:t>
      </w:r>
      <w:r w:rsidR="00E16CC4">
        <w:t xml:space="preserve">įmonės </w:t>
      </w:r>
      <w:r w:rsidR="006D17C3">
        <w:t>dividend</w:t>
      </w:r>
      <w:r w:rsidR="00E16CC4">
        <w:t>ų politikos vertinimo modeliai</w:t>
      </w:r>
      <w:bookmarkEnd w:id="49"/>
    </w:p>
    <w:p w:rsidR="000F4BD0" w:rsidRDefault="00716F9B" w:rsidP="000F4BD0">
      <w:r>
        <w:t>Baltijos šalių akcijų rinka yra pakankamai nelikvidi, o dividendus mokančių įmonių akcijų skaičius ribotas, todėl besivystančių rinkų sąlygomis nauding</w:t>
      </w:r>
      <w:r w:rsidR="001C6457">
        <w:t>os daugiakriterinės investavimo strategijų metodikos, naudojamos šioje darbo dalyje nagrinėjamų mokslininkų</w:t>
      </w:r>
      <w:r>
        <w:t xml:space="preserve">. </w:t>
      </w:r>
      <w:r w:rsidR="000F4BD0">
        <w:t>Kaip teigia</w:t>
      </w:r>
      <w:r w:rsidR="001C6457">
        <w:t xml:space="preserve"> vienas iš dividendų politikos daugiakriterinio vertinimo pradidinkų</w:t>
      </w:r>
      <w:r w:rsidR="000F4BD0">
        <w:t xml:space="preserve"> Gordon </w:t>
      </w:r>
      <w:r>
        <w:rPr>
          <w:lang w:val="en-US"/>
        </w:rPr>
        <w:t>(1959), naudinga atlikti tyrimus</w:t>
      </w:r>
      <w:r w:rsidR="000F4BD0">
        <w:rPr>
          <w:lang w:val="en-US"/>
        </w:rPr>
        <w:t>, apibr</w:t>
      </w:r>
      <w:r>
        <w:t>ėžiančius</w:t>
      </w:r>
      <w:r w:rsidR="000F4BD0">
        <w:t xml:space="preserve"> VP pirkim</w:t>
      </w:r>
      <w:r>
        <w:t>o ir pardavimo rekomendacijas</w:t>
      </w:r>
      <w:r w:rsidR="001C6457">
        <w:t xml:space="preserve"> ir sudarytus</w:t>
      </w:r>
      <w:r w:rsidR="000F4BD0">
        <w:t xml:space="preserve">, remiantis skersino pjūvio metodikomis (angl. cross-sectional studies). Visų pirma, surandamos tokių VP atributų kaip - dividendų </w:t>
      </w:r>
      <w:r w:rsidR="00F70833">
        <w:t>pajamingumas</w:t>
      </w:r>
      <w:r w:rsidR="000F4BD0">
        <w:t>, pardavimų augimas, vadovybės gebėjimai – reikšmės, tuomet jos tarpusavyje lyginamos tarp dviejų ar daugiau VP. Kriterijų svoriai padeda prieiti tam tikrų išvadų, kurios apsprendžia kiek VP pirkimas yra patrauklus investuotojui už atitinkamą kainą. Gordon (</w:t>
      </w:r>
      <w:r w:rsidR="000F4BD0" w:rsidRPr="00852E6D">
        <w:t>1959) taip pat pastebi, jog Graham ir Dodd (1951) jau anks</w:t>
      </w:r>
      <w:r w:rsidR="000F4BD0">
        <w:t>čiau pateikė idėją, jog akcijų kainos atspindi tam tikrą santykį tarp įmonės uždirbamo pelno ir dividendų.</w:t>
      </w:r>
    </w:p>
    <w:p w:rsidR="000F4BD0" w:rsidRPr="00237291" w:rsidRDefault="000F4BD0" w:rsidP="000F4BD0">
      <w:r>
        <w:t>Investuotojui, kurio tikslas suprasti fundamentinius veiksnius, lemiančius akcijos kaina, turėtų būti svarbiausi keli esminiai momentai - kiek įmonė uždirba pelno per metus ir kiek išmoka dividendų savo akcininkams. Toks stebėjimas gali būti lengvai apibrėžiamas paprasta Gordon (</w:t>
      </w:r>
      <w:r>
        <w:rPr>
          <w:lang w:val="en-US"/>
        </w:rPr>
        <w:t xml:space="preserve">1959) siūloma </w:t>
      </w:r>
      <w:r>
        <w:t>regresijos lygtimi (žr. (6) formulę).</w:t>
      </w:r>
    </w:p>
    <w:p w:rsidR="000F4BD0" w:rsidRPr="00237291" w:rsidRDefault="000F4BD0" w:rsidP="000F4BD0">
      <w:pPr>
        <w:jc w:val="center"/>
      </w:pPr>
      <w:r w:rsidRPr="00237291">
        <w:rPr>
          <w:i/>
        </w:rPr>
        <w:t xml:space="preserve">P = </w:t>
      </w:r>
      <w:r w:rsidRPr="00E14D70">
        <w:rPr>
          <w:rFonts w:cs="Times New Roman"/>
          <w:i/>
          <w:lang w:val="en-US"/>
        </w:rPr>
        <w:t>α</w:t>
      </w:r>
      <w:r w:rsidRPr="00237291">
        <w:rPr>
          <w:i/>
          <w:vertAlign w:val="subscript"/>
        </w:rPr>
        <w:t xml:space="preserve">0 </w:t>
      </w:r>
      <w:r w:rsidRPr="00237291">
        <w:rPr>
          <w:i/>
        </w:rPr>
        <w:t>+</w:t>
      </w:r>
      <w:r w:rsidRPr="00237291">
        <w:rPr>
          <w:rFonts w:cs="Times New Roman"/>
          <w:i/>
        </w:rPr>
        <w:t xml:space="preserve"> </w:t>
      </w:r>
      <w:r w:rsidRPr="00E14D70">
        <w:rPr>
          <w:rFonts w:cs="Times New Roman"/>
          <w:i/>
          <w:lang w:val="en-US"/>
        </w:rPr>
        <w:t>α</w:t>
      </w:r>
      <w:r w:rsidRPr="00237291">
        <w:rPr>
          <w:i/>
          <w:vertAlign w:val="subscript"/>
        </w:rPr>
        <w:t>1</w:t>
      </w:r>
      <w:r w:rsidRPr="00237291">
        <w:rPr>
          <w:i/>
        </w:rPr>
        <w:t>D</w:t>
      </w:r>
      <w:r w:rsidRPr="00237291">
        <w:rPr>
          <w:i/>
          <w:vertAlign w:val="subscript"/>
        </w:rPr>
        <w:t xml:space="preserve"> </w:t>
      </w:r>
      <w:r w:rsidRPr="00237291">
        <w:rPr>
          <w:i/>
        </w:rPr>
        <w:t>+</w:t>
      </w:r>
      <w:r w:rsidRPr="00237291">
        <w:rPr>
          <w:rFonts w:cs="Times New Roman"/>
          <w:i/>
        </w:rPr>
        <w:t xml:space="preserve"> </w:t>
      </w:r>
      <w:r w:rsidRPr="00E14D70">
        <w:rPr>
          <w:rFonts w:cs="Times New Roman"/>
          <w:i/>
          <w:lang w:val="en-US"/>
        </w:rPr>
        <w:t>α</w:t>
      </w:r>
      <w:r w:rsidRPr="00237291">
        <w:rPr>
          <w:rFonts w:cs="Times New Roman"/>
          <w:i/>
          <w:vertAlign w:val="subscript"/>
        </w:rPr>
        <w:t>2</w:t>
      </w:r>
      <w:r w:rsidRPr="00237291">
        <w:rPr>
          <w:i/>
        </w:rPr>
        <w:t>Y</w:t>
      </w:r>
      <w:r w:rsidR="00D227FD">
        <w:t xml:space="preserve">; </w:t>
      </w:r>
      <w:r w:rsidR="00D227FD">
        <w:tab/>
      </w:r>
      <w:r w:rsidR="00D227FD">
        <w:tab/>
        <w:t>(1</w:t>
      </w:r>
      <w:r w:rsidRPr="00237291">
        <w:t>)</w:t>
      </w:r>
    </w:p>
    <w:p w:rsidR="000F4BD0" w:rsidRPr="00001429" w:rsidRDefault="000F4BD0" w:rsidP="005D6302">
      <w:pPr>
        <w:spacing w:line="240" w:lineRule="auto"/>
        <w:jc w:val="left"/>
      </w:pPr>
      <w:r>
        <w:t xml:space="preserve">Čia: </w:t>
      </w:r>
      <w:r w:rsidRPr="0032540B">
        <w:rPr>
          <w:i/>
        </w:rPr>
        <w:t>P</w:t>
      </w:r>
      <w:r w:rsidRPr="00001429">
        <w:t xml:space="preserve"> – akcijos kaina metų pabaigoje;</w:t>
      </w:r>
    </w:p>
    <w:p w:rsidR="000F4BD0" w:rsidRPr="00001429" w:rsidRDefault="000F4BD0" w:rsidP="005D6302">
      <w:pPr>
        <w:spacing w:before="0" w:line="240" w:lineRule="auto"/>
        <w:jc w:val="left"/>
      </w:pPr>
      <w:r w:rsidRPr="0032540B">
        <w:rPr>
          <w:i/>
        </w:rPr>
        <w:t xml:space="preserve">D </w:t>
      </w:r>
      <w:r w:rsidRPr="00001429">
        <w:t>– metinis dividendų dydis;</w:t>
      </w:r>
    </w:p>
    <w:p w:rsidR="000F4BD0" w:rsidRPr="00001429" w:rsidRDefault="000F4BD0" w:rsidP="000F4BD0">
      <w:pPr>
        <w:spacing w:before="0"/>
        <w:jc w:val="left"/>
      </w:pPr>
      <w:r w:rsidRPr="00001429">
        <w:rPr>
          <w:i/>
        </w:rPr>
        <w:lastRenderedPageBreak/>
        <w:t xml:space="preserve">Y – </w:t>
      </w:r>
      <w:r w:rsidRPr="00001429">
        <w:t>metinis pelnas.</w:t>
      </w:r>
    </w:p>
    <w:p w:rsidR="00A56391" w:rsidRDefault="000F4BD0" w:rsidP="00A56391">
      <w:r>
        <w:t>Tokia supaprastinta l</w:t>
      </w:r>
      <w:r w:rsidRPr="00001429">
        <w:t>ygtis gali būti naudinga dviem aspektais. Reali akcijos rinkos kaina gali būti palyginama su modelio prognozuojama akcijos kaina, patikrinant rodiklių daugialypę koreliaciją (angl. multiple</w:t>
      </w:r>
      <w:r>
        <w:t xml:space="preserve"> correlation</w:t>
      </w:r>
      <w:r w:rsidRPr="00001429">
        <w:t xml:space="preserve">) – tokiu atveju regresijos koeficientai netenka prasmės. Kitu atveju, regresijos koeficientai </w:t>
      </w:r>
      <w:r w:rsidRPr="00001429">
        <w:rPr>
          <w:rFonts w:cs="Times New Roman"/>
          <w:i/>
        </w:rPr>
        <w:t>α</w:t>
      </w:r>
      <w:r w:rsidRPr="00001429">
        <w:rPr>
          <w:i/>
          <w:vertAlign w:val="subscript"/>
        </w:rPr>
        <w:t xml:space="preserve">1 </w:t>
      </w:r>
      <w:r w:rsidRPr="00001429">
        <w:rPr>
          <w:vertAlign w:val="subscript"/>
        </w:rPr>
        <w:t>ir</w:t>
      </w:r>
      <w:r w:rsidRPr="00001429">
        <w:rPr>
          <w:i/>
          <w:vertAlign w:val="subscript"/>
        </w:rPr>
        <w:t xml:space="preserve">  </w:t>
      </w:r>
      <w:r w:rsidRPr="00001429">
        <w:rPr>
          <w:rFonts w:cs="Times New Roman"/>
          <w:i/>
        </w:rPr>
        <w:t>α</w:t>
      </w:r>
      <w:r w:rsidRPr="00001429">
        <w:rPr>
          <w:i/>
          <w:vertAlign w:val="subscript"/>
        </w:rPr>
        <w:t>2</w:t>
      </w:r>
      <w:r w:rsidRPr="00001429">
        <w:t xml:space="preserve"> atspindi rei</w:t>
      </w:r>
      <w:r>
        <w:t>k</w:t>
      </w:r>
      <w:r w:rsidRPr="00001429">
        <w:t>šmes, kurias rinka atitinkamai priskiria pagal svarbą dividendams ir įmonės pelnui</w:t>
      </w:r>
      <w:r>
        <w:t xml:space="preserve"> – šiuo atveju tikslas yra nustatyti dviejų kintamųjų palyginamą svarbą</w:t>
      </w:r>
      <w:r w:rsidRPr="00001429">
        <w:t>.</w:t>
      </w:r>
      <w:r>
        <w:t xml:space="preserve"> Visgi Gordon (1959) pažymi, kad tokia modelio koncepcija turi labai aiškių trūkumų: visų pirma, akcija yra perkama, tikintis tam tikros grąžos ateityje, o antra, investicinę grąžą iš dalies prognozuoja nebent vienas iš šių dydžių, tačiau ne abu vienu metu.</w:t>
      </w:r>
      <w:r w:rsidR="00A56391" w:rsidRPr="00A56391">
        <w:t xml:space="preserve"> </w:t>
      </w:r>
      <w:r w:rsidR="00A56391">
        <w:t xml:space="preserve">Gordon (1959) daugiakriterinis modelis išreiškiamas regresine lygtimi (žr. (2) formulę): </w:t>
      </w:r>
    </w:p>
    <w:p w:rsidR="00A56391" w:rsidRDefault="00A56391" w:rsidP="00A56391">
      <w:pPr>
        <w:spacing w:before="0" w:line="240" w:lineRule="auto"/>
        <w:ind w:firstLine="0"/>
        <w:jc w:val="center"/>
        <w:rPr>
          <w:rFonts w:cs="Times New Roman"/>
          <w:b/>
          <w:szCs w:val="24"/>
        </w:rPr>
      </w:pPr>
      <w:r w:rsidRPr="008235BD">
        <w:rPr>
          <w:rFonts w:cs="Times New Roman"/>
          <w:i/>
          <w:szCs w:val="24"/>
        </w:rPr>
        <w:t>P</w:t>
      </w:r>
      <w:r>
        <w:rPr>
          <w:rFonts w:cs="Times New Roman"/>
          <w:i/>
          <w:szCs w:val="24"/>
        </w:rPr>
        <w:t xml:space="preserve"> </w:t>
      </w:r>
      <w:r w:rsidRPr="008235BD">
        <w:rPr>
          <w:rFonts w:cs="Times New Roman"/>
          <w:i/>
          <w:szCs w:val="24"/>
        </w:rPr>
        <w:t>=</w:t>
      </w:r>
      <w:r>
        <w:rPr>
          <w:rFonts w:cs="Times New Roman"/>
          <w:i/>
          <w:szCs w:val="24"/>
        </w:rPr>
        <w:t xml:space="preserve"> </w:t>
      </w:r>
      <w:r w:rsidRPr="008235BD">
        <w:rPr>
          <w:rFonts w:cs="Times New Roman"/>
          <w:i/>
          <w:szCs w:val="24"/>
          <w:lang w:val="en-US"/>
        </w:rPr>
        <w:t>β</w:t>
      </w:r>
      <w:r w:rsidRPr="008235BD">
        <w:rPr>
          <w:rFonts w:cs="Times New Roman"/>
          <w:i/>
          <w:szCs w:val="24"/>
          <w:vertAlign w:val="subscript"/>
        </w:rPr>
        <w:t>0</w:t>
      </w:r>
      <w:r w:rsidRPr="008235BD">
        <w:rPr>
          <w:rFonts w:cs="Times New Roman"/>
          <w:i/>
          <w:szCs w:val="24"/>
        </w:rPr>
        <w:t>+</w:t>
      </w:r>
      <w:r w:rsidRPr="008235BD">
        <w:rPr>
          <w:rFonts w:cs="Times New Roman"/>
          <w:i/>
          <w:szCs w:val="24"/>
          <w:lang w:val="en-US"/>
        </w:rPr>
        <w:t>β</w:t>
      </w:r>
      <w:r w:rsidRPr="008235BD">
        <w:rPr>
          <w:rFonts w:cs="Times New Roman"/>
          <w:i/>
          <w:szCs w:val="24"/>
          <w:vertAlign w:val="subscript"/>
        </w:rPr>
        <w:t xml:space="preserve">1 </w:t>
      </w:r>
      <w:r w:rsidRPr="008235BD">
        <w:rPr>
          <w:rFonts w:cs="Times New Roman"/>
          <w:i/>
          <w:szCs w:val="24"/>
        </w:rPr>
        <w:t>d͞ +</w:t>
      </w:r>
      <w:r w:rsidRPr="008235BD">
        <w:rPr>
          <w:rFonts w:cs="Times New Roman"/>
          <w:i/>
          <w:szCs w:val="24"/>
          <w:lang w:val="en-US"/>
        </w:rPr>
        <w:t>β</w:t>
      </w:r>
      <w:r w:rsidRPr="008235BD">
        <w:rPr>
          <w:rFonts w:cs="Times New Roman"/>
          <w:i/>
          <w:szCs w:val="24"/>
          <w:vertAlign w:val="subscript"/>
        </w:rPr>
        <w:t>2</w:t>
      </w:r>
      <w:r w:rsidRPr="008235BD">
        <w:rPr>
          <w:rFonts w:cs="Times New Roman"/>
          <w:i/>
          <w:szCs w:val="24"/>
        </w:rPr>
        <w:t>(d-d͞ )+</w:t>
      </w:r>
      <w:r w:rsidRPr="008235BD">
        <w:rPr>
          <w:rFonts w:cs="Times New Roman"/>
          <w:i/>
          <w:szCs w:val="24"/>
          <w:lang w:val="en-US"/>
        </w:rPr>
        <w:t>β</w:t>
      </w:r>
      <w:r w:rsidRPr="008235BD">
        <w:rPr>
          <w:rFonts w:cs="Times New Roman"/>
          <w:i/>
          <w:szCs w:val="24"/>
          <w:vertAlign w:val="subscript"/>
        </w:rPr>
        <w:t xml:space="preserve">3 </w:t>
      </w:r>
      <w:r w:rsidRPr="008235BD">
        <w:rPr>
          <w:rFonts w:cs="Times New Roman"/>
          <w:i/>
          <w:szCs w:val="24"/>
        </w:rPr>
        <w:t>g͞ +</w:t>
      </w:r>
      <w:r w:rsidRPr="008235BD">
        <w:rPr>
          <w:rFonts w:cs="Times New Roman"/>
          <w:i/>
          <w:szCs w:val="24"/>
          <w:lang w:val="en-US"/>
        </w:rPr>
        <w:t>β</w:t>
      </w:r>
      <w:r w:rsidRPr="008235BD">
        <w:rPr>
          <w:rFonts w:cs="Times New Roman"/>
          <w:i/>
          <w:szCs w:val="24"/>
          <w:vertAlign w:val="subscript"/>
        </w:rPr>
        <w:t>4</w:t>
      </w:r>
      <w:r w:rsidRPr="008235BD">
        <w:rPr>
          <w:rFonts w:cs="Times New Roman"/>
          <w:i/>
          <w:szCs w:val="24"/>
        </w:rPr>
        <w:t xml:space="preserve"> (g-g͞ )</w:t>
      </w:r>
      <w:r>
        <w:rPr>
          <w:rFonts w:cs="Times New Roman"/>
          <w:i/>
          <w:szCs w:val="24"/>
        </w:rPr>
        <w:t xml:space="preserve"> </w:t>
      </w:r>
      <w:r>
        <w:rPr>
          <w:rFonts w:cs="Times New Roman"/>
          <w:szCs w:val="24"/>
        </w:rPr>
        <w:t>;    (2</w:t>
      </w:r>
      <w:r w:rsidRPr="008235BD">
        <w:rPr>
          <w:rFonts w:cs="Times New Roman"/>
          <w:szCs w:val="24"/>
        </w:rPr>
        <w:t>)</w:t>
      </w:r>
      <w:r w:rsidRPr="00A56391">
        <w:rPr>
          <w:rFonts w:cs="Times New Roman"/>
          <w:b/>
          <w:szCs w:val="24"/>
        </w:rPr>
        <w:t xml:space="preserve"> </w:t>
      </w:r>
    </w:p>
    <w:p w:rsidR="00A56391" w:rsidRPr="008235BD" w:rsidRDefault="00A56391" w:rsidP="005D6302">
      <w:pPr>
        <w:spacing w:line="240" w:lineRule="auto"/>
      </w:pPr>
      <w:r w:rsidRPr="006D5025">
        <w:rPr>
          <w:b/>
        </w:rPr>
        <w:t>Čia:</w:t>
      </w:r>
      <w:r>
        <w:rPr>
          <w:i/>
        </w:rPr>
        <w:t xml:space="preserve"> </w:t>
      </w:r>
      <w:r>
        <w:rPr>
          <w:i/>
        </w:rPr>
        <w:tab/>
      </w:r>
      <w:r w:rsidRPr="008235BD">
        <w:rPr>
          <w:i/>
        </w:rPr>
        <w:t>P</w:t>
      </w:r>
      <w:r w:rsidRPr="008235BD">
        <w:t xml:space="preserve"> – akcijos kaina, padalinta iš akcijos buhalterinės vertės, metų pabaigoje;</w:t>
      </w:r>
    </w:p>
    <w:p w:rsidR="00A56391" w:rsidRPr="008235BD" w:rsidRDefault="00A56391" w:rsidP="005D6302">
      <w:pPr>
        <w:spacing w:line="240" w:lineRule="auto"/>
        <w:ind w:firstLine="1296"/>
      </w:pPr>
      <w:r w:rsidRPr="008235BD">
        <w:rPr>
          <w:i/>
        </w:rPr>
        <w:t>d͞</w:t>
      </w:r>
      <w:r w:rsidRPr="008235BD">
        <w:t xml:space="preserve"> – vidutinis dividendų dydis per 5 metus, padalintas iš buhalterinės akcijos vertės;</w:t>
      </w:r>
    </w:p>
    <w:p w:rsidR="00A56391" w:rsidRPr="008235BD" w:rsidRDefault="00A56391" w:rsidP="005D6302">
      <w:pPr>
        <w:spacing w:line="240" w:lineRule="auto"/>
        <w:ind w:firstLine="1296"/>
      </w:pPr>
      <w:r w:rsidRPr="008235BD">
        <w:rPr>
          <w:i/>
        </w:rPr>
        <w:t>d</w:t>
      </w:r>
      <w:r w:rsidRPr="008235BD">
        <w:t xml:space="preserve"> – einamųjų metų dividendų dydis, padalintas iš buhalterinės akcijos vertės;</w:t>
      </w:r>
    </w:p>
    <w:p w:rsidR="00A56391" w:rsidRPr="008235BD" w:rsidRDefault="00A56391" w:rsidP="005D6302">
      <w:pPr>
        <w:spacing w:line="240" w:lineRule="auto"/>
        <w:ind w:firstLine="1296"/>
      </w:pPr>
      <w:r w:rsidRPr="008235BD">
        <w:rPr>
          <w:i/>
        </w:rPr>
        <w:t xml:space="preserve">g͞ </w:t>
      </w:r>
      <w:r w:rsidRPr="008235BD">
        <w:t>– vidutinis</w:t>
      </w:r>
      <w:r w:rsidR="000B281A">
        <w:t xml:space="preserve"> nepaskirst</w:t>
      </w:r>
      <w:r w:rsidR="005D6302">
        <w:t>ytas</w:t>
      </w:r>
      <w:r w:rsidR="000B281A">
        <w:t xml:space="preserve"> pelnas per </w:t>
      </w:r>
      <w:r w:rsidRPr="008235BD">
        <w:t>5 metus, padalintas iš buh</w:t>
      </w:r>
      <w:r w:rsidR="005D6302">
        <w:t>alterinės</w:t>
      </w:r>
      <w:r w:rsidRPr="008235BD">
        <w:t xml:space="preserve"> akcijos vertės;</w:t>
      </w:r>
    </w:p>
    <w:p w:rsidR="000F4BD0" w:rsidRDefault="00A56391" w:rsidP="005D6302">
      <w:pPr>
        <w:ind w:firstLine="1298"/>
      </w:pPr>
      <w:r w:rsidRPr="008235BD">
        <w:rPr>
          <w:i/>
        </w:rPr>
        <w:t>g</w:t>
      </w:r>
      <w:r w:rsidRPr="008235BD">
        <w:t xml:space="preserve"> – einamųjų metų nepaskirs</w:t>
      </w:r>
      <w:r w:rsidR="005D6302">
        <w:t>tytas</w:t>
      </w:r>
      <w:r w:rsidRPr="008235BD">
        <w:t xml:space="preserve"> pelnas, padalintas iš buhalterinės akcijos vertės;</w:t>
      </w:r>
    </w:p>
    <w:p w:rsidR="00A56391" w:rsidRDefault="00A56391" w:rsidP="000F4BD0">
      <w:r>
        <w:t>Pateiktos skaičiavimo metodikos principą sudaro dividendų ir nepaskirstyto pelno rodikliai, tačiau a</w:t>
      </w:r>
      <w:r w:rsidR="000F4BD0">
        <w:t xml:space="preserve">kcijų kainos ir </w:t>
      </w:r>
      <w:r>
        <w:t>dividendų</w:t>
      </w:r>
      <w:r w:rsidR="000F4BD0">
        <w:t xml:space="preserve"> rodiklių ryšius galima tyrinėti aprėpiant didesnį dividendinių akcijų fundamentin</w:t>
      </w:r>
      <w:r w:rsidR="001C6457">
        <w:t>ės informacijos kiekį, kas padeda</w:t>
      </w:r>
      <w:r w:rsidR="000F4BD0">
        <w:t xml:space="preserve"> sugeneruoti efektyvesnį dividendinės investavimo strategijos</w:t>
      </w:r>
      <w:r>
        <w:t xml:space="preserve"> (dividendų politikos vertinimo)</w:t>
      </w:r>
      <w:r w:rsidR="000F4BD0">
        <w:t xml:space="preserve"> modelį. </w:t>
      </w:r>
    </w:p>
    <w:p w:rsidR="006C013D" w:rsidRDefault="006C013D" w:rsidP="006C013D">
      <w:r>
        <w:t>S</w:t>
      </w:r>
      <w:r w:rsidRPr="00871725">
        <w:t>varbesni šiuolaikiniai</w:t>
      </w:r>
      <w:r w:rsidR="003A2F2C">
        <w:t xml:space="preserve"> dividendų politikos tyrimai, atlikti</w:t>
      </w:r>
      <w:r>
        <w:t xml:space="preserve"> </w:t>
      </w:r>
      <w:r w:rsidR="003A2F2C">
        <w:t>Fracassi (</w:t>
      </w:r>
      <w:r>
        <w:t>2008</w:t>
      </w:r>
      <w:r w:rsidR="003A2F2C">
        <w:t>), Bougatef (</w:t>
      </w:r>
      <w:r w:rsidRPr="00871725">
        <w:t>2011</w:t>
      </w:r>
      <w:r w:rsidR="003A2F2C">
        <w:t>)</w:t>
      </w:r>
      <w:r w:rsidRPr="00871725">
        <w:t xml:space="preserve">, </w:t>
      </w:r>
      <w:r>
        <w:rPr>
          <w:rFonts w:cs="Times New Roman"/>
          <w:szCs w:val="24"/>
        </w:rPr>
        <w:t>Khan, Aamir, Qayyum, Nasir, Khan</w:t>
      </w:r>
      <w:r w:rsidR="0031524A">
        <w:rPr>
          <w:rFonts w:cs="Times New Roman"/>
          <w:szCs w:val="24"/>
        </w:rPr>
        <w:t xml:space="preserve"> (</w:t>
      </w:r>
      <w:r w:rsidR="003A2F2C">
        <w:rPr>
          <w:rFonts w:cs="Times New Roman"/>
          <w:szCs w:val="24"/>
          <w:lang w:val="en-US"/>
        </w:rPr>
        <w:t>2011</w:t>
      </w:r>
      <w:r w:rsidR="0031524A">
        <w:rPr>
          <w:rFonts w:cs="Times New Roman"/>
          <w:szCs w:val="24"/>
          <w:lang w:val="en-US"/>
        </w:rPr>
        <w:t>),</w:t>
      </w:r>
      <w:r w:rsidR="0031524A">
        <w:t xml:space="preserve"> Khan (</w:t>
      </w:r>
      <w:r w:rsidR="003A2F2C">
        <w:t>2012</w:t>
      </w:r>
      <w:r w:rsidR="0031524A">
        <w:t>)</w:t>
      </w:r>
      <w:r w:rsidRPr="00871725">
        <w:t xml:space="preserve">, </w:t>
      </w:r>
      <w:r w:rsidR="003A2F2C">
        <w:t xml:space="preserve">taip pat </w:t>
      </w:r>
      <w:r w:rsidR="003A2F2C">
        <w:rPr>
          <w:rFonts w:cs="Times New Roman"/>
          <w:szCs w:val="24"/>
        </w:rPr>
        <w:t xml:space="preserve">Nishat, Irfan (2001), </w:t>
      </w:r>
      <w:r w:rsidR="003A2F2C" w:rsidRPr="00D132CB">
        <w:rPr>
          <w:rFonts w:cs="Times New Roman"/>
          <w:bCs/>
          <w:szCs w:val="24"/>
        </w:rPr>
        <w:t>Hussaine</w:t>
      </w:r>
      <w:r w:rsidR="003A2F2C">
        <w:rPr>
          <w:rFonts w:cs="Times New Roman"/>
          <w:bCs/>
          <w:szCs w:val="24"/>
        </w:rPr>
        <w:t>y,</w:t>
      </w:r>
      <w:r w:rsidR="0031524A">
        <w:rPr>
          <w:rFonts w:cs="Times New Roman"/>
          <w:bCs/>
          <w:szCs w:val="24"/>
        </w:rPr>
        <w:t xml:space="preserve"> </w:t>
      </w:r>
      <w:r w:rsidR="0031524A" w:rsidRPr="00D132CB">
        <w:rPr>
          <w:szCs w:val="24"/>
        </w:rPr>
        <w:t>Portniaguina, Uysal (2008)</w:t>
      </w:r>
      <w:r w:rsidR="0031524A">
        <w:rPr>
          <w:szCs w:val="24"/>
        </w:rPr>
        <w:t>,</w:t>
      </w:r>
      <w:r w:rsidR="003A2F2C">
        <w:rPr>
          <w:rFonts w:cs="Times New Roman"/>
          <w:bCs/>
          <w:szCs w:val="24"/>
        </w:rPr>
        <w:t xml:space="preserve"> Mgbame, Chijoke-Mgbame 2010, </w:t>
      </w:r>
      <w:r w:rsidR="0031524A">
        <w:t>Imran, et al. (</w:t>
      </w:r>
      <w:r w:rsidR="003A2F2C" w:rsidRPr="00871725">
        <w:t>2011</w:t>
      </w:r>
      <w:r w:rsidR="003A2F2C">
        <w:t xml:space="preserve">) </w:t>
      </w:r>
      <w:r w:rsidRPr="00871725">
        <w:t>įvairiose pasaulio akcijų rinkose, parodė, jog</w:t>
      </w:r>
      <w:r>
        <w:t xml:space="preserve"> be dividendų politikos rodiklių (dividendų, tenkančių akcijai, dividendinio pajamingumo, dividendų išmokėjimo koeficiento)</w:t>
      </w:r>
      <w:r w:rsidRPr="00871725">
        <w:t xml:space="preserve"> egzistuoja ir daugiau faktorių, kurie yra svarbūs</w:t>
      </w:r>
      <w:r>
        <w:t xml:space="preserve"> dividendų politikos ar investavimo strategijos</w:t>
      </w:r>
      <w:r w:rsidRPr="00871725">
        <w:t xml:space="preserve"> </w:t>
      </w:r>
      <w:r>
        <w:t>modeliavimo procese</w:t>
      </w:r>
      <w:r w:rsidRPr="00871725">
        <w:t xml:space="preserve">. </w:t>
      </w:r>
    </w:p>
    <w:p w:rsidR="003A2F2C" w:rsidRDefault="00A56391" w:rsidP="000F4BD0">
      <w:r>
        <w:t>Daugiakriteriniai r</w:t>
      </w:r>
      <w:r w:rsidR="000F4BD0">
        <w:t>egresiniai modeliai</w:t>
      </w:r>
      <w:r w:rsidR="006C013D">
        <w:t xml:space="preserve"> (žr. (3)-(9) formules)</w:t>
      </w:r>
      <w:r w:rsidR="000F4BD0">
        <w:t xml:space="preserve"> ir </w:t>
      </w:r>
      <w:r w:rsidR="00295262">
        <w:t xml:space="preserve">pagrindiniai </w:t>
      </w:r>
      <w:r>
        <w:t xml:space="preserve">dividendų politikos moksliniuose tyrimuose naudojami </w:t>
      </w:r>
      <w:r w:rsidR="000F4BD0">
        <w:t>faktoriniai vertinimo kriterijai, kuriais remiantis</w:t>
      </w:r>
      <w:r w:rsidR="00295262">
        <w:t xml:space="preserve"> mokslinėje literatūroje</w:t>
      </w:r>
      <w:r w:rsidR="006C013D">
        <w:t xml:space="preserve"> form</w:t>
      </w:r>
      <w:r w:rsidR="000F4BD0">
        <w:t>uojam</w:t>
      </w:r>
      <w:r w:rsidR="006C013D">
        <w:t>i</w:t>
      </w:r>
      <w:r w:rsidR="00522614">
        <w:t xml:space="preserve"> dividendinio</w:t>
      </w:r>
      <w:r w:rsidR="000F4BD0">
        <w:t xml:space="preserve"> investavimo</w:t>
      </w:r>
      <w:r w:rsidR="00522614">
        <w:t xml:space="preserve"> (dividendų politikos)</w:t>
      </w:r>
      <w:r w:rsidR="00295262">
        <w:t xml:space="preserve"> modeliai</w:t>
      </w:r>
      <w:r w:rsidR="000F4BD0">
        <w:t xml:space="preserve">, </w:t>
      </w:r>
      <w:r>
        <w:t xml:space="preserve">pateikiami </w:t>
      </w:r>
      <w:r w:rsidR="006C013D">
        <w:t>lentelėse</w:t>
      </w:r>
      <w:r w:rsidR="001D192E">
        <w:t xml:space="preserve"> sekančiame puslapyje ir šio darbo prieduose</w:t>
      </w:r>
      <w:r w:rsidR="006C013D">
        <w:t xml:space="preserve"> (žr. </w:t>
      </w:r>
      <w:r w:rsidR="00707DF4">
        <w:t>6 lent.</w:t>
      </w:r>
      <w:r w:rsidR="006C013D">
        <w:t xml:space="preserve"> ir </w:t>
      </w:r>
      <w:r w:rsidR="00E329DE">
        <w:t>1 priedą</w:t>
      </w:r>
      <w:r w:rsidR="00BC2E39">
        <w:t>)</w:t>
      </w:r>
    </w:p>
    <w:p w:rsidR="003A2F2C" w:rsidRDefault="003A2F2C">
      <w:pPr>
        <w:spacing w:before="0" w:after="200" w:line="276" w:lineRule="auto"/>
        <w:ind w:firstLine="0"/>
        <w:jc w:val="left"/>
      </w:pPr>
      <w:r>
        <w:br w:type="page"/>
      </w:r>
    </w:p>
    <w:p w:rsidR="000F4BD0" w:rsidRDefault="00BC6C8E" w:rsidP="006F517F">
      <w:pPr>
        <w:pStyle w:val="Caption"/>
        <w:ind w:left="1134"/>
      </w:pPr>
      <w:bookmarkStart w:id="50" w:name="_Ref339878973"/>
      <w:bookmarkStart w:id="51" w:name="_Ref343080555"/>
      <w:bookmarkStart w:id="52" w:name="_Toc343677824"/>
      <w:r>
        <w:lastRenderedPageBreak/>
        <w:t>Pagrindinės d</w:t>
      </w:r>
      <w:r w:rsidR="00EC2D11">
        <w:t>ividendinių modelių</w:t>
      </w:r>
      <w:r w:rsidR="000F4BD0">
        <w:t xml:space="preserve"> metodinės koncepcijos ir tyrimo kriterijų aibės</w:t>
      </w:r>
      <w:bookmarkEnd w:id="50"/>
      <w:bookmarkEnd w:id="51"/>
      <w:bookmarkEnd w:id="52"/>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4"/>
        <w:gridCol w:w="8425"/>
      </w:tblGrid>
      <w:tr w:rsidR="000F4BD0" w:rsidTr="00780324">
        <w:trPr>
          <w:trHeight w:val="429"/>
          <w:jc w:val="center"/>
        </w:trPr>
        <w:tc>
          <w:tcPr>
            <w:tcW w:w="1503" w:type="dxa"/>
            <w:vAlign w:val="center"/>
          </w:tcPr>
          <w:p w:rsidR="000F4BD0" w:rsidRPr="008235BD" w:rsidRDefault="000F4BD0" w:rsidP="00205432">
            <w:pPr>
              <w:spacing w:before="0" w:line="240" w:lineRule="auto"/>
              <w:ind w:firstLine="0"/>
              <w:jc w:val="center"/>
              <w:rPr>
                <w:rFonts w:cs="Times New Roman"/>
                <w:b/>
              </w:rPr>
            </w:pPr>
            <w:r w:rsidRPr="008235BD">
              <w:rPr>
                <w:rFonts w:cs="Times New Roman"/>
                <w:b/>
              </w:rPr>
              <w:t>Mokslininkas</w:t>
            </w:r>
          </w:p>
        </w:tc>
        <w:tc>
          <w:tcPr>
            <w:tcW w:w="8526" w:type="dxa"/>
            <w:vAlign w:val="center"/>
          </w:tcPr>
          <w:p w:rsidR="000F4BD0" w:rsidRPr="008235BD" w:rsidRDefault="000F4BD0" w:rsidP="00205432">
            <w:pPr>
              <w:spacing w:before="0" w:line="240" w:lineRule="auto"/>
              <w:ind w:firstLine="0"/>
              <w:jc w:val="center"/>
              <w:rPr>
                <w:rFonts w:cs="Times New Roman"/>
                <w:b/>
              </w:rPr>
            </w:pPr>
            <w:r>
              <w:rPr>
                <w:rFonts w:cs="Times New Roman"/>
                <w:b/>
              </w:rPr>
              <w:t>Siūlomas</w:t>
            </w:r>
            <w:r w:rsidRPr="008235BD">
              <w:rPr>
                <w:rFonts w:cs="Times New Roman"/>
                <w:b/>
              </w:rPr>
              <w:t xml:space="preserve"> modelis (regresijos lygtis)</w:t>
            </w:r>
            <w:r w:rsidR="006D5025">
              <w:rPr>
                <w:rFonts w:cs="Times New Roman"/>
                <w:b/>
              </w:rPr>
              <w:t xml:space="preserve"> ir analizuojami kriterijai</w:t>
            </w:r>
          </w:p>
        </w:tc>
      </w:tr>
      <w:tr w:rsidR="00D132CB" w:rsidTr="00780324">
        <w:trPr>
          <w:trHeight w:val="6515"/>
          <w:jc w:val="center"/>
        </w:trPr>
        <w:tc>
          <w:tcPr>
            <w:tcW w:w="1503" w:type="dxa"/>
            <w:vAlign w:val="center"/>
          </w:tcPr>
          <w:p w:rsidR="00D132CB" w:rsidRPr="00A42E0A" w:rsidRDefault="00A42E0A" w:rsidP="00205432">
            <w:pPr>
              <w:spacing w:before="0" w:line="240" w:lineRule="auto"/>
              <w:ind w:firstLine="0"/>
              <w:jc w:val="center"/>
              <w:rPr>
                <w:rFonts w:cs="Times New Roman"/>
                <w:szCs w:val="24"/>
              </w:rPr>
            </w:pPr>
            <w:r w:rsidRPr="00A42E0A">
              <w:rPr>
                <w:rFonts w:cs="Times New Roman"/>
                <w:szCs w:val="24"/>
              </w:rPr>
              <w:t>Fracassi (2008)</w:t>
            </w:r>
          </w:p>
        </w:tc>
        <w:tc>
          <w:tcPr>
            <w:tcW w:w="8526" w:type="dxa"/>
            <w:tcBorders>
              <w:top w:val="nil"/>
              <w:bottom w:val="single" w:sz="12" w:space="0" w:color="auto"/>
            </w:tcBorders>
            <w:vAlign w:val="center"/>
          </w:tcPr>
          <w:p w:rsidR="00A42E0A" w:rsidRDefault="00A42E0A" w:rsidP="00205432">
            <w:pPr>
              <w:spacing w:before="0" w:line="240" w:lineRule="auto"/>
              <w:ind w:firstLine="0"/>
              <w:jc w:val="center"/>
              <w:rPr>
                <w:rFonts w:cs="Times New Roman"/>
                <w:b/>
              </w:rPr>
            </w:pPr>
            <w:r w:rsidRPr="008235BD">
              <w:rPr>
                <w:rFonts w:cs="Times New Roman"/>
                <w:b/>
              </w:rPr>
              <w:t>Analizuojami kriterija</w:t>
            </w:r>
            <w:r>
              <w:rPr>
                <w:rFonts w:cs="Times New Roman"/>
                <w:b/>
              </w:rPr>
              <w:t xml:space="preserve">i </w:t>
            </w:r>
          </w:p>
          <w:p w:rsidR="00D132CB" w:rsidRPr="00A42E0A" w:rsidRDefault="00D132CB" w:rsidP="004715CF">
            <w:pPr>
              <w:spacing w:before="0" w:line="240" w:lineRule="auto"/>
              <w:ind w:firstLine="0"/>
              <w:jc w:val="center"/>
              <w:rPr>
                <w:rFonts w:cs="Times New Roman"/>
                <w:i/>
                <w:szCs w:val="24"/>
              </w:rPr>
            </w:pPr>
            <w:r w:rsidRPr="00A42E0A">
              <w:rPr>
                <w:rFonts w:cs="Times New Roman"/>
                <w:i/>
                <w:szCs w:val="24"/>
              </w:rPr>
              <w:t>CAR – perteklinis pelningumas, apskaičiuojamas 3 dienų [-1;1] dividendų paskelbimo laikotarpiui (priklausomas kintamasis);</w:t>
            </w:r>
          </w:p>
          <w:p w:rsidR="00D132CB" w:rsidRPr="00205432" w:rsidRDefault="00D132CB" w:rsidP="00346041">
            <w:pPr>
              <w:spacing w:before="0" w:line="240" w:lineRule="auto"/>
              <w:ind w:firstLine="0"/>
              <w:jc w:val="center"/>
              <w:rPr>
                <w:rFonts w:cs="Times New Roman"/>
                <w:szCs w:val="24"/>
              </w:rPr>
            </w:pPr>
            <w:r w:rsidRPr="00205432">
              <w:rPr>
                <w:rFonts w:cs="Times New Roman"/>
                <w:i/>
                <w:szCs w:val="24"/>
              </w:rPr>
              <w:t>DivYieldCHANGE</w:t>
            </w:r>
            <w:r w:rsidRPr="00205432">
              <w:rPr>
                <w:rFonts w:cs="Times New Roman"/>
                <w:szCs w:val="24"/>
              </w:rPr>
              <w:t xml:space="preserve"> – dividendinio pajamingumo pokytis </w:t>
            </w:r>
            <w:r w:rsidRPr="00205432">
              <w:rPr>
                <w:rFonts w:cs="Times New Roman"/>
                <w:i/>
                <w:szCs w:val="24"/>
              </w:rPr>
              <w:t>(nepr</w:t>
            </w:r>
            <w:r>
              <w:rPr>
                <w:rFonts w:cs="Times New Roman"/>
                <w:i/>
                <w:szCs w:val="24"/>
              </w:rPr>
              <w:t>ikl</w:t>
            </w:r>
            <w:r w:rsidRPr="00205432">
              <w:rPr>
                <w:rFonts w:cs="Times New Roman"/>
                <w:i/>
                <w:szCs w:val="24"/>
              </w:rPr>
              <w:t>.</w:t>
            </w:r>
            <w:r>
              <w:rPr>
                <w:rFonts w:cs="Times New Roman"/>
                <w:i/>
                <w:szCs w:val="24"/>
              </w:rPr>
              <w:t xml:space="preserve"> </w:t>
            </w:r>
            <w:r w:rsidRPr="00205432">
              <w:rPr>
                <w:rFonts w:cs="Times New Roman"/>
                <w:i/>
                <w:szCs w:val="24"/>
              </w:rPr>
              <w:t>kintamasis</w:t>
            </w:r>
            <w:r w:rsidRPr="00205432">
              <w:rPr>
                <w:rFonts w:cs="Times New Roman"/>
                <w:szCs w:val="24"/>
              </w:rPr>
              <w:t>)</w:t>
            </w:r>
          </w:p>
          <w:p w:rsidR="00D132CB" w:rsidRPr="00205432" w:rsidRDefault="00D132CB" w:rsidP="00205432">
            <w:pPr>
              <w:spacing w:before="0" w:line="240" w:lineRule="auto"/>
              <w:ind w:firstLine="0"/>
              <w:jc w:val="center"/>
              <w:rPr>
                <w:rFonts w:cs="Times New Roman"/>
                <w:szCs w:val="24"/>
                <w:u w:val="single"/>
              </w:rPr>
            </w:pPr>
            <w:r w:rsidRPr="00205432">
              <w:rPr>
                <w:rFonts w:cs="Times New Roman"/>
                <w:szCs w:val="24"/>
                <w:u w:val="single"/>
              </w:rPr>
              <w:t>Dividendų signalizavimo hipotezė:</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 xml:space="preserve">PIN </w:t>
            </w:r>
            <w:r w:rsidRPr="00205432">
              <w:rPr>
                <w:rFonts w:cs="Times New Roman"/>
                <w:szCs w:val="24"/>
              </w:rPr>
              <w:t>– asimetriškos informacijos laipsnis;</w:t>
            </w:r>
          </w:p>
          <w:p w:rsidR="00D132CB" w:rsidRPr="00205432" w:rsidRDefault="00D132CB" w:rsidP="00205432">
            <w:pPr>
              <w:spacing w:before="0" w:line="240" w:lineRule="auto"/>
              <w:ind w:firstLine="0"/>
              <w:jc w:val="center"/>
              <w:rPr>
                <w:rFonts w:cs="Times New Roman"/>
                <w:i/>
                <w:szCs w:val="24"/>
              </w:rPr>
            </w:pPr>
            <w:r w:rsidRPr="00205432">
              <w:rPr>
                <w:rFonts w:cs="Times New Roman"/>
                <w:i/>
                <w:szCs w:val="24"/>
              </w:rPr>
              <w:t xml:space="preserve">THETA – </w:t>
            </w:r>
            <w:r w:rsidRPr="00205432">
              <w:rPr>
                <w:rFonts w:cs="Times New Roman"/>
                <w:szCs w:val="24"/>
              </w:rPr>
              <w:t>dividendų pajamų po mokesčių ir atidėto pelno palyginamasis rodiklis;</w:t>
            </w:r>
          </w:p>
          <w:p w:rsidR="00D132CB" w:rsidRPr="00205432" w:rsidRDefault="00D132CB" w:rsidP="00205432">
            <w:pPr>
              <w:spacing w:before="0" w:line="240" w:lineRule="auto"/>
              <w:ind w:firstLine="0"/>
              <w:jc w:val="center"/>
              <w:rPr>
                <w:rFonts w:cs="Times New Roman"/>
                <w:i/>
                <w:szCs w:val="24"/>
              </w:rPr>
            </w:pPr>
            <w:r w:rsidRPr="00205432">
              <w:rPr>
                <w:rFonts w:cs="Times New Roman"/>
                <w:i/>
                <w:szCs w:val="24"/>
              </w:rPr>
              <w:t xml:space="preserve">MTB – </w:t>
            </w:r>
            <w:r w:rsidRPr="00205432">
              <w:rPr>
                <w:rFonts w:cs="Times New Roman"/>
                <w:szCs w:val="24"/>
              </w:rPr>
              <w:t>bendrovės rinkos ir buhalterinės vertės santykis;</w:t>
            </w:r>
          </w:p>
          <w:p w:rsidR="00D132CB" w:rsidRPr="00205432" w:rsidRDefault="00D132CB" w:rsidP="00205432">
            <w:pPr>
              <w:spacing w:before="0" w:line="240" w:lineRule="auto"/>
              <w:ind w:firstLine="0"/>
              <w:jc w:val="center"/>
              <w:rPr>
                <w:rFonts w:cs="Times New Roman"/>
                <w:i/>
                <w:szCs w:val="24"/>
              </w:rPr>
            </w:pPr>
            <w:r w:rsidRPr="00205432">
              <w:rPr>
                <w:rFonts w:cs="Times New Roman"/>
                <w:i/>
                <w:szCs w:val="24"/>
              </w:rPr>
              <w:t>AGR</w:t>
            </w:r>
            <w:r w:rsidR="004715CF">
              <w:rPr>
                <w:rFonts w:cs="Times New Roman"/>
                <w:i/>
                <w:szCs w:val="24"/>
              </w:rPr>
              <w:t xml:space="preserve"> – </w:t>
            </w:r>
            <w:r w:rsidR="004715CF" w:rsidRPr="004715CF">
              <w:rPr>
                <w:rFonts w:cs="Times New Roman"/>
                <w:szCs w:val="24"/>
              </w:rPr>
              <w:t>turto augimo tempas;</w:t>
            </w:r>
          </w:p>
          <w:p w:rsidR="00D132CB" w:rsidRPr="00205432" w:rsidRDefault="00D132CB" w:rsidP="00205432">
            <w:pPr>
              <w:spacing w:before="0" w:line="240" w:lineRule="auto"/>
              <w:ind w:firstLine="0"/>
              <w:jc w:val="center"/>
              <w:rPr>
                <w:rFonts w:cs="Times New Roman"/>
                <w:i/>
                <w:szCs w:val="24"/>
              </w:rPr>
            </w:pPr>
            <w:r w:rsidRPr="00205432">
              <w:rPr>
                <w:rFonts w:cs="Times New Roman"/>
                <w:i/>
                <w:szCs w:val="24"/>
              </w:rPr>
              <w:t xml:space="preserve">INVRATIO – </w:t>
            </w:r>
            <w:r w:rsidRPr="00B7726A">
              <w:rPr>
                <w:rFonts w:cs="Times New Roman"/>
                <w:szCs w:val="24"/>
              </w:rPr>
              <w:t xml:space="preserve">(mokslinių tyrimų ir taikomosios veiklos + kapitalo išlaidos) / </w:t>
            </w:r>
            <w:r w:rsidR="00A42E0A">
              <w:rPr>
                <w:rFonts w:cs="Times New Roman"/>
                <w:szCs w:val="24"/>
              </w:rPr>
              <w:t>turtas</w:t>
            </w:r>
          </w:p>
          <w:p w:rsidR="00D132CB" w:rsidRPr="00205432" w:rsidRDefault="00D132CB" w:rsidP="00205432">
            <w:pPr>
              <w:spacing w:before="0" w:line="240" w:lineRule="auto"/>
              <w:ind w:firstLine="0"/>
              <w:jc w:val="center"/>
              <w:rPr>
                <w:rFonts w:cs="Times New Roman"/>
                <w:szCs w:val="24"/>
                <w:u w:val="single"/>
              </w:rPr>
            </w:pPr>
            <w:r w:rsidRPr="00205432">
              <w:rPr>
                <w:rFonts w:cs="Times New Roman"/>
                <w:szCs w:val="24"/>
                <w:u w:val="single"/>
              </w:rPr>
              <w:t>Laisvo pinigų srauto hipotezė:</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GOVINDEX</w:t>
            </w:r>
            <w:r w:rsidRPr="00205432">
              <w:rPr>
                <w:rFonts w:cs="Times New Roman"/>
                <w:szCs w:val="24"/>
              </w:rPr>
              <w:t xml:space="preserve"> – bendrovės akcininkų struktūros rodiklis;</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INDDIR</w:t>
            </w:r>
            <w:r w:rsidRPr="00205432">
              <w:rPr>
                <w:rFonts w:cs="Times New Roman"/>
                <w:szCs w:val="24"/>
              </w:rPr>
              <w:t xml:space="preserve"> – nepriklausomų bendrovės vadovų santykis visoje vadovybėje;</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PROF</w:t>
            </w:r>
            <w:r w:rsidRPr="00205432">
              <w:rPr>
                <w:rFonts w:cs="Times New Roman"/>
                <w:szCs w:val="24"/>
              </w:rPr>
              <w:t xml:space="preserve"> – pelno prieš apmokestinimą ir viso turto santykis;</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CASHRATIO</w:t>
            </w:r>
            <w:r w:rsidRPr="00205432">
              <w:rPr>
                <w:rFonts w:cs="Times New Roman"/>
                <w:szCs w:val="24"/>
              </w:rPr>
              <w:t xml:space="preserve"> – bendrovės pinigų ir trumpalaikio turto santykis su visu turtu;</w:t>
            </w:r>
          </w:p>
          <w:p w:rsidR="00D132CB" w:rsidRPr="00205432" w:rsidRDefault="00D132CB" w:rsidP="00205432">
            <w:pPr>
              <w:spacing w:before="0" w:line="240" w:lineRule="auto"/>
              <w:ind w:firstLine="0"/>
              <w:jc w:val="center"/>
              <w:rPr>
                <w:rFonts w:cs="Times New Roman"/>
                <w:szCs w:val="24"/>
              </w:rPr>
            </w:pPr>
            <w:r w:rsidRPr="00205432">
              <w:rPr>
                <w:rFonts w:cs="Times New Roman"/>
                <w:szCs w:val="24"/>
                <w:u w:val="single"/>
              </w:rPr>
              <w:t>Brandos hipotezė</w:t>
            </w:r>
            <w:r w:rsidRPr="00205432">
              <w:rPr>
                <w:rFonts w:cs="Times New Roman"/>
                <w:szCs w:val="24"/>
              </w:rPr>
              <w:t>:</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RETE</w:t>
            </w:r>
            <w:r w:rsidRPr="00205432">
              <w:rPr>
                <w:rFonts w:cs="Times New Roman"/>
                <w:szCs w:val="24"/>
              </w:rPr>
              <w:t xml:space="preserve"> – nepaskirstyto pelno ir akcinio kapitalo santykis;</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PAYRATIO</w:t>
            </w:r>
            <w:r w:rsidRPr="00205432">
              <w:rPr>
                <w:rFonts w:cs="Times New Roman"/>
                <w:szCs w:val="24"/>
              </w:rPr>
              <w:t xml:space="preserve"> – paprastųjų akcijų dividendų santykis su pelnu prieš apmokestinimą;</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AGE</w:t>
            </w:r>
            <w:r w:rsidRPr="00205432">
              <w:rPr>
                <w:rFonts w:cs="Times New Roman"/>
                <w:szCs w:val="24"/>
              </w:rPr>
              <w:t xml:space="preserve"> – įmonės veiklos metų rodiklis (Dividendų paskelbimo data – įkūrimo data)</w:t>
            </w:r>
          </w:p>
          <w:p w:rsidR="00D132CB" w:rsidRPr="00205432" w:rsidRDefault="00D132CB" w:rsidP="00205432">
            <w:pPr>
              <w:spacing w:before="0" w:line="240" w:lineRule="auto"/>
              <w:ind w:firstLine="0"/>
              <w:jc w:val="center"/>
              <w:rPr>
                <w:rFonts w:cs="Times New Roman"/>
                <w:szCs w:val="24"/>
              </w:rPr>
            </w:pPr>
            <w:r w:rsidRPr="00205432">
              <w:rPr>
                <w:rFonts w:cs="Times New Roman"/>
                <w:szCs w:val="24"/>
                <w:u w:val="single"/>
              </w:rPr>
              <w:t>Pataikavimo hipotezė</w:t>
            </w:r>
            <w:r w:rsidRPr="00205432">
              <w:rPr>
                <w:rFonts w:cs="Times New Roman"/>
                <w:szCs w:val="24"/>
              </w:rPr>
              <w:t>:</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DIVPREM</w:t>
            </w:r>
            <w:r w:rsidRPr="00205432">
              <w:rPr>
                <w:rFonts w:cs="Times New Roman"/>
                <w:szCs w:val="24"/>
              </w:rPr>
              <w:t xml:space="preserve"> –</w:t>
            </w:r>
            <w:r>
              <w:rPr>
                <w:rFonts w:cs="Times New Roman"/>
                <w:szCs w:val="24"/>
              </w:rPr>
              <w:t xml:space="preserve"> įvertinami skirtumai tarp įmonių mokančių ir nemokančių dividendus;</w:t>
            </w:r>
          </w:p>
          <w:p w:rsidR="00D132CB" w:rsidRPr="00205432" w:rsidRDefault="00D132CB" w:rsidP="00205432">
            <w:pPr>
              <w:spacing w:before="0" w:line="240" w:lineRule="auto"/>
              <w:ind w:firstLine="0"/>
              <w:jc w:val="center"/>
              <w:rPr>
                <w:rFonts w:cs="Times New Roman"/>
                <w:szCs w:val="24"/>
              </w:rPr>
            </w:pPr>
            <w:r w:rsidRPr="00205432">
              <w:rPr>
                <w:rFonts w:cs="Times New Roman"/>
                <w:i/>
                <w:szCs w:val="24"/>
              </w:rPr>
              <w:t>LEV</w:t>
            </w:r>
            <w:r w:rsidRPr="00205432">
              <w:rPr>
                <w:rFonts w:cs="Times New Roman"/>
                <w:szCs w:val="24"/>
              </w:rPr>
              <w:t xml:space="preserve"> – įmonės sverto rodiklis, atspindintis įsiskolinimus;</w:t>
            </w:r>
          </w:p>
          <w:p w:rsidR="00D132CB" w:rsidRPr="000244C8" w:rsidRDefault="00D132CB" w:rsidP="00205432">
            <w:pPr>
              <w:spacing w:before="0" w:line="240" w:lineRule="auto"/>
              <w:ind w:firstLine="0"/>
              <w:jc w:val="center"/>
              <w:rPr>
                <w:rFonts w:cs="Times New Roman"/>
                <w:szCs w:val="24"/>
              </w:rPr>
            </w:pPr>
            <w:r w:rsidRPr="00205432">
              <w:rPr>
                <w:rFonts w:cs="Times New Roman"/>
                <w:i/>
                <w:szCs w:val="24"/>
              </w:rPr>
              <w:t>ASSETS, SIZE</w:t>
            </w:r>
            <w:r w:rsidRPr="00205432">
              <w:rPr>
                <w:rFonts w:cs="Times New Roman"/>
                <w:szCs w:val="24"/>
              </w:rPr>
              <w:t xml:space="preserve"> – įmonės dydžio rodikliai;</w:t>
            </w:r>
          </w:p>
        </w:tc>
      </w:tr>
      <w:tr w:rsidR="00A42E0A" w:rsidTr="00780324">
        <w:trPr>
          <w:jc w:val="center"/>
        </w:trPr>
        <w:tc>
          <w:tcPr>
            <w:tcW w:w="1503" w:type="dxa"/>
            <w:vAlign w:val="center"/>
          </w:tcPr>
          <w:p w:rsidR="00A42E0A" w:rsidRPr="008235BD" w:rsidRDefault="00A42E0A" w:rsidP="00AA01CA">
            <w:pPr>
              <w:spacing w:before="0" w:line="240" w:lineRule="auto"/>
              <w:ind w:firstLine="0"/>
              <w:jc w:val="center"/>
              <w:rPr>
                <w:rFonts w:cs="Times New Roman"/>
                <w:szCs w:val="24"/>
              </w:rPr>
            </w:pPr>
            <w:r>
              <w:rPr>
                <w:rFonts w:cs="Times New Roman"/>
                <w:szCs w:val="24"/>
              </w:rPr>
              <w:t>Bougatef, (2011)</w:t>
            </w:r>
          </w:p>
        </w:tc>
        <w:tc>
          <w:tcPr>
            <w:tcW w:w="8526" w:type="dxa"/>
            <w:tcBorders>
              <w:bottom w:val="nil"/>
            </w:tcBorders>
            <w:vAlign w:val="center"/>
          </w:tcPr>
          <w:p w:rsidR="00A42E0A" w:rsidRDefault="00A42E0A" w:rsidP="00AA01CA">
            <w:pPr>
              <w:spacing w:before="0" w:line="240" w:lineRule="auto"/>
              <w:ind w:firstLine="0"/>
              <w:jc w:val="center"/>
              <w:rPr>
                <w:rFonts w:cs="Times New Roman"/>
                <w:b/>
              </w:rPr>
            </w:pPr>
            <w:r w:rsidRPr="008235BD">
              <w:rPr>
                <w:rFonts w:cs="Times New Roman"/>
                <w:b/>
              </w:rPr>
              <w:t>Analizuojami kriterijai</w:t>
            </w:r>
          </w:p>
          <w:p w:rsidR="00A42E0A" w:rsidRPr="008235BD" w:rsidRDefault="00A42E0A" w:rsidP="004715CF">
            <w:pPr>
              <w:spacing w:before="0" w:line="240" w:lineRule="auto"/>
              <w:ind w:firstLine="0"/>
              <w:jc w:val="center"/>
              <w:rPr>
                <w:rFonts w:cs="Times New Roman"/>
                <w:szCs w:val="24"/>
              </w:rPr>
            </w:pPr>
            <w:r w:rsidRPr="008235BD">
              <w:rPr>
                <w:rFonts w:cs="Times New Roman"/>
                <w:i/>
                <w:szCs w:val="24"/>
              </w:rPr>
              <w:t xml:space="preserve"> PRICE</w:t>
            </w:r>
            <w:r w:rsidRPr="008235BD">
              <w:rPr>
                <w:rFonts w:cs="Times New Roman"/>
                <w:szCs w:val="24"/>
              </w:rPr>
              <w:t xml:space="preserve"> – akcijos kaina</w:t>
            </w:r>
            <w:r>
              <w:rPr>
                <w:rFonts w:cs="Times New Roman"/>
                <w:szCs w:val="24"/>
              </w:rPr>
              <w:t xml:space="preserve"> </w:t>
            </w:r>
            <w:r w:rsidRPr="00205432">
              <w:rPr>
                <w:rFonts w:cs="Times New Roman"/>
                <w:i/>
                <w:szCs w:val="24"/>
              </w:rPr>
              <w:t>(priklausomas kintamasis)</w:t>
            </w:r>
            <w:r w:rsidRPr="008235BD">
              <w:rPr>
                <w:rFonts w:cs="Times New Roman"/>
                <w:szCs w:val="24"/>
              </w:rPr>
              <w:t>;</w:t>
            </w:r>
          </w:p>
          <w:p w:rsidR="00A42E0A" w:rsidRPr="008235BD" w:rsidRDefault="00A42E0A" w:rsidP="00AA01CA">
            <w:pPr>
              <w:spacing w:before="0" w:line="240" w:lineRule="auto"/>
              <w:ind w:firstLine="0"/>
              <w:jc w:val="center"/>
              <w:rPr>
                <w:rFonts w:cs="Times New Roman"/>
                <w:szCs w:val="24"/>
              </w:rPr>
            </w:pPr>
            <w:r w:rsidRPr="008235BD">
              <w:rPr>
                <w:rFonts w:cs="Times New Roman"/>
                <w:i/>
                <w:szCs w:val="24"/>
              </w:rPr>
              <w:t>DIVIDENDS</w:t>
            </w:r>
            <w:r w:rsidRPr="008235BD">
              <w:rPr>
                <w:rFonts w:cs="Times New Roman"/>
                <w:szCs w:val="24"/>
              </w:rPr>
              <w:t xml:space="preserve"> – dividendų dydis</w:t>
            </w:r>
            <w:r>
              <w:rPr>
                <w:rFonts w:cs="Times New Roman"/>
                <w:szCs w:val="24"/>
              </w:rPr>
              <w:t xml:space="preserve"> (</w:t>
            </w:r>
            <w:r w:rsidRPr="00205432">
              <w:rPr>
                <w:rFonts w:cs="Times New Roman"/>
                <w:i/>
                <w:szCs w:val="24"/>
              </w:rPr>
              <w:t>analizuojamas nepriklausomas kintamasis)</w:t>
            </w:r>
            <w:r w:rsidRPr="008235BD">
              <w:rPr>
                <w:rFonts w:cs="Times New Roman"/>
                <w:szCs w:val="24"/>
              </w:rPr>
              <w:t>;</w:t>
            </w:r>
          </w:p>
          <w:p w:rsidR="00A42E0A" w:rsidRPr="008235BD" w:rsidRDefault="00A42E0A" w:rsidP="00AA01CA">
            <w:pPr>
              <w:spacing w:before="0" w:line="240" w:lineRule="auto"/>
              <w:ind w:firstLine="0"/>
              <w:jc w:val="center"/>
              <w:rPr>
                <w:rFonts w:cs="Times New Roman"/>
                <w:szCs w:val="24"/>
              </w:rPr>
            </w:pPr>
            <w:r w:rsidRPr="008235BD">
              <w:rPr>
                <w:rFonts w:cs="Times New Roman"/>
                <w:i/>
                <w:szCs w:val="24"/>
              </w:rPr>
              <w:t>PROF</w:t>
            </w:r>
            <w:r w:rsidRPr="008235BD">
              <w:rPr>
                <w:rFonts w:cs="Times New Roman"/>
                <w:szCs w:val="24"/>
              </w:rPr>
              <w:t xml:space="preserve"> – pelnas prieš mokesčius, tenkantis visam turtui;</w:t>
            </w:r>
          </w:p>
          <w:p w:rsidR="00A42E0A" w:rsidRPr="008235BD" w:rsidRDefault="00A42E0A" w:rsidP="00AA01CA">
            <w:pPr>
              <w:spacing w:before="0" w:line="240" w:lineRule="auto"/>
              <w:ind w:firstLine="0"/>
              <w:jc w:val="center"/>
              <w:rPr>
                <w:rFonts w:cs="Times New Roman"/>
                <w:szCs w:val="24"/>
              </w:rPr>
            </w:pPr>
            <w:r w:rsidRPr="008235BD">
              <w:rPr>
                <w:rFonts w:cs="Times New Roman"/>
                <w:i/>
                <w:szCs w:val="24"/>
              </w:rPr>
              <w:t>INFLATION</w:t>
            </w:r>
            <w:r w:rsidRPr="008235BD">
              <w:rPr>
                <w:rFonts w:cs="Times New Roman"/>
                <w:szCs w:val="24"/>
              </w:rPr>
              <w:t xml:space="preserve"> – vartotojų kainų indekso pokytis, procentais (infliacija);</w:t>
            </w:r>
          </w:p>
          <w:p w:rsidR="00A42E0A" w:rsidRPr="008235BD" w:rsidRDefault="00A42E0A" w:rsidP="00AA01CA">
            <w:pPr>
              <w:spacing w:before="0" w:line="240" w:lineRule="auto"/>
              <w:ind w:firstLine="0"/>
              <w:jc w:val="center"/>
              <w:rPr>
                <w:rFonts w:cs="Times New Roman"/>
                <w:szCs w:val="24"/>
              </w:rPr>
            </w:pPr>
            <w:r w:rsidRPr="008235BD">
              <w:rPr>
                <w:rFonts w:cs="Times New Roman"/>
                <w:i/>
                <w:szCs w:val="24"/>
              </w:rPr>
              <w:t>INTEREST</w:t>
            </w:r>
            <w:r w:rsidRPr="008235BD">
              <w:rPr>
                <w:rFonts w:cs="Times New Roman"/>
                <w:szCs w:val="24"/>
              </w:rPr>
              <w:t xml:space="preserve"> -  šalies pinigų rinkos metinė palūkanų norma;</w:t>
            </w:r>
          </w:p>
          <w:p w:rsidR="00A42E0A" w:rsidRPr="008235BD" w:rsidRDefault="00A42E0A" w:rsidP="00AA01CA">
            <w:pPr>
              <w:spacing w:before="0" w:line="240" w:lineRule="auto"/>
              <w:ind w:firstLine="0"/>
              <w:jc w:val="center"/>
              <w:rPr>
                <w:rFonts w:cs="Times New Roman"/>
                <w:szCs w:val="24"/>
              </w:rPr>
            </w:pPr>
            <w:r w:rsidRPr="008235BD">
              <w:rPr>
                <w:rFonts w:cs="Times New Roman"/>
                <w:i/>
                <w:szCs w:val="24"/>
              </w:rPr>
              <w:t>MARKET</w:t>
            </w:r>
            <w:r w:rsidRPr="008235BD">
              <w:rPr>
                <w:rFonts w:cs="Times New Roman"/>
                <w:szCs w:val="24"/>
              </w:rPr>
              <w:t xml:space="preserve"> – metinė šalies akcijų rinkos indekso grąža.</w:t>
            </w:r>
          </w:p>
        </w:tc>
      </w:tr>
      <w:tr w:rsidR="00A42E0A" w:rsidTr="00780324">
        <w:trPr>
          <w:jc w:val="center"/>
        </w:trPr>
        <w:tc>
          <w:tcPr>
            <w:tcW w:w="1503" w:type="dxa"/>
            <w:vMerge w:val="restart"/>
            <w:vAlign w:val="center"/>
          </w:tcPr>
          <w:p w:rsidR="00A42E0A" w:rsidRPr="008235BD" w:rsidRDefault="00A42E0A" w:rsidP="00205432">
            <w:pPr>
              <w:spacing w:line="240" w:lineRule="auto"/>
              <w:ind w:firstLine="0"/>
              <w:jc w:val="center"/>
              <w:rPr>
                <w:rFonts w:cs="Times New Roman"/>
                <w:szCs w:val="24"/>
              </w:rPr>
            </w:pPr>
            <w:r>
              <w:rPr>
                <w:rFonts w:cs="Times New Roman"/>
                <w:szCs w:val="24"/>
              </w:rPr>
              <w:t>Khan, Aamir, Qayyum, Nasir, Khan</w:t>
            </w:r>
            <w:r w:rsidRPr="008235BD">
              <w:rPr>
                <w:rFonts w:cs="Times New Roman"/>
                <w:szCs w:val="24"/>
              </w:rPr>
              <w:t xml:space="preserve"> (2011)</w:t>
            </w:r>
          </w:p>
        </w:tc>
        <w:tc>
          <w:tcPr>
            <w:tcW w:w="8526" w:type="dxa"/>
            <w:tcBorders>
              <w:bottom w:val="nil"/>
            </w:tcBorders>
            <w:vAlign w:val="center"/>
          </w:tcPr>
          <w:p w:rsidR="00A42E0A" w:rsidRPr="000244C8" w:rsidRDefault="00A42E0A" w:rsidP="00205432">
            <w:pPr>
              <w:spacing w:before="0" w:line="240" w:lineRule="auto"/>
              <w:ind w:firstLine="0"/>
              <w:jc w:val="center"/>
              <w:rPr>
                <w:rFonts w:cs="Times New Roman"/>
                <w:szCs w:val="24"/>
              </w:rPr>
            </w:pPr>
            <w:r>
              <w:rPr>
                <w:rFonts w:cs="Times New Roman"/>
                <w:b/>
              </w:rPr>
              <w:t>Siūlomas</w:t>
            </w:r>
            <w:r w:rsidRPr="008235BD">
              <w:rPr>
                <w:rFonts w:cs="Times New Roman"/>
                <w:b/>
              </w:rPr>
              <w:t xml:space="preserve"> modelis (regresijos lygtis)</w:t>
            </w:r>
          </w:p>
        </w:tc>
      </w:tr>
      <w:tr w:rsidR="00A42E0A" w:rsidTr="00780324">
        <w:trPr>
          <w:jc w:val="center"/>
        </w:trPr>
        <w:tc>
          <w:tcPr>
            <w:tcW w:w="1503" w:type="dxa"/>
            <w:vMerge/>
            <w:vAlign w:val="center"/>
          </w:tcPr>
          <w:p w:rsidR="00A42E0A" w:rsidRPr="008235BD" w:rsidRDefault="00A42E0A" w:rsidP="00205432">
            <w:pPr>
              <w:spacing w:before="0" w:line="240" w:lineRule="auto"/>
              <w:ind w:firstLine="0"/>
              <w:jc w:val="center"/>
              <w:rPr>
                <w:rFonts w:cs="Times New Roman"/>
                <w:szCs w:val="24"/>
              </w:rPr>
            </w:pPr>
          </w:p>
        </w:tc>
        <w:tc>
          <w:tcPr>
            <w:tcW w:w="8526" w:type="dxa"/>
            <w:tcBorders>
              <w:top w:val="nil"/>
              <w:bottom w:val="single" w:sz="12" w:space="0" w:color="auto"/>
            </w:tcBorders>
            <w:vAlign w:val="center"/>
          </w:tcPr>
          <w:p w:rsidR="00A42E0A" w:rsidRPr="00B7726A" w:rsidRDefault="00A42E0A" w:rsidP="004715CF">
            <w:pPr>
              <w:spacing w:before="0" w:line="240" w:lineRule="auto"/>
              <w:ind w:firstLine="0"/>
              <w:jc w:val="center"/>
              <w:rPr>
                <w:rFonts w:cs="Times New Roman"/>
                <w:i/>
                <w:szCs w:val="24"/>
                <w:lang w:val="en-US"/>
              </w:rPr>
            </w:pPr>
            <w:r>
              <w:rPr>
                <w:rFonts w:cs="Times New Roman"/>
                <w:i/>
                <w:szCs w:val="24"/>
              </w:rPr>
              <w:t xml:space="preserve">MP </w:t>
            </w:r>
            <w:r>
              <w:rPr>
                <w:rFonts w:cs="Times New Roman"/>
                <w:i/>
                <w:szCs w:val="24"/>
                <w:lang w:val="en-US"/>
              </w:rPr>
              <w:t xml:space="preserve">= </w:t>
            </w:r>
            <w:r w:rsidRPr="008235BD">
              <w:rPr>
                <w:rFonts w:cs="Times New Roman"/>
                <w:i/>
                <w:szCs w:val="24"/>
              </w:rPr>
              <w:t>α</w:t>
            </w:r>
            <w:r>
              <w:rPr>
                <w:rFonts w:cs="Times New Roman"/>
                <w:i/>
                <w:szCs w:val="24"/>
              </w:rPr>
              <w:t xml:space="preserve"> + </w:t>
            </w:r>
            <w:r w:rsidRPr="008235BD">
              <w:rPr>
                <w:rFonts w:cs="Times New Roman"/>
                <w:i/>
                <w:szCs w:val="24"/>
              </w:rPr>
              <w:t>α</w:t>
            </w:r>
            <w:r w:rsidRPr="008235BD">
              <w:rPr>
                <w:rFonts w:cs="Times New Roman"/>
                <w:i/>
                <w:szCs w:val="24"/>
                <w:vertAlign w:val="subscript"/>
              </w:rPr>
              <w:t>1</w:t>
            </w:r>
            <w:r>
              <w:rPr>
                <w:rFonts w:cs="Times New Roman"/>
                <w:i/>
                <w:szCs w:val="24"/>
              </w:rPr>
              <w:t xml:space="preserve">DY + </w:t>
            </w:r>
            <w:r w:rsidRPr="008235BD">
              <w:rPr>
                <w:rFonts w:cs="Times New Roman"/>
                <w:i/>
                <w:szCs w:val="24"/>
              </w:rPr>
              <w:t>α</w:t>
            </w:r>
            <w:r>
              <w:rPr>
                <w:rFonts w:cs="Times New Roman"/>
                <w:i/>
                <w:szCs w:val="24"/>
                <w:vertAlign w:val="subscript"/>
              </w:rPr>
              <w:t>2</w:t>
            </w:r>
            <w:r>
              <w:rPr>
                <w:rFonts w:cs="Times New Roman"/>
                <w:i/>
                <w:szCs w:val="24"/>
              </w:rPr>
              <w:t xml:space="preserve">RR + </w:t>
            </w:r>
            <w:r w:rsidRPr="008235BD">
              <w:rPr>
                <w:rFonts w:cs="Times New Roman"/>
                <w:i/>
                <w:szCs w:val="24"/>
              </w:rPr>
              <w:t>α</w:t>
            </w:r>
            <w:r>
              <w:rPr>
                <w:rFonts w:cs="Times New Roman"/>
                <w:i/>
                <w:szCs w:val="24"/>
                <w:vertAlign w:val="subscript"/>
              </w:rPr>
              <w:t>3</w:t>
            </w:r>
            <w:r>
              <w:rPr>
                <w:rFonts w:cs="Times New Roman"/>
                <w:i/>
                <w:szCs w:val="24"/>
              </w:rPr>
              <w:t xml:space="preserve">PAT + </w:t>
            </w:r>
            <w:r w:rsidRPr="008235BD">
              <w:rPr>
                <w:rFonts w:cs="Times New Roman"/>
                <w:i/>
                <w:szCs w:val="24"/>
              </w:rPr>
              <w:t>α</w:t>
            </w:r>
            <w:r>
              <w:rPr>
                <w:rFonts w:cs="Times New Roman"/>
                <w:i/>
                <w:szCs w:val="24"/>
                <w:vertAlign w:val="subscript"/>
              </w:rPr>
              <w:t>4</w:t>
            </w:r>
            <w:r>
              <w:rPr>
                <w:rFonts w:cs="Times New Roman"/>
                <w:i/>
                <w:szCs w:val="24"/>
              </w:rPr>
              <w:t xml:space="preserve">EPS + </w:t>
            </w:r>
            <w:r w:rsidRPr="008235BD">
              <w:rPr>
                <w:rFonts w:cs="Times New Roman"/>
                <w:i/>
                <w:szCs w:val="24"/>
              </w:rPr>
              <w:t>α</w:t>
            </w:r>
            <w:r>
              <w:rPr>
                <w:rFonts w:cs="Times New Roman"/>
                <w:i/>
                <w:szCs w:val="24"/>
                <w:vertAlign w:val="subscript"/>
              </w:rPr>
              <w:t>5</w:t>
            </w:r>
            <w:r>
              <w:rPr>
                <w:rFonts w:cs="Times New Roman"/>
                <w:i/>
                <w:szCs w:val="24"/>
              </w:rPr>
              <w:t xml:space="preserve">ROE;       </w:t>
            </w:r>
            <w:r w:rsidRPr="00B7726A">
              <w:rPr>
                <w:rFonts w:cs="Times New Roman"/>
                <w:szCs w:val="24"/>
              </w:rPr>
              <w:t>(3)</w:t>
            </w:r>
          </w:p>
        </w:tc>
      </w:tr>
      <w:tr w:rsidR="00A42E0A" w:rsidTr="00780324">
        <w:trPr>
          <w:jc w:val="center"/>
        </w:trPr>
        <w:tc>
          <w:tcPr>
            <w:tcW w:w="1503" w:type="dxa"/>
            <w:vMerge/>
            <w:tcBorders>
              <w:bottom w:val="single" w:sz="12" w:space="0" w:color="auto"/>
            </w:tcBorders>
            <w:vAlign w:val="center"/>
          </w:tcPr>
          <w:p w:rsidR="00A42E0A" w:rsidRPr="008235BD" w:rsidRDefault="00A42E0A" w:rsidP="00205432">
            <w:pPr>
              <w:spacing w:before="0" w:line="240" w:lineRule="auto"/>
              <w:ind w:firstLine="0"/>
              <w:jc w:val="center"/>
              <w:rPr>
                <w:rFonts w:cs="Times New Roman"/>
                <w:szCs w:val="24"/>
              </w:rPr>
            </w:pPr>
          </w:p>
        </w:tc>
        <w:tc>
          <w:tcPr>
            <w:tcW w:w="8526" w:type="dxa"/>
            <w:tcBorders>
              <w:top w:val="nil"/>
              <w:bottom w:val="single" w:sz="12" w:space="0" w:color="auto"/>
            </w:tcBorders>
            <w:vAlign w:val="center"/>
          </w:tcPr>
          <w:p w:rsidR="00A42E0A" w:rsidRDefault="00A42E0A" w:rsidP="00205432">
            <w:pPr>
              <w:spacing w:before="0" w:line="240" w:lineRule="auto"/>
              <w:ind w:firstLine="0"/>
              <w:jc w:val="center"/>
              <w:rPr>
                <w:rFonts w:cs="Times New Roman"/>
                <w:szCs w:val="24"/>
              </w:rPr>
            </w:pPr>
            <w:r w:rsidRPr="006D5025">
              <w:rPr>
                <w:rFonts w:cs="Times New Roman"/>
                <w:b/>
                <w:szCs w:val="24"/>
              </w:rPr>
              <w:t>Čia:</w:t>
            </w:r>
            <w:r>
              <w:rPr>
                <w:rFonts w:cs="Times New Roman"/>
                <w:szCs w:val="24"/>
              </w:rPr>
              <w:t xml:space="preserve"> </w:t>
            </w:r>
            <w:r w:rsidRPr="00A42E0A">
              <w:rPr>
                <w:rFonts w:cs="Times New Roman"/>
                <w:i/>
                <w:szCs w:val="24"/>
              </w:rPr>
              <w:t xml:space="preserve">MP </w:t>
            </w:r>
            <w:r>
              <w:rPr>
                <w:rFonts w:cs="Times New Roman"/>
                <w:szCs w:val="24"/>
              </w:rPr>
              <w:t>– akcijų kaina;</w:t>
            </w:r>
          </w:p>
          <w:p w:rsidR="00A42E0A" w:rsidRDefault="00A42E0A" w:rsidP="00205432">
            <w:pPr>
              <w:spacing w:before="0" w:line="240" w:lineRule="auto"/>
              <w:ind w:firstLine="0"/>
              <w:jc w:val="center"/>
              <w:rPr>
                <w:rFonts w:cs="Times New Roman"/>
                <w:szCs w:val="24"/>
              </w:rPr>
            </w:pPr>
            <w:r w:rsidRPr="00A42E0A">
              <w:rPr>
                <w:rFonts w:cs="Times New Roman"/>
                <w:i/>
                <w:szCs w:val="24"/>
              </w:rPr>
              <w:t>DY</w:t>
            </w:r>
            <w:r>
              <w:rPr>
                <w:rFonts w:cs="Times New Roman"/>
                <w:szCs w:val="24"/>
              </w:rPr>
              <w:t>- dividendinis pajamingumas;</w:t>
            </w:r>
          </w:p>
          <w:p w:rsidR="00A42E0A" w:rsidRDefault="00A42E0A" w:rsidP="00205432">
            <w:pPr>
              <w:spacing w:before="0" w:line="240" w:lineRule="auto"/>
              <w:ind w:firstLine="0"/>
              <w:jc w:val="center"/>
              <w:rPr>
                <w:rFonts w:cs="Times New Roman"/>
                <w:szCs w:val="24"/>
              </w:rPr>
            </w:pPr>
            <w:r w:rsidRPr="00A42E0A">
              <w:rPr>
                <w:rFonts w:cs="Times New Roman"/>
                <w:i/>
                <w:szCs w:val="24"/>
              </w:rPr>
              <w:t>RR</w:t>
            </w:r>
            <w:r>
              <w:rPr>
                <w:rFonts w:cs="Times New Roman"/>
                <w:szCs w:val="24"/>
              </w:rPr>
              <w:t xml:space="preserve"> – atidėtojo pelno norma;</w:t>
            </w:r>
          </w:p>
          <w:p w:rsidR="00A42E0A" w:rsidRDefault="00A42E0A" w:rsidP="00205432">
            <w:pPr>
              <w:spacing w:before="0" w:line="240" w:lineRule="auto"/>
              <w:ind w:firstLine="0"/>
              <w:jc w:val="center"/>
              <w:rPr>
                <w:rFonts w:cs="Times New Roman"/>
                <w:szCs w:val="24"/>
              </w:rPr>
            </w:pPr>
            <w:r w:rsidRPr="00A42E0A">
              <w:rPr>
                <w:rFonts w:cs="Times New Roman"/>
                <w:i/>
                <w:szCs w:val="24"/>
              </w:rPr>
              <w:t>PAT</w:t>
            </w:r>
            <w:r>
              <w:rPr>
                <w:rFonts w:cs="Times New Roman"/>
                <w:szCs w:val="24"/>
              </w:rPr>
              <w:t xml:space="preserve"> – Pelnas po mokesčių atskaitymo;</w:t>
            </w:r>
          </w:p>
          <w:p w:rsidR="00A42E0A" w:rsidRDefault="00A42E0A" w:rsidP="00205432">
            <w:pPr>
              <w:spacing w:before="0" w:line="240" w:lineRule="auto"/>
              <w:ind w:firstLine="0"/>
              <w:jc w:val="center"/>
              <w:rPr>
                <w:rFonts w:cs="Times New Roman"/>
                <w:szCs w:val="24"/>
              </w:rPr>
            </w:pPr>
            <w:r>
              <w:rPr>
                <w:rFonts w:cs="Times New Roman"/>
                <w:szCs w:val="24"/>
              </w:rPr>
              <w:t>EPS – Pelnas, tenkantis akcijai;</w:t>
            </w:r>
          </w:p>
          <w:p w:rsidR="00A42E0A" w:rsidRPr="008235BD" w:rsidRDefault="00A42E0A" w:rsidP="00205432">
            <w:pPr>
              <w:spacing w:before="0" w:line="240" w:lineRule="auto"/>
              <w:ind w:firstLine="0"/>
              <w:jc w:val="center"/>
              <w:rPr>
                <w:rFonts w:cs="Times New Roman"/>
                <w:szCs w:val="24"/>
              </w:rPr>
            </w:pPr>
            <w:r>
              <w:rPr>
                <w:rFonts w:cs="Times New Roman"/>
                <w:szCs w:val="24"/>
              </w:rPr>
              <w:t>ROE – nuosavo kapitalo grąža.</w:t>
            </w:r>
          </w:p>
        </w:tc>
      </w:tr>
      <w:tr w:rsidR="00780324" w:rsidTr="00780324">
        <w:trPr>
          <w:jc w:val="center"/>
        </w:trPr>
        <w:tc>
          <w:tcPr>
            <w:tcW w:w="1503" w:type="dxa"/>
            <w:vMerge w:val="restart"/>
            <w:vAlign w:val="center"/>
          </w:tcPr>
          <w:p w:rsidR="00780324" w:rsidRPr="008235BD" w:rsidRDefault="00780324" w:rsidP="00205432">
            <w:pPr>
              <w:spacing w:line="240" w:lineRule="auto"/>
              <w:ind w:firstLine="0"/>
              <w:jc w:val="center"/>
              <w:rPr>
                <w:rFonts w:cs="Times New Roman"/>
                <w:szCs w:val="24"/>
              </w:rPr>
            </w:pPr>
            <w:r w:rsidRPr="008235BD">
              <w:rPr>
                <w:rFonts w:cs="Times New Roman"/>
                <w:szCs w:val="24"/>
              </w:rPr>
              <w:t>Khan (2012)</w:t>
            </w:r>
          </w:p>
        </w:tc>
        <w:tc>
          <w:tcPr>
            <w:tcW w:w="8526" w:type="dxa"/>
            <w:tcBorders>
              <w:bottom w:val="nil"/>
            </w:tcBorders>
            <w:vAlign w:val="center"/>
          </w:tcPr>
          <w:p w:rsidR="00780324" w:rsidRPr="000244C8" w:rsidRDefault="00780324" w:rsidP="00780324">
            <w:pPr>
              <w:spacing w:before="0" w:line="240" w:lineRule="auto"/>
              <w:ind w:firstLine="0"/>
              <w:jc w:val="center"/>
              <w:rPr>
                <w:rFonts w:cs="Times New Roman"/>
                <w:szCs w:val="24"/>
              </w:rPr>
            </w:pPr>
            <w:r>
              <w:rPr>
                <w:rFonts w:cs="Times New Roman"/>
                <w:b/>
              </w:rPr>
              <w:t>Siūlomas</w:t>
            </w:r>
            <w:r w:rsidRPr="008235BD">
              <w:rPr>
                <w:rFonts w:cs="Times New Roman"/>
                <w:b/>
              </w:rPr>
              <w:t xml:space="preserve"> modelis (regresijos lygtis)</w:t>
            </w:r>
          </w:p>
        </w:tc>
      </w:tr>
      <w:tr w:rsidR="00780324" w:rsidTr="00780324">
        <w:trPr>
          <w:jc w:val="center"/>
        </w:trPr>
        <w:tc>
          <w:tcPr>
            <w:tcW w:w="1503" w:type="dxa"/>
            <w:vMerge/>
            <w:vAlign w:val="center"/>
          </w:tcPr>
          <w:p w:rsidR="00780324" w:rsidRPr="008235BD" w:rsidRDefault="00780324" w:rsidP="00205432">
            <w:pPr>
              <w:spacing w:line="240" w:lineRule="auto"/>
              <w:jc w:val="center"/>
              <w:rPr>
                <w:rFonts w:cs="Times New Roman"/>
                <w:szCs w:val="24"/>
              </w:rPr>
            </w:pPr>
          </w:p>
        </w:tc>
        <w:tc>
          <w:tcPr>
            <w:tcW w:w="8526" w:type="dxa"/>
            <w:tcBorders>
              <w:top w:val="nil"/>
              <w:bottom w:val="single" w:sz="12" w:space="0" w:color="auto"/>
            </w:tcBorders>
            <w:vAlign w:val="center"/>
          </w:tcPr>
          <w:p w:rsidR="00780324" w:rsidRPr="000862E2" w:rsidRDefault="00780324" w:rsidP="00780324">
            <w:pPr>
              <w:spacing w:before="0" w:line="240" w:lineRule="auto"/>
              <w:ind w:firstLine="0"/>
              <w:jc w:val="center"/>
              <w:rPr>
                <w:rFonts w:cs="Times New Roman"/>
                <w:i/>
                <w:szCs w:val="24"/>
              </w:rPr>
            </w:pPr>
            <w:r w:rsidRPr="008235BD">
              <w:rPr>
                <w:rFonts w:cs="Times New Roman"/>
                <w:i/>
                <w:szCs w:val="24"/>
              </w:rPr>
              <w:t>MP</w:t>
            </w:r>
            <w:r w:rsidRPr="008235BD">
              <w:rPr>
                <w:rFonts w:cs="Times New Roman"/>
                <w:i/>
                <w:szCs w:val="24"/>
                <w:vertAlign w:val="subscript"/>
              </w:rPr>
              <w:t xml:space="preserve">i </w:t>
            </w:r>
            <w:r w:rsidRPr="008235BD">
              <w:rPr>
                <w:rFonts w:cs="Times New Roman"/>
                <w:i/>
                <w:szCs w:val="24"/>
              </w:rPr>
              <w:t>= α</w:t>
            </w:r>
            <w:r w:rsidRPr="008235BD">
              <w:rPr>
                <w:rFonts w:cs="Times New Roman"/>
                <w:i/>
                <w:szCs w:val="24"/>
                <w:vertAlign w:val="subscript"/>
              </w:rPr>
              <w:t xml:space="preserve">0 </w:t>
            </w:r>
            <w:r w:rsidRPr="008235BD">
              <w:rPr>
                <w:rFonts w:cs="Times New Roman"/>
                <w:i/>
                <w:szCs w:val="24"/>
              </w:rPr>
              <w:t>+ α</w:t>
            </w:r>
            <w:r w:rsidRPr="008235BD">
              <w:rPr>
                <w:rFonts w:cs="Times New Roman"/>
                <w:i/>
                <w:szCs w:val="24"/>
                <w:vertAlign w:val="subscript"/>
              </w:rPr>
              <w:t>1</w:t>
            </w:r>
            <w:r w:rsidRPr="008235BD">
              <w:rPr>
                <w:rFonts w:cs="Times New Roman"/>
                <w:i/>
                <w:szCs w:val="24"/>
              </w:rPr>
              <w:t>CD</w:t>
            </w:r>
            <w:r w:rsidRPr="008235BD">
              <w:rPr>
                <w:rFonts w:cs="Times New Roman"/>
                <w:i/>
                <w:szCs w:val="24"/>
                <w:vertAlign w:val="subscript"/>
              </w:rPr>
              <w:t xml:space="preserve">i </w:t>
            </w:r>
            <w:r w:rsidRPr="008235BD">
              <w:rPr>
                <w:rFonts w:cs="Times New Roman"/>
                <w:i/>
                <w:szCs w:val="24"/>
              </w:rPr>
              <w:t>- α</w:t>
            </w:r>
            <w:r w:rsidRPr="008235BD">
              <w:rPr>
                <w:rFonts w:cs="Times New Roman"/>
                <w:i/>
                <w:szCs w:val="24"/>
                <w:vertAlign w:val="subscript"/>
              </w:rPr>
              <w:t>2</w:t>
            </w:r>
            <w:r w:rsidRPr="008235BD">
              <w:rPr>
                <w:rFonts w:cs="Times New Roman"/>
                <w:i/>
                <w:szCs w:val="24"/>
              </w:rPr>
              <w:t>SD</w:t>
            </w:r>
            <w:r w:rsidRPr="008235BD">
              <w:rPr>
                <w:rFonts w:cs="Times New Roman"/>
                <w:i/>
                <w:szCs w:val="24"/>
                <w:vertAlign w:val="subscript"/>
              </w:rPr>
              <w:t xml:space="preserve">i </w:t>
            </w:r>
            <w:r w:rsidRPr="008235BD">
              <w:rPr>
                <w:rFonts w:cs="Times New Roman"/>
                <w:i/>
                <w:szCs w:val="24"/>
              </w:rPr>
              <w:t>+ α</w:t>
            </w:r>
            <w:r w:rsidRPr="008235BD">
              <w:rPr>
                <w:rFonts w:cs="Times New Roman"/>
                <w:i/>
                <w:szCs w:val="24"/>
                <w:vertAlign w:val="subscript"/>
              </w:rPr>
              <w:t>3</w:t>
            </w:r>
            <w:r w:rsidRPr="008235BD">
              <w:rPr>
                <w:rFonts w:cs="Times New Roman"/>
                <w:i/>
                <w:szCs w:val="24"/>
              </w:rPr>
              <w:t>RR</w:t>
            </w:r>
            <w:r w:rsidRPr="008235BD">
              <w:rPr>
                <w:rFonts w:cs="Times New Roman"/>
                <w:i/>
                <w:szCs w:val="24"/>
                <w:vertAlign w:val="subscript"/>
              </w:rPr>
              <w:t xml:space="preserve">i </w:t>
            </w:r>
            <w:r w:rsidRPr="008235BD">
              <w:rPr>
                <w:rFonts w:cs="Times New Roman"/>
                <w:i/>
                <w:szCs w:val="24"/>
              </w:rPr>
              <w:t>+ α</w:t>
            </w:r>
            <w:r w:rsidRPr="008235BD">
              <w:rPr>
                <w:rFonts w:cs="Times New Roman"/>
                <w:i/>
                <w:szCs w:val="24"/>
                <w:vertAlign w:val="subscript"/>
              </w:rPr>
              <w:t>4</w:t>
            </w:r>
            <w:r w:rsidRPr="008235BD">
              <w:rPr>
                <w:rFonts w:cs="Times New Roman"/>
                <w:i/>
                <w:szCs w:val="24"/>
              </w:rPr>
              <w:t>EPS</w:t>
            </w:r>
            <w:r w:rsidRPr="008235BD">
              <w:rPr>
                <w:rFonts w:cs="Times New Roman"/>
                <w:i/>
                <w:szCs w:val="24"/>
                <w:vertAlign w:val="subscript"/>
              </w:rPr>
              <w:t xml:space="preserve">i </w:t>
            </w:r>
            <w:r w:rsidRPr="008235BD">
              <w:rPr>
                <w:rFonts w:cs="Times New Roman"/>
                <w:i/>
                <w:szCs w:val="24"/>
              </w:rPr>
              <w:t>+  α</w:t>
            </w:r>
            <w:r w:rsidRPr="008235BD">
              <w:rPr>
                <w:rFonts w:cs="Times New Roman"/>
                <w:i/>
                <w:szCs w:val="24"/>
                <w:vertAlign w:val="subscript"/>
              </w:rPr>
              <w:t>5</w:t>
            </w:r>
            <w:r w:rsidRPr="008235BD">
              <w:rPr>
                <w:rFonts w:cs="Times New Roman"/>
                <w:i/>
                <w:szCs w:val="24"/>
              </w:rPr>
              <w:t>ROE</w:t>
            </w:r>
            <w:r w:rsidRPr="008235BD">
              <w:rPr>
                <w:rFonts w:cs="Times New Roman"/>
                <w:i/>
                <w:szCs w:val="24"/>
                <w:vertAlign w:val="subscript"/>
              </w:rPr>
              <w:t xml:space="preserve">i </w:t>
            </w:r>
            <w:r w:rsidRPr="008235BD">
              <w:rPr>
                <w:rFonts w:cs="Times New Roman"/>
                <w:i/>
                <w:szCs w:val="24"/>
              </w:rPr>
              <w:t>+ €</w:t>
            </w:r>
            <w:r w:rsidRPr="008235BD">
              <w:rPr>
                <w:rFonts w:cs="Times New Roman"/>
                <w:i/>
                <w:szCs w:val="24"/>
                <w:vertAlign w:val="subscript"/>
              </w:rPr>
              <w:t>i</w:t>
            </w:r>
            <w:r>
              <w:rPr>
                <w:rFonts w:cs="Times New Roman"/>
                <w:i/>
                <w:szCs w:val="24"/>
                <w:vertAlign w:val="subscript"/>
              </w:rPr>
              <w:t xml:space="preserve"> </w:t>
            </w:r>
            <w:r w:rsidRPr="008235BD">
              <w:rPr>
                <w:rFonts w:cs="Times New Roman"/>
                <w:szCs w:val="24"/>
              </w:rPr>
              <w:t>;</w:t>
            </w:r>
            <w:r w:rsidR="005711E6">
              <w:rPr>
                <w:rFonts w:cs="Times New Roman"/>
                <w:szCs w:val="24"/>
              </w:rPr>
              <w:t xml:space="preserve">          (</w:t>
            </w:r>
            <w:r w:rsidR="005711E6">
              <w:rPr>
                <w:rFonts w:cs="Times New Roman"/>
                <w:szCs w:val="24"/>
                <w:lang w:val="en-US"/>
              </w:rPr>
              <w:t>4</w:t>
            </w:r>
            <w:r w:rsidRPr="008235BD">
              <w:rPr>
                <w:rFonts w:cs="Times New Roman"/>
                <w:szCs w:val="24"/>
              </w:rPr>
              <w:t>)</w:t>
            </w:r>
          </w:p>
        </w:tc>
      </w:tr>
      <w:tr w:rsidR="00780324" w:rsidTr="00780324">
        <w:trPr>
          <w:jc w:val="center"/>
        </w:trPr>
        <w:tc>
          <w:tcPr>
            <w:tcW w:w="1503" w:type="dxa"/>
            <w:vMerge/>
            <w:tcBorders>
              <w:bottom w:val="single" w:sz="12" w:space="0" w:color="auto"/>
            </w:tcBorders>
            <w:vAlign w:val="center"/>
          </w:tcPr>
          <w:p w:rsidR="00780324" w:rsidRPr="008235BD" w:rsidRDefault="00780324" w:rsidP="00205432">
            <w:pPr>
              <w:spacing w:before="0" w:line="240" w:lineRule="auto"/>
              <w:ind w:firstLine="0"/>
              <w:jc w:val="center"/>
              <w:rPr>
                <w:rFonts w:cs="Times New Roman"/>
                <w:szCs w:val="24"/>
              </w:rPr>
            </w:pPr>
          </w:p>
        </w:tc>
        <w:tc>
          <w:tcPr>
            <w:tcW w:w="8526" w:type="dxa"/>
            <w:tcBorders>
              <w:top w:val="nil"/>
              <w:bottom w:val="single" w:sz="12" w:space="0" w:color="auto"/>
            </w:tcBorders>
            <w:vAlign w:val="center"/>
          </w:tcPr>
          <w:p w:rsidR="00780324" w:rsidRPr="008235BD" w:rsidRDefault="00780324" w:rsidP="00780324">
            <w:pPr>
              <w:spacing w:before="0" w:line="240" w:lineRule="auto"/>
              <w:ind w:firstLine="0"/>
              <w:jc w:val="center"/>
              <w:rPr>
                <w:rFonts w:cs="Times New Roman"/>
                <w:szCs w:val="24"/>
              </w:rPr>
            </w:pPr>
            <w:r w:rsidRPr="006D5025">
              <w:rPr>
                <w:rFonts w:cs="Times New Roman"/>
                <w:b/>
                <w:szCs w:val="24"/>
              </w:rPr>
              <w:t>Čia:</w:t>
            </w:r>
            <w:r>
              <w:rPr>
                <w:rFonts w:cs="Times New Roman"/>
                <w:i/>
                <w:szCs w:val="24"/>
              </w:rPr>
              <w:t xml:space="preserve"> </w:t>
            </w:r>
            <w:r w:rsidRPr="008235BD">
              <w:rPr>
                <w:rFonts w:cs="Times New Roman"/>
                <w:i/>
                <w:szCs w:val="24"/>
              </w:rPr>
              <w:t>MP</w:t>
            </w:r>
            <w:r w:rsidRPr="008235BD">
              <w:rPr>
                <w:rFonts w:cs="Times New Roman"/>
                <w:szCs w:val="24"/>
              </w:rPr>
              <w:t xml:space="preserve"> – akc</w:t>
            </w:r>
            <w:r>
              <w:rPr>
                <w:rFonts w:cs="Times New Roman"/>
                <w:szCs w:val="24"/>
              </w:rPr>
              <w:t>ijos rinkos kaina (</w:t>
            </w:r>
            <w:r w:rsidRPr="008235BD">
              <w:rPr>
                <w:rFonts w:cs="Times New Roman"/>
                <w:szCs w:val="24"/>
              </w:rPr>
              <w:t>aukščiausių ir žemiausių akcijos kainų vidurkis</w:t>
            </w:r>
            <w:r>
              <w:rPr>
                <w:rFonts w:cs="Times New Roman"/>
                <w:szCs w:val="24"/>
              </w:rPr>
              <w:t>)</w:t>
            </w:r>
            <w:r w:rsidRPr="008235BD">
              <w:rPr>
                <w:rFonts w:cs="Times New Roman"/>
                <w:szCs w:val="24"/>
              </w:rPr>
              <w:t>;</w:t>
            </w:r>
          </w:p>
          <w:p w:rsidR="00780324" w:rsidRPr="008235BD" w:rsidRDefault="00780324" w:rsidP="00780324">
            <w:pPr>
              <w:spacing w:before="0" w:line="240" w:lineRule="auto"/>
              <w:ind w:firstLine="0"/>
              <w:jc w:val="center"/>
              <w:rPr>
                <w:rFonts w:cs="Times New Roman"/>
                <w:szCs w:val="24"/>
              </w:rPr>
            </w:pPr>
            <w:r w:rsidRPr="008235BD">
              <w:rPr>
                <w:rFonts w:cs="Times New Roman"/>
                <w:i/>
                <w:szCs w:val="24"/>
              </w:rPr>
              <w:t>CD</w:t>
            </w:r>
            <w:r w:rsidRPr="008235BD">
              <w:rPr>
                <w:rFonts w:cs="Times New Roman"/>
                <w:szCs w:val="24"/>
              </w:rPr>
              <w:t xml:space="preserve"> – piniginiai dividendai</w:t>
            </w:r>
            <w:r>
              <w:rPr>
                <w:rFonts w:cs="Times New Roman"/>
                <w:szCs w:val="24"/>
              </w:rPr>
              <w:t xml:space="preserve"> (valiuta)</w:t>
            </w:r>
            <w:r w:rsidRPr="008235BD">
              <w:rPr>
                <w:rFonts w:cs="Times New Roman"/>
                <w:szCs w:val="24"/>
              </w:rPr>
              <w:t>;</w:t>
            </w:r>
          </w:p>
          <w:p w:rsidR="00780324" w:rsidRPr="008235BD" w:rsidRDefault="00780324" w:rsidP="00780324">
            <w:pPr>
              <w:spacing w:before="0" w:line="240" w:lineRule="auto"/>
              <w:ind w:firstLine="0"/>
              <w:jc w:val="center"/>
              <w:rPr>
                <w:rFonts w:cs="Times New Roman"/>
                <w:szCs w:val="24"/>
              </w:rPr>
            </w:pPr>
            <w:r w:rsidRPr="008235BD">
              <w:rPr>
                <w:rFonts w:cs="Times New Roman"/>
                <w:i/>
                <w:szCs w:val="24"/>
              </w:rPr>
              <w:t>SD</w:t>
            </w:r>
            <w:r>
              <w:rPr>
                <w:rFonts w:cs="Times New Roman"/>
                <w:szCs w:val="24"/>
              </w:rPr>
              <w:t xml:space="preserve"> – akciniai dividendai (valiuta);</w:t>
            </w:r>
          </w:p>
          <w:p w:rsidR="00780324" w:rsidRPr="008235BD" w:rsidRDefault="00780324" w:rsidP="00780324">
            <w:pPr>
              <w:spacing w:before="0" w:line="240" w:lineRule="auto"/>
              <w:ind w:firstLine="0"/>
              <w:jc w:val="center"/>
              <w:rPr>
                <w:rFonts w:cs="Times New Roman"/>
                <w:szCs w:val="24"/>
              </w:rPr>
            </w:pPr>
            <w:r w:rsidRPr="008235BD">
              <w:rPr>
                <w:rFonts w:cs="Times New Roman"/>
                <w:i/>
                <w:szCs w:val="24"/>
              </w:rPr>
              <w:t>RR</w:t>
            </w:r>
            <w:r w:rsidRPr="008235BD">
              <w:rPr>
                <w:rFonts w:cs="Times New Roman"/>
                <w:szCs w:val="24"/>
              </w:rPr>
              <w:t xml:space="preserve"> – atidedama pelno norma (angl. retention ratio), apskaičiuojama visus dividendus atėmus iš viso pelno ir gautą rezultatą padalinus iš pelno;</w:t>
            </w:r>
          </w:p>
          <w:p w:rsidR="00780324" w:rsidRPr="008235BD" w:rsidRDefault="00780324" w:rsidP="00780324">
            <w:pPr>
              <w:spacing w:before="0" w:line="240" w:lineRule="auto"/>
              <w:ind w:firstLine="0"/>
              <w:jc w:val="center"/>
              <w:rPr>
                <w:rFonts w:cs="Times New Roman"/>
                <w:szCs w:val="24"/>
              </w:rPr>
            </w:pPr>
            <w:r w:rsidRPr="008235BD">
              <w:rPr>
                <w:rFonts w:cs="Times New Roman"/>
                <w:i/>
                <w:szCs w:val="24"/>
              </w:rPr>
              <w:t>EPS</w:t>
            </w:r>
            <w:r w:rsidRPr="008235BD">
              <w:rPr>
                <w:rFonts w:cs="Times New Roman"/>
                <w:szCs w:val="24"/>
              </w:rPr>
              <w:t xml:space="preserve"> – pelnas tenkantis akcijai, apskaičiuojamas atėmus privilegijuotų akcijų vertę iš neto pelno ir padalinus likusią dalį pelno iš viso akcijų skaičiaus;</w:t>
            </w:r>
          </w:p>
          <w:p w:rsidR="00780324" w:rsidRPr="008235BD" w:rsidRDefault="00780324" w:rsidP="00780324">
            <w:pPr>
              <w:spacing w:before="0" w:line="240" w:lineRule="auto"/>
              <w:ind w:firstLine="0"/>
              <w:jc w:val="center"/>
              <w:rPr>
                <w:rFonts w:cs="Times New Roman"/>
                <w:szCs w:val="24"/>
              </w:rPr>
            </w:pPr>
            <w:r w:rsidRPr="008235BD">
              <w:rPr>
                <w:rFonts w:cs="Times New Roman"/>
                <w:i/>
                <w:szCs w:val="24"/>
              </w:rPr>
              <w:t xml:space="preserve">ROE </w:t>
            </w:r>
            <w:r>
              <w:rPr>
                <w:rFonts w:cs="Times New Roman"/>
                <w:szCs w:val="24"/>
              </w:rPr>
              <w:t>– kapitalo grąža (</w:t>
            </w:r>
            <w:r w:rsidRPr="008235BD">
              <w:rPr>
                <w:rFonts w:cs="Times New Roman"/>
                <w:szCs w:val="24"/>
              </w:rPr>
              <w:t>peln</w:t>
            </w:r>
            <w:r>
              <w:rPr>
                <w:rFonts w:cs="Times New Roman"/>
                <w:szCs w:val="24"/>
              </w:rPr>
              <w:t>as po mokesčių ir</w:t>
            </w:r>
            <w:r w:rsidRPr="008235BD">
              <w:rPr>
                <w:rFonts w:cs="Times New Roman"/>
                <w:szCs w:val="24"/>
              </w:rPr>
              <w:t xml:space="preserve"> akcinio kapitalo</w:t>
            </w:r>
            <w:r>
              <w:rPr>
                <w:rFonts w:cs="Times New Roman"/>
                <w:szCs w:val="24"/>
              </w:rPr>
              <w:t xml:space="preserve"> santykis).</w:t>
            </w:r>
          </w:p>
        </w:tc>
      </w:tr>
    </w:tbl>
    <w:p w:rsidR="00BC6C8E" w:rsidRDefault="00BC6C8E" w:rsidP="00780324">
      <w:pPr>
        <w:spacing w:before="0" w:line="240" w:lineRule="auto"/>
        <w:ind w:firstLine="0"/>
        <w:jc w:val="center"/>
        <w:rPr>
          <w:szCs w:val="24"/>
        </w:rPr>
      </w:pPr>
    </w:p>
    <w:p w:rsidR="006C013D" w:rsidRDefault="006C013D" w:rsidP="006C013D">
      <w:r>
        <w:t xml:space="preserve">Dividendų politikos faktorinei analizei mokslinėje literatūroje dažniausiai priklausomas kintamasis parenkamas analizuoti kainos pokyčiams (CAR, PV, MP), tuo tarpu dividendų politiką analizuojantys nepriklausomi kintamieji dažniausiai būna šie: dividendinis pajamingumas (DY), dividendų išmokėjimo rodiklis (DP), dividendai, tenkantys akcijai (DPS arba CD). </w:t>
      </w:r>
    </w:p>
    <w:p w:rsidR="006C013D" w:rsidRDefault="006C013D" w:rsidP="006C013D">
      <w:r>
        <w:t xml:space="preserve">Kontroliniais kintamaisiais dažniausiai parenkami neatsitiktiniai fundamentiniai rodikliai: </w:t>
      </w:r>
    </w:p>
    <w:p w:rsidR="006C013D" w:rsidRDefault="006C013D" w:rsidP="006C013D">
      <w:r w:rsidRPr="00261C29">
        <w:rPr>
          <w:b/>
        </w:rPr>
        <w:t>Įmonės augimo rodikliai</w:t>
      </w:r>
      <w:r>
        <w:t xml:space="preserve">. </w:t>
      </w:r>
      <w:r w:rsidR="007F0E6B">
        <w:t>RETE (nepaskirstyto pelno ir akcinio kapitalo santykis), ė</w:t>
      </w:r>
      <w:r>
        <w:t xml:space="preserve">monės dydžio (turto, rinkos kapitalizacijos logaritminės funkcijos), rinkos palyginamosios vertės (rinkos kainos ir buhalterinės vertės santykis M/B), pinigų srautų; </w:t>
      </w:r>
    </w:p>
    <w:p w:rsidR="006C013D" w:rsidRDefault="006C013D" w:rsidP="006C013D">
      <w:r w:rsidRPr="00261C29">
        <w:rPr>
          <w:b/>
        </w:rPr>
        <w:t>Skolos ir rizikingumo</w:t>
      </w:r>
      <w:r>
        <w:rPr>
          <w:b/>
        </w:rPr>
        <w:t xml:space="preserve"> </w:t>
      </w:r>
      <w:r w:rsidRPr="00261C29">
        <w:rPr>
          <w:b/>
        </w:rPr>
        <w:t>rodikliai</w:t>
      </w:r>
      <w:r>
        <w:t xml:space="preserve">. </w:t>
      </w:r>
      <w:r w:rsidR="007F0E6B">
        <w:t>mokumo</w:t>
      </w:r>
      <w:r>
        <w:t xml:space="preserve"> rodikliai (ilgalaikės skolos), likvidumo rodikliai (trumpalaikės skolos); </w:t>
      </w:r>
    </w:p>
    <w:p w:rsidR="006C013D" w:rsidRDefault="006C013D" w:rsidP="006C013D">
      <w:r w:rsidRPr="00261C29">
        <w:rPr>
          <w:b/>
        </w:rPr>
        <w:t>Pelningumo rodikliai</w:t>
      </w:r>
      <w:r>
        <w:t>. nuosavo kapitalo grąža (ROE), pelnas, tenkantis akcijai (EPS), pelnas prieš apmokestinimą (EBITDA), atidėto pelno koeficientas (RR).</w:t>
      </w:r>
    </w:p>
    <w:p w:rsidR="00AA01CA" w:rsidRDefault="001D192E" w:rsidP="007A3AA8">
      <w:r w:rsidRPr="00871725">
        <w:t xml:space="preserve">Vertinant </w:t>
      </w:r>
      <w:r>
        <w:t>ne vien tik dividendinių</w:t>
      </w:r>
      <w:r w:rsidRPr="00871725">
        <w:t xml:space="preserve"> faktorių svarbą, </w:t>
      </w:r>
      <w:r>
        <w:t xml:space="preserve">modelio formavimas </w:t>
      </w:r>
      <w:r w:rsidRPr="00871725">
        <w:t>tampa daugiakriterine (daugiafaktorine) problema, kuri turėtų būti išspręsta, naudojant atitinkamas technikas</w:t>
      </w:r>
      <w:r>
        <w:t xml:space="preserve"> (Žilinskij, Rutkauskas, 2012)</w:t>
      </w:r>
      <w:r w:rsidRPr="00871725">
        <w:t>.</w:t>
      </w:r>
    </w:p>
    <w:p w:rsidR="007A3AA8" w:rsidRDefault="007A3AA8" w:rsidP="007F0E6B">
      <w:pPr>
        <w:spacing w:before="240"/>
      </w:pPr>
      <w:r>
        <w:t>Apibendrinant šio darbo teorinę dalį, esminės įmonė</w:t>
      </w:r>
      <w:r w:rsidR="001D192E">
        <w:t xml:space="preserve">s dividendų politikos teorijos – įmonės </w:t>
      </w:r>
      <w:r>
        <w:t>brandos stadijos, mokesčių poveikio, k</w:t>
      </w:r>
      <w:r w:rsidRPr="009776FE">
        <w:t>lientūros poveikio</w:t>
      </w:r>
      <w:r>
        <w:t>, s</w:t>
      </w:r>
      <w:r w:rsidRPr="009776FE">
        <w:t>ignalizavimo</w:t>
      </w:r>
      <w:r>
        <w:t xml:space="preserve">, agentavimo (laisvo pinigų srauto), pataikavimo ir psichologinių/sociologinių veiksnių teorijas. </w:t>
      </w:r>
      <w:r w:rsidR="001D192E">
        <w:t>Nustatyta</w:t>
      </w:r>
      <w:r>
        <w:t>, jog dividendų ir pelningumo dydis turi reikšmingą įtaką dividendinių akcijų kainoms</w:t>
      </w:r>
      <w:r w:rsidR="001D192E" w:rsidRPr="001D192E">
        <w:t xml:space="preserve"> </w:t>
      </w:r>
      <w:r w:rsidR="001D192E">
        <w:t>(Anderson, 2009)</w:t>
      </w:r>
      <w:r w:rsidR="00AC5C36">
        <w:t xml:space="preserve">, </w:t>
      </w:r>
      <w:r w:rsidR="001D192E">
        <w:t>o</w:t>
      </w:r>
      <w:r w:rsidR="00AC5C36">
        <w:t xml:space="preserve"> neigiamos ir teigiamos dividendų naujienos įtakoja akcijų kainas atitinkama linkme</w:t>
      </w:r>
      <w:r w:rsidR="001D192E">
        <w:t xml:space="preserve"> (Yucee, Taneem, 2011), kas sudaro stiprų teorinį </w:t>
      </w:r>
      <w:r w:rsidR="00AC5C36">
        <w:t>pagrindą dividendų informacinio-signalizavimo efekto nagrinėjimui.</w:t>
      </w:r>
    </w:p>
    <w:p w:rsidR="001A4330" w:rsidRDefault="00AC5C36" w:rsidP="001A4330">
      <w:r>
        <w:t>Dividendų strategijos iš esmės finansų literatūroje dažniausiai skirst</w:t>
      </w:r>
      <w:r w:rsidR="00BD4E72">
        <w:t>omos į dividendų pajamingumo dydžio</w:t>
      </w:r>
      <w:r>
        <w:t xml:space="preserve">, dividendų augimo arba kombinuotas. </w:t>
      </w:r>
      <w:r w:rsidR="00D13D0D">
        <w:t>Kaip ir visi kiti, d</w:t>
      </w:r>
      <w:r w:rsidR="008B1485">
        <w:t>ividendinis investuotojas</w:t>
      </w:r>
      <w:r w:rsidR="001D192E">
        <w:t xml:space="preserve"> elgtiasi</w:t>
      </w:r>
      <w:r w:rsidR="008B1485">
        <w:t xml:space="preserve"> tiek racionaliai, tiek ir iracionaliai, priklausomai nuo to, kokio rezultato siekia ir kaip dividendų politika įtakoja investu</w:t>
      </w:r>
      <w:r w:rsidR="001A4330">
        <w:t>otojo suvokiamą ir faktinę grąžą</w:t>
      </w:r>
      <w:r w:rsidR="008B1485">
        <w:t xml:space="preserve">. </w:t>
      </w:r>
      <w:r w:rsidR="001D192E">
        <w:t xml:space="preserve">Atsižvelgiant į tai, jog Baltijos šalys priskiriamos besivystančių šalių ekonomikoms, tikslinga </w:t>
      </w:r>
      <w:r w:rsidR="006E399C">
        <w:t xml:space="preserve">šių </w:t>
      </w:r>
      <w:r w:rsidR="001D192E">
        <w:t>įmonių dividendų politiką nagrinėti</w:t>
      </w:r>
      <w:r w:rsidR="006E399C">
        <w:t xml:space="preserve"> ir dividendinę investavimo strategiją formuoti</w:t>
      </w:r>
      <w:r w:rsidR="001D192E">
        <w:t xml:space="preserve"> dviem</w:t>
      </w:r>
      <w:r w:rsidR="006E399C">
        <w:t xml:space="preserve"> esminiais</w:t>
      </w:r>
      <w:r w:rsidR="001D192E">
        <w:t xml:space="preserve"> aspektais: </w:t>
      </w:r>
      <w:r w:rsidR="001A4330">
        <w:t xml:space="preserve">remiantis įvykių analizės metodika - </w:t>
      </w:r>
      <w:r w:rsidR="001D192E">
        <w:t>dividendų naujienų paskelbimo įtaka sudėtiniam akcijų pelningumui (C</w:t>
      </w:r>
      <w:r w:rsidR="006E399C">
        <w:t>A</w:t>
      </w:r>
      <w:r w:rsidR="001D192E">
        <w:t xml:space="preserve">AR) </w:t>
      </w:r>
      <w:r w:rsidR="006E399C">
        <w:t xml:space="preserve">ir daugiakriterinėmis technikomis </w:t>
      </w:r>
      <w:r w:rsidR="001A4330">
        <w:t>-</w:t>
      </w:r>
      <w:r w:rsidR="006E399C">
        <w:t xml:space="preserve"> </w:t>
      </w:r>
      <w:r w:rsidR="001A4330">
        <w:t>identifikuoti</w:t>
      </w:r>
      <w:r w:rsidR="006E399C">
        <w:t xml:space="preserve"> dividendų politikos ir fundamentini</w:t>
      </w:r>
      <w:r w:rsidR="001A4330">
        <w:t>ų</w:t>
      </w:r>
      <w:r w:rsidR="006E399C">
        <w:t xml:space="preserve"> rodikli</w:t>
      </w:r>
      <w:r w:rsidR="001A4330">
        <w:t>ų</w:t>
      </w:r>
      <w:r w:rsidR="006E399C">
        <w:t xml:space="preserve"> įtak</w:t>
      </w:r>
      <w:r w:rsidR="001A4330">
        <w:t>ą</w:t>
      </w:r>
      <w:r w:rsidR="006E399C">
        <w:t xml:space="preserve"> akcijų kain</w:t>
      </w:r>
      <w:r w:rsidR="001A4330">
        <w:t>oms</w:t>
      </w:r>
      <w:r w:rsidR="006E399C" w:rsidRPr="006E399C">
        <w:t xml:space="preserve"> </w:t>
      </w:r>
      <w:r w:rsidR="006E399C">
        <w:t>trumpu laikotarpiu.</w:t>
      </w:r>
      <w:r w:rsidR="001D192E">
        <w:t xml:space="preserve"> </w:t>
      </w:r>
      <w:r w:rsidR="001A4330">
        <w:t>Esminiai d</w:t>
      </w:r>
      <w:r w:rsidR="006E399C">
        <w:t>ividendų politikos rodikliai</w:t>
      </w:r>
      <w:r w:rsidR="001A4330">
        <w:t xml:space="preserve">: </w:t>
      </w:r>
      <w:r w:rsidR="006E399C">
        <w:t>dividendų pajamingumas, dividendų išmokėjimo koeficientas i</w:t>
      </w:r>
      <w:r w:rsidR="001A4330">
        <w:t>r dividendai, tenkantys akcijai.</w:t>
      </w:r>
      <w:r w:rsidR="006E399C">
        <w:t xml:space="preserve"> Pagri</w:t>
      </w:r>
      <w:r w:rsidR="001A4330">
        <w:t>ndiniai strateginiai kontroliniai kintamieji: įmonės augimo perspektyvų, finansinės būklės ir pelningumo rodikliai</w:t>
      </w:r>
      <w:r w:rsidR="006E399C">
        <w:t>.</w:t>
      </w:r>
      <w:r>
        <w:br w:type="page"/>
      </w:r>
      <w:bookmarkStart w:id="53" w:name="_Toc337905237"/>
    </w:p>
    <w:p w:rsidR="009A1AE3" w:rsidRPr="001A4330" w:rsidRDefault="009A1AE3" w:rsidP="001A4330">
      <w:pPr>
        <w:pStyle w:val="Heading1"/>
        <w:numPr>
          <w:ilvl w:val="0"/>
          <w:numId w:val="42"/>
        </w:numPr>
        <w:rPr>
          <w:rStyle w:val="SubtleEmphasis"/>
          <w:i w:val="0"/>
          <w:iCs w:val="0"/>
          <w:color w:val="auto"/>
        </w:rPr>
      </w:pPr>
      <w:bookmarkStart w:id="54" w:name="_Toc343677746"/>
      <w:r w:rsidRPr="001A4330">
        <w:rPr>
          <w:rStyle w:val="Heading1Char"/>
          <w:b/>
          <w:bCs/>
          <w:caps/>
        </w:rPr>
        <w:lastRenderedPageBreak/>
        <w:t>DIVI</w:t>
      </w:r>
      <w:r w:rsidR="003B27C1" w:rsidRPr="001A4330">
        <w:rPr>
          <w:rStyle w:val="Heading1Char"/>
          <w:b/>
          <w:bCs/>
          <w:caps/>
        </w:rPr>
        <w:t>DENDINIO INVESTAVIMO STRATEGIJŲ</w:t>
      </w:r>
      <w:r w:rsidRPr="001A4330">
        <w:rPr>
          <w:rStyle w:val="Heading1Char"/>
          <w:b/>
          <w:bCs/>
          <w:caps/>
        </w:rPr>
        <w:t xml:space="preserve"> MODELIAVIMO METODOLOGIJA</w:t>
      </w:r>
      <w:bookmarkEnd w:id="53"/>
      <w:bookmarkEnd w:id="54"/>
    </w:p>
    <w:p w:rsidR="00AA01CA" w:rsidRDefault="006D17C3" w:rsidP="00B64EEA">
      <w:pPr>
        <w:pStyle w:val="Heading2"/>
        <w:numPr>
          <w:ilvl w:val="0"/>
          <w:numId w:val="15"/>
        </w:numPr>
      </w:pPr>
      <w:bookmarkStart w:id="55" w:name="_Toc343677747"/>
      <w:r>
        <w:rPr>
          <w:rStyle w:val="SubtleEmphasis"/>
          <w:i w:val="0"/>
          <w:iCs w:val="0"/>
          <w:color w:val="auto"/>
          <w:szCs w:val="28"/>
        </w:rPr>
        <w:t>Tyrimo hipotezės formulavimas</w:t>
      </w:r>
      <w:r w:rsidR="00AA01CA" w:rsidRPr="00AA01CA">
        <w:t xml:space="preserve"> </w:t>
      </w:r>
      <w:r w:rsidR="00AA01CA">
        <w:t>ir tyrimo duomenų atranka</w:t>
      </w:r>
      <w:bookmarkEnd w:id="55"/>
    </w:p>
    <w:p w:rsidR="005F509C" w:rsidRDefault="005F509C" w:rsidP="004E0A75">
      <w:r>
        <w:t>Remiantis teorinėje darbo dalyje nagrinėtais</w:t>
      </w:r>
      <w:r w:rsidR="004E0A75">
        <w:t xml:space="preserve"> dividendų</w:t>
      </w:r>
      <w:r w:rsidR="00210ED6">
        <w:t xml:space="preserve"> naujienų paskelbimo</w:t>
      </w:r>
      <w:r w:rsidR="004E0A75">
        <w:t xml:space="preserve"> įvykių </w:t>
      </w:r>
      <w:r>
        <w:t xml:space="preserve">moksliniais tyrimais (žr. </w:t>
      </w:r>
      <w:r w:rsidR="00EC7800">
        <w:fldChar w:fldCharType="begin"/>
      </w:r>
      <w:r w:rsidR="001A4330">
        <w:instrText xml:space="preserve"> REF _Ref343171190 \r \h </w:instrText>
      </w:r>
      <w:r w:rsidR="00EC7800">
        <w:fldChar w:fldCharType="separate"/>
      </w:r>
      <w:r w:rsidR="0009577F">
        <w:t>1.1.2</w:t>
      </w:r>
      <w:r w:rsidR="00EC7800">
        <w:fldChar w:fldCharType="end"/>
      </w:r>
      <w:r>
        <w:t xml:space="preserve"> darbo dalį</w:t>
      </w:r>
      <w:r w:rsidR="004E0A75">
        <w:t>),</w:t>
      </w:r>
      <w:r>
        <w:t xml:space="preserve"> vienu atveju</w:t>
      </w:r>
      <w:r w:rsidR="004E0A75" w:rsidRPr="004E0A75">
        <w:t xml:space="preserve"> </w:t>
      </w:r>
      <w:r w:rsidR="004E0A75">
        <w:t>(Anderson, 2009)</w:t>
      </w:r>
      <w:r>
        <w:t>, ne</w:t>
      </w:r>
      <w:r w:rsidRPr="00941D2F">
        <w:t>ra</w:t>
      </w:r>
      <w:r>
        <w:t>sta</w:t>
      </w:r>
      <w:r w:rsidR="003B11E6">
        <w:t xml:space="preserve"> didesnių</w:t>
      </w:r>
      <w:r w:rsidRPr="00941D2F">
        <w:t xml:space="preserve"> </w:t>
      </w:r>
      <w:r w:rsidR="003B11E6">
        <w:t xml:space="preserve">skirtumų tarp </w:t>
      </w:r>
      <w:r w:rsidRPr="00941D2F">
        <w:t xml:space="preserve">didesnių faktinės ir tikėtinos </w:t>
      </w:r>
      <w:r w:rsidR="003B11E6">
        <w:t>grąžos</w:t>
      </w:r>
      <w:r w:rsidR="004E0A75">
        <w:t>, kas parodė,</w:t>
      </w:r>
      <w:r w:rsidRPr="00941D2F">
        <w:t xml:space="preserve"> jog informacija apie </w:t>
      </w:r>
      <w:r w:rsidR="004E0A75">
        <w:t xml:space="preserve">dividendų </w:t>
      </w:r>
      <w:r w:rsidRPr="00941D2F">
        <w:t>naujienas anksčiau laiko</w:t>
      </w:r>
      <w:r w:rsidR="001A4330">
        <w:t xml:space="preserve"> rinkos dalyvių</w:t>
      </w:r>
      <w:r w:rsidRPr="00941D2F">
        <w:t xml:space="preserve"> </w:t>
      </w:r>
      <w:r w:rsidR="001A4330">
        <w:t>nepasiekia</w:t>
      </w:r>
      <w:r w:rsidRPr="00941D2F">
        <w:t>, o rinka veikia efektyviomis sąlygomis.</w:t>
      </w:r>
      <w:r w:rsidR="004E0A75">
        <w:t xml:space="preserve"> </w:t>
      </w:r>
      <w:r w:rsidRPr="00941D2F">
        <w:t xml:space="preserve">Sharma (2011) savo moksliniame darbe </w:t>
      </w:r>
      <w:r w:rsidR="004E0A75">
        <w:t xml:space="preserve">taip pat </w:t>
      </w:r>
      <w:r w:rsidRPr="00941D2F">
        <w:t xml:space="preserve">nagrinėjo ir išplėtė efektyvios rinkos hipotezę, kuri teigia, jog esamos kainos atspindi prieinamą informaciją ir kad jokios perteklinės kapitalo grąžos investuotojas negali tikėtis, kadangi esamos kainos atspindi jau įskaičiuotą informacija. </w:t>
      </w:r>
      <w:r w:rsidR="004E0A75">
        <w:t xml:space="preserve">Šių tyrimų rezultatai suteikia pagrindo nagrinėti </w:t>
      </w:r>
      <w:r w:rsidR="004E0A75" w:rsidRPr="004E0A75">
        <w:rPr>
          <w:i/>
        </w:rPr>
        <w:t>OMX Baltic</w:t>
      </w:r>
      <w:r w:rsidR="004E0A75">
        <w:t xml:space="preserve"> akcijų biržoje listinguojamų dividendinių įmonių akcijų pelningumus dividendų paskelbimo dienomis, atsižvelgiant ir į tai, jog Baltijos šalių akcijų rinka yra pakankamai nelikvidi, todėl rinkos kainų prisitaikymo trukmė dėl informacijos signalizuojamojo poveikio</w:t>
      </w:r>
      <w:r w:rsidR="0018395B">
        <w:t xml:space="preserve"> gali</w:t>
      </w:r>
      <w:r w:rsidR="004E0A75">
        <w:t xml:space="preserve"> būti pakankamai neapibrėžta (Kadioglu, 2008). Tam, kad nustatyti dividendų naujienų įtaką akcijų pelningumas OMX Baltic akcijų rinkoje, šio darbo tikslui įgyvendinti iškeliama pirmoji hipotezė (žr. (1) hipotezę):</w:t>
      </w:r>
    </w:p>
    <w:p w:rsidR="005F509C" w:rsidRDefault="005F509C" w:rsidP="004E0A75">
      <w:r>
        <w:t xml:space="preserve">Hipotezė </w:t>
      </w:r>
      <w:r w:rsidRPr="006857BF">
        <w:t>H</w:t>
      </w:r>
      <w:r w:rsidRPr="006857BF">
        <w:rPr>
          <w:vertAlign w:val="subscript"/>
        </w:rPr>
        <w:t>0</w:t>
      </w:r>
      <w:r w:rsidRPr="006857BF">
        <w:t xml:space="preserve">: </w:t>
      </w:r>
      <w:r w:rsidRPr="004E0A75">
        <w:rPr>
          <w:i/>
        </w:rPr>
        <w:t>Baltijos šalių įmonių dividendų politika neturi statistiškai reikšmingos įtakos akcijų kainoms dividendų paskelbimo dienomis</w:t>
      </w:r>
      <w:r w:rsidR="004E0A75" w:rsidRPr="004E0A75">
        <w:rPr>
          <w:i/>
        </w:rPr>
        <w:t>.</w:t>
      </w:r>
      <w:r w:rsidR="004E0A75">
        <w:tab/>
      </w:r>
      <w:r w:rsidR="004E0A75" w:rsidRPr="004E0A75">
        <w:t>(1)</w:t>
      </w:r>
    </w:p>
    <w:p w:rsidR="004E0A75" w:rsidRDefault="00A2271D" w:rsidP="00D278E8">
      <w:r w:rsidRPr="00A2271D">
        <w:t xml:space="preserve">Tam, kad patikrinti </w:t>
      </w:r>
      <w:r>
        <w:t>pirmąją</w:t>
      </w:r>
      <w:r w:rsidRPr="00A2271D">
        <w:t xml:space="preserve"> hipotezę, metodologinėje šio darbo dalyje bus pateikiamos planuojamos dividendų įvykio analizės metodikos ir statistinio reikšmingumo vertinimo kriterijai.</w:t>
      </w:r>
      <w:r>
        <w:t xml:space="preserve"> Analitinėje šio darbo dalyje bus pateikiamas empirinis šių metodikų pagrindimas ir analizuojama skirtingo dividendų informacijos konteksto įtaka akcijų kainoms dividendų paskelbimo dienomis.</w:t>
      </w:r>
    </w:p>
    <w:p w:rsidR="00A2271D" w:rsidRPr="00A2271D" w:rsidRDefault="00907935" w:rsidP="00D278E8">
      <w:r>
        <w:t>Kaip nustatyta ankstesnių tyrimų metu dividendų politika reikšmingai įtakoja akcijų kainų svyravimus (Nishar, Irfan, 2001, Fracassi, 2008)</w:t>
      </w:r>
      <w:r w:rsidR="001907B7">
        <w:t>, tačiau ne visais atvejais dividendų politikos veiksniai pasireiškia reikšmingiau nei kontroliniai kintamieji (Asghar, Shah, Hamid, Suleman, 2011). Iškyla problema, kaip suformuoti reprezentatyvų dividendų politikos veiksnius analizuojantį daugiakriterinį modelį, galintį paaiškinti kainų variacijas dividendų paskelbimo dienomis. Tam, kad įgyvendinti šio tyrimo tikslą ir išspręsti mokslinę problemą iškeliama antroji hipotezė (žr. (2) hipotezę):</w:t>
      </w:r>
    </w:p>
    <w:p w:rsidR="005A7A50" w:rsidRDefault="005F509C" w:rsidP="004E0A75">
      <w:r w:rsidRPr="005F509C">
        <w:t>Hipotezė</w:t>
      </w:r>
      <w:r>
        <w:t xml:space="preserve"> </w:t>
      </w:r>
      <w:r w:rsidRPr="006857BF">
        <w:t>H</w:t>
      </w:r>
      <w:r w:rsidRPr="006857BF">
        <w:rPr>
          <w:vertAlign w:val="subscript"/>
        </w:rPr>
        <w:t>0</w:t>
      </w:r>
      <w:r w:rsidRPr="006857BF">
        <w:t xml:space="preserve">: </w:t>
      </w:r>
      <w:r w:rsidRPr="00A2271D">
        <w:rPr>
          <w:i/>
        </w:rPr>
        <w:t>Daugiakriterinis dividendinio investavimo strategijos modelis nepaaiškina kainų svyravimų dividendų informacijos paskelbimo laikotarpiu</w:t>
      </w:r>
      <w:r w:rsidR="001907B7">
        <w:t>.</w:t>
      </w:r>
      <w:r w:rsidR="001907B7">
        <w:tab/>
        <w:t>(2)</w:t>
      </w:r>
    </w:p>
    <w:p w:rsidR="005F509C" w:rsidRDefault="005A7A50" w:rsidP="005A7A50">
      <w:r>
        <w:t>Hipotezėms patvirtinti arba paneigti, visų pirma surenkami visi tyrimo tikslui pasiekti reikalingi dividendų politikos ir fundamentiniai duomenys ir pateikiamos planuojamos tyrimo metodikos.</w:t>
      </w:r>
    </w:p>
    <w:p w:rsidR="005D6302" w:rsidRDefault="005D6302" w:rsidP="00D278E8"/>
    <w:p w:rsidR="00D278E8" w:rsidRDefault="00D278E8" w:rsidP="00D278E8">
      <w:r>
        <w:t xml:space="preserve">Fundamentiniai </w:t>
      </w:r>
      <w:r w:rsidR="00295262">
        <w:t xml:space="preserve">dividendinių </w:t>
      </w:r>
      <w:r>
        <w:t>akcijų duomenys bus atrankami pastarųjų 5 metų periodui (2007-2011 metams imtinai), duomenys bus filtruojami atsižvelgiant į šiuos pagrindinius kriterijus:</w:t>
      </w:r>
    </w:p>
    <w:p w:rsidR="00295262" w:rsidRPr="00295262" w:rsidRDefault="00D278E8" w:rsidP="00B64EEA">
      <w:pPr>
        <w:pStyle w:val="ListParagraph"/>
        <w:numPr>
          <w:ilvl w:val="0"/>
          <w:numId w:val="16"/>
        </w:numPr>
        <w:rPr>
          <w:i/>
        </w:rPr>
      </w:pPr>
      <w:r w:rsidRPr="00431D4B">
        <w:rPr>
          <w:i/>
        </w:rPr>
        <w:t>Imties tūris.</w:t>
      </w:r>
      <w:r>
        <w:rPr>
          <w:i/>
        </w:rPr>
        <w:t xml:space="preserve"> </w:t>
      </w:r>
      <w:r w:rsidRPr="00431D4B">
        <w:t>Atrenkamos</w:t>
      </w:r>
      <w:r w:rsidR="00295262">
        <w:t xml:space="preserve"> Baltijos akcijų rinkos</w:t>
      </w:r>
      <w:r w:rsidRPr="00431D4B">
        <w:rPr>
          <w:i/>
        </w:rPr>
        <w:t xml:space="preserve"> </w:t>
      </w:r>
      <w:r w:rsidR="00295262" w:rsidRPr="00295262">
        <w:t>(</w:t>
      </w:r>
      <w:r w:rsidR="00295262">
        <w:t>OMX Baltic)</w:t>
      </w:r>
      <w:r>
        <w:t xml:space="preserve"> įmonių akcijos. Dividendinės politikos tyrimuose, išskyrus tyrimus, kuriuose analizuojamas kainos jautrumas, dažniausiai naudotos ne daugiau kaip 60 įmonių akcijos: Bougatef (2011) – 24 įmonės, Khan, Amir, Qayyum, Nasir, Khan (2011) </w:t>
      </w:r>
      <w:r w:rsidRPr="00237291">
        <w:t xml:space="preserve">– 55, Imran (2011) – 36. </w:t>
      </w:r>
      <w:r w:rsidR="00295262">
        <w:rPr>
          <w:lang w:val="en-US"/>
        </w:rPr>
        <w:t>Khan (2012) – 25;</w:t>
      </w:r>
    </w:p>
    <w:p w:rsidR="00D278E8" w:rsidRDefault="00D278E8" w:rsidP="00B64EEA">
      <w:pPr>
        <w:pStyle w:val="ListParagraph"/>
        <w:numPr>
          <w:ilvl w:val="0"/>
          <w:numId w:val="16"/>
        </w:numPr>
      </w:pPr>
      <w:r w:rsidRPr="00891962">
        <w:rPr>
          <w:i/>
        </w:rPr>
        <w:t>Duomenų prieinamumas</w:t>
      </w:r>
      <w:r>
        <w:rPr>
          <w:i/>
        </w:rPr>
        <w:t>.</w:t>
      </w:r>
      <w:r>
        <w:t xml:space="preserve"> Įmonių finansiniai istoriniai duomenys turi būti prieinami atitinkamos šalies akcijų rinkos statistinių duomenų ba</w:t>
      </w:r>
      <w:r w:rsidR="00CD61AB">
        <w:t>zėje arba kitose duomenų bazėse,</w:t>
      </w:r>
      <w:r>
        <w:t xml:space="preserve"> kur aktuali tyrimui informacinė prieiga nėra ribojama</w:t>
      </w:r>
      <w:r w:rsidR="00CD61AB">
        <w:t>:</w:t>
      </w:r>
      <w:r w:rsidR="00CD61AB">
        <w:rPr>
          <w:i/>
        </w:rPr>
        <w:t xml:space="preserve"> </w:t>
      </w:r>
      <w:r w:rsidR="00295262" w:rsidRPr="00295262">
        <w:rPr>
          <w:i/>
        </w:rPr>
        <w:t>Nasdaq OMX Baltic,</w:t>
      </w:r>
      <w:r w:rsidR="00295262">
        <w:t xml:space="preserve"> </w:t>
      </w:r>
      <w:r w:rsidRPr="00C90F20">
        <w:rPr>
          <w:i/>
        </w:rPr>
        <w:t>Bloomber</w:t>
      </w:r>
      <w:r w:rsidR="00295262">
        <w:rPr>
          <w:i/>
        </w:rPr>
        <w:t>g</w:t>
      </w:r>
      <w:r w:rsidR="00CD61AB">
        <w:t>. Fundamentiniai duomenys taip pat atrenkami iš įmonių metinių ataskaitų, kurias galima rasti atrinktų  įmonių oficialiuose puslapiuose.</w:t>
      </w:r>
    </w:p>
    <w:p w:rsidR="00D278E8" w:rsidRDefault="00D278E8" w:rsidP="00B64EEA">
      <w:pPr>
        <w:pStyle w:val="ListParagraph"/>
        <w:numPr>
          <w:ilvl w:val="0"/>
          <w:numId w:val="16"/>
        </w:numPr>
      </w:pPr>
      <w:r>
        <w:rPr>
          <w:i/>
        </w:rPr>
        <w:t xml:space="preserve">Įmonės veiklos sektorius. </w:t>
      </w:r>
      <w:r w:rsidRPr="00C435A4">
        <w:t xml:space="preserve">Į tyrimo populiaciją </w:t>
      </w:r>
      <w:r>
        <w:t>į</w:t>
      </w:r>
      <w:r w:rsidRPr="00C435A4">
        <w:t>trauk</w:t>
      </w:r>
      <w:r>
        <w:t>iamos visų veiklos sektorių</w:t>
      </w:r>
      <w:r w:rsidRPr="00C435A4">
        <w:t xml:space="preserve"> į</w:t>
      </w:r>
      <w:r>
        <w:t xml:space="preserve">monių akcijos;  </w:t>
      </w:r>
    </w:p>
    <w:p w:rsidR="00D278E8" w:rsidRPr="00295262" w:rsidRDefault="00D278E8" w:rsidP="00B64EEA">
      <w:pPr>
        <w:pStyle w:val="ListParagraph"/>
        <w:numPr>
          <w:ilvl w:val="0"/>
          <w:numId w:val="16"/>
        </w:numPr>
        <w:rPr>
          <w:i/>
        </w:rPr>
      </w:pPr>
      <w:r w:rsidRPr="00072566">
        <w:rPr>
          <w:i/>
        </w:rPr>
        <w:t>Akcijų rūšis.</w:t>
      </w:r>
      <w:r>
        <w:rPr>
          <w:i/>
        </w:rPr>
        <w:t xml:space="preserve"> </w:t>
      </w:r>
      <w:r w:rsidRPr="00072566">
        <w:t>Paprastosios akcijos, kurių akcininkams išmokami dividendai. Į šią kategoriją nepaten</w:t>
      </w:r>
      <w:r w:rsidR="001F1196">
        <w:t xml:space="preserve">ka ilgalaikiai akcijų opcionai ir kitos finansinės priemonės, </w:t>
      </w:r>
      <w:r>
        <w:t>pr</w:t>
      </w:r>
      <w:r w:rsidR="001F1196">
        <w:t>iskiriamos</w:t>
      </w:r>
      <w:r w:rsidR="00295262">
        <w:t xml:space="preserve"> atskirai turto k</w:t>
      </w:r>
      <w:r w:rsidR="001F1196">
        <w:t>ategorijai</w:t>
      </w:r>
      <w:r w:rsidR="00295262">
        <w:t xml:space="preserve"> (Fracassi, 2008);</w:t>
      </w:r>
    </w:p>
    <w:p w:rsidR="00295262" w:rsidRPr="00072566" w:rsidRDefault="00295262" w:rsidP="00B64EEA">
      <w:pPr>
        <w:pStyle w:val="ListParagraph"/>
        <w:numPr>
          <w:ilvl w:val="0"/>
          <w:numId w:val="16"/>
        </w:numPr>
        <w:rPr>
          <w:i/>
        </w:rPr>
      </w:pPr>
      <w:r>
        <w:rPr>
          <w:i/>
        </w:rPr>
        <w:t xml:space="preserve">Dividendus mokančios įmonės. </w:t>
      </w:r>
      <w:r>
        <w:t>Į galutinę tyrimo imtį atrenkamos įmonės, kurios per pastaruosius 3 metus, ne mažiau kaip 2 kartus savo akcininkams išmokėjo dividendus. Jei dividendų mokėjimo istorija trumpesnė nei 5 metai, pirmieji analizuojami metai</w:t>
      </w:r>
      <w:r w:rsidR="00F66C71">
        <w:t xml:space="preserve"> – dividendų inicijavimo metai.</w:t>
      </w:r>
    </w:p>
    <w:p w:rsidR="00756858" w:rsidRDefault="00756858" w:rsidP="00B64EEA">
      <w:pPr>
        <w:pStyle w:val="ListParagraph"/>
        <w:numPr>
          <w:ilvl w:val="0"/>
          <w:numId w:val="16"/>
        </w:numPr>
      </w:pPr>
      <w:r>
        <w:rPr>
          <w:i/>
        </w:rPr>
        <w:t xml:space="preserve">Fundamentiniai kriterijai. </w:t>
      </w:r>
      <w:r>
        <w:t xml:space="preserve">Kaip įprasta mokslinėje literatūroje, fundamentinių rodiklių duomenys atrenkami praėjusiems fiskaliniams metams prieš dividendų paskelbimo dieną (Fracassi, 2008): jei dividendai paskelbiami </w:t>
      </w:r>
      <w:r w:rsidRPr="00D25D8F">
        <w:rPr>
          <w:i/>
        </w:rPr>
        <w:t>t</w:t>
      </w:r>
      <w:r w:rsidR="00754803">
        <w:rPr>
          <w:i/>
        </w:rPr>
        <w:t>+1</w:t>
      </w:r>
      <w:r>
        <w:t xml:space="preserve"> metais, analizuojami </w:t>
      </w:r>
      <w:r w:rsidRPr="00D25D8F">
        <w:rPr>
          <w:i/>
        </w:rPr>
        <w:t>t</w:t>
      </w:r>
      <w:r>
        <w:t xml:space="preserve"> finansinių metų duomenys. Įprastai įmonės išmoka dividendus už </w:t>
      </w:r>
      <w:r w:rsidRPr="00D25D8F">
        <w:rPr>
          <w:i/>
        </w:rPr>
        <w:t>t</w:t>
      </w:r>
      <w:r>
        <w:t xml:space="preserve"> finansinius metus, tačiau dividendų išmokėjimo duomenys įtraukiami </w:t>
      </w:r>
      <w:r w:rsidRPr="00D25D8F">
        <w:rPr>
          <w:i/>
        </w:rPr>
        <w:t>t</w:t>
      </w:r>
      <w:r>
        <w:t xml:space="preserve"> metų ataskaitoje.</w:t>
      </w:r>
    </w:p>
    <w:p w:rsidR="00D278E8" w:rsidRDefault="00D278E8" w:rsidP="00B64EEA">
      <w:pPr>
        <w:pStyle w:val="ListParagraph"/>
        <w:numPr>
          <w:ilvl w:val="0"/>
          <w:numId w:val="16"/>
        </w:numPr>
      </w:pPr>
      <w:r>
        <w:rPr>
          <w:i/>
        </w:rPr>
        <w:t>Mokamų</w:t>
      </w:r>
      <w:r w:rsidRPr="00891962">
        <w:rPr>
          <w:i/>
        </w:rPr>
        <w:t xml:space="preserve"> dividendų </w:t>
      </w:r>
      <w:r>
        <w:rPr>
          <w:i/>
        </w:rPr>
        <w:t>rūšis.</w:t>
      </w:r>
      <w:r>
        <w:t xml:space="preserve"> Tyrimo aibė apribota, orientuojantis tik į įmonių, mokančių paprastuosius akcijų dividendus, išmokamus grynaisiais pinigais, akcijas. Specialiesiems dividendams pagal DeAngelo, DeAngelo ir Skinner (2000) būdinga tam tikra dinamika ir išmokėjimo specifika;</w:t>
      </w:r>
    </w:p>
    <w:p w:rsidR="00D278E8" w:rsidRDefault="00D278E8" w:rsidP="00B64EEA">
      <w:pPr>
        <w:pStyle w:val="ListParagraph"/>
        <w:numPr>
          <w:ilvl w:val="0"/>
          <w:numId w:val="16"/>
        </w:numPr>
      </w:pPr>
      <w:r>
        <w:rPr>
          <w:i/>
        </w:rPr>
        <w:t>Išmokamų dividendų valiuta.</w:t>
      </w:r>
      <w:r>
        <w:t xml:space="preserve"> Grynieji pinigai</w:t>
      </w:r>
      <w:r w:rsidR="00922988">
        <w:t>, valiuta</w:t>
      </w:r>
      <w:r>
        <w:t xml:space="preserve"> </w:t>
      </w:r>
      <w:r w:rsidR="00CD61AB">
        <w:t>Eurais (EUR);</w:t>
      </w:r>
    </w:p>
    <w:p w:rsidR="00CD61AB" w:rsidRDefault="00CD61AB" w:rsidP="00B64EEA">
      <w:pPr>
        <w:pStyle w:val="ListParagraph"/>
        <w:numPr>
          <w:ilvl w:val="0"/>
          <w:numId w:val="16"/>
        </w:numPr>
      </w:pPr>
      <w:r>
        <w:rPr>
          <w:i/>
        </w:rPr>
        <w:t>Dividendų paskelbimo diena.</w:t>
      </w:r>
      <w:r w:rsidR="00922988">
        <w:t xml:space="preserve"> Dividendų paskelbimo diena laikoma ta diena</w:t>
      </w:r>
      <w:r w:rsidR="00756858">
        <w:t xml:space="preserve"> (t</w:t>
      </w:r>
      <w:r w:rsidR="00756858">
        <w:rPr>
          <w:lang w:val="en-US"/>
        </w:rPr>
        <w:t>=0)</w:t>
      </w:r>
      <w:r w:rsidR="00922988">
        <w:t xml:space="preserve">, kuomet įmonės vadovybė teikia pelno paskirstymo projektą kasmetiniam visuotiniam akcininkų </w:t>
      </w:r>
      <w:r w:rsidR="00922988">
        <w:lastRenderedPageBreak/>
        <w:t>susirinkimui svarstyti.</w:t>
      </w:r>
      <w:r w:rsidR="00B41F5F">
        <w:t xml:space="preserve"> Jei sprendimai po akcininkų susirinkimo keičiasi, tuomet įvertinamos abi naujienos.</w:t>
      </w:r>
    </w:p>
    <w:p w:rsidR="00045A58" w:rsidRDefault="00CD61AB" w:rsidP="00B64EEA">
      <w:pPr>
        <w:pStyle w:val="ListParagraph"/>
        <w:numPr>
          <w:ilvl w:val="0"/>
          <w:numId w:val="16"/>
        </w:numPr>
      </w:pPr>
      <w:r>
        <w:rPr>
          <w:i/>
        </w:rPr>
        <w:t>Dividendų paskelbimo</w:t>
      </w:r>
      <w:r w:rsidR="00922988">
        <w:rPr>
          <w:i/>
        </w:rPr>
        <w:t xml:space="preserve"> informacijos</w:t>
      </w:r>
      <w:r>
        <w:rPr>
          <w:i/>
        </w:rPr>
        <w:t xml:space="preserve"> tipas.</w:t>
      </w:r>
      <w:r w:rsidR="00B06393">
        <w:t xml:space="preserve"> </w:t>
      </w:r>
      <w:r w:rsidR="00754803">
        <w:t xml:space="preserve">Kuomet dividendai paskelbiami einamaisiais </w:t>
      </w:r>
      <w:r w:rsidR="00754803" w:rsidRPr="00754803">
        <w:rPr>
          <w:i/>
        </w:rPr>
        <w:t>t+1</w:t>
      </w:r>
      <w:r w:rsidR="00754803">
        <w:t xml:space="preserve"> metais, b</w:t>
      </w:r>
      <w:r w:rsidR="00B06393">
        <w:t>endru atveju d</w:t>
      </w:r>
      <w:r>
        <w:t xml:space="preserve">ividendų </w:t>
      </w:r>
      <w:r w:rsidR="00B06393">
        <w:t xml:space="preserve">informacija tyrime klasifikuojama į penkis tipus: </w:t>
      </w:r>
    </w:p>
    <w:p w:rsidR="00045A58" w:rsidRDefault="00CD61AB" w:rsidP="00B64EEA">
      <w:pPr>
        <w:pStyle w:val="ListParagraph"/>
        <w:numPr>
          <w:ilvl w:val="1"/>
          <w:numId w:val="16"/>
        </w:numPr>
      </w:pPr>
      <w:r>
        <w:t xml:space="preserve">apimanti dividendų dydžio mažinimą ir didinimą (lyginant su </w:t>
      </w:r>
      <w:r w:rsidR="00045A58">
        <w:t>praėjusiais</w:t>
      </w:r>
      <w:r w:rsidR="00B41F5F">
        <w:t xml:space="preserve"> </w:t>
      </w:r>
      <w:r w:rsidR="00B41F5F" w:rsidRPr="00B41F5F">
        <w:rPr>
          <w:i/>
        </w:rPr>
        <w:t>t</w:t>
      </w:r>
      <w:r w:rsidR="00045A58">
        <w:t xml:space="preserve"> metais);</w:t>
      </w:r>
    </w:p>
    <w:p w:rsidR="00045A58" w:rsidRDefault="00B06393" w:rsidP="00B64EEA">
      <w:pPr>
        <w:pStyle w:val="ListParagraph"/>
        <w:numPr>
          <w:ilvl w:val="1"/>
          <w:numId w:val="16"/>
        </w:numPr>
      </w:pPr>
      <w:r>
        <w:t>pastovaus dividendų dydžio informacija</w:t>
      </w:r>
      <w:r w:rsidR="00045A58">
        <w:t xml:space="preserve"> (lyginant su </w:t>
      </w:r>
      <w:r w:rsidR="00B41F5F" w:rsidRPr="00B41F5F">
        <w:rPr>
          <w:i/>
        </w:rPr>
        <w:t>t</w:t>
      </w:r>
      <w:r w:rsidR="00045A58">
        <w:t xml:space="preserve"> metais);</w:t>
      </w:r>
    </w:p>
    <w:p w:rsidR="00045A58" w:rsidRDefault="00045A58" w:rsidP="00B64EEA">
      <w:pPr>
        <w:pStyle w:val="ListParagraph"/>
        <w:numPr>
          <w:ilvl w:val="1"/>
          <w:numId w:val="16"/>
        </w:numPr>
      </w:pPr>
      <w:r>
        <w:t>informacija apie dividendų neišmokėjimą</w:t>
      </w:r>
      <w:r w:rsidR="00CD61AB">
        <w:t xml:space="preserve"> (</w:t>
      </w:r>
      <w:r w:rsidR="00B41F5F">
        <w:t xml:space="preserve">kai </w:t>
      </w:r>
      <w:r w:rsidR="00CD61AB">
        <w:t>div</w:t>
      </w:r>
      <w:r>
        <w:t xml:space="preserve">idendai </w:t>
      </w:r>
      <w:r w:rsidR="00754803">
        <w:rPr>
          <w:i/>
        </w:rPr>
        <w:t>t</w:t>
      </w:r>
      <w:r w:rsidR="00B41F5F">
        <w:rPr>
          <w:i/>
        </w:rPr>
        <w:t xml:space="preserve"> </w:t>
      </w:r>
      <w:r w:rsidR="00B41F5F" w:rsidRPr="00B41F5F">
        <w:t>metais</w:t>
      </w:r>
      <w:r w:rsidRPr="00B41F5F">
        <w:t xml:space="preserve"> </w:t>
      </w:r>
      <w:r>
        <w:t>buvo mokami);</w:t>
      </w:r>
    </w:p>
    <w:p w:rsidR="00CD61AB" w:rsidRDefault="00CD61AB" w:rsidP="00B64EEA">
      <w:pPr>
        <w:pStyle w:val="ListParagraph"/>
        <w:numPr>
          <w:ilvl w:val="1"/>
          <w:numId w:val="16"/>
        </w:numPr>
      </w:pPr>
      <w:r>
        <w:t>dividendų inicijavimo informacija (dividendai nebuvo mokami metus arba ilgiau, tačiau įmonė</w:t>
      </w:r>
      <w:r w:rsidR="00B41F5F">
        <w:t xml:space="preserve"> </w:t>
      </w:r>
      <w:r w:rsidR="00B41F5F" w:rsidRPr="00B41F5F">
        <w:rPr>
          <w:i/>
        </w:rPr>
        <w:t>t</w:t>
      </w:r>
      <w:r w:rsidR="00B41F5F">
        <w:t xml:space="preserve"> metais</w:t>
      </w:r>
      <w:r>
        <w:t xml:space="preserve"> nusprendžia </w:t>
      </w:r>
      <w:r w:rsidR="00B41F5F">
        <w:t>iš</w:t>
      </w:r>
      <w:r>
        <w:t>mokėti akcininkams dividendus).</w:t>
      </w:r>
      <w:r w:rsidR="00F0260F">
        <w:t xml:space="preserve"> </w:t>
      </w:r>
    </w:p>
    <w:p w:rsidR="00045A58" w:rsidRPr="00045A58" w:rsidRDefault="00B17756" w:rsidP="00303745">
      <w:r>
        <w:t xml:space="preserve">Kadangi, tikėtina, jog faktinis dividendų (DPS) pokytis gali tinkamai neatspindėti akcijų pelningumo pokyčių, todėl šiame tyrime bus analizuojamas ir realus dividendų pajamingumo pokytis (DY). </w:t>
      </w:r>
      <w:r w:rsidR="00045A58">
        <w:t xml:space="preserve">Dividendų naujienų informacijos tipai ir prognozuojamas jų poveikis, atsižvelgiant į darbo teorinėje dalyje analizuotus </w:t>
      </w:r>
      <w:r w:rsidR="00CA7FAE">
        <w:t xml:space="preserve">tyrimų rezultatus, pateikiami </w:t>
      </w:r>
      <w:r w:rsidR="00045A58">
        <w:t>lent</w:t>
      </w:r>
      <w:r w:rsidR="00CA7FAE">
        <w:t>elėje</w:t>
      </w:r>
      <w:r w:rsidR="00045A58">
        <w:t xml:space="preserve"> (žr. </w:t>
      </w:r>
      <w:r w:rsidR="00707DF4">
        <w:t>7 lent</w:t>
      </w:r>
      <w:r w:rsidR="00756858">
        <w:t>.</w:t>
      </w:r>
      <w:r w:rsidR="00045A58">
        <w:t>).</w:t>
      </w:r>
    </w:p>
    <w:p w:rsidR="00045A58" w:rsidRDefault="00045A58" w:rsidP="00045A58">
      <w:pPr>
        <w:pStyle w:val="Caption"/>
      </w:pPr>
      <w:r>
        <w:t xml:space="preserve"> </w:t>
      </w:r>
      <w:bookmarkStart w:id="56" w:name="_Ref343004164"/>
      <w:bookmarkStart w:id="57" w:name="_Toc343677825"/>
      <w:r w:rsidR="009A05A1">
        <w:t>Anal</w:t>
      </w:r>
      <w:r w:rsidR="00303745">
        <w:t>izuojami dividendų</w:t>
      </w:r>
      <w:r>
        <w:t xml:space="preserve"> informacijos tipa</w:t>
      </w:r>
      <w:bookmarkEnd w:id="56"/>
      <w:r w:rsidR="009A05A1">
        <w:t>i ir dividendų politikos rodikliai</w:t>
      </w:r>
      <w:bookmarkEnd w:id="57"/>
    </w:p>
    <w:tbl>
      <w:tblPr>
        <w:tblW w:w="9464" w:type="dxa"/>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526"/>
        <w:gridCol w:w="709"/>
        <w:gridCol w:w="2126"/>
        <w:gridCol w:w="1276"/>
        <w:gridCol w:w="1275"/>
        <w:gridCol w:w="709"/>
        <w:gridCol w:w="1843"/>
      </w:tblGrid>
      <w:tr w:rsidR="009A05A1" w:rsidTr="00175526">
        <w:trPr>
          <w:trHeight w:val="419"/>
        </w:trPr>
        <w:tc>
          <w:tcPr>
            <w:tcW w:w="1526" w:type="dxa"/>
          </w:tcPr>
          <w:p w:rsidR="009A05A1" w:rsidRPr="00B06393" w:rsidRDefault="009A05A1" w:rsidP="004E6B94">
            <w:pPr>
              <w:spacing w:before="0" w:line="240" w:lineRule="auto"/>
              <w:ind w:firstLine="0"/>
              <w:jc w:val="center"/>
              <w:rPr>
                <w:b/>
              </w:rPr>
            </w:pPr>
            <w:r>
              <w:rPr>
                <w:b/>
              </w:rPr>
              <w:t>I</w:t>
            </w:r>
            <w:r w:rsidRPr="00B06393">
              <w:rPr>
                <w:b/>
              </w:rPr>
              <w:t>nformacijos tipas</w:t>
            </w:r>
          </w:p>
        </w:tc>
        <w:tc>
          <w:tcPr>
            <w:tcW w:w="2835" w:type="dxa"/>
            <w:gridSpan w:val="2"/>
          </w:tcPr>
          <w:p w:rsidR="009A05A1" w:rsidRPr="00B06393" w:rsidRDefault="009A05A1" w:rsidP="004E6B94">
            <w:pPr>
              <w:spacing w:before="0" w:line="240" w:lineRule="auto"/>
              <w:ind w:firstLine="0"/>
              <w:jc w:val="center"/>
              <w:rPr>
                <w:b/>
              </w:rPr>
            </w:pPr>
            <w:r>
              <w:rPr>
                <w:b/>
              </w:rPr>
              <w:t>Dividendų politikos rodiklio DPS pokytis</w:t>
            </w:r>
          </w:p>
        </w:tc>
        <w:tc>
          <w:tcPr>
            <w:tcW w:w="2551" w:type="dxa"/>
            <w:gridSpan w:val="2"/>
            <w:vAlign w:val="center"/>
          </w:tcPr>
          <w:p w:rsidR="009A05A1" w:rsidRDefault="009A05A1" w:rsidP="009A05A1">
            <w:pPr>
              <w:spacing w:before="0" w:line="240" w:lineRule="auto"/>
              <w:ind w:firstLine="0"/>
              <w:jc w:val="center"/>
              <w:rPr>
                <w:b/>
              </w:rPr>
            </w:pPr>
            <w:r w:rsidRPr="00B06393">
              <w:rPr>
                <w:b/>
              </w:rPr>
              <w:t>Prognozuojamas poveikis akcijų kainoms</w:t>
            </w:r>
          </w:p>
        </w:tc>
        <w:tc>
          <w:tcPr>
            <w:tcW w:w="2552" w:type="dxa"/>
            <w:gridSpan w:val="2"/>
          </w:tcPr>
          <w:p w:rsidR="009A05A1" w:rsidRPr="00B06393" w:rsidRDefault="009A05A1" w:rsidP="009A05A1">
            <w:pPr>
              <w:spacing w:before="0" w:line="240" w:lineRule="auto"/>
              <w:ind w:firstLine="0"/>
              <w:jc w:val="center"/>
              <w:rPr>
                <w:b/>
              </w:rPr>
            </w:pPr>
            <w:r>
              <w:rPr>
                <w:b/>
              </w:rPr>
              <w:t>Dividendų politikos rodiklio DY pokytis</w:t>
            </w:r>
          </w:p>
        </w:tc>
      </w:tr>
      <w:tr w:rsidR="009A05A1" w:rsidTr="00041F2D">
        <w:trPr>
          <w:trHeight w:val="341"/>
        </w:trPr>
        <w:tc>
          <w:tcPr>
            <w:tcW w:w="1526" w:type="dxa"/>
            <w:vAlign w:val="center"/>
          </w:tcPr>
          <w:p w:rsidR="009A05A1" w:rsidRPr="009A05A1" w:rsidRDefault="009A05A1" w:rsidP="004E6B94">
            <w:pPr>
              <w:spacing w:before="0" w:line="240" w:lineRule="auto"/>
              <w:ind w:firstLine="0"/>
              <w:jc w:val="center"/>
              <w:rPr>
                <w:b/>
                <w:szCs w:val="24"/>
              </w:rPr>
            </w:pPr>
            <w:r w:rsidRPr="009A05A1">
              <w:rPr>
                <w:b/>
                <w:szCs w:val="24"/>
              </w:rPr>
              <w:t>Naujienos</w:t>
            </w:r>
          </w:p>
        </w:tc>
        <w:tc>
          <w:tcPr>
            <w:tcW w:w="709" w:type="dxa"/>
            <w:vAlign w:val="center"/>
          </w:tcPr>
          <w:p w:rsidR="009A05A1" w:rsidRPr="009A05A1" w:rsidRDefault="009A05A1" w:rsidP="004E6B94">
            <w:pPr>
              <w:spacing w:before="0" w:line="240" w:lineRule="auto"/>
              <w:ind w:firstLine="0"/>
              <w:jc w:val="center"/>
              <w:rPr>
                <w:szCs w:val="24"/>
              </w:rPr>
            </w:pPr>
            <w:r w:rsidRPr="009A05A1">
              <w:rPr>
                <w:szCs w:val="24"/>
              </w:rPr>
              <w:t>D</w:t>
            </w:r>
          </w:p>
        </w:tc>
        <w:tc>
          <w:tcPr>
            <w:tcW w:w="2126" w:type="dxa"/>
            <w:vAlign w:val="center"/>
          </w:tcPr>
          <w:p w:rsidR="009A05A1" w:rsidRPr="009A05A1" w:rsidRDefault="009A05A1" w:rsidP="004E6B94">
            <w:pPr>
              <w:spacing w:before="0" w:line="240" w:lineRule="auto"/>
              <w:ind w:firstLine="0"/>
              <w:jc w:val="center"/>
              <w:rPr>
                <w:szCs w:val="24"/>
              </w:rPr>
            </w:pPr>
            <w:r w:rsidRPr="009A05A1">
              <w:rPr>
                <w:szCs w:val="24"/>
              </w:rPr>
              <w:t>Dividendų paskelbimo informacija</w:t>
            </w:r>
          </w:p>
        </w:tc>
        <w:tc>
          <w:tcPr>
            <w:tcW w:w="2551" w:type="dxa"/>
            <w:gridSpan w:val="2"/>
            <w:vAlign w:val="center"/>
          </w:tcPr>
          <w:p w:rsidR="009A05A1" w:rsidRPr="009A05A1" w:rsidRDefault="009A05A1" w:rsidP="009A05A1">
            <w:pPr>
              <w:spacing w:before="0" w:line="240" w:lineRule="auto"/>
              <w:ind w:firstLine="0"/>
              <w:jc w:val="center"/>
              <w:rPr>
                <w:szCs w:val="24"/>
              </w:rPr>
            </w:pPr>
            <w:r w:rsidRPr="009A05A1">
              <w:rPr>
                <w:szCs w:val="24"/>
              </w:rPr>
              <w:t>+</w:t>
            </w:r>
          </w:p>
        </w:tc>
        <w:tc>
          <w:tcPr>
            <w:tcW w:w="709" w:type="dxa"/>
            <w:vAlign w:val="center"/>
          </w:tcPr>
          <w:p w:rsidR="009A05A1" w:rsidRPr="009A05A1" w:rsidRDefault="009A05A1" w:rsidP="009A05A1">
            <w:pPr>
              <w:spacing w:before="0" w:line="240" w:lineRule="auto"/>
              <w:ind w:firstLine="0"/>
              <w:jc w:val="center"/>
              <w:rPr>
                <w:szCs w:val="24"/>
              </w:rPr>
            </w:pPr>
            <w:r w:rsidRPr="009A05A1">
              <w:rPr>
                <w:szCs w:val="24"/>
              </w:rPr>
              <w:t>D</w:t>
            </w:r>
          </w:p>
        </w:tc>
        <w:tc>
          <w:tcPr>
            <w:tcW w:w="1843" w:type="dxa"/>
            <w:vAlign w:val="center"/>
          </w:tcPr>
          <w:p w:rsidR="009A05A1" w:rsidRDefault="009A05A1" w:rsidP="009A05A1">
            <w:pPr>
              <w:spacing w:before="0" w:line="240" w:lineRule="auto"/>
              <w:ind w:firstLine="0"/>
              <w:jc w:val="center"/>
              <w:rPr>
                <w:szCs w:val="24"/>
              </w:rPr>
            </w:pPr>
            <w:r>
              <w:rPr>
                <w:szCs w:val="24"/>
              </w:rPr>
              <w:t>Dividendų paskelbimo informacija</w:t>
            </w:r>
          </w:p>
        </w:tc>
      </w:tr>
      <w:tr w:rsidR="009A05A1" w:rsidTr="00041F2D">
        <w:trPr>
          <w:trHeight w:val="417"/>
        </w:trPr>
        <w:tc>
          <w:tcPr>
            <w:tcW w:w="1526" w:type="dxa"/>
            <w:vMerge w:val="restart"/>
            <w:vAlign w:val="center"/>
          </w:tcPr>
          <w:p w:rsidR="009A05A1" w:rsidRPr="009A05A1" w:rsidRDefault="009A05A1" w:rsidP="004E6B94">
            <w:pPr>
              <w:spacing w:before="0" w:line="240" w:lineRule="auto"/>
              <w:ind w:firstLine="0"/>
              <w:jc w:val="center"/>
              <w:rPr>
                <w:b/>
                <w:szCs w:val="24"/>
              </w:rPr>
            </w:pPr>
            <w:r w:rsidRPr="009A05A1">
              <w:rPr>
                <w:b/>
                <w:szCs w:val="24"/>
              </w:rPr>
              <w:t>Neigiamos naujienos</w:t>
            </w:r>
          </w:p>
        </w:tc>
        <w:tc>
          <w:tcPr>
            <w:tcW w:w="709" w:type="dxa"/>
            <w:vAlign w:val="center"/>
          </w:tcPr>
          <w:p w:rsidR="009A05A1" w:rsidRPr="009A05A1" w:rsidRDefault="009A05A1" w:rsidP="004E6B94">
            <w:pPr>
              <w:spacing w:before="0" w:line="240" w:lineRule="auto"/>
              <w:ind w:firstLine="0"/>
              <w:jc w:val="center"/>
              <w:rPr>
                <w:szCs w:val="24"/>
                <w:lang w:val="en-US"/>
              </w:rPr>
            </w:pPr>
            <w:r w:rsidRPr="009A05A1">
              <w:rPr>
                <w:szCs w:val="24"/>
              </w:rPr>
              <w:t>D</w:t>
            </w:r>
            <w:r w:rsidR="00041F2D">
              <w:rPr>
                <w:szCs w:val="24"/>
              </w:rPr>
              <w:t>P</w:t>
            </w:r>
            <w:r w:rsidRPr="009A05A1">
              <w:rPr>
                <w:szCs w:val="24"/>
              </w:rPr>
              <w:t>1</w:t>
            </w:r>
          </w:p>
        </w:tc>
        <w:tc>
          <w:tcPr>
            <w:tcW w:w="2126" w:type="dxa"/>
            <w:vAlign w:val="center"/>
          </w:tcPr>
          <w:p w:rsidR="009A05A1" w:rsidRPr="009A05A1" w:rsidRDefault="009A05A1" w:rsidP="004E6B94">
            <w:pPr>
              <w:spacing w:before="0" w:line="240" w:lineRule="auto"/>
              <w:ind w:firstLine="0"/>
              <w:jc w:val="center"/>
              <w:rPr>
                <w:szCs w:val="24"/>
              </w:rPr>
            </w:pPr>
            <w:r w:rsidRPr="009A05A1">
              <w:rPr>
                <w:szCs w:val="24"/>
              </w:rPr>
              <w:t>Dividendai neišmokami</w:t>
            </w:r>
          </w:p>
        </w:tc>
        <w:tc>
          <w:tcPr>
            <w:tcW w:w="2551" w:type="dxa"/>
            <w:gridSpan w:val="2"/>
            <w:vAlign w:val="center"/>
          </w:tcPr>
          <w:p w:rsidR="009A05A1" w:rsidRPr="009A05A1" w:rsidRDefault="009A05A1" w:rsidP="009A05A1">
            <w:pPr>
              <w:spacing w:before="0" w:line="240" w:lineRule="auto"/>
              <w:ind w:firstLine="0"/>
              <w:jc w:val="center"/>
              <w:rPr>
                <w:szCs w:val="24"/>
              </w:rPr>
            </w:pPr>
            <w:r w:rsidRPr="009A05A1">
              <w:rPr>
                <w:szCs w:val="24"/>
              </w:rPr>
              <w:t>-</w:t>
            </w:r>
          </w:p>
        </w:tc>
        <w:tc>
          <w:tcPr>
            <w:tcW w:w="709" w:type="dxa"/>
            <w:vAlign w:val="center"/>
          </w:tcPr>
          <w:p w:rsidR="009A05A1" w:rsidRPr="009A05A1" w:rsidRDefault="009A05A1" w:rsidP="009A05A1">
            <w:pPr>
              <w:spacing w:before="0" w:line="240" w:lineRule="auto"/>
              <w:ind w:firstLine="0"/>
              <w:jc w:val="center"/>
              <w:rPr>
                <w:szCs w:val="24"/>
              </w:rPr>
            </w:pPr>
            <w:r w:rsidRPr="009A05A1">
              <w:rPr>
                <w:szCs w:val="24"/>
              </w:rPr>
              <w:t>DY1</w:t>
            </w:r>
          </w:p>
        </w:tc>
        <w:tc>
          <w:tcPr>
            <w:tcW w:w="1843" w:type="dxa"/>
            <w:vAlign w:val="center"/>
          </w:tcPr>
          <w:p w:rsidR="009A05A1" w:rsidRPr="00B06393" w:rsidRDefault="009A05A1" w:rsidP="009A05A1">
            <w:pPr>
              <w:spacing w:before="0" w:line="240" w:lineRule="auto"/>
              <w:ind w:firstLine="0"/>
              <w:jc w:val="center"/>
              <w:rPr>
                <w:szCs w:val="24"/>
              </w:rPr>
            </w:pPr>
            <w:r w:rsidRPr="00B06393">
              <w:rPr>
                <w:szCs w:val="24"/>
              </w:rPr>
              <w:t>Dividendai neišmokami</w:t>
            </w:r>
          </w:p>
        </w:tc>
      </w:tr>
      <w:tr w:rsidR="009A05A1" w:rsidTr="00041F2D">
        <w:trPr>
          <w:trHeight w:val="394"/>
        </w:trPr>
        <w:tc>
          <w:tcPr>
            <w:tcW w:w="1526" w:type="dxa"/>
            <w:vMerge/>
            <w:vAlign w:val="center"/>
          </w:tcPr>
          <w:p w:rsidR="009A05A1" w:rsidRPr="009A05A1" w:rsidRDefault="009A05A1" w:rsidP="004E6B94">
            <w:pPr>
              <w:spacing w:before="0" w:line="240" w:lineRule="auto"/>
              <w:ind w:firstLine="0"/>
              <w:jc w:val="center"/>
              <w:rPr>
                <w:b/>
                <w:szCs w:val="24"/>
              </w:rPr>
            </w:pPr>
          </w:p>
        </w:tc>
        <w:tc>
          <w:tcPr>
            <w:tcW w:w="709" w:type="dxa"/>
            <w:vAlign w:val="center"/>
          </w:tcPr>
          <w:p w:rsidR="009A05A1" w:rsidRPr="009A05A1" w:rsidRDefault="009A05A1" w:rsidP="004E6B94">
            <w:pPr>
              <w:spacing w:before="0" w:line="240" w:lineRule="auto"/>
              <w:ind w:firstLine="0"/>
              <w:jc w:val="center"/>
              <w:rPr>
                <w:szCs w:val="24"/>
              </w:rPr>
            </w:pPr>
            <w:r w:rsidRPr="009A05A1">
              <w:rPr>
                <w:szCs w:val="24"/>
              </w:rPr>
              <w:t>D</w:t>
            </w:r>
            <w:r w:rsidR="00041F2D">
              <w:rPr>
                <w:szCs w:val="24"/>
              </w:rPr>
              <w:t>P</w:t>
            </w:r>
            <w:r w:rsidRPr="009A05A1">
              <w:rPr>
                <w:szCs w:val="24"/>
              </w:rPr>
              <w:t>2</w:t>
            </w:r>
          </w:p>
        </w:tc>
        <w:tc>
          <w:tcPr>
            <w:tcW w:w="2126" w:type="dxa"/>
            <w:vAlign w:val="center"/>
          </w:tcPr>
          <w:p w:rsidR="009A05A1" w:rsidRPr="009A05A1" w:rsidRDefault="009A05A1" w:rsidP="004E6B94">
            <w:pPr>
              <w:spacing w:before="0" w:line="240" w:lineRule="auto"/>
              <w:ind w:firstLine="0"/>
              <w:jc w:val="center"/>
              <w:rPr>
                <w:szCs w:val="24"/>
              </w:rPr>
            </w:pPr>
            <w:r w:rsidRPr="009A05A1">
              <w:rPr>
                <w:szCs w:val="24"/>
              </w:rPr>
              <w:t>Dividendų lygis DPS sumažinamas</w:t>
            </w:r>
          </w:p>
        </w:tc>
        <w:tc>
          <w:tcPr>
            <w:tcW w:w="1276" w:type="dxa"/>
            <w:vAlign w:val="center"/>
          </w:tcPr>
          <w:p w:rsidR="009A05A1" w:rsidRPr="009A05A1" w:rsidRDefault="009A05A1" w:rsidP="009A05A1">
            <w:pPr>
              <w:spacing w:before="0" w:line="240" w:lineRule="auto"/>
              <w:ind w:firstLine="0"/>
              <w:jc w:val="center"/>
              <w:rPr>
                <w:szCs w:val="24"/>
              </w:rPr>
            </w:pPr>
            <w:r w:rsidRPr="009A05A1">
              <w:rPr>
                <w:szCs w:val="24"/>
              </w:rPr>
              <w:t>-</w:t>
            </w:r>
          </w:p>
        </w:tc>
        <w:tc>
          <w:tcPr>
            <w:tcW w:w="1275" w:type="dxa"/>
            <w:vMerge w:val="restart"/>
            <w:vAlign w:val="center"/>
          </w:tcPr>
          <w:p w:rsidR="009A05A1" w:rsidRPr="009A05A1" w:rsidRDefault="009A05A1" w:rsidP="009A05A1">
            <w:pPr>
              <w:spacing w:before="0" w:line="240" w:lineRule="auto"/>
              <w:ind w:firstLine="0"/>
              <w:jc w:val="center"/>
              <w:rPr>
                <w:szCs w:val="24"/>
              </w:rPr>
            </w:pPr>
            <w:r w:rsidRPr="009A05A1">
              <w:rPr>
                <w:szCs w:val="24"/>
              </w:rPr>
              <w:t>-</w:t>
            </w:r>
          </w:p>
        </w:tc>
        <w:tc>
          <w:tcPr>
            <w:tcW w:w="709" w:type="dxa"/>
            <w:vMerge w:val="restart"/>
            <w:vAlign w:val="center"/>
          </w:tcPr>
          <w:p w:rsidR="009A05A1" w:rsidRPr="009A05A1" w:rsidRDefault="009A05A1" w:rsidP="009A05A1">
            <w:pPr>
              <w:spacing w:before="0" w:line="240" w:lineRule="auto"/>
              <w:ind w:firstLine="0"/>
              <w:jc w:val="center"/>
              <w:rPr>
                <w:szCs w:val="24"/>
              </w:rPr>
            </w:pPr>
            <w:r w:rsidRPr="009A05A1">
              <w:rPr>
                <w:szCs w:val="24"/>
              </w:rPr>
              <w:t>DY2</w:t>
            </w:r>
          </w:p>
        </w:tc>
        <w:tc>
          <w:tcPr>
            <w:tcW w:w="1843" w:type="dxa"/>
            <w:vMerge w:val="restart"/>
            <w:vAlign w:val="center"/>
          </w:tcPr>
          <w:p w:rsidR="009A05A1" w:rsidRPr="00B06393" w:rsidRDefault="009A05A1" w:rsidP="009A05A1">
            <w:pPr>
              <w:spacing w:before="0" w:line="240" w:lineRule="auto"/>
              <w:ind w:firstLine="0"/>
              <w:jc w:val="center"/>
              <w:rPr>
                <w:szCs w:val="24"/>
              </w:rPr>
            </w:pPr>
            <w:r>
              <w:rPr>
                <w:szCs w:val="24"/>
              </w:rPr>
              <w:t>Dividendų pajamingumo DY sumažėjimas</w:t>
            </w:r>
          </w:p>
        </w:tc>
      </w:tr>
      <w:tr w:rsidR="009A05A1" w:rsidTr="00041F2D">
        <w:trPr>
          <w:trHeight w:val="278"/>
        </w:trPr>
        <w:tc>
          <w:tcPr>
            <w:tcW w:w="1526" w:type="dxa"/>
            <w:vMerge w:val="restart"/>
            <w:vAlign w:val="center"/>
          </w:tcPr>
          <w:p w:rsidR="009A05A1" w:rsidRPr="009A05A1" w:rsidRDefault="009A05A1" w:rsidP="004E6B94">
            <w:pPr>
              <w:spacing w:before="0" w:line="240" w:lineRule="auto"/>
              <w:ind w:firstLine="0"/>
              <w:jc w:val="center"/>
              <w:rPr>
                <w:b/>
                <w:szCs w:val="24"/>
              </w:rPr>
            </w:pPr>
            <w:r w:rsidRPr="009A05A1">
              <w:rPr>
                <w:b/>
                <w:szCs w:val="24"/>
              </w:rPr>
              <w:t>Teigiamos naujienos</w:t>
            </w:r>
          </w:p>
        </w:tc>
        <w:tc>
          <w:tcPr>
            <w:tcW w:w="709" w:type="dxa"/>
            <w:vMerge w:val="restart"/>
            <w:vAlign w:val="center"/>
          </w:tcPr>
          <w:p w:rsidR="009A05A1" w:rsidRPr="009A05A1" w:rsidRDefault="009A05A1" w:rsidP="004E6B94">
            <w:pPr>
              <w:spacing w:before="0" w:line="240" w:lineRule="auto"/>
              <w:ind w:firstLine="0"/>
              <w:jc w:val="center"/>
              <w:rPr>
                <w:szCs w:val="24"/>
              </w:rPr>
            </w:pPr>
            <w:r w:rsidRPr="009A05A1">
              <w:rPr>
                <w:szCs w:val="24"/>
              </w:rPr>
              <w:t>D</w:t>
            </w:r>
            <w:r w:rsidR="00041F2D">
              <w:rPr>
                <w:szCs w:val="24"/>
              </w:rPr>
              <w:t>P</w:t>
            </w:r>
            <w:r w:rsidRPr="009A05A1">
              <w:rPr>
                <w:szCs w:val="24"/>
              </w:rPr>
              <w:t>3</w:t>
            </w:r>
          </w:p>
        </w:tc>
        <w:tc>
          <w:tcPr>
            <w:tcW w:w="2126" w:type="dxa"/>
            <w:vMerge w:val="restart"/>
            <w:vAlign w:val="center"/>
          </w:tcPr>
          <w:p w:rsidR="009A05A1" w:rsidRPr="009A05A1" w:rsidRDefault="009A05A1" w:rsidP="004E6B94">
            <w:pPr>
              <w:spacing w:before="0" w:line="240" w:lineRule="auto"/>
              <w:ind w:firstLine="0"/>
              <w:jc w:val="center"/>
              <w:rPr>
                <w:szCs w:val="24"/>
              </w:rPr>
            </w:pPr>
            <w:r w:rsidRPr="009A05A1">
              <w:rPr>
                <w:szCs w:val="24"/>
              </w:rPr>
              <w:t>Dividendų lygis DPS išlaikytas</w:t>
            </w:r>
          </w:p>
        </w:tc>
        <w:tc>
          <w:tcPr>
            <w:tcW w:w="1276" w:type="dxa"/>
            <w:vMerge w:val="restart"/>
            <w:vAlign w:val="center"/>
          </w:tcPr>
          <w:p w:rsidR="009A05A1" w:rsidRPr="009A05A1" w:rsidRDefault="009A05A1" w:rsidP="009A05A1">
            <w:pPr>
              <w:spacing w:before="0" w:line="240" w:lineRule="auto"/>
              <w:ind w:firstLine="0"/>
              <w:jc w:val="center"/>
              <w:rPr>
                <w:szCs w:val="24"/>
              </w:rPr>
            </w:pPr>
            <w:r w:rsidRPr="009A05A1">
              <w:rPr>
                <w:szCs w:val="24"/>
              </w:rPr>
              <w:t>+</w:t>
            </w:r>
          </w:p>
        </w:tc>
        <w:tc>
          <w:tcPr>
            <w:tcW w:w="1275" w:type="dxa"/>
            <w:vMerge/>
            <w:vAlign w:val="center"/>
          </w:tcPr>
          <w:p w:rsidR="009A05A1" w:rsidRPr="009A05A1" w:rsidRDefault="009A05A1" w:rsidP="009A05A1">
            <w:pPr>
              <w:spacing w:before="0" w:line="240" w:lineRule="auto"/>
              <w:ind w:firstLine="0"/>
              <w:jc w:val="center"/>
              <w:rPr>
                <w:szCs w:val="24"/>
              </w:rPr>
            </w:pPr>
          </w:p>
        </w:tc>
        <w:tc>
          <w:tcPr>
            <w:tcW w:w="709" w:type="dxa"/>
            <w:vMerge/>
            <w:vAlign w:val="center"/>
          </w:tcPr>
          <w:p w:rsidR="009A05A1" w:rsidRPr="009A05A1" w:rsidRDefault="009A05A1" w:rsidP="009A05A1">
            <w:pPr>
              <w:spacing w:before="0" w:line="240" w:lineRule="auto"/>
              <w:ind w:firstLine="0"/>
              <w:jc w:val="center"/>
              <w:rPr>
                <w:szCs w:val="24"/>
              </w:rPr>
            </w:pPr>
          </w:p>
        </w:tc>
        <w:tc>
          <w:tcPr>
            <w:tcW w:w="1843" w:type="dxa"/>
            <w:vMerge/>
            <w:vAlign w:val="center"/>
          </w:tcPr>
          <w:p w:rsidR="009A05A1" w:rsidRPr="00B06393" w:rsidRDefault="009A05A1" w:rsidP="009A05A1">
            <w:pPr>
              <w:spacing w:before="0" w:line="240" w:lineRule="auto"/>
              <w:ind w:firstLine="0"/>
              <w:jc w:val="center"/>
              <w:rPr>
                <w:szCs w:val="24"/>
              </w:rPr>
            </w:pPr>
          </w:p>
        </w:tc>
      </w:tr>
      <w:tr w:rsidR="009A05A1" w:rsidTr="00041F2D">
        <w:trPr>
          <w:trHeight w:val="277"/>
        </w:trPr>
        <w:tc>
          <w:tcPr>
            <w:tcW w:w="1526" w:type="dxa"/>
            <w:vMerge/>
            <w:vAlign w:val="center"/>
          </w:tcPr>
          <w:p w:rsidR="009A05A1" w:rsidRPr="00B06393" w:rsidRDefault="009A05A1" w:rsidP="004E6B94">
            <w:pPr>
              <w:spacing w:before="0" w:line="240" w:lineRule="auto"/>
              <w:ind w:firstLine="0"/>
              <w:jc w:val="center"/>
              <w:rPr>
                <w:szCs w:val="24"/>
              </w:rPr>
            </w:pPr>
          </w:p>
        </w:tc>
        <w:tc>
          <w:tcPr>
            <w:tcW w:w="709" w:type="dxa"/>
            <w:vMerge/>
            <w:vAlign w:val="center"/>
          </w:tcPr>
          <w:p w:rsidR="009A05A1" w:rsidRPr="009A05A1" w:rsidRDefault="009A05A1" w:rsidP="004E6B94">
            <w:pPr>
              <w:spacing w:before="0" w:line="240" w:lineRule="auto"/>
              <w:ind w:firstLine="0"/>
              <w:jc w:val="center"/>
              <w:rPr>
                <w:szCs w:val="24"/>
              </w:rPr>
            </w:pPr>
          </w:p>
        </w:tc>
        <w:tc>
          <w:tcPr>
            <w:tcW w:w="2126" w:type="dxa"/>
            <w:vMerge/>
            <w:vAlign w:val="center"/>
          </w:tcPr>
          <w:p w:rsidR="009A05A1" w:rsidRPr="009A05A1" w:rsidRDefault="009A05A1" w:rsidP="004E6B94">
            <w:pPr>
              <w:spacing w:before="0" w:line="240" w:lineRule="auto"/>
              <w:ind w:firstLine="0"/>
              <w:jc w:val="center"/>
              <w:rPr>
                <w:szCs w:val="24"/>
              </w:rPr>
            </w:pPr>
          </w:p>
        </w:tc>
        <w:tc>
          <w:tcPr>
            <w:tcW w:w="1276" w:type="dxa"/>
            <w:vMerge/>
            <w:vAlign w:val="center"/>
          </w:tcPr>
          <w:p w:rsidR="009A05A1" w:rsidRPr="009A05A1" w:rsidRDefault="009A05A1" w:rsidP="009A05A1">
            <w:pPr>
              <w:spacing w:before="0" w:line="240" w:lineRule="auto"/>
              <w:ind w:firstLine="0"/>
              <w:jc w:val="center"/>
              <w:rPr>
                <w:szCs w:val="24"/>
              </w:rPr>
            </w:pPr>
          </w:p>
        </w:tc>
        <w:tc>
          <w:tcPr>
            <w:tcW w:w="1275" w:type="dxa"/>
            <w:vMerge w:val="restart"/>
            <w:vAlign w:val="center"/>
          </w:tcPr>
          <w:p w:rsidR="009A05A1" w:rsidRPr="009A05A1" w:rsidRDefault="009A05A1" w:rsidP="009A05A1">
            <w:pPr>
              <w:spacing w:before="0" w:line="240" w:lineRule="auto"/>
              <w:ind w:firstLine="0"/>
              <w:jc w:val="center"/>
              <w:rPr>
                <w:szCs w:val="24"/>
              </w:rPr>
            </w:pPr>
            <w:r w:rsidRPr="009A05A1">
              <w:rPr>
                <w:szCs w:val="24"/>
              </w:rPr>
              <w:t>+</w:t>
            </w:r>
          </w:p>
        </w:tc>
        <w:tc>
          <w:tcPr>
            <w:tcW w:w="709" w:type="dxa"/>
            <w:vMerge w:val="restart"/>
            <w:vAlign w:val="center"/>
          </w:tcPr>
          <w:p w:rsidR="009A05A1" w:rsidRPr="009A05A1" w:rsidRDefault="009A05A1" w:rsidP="009A05A1">
            <w:pPr>
              <w:spacing w:before="0" w:line="240" w:lineRule="auto"/>
              <w:ind w:firstLine="0"/>
              <w:jc w:val="center"/>
              <w:rPr>
                <w:szCs w:val="24"/>
              </w:rPr>
            </w:pPr>
            <w:r w:rsidRPr="009A05A1">
              <w:rPr>
                <w:szCs w:val="24"/>
              </w:rPr>
              <w:t>DY3</w:t>
            </w:r>
          </w:p>
        </w:tc>
        <w:tc>
          <w:tcPr>
            <w:tcW w:w="1843" w:type="dxa"/>
            <w:vMerge w:val="restart"/>
            <w:vAlign w:val="center"/>
          </w:tcPr>
          <w:p w:rsidR="009A05A1" w:rsidRPr="00B06393" w:rsidRDefault="009A05A1" w:rsidP="009A05A1">
            <w:pPr>
              <w:spacing w:before="0" w:line="240" w:lineRule="auto"/>
              <w:ind w:firstLine="0"/>
              <w:jc w:val="center"/>
              <w:rPr>
                <w:szCs w:val="24"/>
              </w:rPr>
            </w:pPr>
            <w:r>
              <w:rPr>
                <w:szCs w:val="24"/>
              </w:rPr>
              <w:t>Dividendų pajamingumo DY padidėjimas</w:t>
            </w:r>
          </w:p>
        </w:tc>
      </w:tr>
      <w:tr w:rsidR="009A05A1" w:rsidTr="00041F2D">
        <w:trPr>
          <w:trHeight w:val="421"/>
        </w:trPr>
        <w:tc>
          <w:tcPr>
            <w:tcW w:w="1526" w:type="dxa"/>
            <w:vMerge/>
            <w:vAlign w:val="center"/>
          </w:tcPr>
          <w:p w:rsidR="009A05A1" w:rsidRPr="00B06393" w:rsidRDefault="009A05A1" w:rsidP="004E6B94">
            <w:pPr>
              <w:spacing w:before="0" w:line="240" w:lineRule="auto"/>
              <w:ind w:firstLine="0"/>
              <w:jc w:val="center"/>
              <w:rPr>
                <w:szCs w:val="24"/>
              </w:rPr>
            </w:pPr>
          </w:p>
        </w:tc>
        <w:tc>
          <w:tcPr>
            <w:tcW w:w="709" w:type="dxa"/>
            <w:vAlign w:val="center"/>
          </w:tcPr>
          <w:p w:rsidR="009A05A1" w:rsidRPr="009A05A1" w:rsidRDefault="009A05A1" w:rsidP="004E6B94">
            <w:pPr>
              <w:spacing w:before="0" w:line="240" w:lineRule="auto"/>
              <w:ind w:firstLine="0"/>
              <w:jc w:val="center"/>
              <w:rPr>
                <w:szCs w:val="24"/>
              </w:rPr>
            </w:pPr>
            <w:r w:rsidRPr="009A05A1">
              <w:rPr>
                <w:szCs w:val="24"/>
              </w:rPr>
              <w:t>D</w:t>
            </w:r>
            <w:r w:rsidR="00041F2D">
              <w:rPr>
                <w:szCs w:val="24"/>
              </w:rPr>
              <w:t>P</w:t>
            </w:r>
            <w:r w:rsidRPr="009A05A1">
              <w:rPr>
                <w:szCs w:val="24"/>
              </w:rPr>
              <w:t>4</w:t>
            </w:r>
          </w:p>
        </w:tc>
        <w:tc>
          <w:tcPr>
            <w:tcW w:w="2126" w:type="dxa"/>
            <w:vAlign w:val="center"/>
          </w:tcPr>
          <w:p w:rsidR="009A05A1" w:rsidRPr="009A05A1" w:rsidRDefault="009A05A1" w:rsidP="004E6B94">
            <w:pPr>
              <w:spacing w:before="0" w:line="240" w:lineRule="auto"/>
              <w:ind w:firstLine="0"/>
              <w:jc w:val="center"/>
              <w:rPr>
                <w:szCs w:val="24"/>
              </w:rPr>
            </w:pPr>
            <w:r w:rsidRPr="009A05A1">
              <w:rPr>
                <w:szCs w:val="24"/>
              </w:rPr>
              <w:t>Dividendų lygis DPS didinamas</w:t>
            </w:r>
          </w:p>
        </w:tc>
        <w:tc>
          <w:tcPr>
            <w:tcW w:w="1276" w:type="dxa"/>
            <w:vAlign w:val="center"/>
          </w:tcPr>
          <w:p w:rsidR="009A05A1" w:rsidRPr="009A05A1" w:rsidRDefault="009A05A1" w:rsidP="009A05A1">
            <w:pPr>
              <w:spacing w:before="0" w:line="240" w:lineRule="auto"/>
              <w:ind w:firstLine="0"/>
              <w:jc w:val="center"/>
              <w:rPr>
                <w:szCs w:val="24"/>
              </w:rPr>
            </w:pPr>
            <w:r w:rsidRPr="009A05A1">
              <w:rPr>
                <w:szCs w:val="24"/>
              </w:rPr>
              <w:t>+</w:t>
            </w:r>
          </w:p>
        </w:tc>
        <w:tc>
          <w:tcPr>
            <w:tcW w:w="1275" w:type="dxa"/>
            <w:vMerge/>
            <w:vAlign w:val="center"/>
          </w:tcPr>
          <w:p w:rsidR="009A05A1" w:rsidRPr="009A05A1" w:rsidRDefault="009A05A1" w:rsidP="009A05A1">
            <w:pPr>
              <w:spacing w:before="0" w:line="240" w:lineRule="auto"/>
              <w:ind w:firstLine="0"/>
              <w:jc w:val="center"/>
              <w:rPr>
                <w:szCs w:val="24"/>
              </w:rPr>
            </w:pPr>
          </w:p>
        </w:tc>
        <w:tc>
          <w:tcPr>
            <w:tcW w:w="709" w:type="dxa"/>
            <w:vMerge/>
            <w:vAlign w:val="center"/>
          </w:tcPr>
          <w:p w:rsidR="009A05A1" w:rsidRPr="009A05A1" w:rsidRDefault="009A05A1" w:rsidP="009A05A1">
            <w:pPr>
              <w:spacing w:before="0" w:line="240" w:lineRule="auto"/>
              <w:ind w:firstLine="0"/>
              <w:jc w:val="center"/>
              <w:rPr>
                <w:szCs w:val="24"/>
              </w:rPr>
            </w:pPr>
          </w:p>
        </w:tc>
        <w:tc>
          <w:tcPr>
            <w:tcW w:w="1843" w:type="dxa"/>
            <w:vMerge/>
            <w:vAlign w:val="center"/>
          </w:tcPr>
          <w:p w:rsidR="009A05A1" w:rsidRPr="00B06393" w:rsidRDefault="009A05A1" w:rsidP="009A05A1">
            <w:pPr>
              <w:spacing w:before="0" w:line="240" w:lineRule="auto"/>
              <w:ind w:firstLine="0"/>
              <w:jc w:val="center"/>
              <w:rPr>
                <w:szCs w:val="24"/>
              </w:rPr>
            </w:pPr>
          </w:p>
        </w:tc>
      </w:tr>
      <w:tr w:rsidR="009A05A1" w:rsidTr="00041F2D">
        <w:trPr>
          <w:trHeight w:val="413"/>
        </w:trPr>
        <w:tc>
          <w:tcPr>
            <w:tcW w:w="1526" w:type="dxa"/>
            <w:vMerge/>
            <w:vAlign w:val="center"/>
          </w:tcPr>
          <w:p w:rsidR="009A05A1" w:rsidRPr="00B06393" w:rsidRDefault="009A05A1" w:rsidP="004E6B94">
            <w:pPr>
              <w:spacing w:before="0" w:line="240" w:lineRule="auto"/>
              <w:ind w:firstLine="0"/>
              <w:jc w:val="center"/>
              <w:rPr>
                <w:szCs w:val="24"/>
              </w:rPr>
            </w:pPr>
          </w:p>
        </w:tc>
        <w:tc>
          <w:tcPr>
            <w:tcW w:w="709" w:type="dxa"/>
            <w:vAlign w:val="center"/>
          </w:tcPr>
          <w:p w:rsidR="009A05A1" w:rsidRPr="009A05A1" w:rsidRDefault="009A05A1" w:rsidP="004E6B94">
            <w:pPr>
              <w:spacing w:before="0" w:line="240" w:lineRule="auto"/>
              <w:ind w:firstLine="0"/>
              <w:jc w:val="center"/>
              <w:rPr>
                <w:szCs w:val="24"/>
              </w:rPr>
            </w:pPr>
            <w:r w:rsidRPr="009A05A1">
              <w:rPr>
                <w:szCs w:val="24"/>
              </w:rPr>
              <w:t>D</w:t>
            </w:r>
            <w:r w:rsidR="00041F2D">
              <w:rPr>
                <w:szCs w:val="24"/>
              </w:rPr>
              <w:t>P</w:t>
            </w:r>
            <w:r w:rsidRPr="009A05A1">
              <w:rPr>
                <w:szCs w:val="24"/>
              </w:rPr>
              <w:t>5</w:t>
            </w:r>
          </w:p>
        </w:tc>
        <w:tc>
          <w:tcPr>
            <w:tcW w:w="2126" w:type="dxa"/>
            <w:vAlign w:val="center"/>
          </w:tcPr>
          <w:p w:rsidR="009A05A1" w:rsidRPr="009A05A1" w:rsidRDefault="009A05A1" w:rsidP="004E6B94">
            <w:pPr>
              <w:spacing w:before="0" w:line="240" w:lineRule="auto"/>
              <w:ind w:firstLine="0"/>
              <w:jc w:val="center"/>
              <w:rPr>
                <w:szCs w:val="24"/>
              </w:rPr>
            </w:pPr>
            <w:r w:rsidRPr="009A05A1">
              <w:rPr>
                <w:szCs w:val="24"/>
              </w:rPr>
              <w:t>Dividendų inicijavimas</w:t>
            </w:r>
          </w:p>
        </w:tc>
        <w:tc>
          <w:tcPr>
            <w:tcW w:w="2551" w:type="dxa"/>
            <w:gridSpan w:val="2"/>
            <w:vAlign w:val="center"/>
          </w:tcPr>
          <w:p w:rsidR="009A05A1" w:rsidRPr="009A05A1" w:rsidRDefault="009A05A1" w:rsidP="009A05A1">
            <w:pPr>
              <w:spacing w:before="0" w:line="240" w:lineRule="auto"/>
              <w:ind w:firstLine="0"/>
              <w:jc w:val="center"/>
              <w:rPr>
                <w:szCs w:val="24"/>
              </w:rPr>
            </w:pPr>
            <w:r w:rsidRPr="009A05A1">
              <w:rPr>
                <w:szCs w:val="24"/>
              </w:rPr>
              <w:t>+</w:t>
            </w:r>
          </w:p>
        </w:tc>
        <w:tc>
          <w:tcPr>
            <w:tcW w:w="709" w:type="dxa"/>
            <w:vAlign w:val="center"/>
          </w:tcPr>
          <w:p w:rsidR="009A05A1" w:rsidRPr="009A05A1" w:rsidRDefault="009A05A1" w:rsidP="009A05A1">
            <w:pPr>
              <w:spacing w:before="0" w:line="240" w:lineRule="auto"/>
              <w:ind w:firstLine="0"/>
              <w:jc w:val="center"/>
              <w:rPr>
                <w:szCs w:val="24"/>
              </w:rPr>
            </w:pPr>
            <w:r w:rsidRPr="009A05A1">
              <w:rPr>
                <w:szCs w:val="24"/>
              </w:rPr>
              <w:t>DY5</w:t>
            </w:r>
          </w:p>
        </w:tc>
        <w:tc>
          <w:tcPr>
            <w:tcW w:w="1843" w:type="dxa"/>
            <w:vAlign w:val="center"/>
          </w:tcPr>
          <w:p w:rsidR="009A05A1" w:rsidRPr="00B06393" w:rsidRDefault="009A05A1" w:rsidP="009A05A1">
            <w:pPr>
              <w:spacing w:before="0" w:line="240" w:lineRule="auto"/>
              <w:ind w:firstLine="0"/>
              <w:jc w:val="center"/>
              <w:rPr>
                <w:szCs w:val="24"/>
              </w:rPr>
            </w:pPr>
            <w:r w:rsidRPr="00B06393">
              <w:rPr>
                <w:szCs w:val="24"/>
              </w:rPr>
              <w:t>Dividendų inicijavimas</w:t>
            </w:r>
          </w:p>
        </w:tc>
      </w:tr>
    </w:tbl>
    <w:p w:rsidR="00756858" w:rsidRDefault="00756858" w:rsidP="00756858">
      <w:r>
        <w:t xml:space="preserve">Kaip teigia Yeh, Liou, Lin dividendų pokytis (DPS) turi reikšmingai neigiamą įtaką akcijų kainoms, o dividendų didinimas (mažinimas) turi teigiamą (neigiamą) ryšį su akcijų pelningumu. Tuo tarpu Fracassi (2008) pastebėjo, jog dividendų pajamingumas tiek rodiklio padidėjimo, tiek ir sumažėjimo atvejais teigiamai įtakoja akcijų kainas. </w:t>
      </w:r>
    </w:p>
    <w:p w:rsidR="00756858" w:rsidRDefault="00756858" w:rsidP="00756858">
      <w:r>
        <w:t xml:space="preserve">Dividendų neišmokėjimo ir inicijavimo efektai yra pakankamai ryškūs ir pasireiškia atitinkamai - akcijų pelningumo sumažėjimu ir akcijų pelningumo padidėjimu, todėl Michaely, Thaler, Womack (1996) akcentuoja jų svarba ir siūlo atsižvelgti į jų įtaką akcijų kainoms. </w:t>
      </w:r>
    </w:p>
    <w:p w:rsidR="00D278E8" w:rsidRDefault="00D227FD" w:rsidP="00B64EEA">
      <w:pPr>
        <w:pStyle w:val="Heading2"/>
        <w:numPr>
          <w:ilvl w:val="0"/>
          <w:numId w:val="15"/>
        </w:numPr>
        <w:rPr>
          <w:rStyle w:val="SubtleEmphasis"/>
          <w:i w:val="0"/>
          <w:iCs w:val="0"/>
          <w:color w:val="auto"/>
        </w:rPr>
      </w:pPr>
      <w:bookmarkStart w:id="58" w:name="_Toc343677748"/>
      <w:bookmarkStart w:id="59" w:name="_Toc337905240"/>
      <w:r>
        <w:rPr>
          <w:rStyle w:val="SubtleEmphasis"/>
          <w:i w:val="0"/>
          <w:iCs w:val="0"/>
          <w:color w:val="auto"/>
        </w:rPr>
        <w:lastRenderedPageBreak/>
        <w:t>Dividendi</w:t>
      </w:r>
      <w:r w:rsidR="00D278E8">
        <w:rPr>
          <w:rStyle w:val="SubtleEmphasis"/>
          <w:i w:val="0"/>
          <w:iCs w:val="0"/>
          <w:color w:val="auto"/>
        </w:rPr>
        <w:t>nių akcijų pelningumo vertinimo kriterijai</w:t>
      </w:r>
      <w:r>
        <w:rPr>
          <w:rStyle w:val="SubtleEmphasis"/>
          <w:i w:val="0"/>
          <w:iCs w:val="0"/>
          <w:color w:val="auto"/>
        </w:rPr>
        <w:t xml:space="preserve"> dividendų paskelbimo dienomis</w:t>
      </w:r>
      <w:bookmarkEnd w:id="58"/>
    </w:p>
    <w:p w:rsidR="00D278E8" w:rsidRDefault="000B1889" w:rsidP="00D278E8">
      <w:pPr>
        <w:rPr>
          <w:rStyle w:val="SubtleEmphasis"/>
          <w:i w:val="0"/>
          <w:iCs w:val="0"/>
          <w:color w:val="auto"/>
        </w:rPr>
      </w:pPr>
      <w:r>
        <w:rPr>
          <w:rStyle w:val="SubtleEmphasis"/>
          <w:i w:val="0"/>
          <w:iCs w:val="0"/>
          <w:color w:val="auto"/>
        </w:rPr>
        <w:t>Dividendinių akcijų naujienų įtakos akcijų kainoms analizė bus atliekama remiantis į</w:t>
      </w:r>
      <w:r w:rsidR="00F66C71">
        <w:rPr>
          <w:rStyle w:val="SubtleEmphasis"/>
          <w:i w:val="0"/>
          <w:iCs w:val="0"/>
          <w:color w:val="auto"/>
        </w:rPr>
        <w:t>vykių analizės metod</w:t>
      </w:r>
      <w:r>
        <w:rPr>
          <w:rStyle w:val="SubtleEmphasis"/>
          <w:i w:val="0"/>
          <w:iCs w:val="0"/>
          <w:color w:val="auto"/>
        </w:rPr>
        <w:t>u</w:t>
      </w:r>
      <w:r w:rsidR="00F66C71">
        <w:rPr>
          <w:rStyle w:val="SubtleEmphasis"/>
          <w:i w:val="0"/>
          <w:iCs w:val="0"/>
          <w:color w:val="auto"/>
        </w:rPr>
        <w:t xml:space="preserve"> (</w:t>
      </w:r>
      <w:r>
        <w:rPr>
          <w:rStyle w:val="SubtleEmphasis"/>
          <w:i w:val="0"/>
          <w:iCs w:val="0"/>
          <w:color w:val="auto"/>
        </w:rPr>
        <w:t>a</w:t>
      </w:r>
      <w:r w:rsidR="00F66C71">
        <w:rPr>
          <w:rStyle w:val="SubtleEmphasis"/>
          <w:i w:val="0"/>
          <w:iCs w:val="0"/>
          <w:color w:val="auto"/>
        </w:rPr>
        <w:t>ngl. event study approach)</w:t>
      </w:r>
      <w:r>
        <w:rPr>
          <w:rStyle w:val="SubtleEmphasis"/>
          <w:i w:val="0"/>
          <w:iCs w:val="0"/>
          <w:color w:val="auto"/>
        </w:rPr>
        <w:t>, kurį naudojo teorinėje darbo dalyje minėti autoriai (Kwan, 1981, Anderson, 2009, Yucee, Taneem ir Sharma 2011), taip pat kiti autoriai, kurių atlikta įvykių analize taip pat bu</w:t>
      </w:r>
      <w:r w:rsidR="00642061">
        <w:rPr>
          <w:rStyle w:val="SubtleEmphasis"/>
          <w:i w:val="0"/>
          <w:iCs w:val="0"/>
          <w:color w:val="auto"/>
        </w:rPr>
        <w:t>s</w:t>
      </w:r>
      <w:r>
        <w:rPr>
          <w:rStyle w:val="SubtleEmphasis"/>
          <w:i w:val="0"/>
          <w:iCs w:val="0"/>
          <w:color w:val="auto"/>
        </w:rPr>
        <w:t xml:space="preserve"> remiamasi šiame darbe (Mahmood, Sheikh, Ghaffari, 2011). Kwan (1981) pateikia laiko eilutę, kuria remiantis gali būti nustatomas</w:t>
      </w:r>
      <w:r w:rsidR="00A17B0A">
        <w:rPr>
          <w:rStyle w:val="SubtleEmphasis"/>
          <w:i w:val="0"/>
          <w:iCs w:val="0"/>
          <w:color w:val="auto"/>
        </w:rPr>
        <w:t xml:space="preserve"> tikslesnis</w:t>
      </w:r>
      <w:r>
        <w:rPr>
          <w:rStyle w:val="SubtleEmphasis"/>
          <w:i w:val="0"/>
          <w:iCs w:val="0"/>
          <w:color w:val="auto"/>
        </w:rPr>
        <w:t xml:space="preserve"> analizuojamas periodas (žr.</w:t>
      </w:r>
      <w:r w:rsidR="00A17B0A">
        <w:rPr>
          <w:rStyle w:val="SubtleEmphasis"/>
          <w:i w:val="0"/>
          <w:iCs w:val="0"/>
          <w:color w:val="auto"/>
        </w:rPr>
        <w:t xml:space="preserve"> 4</w:t>
      </w:r>
      <w:r>
        <w:rPr>
          <w:rStyle w:val="SubtleEmphasis"/>
          <w:i w:val="0"/>
          <w:iCs w:val="0"/>
          <w:color w:val="auto"/>
        </w:rPr>
        <w:t xml:space="preserve"> pav.)</w:t>
      </w:r>
      <w:r w:rsidR="00A17B0A">
        <w:rPr>
          <w:rStyle w:val="SubtleEmphasis"/>
          <w:i w:val="0"/>
          <w:iCs w:val="0"/>
          <w:color w:val="auto"/>
        </w:rPr>
        <w:t>.</w:t>
      </w:r>
    </w:p>
    <w:p w:rsidR="00956848" w:rsidRDefault="00EC7800" w:rsidP="00D278E8">
      <w:pPr>
        <w:rPr>
          <w:rStyle w:val="SubtleEmphasis"/>
          <w:i w:val="0"/>
          <w:iCs w:val="0"/>
          <w:color w:val="auto"/>
        </w:rPr>
      </w:pPr>
      <w:r>
        <w:rPr>
          <w:noProof/>
          <w:lang w:eastAsia="lt-LT"/>
        </w:rPr>
        <w:pict>
          <v:group id="_x0000_s1080" style="position:absolute;left:0;text-align:left;margin-left:-33pt;margin-top:.65pt;width:547.55pt;height:83.25pt;z-index:251672576" coordorigin="728,7428" coordsize="10951,1665">
            <v:shapetype id="_x0000_t202" coordsize="21600,21600" o:spt="202" path="m,l,21600r21600,l21600,xe">
              <v:stroke joinstyle="miter"/>
              <v:path gradientshapeok="t" o:connecttype="rect"/>
            </v:shapetype>
            <v:shape id="_x0000_s1077" type="#_x0000_t202" style="position:absolute;left:1762;top:7428;width:8063;height:515;mso-width-relative:margin;mso-height-relative:margin" strokecolor="white [3212]">
              <v:textbox style="mso-next-textbox:#_x0000_s1077">
                <w:txbxContent>
                  <w:p w:rsidR="00B5369C" w:rsidRPr="00956848" w:rsidRDefault="00B5369C" w:rsidP="00956848">
                    <w:pPr>
                      <w:ind w:firstLine="0"/>
                      <w:rPr>
                        <w:vertAlign w:val="subscript"/>
                      </w:rPr>
                    </w:pPr>
                    <w:r>
                      <w:t>N</w:t>
                    </w:r>
                    <w:r w:rsidRPr="00956848">
                      <w:rPr>
                        <w:vertAlign w:val="subscript"/>
                      </w:rPr>
                      <w:t>1</w:t>
                    </w:r>
                    <w:r>
                      <w:rPr>
                        <w:vertAlign w:val="subscript"/>
                      </w:rPr>
                      <w:tab/>
                      <w:t xml:space="preserve"> </w:t>
                    </w:r>
                    <w:r>
                      <w:t xml:space="preserve">     E</w:t>
                    </w:r>
                    <w:r>
                      <w:tab/>
                      <w:t xml:space="preserve">             </w:t>
                    </w:r>
                    <w:r>
                      <w:rPr>
                        <w:lang w:val="en-US"/>
                      </w:rPr>
                      <w:t>*</w:t>
                    </w:r>
                    <w:r>
                      <w:tab/>
                      <w:t xml:space="preserve">          D</w:t>
                    </w:r>
                    <w:r>
                      <w:tab/>
                      <w:t xml:space="preserve">        *</w:t>
                    </w:r>
                    <w:r>
                      <w:tab/>
                      <w:t xml:space="preserve">                N</w:t>
                    </w:r>
                    <w:r>
                      <w:rPr>
                        <w:vertAlign w:val="subscript"/>
                      </w:rPr>
                      <w:t>2</w:t>
                    </w:r>
                  </w:p>
                </w:txbxContent>
              </v:textbox>
            </v:shape>
            <v:shape id="_x0000_s1076" type="#_x0000_t202" style="position:absolute;left:728;top:8400;width:10192;height:693;mso-width-relative:margin;mso-height-relative:margin" stroked="f">
              <v:textbox style="mso-next-textbox:#_x0000_s1076">
                <w:txbxContent>
                  <w:p w:rsidR="00B5369C" w:rsidRDefault="00B5369C">
                    <w:r>
                      <w:t>kitos naujienos   pelno paskelbimas          dividendų paskelbimas (t</w:t>
                    </w:r>
                    <w:r>
                      <w:rPr>
                        <w:vertAlign w:val="subscript"/>
                      </w:rPr>
                      <w:t>0</w:t>
                    </w:r>
                    <w:r w:rsidRPr="00956848">
                      <w:t xml:space="preserve">) </w:t>
                    </w:r>
                    <w:r>
                      <w:t xml:space="preserve">              kitos naujienos</w:t>
                    </w:r>
                  </w:p>
                </w:txbxContent>
              </v:textbox>
            </v:shape>
            <v:shapetype id="_x0000_t32" coordsize="21600,21600" o:spt="32" o:oned="t" path="m,l21600,21600e" filled="f">
              <v:path arrowok="t" fillok="f" o:connecttype="none"/>
              <o:lock v:ext="edit" shapetype="t"/>
            </v:shapetype>
            <v:shape id="_x0000_s1070" type="#_x0000_t32" style="position:absolute;left:1455;top:8310;width:9135;height:1" o:connectortype="straight"/>
            <v:shape id="_x0000_s1071" type="#_x0000_t202" style="position:absolute;left:10378;top:8022;width:1301;height:615;mso-width-relative:margin;mso-height-relative:margin" strokecolor="white [3212]">
              <v:textbox style="mso-next-textbox:#_x0000_s1071">
                <w:txbxContent>
                  <w:p w:rsidR="00B5369C" w:rsidRDefault="00B5369C" w:rsidP="000B1889">
                    <w:pPr>
                      <w:ind w:firstLine="0"/>
                    </w:pPr>
                    <w:r>
                      <w:t>laikas (t)</w:t>
                    </w:r>
                  </w:p>
                </w:txbxContent>
              </v:textbox>
            </v:shape>
            <v:shape id="_x0000_s1072" type="#_x0000_t32" style="position:absolute;left:6480;top:8130;width:1;height:375" o:connectortype="straight"/>
            <v:shape id="_x0000_s1073" type="#_x0000_t32" style="position:absolute;left:9435;top:8130;width:1;height:375" o:connectortype="straight"/>
            <v:shape id="_x0000_s1074" type="#_x0000_t32" style="position:absolute;left:3645;top:8130;width:1;height:375" o:connectortype="straight"/>
            <v:shape id="_x0000_s1075" type="#_x0000_t32" style="position:absolute;left:1980;top:8130;width:1;height:375" o:connectortype="straight"/>
            <v:shape id="_x0000_s1078" type="#_x0000_t32" style="position:absolute;left:3645;top:7943;width:2759;height:0" o:connectortype="straight"/>
            <v:shape id="_x0000_s1079" type="#_x0000_t32" style="position:absolute;left:6481;top:7944;width:2954;height:1" o:connectortype="straight"/>
          </v:group>
        </w:pict>
      </w:r>
    </w:p>
    <w:p w:rsidR="000B1889" w:rsidRDefault="000B1889" w:rsidP="00D278E8">
      <w:pPr>
        <w:rPr>
          <w:rStyle w:val="SubtleEmphasis"/>
          <w:i w:val="0"/>
          <w:iCs w:val="0"/>
          <w:color w:val="auto"/>
        </w:rPr>
      </w:pPr>
    </w:p>
    <w:p w:rsidR="000B1889" w:rsidRDefault="000B1889" w:rsidP="00D278E8">
      <w:pPr>
        <w:rPr>
          <w:rStyle w:val="SubtleEmphasis"/>
          <w:i w:val="0"/>
          <w:iCs w:val="0"/>
          <w:color w:val="auto"/>
        </w:rPr>
      </w:pPr>
    </w:p>
    <w:p w:rsidR="00A17B0A" w:rsidRPr="00087250" w:rsidRDefault="00A17B0A" w:rsidP="00087250">
      <w:pPr>
        <w:rPr>
          <w:sz w:val="20"/>
          <w:szCs w:val="20"/>
          <w:lang w:val="en-US"/>
        </w:rPr>
      </w:pPr>
      <w:r w:rsidRPr="00087250">
        <w:rPr>
          <w:sz w:val="20"/>
          <w:szCs w:val="20"/>
        </w:rPr>
        <w:t>Čia:</w:t>
      </w:r>
      <w:r w:rsidRPr="00087250">
        <w:rPr>
          <w:sz w:val="20"/>
          <w:szCs w:val="20"/>
        </w:rPr>
        <w:tab/>
        <w:t xml:space="preserve">* - </w:t>
      </w:r>
      <w:r w:rsidR="009A78DD" w:rsidRPr="00087250">
        <w:rPr>
          <w:sz w:val="20"/>
          <w:szCs w:val="20"/>
        </w:rPr>
        <w:t>ne mažesnis kaip</w:t>
      </w:r>
      <w:r w:rsidRPr="00087250">
        <w:rPr>
          <w:sz w:val="20"/>
          <w:szCs w:val="20"/>
        </w:rPr>
        <w:t xml:space="preserve"> 5 dienų laikotarpis</w:t>
      </w:r>
    </w:p>
    <w:p w:rsidR="00A17B0A" w:rsidRPr="00087250" w:rsidRDefault="00A17B0A" w:rsidP="00087250">
      <w:pPr>
        <w:spacing w:before="0" w:after="120" w:line="240" w:lineRule="auto"/>
        <w:rPr>
          <w:sz w:val="20"/>
          <w:szCs w:val="20"/>
        </w:rPr>
      </w:pPr>
      <w:r w:rsidRPr="00087250">
        <w:rPr>
          <w:b/>
          <w:sz w:val="20"/>
          <w:szCs w:val="20"/>
        </w:rPr>
        <w:t>Šaltinis:</w:t>
      </w:r>
      <w:r w:rsidRPr="00087250">
        <w:rPr>
          <w:sz w:val="20"/>
          <w:szCs w:val="20"/>
        </w:rPr>
        <w:t xml:space="preserve"> adaptuota pagal Kwan (1981)</w:t>
      </w:r>
    </w:p>
    <w:p w:rsidR="00956848" w:rsidRDefault="00A17B0A" w:rsidP="00A17B0A">
      <w:pPr>
        <w:pStyle w:val="Subtitle"/>
      </w:pPr>
      <w:r>
        <w:t xml:space="preserve"> </w:t>
      </w:r>
      <w:bookmarkStart w:id="60" w:name="_Toc343677847"/>
      <w:r>
        <w:t xml:space="preserve">Dividendų naujienų </w:t>
      </w:r>
      <w:r w:rsidR="00B90C94">
        <w:t xml:space="preserve">paskelbimo </w:t>
      </w:r>
      <w:r>
        <w:t>ir kitų</w:t>
      </w:r>
      <w:r w:rsidR="00B90C94">
        <w:t xml:space="preserve"> įvykių</w:t>
      </w:r>
      <w:r>
        <w:t xml:space="preserve"> laiko eilutė</w:t>
      </w:r>
      <w:r w:rsidR="001A5818">
        <w:t>s išsidėstymas</w:t>
      </w:r>
      <w:bookmarkEnd w:id="60"/>
    </w:p>
    <w:p w:rsidR="001D2D20" w:rsidRDefault="00A17B0A" w:rsidP="00A17B0A">
      <w:r>
        <w:t xml:space="preserve">Kaip teigia Mahmood, Sheikh, Ghaffari (2011) įvykių studija pradedama nuo dominančio įvykio parinkimo (t.y. dividendų naujienų paskelbimo dienos), kuris toliau analizuojamas kaip perteklinio pelningumo priežastis. </w:t>
      </w:r>
      <w:r w:rsidR="008F798C">
        <w:t>Analizuojamu įvykio periodo pradžia</w:t>
      </w:r>
      <w:r w:rsidR="00762A30">
        <w:t xml:space="preserve"> parenkamos 5 dienos prieš dividendų paskelbimą</w:t>
      </w:r>
      <w:r w:rsidR="008F798C">
        <w:t>, pabaiga -</w:t>
      </w:r>
      <w:r w:rsidR="00762A30">
        <w:t xml:space="preserve"> 5 dienos po dividendų paskelbimo</w:t>
      </w:r>
      <w:r w:rsidR="008F798C">
        <w:t>, iš</w:t>
      </w:r>
      <w:r w:rsidR="00762A30">
        <w:t xml:space="preserve"> viso</w:t>
      </w:r>
      <w:r w:rsidR="008F798C">
        <w:t xml:space="preserve"> -</w:t>
      </w:r>
      <w:r w:rsidR="00762A30">
        <w:t xml:space="preserve"> 11 dienų (T</w:t>
      </w:r>
      <w:r w:rsidR="00762A30">
        <w:rPr>
          <w:lang w:val="en-US"/>
        </w:rPr>
        <w:t>=1).</w:t>
      </w:r>
      <w:r w:rsidR="001A5818">
        <w:rPr>
          <w:lang w:val="en-US"/>
        </w:rPr>
        <w:t xml:space="preserve"> Analizuojama </w:t>
      </w:r>
      <w:r w:rsidR="001A5818">
        <w:t>d</w:t>
      </w:r>
      <w:r w:rsidR="001A5818" w:rsidRPr="001A5818">
        <w:t xml:space="preserve">ividendų paskelbimo diena </w:t>
      </w:r>
      <w:r w:rsidR="001A5818">
        <w:t>laikoma</w:t>
      </w:r>
      <w:r w:rsidR="001A5818" w:rsidRPr="001A5818">
        <w:t xml:space="preserve"> t</w:t>
      </w:r>
      <w:r w:rsidR="001A5818">
        <w:t xml:space="preserve"> </w:t>
      </w:r>
      <w:r w:rsidR="001A5818" w:rsidRPr="001A5818">
        <w:t>=</w:t>
      </w:r>
      <w:r w:rsidR="001A5818">
        <w:t xml:space="preserve"> </w:t>
      </w:r>
      <w:r w:rsidR="001A5818" w:rsidRPr="001A5818">
        <w:t>0.</w:t>
      </w:r>
      <w:r w:rsidR="00762A30" w:rsidRPr="001A5818">
        <w:t xml:space="preserve"> </w:t>
      </w:r>
      <w:r w:rsidR="008F798C" w:rsidRPr="001A5818">
        <w:t xml:space="preserve"> </w:t>
      </w:r>
      <w:r w:rsidR="001A5818">
        <w:t xml:space="preserve">Remiantis analizuota moksline literatūra, galima tikėtis, jog </w:t>
      </w:r>
      <w:r w:rsidR="008F798C">
        <w:t>periodas yra pakankamas</w:t>
      </w:r>
      <w:r w:rsidR="00E850AC">
        <w:t xml:space="preserve"> Baltijos šalių</w:t>
      </w:r>
      <w:r w:rsidR="001A5818">
        <w:t xml:space="preserve"> dividendinių akcijų naujienų analizei tam</w:t>
      </w:r>
      <w:r w:rsidR="00E850AC">
        <w:t>, kad</w:t>
      </w:r>
      <w:r w:rsidR="008F798C">
        <w:t xml:space="preserve"> nustatyti informacijos nutekėjimo, informacijos efekto stiprumo ir rinkos efektyvumo </w:t>
      </w:r>
      <w:r w:rsidR="001A5818">
        <w:t>lygį</w:t>
      </w:r>
      <w:r w:rsidR="008F798C">
        <w:t xml:space="preserve">. </w:t>
      </w:r>
      <w:r w:rsidR="001A5818">
        <w:t>Prieš apskaičiuojant</w:t>
      </w:r>
      <w:r>
        <w:t xml:space="preserve"> analizuojamus pelningumo parametrus, visų pirma turi būti įvertinti tokie faktoriai kaip: įmonės vidaus darbuotojų prekyba (angl. insider trading), rinkos efektyvumo, rinkos korekcijos veiksniai</w:t>
      </w:r>
      <w:r w:rsidR="001A5818">
        <w:t xml:space="preserve"> (žr.</w:t>
      </w:r>
      <w:r w:rsidR="00707DF4">
        <w:t xml:space="preserve"> 8 lent.</w:t>
      </w:r>
      <w:r w:rsidR="001A5818">
        <w:t>)</w:t>
      </w:r>
      <w:r>
        <w:t>.</w:t>
      </w:r>
    </w:p>
    <w:p w:rsidR="00184083" w:rsidRDefault="00184083" w:rsidP="00184083">
      <w:pPr>
        <w:pStyle w:val="Caption"/>
      </w:pPr>
      <w:bookmarkStart w:id="61" w:name="_Ref343006670"/>
      <w:bookmarkStart w:id="62" w:name="_Toc343677826"/>
      <w:r>
        <w:t>Analizuojami dividendų paskelbimo įvykio periodai ir analizės tikslai</w:t>
      </w:r>
      <w:bookmarkEnd w:id="61"/>
      <w:bookmarkEnd w:id="62"/>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34"/>
        <w:gridCol w:w="992"/>
        <w:gridCol w:w="1984"/>
        <w:gridCol w:w="3247"/>
        <w:gridCol w:w="3274"/>
      </w:tblGrid>
      <w:tr w:rsidR="00184083" w:rsidRPr="00762A30" w:rsidTr="00736723">
        <w:trPr>
          <w:trHeight w:val="698"/>
          <w:jc w:val="center"/>
        </w:trPr>
        <w:tc>
          <w:tcPr>
            <w:tcW w:w="3510" w:type="dxa"/>
            <w:gridSpan w:val="3"/>
            <w:vAlign w:val="center"/>
          </w:tcPr>
          <w:p w:rsidR="00184083" w:rsidRPr="00762A30" w:rsidRDefault="00184083" w:rsidP="005D6302">
            <w:pPr>
              <w:spacing w:before="0" w:line="240" w:lineRule="auto"/>
              <w:ind w:firstLine="0"/>
              <w:jc w:val="center"/>
              <w:rPr>
                <w:b/>
                <w:szCs w:val="24"/>
              </w:rPr>
            </w:pPr>
            <w:r w:rsidRPr="00762A30">
              <w:rPr>
                <w:b/>
                <w:szCs w:val="24"/>
              </w:rPr>
              <w:t>Analizuojami įvykio langai (periodai)</w:t>
            </w:r>
          </w:p>
        </w:tc>
        <w:tc>
          <w:tcPr>
            <w:tcW w:w="3247" w:type="dxa"/>
            <w:vMerge w:val="restart"/>
            <w:vAlign w:val="center"/>
          </w:tcPr>
          <w:p w:rsidR="00184083" w:rsidRPr="00762A30" w:rsidRDefault="00184083" w:rsidP="005D6302">
            <w:pPr>
              <w:spacing w:before="0" w:line="240" w:lineRule="auto"/>
              <w:ind w:firstLine="0"/>
              <w:jc w:val="center"/>
              <w:rPr>
                <w:b/>
                <w:szCs w:val="24"/>
              </w:rPr>
            </w:pPr>
            <w:r w:rsidRPr="00762A30">
              <w:rPr>
                <w:b/>
                <w:szCs w:val="24"/>
              </w:rPr>
              <w:t>Įvykio lango analizės tikslas</w:t>
            </w:r>
          </w:p>
        </w:tc>
        <w:tc>
          <w:tcPr>
            <w:tcW w:w="3274" w:type="dxa"/>
            <w:vMerge w:val="restart"/>
            <w:vAlign w:val="center"/>
          </w:tcPr>
          <w:p w:rsidR="00184083" w:rsidRPr="00762A30" w:rsidRDefault="00184083" w:rsidP="005D6302">
            <w:pPr>
              <w:spacing w:before="0" w:line="240" w:lineRule="auto"/>
              <w:ind w:firstLine="0"/>
              <w:jc w:val="center"/>
              <w:rPr>
                <w:b/>
                <w:szCs w:val="24"/>
              </w:rPr>
            </w:pPr>
            <w:r>
              <w:rPr>
                <w:b/>
                <w:szCs w:val="24"/>
              </w:rPr>
              <w:t>Tyrimo</w:t>
            </w:r>
            <w:r w:rsidRPr="00762A30">
              <w:rPr>
                <w:b/>
                <w:szCs w:val="24"/>
              </w:rPr>
              <w:t xml:space="preserve"> prasmė</w:t>
            </w: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sidRPr="00762A30">
              <w:rPr>
                <w:szCs w:val="24"/>
              </w:rPr>
              <w:t>Nr.</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Pradžia</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Pabaiga</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r w:rsidR="00184083" w:rsidRPr="00762A30" w:rsidTr="00736723">
        <w:trPr>
          <w:trHeight w:val="461"/>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1.</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-5</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-1</w:t>
            </w:r>
          </w:p>
        </w:tc>
        <w:tc>
          <w:tcPr>
            <w:tcW w:w="3247" w:type="dxa"/>
            <w:vMerge w:val="restart"/>
            <w:vAlign w:val="center"/>
          </w:tcPr>
          <w:p w:rsidR="00184083" w:rsidRPr="00762A30" w:rsidRDefault="00184083" w:rsidP="00736723">
            <w:pPr>
              <w:spacing w:before="0" w:line="240" w:lineRule="auto"/>
              <w:ind w:firstLine="0"/>
              <w:jc w:val="center"/>
              <w:rPr>
                <w:szCs w:val="24"/>
              </w:rPr>
            </w:pPr>
            <w:r w:rsidRPr="00762A30">
              <w:rPr>
                <w:szCs w:val="24"/>
              </w:rPr>
              <w:t>Informacijos nutekėjimas</w:t>
            </w:r>
          </w:p>
        </w:tc>
        <w:tc>
          <w:tcPr>
            <w:tcW w:w="3274" w:type="dxa"/>
            <w:vMerge w:val="restart"/>
            <w:vAlign w:val="center"/>
          </w:tcPr>
          <w:p w:rsidR="00184083" w:rsidRPr="00762A30" w:rsidRDefault="00184083" w:rsidP="00736723">
            <w:pPr>
              <w:spacing w:before="0" w:line="240" w:lineRule="auto"/>
              <w:ind w:firstLine="0"/>
              <w:jc w:val="center"/>
              <w:rPr>
                <w:szCs w:val="24"/>
              </w:rPr>
            </w:pPr>
            <w:r>
              <w:rPr>
                <w:szCs w:val="24"/>
              </w:rPr>
              <w:t>Teisinio reguliavimo ir vidinės informacijos kontroliavimo efektyvumas</w:t>
            </w: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2.</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-3</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-1</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3.</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-5</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0</w:t>
            </w:r>
          </w:p>
        </w:tc>
        <w:tc>
          <w:tcPr>
            <w:tcW w:w="3247" w:type="dxa"/>
            <w:vMerge w:val="restart"/>
            <w:vAlign w:val="center"/>
          </w:tcPr>
          <w:p w:rsidR="00184083" w:rsidRPr="00762A30" w:rsidRDefault="00184083" w:rsidP="00736723">
            <w:pPr>
              <w:spacing w:before="0" w:line="240" w:lineRule="auto"/>
              <w:ind w:firstLine="0"/>
              <w:jc w:val="center"/>
              <w:rPr>
                <w:szCs w:val="24"/>
              </w:rPr>
            </w:pPr>
            <w:r>
              <w:rPr>
                <w:szCs w:val="24"/>
              </w:rPr>
              <w:t>Informacijos efekto stiprumas, kai analizuojama daugiau prekybos dienų prieš naujienų paskelbimą</w:t>
            </w:r>
          </w:p>
        </w:tc>
        <w:tc>
          <w:tcPr>
            <w:tcW w:w="3274" w:type="dxa"/>
            <w:vMerge w:val="restart"/>
            <w:vAlign w:val="center"/>
          </w:tcPr>
          <w:p w:rsidR="00184083" w:rsidRPr="00762A30" w:rsidRDefault="00184083" w:rsidP="00736723">
            <w:pPr>
              <w:spacing w:before="0" w:line="240" w:lineRule="auto"/>
              <w:ind w:firstLine="0"/>
              <w:jc w:val="center"/>
              <w:rPr>
                <w:szCs w:val="24"/>
              </w:rPr>
            </w:pPr>
            <w:r>
              <w:rPr>
                <w:szCs w:val="24"/>
              </w:rPr>
              <w:t>Informacijos konteksto įtaka akcijų kainoms ir prisitaikymo efekto (angl. duration effect) laikas</w:t>
            </w: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4.</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-5</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1</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5.</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-3</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0</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6.</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-3</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1</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r w:rsidR="00184083" w:rsidRPr="00762A30" w:rsidTr="00736723">
        <w:trPr>
          <w:jc w:val="center"/>
        </w:trPr>
        <w:tc>
          <w:tcPr>
            <w:tcW w:w="534" w:type="dxa"/>
            <w:vAlign w:val="center"/>
          </w:tcPr>
          <w:p w:rsidR="00184083" w:rsidRPr="00762A30" w:rsidRDefault="00184083" w:rsidP="00736723">
            <w:pPr>
              <w:spacing w:before="0" w:line="240" w:lineRule="auto"/>
              <w:ind w:firstLine="0"/>
              <w:jc w:val="center"/>
              <w:rPr>
                <w:szCs w:val="24"/>
              </w:rPr>
            </w:pPr>
            <w:r>
              <w:rPr>
                <w:szCs w:val="24"/>
              </w:rPr>
              <w:t>7.</w:t>
            </w:r>
          </w:p>
        </w:tc>
        <w:tc>
          <w:tcPr>
            <w:tcW w:w="992" w:type="dxa"/>
            <w:vAlign w:val="center"/>
          </w:tcPr>
          <w:p w:rsidR="00184083" w:rsidRPr="00762A30" w:rsidRDefault="00184083" w:rsidP="00736723">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36723">
            <w:pPr>
              <w:spacing w:before="0" w:line="240" w:lineRule="auto"/>
              <w:ind w:firstLine="0"/>
              <w:jc w:val="center"/>
              <w:rPr>
                <w:szCs w:val="24"/>
              </w:rPr>
            </w:pPr>
            <w:r w:rsidRPr="00762A30">
              <w:rPr>
                <w:szCs w:val="24"/>
              </w:rPr>
              <w:t>0</w:t>
            </w:r>
          </w:p>
        </w:tc>
        <w:tc>
          <w:tcPr>
            <w:tcW w:w="3247" w:type="dxa"/>
            <w:vMerge/>
            <w:vAlign w:val="center"/>
          </w:tcPr>
          <w:p w:rsidR="00184083" w:rsidRPr="00762A30" w:rsidRDefault="00184083" w:rsidP="00736723">
            <w:pPr>
              <w:spacing w:before="0" w:line="240" w:lineRule="auto"/>
              <w:ind w:firstLine="0"/>
              <w:jc w:val="center"/>
              <w:rPr>
                <w:szCs w:val="24"/>
              </w:rPr>
            </w:pPr>
          </w:p>
        </w:tc>
        <w:tc>
          <w:tcPr>
            <w:tcW w:w="3274" w:type="dxa"/>
            <w:vMerge/>
            <w:vAlign w:val="center"/>
          </w:tcPr>
          <w:p w:rsidR="00184083" w:rsidRPr="00762A30" w:rsidRDefault="00184083" w:rsidP="00736723">
            <w:pPr>
              <w:spacing w:before="0" w:line="240" w:lineRule="auto"/>
              <w:ind w:firstLine="0"/>
              <w:jc w:val="center"/>
              <w:rPr>
                <w:szCs w:val="24"/>
              </w:rPr>
            </w:pPr>
          </w:p>
        </w:tc>
      </w:tr>
    </w:tbl>
    <w:p w:rsidR="00184083" w:rsidRDefault="00EC7800" w:rsidP="00184083">
      <w:pPr>
        <w:spacing w:before="240" w:after="120" w:line="276" w:lineRule="auto"/>
        <w:ind w:firstLine="0"/>
        <w:jc w:val="right"/>
      </w:pPr>
      <w:r>
        <w:fldChar w:fldCharType="begin"/>
      </w:r>
      <w:r w:rsidR="00184083">
        <w:instrText xml:space="preserve"> REF _Ref343006670 \r \h </w:instrText>
      </w:r>
      <w:r>
        <w:fldChar w:fldCharType="separate"/>
      </w:r>
      <w:r w:rsidR="0009577F">
        <w:t>8 lentelė</w:t>
      </w:r>
      <w:r>
        <w:fldChar w:fldCharType="end"/>
      </w:r>
      <w:r w:rsidR="00184083">
        <w:t>s tęsinys kitame puslapyje</w:t>
      </w:r>
    </w:p>
    <w:p w:rsidR="00184083" w:rsidRDefault="00EC7800" w:rsidP="00184083">
      <w:pPr>
        <w:spacing w:before="240" w:after="120" w:line="276" w:lineRule="auto"/>
        <w:ind w:firstLine="0"/>
        <w:jc w:val="right"/>
      </w:pPr>
      <w:r>
        <w:lastRenderedPageBreak/>
        <w:fldChar w:fldCharType="begin"/>
      </w:r>
      <w:r w:rsidR="00184083">
        <w:instrText xml:space="preserve"> REF _Ref343006670 \r \h </w:instrText>
      </w:r>
      <w:r>
        <w:fldChar w:fldCharType="separate"/>
      </w:r>
      <w:r w:rsidR="0009577F">
        <w:t>8 lentelė</w:t>
      </w:r>
      <w:r>
        <w:fldChar w:fldCharType="end"/>
      </w:r>
      <w:r w:rsidR="00184083">
        <w:t xml:space="preserve">s tęsinys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534"/>
        <w:gridCol w:w="992"/>
        <w:gridCol w:w="1984"/>
        <w:gridCol w:w="3247"/>
        <w:gridCol w:w="3274"/>
      </w:tblGrid>
      <w:tr w:rsidR="00762A30" w:rsidTr="004E6B94">
        <w:trPr>
          <w:trHeight w:val="698"/>
          <w:jc w:val="center"/>
        </w:trPr>
        <w:tc>
          <w:tcPr>
            <w:tcW w:w="3510" w:type="dxa"/>
            <w:gridSpan w:val="3"/>
            <w:vAlign w:val="center"/>
          </w:tcPr>
          <w:p w:rsidR="00762A30" w:rsidRPr="00762A30" w:rsidRDefault="00762A30" w:rsidP="00762A30">
            <w:pPr>
              <w:spacing w:before="0" w:line="240" w:lineRule="auto"/>
              <w:ind w:firstLine="0"/>
              <w:jc w:val="center"/>
              <w:rPr>
                <w:b/>
                <w:szCs w:val="24"/>
              </w:rPr>
            </w:pPr>
            <w:r w:rsidRPr="00762A30">
              <w:rPr>
                <w:b/>
                <w:szCs w:val="24"/>
              </w:rPr>
              <w:t>Analizuojami įvykio langai (periodai)</w:t>
            </w:r>
          </w:p>
        </w:tc>
        <w:tc>
          <w:tcPr>
            <w:tcW w:w="3247" w:type="dxa"/>
            <w:vMerge w:val="restart"/>
            <w:vAlign w:val="center"/>
          </w:tcPr>
          <w:p w:rsidR="00762A30" w:rsidRPr="00762A30" w:rsidRDefault="00762A30" w:rsidP="00762A30">
            <w:pPr>
              <w:spacing w:before="0" w:line="240" w:lineRule="auto"/>
              <w:ind w:firstLine="0"/>
              <w:jc w:val="center"/>
              <w:rPr>
                <w:b/>
                <w:szCs w:val="24"/>
              </w:rPr>
            </w:pPr>
            <w:r w:rsidRPr="00762A30">
              <w:rPr>
                <w:b/>
                <w:szCs w:val="24"/>
              </w:rPr>
              <w:t>Įvykio lango analizės tikslas</w:t>
            </w:r>
          </w:p>
        </w:tc>
        <w:tc>
          <w:tcPr>
            <w:tcW w:w="3274" w:type="dxa"/>
            <w:vMerge w:val="restart"/>
            <w:vAlign w:val="center"/>
          </w:tcPr>
          <w:p w:rsidR="00762A30" w:rsidRPr="00762A30" w:rsidRDefault="008F798C" w:rsidP="00762A30">
            <w:pPr>
              <w:spacing w:before="0" w:line="240" w:lineRule="auto"/>
              <w:ind w:firstLine="0"/>
              <w:jc w:val="center"/>
              <w:rPr>
                <w:b/>
                <w:szCs w:val="24"/>
              </w:rPr>
            </w:pPr>
            <w:r>
              <w:rPr>
                <w:b/>
                <w:szCs w:val="24"/>
              </w:rPr>
              <w:t>Tyrimo</w:t>
            </w:r>
            <w:r w:rsidR="00762A30" w:rsidRPr="00762A30">
              <w:rPr>
                <w:b/>
                <w:szCs w:val="24"/>
              </w:rPr>
              <w:t xml:space="preserve"> prasmė</w:t>
            </w:r>
          </w:p>
        </w:tc>
      </w:tr>
      <w:tr w:rsidR="00762A30" w:rsidTr="004E6B94">
        <w:trPr>
          <w:jc w:val="center"/>
        </w:trPr>
        <w:tc>
          <w:tcPr>
            <w:tcW w:w="534" w:type="dxa"/>
            <w:vAlign w:val="center"/>
          </w:tcPr>
          <w:p w:rsidR="00762A30" w:rsidRPr="00762A30" w:rsidRDefault="00762A30" w:rsidP="00762A30">
            <w:pPr>
              <w:spacing w:before="0" w:line="240" w:lineRule="auto"/>
              <w:ind w:firstLine="0"/>
              <w:jc w:val="center"/>
              <w:rPr>
                <w:szCs w:val="24"/>
              </w:rPr>
            </w:pPr>
            <w:r w:rsidRPr="00762A30">
              <w:rPr>
                <w:szCs w:val="24"/>
              </w:rPr>
              <w:t>Nr.</w:t>
            </w:r>
          </w:p>
        </w:tc>
        <w:tc>
          <w:tcPr>
            <w:tcW w:w="992" w:type="dxa"/>
            <w:vAlign w:val="center"/>
          </w:tcPr>
          <w:p w:rsidR="00762A30" w:rsidRPr="00762A30" w:rsidRDefault="00762A30" w:rsidP="00762A30">
            <w:pPr>
              <w:spacing w:before="0" w:line="240" w:lineRule="auto"/>
              <w:ind w:firstLine="0"/>
              <w:jc w:val="center"/>
              <w:rPr>
                <w:szCs w:val="24"/>
              </w:rPr>
            </w:pPr>
            <w:r w:rsidRPr="00762A30">
              <w:rPr>
                <w:szCs w:val="24"/>
              </w:rPr>
              <w:t>Pradžia</w:t>
            </w:r>
          </w:p>
        </w:tc>
        <w:tc>
          <w:tcPr>
            <w:tcW w:w="1984" w:type="dxa"/>
            <w:vAlign w:val="center"/>
          </w:tcPr>
          <w:p w:rsidR="00762A30" w:rsidRPr="00762A30" w:rsidRDefault="00762A30" w:rsidP="00762A30">
            <w:pPr>
              <w:spacing w:before="0" w:line="240" w:lineRule="auto"/>
              <w:ind w:firstLine="0"/>
              <w:jc w:val="center"/>
              <w:rPr>
                <w:szCs w:val="24"/>
              </w:rPr>
            </w:pPr>
            <w:r w:rsidRPr="00762A30">
              <w:rPr>
                <w:szCs w:val="24"/>
              </w:rPr>
              <w:t>Pabaiga</w:t>
            </w:r>
          </w:p>
        </w:tc>
        <w:tc>
          <w:tcPr>
            <w:tcW w:w="3247" w:type="dxa"/>
            <w:vMerge/>
            <w:vAlign w:val="center"/>
          </w:tcPr>
          <w:p w:rsidR="00762A30" w:rsidRPr="00762A30" w:rsidRDefault="00762A30" w:rsidP="00762A30">
            <w:pPr>
              <w:spacing w:before="0" w:line="240" w:lineRule="auto"/>
              <w:ind w:firstLine="0"/>
              <w:jc w:val="center"/>
              <w:rPr>
                <w:szCs w:val="24"/>
              </w:rPr>
            </w:pPr>
          </w:p>
        </w:tc>
        <w:tc>
          <w:tcPr>
            <w:tcW w:w="3274" w:type="dxa"/>
            <w:vMerge/>
            <w:vAlign w:val="center"/>
          </w:tcPr>
          <w:p w:rsidR="00762A30" w:rsidRPr="00762A30" w:rsidRDefault="00762A30"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8.</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3247" w:type="dxa"/>
            <w:vMerge w:val="restart"/>
            <w:vAlign w:val="center"/>
          </w:tcPr>
          <w:p w:rsidR="00184083" w:rsidRPr="00762A30" w:rsidRDefault="00184083" w:rsidP="008F798C">
            <w:pPr>
              <w:spacing w:before="0" w:line="240" w:lineRule="auto"/>
              <w:ind w:firstLine="0"/>
              <w:jc w:val="center"/>
              <w:rPr>
                <w:szCs w:val="24"/>
              </w:rPr>
            </w:pPr>
            <w:r>
              <w:rPr>
                <w:szCs w:val="24"/>
              </w:rPr>
              <w:t>Informacijos efektas, kai analizuojama daugiau dienų po naujienų paskelbimo, ir rinkos efektyvumas</w:t>
            </w:r>
          </w:p>
        </w:tc>
        <w:tc>
          <w:tcPr>
            <w:tcW w:w="3274" w:type="dxa"/>
            <w:vMerge w:val="restart"/>
            <w:vAlign w:val="center"/>
          </w:tcPr>
          <w:p w:rsidR="00184083" w:rsidRPr="00762A30" w:rsidRDefault="00184083" w:rsidP="00762A30">
            <w:pPr>
              <w:spacing w:before="0" w:line="240" w:lineRule="auto"/>
              <w:ind w:firstLine="0"/>
              <w:jc w:val="center"/>
              <w:rPr>
                <w:szCs w:val="24"/>
              </w:rPr>
            </w:pPr>
            <w:r>
              <w:rPr>
                <w:szCs w:val="24"/>
              </w:rPr>
              <w:t>Informacijos konteksto įtaka akcijų kainoms ir prisitaikymo efekto (angl. duration effect) laikas</w:t>
            </w: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9.</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-2</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2</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10.</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0</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11.</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3</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12.</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0</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3</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13.</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3</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14.</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5</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15.</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0</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5</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16.</w:t>
            </w:r>
          </w:p>
        </w:tc>
        <w:tc>
          <w:tcPr>
            <w:tcW w:w="992" w:type="dxa"/>
            <w:vAlign w:val="center"/>
          </w:tcPr>
          <w:p w:rsidR="00184083" w:rsidRPr="00762A30" w:rsidRDefault="00184083" w:rsidP="00762A30">
            <w:pPr>
              <w:spacing w:before="0" w:line="240" w:lineRule="auto"/>
              <w:ind w:firstLine="0"/>
              <w:jc w:val="center"/>
              <w:rPr>
                <w:szCs w:val="24"/>
              </w:rPr>
            </w:pPr>
            <w:r w:rsidRPr="00762A30">
              <w:rPr>
                <w:szCs w:val="24"/>
              </w:rPr>
              <w:t>1</w:t>
            </w:r>
          </w:p>
        </w:tc>
        <w:tc>
          <w:tcPr>
            <w:tcW w:w="1984" w:type="dxa"/>
            <w:vAlign w:val="center"/>
          </w:tcPr>
          <w:p w:rsidR="00184083" w:rsidRPr="00762A30" w:rsidRDefault="00184083" w:rsidP="00762A30">
            <w:pPr>
              <w:spacing w:before="0" w:line="240" w:lineRule="auto"/>
              <w:ind w:firstLine="0"/>
              <w:jc w:val="center"/>
              <w:rPr>
                <w:szCs w:val="24"/>
              </w:rPr>
            </w:pPr>
            <w:r w:rsidRPr="00762A30">
              <w:rPr>
                <w:szCs w:val="24"/>
              </w:rPr>
              <w:t>5</w:t>
            </w:r>
          </w:p>
        </w:tc>
        <w:tc>
          <w:tcPr>
            <w:tcW w:w="3247" w:type="dxa"/>
            <w:vMerge/>
            <w:vAlign w:val="center"/>
          </w:tcPr>
          <w:p w:rsidR="00184083" w:rsidRPr="00762A30" w:rsidRDefault="00184083" w:rsidP="00762A30">
            <w:pPr>
              <w:spacing w:before="0" w:line="240" w:lineRule="auto"/>
              <w:ind w:firstLine="0"/>
              <w:jc w:val="center"/>
              <w:rPr>
                <w:szCs w:val="24"/>
              </w:rPr>
            </w:pPr>
          </w:p>
        </w:tc>
        <w:tc>
          <w:tcPr>
            <w:tcW w:w="3274" w:type="dxa"/>
            <w:vMerge/>
            <w:vAlign w:val="center"/>
          </w:tcPr>
          <w:p w:rsidR="00184083" w:rsidRPr="00762A30" w:rsidRDefault="00184083" w:rsidP="00762A30">
            <w:pPr>
              <w:spacing w:before="0" w:line="240" w:lineRule="auto"/>
              <w:ind w:firstLine="0"/>
              <w:jc w:val="center"/>
              <w:rPr>
                <w:szCs w:val="24"/>
              </w:rPr>
            </w:pPr>
          </w:p>
        </w:tc>
      </w:tr>
      <w:tr w:rsidR="00184083" w:rsidTr="004E6B94">
        <w:trPr>
          <w:jc w:val="center"/>
        </w:trPr>
        <w:tc>
          <w:tcPr>
            <w:tcW w:w="534" w:type="dxa"/>
            <w:vAlign w:val="center"/>
          </w:tcPr>
          <w:p w:rsidR="00184083" w:rsidRPr="00762A30" w:rsidRDefault="00184083" w:rsidP="00762A30">
            <w:pPr>
              <w:spacing w:before="0" w:line="240" w:lineRule="auto"/>
              <w:ind w:firstLine="0"/>
              <w:jc w:val="center"/>
              <w:rPr>
                <w:szCs w:val="24"/>
              </w:rPr>
            </w:pPr>
            <w:r>
              <w:rPr>
                <w:szCs w:val="24"/>
              </w:rPr>
              <w:t>17.</w:t>
            </w:r>
          </w:p>
        </w:tc>
        <w:tc>
          <w:tcPr>
            <w:tcW w:w="992" w:type="dxa"/>
            <w:vAlign w:val="center"/>
          </w:tcPr>
          <w:p w:rsidR="00184083" w:rsidRPr="00762A30" w:rsidRDefault="00184083" w:rsidP="006E4CA1">
            <w:pPr>
              <w:spacing w:before="0" w:line="240" w:lineRule="auto"/>
              <w:ind w:firstLine="0"/>
              <w:jc w:val="center"/>
              <w:rPr>
                <w:szCs w:val="24"/>
              </w:rPr>
            </w:pPr>
            <w:r w:rsidRPr="00762A30">
              <w:rPr>
                <w:szCs w:val="24"/>
              </w:rPr>
              <w:t>-5</w:t>
            </w:r>
          </w:p>
        </w:tc>
        <w:tc>
          <w:tcPr>
            <w:tcW w:w="1984" w:type="dxa"/>
            <w:vAlign w:val="center"/>
          </w:tcPr>
          <w:p w:rsidR="00184083" w:rsidRPr="00762A30" w:rsidRDefault="00184083" w:rsidP="006E4CA1">
            <w:pPr>
              <w:spacing w:before="0" w:line="240" w:lineRule="auto"/>
              <w:ind w:firstLine="0"/>
              <w:jc w:val="center"/>
              <w:rPr>
                <w:szCs w:val="24"/>
              </w:rPr>
            </w:pPr>
            <w:r w:rsidRPr="00762A30">
              <w:rPr>
                <w:szCs w:val="24"/>
              </w:rPr>
              <w:t>5</w:t>
            </w:r>
          </w:p>
        </w:tc>
        <w:tc>
          <w:tcPr>
            <w:tcW w:w="3247" w:type="dxa"/>
            <w:vAlign w:val="center"/>
          </w:tcPr>
          <w:p w:rsidR="00184083" w:rsidRPr="00762A30" w:rsidRDefault="00184083" w:rsidP="006E4CA1">
            <w:pPr>
              <w:spacing w:before="0" w:line="240" w:lineRule="auto"/>
              <w:ind w:firstLine="0"/>
              <w:jc w:val="center"/>
              <w:rPr>
                <w:szCs w:val="24"/>
              </w:rPr>
            </w:pPr>
            <w:r w:rsidRPr="00762A30">
              <w:rPr>
                <w:szCs w:val="24"/>
              </w:rPr>
              <w:t>Rinkos efektyvumas</w:t>
            </w:r>
          </w:p>
        </w:tc>
        <w:tc>
          <w:tcPr>
            <w:tcW w:w="3274" w:type="dxa"/>
            <w:vMerge/>
            <w:vAlign w:val="center"/>
          </w:tcPr>
          <w:p w:rsidR="00184083" w:rsidRPr="00762A30" w:rsidRDefault="00184083" w:rsidP="00762A30">
            <w:pPr>
              <w:spacing w:before="0" w:line="240" w:lineRule="auto"/>
              <w:ind w:firstLine="0"/>
              <w:jc w:val="center"/>
              <w:rPr>
                <w:szCs w:val="24"/>
              </w:rPr>
            </w:pPr>
          </w:p>
        </w:tc>
      </w:tr>
    </w:tbl>
    <w:p w:rsidR="00762A30" w:rsidRPr="006F517F" w:rsidRDefault="00E850AC" w:rsidP="006F517F">
      <w:pPr>
        <w:ind w:firstLine="0"/>
        <w:rPr>
          <w:sz w:val="20"/>
          <w:szCs w:val="20"/>
        </w:rPr>
      </w:pPr>
      <w:r w:rsidRPr="006F517F">
        <w:rPr>
          <w:b/>
          <w:sz w:val="20"/>
          <w:szCs w:val="20"/>
        </w:rPr>
        <w:t>Šaltinis:</w:t>
      </w:r>
      <w:r w:rsidRPr="006F517F">
        <w:rPr>
          <w:sz w:val="20"/>
          <w:szCs w:val="20"/>
        </w:rPr>
        <w:t xml:space="preserve"> adaptuota pagal Kadioglu (2008)</w:t>
      </w:r>
    </w:p>
    <w:p w:rsidR="00EF3CEA" w:rsidRDefault="00EF3CEA" w:rsidP="009A78DD">
      <w:r>
        <w:t xml:space="preserve">Tikimasi, jog informacijos nutekėjimo efektą (reguliavimo ir kontrolės efektyvumą) bus galima </w:t>
      </w:r>
      <w:r w:rsidR="00303745">
        <w:t xml:space="preserve">nustatyti </w:t>
      </w:r>
      <w:r>
        <w:t>analizuojant akcijų pelningumus prieš dividendų naujienų paskelbimą, o informacinio efekto stiprumas (įtaka akcijų kainoms ir prisitaikymo trukmė)  bus nustatomas intervalams</w:t>
      </w:r>
      <w:r w:rsidR="00303745">
        <w:t>, į kuriuos patenka ir dividendų paskelbimo diena.</w:t>
      </w:r>
    </w:p>
    <w:p w:rsidR="00E2594E" w:rsidRDefault="009A78DD" w:rsidP="009A78DD">
      <w:r>
        <w:t>Kuomet</w:t>
      </w:r>
      <w:r w:rsidR="00EF3CEA">
        <w:t xml:space="preserve"> jau yra</w:t>
      </w:r>
      <w:r>
        <w:t xml:space="preserve"> apibrėžtos analizuojamo įvykio laikotarpio ribos ir nustatyta viso 17 analizuojamų periodų,</w:t>
      </w:r>
      <w:r w:rsidR="00570AC3">
        <w:t xml:space="preserve"> visų pirma</w:t>
      </w:r>
      <w:r>
        <w:t xml:space="preserve"> apskaičiuojamas kiekvienos analizuojamo laikotarpio </w:t>
      </w:r>
      <w:r w:rsidR="00570AC3">
        <w:t>dienos pertekliniai pelningumai, o vėliau ir visų nagrinėjamų periodų sudėtiniai pelningumai.</w:t>
      </w:r>
    </w:p>
    <w:p w:rsidR="00E2594E" w:rsidRDefault="00E2594E" w:rsidP="00B64EEA">
      <w:pPr>
        <w:pStyle w:val="Heading3"/>
        <w:numPr>
          <w:ilvl w:val="0"/>
          <w:numId w:val="20"/>
        </w:numPr>
      </w:pPr>
      <w:bookmarkStart w:id="63" w:name="_Ref343084077"/>
      <w:bookmarkStart w:id="64" w:name="_Toc343677749"/>
      <w:r>
        <w:t>Dividendinių</w:t>
      </w:r>
      <w:r w:rsidR="00E46333">
        <w:t xml:space="preserve"> akcijų pelningumo apskaičiavimas</w:t>
      </w:r>
      <w:bookmarkEnd w:id="63"/>
      <w:bookmarkEnd w:id="64"/>
    </w:p>
    <w:p w:rsidR="00F0260F" w:rsidRDefault="00B90C94" w:rsidP="009A78DD">
      <w:r>
        <w:t>Mokslinėje literatūroje p</w:t>
      </w:r>
      <w:r w:rsidR="009A78DD">
        <w:t>erteklinis pelningumas</w:t>
      </w:r>
      <w:r>
        <w:t xml:space="preserve"> (AR)</w:t>
      </w:r>
      <w:r w:rsidR="009A78DD">
        <w:t xml:space="preserve"> </w:t>
      </w:r>
      <w:r>
        <w:t>apibrėžiamas</w:t>
      </w:r>
      <w:r w:rsidR="009A78DD">
        <w:t xml:space="preserve"> </w:t>
      </w:r>
      <w:r w:rsidR="00DF4026">
        <w:t>kaip</w:t>
      </w:r>
      <w:r w:rsidR="009A78DD">
        <w:t xml:space="preserve"> skirtumas tarp realios ir laukiamos akcijų kainos grąžos (Mahmood, Sheikh, Ghaffari, 2011). Perteklinis pelningumas (žr. </w:t>
      </w:r>
      <w:r w:rsidR="00D932E1">
        <w:t>(10</w:t>
      </w:r>
      <w:r w:rsidR="006E4CA1">
        <w:t>) formulę)</w:t>
      </w:r>
      <w:r w:rsidR="009A78DD">
        <w:t xml:space="preserve"> apskaičiuojamas kaip tarp realios akcijų kainos pelningumo pokyčio ir rinkos indekso grąžos pokyčio (angl. market adjusted return) skirtumas (Pathirawasam, Bata, 2009):</w:t>
      </w:r>
    </w:p>
    <w:p w:rsidR="006E4CA1" w:rsidRDefault="006E4CA1" w:rsidP="002B03B7">
      <w:pPr>
        <w:ind w:firstLine="0"/>
        <w:jc w:val="center"/>
        <w:rPr>
          <w:lang w:val="en-US"/>
        </w:rPr>
      </w:pPr>
      <w:r w:rsidRPr="006E4CA1">
        <w:rPr>
          <w:i/>
        </w:rPr>
        <w:t>AR</w:t>
      </w:r>
      <w:r w:rsidRPr="006E4CA1">
        <w:rPr>
          <w:i/>
          <w:vertAlign w:val="subscript"/>
        </w:rPr>
        <w:t xml:space="preserve">it </w:t>
      </w:r>
      <w:r w:rsidRPr="006E4CA1">
        <w:rPr>
          <w:i/>
          <w:lang w:val="en-US"/>
        </w:rPr>
        <w:t>= R</w:t>
      </w:r>
      <w:r w:rsidRPr="006E4CA1">
        <w:rPr>
          <w:i/>
          <w:vertAlign w:val="subscript"/>
          <w:lang w:val="en-US"/>
        </w:rPr>
        <w:t>it</w:t>
      </w:r>
      <w:r w:rsidRPr="006E4CA1">
        <w:rPr>
          <w:i/>
          <w:lang w:val="en-US"/>
        </w:rPr>
        <w:t xml:space="preserve"> - R</w:t>
      </w:r>
      <w:r w:rsidRPr="006E4CA1">
        <w:rPr>
          <w:i/>
          <w:vertAlign w:val="subscript"/>
          <w:lang w:val="en-US"/>
        </w:rPr>
        <w:t>mt</w:t>
      </w:r>
      <w:r w:rsidR="002B03B7">
        <w:rPr>
          <w:i/>
          <w:vertAlign w:val="subscript"/>
          <w:lang w:val="en-US"/>
        </w:rPr>
        <w:t xml:space="preserve"> </w:t>
      </w:r>
      <w:r>
        <w:rPr>
          <w:lang w:val="en-US"/>
        </w:rPr>
        <w:t>;</w:t>
      </w:r>
      <w:r w:rsidR="002B03B7">
        <w:rPr>
          <w:lang w:val="en-US"/>
        </w:rPr>
        <w:tab/>
      </w:r>
      <w:r w:rsidR="00D932E1">
        <w:rPr>
          <w:lang w:val="en-US"/>
        </w:rPr>
        <w:t>(10</w:t>
      </w:r>
      <w:r>
        <w:rPr>
          <w:lang w:val="en-US"/>
        </w:rPr>
        <w:t>)</w:t>
      </w:r>
    </w:p>
    <w:p w:rsidR="006E4CA1" w:rsidRDefault="006E4CA1" w:rsidP="006E4CA1">
      <w:pPr>
        <w:spacing w:line="240" w:lineRule="auto"/>
      </w:pPr>
      <w:r>
        <w:t xml:space="preserve">Čia: </w:t>
      </w:r>
      <w:r>
        <w:tab/>
      </w:r>
      <w:r w:rsidRPr="006E4CA1">
        <w:rPr>
          <w:i/>
        </w:rPr>
        <w:t>AR</w:t>
      </w:r>
      <w:r w:rsidRPr="006E4CA1">
        <w:rPr>
          <w:i/>
          <w:vertAlign w:val="subscript"/>
        </w:rPr>
        <w:t>it</w:t>
      </w:r>
      <w:r>
        <w:rPr>
          <w:vertAlign w:val="subscript"/>
        </w:rPr>
        <w:t xml:space="preserve"> </w:t>
      </w:r>
      <w:r>
        <w:t xml:space="preserve">– įmonės </w:t>
      </w:r>
      <w:r w:rsidRPr="006E4CA1">
        <w:rPr>
          <w:i/>
        </w:rPr>
        <w:t>i</w:t>
      </w:r>
      <w:r>
        <w:t xml:space="preserve"> akcijų perteklinis pelningumas prekybos dienos </w:t>
      </w:r>
      <w:r w:rsidRPr="006E4CA1">
        <w:rPr>
          <w:i/>
        </w:rPr>
        <w:t>t</w:t>
      </w:r>
      <w:r>
        <w:rPr>
          <w:i/>
        </w:rPr>
        <w:t xml:space="preserve"> </w:t>
      </w:r>
      <w:r>
        <w:t>uždarymo kainomis;</w:t>
      </w:r>
    </w:p>
    <w:p w:rsidR="006E4CA1" w:rsidRPr="006E4CA1" w:rsidRDefault="006E4CA1" w:rsidP="006E4CA1">
      <w:pPr>
        <w:spacing w:line="240" w:lineRule="auto"/>
      </w:pPr>
      <w:r>
        <w:tab/>
        <w:t>R</w:t>
      </w:r>
      <w:r w:rsidRPr="006E4CA1">
        <w:rPr>
          <w:vertAlign w:val="subscript"/>
        </w:rPr>
        <w:t>it</w:t>
      </w:r>
      <w:r>
        <w:t xml:space="preserve"> – realus įmonės </w:t>
      </w:r>
      <w:r w:rsidRPr="006E4CA1">
        <w:rPr>
          <w:i/>
        </w:rPr>
        <w:t>i</w:t>
      </w:r>
      <w:r>
        <w:t xml:space="preserve"> akcijų pelningumas prekybos dienos </w:t>
      </w:r>
      <w:r w:rsidRPr="006E4CA1">
        <w:rPr>
          <w:i/>
        </w:rPr>
        <w:t>t</w:t>
      </w:r>
      <w:r>
        <w:rPr>
          <w:i/>
        </w:rPr>
        <w:t xml:space="preserve"> </w:t>
      </w:r>
      <w:r>
        <w:t>uždarymo kainomis;</w:t>
      </w:r>
    </w:p>
    <w:p w:rsidR="006E4CA1" w:rsidRDefault="006E4CA1" w:rsidP="00D932E1">
      <w:pPr>
        <w:ind w:firstLine="1298"/>
      </w:pPr>
      <w:r>
        <w:t>R</w:t>
      </w:r>
      <w:r w:rsidRPr="006E4CA1">
        <w:rPr>
          <w:vertAlign w:val="subscript"/>
        </w:rPr>
        <w:t>mt</w:t>
      </w:r>
      <w:r>
        <w:t xml:space="preserve"> – akcijų biržos indekso</w:t>
      </w:r>
      <w:r w:rsidRPr="006E4CA1">
        <w:rPr>
          <w:i/>
        </w:rPr>
        <w:t xml:space="preserve"> m</w:t>
      </w:r>
      <w:r w:rsidR="00E2594E">
        <w:t xml:space="preserve"> pokytis </w:t>
      </w:r>
      <w:r w:rsidR="00E2594E" w:rsidRPr="006E4CA1">
        <w:rPr>
          <w:i/>
        </w:rPr>
        <w:t>t</w:t>
      </w:r>
      <w:r w:rsidR="00E2594E">
        <w:t xml:space="preserve"> prekybos dieną</w:t>
      </w:r>
      <w:r w:rsidR="00072A4F">
        <w:t>.</w:t>
      </w:r>
    </w:p>
    <w:p w:rsidR="006E4CA1" w:rsidRDefault="006E4CA1" w:rsidP="006E4CA1">
      <w:r>
        <w:t>Kaip teigia Baker ir Powell (1985)</w:t>
      </w:r>
      <w:r w:rsidR="002B03B7">
        <w:t>,</w:t>
      </w:r>
      <w:r>
        <w:t xml:space="preserve"> šis </w:t>
      </w:r>
      <w:r w:rsidR="002B03B7">
        <w:t xml:space="preserve">perteklinio pelningumo </w:t>
      </w:r>
      <w:r>
        <w:t xml:space="preserve">skaičiavimo būdas yra priimtinas skaičiuojant </w:t>
      </w:r>
      <w:r w:rsidR="002B03B7">
        <w:t>analizuojamų dienų pelningumo pokyčius ir turi panašią naudą kaip alternatyvus rinkos modelis (angl. ordinary least squares market model).</w:t>
      </w:r>
    </w:p>
    <w:p w:rsidR="002B03B7" w:rsidRDefault="002B03B7" w:rsidP="006E4CA1">
      <w:r>
        <w:lastRenderedPageBreak/>
        <w:t>Tam, kad apskaičiuoti realų įmonės akcijų pelningu</w:t>
      </w:r>
      <w:r w:rsidR="00072A4F">
        <w:t>mą ir rinkos indekso grąža</w:t>
      </w:r>
      <w:r>
        <w:t xml:space="preserve"> bus naudojama</w:t>
      </w:r>
      <w:r w:rsidR="00072A4F">
        <w:t xml:space="preserve">si mokslinėje literatūroje </w:t>
      </w:r>
      <w:r w:rsidR="00D932E1">
        <w:t>paplitusiomis formulėmis (žr. (11)-(12</w:t>
      </w:r>
      <w:r w:rsidR="00072A4F">
        <w:t>) formules), kurias siūlo naudoti ir</w:t>
      </w:r>
      <w:r>
        <w:t xml:space="preserve"> Mahmood, Sheikh, Ghaffari (2011):</w:t>
      </w:r>
    </w:p>
    <w:p w:rsidR="002B03B7" w:rsidRPr="002B03B7" w:rsidRDefault="002B03B7" w:rsidP="002B03B7">
      <w:pPr>
        <w:ind w:firstLine="0"/>
        <w:jc w:val="center"/>
      </w:pPr>
      <w:r w:rsidRPr="006E4CA1">
        <w:rPr>
          <w:i/>
          <w:lang w:val="en-US"/>
        </w:rPr>
        <w:t>R</w:t>
      </w:r>
      <w:r w:rsidRPr="006E4CA1">
        <w:rPr>
          <w:i/>
          <w:vertAlign w:val="subscript"/>
          <w:lang w:val="en-US"/>
        </w:rPr>
        <w:t>it</w:t>
      </w:r>
      <w:r>
        <w:rPr>
          <w:i/>
          <w:lang w:val="en-US"/>
        </w:rPr>
        <w:t xml:space="preserve"> =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it</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it-1</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it-1</m:t>
                </m:r>
              </m:sub>
            </m:sSub>
          </m:den>
        </m:f>
      </m:oMath>
      <w:r>
        <w:rPr>
          <w:i/>
          <w:lang w:val="en-US"/>
        </w:rPr>
        <w:t xml:space="preserve"> ;</w:t>
      </w:r>
      <w:r>
        <w:rPr>
          <w:i/>
          <w:lang w:val="en-US"/>
        </w:rPr>
        <w:tab/>
      </w:r>
      <w:r w:rsidR="00D932E1">
        <w:rPr>
          <w:lang w:val="en-US"/>
        </w:rPr>
        <w:t>(11</w:t>
      </w:r>
      <w:r w:rsidRPr="002B03B7">
        <w:rPr>
          <w:lang w:val="en-US"/>
        </w:rPr>
        <w:t>)</w:t>
      </w:r>
    </w:p>
    <w:p w:rsidR="00F0260F" w:rsidRDefault="002B03B7" w:rsidP="00D932E1">
      <w:r>
        <w:t xml:space="preserve">Čia: </w:t>
      </w:r>
      <w:r>
        <w:tab/>
      </w:r>
      <w:r w:rsidRPr="002B03B7">
        <w:rPr>
          <w:i/>
        </w:rPr>
        <w:t>P</w:t>
      </w:r>
      <w:r w:rsidRPr="002B03B7">
        <w:rPr>
          <w:i/>
          <w:vertAlign w:val="subscript"/>
        </w:rPr>
        <w:t>it</w:t>
      </w:r>
      <w:r>
        <w:rPr>
          <w:vertAlign w:val="subscript"/>
        </w:rPr>
        <w:t xml:space="preserve"> </w:t>
      </w:r>
      <w:r>
        <w:t xml:space="preserve">– akcijos </w:t>
      </w:r>
      <w:r w:rsidRPr="002B03B7">
        <w:rPr>
          <w:i/>
        </w:rPr>
        <w:t>i</w:t>
      </w:r>
      <w:r>
        <w:t xml:space="preserve"> rinkos uždarymo kaina prekybos dieną </w:t>
      </w:r>
      <w:r w:rsidRPr="002B03B7">
        <w:rPr>
          <w:i/>
        </w:rPr>
        <w:t>t</w:t>
      </w:r>
      <w:r>
        <w:t>;</w:t>
      </w:r>
    </w:p>
    <w:p w:rsidR="002B03B7" w:rsidRDefault="002B03B7" w:rsidP="00D932E1">
      <w:pPr>
        <w:contextualSpacing/>
      </w:pPr>
      <w:r>
        <w:tab/>
      </w:r>
      <w:r w:rsidRPr="002B03B7">
        <w:rPr>
          <w:i/>
        </w:rPr>
        <w:t>P</w:t>
      </w:r>
      <w:r w:rsidRPr="002B03B7">
        <w:rPr>
          <w:i/>
          <w:vertAlign w:val="subscript"/>
        </w:rPr>
        <w:t>it</w:t>
      </w:r>
      <w:r w:rsidR="00072A4F">
        <w:rPr>
          <w:i/>
          <w:vertAlign w:val="subscript"/>
        </w:rPr>
        <w:t>-1</w:t>
      </w:r>
      <w:r>
        <w:rPr>
          <w:vertAlign w:val="subscript"/>
        </w:rPr>
        <w:t xml:space="preserve"> </w:t>
      </w:r>
      <w:r>
        <w:t xml:space="preserve">– akcijos </w:t>
      </w:r>
      <w:r w:rsidRPr="002B03B7">
        <w:rPr>
          <w:i/>
        </w:rPr>
        <w:t>i</w:t>
      </w:r>
      <w:r>
        <w:t xml:space="preserve"> rinkos uždarymo kaina prekybos dieną </w:t>
      </w:r>
      <w:r w:rsidRPr="002B03B7">
        <w:rPr>
          <w:i/>
        </w:rPr>
        <w:t>t</w:t>
      </w:r>
      <w:r w:rsidR="00072A4F">
        <w:rPr>
          <w:i/>
        </w:rPr>
        <w:t>-1</w:t>
      </w:r>
      <w:r w:rsidR="00072A4F">
        <w:t>.</w:t>
      </w:r>
    </w:p>
    <w:p w:rsidR="00072A4F" w:rsidRPr="002B03B7" w:rsidRDefault="00E2594E" w:rsidP="00072A4F">
      <w:pPr>
        <w:ind w:firstLine="0"/>
        <w:jc w:val="center"/>
      </w:pPr>
      <w:r>
        <w:rPr>
          <w:i/>
          <w:lang w:val="en-US"/>
        </w:rPr>
        <w:t>I</w:t>
      </w:r>
      <w:r w:rsidR="00072A4F">
        <w:rPr>
          <w:i/>
          <w:vertAlign w:val="subscript"/>
          <w:lang w:val="en-US"/>
        </w:rPr>
        <w:t>m</w:t>
      </w:r>
      <w:r w:rsidR="00072A4F" w:rsidRPr="006E4CA1">
        <w:rPr>
          <w:i/>
          <w:vertAlign w:val="subscript"/>
          <w:lang w:val="en-US"/>
        </w:rPr>
        <w:t>t</w:t>
      </w:r>
      <w:r w:rsidR="00072A4F">
        <w:rPr>
          <w:i/>
          <w:lang w:val="en-US"/>
        </w:rPr>
        <w:t xml:space="preserve"> =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mt</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mt-1</m:t>
                </m:r>
              </m:sub>
            </m:sSub>
          </m:num>
          <m:den>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mt-1</m:t>
                </m:r>
              </m:sub>
            </m:sSub>
          </m:den>
        </m:f>
      </m:oMath>
      <w:r w:rsidR="00072A4F">
        <w:rPr>
          <w:i/>
          <w:lang w:val="en-US"/>
        </w:rPr>
        <w:t xml:space="preserve"> ;</w:t>
      </w:r>
      <w:r w:rsidR="00072A4F">
        <w:rPr>
          <w:i/>
          <w:lang w:val="en-US"/>
        </w:rPr>
        <w:tab/>
      </w:r>
      <w:r w:rsidR="00D932E1">
        <w:rPr>
          <w:lang w:val="en-US"/>
        </w:rPr>
        <w:t>(12</w:t>
      </w:r>
      <w:r w:rsidR="00072A4F" w:rsidRPr="002B03B7">
        <w:rPr>
          <w:lang w:val="en-US"/>
        </w:rPr>
        <w:t>)</w:t>
      </w:r>
    </w:p>
    <w:p w:rsidR="00072A4F" w:rsidRDefault="00072A4F" w:rsidP="00072A4F">
      <w:pPr>
        <w:spacing w:line="240" w:lineRule="auto"/>
      </w:pPr>
      <w:r>
        <w:t xml:space="preserve">Čia: </w:t>
      </w:r>
      <w:r>
        <w:tab/>
      </w:r>
      <w:r>
        <w:rPr>
          <w:i/>
        </w:rPr>
        <w:t>I</w:t>
      </w:r>
      <w:r>
        <w:rPr>
          <w:i/>
          <w:vertAlign w:val="subscript"/>
        </w:rPr>
        <w:t>m</w:t>
      </w:r>
      <w:r w:rsidRPr="002B03B7">
        <w:rPr>
          <w:i/>
          <w:vertAlign w:val="subscript"/>
        </w:rPr>
        <w:t>t</w:t>
      </w:r>
      <w:r>
        <w:rPr>
          <w:vertAlign w:val="subscript"/>
        </w:rPr>
        <w:t xml:space="preserve"> </w:t>
      </w:r>
      <w:r>
        <w:t xml:space="preserve">– rinkos indekso </w:t>
      </w:r>
      <w:r>
        <w:rPr>
          <w:i/>
        </w:rPr>
        <w:t>m</w:t>
      </w:r>
      <w:r>
        <w:t xml:space="preserve"> vertė </w:t>
      </w:r>
      <w:r w:rsidRPr="002B03B7">
        <w:rPr>
          <w:i/>
        </w:rPr>
        <w:t>t</w:t>
      </w:r>
      <w:r>
        <w:rPr>
          <w:i/>
        </w:rPr>
        <w:t xml:space="preserve"> </w:t>
      </w:r>
      <w:r w:rsidRPr="00072A4F">
        <w:t>prekybos dienos pabaigoje</w:t>
      </w:r>
      <w:r>
        <w:t>;</w:t>
      </w:r>
    </w:p>
    <w:p w:rsidR="00072A4F" w:rsidRDefault="00072A4F" w:rsidP="00D932E1">
      <w:pPr>
        <w:spacing w:after="120"/>
      </w:pPr>
      <w:r>
        <w:tab/>
        <w:t>I</w:t>
      </w:r>
      <w:r>
        <w:rPr>
          <w:i/>
          <w:vertAlign w:val="subscript"/>
        </w:rPr>
        <w:t>m</w:t>
      </w:r>
      <w:r w:rsidRPr="002B03B7">
        <w:rPr>
          <w:i/>
          <w:vertAlign w:val="subscript"/>
        </w:rPr>
        <w:t>t</w:t>
      </w:r>
      <w:r>
        <w:rPr>
          <w:i/>
          <w:vertAlign w:val="subscript"/>
        </w:rPr>
        <w:t>-1</w:t>
      </w:r>
      <w:r>
        <w:rPr>
          <w:vertAlign w:val="subscript"/>
        </w:rPr>
        <w:t xml:space="preserve"> </w:t>
      </w:r>
      <w:r>
        <w:t xml:space="preserve">– rinkos indekso </w:t>
      </w:r>
      <w:r>
        <w:rPr>
          <w:i/>
        </w:rPr>
        <w:t>m</w:t>
      </w:r>
      <w:r>
        <w:t xml:space="preserve"> vertė</w:t>
      </w:r>
      <w:r>
        <w:rPr>
          <w:i/>
        </w:rPr>
        <w:t xml:space="preserve"> </w:t>
      </w:r>
      <w:r w:rsidRPr="002B03B7">
        <w:rPr>
          <w:i/>
        </w:rPr>
        <w:t>t</w:t>
      </w:r>
      <w:r>
        <w:rPr>
          <w:i/>
        </w:rPr>
        <w:t>-1</w:t>
      </w:r>
      <w:r w:rsidRPr="00072A4F">
        <w:t xml:space="preserve"> prekybos dienos pabaigoje</w:t>
      </w:r>
      <w:r>
        <w:t>.</w:t>
      </w:r>
    </w:p>
    <w:p w:rsidR="00072A4F" w:rsidRDefault="00072A4F" w:rsidP="00072A4F">
      <w:r>
        <w:t>Visų analizuojamų dividendinių įmonių vidutinė perteklinė grąža (AAR) apska</w:t>
      </w:r>
      <w:r w:rsidR="00D932E1">
        <w:t>ičiuojama  pagal formulę (žr. (13</w:t>
      </w:r>
      <w:r>
        <w:t>) formul</w:t>
      </w:r>
      <w:r w:rsidR="00B73AB3">
        <w:t>ę), kurią pateikia Pathirawasam ir</w:t>
      </w:r>
      <w:r>
        <w:t xml:space="preserve"> Bata (2009):</w:t>
      </w:r>
    </w:p>
    <w:p w:rsidR="00072A4F" w:rsidRDefault="00072A4F" w:rsidP="00072A4F">
      <w:pPr>
        <w:ind w:firstLine="0"/>
        <w:jc w:val="center"/>
        <w:rPr>
          <w:i/>
          <w:lang w:val="en-US"/>
        </w:rPr>
      </w:pPr>
      <w:r>
        <w:rPr>
          <w:i/>
        </w:rPr>
        <w:t>AAR</w:t>
      </w:r>
      <w:r>
        <w:rPr>
          <w:i/>
          <w:vertAlign w:val="subscript"/>
        </w:rPr>
        <w:t>t</w:t>
      </w:r>
      <w:r>
        <w:rPr>
          <w:i/>
        </w:rPr>
        <w:t xml:space="preserve"> </w:t>
      </w:r>
      <w:r>
        <w:rPr>
          <w:i/>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N</m:t>
            </m:r>
          </m:den>
        </m:f>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AR</m:t>
                </m:r>
              </m:e>
              <m:sub>
                <m:r>
                  <w:rPr>
                    <w:rFonts w:ascii="Cambria Math" w:hAnsi="Cambria Math"/>
                    <w:lang w:val="en-US"/>
                  </w:rPr>
                  <m:t>it</m:t>
                </m:r>
              </m:sub>
            </m:sSub>
          </m:e>
        </m:nary>
      </m:oMath>
      <w:r w:rsidR="00D932E1">
        <w:rPr>
          <w:i/>
          <w:lang w:val="en-US"/>
        </w:rPr>
        <w:t xml:space="preserve"> ;</w:t>
      </w:r>
      <w:r w:rsidR="00D932E1">
        <w:rPr>
          <w:i/>
          <w:lang w:val="en-US"/>
        </w:rPr>
        <w:tab/>
      </w:r>
      <w:r w:rsidR="00D932E1" w:rsidRPr="00D932E1">
        <w:rPr>
          <w:lang w:val="en-US"/>
        </w:rPr>
        <w:t>(13</w:t>
      </w:r>
      <w:r w:rsidRPr="00D932E1">
        <w:rPr>
          <w:lang w:val="en-US"/>
        </w:rPr>
        <w:t>)</w:t>
      </w:r>
    </w:p>
    <w:p w:rsidR="00CA21D1" w:rsidRPr="00CA21D1" w:rsidRDefault="00072A4F" w:rsidP="00CA21D1">
      <w:pPr>
        <w:spacing w:line="240" w:lineRule="auto"/>
      </w:pPr>
      <w:r w:rsidRPr="00B73AB3">
        <w:t xml:space="preserve">Čia: </w:t>
      </w:r>
      <w:r w:rsidR="00CA21D1">
        <w:tab/>
      </w:r>
      <w:r w:rsidR="00CA21D1">
        <w:rPr>
          <w:i/>
        </w:rPr>
        <w:t>AAR</w:t>
      </w:r>
      <w:r w:rsidR="00CA21D1">
        <w:rPr>
          <w:i/>
          <w:vertAlign w:val="subscript"/>
        </w:rPr>
        <w:t>t</w:t>
      </w:r>
      <w:r w:rsidR="00CA21D1">
        <w:rPr>
          <w:i/>
        </w:rPr>
        <w:t xml:space="preserve"> – </w:t>
      </w:r>
      <w:r w:rsidR="00CA21D1">
        <w:t xml:space="preserve">vidutinė įmonių </w:t>
      </w:r>
      <w:r w:rsidR="00CA21D1" w:rsidRPr="00CA21D1">
        <w:rPr>
          <w:i/>
        </w:rPr>
        <w:t>i</w:t>
      </w:r>
      <w:r w:rsidR="00CA21D1">
        <w:t xml:space="preserve"> perteklinė grąžą laikotarpiu </w:t>
      </w:r>
      <w:r w:rsidR="00CA21D1" w:rsidRPr="00CA21D1">
        <w:rPr>
          <w:i/>
        </w:rPr>
        <w:t>t</w:t>
      </w:r>
      <w:r w:rsidR="00CA21D1">
        <w:t>;</w:t>
      </w:r>
    </w:p>
    <w:p w:rsidR="00072A4F" w:rsidRPr="00B73AB3" w:rsidRDefault="00B7281B" w:rsidP="00CA21D1">
      <w:pPr>
        <w:ind w:firstLine="1296"/>
      </w:pPr>
      <w:r>
        <w:rPr>
          <w:i/>
        </w:rPr>
        <w:t>N</w:t>
      </w:r>
      <w:r w:rsidR="00072A4F" w:rsidRPr="00B73AB3">
        <w:t xml:space="preserve"> – analizuojamų įmonių akcijų skaičius.</w:t>
      </w:r>
    </w:p>
    <w:p w:rsidR="00E2594E" w:rsidRDefault="00E2594E" w:rsidP="00E2594E">
      <w:r>
        <w:t>Kuomet kiekvienai analizuojamo periodo dienai t apskaičiuojamos atitinkamos pelningumo (R</w:t>
      </w:r>
      <w:r>
        <w:rPr>
          <w:vertAlign w:val="subscript"/>
        </w:rPr>
        <w:t>it</w:t>
      </w:r>
      <w:r>
        <w:t>), indekso pokyčio (I</w:t>
      </w:r>
      <w:r>
        <w:rPr>
          <w:vertAlign w:val="subscript"/>
        </w:rPr>
        <w:t>mt</w:t>
      </w:r>
      <w:r>
        <w:t>) ir perteklinio pelningumo reikšmės (AR</w:t>
      </w:r>
      <w:r>
        <w:rPr>
          <w:vertAlign w:val="subscript"/>
        </w:rPr>
        <w:t>it</w:t>
      </w:r>
      <w:r>
        <w:t xml:space="preserve">), tolesnei analizei atlikti apskaičiuojamos sudėtinio </w:t>
      </w:r>
      <w:r w:rsidR="00D932E1">
        <w:t>pelningumo reikšmės CAAR (žr. (14</w:t>
      </w:r>
      <w:r>
        <w:t>) formulę). CAAR apskaičiuojamas, atsižvelgiant į tai, kurios analizuojamo periodo dienos turi patekti į</w:t>
      </w:r>
      <w:r w:rsidR="00E46333">
        <w:t xml:space="preserve"> laiko intervalą </w:t>
      </w:r>
      <w:r w:rsidR="00E46333" w:rsidRPr="00E46333">
        <w:rPr>
          <w:i/>
        </w:rPr>
        <w:t>T</w:t>
      </w:r>
      <w:r w:rsidR="00E46333">
        <w:t xml:space="preserve"> (</w:t>
      </w:r>
      <w:r>
        <w:t>Mahmood, Sheikh, Ghaffari, 2011):</w:t>
      </w:r>
    </w:p>
    <w:p w:rsidR="00E2594E" w:rsidRDefault="00EC7800" w:rsidP="00E46333">
      <w:pPr>
        <w:ind w:firstLine="0"/>
        <w:jc w:val="center"/>
        <w:rPr>
          <w:i/>
          <w:lang w:val="en-US"/>
        </w:rPr>
      </w:pPr>
      <m:oMath>
        <m:sSub>
          <m:sSubPr>
            <m:ctrlPr>
              <w:rPr>
                <w:rFonts w:ascii="Cambria Math" w:hAnsi="Cambria Math" w:cs="Times New Roman"/>
                <w:i/>
                <w:vertAlign w:val="subscript"/>
              </w:rPr>
            </m:ctrlPr>
          </m:sSubPr>
          <m:e>
            <m:r>
              <w:rPr>
                <w:rFonts w:ascii="Cambria Math" w:hAnsi="Cambria Math" w:cs="Times New Roman"/>
                <w:vertAlign w:val="subscript"/>
              </w:rPr>
              <m:t>CAAR</m:t>
            </m:r>
          </m:e>
          <m:sub>
            <m:r>
              <w:rPr>
                <w:rFonts w:ascii="Cambria Math" w:cs="Times New Roman"/>
                <w:vertAlign w:val="subscript"/>
              </w:rPr>
              <m:t>(</m:t>
            </m:r>
            <m:sSub>
              <m:sSubPr>
                <m:ctrlPr>
                  <w:rPr>
                    <w:rFonts w:ascii="Cambria Math" w:hAnsi="Cambria Math" w:cs="Times New Roman"/>
                    <w:i/>
                    <w:vertAlign w:val="subscript"/>
                  </w:rPr>
                </m:ctrlPr>
              </m:sSubPr>
              <m:e>
                <m:r>
                  <w:rPr>
                    <w:rFonts w:ascii="Cambria Math" w:hAnsi="Cambria Math" w:cs="Times New Roman"/>
                    <w:vertAlign w:val="subscript"/>
                  </w:rPr>
                  <m:t>T</m:t>
                </m:r>
              </m:e>
              <m:sub>
                <m:r>
                  <w:rPr>
                    <w:rFonts w:ascii="Cambria Math" w:cs="Times New Roman"/>
                    <w:vertAlign w:val="subscript"/>
                  </w:rPr>
                  <m:t>1</m:t>
                </m:r>
              </m:sub>
            </m:sSub>
            <m:r>
              <w:rPr>
                <w:rFonts w:ascii="Cambria Math" w:cs="Times New Roman"/>
                <w:vertAlign w:val="subscript"/>
              </w:rPr>
              <m:t>,</m:t>
            </m:r>
            <m:sSub>
              <m:sSubPr>
                <m:ctrlPr>
                  <w:rPr>
                    <w:rFonts w:ascii="Cambria Math" w:hAnsi="Cambria Math" w:cs="Times New Roman"/>
                    <w:i/>
                    <w:vertAlign w:val="subscript"/>
                  </w:rPr>
                </m:ctrlPr>
              </m:sSubPr>
              <m:e>
                <m:r>
                  <w:rPr>
                    <w:rFonts w:ascii="Cambria Math" w:hAnsi="Cambria Math" w:cs="Times New Roman"/>
                    <w:vertAlign w:val="subscript"/>
                  </w:rPr>
                  <m:t>T</m:t>
                </m:r>
              </m:e>
              <m:sub>
                <m:r>
                  <w:rPr>
                    <w:rFonts w:ascii="Cambria Math" w:cs="Times New Roman"/>
                    <w:vertAlign w:val="subscript"/>
                  </w:rPr>
                  <m:t>z</m:t>
                </m:r>
              </m:sub>
            </m:sSub>
            <m:r>
              <w:rPr>
                <w:rFonts w:ascii="Cambria Math" w:cs="Times New Roman"/>
                <w:vertAlign w:val="subscript"/>
              </w:rPr>
              <m:t>)</m:t>
            </m:r>
          </m:sub>
        </m:sSub>
        <m:r>
          <w:rPr>
            <w:rFonts w:ascii="Cambria Math" w:cs="Times New Roman"/>
            <w:vertAlign w:val="subscript"/>
            <w:lang w:val="en-US"/>
          </w:rPr>
          <m:t>=</m:t>
        </m:r>
        <m:nary>
          <m:naryPr>
            <m:chr m:val="∑"/>
            <m:limLoc m:val="undOvr"/>
            <m:ctrlPr>
              <w:rPr>
                <w:rFonts w:ascii="Cambria Math" w:hAnsi="Cambria Math" w:cs="Times New Roman"/>
                <w:i/>
                <w:vertAlign w:val="subscript"/>
                <w:lang w:val="en-US"/>
              </w:rPr>
            </m:ctrlPr>
          </m:naryPr>
          <m:sub>
            <m:sSub>
              <m:sSubPr>
                <m:ctrlPr>
                  <w:rPr>
                    <w:rFonts w:ascii="Cambria Math" w:hAnsi="Cambria Math" w:cs="Times New Roman"/>
                    <w:i/>
                    <w:vertAlign w:val="subscript"/>
                    <w:lang w:val="en-US"/>
                  </w:rPr>
                </m:ctrlPr>
              </m:sSubPr>
              <m:e>
                <m:r>
                  <w:rPr>
                    <w:rFonts w:ascii="Cambria Math" w:hAnsi="Cambria Math" w:cs="Times New Roman"/>
                    <w:vertAlign w:val="subscript"/>
                    <w:lang w:val="en-US"/>
                  </w:rPr>
                  <m:t>T</m:t>
                </m:r>
              </m:e>
              <m:sub>
                <m:r>
                  <w:rPr>
                    <w:rFonts w:ascii="Cambria Math" w:cs="Times New Roman"/>
                    <w:vertAlign w:val="subscript"/>
                    <w:lang w:val="en-US"/>
                  </w:rPr>
                  <m:t>1</m:t>
                </m:r>
              </m:sub>
            </m:sSub>
          </m:sub>
          <m:sup>
            <m:sSub>
              <m:sSubPr>
                <m:ctrlPr>
                  <w:rPr>
                    <w:rFonts w:ascii="Cambria Math" w:hAnsi="Cambria Math" w:cs="Times New Roman"/>
                    <w:i/>
                    <w:vertAlign w:val="subscript"/>
                    <w:lang w:val="en-US"/>
                  </w:rPr>
                </m:ctrlPr>
              </m:sSubPr>
              <m:e>
                <m:r>
                  <w:rPr>
                    <w:rFonts w:ascii="Cambria Math" w:hAnsi="Cambria Math" w:cs="Times New Roman"/>
                    <w:vertAlign w:val="subscript"/>
                    <w:lang w:val="en-US"/>
                  </w:rPr>
                  <m:t>T</m:t>
                </m:r>
              </m:e>
              <m:sub>
                <m:r>
                  <w:rPr>
                    <w:rFonts w:ascii="Cambria Math" w:hAnsi="Cambria Math" w:cs="Times New Roman"/>
                    <w:vertAlign w:val="subscript"/>
                    <w:lang w:val="en-US"/>
                  </w:rPr>
                  <m:t>z</m:t>
                </m:r>
              </m:sub>
            </m:sSub>
          </m:sup>
          <m:e>
            <m:f>
              <m:fPr>
                <m:ctrlPr>
                  <w:rPr>
                    <w:rFonts w:ascii="Cambria Math" w:hAnsi="Cambria Math" w:cs="Times New Roman"/>
                    <w:i/>
                    <w:vertAlign w:val="subscript"/>
                    <w:lang w:val="en-US"/>
                  </w:rPr>
                </m:ctrlPr>
              </m:fPr>
              <m:num>
                <m:r>
                  <w:rPr>
                    <w:rFonts w:ascii="Cambria Math" w:cs="Times New Roman"/>
                    <w:vertAlign w:val="subscript"/>
                    <w:lang w:val="en-US"/>
                  </w:rPr>
                  <m:t>1</m:t>
                </m:r>
              </m:num>
              <m:den>
                <m:r>
                  <w:rPr>
                    <w:rFonts w:ascii="Cambria Math" w:hAnsi="Cambria Math" w:cs="Times New Roman"/>
                    <w:vertAlign w:val="subscript"/>
                    <w:lang w:val="en-US"/>
                  </w:rPr>
                  <m:t>n</m:t>
                </m:r>
              </m:den>
            </m:f>
            <m:r>
              <w:rPr>
                <w:rFonts w:ascii="Cambria Math" w:cs="Times New Roman"/>
                <w:vertAlign w:val="subscript"/>
                <w:lang w:val="en-US"/>
              </w:rPr>
              <m:t xml:space="preserve"> </m:t>
            </m:r>
            <m:nary>
              <m:naryPr>
                <m:chr m:val="∑"/>
                <m:limLoc m:val="undOvr"/>
                <m:ctrlPr>
                  <w:rPr>
                    <w:rFonts w:ascii="Cambria Math" w:hAnsi="Cambria Math" w:cs="Times New Roman"/>
                    <w:i/>
                    <w:vertAlign w:val="subscript"/>
                    <w:lang w:val="en-US"/>
                  </w:rPr>
                </m:ctrlPr>
              </m:naryPr>
              <m:sub>
                <m:r>
                  <w:rPr>
                    <w:rFonts w:ascii="Cambria Math" w:hAnsi="Cambria Math" w:cs="Times New Roman"/>
                    <w:vertAlign w:val="subscript"/>
                    <w:lang w:val="en-US"/>
                  </w:rPr>
                  <m:t>t</m:t>
                </m:r>
                <m:r>
                  <w:rPr>
                    <w:rFonts w:ascii="Cambria Math" w:cs="Times New Roman"/>
                    <w:vertAlign w:val="subscript"/>
                    <w:lang w:val="en-US"/>
                  </w:rPr>
                  <m:t>=1</m:t>
                </m:r>
              </m:sub>
              <m:sup>
                <m:r>
                  <w:rPr>
                    <w:rFonts w:ascii="Cambria Math" w:hAnsi="Cambria Math" w:cs="Times New Roman"/>
                    <w:vertAlign w:val="subscript"/>
                    <w:lang w:val="en-US"/>
                  </w:rPr>
                  <m:t>N</m:t>
                </m:r>
              </m:sup>
              <m:e>
                <m:sSub>
                  <m:sSubPr>
                    <m:ctrlPr>
                      <w:rPr>
                        <w:rFonts w:ascii="Cambria Math" w:hAnsi="Cambria Math" w:cs="Times New Roman"/>
                        <w:i/>
                        <w:vertAlign w:val="subscript"/>
                        <w:lang w:val="en-US"/>
                      </w:rPr>
                    </m:ctrlPr>
                  </m:sSubPr>
                  <m:e>
                    <m:r>
                      <w:rPr>
                        <w:rFonts w:ascii="Cambria Math" w:hAnsi="Cambria Math" w:cs="Times New Roman"/>
                        <w:vertAlign w:val="subscript"/>
                        <w:lang w:val="en-US"/>
                      </w:rPr>
                      <m:t>AR</m:t>
                    </m:r>
                  </m:e>
                  <m:sub>
                    <m:r>
                      <w:rPr>
                        <w:rFonts w:ascii="Cambria Math" w:hAnsi="Cambria Math" w:cs="Times New Roman"/>
                        <w:vertAlign w:val="subscript"/>
                        <w:lang w:val="en-US"/>
                      </w:rPr>
                      <m:t>it</m:t>
                    </m:r>
                  </m:sub>
                </m:sSub>
              </m:e>
            </m:nary>
          </m:e>
        </m:nary>
      </m:oMath>
      <w:r w:rsidR="00E46333">
        <w:rPr>
          <w:i/>
          <w:vertAlign w:val="subscript"/>
          <w:lang w:val="en-US"/>
        </w:rPr>
        <w:t>;</w:t>
      </w:r>
      <w:r w:rsidR="00E46333">
        <w:rPr>
          <w:i/>
          <w:vertAlign w:val="subscript"/>
          <w:lang w:val="en-US"/>
        </w:rPr>
        <w:tab/>
      </w:r>
      <w:r w:rsidR="00E46333" w:rsidRPr="00D932E1">
        <w:rPr>
          <w:lang w:val="en-US"/>
        </w:rPr>
        <w:t>(</w:t>
      </w:r>
      <w:r w:rsidR="00D932E1" w:rsidRPr="00D932E1">
        <w:rPr>
          <w:lang w:val="en-US"/>
        </w:rPr>
        <w:t>14</w:t>
      </w:r>
      <w:r w:rsidR="00E46333" w:rsidRPr="00D932E1">
        <w:rPr>
          <w:lang w:val="en-US"/>
        </w:rPr>
        <w:t>)</w:t>
      </w:r>
    </w:p>
    <w:p w:rsidR="00E46333" w:rsidRDefault="00E46333" w:rsidP="00E46333">
      <w:pPr>
        <w:spacing w:line="240" w:lineRule="auto"/>
      </w:pPr>
      <w:r>
        <w:t xml:space="preserve">Čia: </w:t>
      </w:r>
      <w:r>
        <w:tab/>
      </w:r>
      <w:r w:rsidRPr="00B73AB3">
        <w:rPr>
          <w:i/>
        </w:rPr>
        <w:t>T</w:t>
      </w:r>
      <w:r w:rsidRPr="00B73AB3">
        <w:rPr>
          <w:i/>
          <w:vertAlign w:val="subscript"/>
        </w:rPr>
        <w:t>1</w:t>
      </w:r>
      <w:r>
        <w:t xml:space="preserve"> – intervalo pradžios diena;</w:t>
      </w:r>
    </w:p>
    <w:p w:rsidR="00E46333" w:rsidRPr="00E46333" w:rsidRDefault="00E46333" w:rsidP="00D932E1">
      <w:r>
        <w:tab/>
      </w:r>
      <w:r w:rsidRPr="00B73AB3">
        <w:rPr>
          <w:i/>
        </w:rPr>
        <w:t>T</w:t>
      </w:r>
      <w:r w:rsidRPr="00B73AB3">
        <w:rPr>
          <w:i/>
          <w:vertAlign w:val="subscript"/>
        </w:rPr>
        <w:t>z</w:t>
      </w:r>
      <w:r>
        <w:t xml:space="preserve"> – intervalo pabaigos diena.</w:t>
      </w:r>
    </w:p>
    <w:p w:rsidR="00E2594E" w:rsidRDefault="00E46333" w:rsidP="00E46333">
      <w:r>
        <w:t>Kai jau yra žinomos visos atliekam</w:t>
      </w:r>
      <w:r w:rsidR="00191F53">
        <w:t>am</w:t>
      </w:r>
      <w:r>
        <w:t xml:space="preserve"> dividendinių akcijų tyrimui aktualios pelningumo reikšmės, toliau analizuojama</w:t>
      </w:r>
      <w:r w:rsidR="00191F53">
        <w:t>,</w:t>
      </w:r>
      <w:r>
        <w:t xml:space="preserve"> kiek jos yra reikšmingos tyrim</w:t>
      </w:r>
      <w:r w:rsidR="00B73AB3">
        <w:t>o rezultatams</w:t>
      </w:r>
      <w:r>
        <w:t>, tikrinant tyrimo hipotezę.</w:t>
      </w:r>
    </w:p>
    <w:p w:rsidR="00E46333" w:rsidRDefault="00E46333" w:rsidP="00B64EEA">
      <w:pPr>
        <w:pStyle w:val="Heading3"/>
        <w:numPr>
          <w:ilvl w:val="0"/>
          <w:numId w:val="20"/>
        </w:numPr>
      </w:pPr>
      <w:bookmarkStart w:id="65" w:name="_Toc343677750"/>
      <w:r>
        <w:t>Akcijų pelningumo statistini</w:t>
      </w:r>
      <w:r w:rsidR="00B73AB3">
        <w:t>o</w:t>
      </w:r>
      <w:r w:rsidR="00B90C94">
        <w:t xml:space="preserve"> reikšmingumo tikrinimas</w:t>
      </w:r>
      <w:bookmarkEnd w:id="65"/>
    </w:p>
    <w:p w:rsidR="000F0182" w:rsidRDefault="00B73AB3" w:rsidP="000F0182">
      <w:r>
        <w:t xml:space="preserve">Šiame darbe statistinio reikšmingumo testai bus atliekami kiekvienai analizuojamai prekybos dienai tam, kad nustatyti ar vidutiniai akcijų pelningumai reikšmingai skiriasi nuo </w:t>
      </w:r>
      <w:r w:rsidR="00041F2D" w:rsidRPr="00041F2D">
        <w:rPr>
          <w:i/>
        </w:rPr>
        <w:t>nulio</w:t>
      </w:r>
      <w:r w:rsidR="00570AC3">
        <w:t xml:space="preserve"> </w:t>
      </w:r>
      <w:r w:rsidR="00570AC3" w:rsidRPr="00570AC3">
        <w:rPr>
          <w:szCs w:val="24"/>
        </w:rPr>
        <w:t>(</w:t>
      </w:r>
      <w:r w:rsidR="00570AC3" w:rsidRPr="00570AC3">
        <w:rPr>
          <w:rFonts w:cs="Times New Roman"/>
          <w:szCs w:val="24"/>
        </w:rPr>
        <w:t xml:space="preserve">Abeyratna, Power, Sinclair, 1996, </w:t>
      </w:r>
      <w:r w:rsidR="00570AC3" w:rsidRPr="00570AC3">
        <w:rPr>
          <w:szCs w:val="24"/>
        </w:rPr>
        <w:t>Akbar, Baig, 2010)</w:t>
      </w:r>
      <w:r>
        <w:t>. Kaip jau minėta teorinėje šio darbo dalyje, mokslinėje praktikoje įprasta laikyti, jog rinka turėtų veikti efektyvios rinkos sąlygomis</w:t>
      </w:r>
      <w:r w:rsidRPr="00B73AB3">
        <w:t xml:space="preserve"> </w:t>
      </w:r>
      <w:r>
        <w:t>(R</w:t>
      </w:r>
      <w:r>
        <w:rPr>
          <w:vertAlign w:val="subscript"/>
        </w:rPr>
        <w:t xml:space="preserve">t </w:t>
      </w:r>
      <w:r>
        <w:t>= 0, AAR</w:t>
      </w:r>
      <w:r>
        <w:rPr>
          <w:vertAlign w:val="subscript"/>
        </w:rPr>
        <w:t>t</w:t>
      </w:r>
      <w:r>
        <w:t xml:space="preserve"> = 0 ar </w:t>
      </w:r>
      <w:r>
        <w:lastRenderedPageBreak/>
        <w:t>CAAR</w:t>
      </w:r>
      <w:r>
        <w:rPr>
          <w:vertAlign w:val="subscript"/>
        </w:rPr>
        <w:t xml:space="preserve">t </w:t>
      </w:r>
      <w:r w:rsidR="00570AC3">
        <w:t>= 0), kuomet laikoma, kad</w:t>
      </w:r>
      <w:r>
        <w:t xml:space="preserve"> bet kokios naujienos </w:t>
      </w:r>
      <w:r w:rsidR="00570AC3">
        <w:t>įskaičiuotos į rinkos kainas</w:t>
      </w:r>
      <w:r>
        <w:t xml:space="preserve">. </w:t>
      </w:r>
      <w:r w:rsidR="000F0182">
        <w:t xml:space="preserve">Kaip teigia Mahmood, Sheikh, Ghaffari (2011) pelningumo reikšmės turi prasmę, kuomet </w:t>
      </w:r>
      <w:r w:rsidR="000F0182" w:rsidRPr="00881187">
        <w:rPr>
          <w:i/>
        </w:rPr>
        <w:t>t testas</w:t>
      </w:r>
      <w:r w:rsidR="000F0182">
        <w:t xml:space="preserve"> tą patvirtina. </w:t>
      </w:r>
    </w:p>
    <w:p w:rsidR="000F0182" w:rsidRDefault="00881187" w:rsidP="000F0182">
      <w:r>
        <w:t>Dauguma parametrinių ir parametrinių testų gali būti pasitelkti tam, kad patikrinti gautų pelningumo rodiklių reikšmingumą</w:t>
      </w:r>
      <w:r w:rsidR="000F0182">
        <w:t>, tačiau</w:t>
      </w:r>
      <w:r>
        <w:t xml:space="preserve"> </w:t>
      </w:r>
      <w:r w:rsidR="000F0182">
        <w:t>d</w:t>
      </w:r>
      <w:r>
        <w:t xml:space="preserve">ėl paprastumo, </w:t>
      </w:r>
      <w:r w:rsidRPr="00881187">
        <w:rPr>
          <w:i/>
        </w:rPr>
        <w:t>t testas</w:t>
      </w:r>
      <w:r w:rsidR="00363E0D">
        <w:rPr>
          <w:i/>
        </w:rPr>
        <w:t xml:space="preserve"> (angl. One Sample t-test)</w:t>
      </w:r>
      <w:r>
        <w:t xml:space="preserve"> yra patogiausias naudoti, </w:t>
      </w:r>
      <w:r w:rsidR="000F0182">
        <w:t>nors</w:t>
      </w:r>
      <w:r>
        <w:t xml:space="preserve"> reikalauja</w:t>
      </w:r>
      <w:r w:rsidR="000F0182">
        <w:t>ma</w:t>
      </w:r>
      <w:r>
        <w:t>, jog duomenys būtų pasiskirstę pagal normalųjį skirstinį. Kadangi dividendų informaciją analizuojantys duomenys bus surenkami kiekvienai akcijai atskirai ir tam tikrais laiko vienetais,</w:t>
      </w:r>
      <w:r w:rsidR="000F0182">
        <w:t xml:space="preserve"> laikoma, kad</w:t>
      </w:r>
      <w:r>
        <w:t xml:space="preserve"> tyrimo im</w:t>
      </w:r>
      <w:r w:rsidR="000F0182">
        <w:t xml:space="preserve">čiai </w:t>
      </w:r>
      <w:r>
        <w:t>būdinga normalioji distribucija</w:t>
      </w:r>
      <w:r w:rsidR="000F0182">
        <w:t xml:space="preserve"> </w:t>
      </w:r>
      <w:r>
        <w:t>(Mahmood, Sheikh, Ghaffari, 2011).</w:t>
      </w:r>
      <w:r w:rsidR="000F0182">
        <w:t xml:space="preserve"> </w:t>
      </w:r>
    </w:p>
    <w:p w:rsidR="00B73AB3" w:rsidRDefault="001B150D" w:rsidP="000F0182">
      <w:r w:rsidRPr="001B150D">
        <w:t>Statistinio reikšmingumo</w:t>
      </w:r>
      <w:r>
        <w:rPr>
          <w:i/>
        </w:rPr>
        <w:t xml:space="preserve"> </w:t>
      </w:r>
      <w:r w:rsidR="000F0182" w:rsidRPr="000F0182">
        <w:rPr>
          <w:i/>
        </w:rPr>
        <w:t>t testas</w:t>
      </w:r>
      <w:r w:rsidR="000F0182">
        <w:t xml:space="preserve"> </w:t>
      </w:r>
      <w:r w:rsidR="00D932E1">
        <w:t>(žr. (15</w:t>
      </w:r>
      <w:r w:rsidR="00037E97">
        <w:t xml:space="preserve">) formulę) </w:t>
      </w:r>
      <w:r w:rsidR="000F0182">
        <w:t>atliekamas</w:t>
      </w:r>
      <w:r w:rsidR="00363E0D">
        <w:t xml:space="preserve"> su SPSS</w:t>
      </w:r>
      <w:r w:rsidR="00363E0D">
        <w:rPr>
          <w:vertAlign w:val="superscript"/>
        </w:rPr>
        <w:t>®</w:t>
      </w:r>
      <w:r w:rsidR="00363E0D">
        <w:t xml:space="preserve"> programa</w:t>
      </w:r>
      <w:r w:rsidR="00D932E1">
        <w:t>:</w:t>
      </w:r>
      <w:r w:rsidR="000F0182">
        <w:t xml:space="preserve"> vidutin</w:t>
      </w:r>
      <w:r w:rsidR="00D932E1">
        <w:t>is</w:t>
      </w:r>
      <w:r w:rsidR="000F0182">
        <w:t xml:space="preserve"> įv</w:t>
      </w:r>
      <w:r w:rsidR="00D932E1">
        <w:t>ykio dienos (periodo) pelningumas</w:t>
      </w:r>
      <w:r w:rsidR="000F0182">
        <w:t xml:space="preserve">  </w:t>
      </w:r>
      <w:r w:rsidR="00D932E1">
        <w:t>padalinamas iš pelningumo</w:t>
      </w:r>
      <w:r w:rsidR="000F0182">
        <w:t xml:space="preserve"> standartinio nuokrypio</w:t>
      </w:r>
      <w:r w:rsidR="00D932E1">
        <w:t xml:space="preserve"> (žr. (16</w:t>
      </w:r>
      <w:r w:rsidR="00037E97">
        <w:t>) formulę)</w:t>
      </w:r>
      <w:r w:rsidR="000F0182">
        <w:t xml:space="preserve"> tarp analizuojamų dividendų naujienų </w:t>
      </w:r>
      <w:r w:rsidR="00037E97">
        <w:t>(</w:t>
      </w:r>
      <w:r w:rsidR="00B7281B">
        <w:t>Kurniasih et al.</w:t>
      </w:r>
      <w:r w:rsidR="00037E97">
        <w:t xml:space="preserve">, </w:t>
      </w:r>
      <w:r w:rsidR="00881187">
        <w:t>20</w:t>
      </w:r>
      <w:r w:rsidR="00B7281B">
        <w:t>11</w:t>
      </w:r>
      <w:r w:rsidR="000F0182">
        <w:t>):</w:t>
      </w:r>
    </w:p>
    <w:p w:rsidR="000F0182" w:rsidRDefault="000F0182" w:rsidP="000F0182">
      <w:pPr>
        <w:ind w:firstLine="0"/>
        <w:jc w:val="center"/>
        <w:rPr>
          <w:i/>
          <w:lang w:val="en-US"/>
        </w:rPr>
      </w:pPr>
      <w:r>
        <w:rPr>
          <w:i/>
        </w:rPr>
        <w:t xml:space="preserve">t </w:t>
      </w:r>
      <w:r>
        <w:rPr>
          <w:i/>
          <w:lang w:val="en-US"/>
        </w:rPr>
        <w:t xml:space="preserve">=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AAR</m:t>
                </m:r>
              </m:e>
              <m:sub>
                <m:r>
                  <w:rPr>
                    <w:rFonts w:ascii="Cambria Math" w:hAnsi="Cambria Math"/>
                    <w:lang w:val="en-US"/>
                  </w:rPr>
                  <m:t>t</m:t>
                </m:r>
              </m:sub>
            </m:sSub>
          </m:num>
          <m:den>
            <m:sSub>
              <m:sSubPr>
                <m:ctrlPr>
                  <w:rPr>
                    <w:rFonts w:ascii="Cambria Math" w:hAnsi="Cambria Math"/>
                    <w:i/>
                    <w:lang w:val="en-US"/>
                  </w:rPr>
                </m:ctrlPr>
              </m:sSubPr>
              <m:e>
                <m:r>
                  <w:rPr>
                    <w:rFonts w:ascii="Cambria Math" w:hAnsi="Cambria Math"/>
                    <w:i/>
                    <w:lang w:val="en-US"/>
                  </w:rPr>
                  <w:sym w:font="Symbol" w:char="F073"/>
                </m:r>
              </m:e>
              <m:sub>
                <m:sSub>
                  <m:sSubPr>
                    <m:ctrlPr>
                      <w:rPr>
                        <w:rFonts w:ascii="Cambria Math" w:hAnsi="Cambria Math"/>
                        <w:i/>
                        <w:lang w:val="en-US"/>
                      </w:rPr>
                    </m:ctrlPr>
                  </m:sSubPr>
                  <m:e>
                    <m:r>
                      <w:rPr>
                        <w:rFonts w:ascii="Cambria Math" w:hAnsi="Cambria Math"/>
                        <w:lang w:val="en-US"/>
                      </w:rPr>
                      <m:t>AAR</m:t>
                    </m:r>
                  </m:e>
                  <m:sub>
                    <m:r>
                      <w:rPr>
                        <w:rFonts w:ascii="Cambria Math" w:hAnsi="Cambria Math"/>
                        <w:lang w:val="en-US"/>
                      </w:rPr>
                      <m:t>t</m:t>
                    </m:r>
                  </m:sub>
                </m:sSub>
              </m:sub>
            </m:sSub>
          </m:den>
        </m:f>
      </m:oMath>
      <w:r>
        <w:rPr>
          <w:i/>
          <w:lang w:val="en-US"/>
        </w:rPr>
        <w:t xml:space="preserve"> </w:t>
      </w:r>
      <w:r w:rsidR="00A30935">
        <w:rPr>
          <w:i/>
          <w:lang w:val="en-US"/>
        </w:rPr>
        <w:t>;</w:t>
      </w:r>
      <w:r w:rsidR="00A30935">
        <w:rPr>
          <w:i/>
          <w:lang w:val="en-US"/>
        </w:rPr>
        <w:tab/>
      </w:r>
      <w:r w:rsidR="00D932E1">
        <w:rPr>
          <w:lang w:val="en-US"/>
        </w:rPr>
        <w:t>(15</w:t>
      </w:r>
      <w:r w:rsidRPr="001B150D">
        <w:rPr>
          <w:lang w:val="en-US"/>
        </w:rPr>
        <w:t>)</w:t>
      </w:r>
    </w:p>
    <w:p w:rsidR="000F0182" w:rsidRDefault="000F0182" w:rsidP="000F0182">
      <w:r>
        <w:t xml:space="preserve">Čia: </w:t>
      </w:r>
      <w:r>
        <w:tab/>
      </w:r>
      <m:oMath>
        <m:sSub>
          <m:sSubPr>
            <m:ctrlPr>
              <w:rPr>
                <w:rFonts w:ascii="Cambria Math" w:hAnsi="Cambria Math"/>
                <w:i/>
              </w:rPr>
            </m:ctrlPr>
          </m:sSubPr>
          <m:e>
            <m:r>
              <w:rPr>
                <w:rFonts w:ascii="Cambria Math" w:hAnsi="Cambria Math"/>
                <w:i/>
              </w:rPr>
              <w:sym w:font="Symbol" w:char="F073"/>
            </m:r>
          </m:e>
          <m:sub>
            <m:sSub>
              <m:sSubPr>
                <m:ctrlPr>
                  <w:rPr>
                    <w:rFonts w:ascii="Cambria Math" w:hAnsi="Cambria Math"/>
                    <w:i/>
                  </w:rPr>
                </m:ctrlPr>
              </m:sSubPr>
              <m:e>
                <m:r>
                  <w:rPr>
                    <w:rFonts w:ascii="Cambria Math" w:hAnsi="Cambria Math"/>
                  </w:rPr>
                  <m:t>AAR</m:t>
                </m:r>
              </m:e>
              <m:sub>
                <m:r>
                  <w:rPr>
                    <w:rFonts w:ascii="Cambria Math" w:hAnsi="Cambria Math"/>
                  </w:rPr>
                  <m:t>t</m:t>
                </m:r>
              </m:sub>
            </m:sSub>
          </m:sub>
        </m:sSub>
      </m:oMath>
      <w:r>
        <w:t>- standartinis nuokrypis tarp analizuojamų dividendų naujienų</w:t>
      </w:r>
      <w:r w:rsidR="00B06393">
        <w:t xml:space="preserve"> pelningumo</w:t>
      </w:r>
      <w:r w:rsidR="00D932E1">
        <w:t xml:space="preserve"> (žr. (16</w:t>
      </w:r>
      <w:r w:rsidR="001B150D">
        <w:t>) formulę)</w:t>
      </w:r>
      <w:r w:rsidR="00037E97">
        <w:t>.</w:t>
      </w:r>
    </w:p>
    <w:p w:rsidR="00037E97" w:rsidRPr="00037E97" w:rsidRDefault="00EC7800" w:rsidP="00A30935">
      <w:pPr>
        <w:ind w:firstLine="0"/>
        <w:jc w:val="center"/>
        <w:rPr>
          <w:i/>
          <w:lang w:val="en-US"/>
        </w:rPr>
      </w:pPr>
      <m:oMath>
        <m:sSub>
          <m:sSubPr>
            <m:ctrlPr>
              <w:rPr>
                <w:rFonts w:ascii="Cambria Math" w:hAnsi="Cambria Math"/>
                <w:i/>
              </w:rPr>
            </m:ctrlPr>
          </m:sSubPr>
          <m:e>
            <m:r>
              <w:rPr>
                <w:rFonts w:ascii="Cambria Math" w:hAnsi="Cambria Math"/>
                <w:i/>
              </w:rPr>
              <w:sym w:font="Symbol" w:char="F073"/>
            </m:r>
          </m:e>
          <m:sub>
            <m:sSub>
              <m:sSubPr>
                <m:ctrlPr>
                  <w:rPr>
                    <w:rFonts w:ascii="Cambria Math" w:hAnsi="Cambria Math"/>
                    <w:i/>
                  </w:rPr>
                </m:ctrlPr>
              </m:sSubPr>
              <m:e>
                <m:r>
                  <w:rPr>
                    <w:rFonts w:ascii="Cambria Math" w:hAnsi="Cambria Math"/>
                  </w:rPr>
                  <m:t>AAR</m:t>
                </m:r>
              </m:e>
              <m:sub>
                <m:r>
                  <w:rPr>
                    <w:rFonts w:ascii="Cambria Math" w:hAnsi="Cambria Math"/>
                  </w:rPr>
                  <m:t>t</m:t>
                </m:r>
              </m:sub>
            </m:sSub>
          </m:sub>
        </m:sSub>
        <m:r>
          <w:rPr>
            <w:rFonts w:ascii="Cambria Math" w:hAnsi="Cambria Math"/>
            <w:lang w:val="en-US"/>
          </w:rPr>
          <m:t>=</m:t>
        </m:r>
        <m:rad>
          <m:radPr>
            <m:degHide m:val="on"/>
            <m:ctrlPr>
              <w:rPr>
                <w:rFonts w:ascii="Cambria Math" w:hAnsi="Cambria Math"/>
                <w:i/>
                <w:lang w:val="en-US"/>
              </w:rPr>
            </m:ctrlPr>
          </m:radPr>
          <m:deg/>
          <m:e>
            <m:f>
              <m:fPr>
                <m:ctrlPr>
                  <w:rPr>
                    <w:rFonts w:ascii="Cambria Math" w:hAnsi="Cambria Math"/>
                    <w:i/>
                    <w:lang w:val="en-US"/>
                  </w:rPr>
                </m:ctrlPr>
              </m:fPr>
              <m:num>
                <m:sSup>
                  <m:sSupPr>
                    <m:ctrlPr>
                      <w:rPr>
                        <w:rFonts w:ascii="Cambria Math" w:hAnsi="Cambria Math"/>
                        <w:i/>
                        <w:lang w:val="en-US"/>
                      </w:rPr>
                    </m:ctrlPr>
                  </m:sSupPr>
                  <m:e>
                    <m:sSub>
                      <m:sSubPr>
                        <m:ctrlPr>
                          <w:rPr>
                            <w:rFonts w:ascii="Cambria Math" w:hAnsi="Cambria Math"/>
                            <w:i/>
                            <w:lang w:val="en-US"/>
                          </w:rPr>
                        </m:ctrlPr>
                      </m:sSubPr>
                      <m:e>
                        <m:nary>
                          <m:naryPr>
                            <m:chr m:val="∑"/>
                            <m:limLoc m:val="undOvr"/>
                            <m:ctrlPr>
                              <w:rPr>
                                <w:rFonts w:ascii="Cambria Math" w:hAnsi="Cambria Math"/>
                                <w:i/>
                                <w:lang w:val="en-US"/>
                              </w:rPr>
                            </m:ctrlPr>
                          </m:naryPr>
                          <m:sub>
                            <m:r>
                              <w:rPr>
                                <w:rFonts w:ascii="Cambria Math" w:hAnsi="Cambria Math"/>
                                <w:lang w:val="en-US"/>
                              </w:rPr>
                              <m:t>t=1</m:t>
                            </m:r>
                          </m:sub>
                          <m:sup>
                            <m:r>
                              <w:rPr>
                                <w:rFonts w:ascii="Cambria Math" w:hAnsi="Cambria Math"/>
                                <w:lang w:val="en-US"/>
                              </w:rPr>
                              <m:t xml:space="preserve">n </m:t>
                            </m:r>
                          </m:sup>
                          <m:e>
                            <m:r>
                              <w:rPr>
                                <w:rFonts w:ascii="Cambria Math" w:hAnsi="Cambria Math"/>
                                <w:lang w:val="en-US"/>
                              </w:rPr>
                              <m:t xml:space="preserve"> </m:t>
                            </m:r>
                          </m:e>
                        </m:nary>
                        <m:r>
                          <w:rPr>
                            <w:rFonts w:ascii="Cambria Math" w:hAnsi="Cambria Math"/>
                            <w:lang w:val="en-US"/>
                          </w:rPr>
                          <m:t xml:space="preserve"> </m:t>
                        </m:r>
                      </m:e>
                      <m:sub>
                        <m:r>
                          <w:rPr>
                            <w:rFonts w:ascii="Cambria Math" w:hAnsi="Cambria Math"/>
                            <w:lang w:val="en-US"/>
                          </w:rPr>
                          <m:t>(</m:t>
                        </m:r>
                        <m:sSub>
                          <m:sSubPr>
                            <m:ctrlPr>
                              <w:rPr>
                                <w:rFonts w:ascii="Cambria Math" w:hAnsi="Cambria Math"/>
                                <w:i/>
                                <w:lang w:val="en-US"/>
                              </w:rPr>
                            </m:ctrlPr>
                          </m:sSubPr>
                          <m:e>
                            <m:r>
                              <w:rPr>
                                <w:rFonts w:ascii="Cambria Math" w:hAnsi="Cambria Math"/>
                                <w:lang w:val="en-US"/>
                              </w:rPr>
                              <m:t>AR</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AAR</m:t>
                            </m:r>
                          </m:e>
                          <m:sub>
                            <m:r>
                              <w:rPr>
                                <w:rFonts w:ascii="Cambria Math" w:hAnsi="Cambria Math"/>
                                <w:lang w:val="en-US"/>
                              </w:rPr>
                              <m:t>t</m:t>
                            </m:r>
                          </m:sub>
                        </m:sSub>
                        <m:r>
                          <w:rPr>
                            <w:rFonts w:ascii="Cambria Math" w:hAnsi="Cambria Math"/>
                            <w:lang w:val="en-US"/>
                          </w:rPr>
                          <m:t>)</m:t>
                        </m:r>
                      </m:sub>
                    </m:sSub>
                  </m:e>
                  <m:sup>
                    <m:r>
                      <w:rPr>
                        <w:rFonts w:ascii="Cambria Math" w:hAnsi="Cambria Math"/>
                        <w:lang w:val="en-US"/>
                      </w:rPr>
                      <m:t>2</m:t>
                    </m:r>
                  </m:sup>
                </m:sSup>
              </m:num>
              <m:den>
                <m:r>
                  <w:rPr>
                    <w:rFonts w:ascii="Cambria Math" w:hAnsi="Cambria Math"/>
                    <w:lang w:val="en-US"/>
                  </w:rPr>
                  <m:t>N-1</m:t>
                </m:r>
              </m:den>
            </m:f>
          </m:e>
        </m:rad>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ad>
              <m:radPr>
                <m:degHide m:val="on"/>
                <m:ctrlPr>
                  <w:rPr>
                    <w:rFonts w:ascii="Cambria Math" w:hAnsi="Cambria Math"/>
                    <w:i/>
                    <w:lang w:val="en-US"/>
                  </w:rPr>
                </m:ctrlPr>
              </m:radPr>
              <m:deg/>
              <m:e>
                <m:r>
                  <w:rPr>
                    <w:rFonts w:ascii="Cambria Math" w:hAnsi="Cambria Math"/>
                    <w:lang w:val="en-US"/>
                  </w:rPr>
                  <m:t>N</m:t>
                </m:r>
              </m:e>
            </m:rad>
          </m:den>
        </m:f>
      </m:oMath>
      <w:r w:rsidR="00A30935">
        <w:rPr>
          <w:i/>
          <w:lang w:val="en-US"/>
        </w:rPr>
        <w:t>;</w:t>
      </w:r>
      <w:r w:rsidR="001B150D">
        <w:rPr>
          <w:i/>
          <w:lang w:val="en-US"/>
        </w:rPr>
        <w:tab/>
      </w:r>
      <w:r w:rsidR="00D932E1">
        <w:rPr>
          <w:lang w:val="en-US"/>
        </w:rPr>
        <w:t>(16</w:t>
      </w:r>
      <w:r w:rsidR="001B150D" w:rsidRPr="001B150D">
        <w:rPr>
          <w:lang w:val="en-US"/>
        </w:rPr>
        <w:t>)</w:t>
      </w:r>
    </w:p>
    <w:p w:rsidR="00B90C94" w:rsidRDefault="00363E0D" w:rsidP="00363E0D">
      <w:r>
        <w:t xml:space="preserve">Sudėtinio pelningumo (CAAR) </w:t>
      </w:r>
      <w:r w:rsidRPr="00363E0D">
        <w:rPr>
          <w:i/>
        </w:rPr>
        <w:t>t</w:t>
      </w:r>
      <w:r>
        <w:t xml:space="preserve"> statistinis reikšmingumas tikrinimas, vadovaujantis ta pačia metodika, tačiau tam, kad palyginti, kaip </w:t>
      </w:r>
      <w:r w:rsidR="00B06393">
        <w:t xml:space="preserve">akcijų pelningumas skiriasi tarp naujienų grupių </w:t>
      </w:r>
      <w:r w:rsidR="0028060E" w:rsidRPr="0028060E">
        <w:t>SPSS® programos pagalba</w:t>
      </w:r>
      <w:r w:rsidR="0028060E">
        <w:rPr>
          <w:i/>
        </w:rPr>
        <w:t xml:space="preserve"> </w:t>
      </w:r>
      <w:r w:rsidR="00B06393">
        <w:t xml:space="preserve">bus atliekamas neparametrinis </w:t>
      </w:r>
      <w:r w:rsidR="00B06393" w:rsidRPr="00B06393">
        <w:rPr>
          <w:i/>
        </w:rPr>
        <w:t xml:space="preserve">Mann-Whitney </w:t>
      </w:r>
      <w:r w:rsidR="00B06393">
        <w:rPr>
          <w:i/>
        </w:rPr>
        <w:t xml:space="preserve">z </w:t>
      </w:r>
      <w:r w:rsidR="00B06393" w:rsidRPr="00B06393">
        <w:rPr>
          <w:i/>
        </w:rPr>
        <w:t>testas</w:t>
      </w:r>
      <w:r w:rsidR="0028060E">
        <w:rPr>
          <w:i/>
        </w:rPr>
        <w:t xml:space="preserve"> </w:t>
      </w:r>
      <w:r w:rsidR="00B06393">
        <w:t>nepriklausomoms imtims.</w:t>
      </w:r>
      <w:r w:rsidR="00B90C94">
        <w:t xml:space="preserve"> Jei analizuojama dividendų sumažinimo informacija (D</w:t>
      </w:r>
      <w:r w:rsidR="00041F2D">
        <w:t>P</w:t>
      </w:r>
      <w:r w:rsidR="00B90C94">
        <w:t>2</w:t>
      </w:r>
      <w:r w:rsidR="00041F2D">
        <w:t xml:space="preserve"> (arba DY2)</w:t>
      </w:r>
      <w:r w:rsidR="00B61508">
        <w:t xml:space="preserve"> = R</w:t>
      </w:r>
      <w:r w:rsidR="00B61508">
        <w:rPr>
          <w:vertAlign w:val="subscript"/>
        </w:rPr>
        <w:t>A</w:t>
      </w:r>
      <w:r w:rsidR="00B90C94">
        <w:t>), tuomet šios naujienų grupės vidutinis akcijų pelningumas bus lyginamas su likusių naujienų grupių pelningumais (</w:t>
      </w:r>
      <w:r w:rsidR="00B61508">
        <w:t>R</w:t>
      </w:r>
      <w:r w:rsidR="00B61508">
        <w:rPr>
          <w:vertAlign w:val="subscript"/>
        </w:rPr>
        <w:t>A</w:t>
      </w:r>
      <w:r w:rsidR="00B90C94" w:rsidRPr="00B90C94">
        <w:t xml:space="preserve"> </w:t>
      </w:r>
      <w:r w:rsidR="00B61508">
        <w:t>su</w:t>
      </w:r>
      <w:r w:rsidR="00B90C94">
        <w:t xml:space="preserve"> </w:t>
      </w:r>
      <w:r w:rsidR="00B61508">
        <w:t>R</w:t>
      </w:r>
      <w:r w:rsidR="00B61508">
        <w:rPr>
          <w:vertAlign w:val="subscript"/>
        </w:rPr>
        <w:t>B</w:t>
      </w:r>
      <w:r w:rsidR="00B90C94">
        <w:t>)</w:t>
      </w:r>
      <w:r w:rsidR="00B41F5F">
        <w:t>, tokiu pat būdu analizuojamos visos naujienų grupės.</w:t>
      </w:r>
      <w:r w:rsidR="00B90C94">
        <w:t>.</w:t>
      </w:r>
      <w:r w:rsidR="0028060E">
        <w:t xml:space="preserve"> Standartizuotos kintamojo </w:t>
      </w:r>
      <w:r w:rsidR="0028060E" w:rsidRPr="0028060E">
        <w:rPr>
          <w:i/>
        </w:rPr>
        <w:t xml:space="preserve">z </w:t>
      </w:r>
      <w:r w:rsidR="0028060E">
        <w:t xml:space="preserve">reikšmės </w:t>
      </w:r>
      <w:r w:rsidR="00D932E1">
        <w:t>(žr. (17</w:t>
      </w:r>
      <w:r w:rsidR="00B61508">
        <w:t xml:space="preserve">) formulę) </w:t>
      </w:r>
      <w:r w:rsidR="0028060E">
        <w:t xml:space="preserve">apskaičiuojamos pagal </w:t>
      </w:r>
      <w:r w:rsidR="00B61508">
        <w:t>Pathirawasam ir</w:t>
      </w:r>
      <w:r w:rsidR="0028060E">
        <w:t xml:space="preserve"> Bata </w:t>
      </w:r>
      <w:r w:rsidR="00B61508">
        <w:t>(</w:t>
      </w:r>
      <w:r w:rsidR="0028060E">
        <w:t>2009</w:t>
      </w:r>
      <w:r w:rsidR="00B61508">
        <w:t>)</w:t>
      </w:r>
      <w:r w:rsidR="0028060E">
        <w:t>:</w:t>
      </w:r>
    </w:p>
    <w:p w:rsidR="0028060E" w:rsidRDefault="0028060E" w:rsidP="0028060E">
      <w:pPr>
        <w:ind w:firstLine="0"/>
        <w:jc w:val="center"/>
      </w:pPr>
      <m:oMath>
        <m:r>
          <w:rPr>
            <w:rFonts w:ascii="Cambria Math" w:hAnsi="Cambria Math"/>
          </w:rPr>
          <m:t>z</m:t>
        </m:r>
        <m:r>
          <w:rPr>
            <w:rFonts w:ascii="Cambria Math" w:hAnsi="Cambria Math"/>
            <w:lang w:val="en-US"/>
          </w:rPr>
          <m:t>=</m:t>
        </m:r>
        <m:f>
          <m:fPr>
            <m:ctrlPr>
              <w:rPr>
                <w:rFonts w:ascii="Cambria Math" w:hAnsi="Cambria Math"/>
                <w:i/>
              </w:rPr>
            </m:ctrlPr>
          </m:fPr>
          <m:num>
            <m:r>
              <w:rPr>
                <w:rFonts w:ascii="Cambria Math" w:hAnsi="Cambria Math"/>
              </w:rPr>
              <m:t xml:space="preserve">U- </m:t>
            </m:r>
            <m:sSub>
              <m:sSubPr>
                <m:ctrlPr>
                  <w:rPr>
                    <w:rFonts w:ascii="Cambria Math" w:hAnsi="Cambria Math"/>
                    <w:i/>
                  </w:rPr>
                </m:ctrlPr>
              </m:sSubPr>
              <m:e>
                <m:r>
                  <w:rPr>
                    <w:rFonts w:ascii="Cambria Math" w:hAnsi="Cambria Math"/>
                  </w:rPr>
                  <m:t>μ</m:t>
                </m:r>
              </m:e>
              <m:sub>
                <m:r>
                  <w:rPr>
                    <w:rFonts w:ascii="Cambria Math" w:hAnsi="Cambria Math"/>
                  </w:rPr>
                  <m:t>U</m:t>
                </m:r>
              </m:sub>
            </m:sSub>
          </m:num>
          <m:den>
            <m:sSub>
              <m:sSubPr>
                <m:ctrlPr>
                  <w:rPr>
                    <w:rFonts w:ascii="Cambria Math" w:hAnsi="Cambria Math"/>
                    <w:i/>
                  </w:rPr>
                </m:ctrlPr>
              </m:sSubPr>
              <m:e>
                <m:r>
                  <w:rPr>
                    <w:rFonts w:ascii="Cambria Math" w:hAnsi="Cambria Math"/>
                    <w:i/>
                  </w:rPr>
                  <w:sym w:font="Symbol" w:char="F073"/>
                </m:r>
              </m:e>
              <m:sub>
                <m:r>
                  <w:rPr>
                    <w:rFonts w:ascii="Cambria Math" w:hAnsi="Cambria Math"/>
                  </w:rPr>
                  <m:t>U</m:t>
                </m:r>
              </m:sub>
            </m:sSub>
          </m:den>
        </m:f>
      </m:oMath>
      <w:r w:rsidR="00D932E1">
        <w:t xml:space="preserve"> ;</w:t>
      </w:r>
      <w:r w:rsidR="00D932E1">
        <w:tab/>
        <w:t>(17</w:t>
      </w:r>
      <w:r>
        <w:t>)</w:t>
      </w:r>
    </w:p>
    <w:p w:rsidR="0028060E" w:rsidRDefault="0028060E" w:rsidP="00EF3CEA">
      <w:pPr>
        <w:spacing w:line="240" w:lineRule="auto"/>
      </w:pPr>
      <w:r>
        <w:t xml:space="preserve">Čia: </w:t>
      </w:r>
      <w:r>
        <w:tab/>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U</m:t>
            </m:r>
          </m:sub>
        </m:sSub>
      </m:oMath>
      <w:r>
        <w:t xml:space="preserve"> – U kintamojo vidurkis;</w:t>
      </w:r>
    </w:p>
    <w:p w:rsidR="0028060E" w:rsidRDefault="0028060E" w:rsidP="00EF3CEA">
      <w:pPr>
        <w:spacing w:line="240" w:lineRule="auto"/>
      </w:pPr>
      <w:r>
        <w:tab/>
      </w:r>
      <m:oMath>
        <m:sSub>
          <m:sSubPr>
            <m:ctrlPr>
              <w:rPr>
                <w:rFonts w:ascii="Cambria Math" w:hAnsi="Cambria Math"/>
                <w:i/>
              </w:rPr>
            </m:ctrlPr>
          </m:sSubPr>
          <m:e>
            <m:r>
              <w:rPr>
                <w:rFonts w:ascii="Cambria Math" w:hAnsi="Cambria Math"/>
                <w:i/>
              </w:rPr>
              <w:sym w:font="Symbol" w:char="F073"/>
            </m:r>
          </m:e>
          <m:sub>
            <m:r>
              <w:rPr>
                <w:rFonts w:ascii="Cambria Math" w:hAnsi="Cambria Math"/>
              </w:rPr>
              <m:t>U</m:t>
            </m:r>
          </m:sub>
        </m:sSub>
      </m:oMath>
      <w:r>
        <w:t>- kintamojo U standartinis nuokrypis;</w:t>
      </w:r>
    </w:p>
    <w:p w:rsidR="0028060E" w:rsidRPr="00B61508" w:rsidRDefault="00B61508" w:rsidP="00EF3CEA">
      <w:pPr>
        <w:spacing w:line="240" w:lineRule="auto"/>
        <w:ind w:firstLine="1298"/>
      </w:pPr>
      <w:r w:rsidRPr="0028060E">
        <w:rPr>
          <w:i/>
        </w:rPr>
        <w:t>U</w:t>
      </w:r>
      <w:r>
        <w:t xml:space="preserve"> – min(T</w:t>
      </w:r>
      <w:r>
        <w:rPr>
          <w:vertAlign w:val="subscript"/>
        </w:rPr>
        <w:t>A</w:t>
      </w:r>
      <w:r>
        <w:t>;T</w:t>
      </w:r>
      <w:r>
        <w:rPr>
          <w:vertAlign w:val="subscript"/>
        </w:rPr>
        <w:t>B</w:t>
      </w:r>
      <w:r>
        <w:t>), kur T</w:t>
      </w:r>
      <w:r>
        <w:rPr>
          <w:vertAlign w:val="subscript"/>
        </w:rPr>
        <w:t>A</w:t>
      </w:r>
      <w:r w:rsidR="00D932E1">
        <w:t xml:space="preserve"> (žr. (18) formulę)</w:t>
      </w:r>
      <w:r w:rsidR="00D932E1">
        <w:rPr>
          <w:vertAlign w:val="subscript"/>
        </w:rPr>
        <w:t xml:space="preserve"> </w:t>
      </w:r>
      <w:r>
        <w:rPr>
          <w:vertAlign w:val="subscript"/>
        </w:rPr>
        <w:t xml:space="preserve"> </w:t>
      </w:r>
      <w:r>
        <w:t>ir T</w:t>
      </w:r>
      <w:r>
        <w:rPr>
          <w:vertAlign w:val="subscript"/>
        </w:rPr>
        <w:t xml:space="preserve">B </w:t>
      </w:r>
      <w:r w:rsidR="00D932E1">
        <w:t xml:space="preserve"> (žr. (19) formulę)</w:t>
      </w:r>
      <w:r>
        <w:t>:</w:t>
      </w:r>
    </w:p>
    <w:p w:rsidR="0028060E" w:rsidRDefault="00EC7800" w:rsidP="0028060E">
      <w:pPr>
        <w:ind w:firstLine="0"/>
        <w:jc w:val="center"/>
      </w:pP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A</m:t>
            </m:r>
          </m:sub>
        </m:s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B</m:t>
            </m:r>
          </m:sub>
        </m:sSub>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+1)</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A</m:t>
            </m:r>
          </m:sub>
        </m:sSub>
      </m:oMath>
      <w:r w:rsidR="00B61508">
        <w:t>;</w:t>
      </w:r>
      <w:r w:rsidR="00B61508">
        <w:tab/>
        <w:t>(</w:t>
      </w:r>
      <w:r w:rsidR="00D932E1">
        <w:t>18</w:t>
      </w:r>
      <w:r w:rsidR="00B61508">
        <w:t>)</w:t>
      </w:r>
    </w:p>
    <w:p w:rsidR="00B61508" w:rsidRDefault="00EC7800" w:rsidP="00B61508">
      <w:pPr>
        <w:ind w:firstLine="0"/>
        <w:jc w:val="center"/>
      </w:pPr>
      <m:oMath>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A</m:t>
            </m:r>
          </m:sub>
        </m:s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B</m:t>
            </m:r>
          </m:sub>
        </m:sSub>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rPr>
              <m:t>+1)</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B</m:t>
            </m:r>
          </m:sub>
        </m:sSub>
      </m:oMath>
      <w:r w:rsidR="00D932E1">
        <w:t>;</w:t>
      </w:r>
      <w:r w:rsidR="00D932E1">
        <w:tab/>
        <w:t>(19</w:t>
      </w:r>
      <w:r w:rsidR="00B61508">
        <w:t>)</w:t>
      </w:r>
    </w:p>
    <w:p w:rsidR="00B61508" w:rsidRDefault="00B61508" w:rsidP="00EF3CEA">
      <w:pPr>
        <w:spacing w:line="240" w:lineRule="auto"/>
      </w:pPr>
      <w:r>
        <w:t xml:space="preserve">Čia: </w:t>
      </w:r>
      <w:r>
        <w:tab/>
      </w:r>
      <w:r w:rsidRPr="001A5818">
        <w:rPr>
          <w:i/>
        </w:rPr>
        <w:t>A</w:t>
      </w:r>
      <w:r>
        <w:t xml:space="preserve"> – tam tikros dividendinės informacijos (D</w:t>
      </w:r>
      <w:r w:rsidR="001A5818">
        <w:t>n</w:t>
      </w:r>
      <w:r>
        <w:t>) kontekstui priskiriama imtis</w:t>
      </w:r>
      <w:r w:rsidR="001A5818">
        <w:t>;</w:t>
      </w:r>
    </w:p>
    <w:p w:rsidR="001A5818" w:rsidRDefault="001A5818" w:rsidP="00EF3CEA">
      <w:pPr>
        <w:spacing w:line="240" w:lineRule="auto"/>
        <w:ind w:firstLine="1296"/>
      </w:pPr>
      <w:r w:rsidRPr="001A5818">
        <w:rPr>
          <w:i/>
        </w:rPr>
        <w:t>B</w:t>
      </w:r>
      <w:r>
        <w:t xml:space="preserve"> – likusis imtis (1 - Dn), atmetus analizuojamos informacijos kontekstą Dn; </w:t>
      </w:r>
    </w:p>
    <w:p w:rsidR="00B61508" w:rsidRDefault="00B61508" w:rsidP="00EF3CEA">
      <w:pPr>
        <w:spacing w:line="240" w:lineRule="auto"/>
        <w:ind w:firstLine="1296"/>
      </w:pPr>
      <w:r w:rsidRPr="001A5818">
        <w:rPr>
          <w:i/>
        </w:rPr>
        <w:lastRenderedPageBreak/>
        <w:t>n</w:t>
      </w:r>
      <w:r w:rsidRPr="001A5818">
        <w:rPr>
          <w:i/>
          <w:vertAlign w:val="subscript"/>
        </w:rPr>
        <w:t xml:space="preserve">A </w:t>
      </w:r>
      <w:r w:rsidRPr="001A5818">
        <w:t>ir</w:t>
      </w:r>
      <w:r w:rsidRPr="001A5818">
        <w:rPr>
          <w:i/>
        </w:rPr>
        <w:t xml:space="preserve"> n</w:t>
      </w:r>
      <w:r w:rsidRPr="001A5818">
        <w:rPr>
          <w:i/>
          <w:vertAlign w:val="subscript"/>
        </w:rPr>
        <w:t>b</w:t>
      </w:r>
      <w:r>
        <w:rPr>
          <w:vertAlign w:val="subscript"/>
        </w:rPr>
        <w:t xml:space="preserve"> </w:t>
      </w:r>
      <w:r>
        <w:t>– dviejų analizuojamų imčių atitinkami dydžiai;</w:t>
      </w:r>
    </w:p>
    <w:p w:rsidR="00B61508" w:rsidRPr="00B61508" w:rsidRDefault="00B61508" w:rsidP="00B7281B">
      <w:r>
        <w:tab/>
      </w:r>
      <w:r w:rsidRPr="001A5818">
        <w:rPr>
          <w:i/>
        </w:rPr>
        <w:t>R</w:t>
      </w:r>
      <w:r w:rsidRPr="001A5818">
        <w:rPr>
          <w:i/>
          <w:vertAlign w:val="subscript"/>
        </w:rPr>
        <w:t>A</w:t>
      </w:r>
      <w:r>
        <w:t xml:space="preserve"> ir </w:t>
      </w:r>
      <w:r w:rsidRPr="001A5818">
        <w:rPr>
          <w:i/>
        </w:rPr>
        <w:t>R</w:t>
      </w:r>
      <w:r w:rsidRPr="001A5818">
        <w:rPr>
          <w:i/>
          <w:vertAlign w:val="subscript"/>
        </w:rPr>
        <w:t>B</w:t>
      </w:r>
      <w:r>
        <w:rPr>
          <w:vertAlign w:val="subscript"/>
        </w:rPr>
        <w:t xml:space="preserve"> </w:t>
      </w:r>
      <w:r>
        <w:t>– atitinkamų imčių rangų sumos.</w:t>
      </w:r>
    </w:p>
    <w:p w:rsidR="00966F5D" w:rsidRDefault="00B41F5F" w:rsidP="00C8720E">
      <w:r>
        <w:t>Kaip parodė Michaely, Thaler, Womack (1996) tyrimai, dividendų inicijavimas ir sprendimas neišmokėti dividendų</w:t>
      </w:r>
      <w:r w:rsidR="00D3009D">
        <w:t xml:space="preserve"> (angl. dividend omission)</w:t>
      </w:r>
      <w:r>
        <w:t xml:space="preserve"> pasireiškia pakankamai skirtinga</w:t>
      </w:r>
      <w:r w:rsidR="00D3009D">
        <w:t>i, kaip ir dividendų dydžio padidinimo ir sumažinimo naujienos (Yucee, Taneem, 2011)</w:t>
      </w:r>
      <w:r w:rsidR="00987D11">
        <w:t xml:space="preserve">, todėl tikslinga atlikti šių naujienų porinį vertinimą. Porinis vertinimas taip pat bus atliekamas ir norint nustatyti skirtumams tarp skirtinguose laiko intervaluose gaunamų pelningumų. Vertinimas atliekamas naudojantis statistinių duomenų programos SPSS® neparametrinio </w:t>
      </w:r>
      <w:r w:rsidR="00987D11" w:rsidRPr="00987D11">
        <w:rPr>
          <w:i/>
        </w:rPr>
        <w:t>Wilcoxon</w:t>
      </w:r>
      <w:r w:rsidR="00987D11">
        <w:rPr>
          <w:i/>
        </w:rPr>
        <w:t xml:space="preserve"> testo</w:t>
      </w:r>
      <w:r w:rsidR="00987D11">
        <w:t xml:space="preserve"> metodika. </w:t>
      </w:r>
    </w:p>
    <w:p w:rsidR="00E2594E" w:rsidRDefault="00987D11" w:rsidP="00C8720E">
      <w:r>
        <w:t>Prieš atliekant vertinim</w:t>
      </w:r>
      <w:r w:rsidR="00966F5D">
        <w:t>us</w:t>
      </w:r>
      <w:r>
        <w:t xml:space="preserve">, </w:t>
      </w:r>
      <w:r w:rsidR="00966F5D">
        <w:t xml:space="preserve">naudojantis neparametriniais metodais, </w:t>
      </w:r>
      <w:r>
        <w:t>visų pirma</w:t>
      </w:r>
      <w:r w:rsidR="00966F5D">
        <w:t xml:space="preserve"> bus</w:t>
      </w:r>
      <w:r>
        <w:t xml:space="preserve"> patikrinama ar duomenų skirstin</w:t>
      </w:r>
      <w:r w:rsidR="00966F5D">
        <w:t>į galima laikyti</w:t>
      </w:r>
      <w:r>
        <w:t xml:space="preserve"> normal</w:t>
      </w:r>
      <w:r w:rsidR="00966F5D">
        <w:t>iuoju. Vertinimas atliekamas</w:t>
      </w:r>
      <w:r>
        <w:t xml:space="preserve"> naudojantis</w:t>
      </w:r>
      <w:r w:rsidR="00966F5D">
        <w:t xml:space="preserve"> SPSS®</w:t>
      </w:r>
      <w:r>
        <w:t xml:space="preserve"> </w:t>
      </w:r>
      <w:r w:rsidRPr="00966F5D">
        <w:rPr>
          <w:i/>
        </w:rPr>
        <w:t>Kolmogorov-Smirnov</w:t>
      </w:r>
      <w:r>
        <w:t xml:space="preserve"> technika</w:t>
      </w:r>
      <w:r w:rsidR="00966F5D">
        <w:t>. Tikėtina, jog kai kurios apskaičiuotos sudėtinių pelningumų CAAR reikšmės gali būti nutolę nuo normalaus skirstinio, todėl neparametriniai metodai tiksliau interpretuos sudėtinių pelningumų</w:t>
      </w:r>
      <w:r w:rsidR="00966F5D" w:rsidRPr="00966F5D">
        <w:rPr>
          <w:i/>
        </w:rPr>
        <w:t xml:space="preserve"> z</w:t>
      </w:r>
      <w:r w:rsidR="00966F5D">
        <w:t xml:space="preserve"> kriterijų reikšmes.</w:t>
      </w:r>
    </w:p>
    <w:p w:rsidR="00966F5D" w:rsidRDefault="00966F5D" w:rsidP="00C8720E">
      <w:r>
        <w:t xml:space="preserve">Visgi, norint nustatyti, kuriais intervalais tam tikrų dividendų naujienų paskelbimo atveju arba bendru atveju (kuomet nežinomas informacijos kontekstas) galima tikėtis palyginamai didesnio pelningumo,  prisiimant kuo mažesnę riziką, bus papildomai apskaičiuojamos </w:t>
      </w:r>
      <w:r w:rsidRPr="000140D2">
        <w:rPr>
          <w:i/>
        </w:rPr>
        <w:t>Sharpe rodiklio</w:t>
      </w:r>
      <w:r>
        <w:t xml:space="preserve"> reikšmės.</w:t>
      </w:r>
      <w:r w:rsidR="00022A9D">
        <w:t xml:space="preserve"> Šio rodiklio apskaičiavimas yra labiau papildomas atliekamo tyrimo momentas, tačiau leidžia palyginti rezultatus su turimą informaciją. </w:t>
      </w:r>
      <w:r w:rsidR="00022A9D" w:rsidRPr="00022A9D">
        <w:rPr>
          <w:i/>
        </w:rPr>
        <w:t>Sharpe rodiklio</w:t>
      </w:r>
      <w:r w:rsidR="00022A9D">
        <w:t xml:space="preserve"> reikšmės</w:t>
      </w:r>
      <w:r w:rsidR="00C8720E">
        <w:t xml:space="preserve"> atskirų naujienų atveju</w:t>
      </w:r>
      <w:r w:rsidR="00022A9D">
        <w:t xml:space="preserve"> apskaičiuojamos pagal adaptuotą Berkemen (2006) pateikiamą bendrą rodi</w:t>
      </w:r>
      <w:r w:rsidR="00D932E1">
        <w:t>klio skaičiavimo formulę (žr. (20</w:t>
      </w:r>
      <w:r w:rsidR="00022A9D">
        <w:t>) formulę):</w:t>
      </w:r>
    </w:p>
    <w:p w:rsidR="00022A9D" w:rsidRDefault="00EC7800" w:rsidP="00C8720E">
      <w:pPr>
        <w:ind w:firstLine="0"/>
        <w:jc w:val="center"/>
      </w:pPr>
      <m:oMath>
        <m:sSub>
          <m:sSubPr>
            <m:ctrlPr>
              <w:rPr>
                <w:rFonts w:ascii="Cambria Math" w:hAnsi="Cambria Math"/>
                <w:i/>
              </w:rPr>
            </m:ctrlPr>
          </m:sSubPr>
          <m:e>
            <m:r>
              <w:rPr>
                <w:rFonts w:ascii="Cambria Math" w:hAnsi="Cambria Math"/>
              </w:rPr>
              <m:t>SR</m:t>
            </m:r>
          </m:e>
          <m: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sub>
        </m:sSub>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CAAR[</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e>
              <m:sub>
                <m:r>
                  <w:rPr>
                    <w:rFonts w:ascii="Cambria Math" w:hAnsi="Cambria Math"/>
                  </w:rPr>
                  <m:t>DN</m:t>
                </m:r>
              </m:sub>
            </m:sSub>
            <m:r>
              <w:rPr>
                <w:rFonts w:ascii="Cambria Math" w:hAnsi="Cambria Math"/>
              </w:rPr>
              <m:t>-</m:t>
            </m:r>
            <m:sSub>
              <m:sSubPr>
                <m:ctrlPr>
                  <w:rPr>
                    <w:rFonts w:ascii="Cambria Math" w:hAnsi="Cambria Math"/>
                    <w:i/>
                  </w:rPr>
                </m:ctrlPr>
              </m:sSubPr>
              <m:e>
                <m:r>
                  <w:rPr>
                    <w:rFonts w:ascii="Cambria Math" w:hAnsi="Cambria Math"/>
                  </w:rPr>
                  <m:t>CAAR[</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e>
              <m:sub>
                <m:r>
                  <w:rPr>
                    <w:rFonts w:ascii="Cambria Math" w:hAnsi="Cambria Math"/>
                  </w:rPr>
                  <m:t>D</m:t>
                </m:r>
              </m:sub>
            </m:sSub>
          </m:num>
          <m:den>
            <m:sSub>
              <m:sSubPr>
                <m:ctrlPr>
                  <w:rPr>
                    <w:rFonts w:ascii="Cambria Math" w:hAnsi="Cambria Math"/>
                    <w:i/>
                  </w:rPr>
                </m:ctrlPr>
              </m:sSubPr>
              <m:e>
                <m:r>
                  <w:rPr>
                    <w:rFonts w:ascii="Cambria Math" w:hAnsi="Cambria Math"/>
                    <w:i/>
                  </w:rPr>
                  <w:sym w:font="Symbol" w:char="F073"/>
                </m:r>
              </m:e>
              <m:sub>
                <m:r>
                  <w:rPr>
                    <w:rFonts w:ascii="Cambria Math" w:hAnsi="Cambria Math"/>
                  </w:rPr>
                  <m:t>DN</m:t>
                </m:r>
              </m:sub>
            </m:sSub>
          </m:den>
        </m:f>
      </m:oMath>
      <w:r w:rsidR="00D932E1">
        <w:t>;</w:t>
      </w:r>
      <w:r w:rsidR="00D932E1">
        <w:tab/>
        <w:t>(20</w:t>
      </w:r>
      <w:r w:rsidR="00C8720E">
        <w:t>)</w:t>
      </w:r>
    </w:p>
    <w:p w:rsidR="00B7281B" w:rsidRDefault="00C8720E" w:rsidP="00B7281B">
      <w:pPr>
        <w:spacing w:line="240" w:lineRule="auto"/>
      </w:pPr>
      <w:r>
        <w:t>Čia:</w:t>
      </w:r>
      <w:r>
        <w:tab/>
      </w:r>
      <w:r w:rsidR="00B7281B">
        <w:t xml:space="preserve">SR – adaptuoto </w:t>
      </w:r>
      <w:r w:rsidR="00B7281B" w:rsidRPr="00B7281B">
        <w:rPr>
          <w:i/>
        </w:rPr>
        <w:t>Sharpe rodiklio</w:t>
      </w:r>
      <w:r w:rsidR="00B7281B">
        <w:t xml:space="preserve"> apskaičiavimas kiekvienam dividendų naujienų tipui;</w:t>
      </w:r>
    </w:p>
    <w:p w:rsidR="00C8720E" w:rsidRPr="00C8720E" w:rsidRDefault="00C8720E" w:rsidP="00B7281B">
      <w:pPr>
        <w:spacing w:line="240" w:lineRule="auto"/>
        <w:ind w:firstLine="1296"/>
      </w:pPr>
      <w:r w:rsidRPr="008C2742">
        <w:rPr>
          <w:i/>
        </w:rPr>
        <w:t>CAAR[T</w:t>
      </w:r>
      <w:r w:rsidRPr="008C2742">
        <w:rPr>
          <w:i/>
          <w:vertAlign w:val="subscript"/>
        </w:rPr>
        <w:t>1</w:t>
      </w:r>
      <w:r w:rsidRPr="008C2742">
        <w:rPr>
          <w:i/>
        </w:rPr>
        <w:t>;T</w:t>
      </w:r>
      <w:r w:rsidRPr="008C2742">
        <w:rPr>
          <w:i/>
          <w:vertAlign w:val="subscript"/>
        </w:rPr>
        <w:t>z</w:t>
      </w:r>
      <w:r w:rsidRPr="008C2742">
        <w:rPr>
          <w:i/>
        </w:rPr>
        <w:t>]</w:t>
      </w:r>
      <w:r w:rsidRPr="008C2742">
        <w:rPr>
          <w:i/>
          <w:vertAlign w:val="subscript"/>
        </w:rPr>
        <w:t>D</w:t>
      </w:r>
      <w:r w:rsidR="00041F2D">
        <w:rPr>
          <w:i/>
          <w:vertAlign w:val="subscript"/>
        </w:rPr>
        <w:t>n</w:t>
      </w:r>
      <w:r>
        <w:t xml:space="preserve"> – </w:t>
      </w:r>
      <w:r w:rsidR="008C2742">
        <w:t>s</w:t>
      </w:r>
      <w:r>
        <w:t>udėtinis pelningumas, atsižvelgiant į dividendų naujienų paskelbimo kontekstą (D</w:t>
      </w:r>
      <w:r w:rsidR="00041F2D">
        <w:t>X</w:t>
      </w:r>
      <w:r>
        <w:t>), kai pirma intervalo diena T</w:t>
      </w:r>
      <w:r>
        <w:rPr>
          <w:vertAlign w:val="subscript"/>
        </w:rPr>
        <w:t>1</w:t>
      </w:r>
      <w:r w:rsidRPr="00C8720E">
        <w:t>, paskutinė</w:t>
      </w:r>
      <w:r>
        <w:rPr>
          <w:vertAlign w:val="subscript"/>
        </w:rPr>
        <w:t xml:space="preserve"> </w:t>
      </w:r>
      <w:r>
        <w:t>- T</w:t>
      </w:r>
      <w:r>
        <w:rPr>
          <w:vertAlign w:val="subscript"/>
        </w:rPr>
        <w:t>z</w:t>
      </w:r>
      <w:r w:rsidR="008C2742">
        <w:t>;</w:t>
      </w:r>
    </w:p>
    <w:p w:rsidR="00C8720E" w:rsidRDefault="00C8720E" w:rsidP="00B7281B">
      <w:pPr>
        <w:spacing w:line="240" w:lineRule="auto"/>
        <w:ind w:firstLine="1298"/>
        <w:jc w:val="left"/>
      </w:pPr>
      <w:r w:rsidRPr="008C2742">
        <w:rPr>
          <w:i/>
        </w:rPr>
        <w:t>CAAR[T</w:t>
      </w:r>
      <w:r w:rsidRPr="008C2742">
        <w:rPr>
          <w:i/>
          <w:vertAlign w:val="subscript"/>
        </w:rPr>
        <w:t>1</w:t>
      </w:r>
      <w:r w:rsidRPr="008C2742">
        <w:rPr>
          <w:i/>
        </w:rPr>
        <w:t>;T</w:t>
      </w:r>
      <w:r w:rsidRPr="008C2742">
        <w:rPr>
          <w:i/>
          <w:vertAlign w:val="subscript"/>
        </w:rPr>
        <w:t>z</w:t>
      </w:r>
      <w:r w:rsidRPr="008C2742">
        <w:rPr>
          <w:i/>
        </w:rPr>
        <w:t>]</w:t>
      </w:r>
      <w:r w:rsidRPr="008C2742">
        <w:rPr>
          <w:i/>
          <w:vertAlign w:val="subscript"/>
        </w:rPr>
        <w:t>D</w:t>
      </w:r>
      <w:r>
        <w:t xml:space="preserve"> – </w:t>
      </w:r>
      <w:r w:rsidR="008C2742">
        <w:t>s</w:t>
      </w:r>
      <w:r>
        <w:t>udėtinis pelningumas</w:t>
      </w:r>
      <w:r w:rsidR="008C2742">
        <w:t xml:space="preserve"> bendru atveju</w:t>
      </w:r>
      <w:r>
        <w:t>, neatsižvelgiant į dividendų naujienų paskelbimo kontekstą (D), kai pirma intervalo diena T</w:t>
      </w:r>
      <w:r>
        <w:rPr>
          <w:vertAlign w:val="subscript"/>
        </w:rPr>
        <w:t>1</w:t>
      </w:r>
      <w:r w:rsidRPr="00C8720E">
        <w:t>, paskutinė</w:t>
      </w:r>
      <w:r>
        <w:rPr>
          <w:vertAlign w:val="subscript"/>
        </w:rPr>
        <w:t xml:space="preserve"> </w:t>
      </w:r>
      <w:r>
        <w:t>- T</w:t>
      </w:r>
      <w:r>
        <w:rPr>
          <w:vertAlign w:val="subscript"/>
        </w:rPr>
        <w:t>z</w:t>
      </w:r>
      <w:r w:rsidR="008C2742">
        <w:t>;</w:t>
      </w:r>
    </w:p>
    <w:p w:rsidR="008C2742" w:rsidRPr="008C2742" w:rsidRDefault="008C2742" w:rsidP="00B7281B">
      <w:pPr>
        <w:ind w:firstLine="1298"/>
        <w:jc w:val="left"/>
      </w:pPr>
      <w:r w:rsidRPr="008C2742">
        <w:rPr>
          <w:i/>
        </w:rPr>
        <w:sym w:font="Symbol" w:char="F073"/>
      </w:r>
      <w:r w:rsidRPr="008C2742">
        <w:rPr>
          <w:i/>
          <w:vertAlign w:val="subscript"/>
        </w:rPr>
        <w:t>D</w:t>
      </w:r>
      <w:r w:rsidR="00041F2D">
        <w:rPr>
          <w:i/>
          <w:vertAlign w:val="subscript"/>
        </w:rPr>
        <w:t>n</w:t>
      </w:r>
      <w:r>
        <w:t xml:space="preserve"> – pelningumo standartinis nuokrypis </w:t>
      </w:r>
      <w:r w:rsidR="00041F2D">
        <w:t>konkrečių dividendų naujienų (Dn</w:t>
      </w:r>
      <w:r>
        <w:t>) atveju.</w:t>
      </w:r>
    </w:p>
    <w:p w:rsidR="00C8720E" w:rsidRDefault="00D932E1" w:rsidP="00AA01CA">
      <w:r>
        <w:t>Kuomet apskaičiuotos</w:t>
      </w:r>
      <w:r w:rsidR="00AA01CA">
        <w:t xml:space="preserve"> visos pelningumų reikšmės, patikrinamas statistinio reikšmingo lygmuo ir patvirtinama arba paneigiama metodinėje šio darbo dalyje i</w:t>
      </w:r>
      <w:r w:rsidR="001D2D20">
        <w:t xml:space="preserve">škelta pirminė hipotezė, toliau </w:t>
      </w:r>
      <w:r w:rsidR="00AA01CA">
        <w:t>formuojamas daugiakriterinės investavimo strategijos (dividendų politikos) modelis</w:t>
      </w:r>
      <w:r>
        <w:t>, atitinkamai parinkus toliau analizuojamas ir jau apskaičiuotas pelningumų reikšmes.</w:t>
      </w:r>
    </w:p>
    <w:p w:rsidR="008F0FFE" w:rsidRDefault="00AA01CA" w:rsidP="00B64EEA">
      <w:pPr>
        <w:pStyle w:val="Heading2"/>
        <w:numPr>
          <w:ilvl w:val="0"/>
          <w:numId w:val="15"/>
        </w:numPr>
        <w:rPr>
          <w:rStyle w:val="SubtleEmphasis"/>
          <w:i w:val="0"/>
          <w:iCs w:val="0"/>
          <w:color w:val="auto"/>
        </w:rPr>
      </w:pPr>
      <w:bookmarkStart w:id="66" w:name="_Toc343677751"/>
      <w:bookmarkEnd w:id="59"/>
      <w:r>
        <w:rPr>
          <w:rStyle w:val="SubtleEmphasis"/>
          <w:i w:val="0"/>
          <w:iCs w:val="0"/>
          <w:color w:val="auto"/>
        </w:rPr>
        <w:lastRenderedPageBreak/>
        <w:t>Daugiakriter</w:t>
      </w:r>
      <w:r w:rsidR="008F0FFE">
        <w:rPr>
          <w:rStyle w:val="SubtleEmphasis"/>
          <w:i w:val="0"/>
          <w:iCs w:val="0"/>
          <w:color w:val="auto"/>
        </w:rPr>
        <w:t>inė</w:t>
      </w:r>
      <w:r w:rsidR="00D227FD">
        <w:rPr>
          <w:rStyle w:val="SubtleEmphasis"/>
          <w:i w:val="0"/>
          <w:iCs w:val="0"/>
          <w:color w:val="auto"/>
        </w:rPr>
        <w:t>s</w:t>
      </w:r>
      <w:r w:rsidR="008F0FFE">
        <w:rPr>
          <w:rStyle w:val="SubtleEmphasis"/>
          <w:i w:val="0"/>
          <w:iCs w:val="0"/>
          <w:color w:val="auto"/>
        </w:rPr>
        <w:t xml:space="preserve"> </w:t>
      </w:r>
      <w:r w:rsidR="00D227FD">
        <w:rPr>
          <w:rStyle w:val="SubtleEmphasis"/>
          <w:i w:val="0"/>
          <w:iCs w:val="0"/>
          <w:color w:val="auto"/>
        </w:rPr>
        <w:t>investavimo strategijos modeliavimo metodika</w:t>
      </w:r>
      <w:bookmarkEnd w:id="66"/>
    </w:p>
    <w:p w:rsidR="00D227FD" w:rsidRDefault="008046F2" w:rsidP="00B64EEA">
      <w:pPr>
        <w:pStyle w:val="Heading3"/>
        <w:numPr>
          <w:ilvl w:val="0"/>
          <w:numId w:val="21"/>
        </w:numPr>
      </w:pPr>
      <w:bookmarkStart w:id="67" w:name="_Toc343677752"/>
      <w:r>
        <w:t>Planuojamo d</w:t>
      </w:r>
      <w:r w:rsidR="00D278E8">
        <w:t>augiakriterinio tyrimo ribos</w:t>
      </w:r>
      <w:bookmarkEnd w:id="67"/>
    </w:p>
    <w:p w:rsidR="00D227FD" w:rsidRDefault="00D227FD" w:rsidP="00D227FD">
      <w:r w:rsidRPr="00871725">
        <w:t>Žilinskij ir Rutkausk</w:t>
      </w:r>
      <w:r>
        <w:t>as</w:t>
      </w:r>
      <w:r w:rsidRPr="00871725">
        <w:t xml:space="preserve"> (2012) teigia, jog ne vien</w:t>
      </w:r>
      <w:r>
        <w:t xml:space="preserve"> tik</w:t>
      </w:r>
      <w:r w:rsidRPr="00871725">
        <w:t xml:space="preserve"> galima </w:t>
      </w:r>
      <w:r>
        <w:t xml:space="preserve">investicinė </w:t>
      </w:r>
      <w:r w:rsidRPr="00871725">
        <w:t xml:space="preserve">grąža, bet </w:t>
      </w:r>
      <w:r>
        <w:t xml:space="preserve">netgi </w:t>
      </w:r>
      <w:r w:rsidRPr="00871725">
        <w:t>ir įmonės veiklos efektyvumas</w:t>
      </w:r>
      <w:r w:rsidRPr="009617F4">
        <w:t>,</w:t>
      </w:r>
      <w:r>
        <w:t xml:space="preserve"> </w:t>
      </w:r>
      <w:r w:rsidRPr="00871725">
        <w:t>yra įtakojam</w:t>
      </w:r>
      <w:r>
        <w:t>i</w:t>
      </w:r>
      <w:r w:rsidRPr="00871725">
        <w:t xml:space="preserve"> daugelio veiksnių</w:t>
      </w:r>
      <w:r>
        <w:t xml:space="preserve">. Autoriai teigia, jog sprendimai turėtų būti priimami remiantis ne vien tik praeities kainų kitimo tendencijomis, bet ir fundamentaliais veiksniais. Kadangi laukiamo pelningumo ir rizikos vertinimas iš esmės remiasi akcijų kainų kitimo tendencijomis, </w:t>
      </w:r>
      <w:r w:rsidR="00D278E8">
        <w:t xml:space="preserve">šio darbo empirinėje dalyje bus </w:t>
      </w:r>
      <w:r>
        <w:t>atsižvelgiam</w:t>
      </w:r>
      <w:r w:rsidR="00D278E8">
        <w:t>a ir į fundamentinius veiksnius.</w:t>
      </w:r>
      <w:r>
        <w:t xml:space="preserve"> </w:t>
      </w:r>
      <w:r w:rsidR="00D278E8">
        <w:t>P</w:t>
      </w:r>
      <w:r>
        <w:t>roblemos spren</w:t>
      </w:r>
      <w:r w:rsidR="00D278E8">
        <w:t>dimui šiame darbe bus pasiūlomi</w:t>
      </w:r>
      <w:r>
        <w:t xml:space="preserve"> dividendinio</w:t>
      </w:r>
      <w:r w:rsidR="00D278E8">
        <w:t xml:space="preserve"> investavimo</w:t>
      </w:r>
      <w:r w:rsidR="000F7CBA">
        <w:t xml:space="preserve"> (dividendų politikos) strateginiai</w:t>
      </w:r>
      <w:r w:rsidR="00756858">
        <w:t xml:space="preserve"> </w:t>
      </w:r>
      <w:r w:rsidR="000F7CBA">
        <w:t>modeliai,</w:t>
      </w:r>
      <w:r w:rsidR="00D278E8">
        <w:t xml:space="preserve"> prieš tai atlikus dividendinės informacijos įtakos akcijų pelningumui analizę ir tiksliau apibrėžus analizuojamus tyrimo priklausomus kintamuosius</w:t>
      </w:r>
      <w:r>
        <w:t>.</w:t>
      </w:r>
    </w:p>
    <w:p w:rsidR="00756858" w:rsidRDefault="001D2D20" w:rsidP="00756858">
      <w:r>
        <w:t xml:space="preserve"> </w:t>
      </w:r>
      <w:r w:rsidR="00D227FD">
        <w:t>Pasak tų pačių mokslininkų (Žilinskij, Rutkauskas, 2012), bazinis dviejų tikslų portfelio optimizavimo modelis, atspindintis investicinį akcijų patrauklumą, galėtų būti išplėstas ir pritaikytinas Markowitz (1952) modelio pagrindu (žr.</w:t>
      </w:r>
      <w:r w:rsidR="00041F2D">
        <w:t xml:space="preserve"> </w:t>
      </w:r>
      <w:r w:rsidR="00EC7800">
        <w:fldChar w:fldCharType="begin"/>
      </w:r>
      <w:r w:rsidR="00041F2D">
        <w:instrText xml:space="preserve"> REF _Ref343179697 \r \h </w:instrText>
      </w:r>
      <w:r w:rsidR="00EC7800">
        <w:fldChar w:fldCharType="separate"/>
      </w:r>
      <w:r w:rsidR="0009577F">
        <w:t>5 pav</w:t>
      </w:r>
      <w:r w:rsidR="00EC7800">
        <w:fldChar w:fldCharType="end"/>
      </w:r>
      <w:r w:rsidR="00041F2D">
        <w:t>.</w:t>
      </w:r>
      <w:r w:rsidR="00D227FD">
        <w:t xml:space="preserve">). </w:t>
      </w:r>
    </w:p>
    <w:tbl>
      <w:tblPr>
        <w:tblpPr w:leftFromText="180" w:rightFromText="180" w:vertAnchor="page" w:horzAnchor="margin" w:tblpY="7186"/>
        <w:tblW w:w="5015" w:type="pct"/>
        <w:tblBorders>
          <w:insideH w:val="single" w:sz="4" w:space="0" w:color="auto"/>
          <w:insideV w:val="single" w:sz="4" w:space="0" w:color="auto"/>
        </w:tblBorders>
        <w:tblLook w:val="04A0"/>
      </w:tblPr>
      <w:tblGrid>
        <w:gridCol w:w="10167"/>
      </w:tblGrid>
      <w:tr w:rsidR="009D0BB8" w:rsidRPr="00801D86" w:rsidTr="009D0BB8">
        <w:trPr>
          <w:trHeight w:val="1719"/>
        </w:trPr>
        <w:tc>
          <w:tcPr>
            <w:tcW w:w="5000" w:type="pct"/>
          </w:tcPr>
          <w:p w:rsidR="009D0BB8" w:rsidRDefault="00EC7800" w:rsidP="009D0BB8">
            <w:pPr>
              <w:ind w:firstLine="0"/>
            </w:pPr>
            <w:r>
              <w:rPr>
                <w:noProof/>
                <w:lang w:eastAsia="lt-LT"/>
              </w:rPr>
              <w:pict>
                <v:group id="_x0000_s1104" style="position:absolute;left:0;text-align:left;margin-left:1.1pt;margin-top:1.5pt;width:500.25pt;height:147.3pt;z-index:251679744" coordorigin="1290,330" coordsize="10005,3855">
                  <v:group id="_x0000_s1105" style="position:absolute;left:1290;top:750;width:7440;height:1425" coordorigin="1290,750" coordsize="7440,1425">
                    <v:rect id="_x0000_s1106" style="position:absolute;left:1290;top:750;width:7440;height:1425" fillcolor="white [3212]">
                      <v:textbox style="mso-next-textbox:#_x0000_s1106">
                        <w:txbxContent>
                          <w:p w:rsidR="00B5369C" w:rsidRDefault="00B5369C" w:rsidP="00184083">
                            <w:pPr>
                              <w:spacing w:before="0" w:line="240" w:lineRule="auto"/>
                              <w:rPr>
                                <w:b/>
                              </w:rPr>
                            </w:pPr>
                            <w:r w:rsidRPr="00DE257A">
                              <w:rPr>
                                <w:b/>
                              </w:rPr>
                              <w:t>Daugiakri</w:t>
                            </w:r>
                            <w:r>
                              <w:rPr>
                                <w:b/>
                              </w:rPr>
                              <w:t>terinis investicinių faktorių</w:t>
                            </w:r>
                            <w:r w:rsidRPr="00DE257A">
                              <w:rPr>
                                <w:b/>
                              </w:rPr>
                              <w:t xml:space="preserve"> įvertinimas</w:t>
                            </w:r>
                          </w:p>
                          <w:p w:rsidR="00B5369C" w:rsidRDefault="00B5369C" w:rsidP="00184083">
                            <w:pPr>
                              <w:spacing w:before="0" w:line="240" w:lineRule="auto"/>
                              <w:rPr>
                                <w:b/>
                              </w:rPr>
                            </w:pPr>
                          </w:p>
                          <w:p w:rsidR="00B5369C" w:rsidRDefault="00B5369C" w:rsidP="00184083">
                            <w:pPr>
                              <w:spacing w:before="0" w:line="240" w:lineRule="auto"/>
                              <w:rPr>
                                <w:b/>
                              </w:rPr>
                            </w:pPr>
                          </w:p>
                          <w:p w:rsidR="00B5369C" w:rsidRPr="00DE257A" w:rsidRDefault="00B5369C" w:rsidP="00184083">
                            <w:pPr>
                              <w:spacing w:before="0" w:line="240" w:lineRule="auto"/>
                              <w:rPr>
                                <w:b/>
                              </w:rPr>
                            </w:pPr>
                          </w:p>
                        </w:txbxContent>
                      </v:textbox>
                    </v:rect>
                    <v:rect id="_x0000_s1107" style="position:absolute;left:1365;top:1185;width:1755;height:915" fillcolor="#d8d8d8 [2732]">
                      <v:textbox style="mso-next-textbox:#_x0000_s1107">
                        <w:txbxContent>
                          <w:p w:rsidR="00B5369C" w:rsidRDefault="00B5369C" w:rsidP="00184083">
                            <w:pPr>
                              <w:shd w:val="clear" w:color="auto" w:fill="D9D9D9" w:themeFill="background1" w:themeFillShade="D9"/>
                              <w:spacing w:before="0" w:line="240" w:lineRule="auto"/>
                              <w:ind w:firstLine="0"/>
                              <w:jc w:val="left"/>
                            </w:pPr>
                            <w:r>
                              <w:t>Kriterijų aibės sudarymas</w:t>
                            </w:r>
                          </w:p>
                        </w:txbxContent>
                      </v:textbox>
                    </v:rect>
                    <v:rect id="_x0000_s1108" style="position:absolute;left:3390;top:1185;width:2244;height:915" fillcolor="#d8d8d8 [2732]">
                      <v:textbox style="mso-next-textbox:#_x0000_s1108">
                        <w:txbxContent>
                          <w:p w:rsidR="00B5369C" w:rsidRDefault="00B5369C" w:rsidP="00184083">
                            <w:pPr>
                              <w:shd w:val="clear" w:color="auto" w:fill="D9D9D9" w:themeFill="background1" w:themeFillShade="D9"/>
                              <w:spacing w:before="0" w:line="240" w:lineRule="auto"/>
                              <w:ind w:firstLine="0"/>
                              <w:jc w:val="left"/>
                            </w:pPr>
                            <w:r>
                              <w:t>Kriterijų reikšmių ir svorių įvertinimas</w:t>
                            </w:r>
                          </w:p>
                        </w:txbxContent>
                      </v:textbox>
                    </v:rect>
                    <v:rect id="_x0000_s1109" style="position:absolute;left:5910;top:1185;width:2745;height:915">
                      <v:textbox style="mso-next-textbox:#_x0000_s1109">
                        <w:txbxContent>
                          <w:p w:rsidR="00B5369C" w:rsidRDefault="00B5369C" w:rsidP="00184083">
                            <w:pPr>
                              <w:spacing w:before="0" w:line="240" w:lineRule="auto"/>
                              <w:ind w:firstLine="0"/>
                              <w:jc w:val="left"/>
                            </w:pPr>
                            <w:r>
                              <w:t>Atskirų VP įvertinimas</w:t>
                            </w:r>
                          </w:p>
                        </w:txbxContent>
                      </v:textbox>
                    </v:rect>
                    <v:shape id="_x0000_s1110" type="#_x0000_t32" style="position:absolute;left:3120;top:1635;width:270;height:0" o:connectortype="straight">
                      <v:stroke endarrow="block"/>
                    </v:shape>
                    <v:shape id="_x0000_s1111" type="#_x0000_t32" style="position:absolute;left:5634;top:1635;width:270;height:0" o:connectortype="straight">
                      <v:stroke endarrow="block"/>
                    </v:shape>
                  </v:group>
                  <v:group id="_x0000_s1112" style="position:absolute;left:2325;top:330;width:8970;height:3855" coordorigin="2325,330" coordsize="8970,3855">
                    <v:rect id="_x0000_s1113" style="position:absolute;left:7755;top:2565;width:1755;height:915">
                      <v:textbox style="mso-next-textbox:#_x0000_s1113">
                        <w:txbxContent>
                          <w:p w:rsidR="00B5369C" w:rsidRDefault="00B5369C" w:rsidP="00184083">
                            <w:pPr>
                              <w:spacing w:before="0" w:line="240" w:lineRule="auto"/>
                              <w:ind w:firstLine="0"/>
                              <w:jc w:val="left"/>
                            </w:pPr>
                            <w:r>
                              <w:t>Portfelio optimizavimas</w:t>
                            </w:r>
                          </w:p>
                        </w:txbxContent>
                      </v:textbox>
                    </v:rect>
                    <v:rect id="_x0000_s1114" style="position:absolute;left:9810;top:2565;width:1485;height:915">
                      <v:textbox style="mso-next-textbox:#_x0000_s1114">
                        <w:txbxContent>
                          <w:p w:rsidR="00B5369C" w:rsidRDefault="00B5369C" w:rsidP="00184083">
                            <w:pPr>
                              <w:spacing w:before="0" w:line="240" w:lineRule="auto"/>
                              <w:ind w:firstLine="0"/>
                              <w:jc w:val="left"/>
                            </w:pPr>
                            <w:r>
                              <w:t>Rezultatų įvertinimas</w:t>
                            </w:r>
                          </w:p>
                        </w:txbxContent>
                      </v:textbox>
                    </v:rect>
                    <v:shape id="_x0000_s1115" type="#_x0000_t32" style="position:absolute;left:7890;top:2175;width:570;height:390" o:connectortype="straight">
                      <v:stroke endarrow="block"/>
                    </v:shape>
                    <v:shape id="_x0000_s1116" type="#_x0000_t32" style="position:absolute;left:9510;top:3015;width:300;height:15" o:connectortype="straight">
                      <v:stroke endarrow="block"/>
                    </v:shape>
                    <v:rect id="_x0000_s1117" style="position:absolute;left:3294;top:2895;width:2520;height:915">
                      <v:textbox style="mso-next-textbox:#_x0000_s1117">
                        <w:txbxContent>
                          <w:p w:rsidR="00B5369C" w:rsidRDefault="00B5369C" w:rsidP="00184083">
                            <w:pPr>
                              <w:spacing w:before="0" w:line="240" w:lineRule="auto"/>
                              <w:ind w:firstLine="0"/>
                              <w:jc w:val="left"/>
                            </w:pPr>
                            <w:r>
                              <w:t>Atskirų VP tarpusavio koreliacijų įvertinimas</w:t>
                            </w:r>
                          </w:p>
                        </w:txbxContent>
                      </v:textbox>
                    </v:rect>
                    <v:shape id="_x0000_s1118" type="#_x0000_t32" style="position:absolute;left:5814;top:3030;width:1941;height:330;flip:y" o:connectortype="straight">
                      <v:stroke endarrow="block"/>
                    </v:shape>
                    <v:shape id="_x0000_s1119" type="#_x0000_t32" style="position:absolute;left:2325;top:330;width:15;height:420" o:connectortype="straight">
                      <v:stroke endarrow="block"/>
                    </v:shape>
                    <v:shape id="_x0000_s1120" type="#_x0000_t32" style="position:absolute;left:2340;top:330;width:8535;height:0" o:connectortype="straight"/>
                    <v:shape id="_x0000_s1121" type="#_x0000_t32" style="position:absolute;left:10875;top:330;width:0;height:2235" o:connectortype="straight"/>
                    <v:shape id="_x0000_s1122" type="#_x0000_t32" style="position:absolute;left:10875;top:3480;width:0;height:705" o:connectortype="straight"/>
                    <v:shape id="_x0000_s1123" type="#_x0000_t32" style="position:absolute;left:4516;top:3810;width:1;height:375;flip:y" o:connectortype="straight">
                      <v:stroke endarrow="block"/>
                    </v:shape>
                    <v:shape id="_x0000_s1124" type="#_x0000_t32" style="position:absolute;left:4517;top:4185;width:6358;height:0" o:connectortype="straight"/>
                  </v:group>
                </v:group>
              </w:pict>
            </w:r>
          </w:p>
          <w:p w:rsidR="009D0BB8" w:rsidRDefault="009D0BB8" w:rsidP="009D0BB8">
            <w:pPr>
              <w:ind w:firstLine="0"/>
            </w:pPr>
          </w:p>
          <w:p w:rsidR="009D0BB8" w:rsidRDefault="009D0BB8" w:rsidP="009D0BB8">
            <w:pPr>
              <w:ind w:firstLine="0"/>
            </w:pPr>
          </w:p>
          <w:p w:rsidR="009D0BB8" w:rsidRDefault="009D0BB8" w:rsidP="009D0BB8">
            <w:pPr>
              <w:ind w:firstLine="0"/>
            </w:pPr>
          </w:p>
          <w:p w:rsidR="009D0BB8" w:rsidRDefault="009D0BB8" w:rsidP="009D0BB8">
            <w:pPr>
              <w:ind w:firstLine="0"/>
            </w:pPr>
          </w:p>
          <w:p w:rsidR="009D0BB8" w:rsidRDefault="009D0BB8" w:rsidP="009D0BB8">
            <w:pPr>
              <w:ind w:firstLine="0"/>
            </w:pPr>
          </w:p>
          <w:p w:rsidR="00820F3D" w:rsidRPr="00820F3D" w:rsidRDefault="00820F3D" w:rsidP="00820F3D">
            <w:pPr>
              <w:spacing w:line="240" w:lineRule="auto"/>
              <w:ind w:firstLine="0"/>
              <w:rPr>
                <w:b/>
                <w:sz w:val="20"/>
                <w:szCs w:val="20"/>
              </w:rPr>
            </w:pPr>
            <w:r>
              <w:rPr>
                <w:b/>
                <w:sz w:val="20"/>
                <w:szCs w:val="20"/>
              </w:rPr>
              <w:t xml:space="preserve">Čia: </w:t>
            </w:r>
            <w:r w:rsidRPr="007D46EC">
              <w:rPr>
                <w:b/>
                <w:color w:val="BFBFBF" w:themeColor="background1" w:themeShade="BF"/>
                <w:sz w:val="20"/>
                <w:szCs w:val="20"/>
                <w:highlight w:val="lightGray"/>
                <w:bdr w:val="single" w:sz="4" w:space="0" w:color="auto"/>
              </w:rPr>
              <w:t>-----</w:t>
            </w:r>
            <w:r>
              <w:rPr>
                <w:b/>
                <w:color w:val="BFBFBF" w:themeColor="background1" w:themeShade="BF"/>
                <w:sz w:val="20"/>
                <w:szCs w:val="20"/>
              </w:rPr>
              <w:t xml:space="preserve"> </w:t>
            </w:r>
            <w:r w:rsidRPr="00820F3D">
              <w:rPr>
                <w:sz w:val="20"/>
                <w:szCs w:val="20"/>
              </w:rPr>
              <w:t>-</w:t>
            </w:r>
            <w:r>
              <w:rPr>
                <w:sz w:val="20"/>
                <w:szCs w:val="20"/>
              </w:rPr>
              <w:t xml:space="preserve"> planuojamo daugiakriterinio tyrimo ribos</w:t>
            </w:r>
          </w:p>
          <w:p w:rsidR="009D0BB8" w:rsidRDefault="009D0BB8" w:rsidP="009D0BB8">
            <w:pPr>
              <w:ind w:firstLine="0"/>
            </w:pPr>
            <w:r w:rsidRPr="00801D86">
              <w:rPr>
                <w:b/>
                <w:sz w:val="20"/>
                <w:szCs w:val="20"/>
              </w:rPr>
              <w:t>Šaltinis:</w:t>
            </w:r>
            <w:r>
              <w:rPr>
                <w:sz w:val="20"/>
                <w:szCs w:val="20"/>
              </w:rPr>
              <w:t xml:space="preserve"> adaptuota pagal Žilinskij, Rutkauską</w:t>
            </w:r>
            <w:r w:rsidRPr="00B24E78">
              <w:rPr>
                <w:sz w:val="20"/>
                <w:szCs w:val="20"/>
              </w:rPr>
              <w:t xml:space="preserve"> </w:t>
            </w:r>
            <w:r>
              <w:rPr>
                <w:sz w:val="20"/>
                <w:szCs w:val="20"/>
              </w:rPr>
              <w:t>(</w:t>
            </w:r>
            <w:r w:rsidRPr="00B24E78">
              <w:rPr>
                <w:sz w:val="20"/>
                <w:szCs w:val="20"/>
              </w:rPr>
              <w:t>2012</w:t>
            </w:r>
            <w:r>
              <w:rPr>
                <w:sz w:val="20"/>
                <w:szCs w:val="20"/>
              </w:rPr>
              <w:t>)</w:t>
            </w:r>
          </w:p>
          <w:p w:rsidR="009D0BB8" w:rsidRPr="00756858" w:rsidRDefault="009D0BB8" w:rsidP="009D0BB8">
            <w:pPr>
              <w:pStyle w:val="Subtitle"/>
              <w:ind w:left="851" w:hanging="851"/>
            </w:pPr>
            <w:bookmarkStart w:id="68" w:name="_Ref343179697"/>
            <w:bookmarkStart w:id="69" w:name="_Toc343677848"/>
            <w:r>
              <w:t>Tyrimo daugiakriterinės analizės ribos remiantis akcijų portfelio formavimo modeliu</w:t>
            </w:r>
            <w:bookmarkEnd w:id="68"/>
            <w:bookmarkEnd w:id="69"/>
          </w:p>
        </w:tc>
      </w:tr>
    </w:tbl>
    <w:p w:rsidR="000F7CBA" w:rsidRDefault="00D278E8" w:rsidP="00D227FD">
      <w:r>
        <w:t>Pagal Markowitz (1952), visų pirma turėtų būti vertinamas portfelio pelningumas, kurio supaprastinus skaičiavimus Žilinskij ir Rutkauskas (2012) rekomenduoja pakeisti į daugiakriterinę portfelio patrauklumo vertinimo seką. Pagrindinis Žilinskij ir Rutkausko (2012) modelio pranašumas yra tas, jog modelis leidžia įvertinti gerokai didesnį investuotojui svarbių VP charakteristikų skaičių</w:t>
      </w:r>
      <w:r w:rsidR="000F7CBA">
        <w:t xml:space="preserve">. </w:t>
      </w:r>
    </w:p>
    <w:p w:rsidR="00D278E8" w:rsidRDefault="000F7CBA" w:rsidP="00D227FD">
      <w:r>
        <w:t xml:space="preserve">Kadangi šio darbo tikslas yra išanalizuoti dividendinės politikos įtaką akcijų kainoms ir pasiūlyti modelius, kurie apibrėžia nepriklausomų kintamųjų įtaką akcijų kainoms, toliau, remiantis moksline literatūra dividendų tematika, </w:t>
      </w:r>
      <w:r w:rsidR="00EA6199">
        <w:t>šiame tyrime bus apsiribojama</w:t>
      </w:r>
      <w:r>
        <w:t xml:space="preserve"> analizuojamų kriterijų aibė </w:t>
      </w:r>
      <w:r w:rsidR="00EA6199">
        <w:t xml:space="preserve">sudarymu </w:t>
      </w:r>
      <w:r>
        <w:t>bei pateikiam</w:t>
      </w:r>
      <w:r w:rsidR="00EA6199">
        <w:t>i</w:t>
      </w:r>
      <w:r>
        <w:t xml:space="preserve">, o vėliau ir išanalizuojami kriterijų reikšmių bei svorių vertinimo </w:t>
      </w:r>
      <w:r w:rsidR="00EA6199">
        <w:t>modeliai</w:t>
      </w:r>
      <w:r w:rsidR="00142942">
        <w:t xml:space="preserve"> ir nustatomas gautų rezultatų reikšmingumas</w:t>
      </w:r>
      <w:r>
        <w:t>.</w:t>
      </w:r>
    </w:p>
    <w:p w:rsidR="009A1AE3" w:rsidRDefault="009A1AE3" w:rsidP="00B64EEA">
      <w:pPr>
        <w:pStyle w:val="Heading3"/>
        <w:numPr>
          <w:ilvl w:val="0"/>
          <w:numId w:val="21"/>
        </w:numPr>
      </w:pPr>
      <w:bookmarkStart w:id="70" w:name="_Toc343677753"/>
      <w:r>
        <w:lastRenderedPageBreak/>
        <w:t>Tyrimo kriterijų aibės sudarymas</w:t>
      </w:r>
      <w:bookmarkEnd w:id="70"/>
    </w:p>
    <w:p w:rsidR="009A1AE3" w:rsidRDefault="00EA6199" w:rsidP="009A1AE3">
      <w:r>
        <w:t>Atlikus</w:t>
      </w:r>
      <w:r w:rsidR="009A1AE3">
        <w:t xml:space="preserve"> </w:t>
      </w:r>
      <w:r>
        <w:t>teorinę mokslinėje</w:t>
      </w:r>
      <w:r w:rsidR="009A1AE3">
        <w:t xml:space="preserve"> literatūroje pateikiamų dividendinių modelių </w:t>
      </w:r>
      <w:r>
        <w:t>formavimo metodologinių principų analizę</w:t>
      </w:r>
      <w:r w:rsidR="009A1AE3">
        <w:t>, dažniausiai nepriklausomu kintamuoju išreiškiamas akcijos kainos rodiklis (dar žymimas simboliais - P, MP arba PRICE), taip pat kainos jautrumo matas (dar žymimas simboliu – PV). Iš esmės nepriklausomo rodiklio parinkimas priklauso nuo tyrimo tikslo. Kaip teigia Imran (2011) kiekvieno įmonės vadovo tikslas yra maksimizuoti kompanijos vertę arba akcininkų gerovę, o akcijų</w:t>
      </w:r>
      <w:r w:rsidR="006811A0">
        <w:t xml:space="preserve"> pelningumas</w:t>
      </w:r>
      <w:r w:rsidR="009A1AE3">
        <w:t xml:space="preserve"> būtent ir atspindi kaip vadovui sekasi siekti šių tikslų. </w:t>
      </w:r>
      <w:r w:rsidR="006811A0">
        <w:t>Didesnis dividendų dydis reiškia ir didesnę akcijos vertę</w:t>
      </w:r>
      <w:r w:rsidR="009A1AE3">
        <w:t>. Didesni ir pastoviai mokami dividendai lemia didesnę akcijų paklausą, kas taip pat didina ir akcijų kainą (Imran, 2011). Tokiu atveju grįžtama prie ankstyv</w:t>
      </w:r>
      <w:r w:rsidR="006811A0">
        <w:t>ojo Gordon (1963) požiūrio ir toliau laikomasi esminės jo prielaidos -</w:t>
      </w:r>
      <w:r w:rsidR="009A1AE3">
        <w:t xml:space="preserve"> įmonės dividendų politika</w:t>
      </w:r>
      <w:r w:rsidR="006811A0">
        <w:t xml:space="preserve"> reikšmingai</w:t>
      </w:r>
      <w:r w:rsidR="009A1AE3">
        <w:t xml:space="preserve"> įtakoja jos akcijų kainą.</w:t>
      </w:r>
    </w:p>
    <w:p w:rsidR="009A1AE3" w:rsidRDefault="009A1AE3" w:rsidP="00EA6199">
      <w:r>
        <w:t>K</w:t>
      </w:r>
      <w:r w:rsidR="00CC60D6">
        <w:t xml:space="preserve">aip rodo atlikta mokslinės literatūros analizė, </w:t>
      </w:r>
      <w:r>
        <w:t>dividendų dydis ir akcijos kainos pokytis yra pagrindiniai dividendinį investuotoją dominantys veiksniai,</w:t>
      </w:r>
      <w:r w:rsidR="00CC60D6">
        <w:t xml:space="preserve"> todėl</w:t>
      </w:r>
      <w:r>
        <w:t xml:space="preserve"> numatomo tyrimo tikslas yra išanalizuoti efektą tarp atitinkamos įmonės išmokamų piniginių dividendų dydžio ir akcijų kainos</w:t>
      </w:r>
      <w:r w:rsidR="006D5BEA">
        <w:t xml:space="preserve"> pokyčio (akcijų pelningumo)</w:t>
      </w:r>
      <w:r w:rsidR="00CC60D6">
        <w:t xml:space="preserve"> dividendų paskelbimo laikotarpiu</w:t>
      </w:r>
      <w:r>
        <w:t xml:space="preserve">, kartu įtraukiant svarbiausius fundamentinius veiksnius, </w:t>
      </w:r>
      <w:r w:rsidR="001F1196">
        <w:t>kurie dažniausiai naudojami</w:t>
      </w:r>
      <w:r>
        <w:t xml:space="preserve"> šiuolaikinė</w:t>
      </w:r>
      <w:r w:rsidR="001F1196">
        <w:t>je</w:t>
      </w:r>
      <w:r>
        <w:t xml:space="preserve"> mokslinė</w:t>
      </w:r>
      <w:r w:rsidR="001F1196">
        <w:t>je literatūroje</w:t>
      </w:r>
      <w:r>
        <w:t xml:space="preserve"> ir </w:t>
      </w:r>
      <w:r w:rsidR="00EA6199">
        <w:t>gali turėti</w:t>
      </w:r>
      <w:r>
        <w:t xml:space="preserve"> reikšmingo</w:t>
      </w:r>
      <w:r w:rsidR="00EA6199">
        <w:t>s įtakos dividendinio investavimo (dividendinės politikos formavimo) strategijai</w:t>
      </w:r>
      <w:r>
        <w:t>.</w:t>
      </w:r>
      <w:r w:rsidR="00EA6199">
        <w:t xml:space="preserve"> </w:t>
      </w:r>
    </w:p>
    <w:p w:rsidR="009A1AE3" w:rsidRPr="00F47879" w:rsidRDefault="009C4B59" w:rsidP="009A1AE3">
      <w:pPr>
        <w:rPr>
          <w:b/>
          <w:i/>
        </w:rPr>
      </w:pPr>
      <w:r>
        <w:rPr>
          <w:b/>
          <w:i/>
        </w:rPr>
        <w:t>P</w:t>
      </w:r>
      <w:r w:rsidR="009A1AE3" w:rsidRPr="00F47879">
        <w:rPr>
          <w:b/>
          <w:i/>
        </w:rPr>
        <w:t>riklausomas tyrimo kintamasis</w:t>
      </w:r>
    </w:p>
    <w:p w:rsidR="009C4B59" w:rsidRDefault="006D5BEA" w:rsidP="009A1AE3">
      <w:r>
        <w:rPr>
          <w:b/>
        </w:rPr>
        <w:t>Akcijos pelningumas</w:t>
      </w:r>
      <w:r w:rsidR="009A1AE3">
        <w:rPr>
          <w:b/>
        </w:rPr>
        <w:t xml:space="preserve">. </w:t>
      </w:r>
      <w:r>
        <w:t>Akcijų kainą, kaip nepr</w:t>
      </w:r>
      <w:r w:rsidR="00050FDA">
        <w:t>iklausomąjį kintamąjį dividend</w:t>
      </w:r>
      <w:r>
        <w:t xml:space="preserve">inei politikai analizuoti, naudojo Bougatef (2011), Khan ir kt. (2011), Khan (2012), tuo tarpu kiti autoriai (Asghar, 2011, Ishat, Nishat, Irfan 2012) kaip nepriklausomąjį kintamąjį naudojo kainos </w:t>
      </w:r>
      <w:r w:rsidR="009C4B59">
        <w:t>pokyčio</w:t>
      </w:r>
      <w:r>
        <w:t xml:space="preserve"> matą</w:t>
      </w:r>
      <w:r w:rsidR="007D46EC">
        <w:t xml:space="preserve"> (PV)</w:t>
      </w:r>
      <w:r>
        <w:t xml:space="preserve">. </w:t>
      </w:r>
      <w:r w:rsidR="009C4B59">
        <w:t>Akcijų pelningumo dividendų įvykio dienomis analizei Fracassi, Portniaguina, Uyasal (2008), taip pat Hussainey, Mgbame, Chijoke-Mgbame (2010), Yeh, Liou, Lin ir Kurniasih et al. (2011) naudojo nepriklausomą akcijų pelningumo matą – CAR, skirtingiems laiko intervalams analizuoti.</w:t>
      </w:r>
    </w:p>
    <w:p w:rsidR="009A1AE3" w:rsidRDefault="006D5BEA" w:rsidP="009A1AE3">
      <w:pPr>
        <w:rPr>
          <w:b/>
        </w:rPr>
      </w:pPr>
      <w:r>
        <w:t xml:space="preserve">Kadangi </w:t>
      </w:r>
      <w:r w:rsidR="00EA6199">
        <w:t>šiame darbe analizuojama dividendinių naujienų įtaka akcijų kainoms d</w:t>
      </w:r>
      <w:r w:rsidR="009C4B59">
        <w:t xml:space="preserve">ividendų paskelbimo dienomis, </w:t>
      </w:r>
      <w:r w:rsidR="00EA6199">
        <w:t>priklausomu tyrimo kintamuoju parenkamas akcijos pelningumo matas</w:t>
      </w:r>
      <w:r w:rsidR="00237291">
        <w:t>.</w:t>
      </w:r>
      <w:r>
        <w:t xml:space="preserve">  </w:t>
      </w:r>
      <w:r w:rsidR="009A1AE3">
        <w:t xml:space="preserve">Akcijos </w:t>
      </w:r>
      <w:r>
        <w:t>pelningumas modelyje</w:t>
      </w:r>
      <w:r w:rsidR="009A1AE3" w:rsidRPr="0032540B">
        <w:t xml:space="preserve"> apskaiči</w:t>
      </w:r>
      <w:r w:rsidR="009A1AE3">
        <w:t>uojama</w:t>
      </w:r>
      <w:r>
        <w:t>s</w:t>
      </w:r>
      <w:r w:rsidR="009A1AE3">
        <w:t xml:space="preserve"> </w:t>
      </w:r>
      <w:r w:rsidR="00EA6199" w:rsidRPr="009C4B59">
        <w:t>remi</w:t>
      </w:r>
      <w:r w:rsidR="009C4B59" w:rsidRPr="009C4B59">
        <w:t xml:space="preserve">antis technikomis, aprašytomis </w:t>
      </w:r>
      <w:r w:rsidR="00EC7800">
        <w:fldChar w:fldCharType="begin"/>
      </w:r>
      <w:r w:rsidR="00B96948">
        <w:instrText xml:space="preserve"> REF _Ref343084077 \r \h </w:instrText>
      </w:r>
      <w:r w:rsidR="00EC7800">
        <w:fldChar w:fldCharType="separate"/>
      </w:r>
      <w:r w:rsidR="0009577F">
        <w:t>2.2.1</w:t>
      </w:r>
      <w:r w:rsidR="00EC7800">
        <w:fldChar w:fldCharType="end"/>
      </w:r>
      <w:r w:rsidR="00EA6199" w:rsidRPr="009C4B59">
        <w:t xml:space="preserve"> darbo dalyje</w:t>
      </w:r>
      <w:r w:rsidR="00EA6199">
        <w:rPr>
          <w:color w:val="FF0000"/>
        </w:rPr>
        <w:t>.</w:t>
      </w:r>
      <w:r w:rsidR="009A1AE3">
        <w:t xml:space="preserve"> </w:t>
      </w:r>
    </w:p>
    <w:p w:rsidR="009A1AE3" w:rsidRPr="00F47879" w:rsidRDefault="009C4B59" w:rsidP="009A1AE3">
      <w:pPr>
        <w:rPr>
          <w:b/>
          <w:i/>
        </w:rPr>
      </w:pPr>
      <w:r>
        <w:rPr>
          <w:b/>
          <w:i/>
        </w:rPr>
        <w:t>Nep</w:t>
      </w:r>
      <w:r w:rsidR="009A1AE3" w:rsidRPr="00F47879">
        <w:rPr>
          <w:b/>
          <w:i/>
        </w:rPr>
        <w:t xml:space="preserve">riklausomi </w:t>
      </w:r>
      <w:r>
        <w:rPr>
          <w:b/>
          <w:i/>
        </w:rPr>
        <w:t xml:space="preserve">dividendų politikos </w:t>
      </w:r>
      <w:r w:rsidR="009A1AE3" w:rsidRPr="00F47879">
        <w:rPr>
          <w:b/>
          <w:i/>
        </w:rPr>
        <w:t>kintamieji</w:t>
      </w:r>
    </w:p>
    <w:p w:rsidR="00150972" w:rsidRDefault="009C4B59" w:rsidP="009A1AE3">
      <w:pPr>
        <w:rPr>
          <w:b/>
        </w:rPr>
      </w:pPr>
      <w:r>
        <w:rPr>
          <w:b/>
        </w:rPr>
        <w:t>Dividendinis pajam</w:t>
      </w:r>
      <w:r w:rsidR="009A1AE3">
        <w:rPr>
          <w:b/>
        </w:rPr>
        <w:t>ingumas</w:t>
      </w:r>
      <w:r w:rsidR="00F01C73">
        <w:rPr>
          <w:b/>
        </w:rPr>
        <w:t xml:space="preserve"> (DY)</w:t>
      </w:r>
      <w:r w:rsidR="009A1AE3">
        <w:rPr>
          <w:b/>
        </w:rPr>
        <w:t>.</w:t>
      </w:r>
      <w:r w:rsidR="00F01C73" w:rsidRPr="00A36832">
        <w:t xml:space="preserve"> </w:t>
      </w:r>
      <w:r w:rsidR="00A36832" w:rsidRPr="00A36832">
        <w:t xml:space="preserve">Remiantis </w:t>
      </w:r>
      <w:r w:rsidR="00A36832" w:rsidRPr="0080793B">
        <w:rPr>
          <w:b/>
          <w:i/>
        </w:rPr>
        <w:t>dividendų signalizavimo teorija</w:t>
      </w:r>
      <w:r w:rsidR="00A36832" w:rsidRPr="00A36832">
        <w:t>, didesnis įmonės dividendų dydis teigiamai įtakoja akcijų pelningumą, mažesnis – neigiamai (Fracassi, 2008).</w:t>
      </w:r>
      <w:r w:rsidR="00A36832">
        <w:rPr>
          <w:b/>
        </w:rPr>
        <w:t xml:space="preserve"> </w:t>
      </w:r>
      <w:r w:rsidR="00150972" w:rsidRPr="00303745">
        <w:t>Kaip pastebėjo</w:t>
      </w:r>
      <w:r w:rsidR="00150972">
        <w:rPr>
          <w:b/>
        </w:rPr>
        <w:t xml:space="preserve"> </w:t>
      </w:r>
      <w:r w:rsidR="00150972">
        <w:t>Kurniasih et al. (2011) dividendinis pajamingumas teigiamai įtakoja perteklinius pelningumus, tuo tarpu Fracassi (2008) pasteb</w:t>
      </w:r>
      <w:r w:rsidR="00A36832">
        <w:t>i</w:t>
      </w:r>
      <w:r w:rsidR="00150972">
        <w:t>, jog dividendų pajamingumo pokytis daugeliu atveju turi teigiamą statistinę prasmę tiek dividendų sumažėjimo, tiek padidėjimo metu.</w:t>
      </w:r>
      <w:r w:rsidR="00303745">
        <w:t xml:space="preserve"> </w:t>
      </w:r>
      <w:r w:rsidR="00A36832">
        <w:t xml:space="preserve">Allen, Rachim </w:t>
      </w:r>
      <w:r w:rsidR="00A36832">
        <w:lastRenderedPageBreak/>
        <w:t>(1996)</w:t>
      </w:r>
      <w:r w:rsidR="00A8153D">
        <w:t xml:space="preserve"> nustatė teigiamą tačiau silpną DY rodiklio ryšį su akcijų kainomis</w:t>
      </w:r>
      <w:r w:rsidR="00D32CF6">
        <w:t>.</w:t>
      </w:r>
      <w:r w:rsidR="00A36832">
        <w:t xml:space="preserve"> </w:t>
      </w:r>
      <w:r w:rsidR="00303745">
        <w:t>Hussainey, Mgbame, Chijoke-Mgbame (2010)</w:t>
      </w:r>
      <w:r w:rsidR="00D32CF6">
        <w:t xml:space="preserve">, Khan et al. </w:t>
      </w:r>
      <w:r w:rsidR="00D32CF6" w:rsidRPr="00D32CF6">
        <w:rPr>
          <w:szCs w:val="24"/>
        </w:rPr>
        <w:t>(2011)</w:t>
      </w:r>
      <w:r w:rsidR="00D32CF6">
        <w:rPr>
          <w:sz w:val="23"/>
          <w:szCs w:val="23"/>
        </w:rPr>
        <w:t xml:space="preserve"> </w:t>
      </w:r>
      <w:r w:rsidR="00303745">
        <w:t xml:space="preserve"> nustatė teigiamą</w:t>
      </w:r>
      <w:r w:rsidR="00D32CF6">
        <w:t xml:space="preserve"> reikšmingą</w:t>
      </w:r>
      <w:r w:rsidR="00303745">
        <w:t xml:space="preserve"> tarpusavio ryšį tarp akcijų kainų ir DY rodiklio</w:t>
      </w:r>
      <w:r w:rsidR="00A36832">
        <w:t>, tuo tarpu Baskin (1989) nustatė neigiamą ryšį tarp dividendų pajamingumo ir akcijų kainos pokyčio.</w:t>
      </w:r>
    </w:p>
    <w:p w:rsidR="009A1AE3" w:rsidRDefault="009C4B59" w:rsidP="009A1AE3">
      <w:pPr>
        <w:rPr>
          <w:szCs w:val="24"/>
        </w:rPr>
      </w:pPr>
      <w:r>
        <w:rPr>
          <w:szCs w:val="24"/>
        </w:rPr>
        <w:t>Dividendinis pajam</w:t>
      </w:r>
      <w:r w:rsidR="00237291">
        <w:rPr>
          <w:szCs w:val="24"/>
        </w:rPr>
        <w:t xml:space="preserve">ingumas </w:t>
      </w:r>
      <w:r w:rsidR="009A1AE3" w:rsidRPr="00F47879">
        <w:rPr>
          <w:szCs w:val="24"/>
        </w:rPr>
        <w:t>apskaičiuojamas</w:t>
      </w:r>
      <w:r w:rsidR="008F0FFE">
        <w:rPr>
          <w:szCs w:val="24"/>
        </w:rPr>
        <w:t xml:space="preserve"> </w:t>
      </w:r>
      <w:r w:rsidR="00F01C73">
        <w:rPr>
          <w:szCs w:val="24"/>
        </w:rPr>
        <w:t>padalinus</w:t>
      </w:r>
      <w:r w:rsidR="00F01C73" w:rsidRPr="009C4B59">
        <w:rPr>
          <w:i/>
          <w:szCs w:val="24"/>
        </w:rPr>
        <w:t xml:space="preserve"> </w:t>
      </w:r>
      <w:r w:rsidRPr="009C4B59">
        <w:rPr>
          <w:i/>
          <w:szCs w:val="24"/>
        </w:rPr>
        <w:t>t</w:t>
      </w:r>
      <w:r w:rsidR="0080793B">
        <w:rPr>
          <w:i/>
          <w:szCs w:val="24"/>
        </w:rPr>
        <w:t>+1</w:t>
      </w:r>
      <w:r w:rsidRPr="009C4B59">
        <w:rPr>
          <w:szCs w:val="24"/>
        </w:rPr>
        <w:t xml:space="preserve"> metais</w:t>
      </w:r>
      <w:r w:rsidR="0080793B">
        <w:rPr>
          <w:szCs w:val="24"/>
        </w:rPr>
        <w:t xml:space="preserve"> (po fiskalinių metų)</w:t>
      </w:r>
      <w:r>
        <w:rPr>
          <w:color w:val="FF0000"/>
          <w:szCs w:val="24"/>
        </w:rPr>
        <w:t xml:space="preserve"> </w:t>
      </w:r>
      <w:r w:rsidR="00237291">
        <w:rPr>
          <w:szCs w:val="24"/>
        </w:rPr>
        <w:t>išmokamų piniginių dividendų dydį</w:t>
      </w:r>
      <w:r w:rsidR="009A1AE3" w:rsidRPr="00F47879">
        <w:rPr>
          <w:szCs w:val="24"/>
        </w:rPr>
        <w:t xml:space="preserve">, </w:t>
      </w:r>
      <w:r w:rsidR="00237291">
        <w:rPr>
          <w:szCs w:val="24"/>
        </w:rPr>
        <w:t>tenkantį</w:t>
      </w:r>
      <w:r w:rsidR="009A1AE3" w:rsidRPr="00F47879">
        <w:rPr>
          <w:szCs w:val="24"/>
        </w:rPr>
        <w:t xml:space="preserve"> vienai akcijai</w:t>
      </w:r>
      <w:r w:rsidR="00B96948">
        <w:rPr>
          <w:szCs w:val="24"/>
        </w:rPr>
        <w:t xml:space="preserve"> (DPS)</w:t>
      </w:r>
      <w:r w:rsidR="009A1AE3" w:rsidRPr="00F47879">
        <w:rPr>
          <w:szCs w:val="24"/>
        </w:rPr>
        <w:t>,</w:t>
      </w:r>
      <w:r w:rsidR="00303745">
        <w:rPr>
          <w:szCs w:val="24"/>
        </w:rPr>
        <w:t xml:space="preserve"> neatmetus mokesčių,</w:t>
      </w:r>
      <w:r w:rsidR="009A1AE3" w:rsidRPr="00F47879">
        <w:rPr>
          <w:szCs w:val="24"/>
        </w:rPr>
        <w:t xml:space="preserve"> iš</w:t>
      </w:r>
      <w:r>
        <w:rPr>
          <w:szCs w:val="24"/>
        </w:rPr>
        <w:t xml:space="preserve"> vidutinės</w:t>
      </w:r>
      <w:r w:rsidR="009A1AE3" w:rsidRPr="00F47879">
        <w:rPr>
          <w:szCs w:val="24"/>
        </w:rPr>
        <w:t xml:space="preserve"> akcij</w:t>
      </w:r>
      <w:r w:rsidR="009A1AE3">
        <w:rPr>
          <w:szCs w:val="24"/>
        </w:rPr>
        <w:t>os kainos</w:t>
      </w:r>
      <w:r w:rsidR="00B96948">
        <w:rPr>
          <w:szCs w:val="24"/>
        </w:rPr>
        <w:t xml:space="preserve"> atitinkamų metų</w:t>
      </w:r>
      <w:r w:rsidR="009A1AE3">
        <w:rPr>
          <w:szCs w:val="24"/>
        </w:rPr>
        <w:t xml:space="preserve"> </w:t>
      </w:r>
      <w:r>
        <w:rPr>
          <w:szCs w:val="24"/>
        </w:rPr>
        <w:t xml:space="preserve">dividendų paskelbimo </w:t>
      </w:r>
      <w:r w:rsidR="00B96948">
        <w:rPr>
          <w:szCs w:val="24"/>
        </w:rPr>
        <w:t xml:space="preserve">laikotarpiui T=11 </w:t>
      </w:r>
      <w:r w:rsidR="00F01C73">
        <w:rPr>
          <w:szCs w:val="24"/>
        </w:rPr>
        <w:t>(</w:t>
      </w:r>
      <m:oMath>
        <m:acc>
          <m:accPr>
            <m:chr m:val="̅"/>
            <m:ctrlPr>
              <w:rPr>
                <w:rFonts w:ascii="Cambria Math" w:hAnsi="Cambria Math"/>
                <w:i/>
                <w:szCs w:val="24"/>
              </w:rPr>
            </m:ctrlPr>
          </m:accPr>
          <m:e>
            <m:r>
              <w:rPr>
                <w:rFonts w:ascii="Cambria Math" w:hAnsi="Cambria Math"/>
                <w:szCs w:val="24"/>
              </w:rPr>
              <m:t>P</m:t>
            </m:r>
          </m:e>
        </m:acc>
      </m:oMath>
      <w:r w:rsidR="00B96948">
        <w:rPr>
          <w:szCs w:val="24"/>
        </w:rPr>
        <w:t>[-5;5]</w:t>
      </w:r>
      <w:r w:rsidR="00F01C73">
        <w:rPr>
          <w:szCs w:val="24"/>
        </w:rPr>
        <w:t>)</w:t>
      </w:r>
      <w:r w:rsidR="009A1AE3">
        <w:rPr>
          <w:szCs w:val="24"/>
        </w:rPr>
        <w:t>.</w:t>
      </w:r>
      <w:r w:rsidR="006F0B60">
        <w:rPr>
          <w:szCs w:val="24"/>
        </w:rPr>
        <w:t xml:space="preserve"> Remiantis </w:t>
      </w:r>
      <w:r w:rsidR="0099461F">
        <w:rPr>
          <w:szCs w:val="24"/>
        </w:rPr>
        <w:t>analizuota moksline literatūra,</w:t>
      </w:r>
      <w:r w:rsidR="006F0B60">
        <w:rPr>
          <w:szCs w:val="24"/>
        </w:rPr>
        <w:t xml:space="preserve"> laukiamas reikšm</w:t>
      </w:r>
      <w:r w:rsidR="00F01C73">
        <w:rPr>
          <w:szCs w:val="24"/>
        </w:rPr>
        <w:t>ingas teigiamas poveikis akcijų</w:t>
      </w:r>
      <w:r w:rsidR="006F0B60">
        <w:rPr>
          <w:szCs w:val="24"/>
        </w:rPr>
        <w:t xml:space="preserve"> pelningumui.</w:t>
      </w:r>
    </w:p>
    <w:p w:rsidR="003F6058" w:rsidRDefault="003F6058" w:rsidP="009A1AE3">
      <w:r w:rsidRPr="003F6058">
        <w:rPr>
          <w:i/>
          <w:szCs w:val="24"/>
        </w:rPr>
        <w:t xml:space="preserve">Skaičiavimo pastaba: </w:t>
      </w:r>
      <w:r>
        <w:rPr>
          <w:szCs w:val="24"/>
        </w:rPr>
        <w:t>kai įmonė dividendų neišmoka, DY rodiklio reikšmė lygi 0.</w:t>
      </w:r>
    </w:p>
    <w:p w:rsidR="00303745" w:rsidRDefault="002346A2" w:rsidP="00303745">
      <w:pPr>
        <w:rPr>
          <w:b/>
        </w:rPr>
      </w:pPr>
      <w:r>
        <w:rPr>
          <w:b/>
        </w:rPr>
        <w:t>D</w:t>
      </w:r>
      <w:r w:rsidR="009A1AE3">
        <w:rPr>
          <w:b/>
        </w:rPr>
        <w:t xml:space="preserve">ividendų </w:t>
      </w:r>
      <w:r>
        <w:rPr>
          <w:b/>
        </w:rPr>
        <w:t>išmokėjimo rodiklis (DP)</w:t>
      </w:r>
      <w:r w:rsidR="009A1AE3">
        <w:rPr>
          <w:b/>
        </w:rPr>
        <w:t xml:space="preserve">. </w:t>
      </w:r>
      <w:r w:rsidR="009A1AE3">
        <w:t xml:space="preserve">Turint omenyje </w:t>
      </w:r>
      <w:r w:rsidR="009A1AE3" w:rsidRPr="0080793B">
        <w:rPr>
          <w:b/>
          <w:i/>
        </w:rPr>
        <w:t>klientūros efektą</w:t>
      </w:r>
      <w:r w:rsidR="009A1AE3">
        <w:t>, jei kompanija išmoka didesnį piniginių dividendų kiekį</w:t>
      </w:r>
      <w:r w:rsidR="009A1AE3" w:rsidRPr="00FE6058">
        <w:t xml:space="preserve">, tai </w:t>
      </w:r>
      <w:r w:rsidR="009A1AE3">
        <w:t>lemia</w:t>
      </w:r>
      <w:r w:rsidR="009A1AE3" w:rsidRPr="00FE6058">
        <w:t xml:space="preserve"> aukštą akcijos rinkos vertę</w:t>
      </w:r>
      <w:r w:rsidR="006F7AB6">
        <w:t xml:space="preserve">, tuo tarpu, remiantis </w:t>
      </w:r>
      <w:r w:rsidR="006F7AB6" w:rsidRPr="0080793B">
        <w:rPr>
          <w:b/>
          <w:i/>
        </w:rPr>
        <w:t>brandos stadijos hipoteze</w:t>
      </w:r>
      <w:r w:rsidR="006F7AB6" w:rsidRPr="006F7AB6">
        <w:t xml:space="preserve">, kuo didesnis dividendų, tenkančių pelnui, santykis, tuo aukštesnė įmonės brandos stadija, </w:t>
      </w:r>
      <w:r w:rsidR="006F7AB6">
        <w:t>ir tuo, ti</w:t>
      </w:r>
      <w:r w:rsidR="006F7AB6" w:rsidRPr="006F7AB6">
        <w:t>kėtina</w:t>
      </w:r>
      <w:r w:rsidR="006F7AB6">
        <w:t>, bus didesnis išmokamų dividendų dydis</w:t>
      </w:r>
      <w:r w:rsidR="006F7AB6" w:rsidRPr="006F7AB6">
        <w:t xml:space="preserve"> ateityje (Fracassi, 2008)</w:t>
      </w:r>
      <w:r w:rsidR="009A1AE3" w:rsidRPr="00FE6058">
        <w:t>.</w:t>
      </w:r>
      <w:r w:rsidR="00303745">
        <w:t xml:space="preserve"> </w:t>
      </w:r>
      <w:r w:rsidR="006F7AB6">
        <w:t xml:space="preserve">Minėtas autorius (Fracassi, 2008) nustatė neigiamą ryšį tarp dividendų išmokėjimo koeficiento ir akcijų pelningumo dividendų paskelbimo dienomis. Tuo pačiu, </w:t>
      </w:r>
      <w:r w:rsidR="00A36832">
        <w:t xml:space="preserve">Baskin (1989), Allen ir Rachim (1996), </w:t>
      </w:r>
      <w:r w:rsidR="00A8153D">
        <w:t xml:space="preserve">Nishat ir Irfan (2001), </w:t>
      </w:r>
      <w:r w:rsidR="00303745">
        <w:t>Hussainey, Mgbame, Chijoke-Mgbame (2010) taip pat nustatė neigiamą tarpusavio ryšį tarp akcijų kainų ir DP rodiklio</w:t>
      </w:r>
      <w:r w:rsidR="006F7AB6">
        <w:t>.</w:t>
      </w:r>
    </w:p>
    <w:p w:rsidR="003F6058" w:rsidRDefault="00A36832" w:rsidP="009A1AE3">
      <w:r w:rsidRPr="002346A2">
        <w:t>Skaičiuojant rodiklį, įmonės mokamų dividendų suma</w:t>
      </w:r>
      <w:r w:rsidR="0080793B">
        <w:t xml:space="preserve"> t</w:t>
      </w:r>
      <w:r w:rsidR="0080793B">
        <w:rPr>
          <w:lang w:val="en-US"/>
        </w:rPr>
        <w:t>+1 metais</w:t>
      </w:r>
      <w:r w:rsidRPr="002346A2">
        <w:t xml:space="preserve"> padalinama iš įmon</w:t>
      </w:r>
      <w:r w:rsidR="0099461F">
        <w:t>ės neto pelno</w:t>
      </w:r>
      <w:r w:rsidR="0080793B">
        <w:t xml:space="preserve"> praėjusiais fiskaliniais</w:t>
      </w:r>
      <w:r w:rsidRPr="002346A2">
        <w:t xml:space="preserve"> atitinkamais metais</w:t>
      </w:r>
      <w:r w:rsidR="0080793B">
        <w:t xml:space="preserve"> (t)</w:t>
      </w:r>
      <w:r w:rsidRPr="002346A2">
        <w:t>.</w:t>
      </w:r>
      <w:r w:rsidRPr="00A36832">
        <w:t xml:space="preserve"> </w:t>
      </w:r>
      <w:r>
        <w:t>Remiantis Fracassi (2008)</w:t>
      </w:r>
      <w:r w:rsidR="006F7AB6">
        <w:t xml:space="preserve"> bei kita moksline literatūra</w:t>
      </w:r>
      <w:r>
        <w:t>, tikimasi,</w:t>
      </w:r>
      <w:r w:rsidR="006F7AB6">
        <w:t xml:space="preserve"> kad dividendų išmokėjimo koeficiento (DP) reikšmės</w:t>
      </w:r>
      <w:r>
        <w:t xml:space="preserve"> neigiamai įtakos akcijų pelningumus.</w:t>
      </w:r>
      <w:r w:rsidR="001C3413">
        <w:t xml:space="preserve"> </w:t>
      </w:r>
    </w:p>
    <w:p w:rsidR="009A1AE3" w:rsidRPr="001C3413" w:rsidRDefault="001C3413" w:rsidP="009A1AE3">
      <w:pPr>
        <w:rPr>
          <w:b/>
          <w:szCs w:val="24"/>
        </w:rPr>
      </w:pPr>
      <w:r>
        <w:rPr>
          <w:i/>
        </w:rPr>
        <w:t>Skaičia</w:t>
      </w:r>
      <w:r w:rsidR="003F6058">
        <w:rPr>
          <w:i/>
        </w:rPr>
        <w:t>v</w:t>
      </w:r>
      <w:r>
        <w:rPr>
          <w:i/>
        </w:rPr>
        <w:t>imo p</w:t>
      </w:r>
      <w:r w:rsidRPr="001C3413">
        <w:rPr>
          <w:i/>
        </w:rPr>
        <w:t>astab</w:t>
      </w:r>
      <w:r w:rsidR="003F6058">
        <w:rPr>
          <w:i/>
        </w:rPr>
        <w:t>os</w:t>
      </w:r>
      <w:r w:rsidRPr="001C3413">
        <w:rPr>
          <w:i/>
        </w:rPr>
        <w:t>:</w:t>
      </w:r>
      <w:r>
        <w:rPr>
          <w:i/>
        </w:rPr>
        <w:t xml:space="preserve"> </w:t>
      </w:r>
      <w:r w:rsidR="003F6058">
        <w:t xml:space="preserve">kuomet įmonės </w:t>
      </w:r>
      <w:r w:rsidR="003F6058" w:rsidRPr="003F6058">
        <w:rPr>
          <w:i/>
        </w:rPr>
        <w:t xml:space="preserve">t </w:t>
      </w:r>
      <w:r w:rsidR="003F6058">
        <w:t>metais patiria nuostolius, tačiau išmoka akcininkams dividendus, DP reikšmė visuomet yra neigiama, kuomet išmokami dividendai viršija gautą pelną, DP reikšmė yra didesnė nei 1, tokiais atvejais laikoma, jog įmonė naudoja sukauptas nepaskirstyto pelno lėšas dividendams išmokėti. Kuomet įmonė dividendų neišmoka, rodiklio reikšmė lygi 0.</w:t>
      </w:r>
    </w:p>
    <w:p w:rsidR="009C4B59" w:rsidRPr="009C4B59" w:rsidRDefault="009C4B59" w:rsidP="009A1AE3">
      <w:pPr>
        <w:rPr>
          <w:b/>
          <w:i/>
          <w:szCs w:val="24"/>
        </w:rPr>
      </w:pPr>
      <w:r w:rsidRPr="009C4B59">
        <w:rPr>
          <w:b/>
          <w:i/>
          <w:szCs w:val="24"/>
        </w:rPr>
        <w:t>Nepriklausomi kontroliniai tyrimo kintamieji</w:t>
      </w:r>
    </w:p>
    <w:p w:rsidR="00756858" w:rsidRDefault="00756858" w:rsidP="00756858">
      <w:r>
        <w:rPr>
          <w:b/>
        </w:rPr>
        <w:t>Įmonės dydžio rodiklis</w:t>
      </w:r>
      <w:r w:rsidRPr="00175526">
        <w:rPr>
          <w:b/>
        </w:rPr>
        <w:t xml:space="preserve"> (lnTur)</w:t>
      </w:r>
      <w:r>
        <w:rPr>
          <w:b/>
        </w:rPr>
        <w:t xml:space="preserve">. </w:t>
      </w:r>
      <w:r w:rsidR="003536F3" w:rsidRPr="003536F3">
        <w:t xml:space="preserve">Visas įmonės turtas balanse yra naudojamas kaip įmonės rodiklis. </w:t>
      </w:r>
      <w:r w:rsidRPr="00175526">
        <w:t>Fama ir French (1993) teigė, jog mažesnės įmonės turi atitinkamai didesnę veiklos riziką ir gali susidurti su bankrotu, taip pat didesnė ir įsigijimo ir prijungimo prie  stambesnės įmonės galimybė. Taigi investuotoj</w:t>
      </w:r>
      <w:r>
        <w:t>ų</w:t>
      </w:r>
      <w:r w:rsidRPr="00175526">
        <w:t xml:space="preserve"> poreikiams patenkinti, mažesnės įmonės turėtų generuoti didesnę grąža tam, kad panaikinti masto skirtumus, kas lemia</w:t>
      </w:r>
      <w:r>
        <w:t xml:space="preserve"> ir</w:t>
      </w:r>
      <w:r w:rsidRPr="00175526">
        <w:t xml:space="preserve"> galutinės produkcijos mastus.</w:t>
      </w:r>
      <w:r>
        <w:t xml:space="preserve"> </w:t>
      </w:r>
      <w:r w:rsidR="003536F3">
        <w:t xml:space="preserve">Įmonės dydis gali būti svarbus dėl dividendų pokyčių, kadangi didesnės įmonės lengviau prieinami finansiniai resursai, kas leidžia joms naudoti agresyvesnę dividendų politiką, taip pat dydis gali padėti įvertinti </w:t>
      </w:r>
      <w:r w:rsidR="003536F3" w:rsidRPr="0080793B">
        <w:rPr>
          <w:b/>
          <w:i/>
        </w:rPr>
        <w:t xml:space="preserve">asimetriškos </w:t>
      </w:r>
      <w:r w:rsidR="003536F3" w:rsidRPr="0080793B">
        <w:rPr>
          <w:b/>
          <w:i/>
        </w:rPr>
        <w:lastRenderedPageBreak/>
        <w:t>informacijos</w:t>
      </w:r>
      <w:r w:rsidR="003536F3">
        <w:t xml:space="preserve"> egzistavimą ir </w:t>
      </w:r>
      <w:r w:rsidR="003536F3" w:rsidRPr="0080793B">
        <w:rPr>
          <w:b/>
          <w:i/>
        </w:rPr>
        <w:t>a</w:t>
      </w:r>
      <w:r w:rsidR="00820F3D">
        <w:rPr>
          <w:b/>
          <w:i/>
        </w:rPr>
        <w:t>tstovavimo</w:t>
      </w:r>
      <w:r w:rsidR="003536F3" w:rsidRPr="0080793B">
        <w:rPr>
          <w:b/>
          <w:i/>
        </w:rPr>
        <w:t xml:space="preserve"> problematiką</w:t>
      </w:r>
      <w:r w:rsidR="003536F3">
        <w:t xml:space="preserve"> (Fracassi, 2008).</w:t>
      </w:r>
      <w:r w:rsidR="003B24EE">
        <w:t xml:space="preserve"> </w:t>
      </w:r>
      <w:r w:rsidR="003B24EE">
        <w:rPr>
          <w:szCs w:val="24"/>
        </w:rPr>
        <w:t>Hussainey, Mgbame, Chijoke-Mgbame (2010), rezultatai parodė neigiamą įmonės dydžio ir akcijų kainų tarpusavio ryšį, tuo tarpu</w:t>
      </w:r>
      <w:r w:rsidR="003B24EE" w:rsidRPr="003B24EE">
        <w:rPr>
          <w:szCs w:val="24"/>
        </w:rPr>
        <w:t xml:space="preserve"> </w:t>
      </w:r>
      <w:r w:rsidR="003B24EE">
        <w:rPr>
          <w:szCs w:val="24"/>
        </w:rPr>
        <w:t>Nishat, Irfan (2001), Yeh, Liuo, Lin (2011) atveju – priešingai.</w:t>
      </w:r>
    </w:p>
    <w:p w:rsidR="00184083" w:rsidRDefault="00756858" w:rsidP="00184083">
      <w:r>
        <w:t xml:space="preserve">Šiame tyrime įmonės dydis apskaičiuojamas logaritmuojant įmonės </w:t>
      </w:r>
      <w:r w:rsidRPr="00175526">
        <w:rPr>
          <w:i/>
        </w:rPr>
        <w:t>Viso turto</w:t>
      </w:r>
      <w:r>
        <w:t xml:space="preserve"> dydį atitinkamais finansiniais metais - </w:t>
      </w:r>
      <w:r w:rsidRPr="00175526">
        <w:rPr>
          <w:i/>
        </w:rPr>
        <w:t>ln(Visas Turtas</w:t>
      </w:r>
      <w:r>
        <w:t>).</w:t>
      </w:r>
      <w:r w:rsidR="003536F3">
        <w:t xml:space="preserve"> Laukiamas teigiamas šio rodiklio ryšys su akcijų pelningumu.</w:t>
      </w:r>
      <w:r>
        <w:t xml:space="preserve"> </w:t>
      </w:r>
    </w:p>
    <w:p w:rsidR="00756858" w:rsidRPr="00175526" w:rsidRDefault="00756858" w:rsidP="00184083">
      <w:pPr>
        <w:rPr>
          <w:b/>
        </w:rPr>
      </w:pPr>
      <w:r>
        <w:rPr>
          <w:i/>
        </w:rPr>
        <w:t>Skaičiavimų p</w:t>
      </w:r>
      <w:r w:rsidRPr="00756858">
        <w:rPr>
          <w:i/>
        </w:rPr>
        <w:t>astaba:</w:t>
      </w:r>
      <w:r>
        <w:rPr>
          <w:i/>
        </w:rPr>
        <w:t xml:space="preserve"> </w:t>
      </w:r>
      <w:r w:rsidRPr="00756858">
        <w:t>įmonės, kurios turtas mažesnis nei 1 mln. Eur, logaritmuota turto vertė visais atvejais bus mažesnė už 1.</w:t>
      </w:r>
    </w:p>
    <w:p w:rsidR="00754803" w:rsidRDefault="000E5E22" w:rsidP="00754803">
      <w:pPr>
        <w:rPr>
          <w:lang w:eastAsia="lt-LT"/>
        </w:rPr>
      </w:pPr>
      <w:r w:rsidRPr="000E5E22">
        <w:rPr>
          <w:b/>
          <w:lang w:eastAsia="lt-LT"/>
        </w:rPr>
        <w:t xml:space="preserve">Nepaskirstyto pelno </w:t>
      </w:r>
      <w:r w:rsidR="007D46EC">
        <w:rPr>
          <w:b/>
          <w:lang w:eastAsia="lt-LT"/>
        </w:rPr>
        <w:t>ir nuosavo</w:t>
      </w:r>
      <w:r w:rsidRPr="000E5E22">
        <w:rPr>
          <w:b/>
          <w:lang w:eastAsia="lt-LT"/>
        </w:rPr>
        <w:t xml:space="preserve"> kapitalo santykio rodiklis (RETE).</w:t>
      </w:r>
      <w:r>
        <w:rPr>
          <w:b/>
          <w:lang w:eastAsia="lt-LT"/>
        </w:rPr>
        <w:t xml:space="preserve"> </w:t>
      </w:r>
      <w:r w:rsidR="0080793B">
        <w:rPr>
          <w:lang w:eastAsia="lt-LT"/>
        </w:rPr>
        <w:t xml:space="preserve">Santykinis rodiklis yra pakankamai reprezentatyvus </w:t>
      </w:r>
      <w:r w:rsidR="0080793B" w:rsidRPr="0080793B">
        <w:rPr>
          <w:b/>
          <w:i/>
          <w:lang w:eastAsia="lt-LT"/>
        </w:rPr>
        <w:t>brandos stadijos</w:t>
      </w:r>
      <w:r w:rsidR="0080793B">
        <w:rPr>
          <w:lang w:eastAsia="lt-LT"/>
        </w:rPr>
        <w:t xml:space="preserve"> skaičiavimo rodiklis (Fracassi, 2008). Kaip parodė DeAngelo, DeAngelo, Stulz (2006), įmonės turėdamos didesnį RETE rodiklį, turi didesnį polinkį dividendams mokėti. Dividendų padidėjimo atveju, signalizuojama rinkai, jog persikeliama iš vienos veiklos ciklo stadijos į kitą, t.y. iš didesnės sisteminės rizikos</w:t>
      </w:r>
      <w:r w:rsidR="00D932E1">
        <w:rPr>
          <w:lang w:eastAsia="lt-LT"/>
        </w:rPr>
        <w:t xml:space="preserve"> į mažesnę riziką. Dividendų pa</w:t>
      </w:r>
      <w:r w:rsidR="00931F3E">
        <w:rPr>
          <w:lang w:eastAsia="lt-LT"/>
        </w:rPr>
        <w:t>didinimas bus netikėtos, tačiau</w:t>
      </w:r>
      <w:r w:rsidR="0080793B">
        <w:rPr>
          <w:lang w:eastAsia="lt-LT"/>
        </w:rPr>
        <w:t xml:space="preserve"> geros naujienos, kuomet RETE rodiklis bus sąlyginai maža</w:t>
      </w:r>
      <w:r w:rsidR="00D932E1">
        <w:rPr>
          <w:lang w:eastAsia="lt-LT"/>
        </w:rPr>
        <w:t>s</w:t>
      </w:r>
      <w:r w:rsidR="0080793B">
        <w:rPr>
          <w:lang w:eastAsia="lt-LT"/>
        </w:rPr>
        <w:t xml:space="preserve">, tuo tarpu dividendų padidinimo atveju – priešingai (Fracassi, 2008). Kaip teigia Fracassi (2008) </w:t>
      </w:r>
      <w:r w:rsidR="0080793B" w:rsidRPr="0080793B">
        <w:rPr>
          <w:i/>
          <w:lang w:eastAsia="lt-LT"/>
        </w:rPr>
        <w:t>brandos stadijos</w:t>
      </w:r>
      <w:r w:rsidR="00D932E1">
        <w:rPr>
          <w:lang w:eastAsia="lt-LT"/>
        </w:rPr>
        <w:t xml:space="preserve"> hipotezė prognozuoja neigiamas</w:t>
      </w:r>
      <w:r w:rsidR="0080793B">
        <w:rPr>
          <w:lang w:eastAsia="lt-LT"/>
        </w:rPr>
        <w:t xml:space="preserve"> reikšmės tiek dividendų didinimo, tiek ir mažinimo atvejais, ir kaip parodė mokslininko atliktas tyrimas, RETE yra neigiamas abi</w:t>
      </w:r>
      <w:r w:rsidR="00754803">
        <w:rPr>
          <w:lang w:eastAsia="lt-LT"/>
        </w:rPr>
        <w:t>em dividendų naujienų atvejais.</w:t>
      </w:r>
    </w:p>
    <w:p w:rsidR="000E5E22" w:rsidRPr="000E5E22" w:rsidRDefault="0080793B" w:rsidP="00754803">
      <w:r>
        <w:rPr>
          <w:lang w:eastAsia="lt-LT"/>
        </w:rPr>
        <w:t xml:space="preserve">Rodiklis apskaičiuojamas nepaskirstytą </w:t>
      </w:r>
      <w:r w:rsidRPr="00754803">
        <w:rPr>
          <w:i/>
          <w:lang w:eastAsia="lt-LT"/>
        </w:rPr>
        <w:t>t</w:t>
      </w:r>
      <w:r>
        <w:rPr>
          <w:lang w:eastAsia="lt-LT"/>
        </w:rPr>
        <w:t xml:space="preserve"> metų pelną padalinus iš akcinio kapitalo atitinkamais metais</w:t>
      </w:r>
      <w:r w:rsidR="00754803">
        <w:rPr>
          <w:lang w:eastAsia="lt-LT"/>
        </w:rPr>
        <w:t>. Remiantis analizuota literatūra, laukiamas neigiamas rodiklio poveikis akcijų pelningumui.</w:t>
      </w:r>
    </w:p>
    <w:p w:rsidR="003F6058" w:rsidRDefault="00756858" w:rsidP="0099461F">
      <w:pPr>
        <w:rPr>
          <w:szCs w:val="24"/>
        </w:rPr>
      </w:pPr>
      <w:r>
        <w:rPr>
          <w:b/>
          <w:szCs w:val="24"/>
        </w:rPr>
        <w:t xml:space="preserve">Nepaskirstyto pelno </w:t>
      </w:r>
      <w:r w:rsidR="00820F3D">
        <w:rPr>
          <w:b/>
          <w:szCs w:val="24"/>
        </w:rPr>
        <w:t>rodiklis</w:t>
      </w:r>
      <w:r w:rsidR="0080793B">
        <w:rPr>
          <w:b/>
          <w:szCs w:val="24"/>
        </w:rPr>
        <w:t xml:space="preserve"> (RR)</w:t>
      </w:r>
      <w:r w:rsidR="009A1AE3">
        <w:rPr>
          <w:szCs w:val="24"/>
        </w:rPr>
        <w:t>.</w:t>
      </w:r>
      <w:r w:rsidR="009A1AE3" w:rsidRPr="00F47879">
        <w:rPr>
          <w:szCs w:val="24"/>
        </w:rPr>
        <w:t xml:space="preserve"> </w:t>
      </w:r>
      <w:r w:rsidR="003536F3">
        <w:rPr>
          <w:szCs w:val="24"/>
        </w:rPr>
        <w:t xml:space="preserve">Khan (2012) pastebėjo teigiamą rodiklio įtaką akcijų kainoms, tačiau prieš tai </w:t>
      </w:r>
      <w:r w:rsidR="003F6058">
        <w:t xml:space="preserve">Khan et al. </w:t>
      </w:r>
      <w:r w:rsidR="003F6058" w:rsidRPr="00D32CF6">
        <w:rPr>
          <w:szCs w:val="24"/>
        </w:rPr>
        <w:t>(2011)</w:t>
      </w:r>
      <w:r w:rsidR="003F6058">
        <w:rPr>
          <w:szCs w:val="24"/>
        </w:rPr>
        <w:t xml:space="preserve"> </w:t>
      </w:r>
      <w:r w:rsidR="007E4D09">
        <w:rPr>
          <w:szCs w:val="24"/>
        </w:rPr>
        <w:t>tyrimo metu nustatė</w:t>
      </w:r>
      <w:r w:rsidR="003536F3">
        <w:rPr>
          <w:szCs w:val="24"/>
        </w:rPr>
        <w:t xml:space="preserve"> </w:t>
      </w:r>
      <w:r w:rsidR="007E4D09">
        <w:rPr>
          <w:szCs w:val="24"/>
        </w:rPr>
        <w:t>neigiamą</w:t>
      </w:r>
      <w:r w:rsidR="003536F3">
        <w:rPr>
          <w:szCs w:val="24"/>
        </w:rPr>
        <w:t xml:space="preserve"> šio rodiklio įtaka akcijų kainoms</w:t>
      </w:r>
      <w:r w:rsidR="003F6058">
        <w:rPr>
          <w:szCs w:val="24"/>
        </w:rPr>
        <w:t xml:space="preserve">. </w:t>
      </w:r>
      <w:r w:rsidR="003F6058">
        <w:t xml:space="preserve">Neigiamas RR rodiklio ir akcijų pelningumo ryšys rodo, jog akcininkai tikisi, jog įmonės mokės dividendus, </w:t>
      </w:r>
      <w:r w:rsidR="003536F3">
        <w:t xml:space="preserve">tačiau </w:t>
      </w:r>
      <w:r w:rsidR="003F6058">
        <w:t xml:space="preserve">kuomet įmonė atideda </w:t>
      </w:r>
      <w:r w:rsidR="00931F3E">
        <w:t>pastebimą</w:t>
      </w:r>
      <w:r w:rsidR="003F6058">
        <w:t xml:space="preserve"> dalį pelno dėl vidinių įmonės poreikių, tai neigiamai veikia akcijų kainas (Khan, et al. 2011)</w:t>
      </w:r>
    </w:p>
    <w:p w:rsidR="007E4D09" w:rsidRDefault="003F6058" w:rsidP="0099461F">
      <w:pPr>
        <w:rPr>
          <w:szCs w:val="24"/>
        </w:rPr>
      </w:pPr>
      <w:r>
        <w:rPr>
          <w:szCs w:val="24"/>
        </w:rPr>
        <w:t>Nepriklausomas</w:t>
      </w:r>
      <w:r w:rsidR="009A1AE3">
        <w:rPr>
          <w:szCs w:val="24"/>
        </w:rPr>
        <w:t xml:space="preserve"> kintamasis </w:t>
      </w:r>
      <w:r w:rsidR="009A1AE3" w:rsidRPr="00F47879">
        <w:rPr>
          <w:szCs w:val="24"/>
        </w:rPr>
        <w:t>apskaičiuojama</w:t>
      </w:r>
      <w:r w:rsidR="009A1AE3">
        <w:rPr>
          <w:szCs w:val="24"/>
        </w:rPr>
        <w:t>s</w:t>
      </w:r>
      <w:r w:rsidR="007E4D09">
        <w:rPr>
          <w:szCs w:val="24"/>
        </w:rPr>
        <w:t xml:space="preserve"> </w:t>
      </w:r>
      <w:r w:rsidR="007E4D09" w:rsidRPr="007E4D09">
        <w:rPr>
          <w:i/>
          <w:szCs w:val="24"/>
        </w:rPr>
        <w:t>t</w:t>
      </w:r>
      <w:r w:rsidR="007E4D09">
        <w:rPr>
          <w:szCs w:val="24"/>
        </w:rPr>
        <w:t xml:space="preserve"> metais</w:t>
      </w:r>
      <w:r w:rsidR="009A1AE3" w:rsidRPr="00F47879">
        <w:rPr>
          <w:szCs w:val="24"/>
        </w:rPr>
        <w:t xml:space="preserve"> </w:t>
      </w:r>
      <w:r w:rsidR="007E4D09" w:rsidRPr="007E4D09">
        <w:rPr>
          <w:szCs w:val="24"/>
        </w:rPr>
        <w:t>išmokamų dividendų dydį</w:t>
      </w:r>
      <w:r w:rsidR="007E4D09">
        <w:rPr>
          <w:szCs w:val="24"/>
        </w:rPr>
        <w:t xml:space="preserve"> (arba DPS)</w:t>
      </w:r>
      <w:r w:rsidR="009A1AE3">
        <w:rPr>
          <w:szCs w:val="24"/>
        </w:rPr>
        <w:t>,</w:t>
      </w:r>
      <w:r w:rsidR="009A1AE3" w:rsidRPr="00F47879">
        <w:rPr>
          <w:szCs w:val="24"/>
        </w:rPr>
        <w:t xml:space="preserve"> atėmus </w:t>
      </w:r>
      <w:r w:rsidR="009A1AE3">
        <w:rPr>
          <w:szCs w:val="24"/>
        </w:rPr>
        <w:t>juos iš viso</w:t>
      </w:r>
      <w:r w:rsidR="007E4D09">
        <w:rPr>
          <w:szCs w:val="24"/>
        </w:rPr>
        <w:t xml:space="preserve"> neto</w:t>
      </w:r>
      <w:r w:rsidR="009A1AE3">
        <w:rPr>
          <w:szCs w:val="24"/>
        </w:rPr>
        <w:t xml:space="preserve"> pelno</w:t>
      </w:r>
      <w:r w:rsidR="007E4D09">
        <w:rPr>
          <w:szCs w:val="24"/>
        </w:rPr>
        <w:t xml:space="preserve"> </w:t>
      </w:r>
      <w:r w:rsidR="007E4D09" w:rsidRPr="007E4D09">
        <w:rPr>
          <w:i/>
          <w:szCs w:val="24"/>
        </w:rPr>
        <w:t>t-1</w:t>
      </w:r>
      <w:r w:rsidR="007E4D09">
        <w:rPr>
          <w:szCs w:val="24"/>
        </w:rPr>
        <w:t xml:space="preserve"> metais (EPS)</w:t>
      </w:r>
      <w:r w:rsidR="009A1AE3">
        <w:rPr>
          <w:szCs w:val="24"/>
        </w:rPr>
        <w:t xml:space="preserve"> ir gautą rezultatą padalinant</w:t>
      </w:r>
      <w:r w:rsidR="007E4D09">
        <w:rPr>
          <w:szCs w:val="24"/>
        </w:rPr>
        <w:t xml:space="preserve"> iš neto pelno </w:t>
      </w:r>
      <w:r w:rsidR="007E4D09" w:rsidRPr="007E4D09">
        <w:rPr>
          <w:i/>
          <w:szCs w:val="24"/>
        </w:rPr>
        <w:t>t-1</w:t>
      </w:r>
      <w:r w:rsidR="007E4D09">
        <w:rPr>
          <w:szCs w:val="24"/>
        </w:rPr>
        <w:t xml:space="preserve"> metais (EPS). </w:t>
      </w:r>
    </w:p>
    <w:p w:rsidR="0099461F" w:rsidRDefault="007E4D09" w:rsidP="0099461F">
      <w:pPr>
        <w:rPr>
          <w:szCs w:val="24"/>
        </w:rPr>
      </w:pPr>
      <w:r w:rsidRPr="007E4D09">
        <w:rPr>
          <w:i/>
          <w:szCs w:val="24"/>
        </w:rPr>
        <w:t>Skaičiavimo pastab</w:t>
      </w:r>
      <w:r>
        <w:rPr>
          <w:i/>
          <w:szCs w:val="24"/>
        </w:rPr>
        <w:t>os</w:t>
      </w:r>
      <w:r w:rsidRPr="007E4D09">
        <w:rPr>
          <w:i/>
          <w:szCs w:val="24"/>
        </w:rPr>
        <w:t>:</w:t>
      </w:r>
      <w:r>
        <w:rPr>
          <w:szCs w:val="24"/>
        </w:rPr>
        <w:t xml:space="preserve"> Kuomet įmonė išmoka dividendus, nors finansiniais metais prieš dividendų paskelbimą patiria nuostolius, rodiklio reikšmė yra lygi 0, kaip ir tuo atveju, jei išmokamų dividendų dydis viršija gauto pelno dydį. Jei įmonė dividendų neišmoka, tiek neigiamo, tiek ir teigiamo pelno rezultato atveju, tuomet atidedama pelno norma lygi 1.</w:t>
      </w:r>
    </w:p>
    <w:p w:rsidR="007E4D09" w:rsidRDefault="007E4D09" w:rsidP="00557A04">
      <w:r>
        <w:rPr>
          <w:b/>
          <w:szCs w:val="24"/>
        </w:rPr>
        <w:t xml:space="preserve">Pelno prieš </w:t>
      </w:r>
      <w:r w:rsidR="00820F3D">
        <w:rPr>
          <w:b/>
          <w:szCs w:val="24"/>
        </w:rPr>
        <w:t>palūkanas, mokesčius, nusidėvėjimą ir amortizaciją pokytis</w:t>
      </w:r>
      <w:r>
        <w:rPr>
          <w:b/>
          <w:szCs w:val="24"/>
        </w:rPr>
        <w:t xml:space="preserve"> </w:t>
      </w:r>
      <w:r w:rsidRPr="007E4D09">
        <w:rPr>
          <w:b/>
          <w:szCs w:val="24"/>
        </w:rPr>
        <w:t>(</w:t>
      </w:r>
      <w:r w:rsidR="002513C3">
        <w:rPr>
          <w:rFonts w:eastAsia="Times New Roman" w:cs="Times New Roman"/>
          <w:b/>
          <w:color w:val="000000"/>
          <w:szCs w:val="24"/>
          <w:lang w:eastAsia="lt-LT"/>
        </w:rPr>
        <w:t>∆EBI</w:t>
      </w:r>
      <w:r w:rsidRPr="007E4D09">
        <w:rPr>
          <w:rFonts w:eastAsia="Times New Roman" w:cs="Times New Roman"/>
          <w:b/>
          <w:color w:val="000000"/>
          <w:szCs w:val="24"/>
          <w:lang w:eastAsia="lt-LT"/>
        </w:rPr>
        <w:t>T</w:t>
      </w:r>
      <w:r w:rsidR="002513C3">
        <w:rPr>
          <w:rFonts w:eastAsia="Times New Roman" w:cs="Times New Roman"/>
          <w:b/>
          <w:color w:val="000000"/>
          <w:szCs w:val="24"/>
          <w:lang w:eastAsia="lt-LT"/>
        </w:rPr>
        <w:t>D</w:t>
      </w:r>
      <w:r w:rsidRPr="007E4D09">
        <w:rPr>
          <w:rFonts w:eastAsia="Times New Roman" w:cs="Times New Roman"/>
          <w:b/>
          <w:color w:val="000000"/>
          <w:szCs w:val="24"/>
          <w:lang w:eastAsia="lt-LT"/>
        </w:rPr>
        <w:t>A)</w:t>
      </w:r>
      <w:r>
        <w:rPr>
          <w:rFonts w:eastAsia="Times New Roman" w:cs="Times New Roman"/>
          <w:b/>
          <w:color w:val="000000"/>
          <w:szCs w:val="24"/>
          <w:lang w:eastAsia="lt-LT"/>
        </w:rPr>
        <w:t xml:space="preserve">. </w:t>
      </w:r>
      <w:r w:rsidR="00557A04">
        <w:t>Rodiklis padeda įvertinti įmonių rezultatus, neatsižvelgiant į naudojamus veiklos finansavimo šaltinius ir jų struktūrą: p</w:t>
      </w:r>
      <w:r>
        <w:t>elnas prieš palūkanas, mokesčius ir nusidėvėjimą parodo įmonės</w:t>
      </w:r>
      <w:r w:rsidR="00557A04">
        <w:t xml:space="preserve"> </w:t>
      </w:r>
      <w:r>
        <w:t xml:space="preserve">uždirbtą pelną prieš </w:t>
      </w:r>
      <w:r>
        <w:lastRenderedPageBreak/>
        <w:t>įmonės finansavimo politikos, o taip pat pelno mok</w:t>
      </w:r>
      <w:r w:rsidR="00557A04">
        <w:t>esčio poveikio pelnui vertinimą (Darškuvienė, 2010). Šis rodiklis pranašesnis už kitus pelningumo rodiklius ir tuo, jog</w:t>
      </w:r>
      <w:r>
        <w:t xml:space="preserve"> apskaič</w:t>
      </w:r>
      <w:r w:rsidR="00557A04">
        <w:t>iuotą EBITDA galima laikyti</w:t>
      </w:r>
      <w:r>
        <w:t xml:space="preserve"> apytiksliu įmonės</w:t>
      </w:r>
      <w:r w:rsidR="00557A04">
        <w:t xml:space="preserve"> </w:t>
      </w:r>
      <w:r>
        <w:t>veiklos pinigų srautu.</w:t>
      </w:r>
      <w:r w:rsidR="00557A04">
        <w:t xml:space="preserve"> Tam, kad atspindėti apytikslių įmonės srautų pokytį finansiniais metais, rodiklis apskaičiuojamas kaip einamų </w:t>
      </w:r>
      <w:r w:rsidR="00557A04" w:rsidRPr="00557A04">
        <w:rPr>
          <w:i/>
        </w:rPr>
        <w:t>t</w:t>
      </w:r>
      <w:r w:rsidR="00557A04">
        <w:t xml:space="preserve"> metų EBITDA pelno pokytis lyginant su ankstesniais (</w:t>
      </w:r>
      <w:r w:rsidR="00557A04" w:rsidRPr="00557A04">
        <w:rPr>
          <w:i/>
        </w:rPr>
        <w:t>t-1</w:t>
      </w:r>
      <w:r w:rsidR="00557A04">
        <w:t xml:space="preserve">) metais. Įmonės augimo perspektyvoms analizuoti Portniaguina, Uyasal (2008) naudojo EBITDA ir viso turto santykį, </w:t>
      </w:r>
      <w:r w:rsidR="00407887">
        <w:t xml:space="preserve">remdamiesi </w:t>
      </w:r>
      <w:r w:rsidR="00407887" w:rsidRPr="00407887">
        <w:rPr>
          <w:i/>
        </w:rPr>
        <w:t>laisvo pinigų srauto hipoteze</w:t>
      </w:r>
      <w:r w:rsidR="00407887" w:rsidRPr="00407887">
        <w:t>, kuomet įmonės ekonominių nuosmukių metu neesant pelningų investavimo galimybių, bus labiau linkę pasiekti brandos stadiją ir mokėti akcininkams dividendus.</w:t>
      </w:r>
      <w:r w:rsidR="00407887">
        <w:t xml:space="preserve"> Investiciniu patrauklumu pagrįsto daugiakriterinio portfelio formavimui</w:t>
      </w:r>
      <w:r w:rsidR="00407887" w:rsidRPr="00407887">
        <w:t xml:space="preserve"> </w:t>
      </w:r>
      <w:r w:rsidR="00407887">
        <w:t>Žilinskij, Rutkauskas (2012) naudojant būtent EBITDA pokyčio rodiklį.</w:t>
      </w:r>
    </w:p>
    <w:p w:rsidR="00407887" w:rsidRDefault="002513C3" w:rsidP="00557A04">
      <w:r>
        <w:t>EBITDA</w:t>
      </w:r>
      <w:r w:rsidR="00E32AFA">
        <w:t xml:space="preserve"> pokytis šiame darbe apskaičiuojamas, kaip EBITDA </w:t>
      </w:r>
      <w:r w:rsidR="00E32AFA" w:rsidRPr="00E32AFA">
        <w:rPr>
          <w:i/>
        </w:rPr>
        <w:t>t</w:t>
      </w:r>
      <w:r w:rsidR="00E32AFA">
        <w:t xml:space="preserve"> metais ir </w:t>
      </w:r>
      <w:r>
        <w:t>EBITDA</w:t>
      </w:r>
      <w:r w:rsidR="00E32AFA">
        <w:t xml:space="preserve"> </w:t>
      </w:r>
      <w:r w:rsidR="00E32AFA" w:rsidRPr="00E32AFA">
        <w:rPr>
          <w:i/>
        </w:rPr>
        <w:t>t-1</w:t>
      </w:r>
      <w:r w:rsidR="00E32AFA">
        <w:t xml:space="preserve"> metais skirtumas, padalintas iš EBITD</w:t>
      </w:r>
      <w:r w:rsidR="00407887">
        <w:t>A</w:t>
      </w:r>
      <w:r w:rsidR="00E32AFA">
        <w:t xml:space="preserve"> </w:t>
      </w:r>
      <w:r w:rsidR="00E32AFA" w:rsidRPr="00E32AFA">
        <w:rPr>
          <w:i/>
        </w:rPr>
        <w:t>t-1</w:t>
      </w:r>
      <w:r w:rsidR="00E32AFA">
        <w:t xml:space="preserve"> metais. A</w:t>
      </w:r>
      <w:r w:rsidR="00407887">
        <w:t>tsižvelgiant į Portniaguina, Uyasal (2008) tyrimo rezultatus ir Žilinskij, Rutkauskas (2012) planuotą efektą akcijų patrauklumui,</w:t>
      </w:r>
      <w:r w:rsidR="00E32AFA">
        <w:t xml:space="preserve"> taip pat atsižvelgiant į kituose moksliniuose šaltiniuose analizuotą neto pelningumo rodiklio (EPS) poveikį akcijų kainoms,</w:t>
      </w:r>
      <w:r w:rsidR="00407887">
        <w:t xml:space="preserve"> šiame darbe tikimasi teigiamo EBITDA pokyčio rodiklio poveikio akcijų </w:t>
      </w:r>
      <w:r w:rsidR="00E32AFA">
        <w:t>pelningumui</w:t>
      </w:r>
      <w:r w:rsidR="00407887">
        <w:t>.</w:t>
      </w:r>
    </w:p>
    <w:p w:rsidR="00407887" w:rsidRPr="00E32AFA" w:rsidRDefault="00407887" w:rsidP="00557A04">
      <w:r w:rsidRPr="00407887">
        <w:rPr>
          <w:i/>
        </w:rPr>
        <w:t>Skaičiavimo pastabos:</w:t>
      </w:r>
      <w:r>
        <w:rPr>
          <w:i/>
        </w:rPr>
        <w:t xml:space="preserve"> </w:t>
      </w:r>
      <w:r w:rsidRPr="00E32AFA">
        <w:t xml:space="preserve">Kuomet įmonė t metais uždirba pelną, nors t-1 metais patyrė nuostolių, rodiklis dėl įprastos skaičiavimo metodikos įgyja neigiamą reikšmę didesnę nei 1, todėl tokiais atvejais </w:t>
      </w:r>
      <w:r w:rsidR="00D12A34" w:rsidRPr="00E32AFA">
        <w:t>skaičiavimai koreguojami tokiu būdu: gauti EBITDA nuostoliai t-1 metais</w:t>
      </w:r>
      <w:r w:rsidR="00E32AFA" w:rsidRPr="00E32AFA">
        <w:t xml:space="preserve"> formulės skaitiklyje</w:t>
      </w:r>
      <w:r w:rsidR="00D12A34" w:rsidRPr="00E32AFA">
        <w:t xml:space="preserve"> padauginami iš dviejų (x2) ir su teigiamu (+) ženklu pridedami prie t metais gauto</w:t>
      </w:r>
      <w:r w:rsidRPr="00E32AFA">
        <w:t xml:space="preserve"> </w:t>
      </w:r>
      <w:r w:rsidR="00D12A34" w:rsidRPr="00E32AFA">
        <w:t>EBITDA pelno</w:t>
      </w:r>
      <w:r w:rsidR="00E32AFA" w:rsidRPr="00E32AFA">
        <w:t>.</w:t>
      </w:r>
      <w:r w:rsidR="00E32AFA">
        <w:t xml:space="preserve"> Formulės skaitiklio reikšmė padauginama iš -1.</w:t>
      </w:r>
    </w:p>
    <w:p w:rsidR="00E32AFA" w:rsidRDefault="00754803" w:rsidP="009A1AE3">
      <w:pPr>
        <w:rPr>
          <w:szCs w:val="24"/>
        </w:rPr>
      </w:pPr>
      <w:r>
        <w:rPr>
          <w:b/>
          <w:szCs w:val="24"/>
        </w:rPr>
        <w:t>Nuosavo kapitalo grąža (ROE)</w:t>
      </w:r>
      <w:r w:rsidR="009A1AE3" w:rsidRPr="002C3C33">
        <w:rPr>
          <w:b/>
          <w:szCs w:val="24"/>
        </w:rPr>
        <w:t>.</w:t>
      </w:r>
      <w:r w:rsidR="009A1AE3" w:rsidRPr="002C3C33">
        <w:rPr>
          <w:szCs w:val="24"/>
        </w:rPr>
        <w:t xml:space="preserve"> </w:t>
      </w:r>
      <w:r>
        <w:rPr>
          <w:szCs w:val="24"/>
        </w:rPr>
        <w:t xml:space="preserve">Ankstesnių </w:t>
      </w:r>
      <w:r w:rsidR="00E32AFA">
        <w:t xml:space="preserve">Khan et al. </w:t>
      </w:r>
      <w:r w:rsidR="00E32AFA" w:rsidRPr="00D32CF6">
        <w:rPr>
          <w:szCs w:val="24"/>
        </w:rPr>
        <w:t>(2011)</w:t>
      </w:r>
      <w:r>
        <w:rPr>
          <w:szCs w:val="24"/>
        </w:rPr>
        <w:t>, Khan (2012) tyrimų metu nustatyta, jog nuosavo kapitalo grąža</w:t>
      </w:r>
      <w:r w:rsidR="00E32AFA">
        <w:rPr>
          <w:szCs w:val="24"/>
        </w:rPr>
        <w:t xml:space="preserve"> teigiama</w:t>
      </w:r>
      <w:r>
        <w:rPr>
          <w:szCs w:val="24"/>
        </w:rPr>
        <w:t>i veikia akcijų kainas</w:t>
      </w:r>
      <w:r w:rsidR="00E32AFA">
        <w:rPr>
          <w:szCs w:val="24"/>
        </w:rPr>
        <w:t xml:space="preserve">. </w:t>
      </w:r>
      <w:r w:rsidR="00E32AFA" w:rsidRPr="00C32F62">
        <w:rPr>
          <w:szCs w:val="24"/>
        </w:rPr>
        <w:t>Didesnė</w:t>
      </w:r>
      <w:r w:rsidR="00E32AFA">
        <w:rPr>
          <w:szCs w:val="24"/>
        </w:rPr>
        <w:t>s</w:t>
      </w:r>
      <w:r w:rsidR="00E32AFA" w:rsidRPr="00C32F62">
        <w:rPr>
          <w:szCs w:val="24"/>
        </w:rPr>
        <w:t xml:space="preserve"> pelningumo reikšmė</w:t>
      </w:r>
      <w:r w:rsidR="00E32AFA">
        <w:rPr>
          <w:szCs w:val="24"/>
        </w:rPr>
        <w:t>s</w:t>
      </w:r>
      <w:r w:rsidR="00E32AFA" w:rsidRPr="00C32F62">
        <w:rPr>
          <w:szCs w:val="24"/>
        </w:rPr>
        <w:t xml:space="preserve"> rodo, kad įmonė sugeba uždirbti didesnę grąžą akcininkams</w:t>
      </w:r>
      <w:r w:rsidR="00E32AFA">
        <w:rPr>
          <w:szCs w:val="24"/>
        </w:rPr>
        <w:t>, tuo pačiu efektyviai panaudojant akcininkų pinigines lėšas,</w:t>
      </w:r>
      <w:r w:rsidR="00E32AFA" w:rsidRPr="00C32F62">
        <w:rPr>
          <w:szCs w:val="24"/>
        </w:rPr>
        <w:t xml:space="preserve"> ir tai lemia didesnį akcijos patrauklumą</w:t>
      </w:r>
      <w:r>
        <w:rPr>
          <w:szCs w:val="24"/>
        </w:rPr>
        <w:t xml:space="preserve"> investuotojų tarpe</w:t>
      </w:r>
      <w:r w:rsidR="00E32AFA">
        <w:rPr>
          <w:szCs w:val="24"/>
        </w:rPr>
        <w:t xml:space="preserve"> (Khan et al. 2011)</w:t>
      </w:r>
      <w:r w:rsidR="00E32AFA" w:rsidRPr="00C32F62">
        <w:rPr>
          <w:szCs w:val="24"/>
        </w:rPr>
        <w:t>.</w:t>
      </w:r>
      <w:r w:rsidR="00E32AFA">
        <w:rPr>
          <w:szCs w:val="24"/>
        </w:rPr>
        <w:t xml:space="preserve"> </w:t>
      </w:r>
    </w:p>
    <w:p w:rsidR="009A1AE3" w:rsidRDefault="009A1AE3" w:rsidP="009A1AE3">
      <w:pPr>
        <w:rPr>
          <w:szCs w:val="24"/>
        </w:rPr>
      </w:pPr>
      <w:r w:rsidRPr="002C3C33">
        <w:rPr>
          <w:szCs w:val="24"/>
        </w:rPr>
        <w:t xml:space="preserve">Rodiklis apskaičiuojamas padalinus atitinkamų metų </w:t>
      </w:r>
      <w:r w:rsidR="00E32AFA">
        <w:rPr>
          <w:szCs w:val="24"/>
        </w:rPr>
        <w:t xml:space="preserve">neto </w:t>
      </w:r>
      <w:r w:rsidRPr="002C3C33">
        <w:rPr>
          <w:szCs w:val="24"/>
        </w:rPr>
        <w:t>pelną iš akcinio kapitalo. Akcinis kapitalas apskaičiuojamas iš viso įmonės tur</w:t>
      </w:r>
      <w:r w:rsidR="00C32F62">
        <w:rPr>
          <w:szCs w:val="24"/>
        </w:rPr>
        <w:t xml:space="preserve">to atėmus visus įsipareigojimus. </w:t>
      </w:r>
      <w:r w:rsidR="00754803">
        <w:rPr>
          <w:szCs w:val="24"/>
        </w:rPr>
        <w:t>Atsižvelgiant į ankstesnių tyrimų rezultatus, t</w:t>
      </w:r>
      <w:r w:rsidR="00EE1813">
        <w:rPr>
          <w:szCs w:val="24"/>
        </w:rPr>
        <w:t>ikimasi teigiamos reikšmės akcijų pelningumui.</w:t>
      </w:r>
    </w:p>
    <w:p w:rsidR="003B24EE" w:rsidRPr="00C24640" w:rsidRDefault="00754803" w:rsidP="00C24640">
      <w:r w:rsidRPr="00754803">
        <w:rPr>
          <w:b/>
          <w:szCs w:val="24"/>
        </w:rPr>
        <w:t>Bendrasis likvidumo koeficientas (CR).</w:t>
      </w:r>
      <w:r w:rsidR="005074A4">
        <w:rPr>
          <w:b/>
          <w:szCs w:val="24"/>
        </w:rPr>
        <w:t xml:space="preserve"> </w:t>
      </w:r>
      <w:r w:rsidR="00820F3D">
        <w:rPr>
          <w:szCs w:val="24"/>
        </w:rPr>
        <w:t>Bendrasis (einamasis) l</w:t>
      </w:r>
      <w:r w:rsidR="00C24640">
        <w:t>ikvidumo koeficientas parodo įmonės galimybę vykdyti trumpalaikius įsipareigojimus, panaudojant trumpalaikį</w:t>
      </w:r>
      <w:r w:rsidR="00820F3D">
        <w:t xml:space="preserve"> turtą</w:t>
      </w:r>
      <w:r w:rsidR="00C24640">
        <w:t>. Remiantis (Darškuvienė, 2010) įmonės likvidumas priklauso nuo jos sugebėjimo trumpalaikį turtą paversti pinigais, taip apmokant savo skolas ir padengiant kitas mokėtinas sumas. Šis kintamasis į tyrimą įtrauktas kaip vienas iš skolos rodiklių kontrolinių kintamųjų.</w:t>
      </w:r>
    </w:p>
    <w:p w:rsidR="003B24EE" w:rsidRDefault="003B24EE" w:rsidP="003B24EE">
      <w:pPr>
        <w:rPr>
          <w:szCs w:val="24"/>
        </w:rPr>
      </w:pPr>
      <w:r>
        <w:rPr>
          <w:szCs w:val="24"/>
        </w:rPr>
        <w:lastRenderedPageBreak/>
        <w:t xml:space="preserve">Bendrasis likvidumo koeficientas apskaičiuojamas </w:t>
      </w:r>
      <w:r w:rsidR="00C24640">
        <w:rPr>
          <w:szCs w:val="24"/>
        </w:rPr>
        <w:t>trumpalaikį turtą padalinus iš trumpalaikių įsipareigojimų. Tikimasi teigiamo rodiklio poveikio akcijų pelningumui.</w:t>
      </w:r>
    </w:p>
    <w:p w:rsidR="00C24640" w:rsidRDefault="00820F3D" w:rsidP="00210ED6">
      <w:pPr>
        <w:rPr>
          <w:szCs w:val="24"/>
        </w:rPr>
      </w:pPr>
      <w:r>
        <w:rPr>
          <w:rFonts w:eastAsia="Times New Roman" w:cs="Times New Roman"/>
          <w:b/>
          <w:color w:val="000000"/>
          <w:szCs w:val="24"/>
          <w:lang w:eastAsia="lt-LT"/>
        </w:rPr>
        <w:t>Skolos ir nuosavybės santykio rodiklis</w:t>
      </w:r>
      <w:r w:rsidR="003B24EE" w:rsidRPr="003B24EE">
        <w:rPr>
          <w:b/>
          <w:szCs w:val="24"/>
        </w:rPr>
        <w:t xml:space="preserve"> (D/E)</w:t>
      </w:r>
      <w:r w:rsidR="003B24EE">
        <w:rPr>
          <w:szCs w:val="24"/>
        </w:rPr>
        <w:t>. Įmonės skolos rodiklis Nishar, Irfan (2001), Hussainey, Mgbame, Chijoke-Mgbame (2010) tyrimo metu turėjo teigiamą ir reikšmingą įtaką akcijų kainoms.</w:t>
      </w:r>
      <w:r w:rsidR="00210ED6">
        <w:rPr>
          <w:szCs w:val="24"/>
        </w:rPr>
        <w:t xml:space="preserve"> </w:t>
      </w:r>
      <w:r>
        <w:rPr>
          <w:szCs w:val="24"/>
        </w:rPr>
        <w:t>Šis mokumo</w:t>
      </w:r>
      <w:r w:rsidR="003B24EE">
        <w:rPr>
          <w:szCs w:val="24"/>
        </w:rPr>
        <w:t xml:space="preserve"> rodiklis apskaičiuojamas įmonės įsipareigojimus padalinus iš akcinio kapitalo </w:t>
      </w:r>
      <w:r w:rsidR="003B24EE" w:rsidRPr="003B24EE">
        <w:rPr>
          <w:i/>
          <w:szCs w:val="24"/>
        </w:rPr>
        <w:t>t</w:t>
      </w:r>
      <w:r w:rsidR="003B24EE">
        <w:rPr>
          <w:szCs w:val="24"/>
        </w:rPr>
        <w:t xml:space="preserve"> metais.</w:t>
      </w:r>
      <w:r w:rsidR="00C24640">
        <w:rPr>
          <w:szCs w:val="24"/>
        </w:rPr>
        <w:t xml:space="preserve"> Tikimasi neigiamos šio rodiklio reikšmės akcijų pelningumui.</w:t>
      </w:r>
    </w:p>
    <w:p w:rsidR="00EB33DB" w:rsidRDefault="00EB33DB" w:rsidP="003B24EE">
      <w:pPr>
        <w:rPr>
          <w:rFonts w:eastAsia="Times New Roman" w:cs="Times New Roman"/>
          <w:color w:val="000000"/>
          <w:szCs w:val="24"/>
          <w:lang w:eastAsia="lt-LT"/>
        </w:rPr>
      </w:pPr>
      <w:r w:rsidRPr="00EB33DB">
        <w:rPr>
          <w:rFonts w:eastAsia="Times New Roman" w:cs="Times New Roman"/>
          <w:b/>
          <w:color w:val="000000"/>
          <w:szCs w:val="24"/>
          <w:lang w:eastAsia="lt-LT"/>
        </w:rPr>
        <w:t>Tikrosios vertės koeficientas (M/B).</w:t>
      </w:r>
      <w:r>
        <w:rPr>
          <w:rFonts w:eastAsia="Times New Roman" w:cs="Times New Roman"/>
          <w:b/>
          <w:color w:val="000000"/>
          <w:szCs w:val="24"/>
          <w:lang w:eastAsia="lt-LT"/>
        </w:rPr>
        <w:t xml:space="preserve"> </w:t>
      </w:r>
      <w:r w:rsidRPr="00EB33DB">
        <w:rPr>
          <w:rFonts w:eastAsia="Times New Roman" w:cs="Times New Roman"/>
          <w:color w:val="000000"/>
          <w:szCs w:val="24"/>
          <w:lang w:eastAsia="lt-LT"/>
        </w:rPr>
        <w:t>Koeficientas naudojamas tam, kad nustatyti, k</w:t>
      </w:r>
      <w:r>
        <w:rPr>
          <w:rFonts w:eastAsia="Times New Roman" w:cs="Times New Roman"/>
          <w:color w:val="000000"/>
          <w:szCs w:val="24"/>
          <w:lang w:eastAsia="lt-LT"/>
        </w:rPr>
        <w:t>okia yra</w:t>
      </w:r>
      <w:r w:rsidRPr="00EB33DB">
        <w:rPr>
          <w:rFonts w:eastAsia="Times New Roman" w:cs="Times New Roman"/>
          <w:color w:val="000000"/>
          <w:szCs w:val="24"/>
          <w:lang w:eastAsia="lt-LT"/>
        </w:rPr>
        <w:t xml:space="preserve"> įmon</w:t>
      </w:r>
      <w:r w:rsidRPr="00EB33DB">
        <w:rPr>
          <w:rFonts w:eastAsia="Times New Roman" w:cs="Times New Roman"/>
          <w:color w:val="000000"/>
          <w:szCs w:val="24"/>
          <w:lang w:val="en-US" w:eastAsia="lt-LT"/>
        </w:rPr>
        <w:t>ė</w:t>
      </w:r>
      <w:r>
        <w:rPr>
          <w:rFonts w:eastAsia="Times New Roman" w:cs="Times New Roman"/>
          <w:color w:val="000000"/>
          <w:szCs w:val="24"/>
          <w:lang w:val="en-US" w:eastAsia="lt-LT"/>
        </w:rPr>
        <w:t>s</w:t>
      </w:r>
      <w:r w:rsidRPr="00EB33DB">
        <w:rPr>
          <w:rFonts w:eastAsia="Times New Roman" w:cs="Times New Roman"/>
          <w:color w:val="000000"/>
          <w:szCs w:val="24"/>
          <w:lang w:eastAsia="lt-LT"/>
        </w:rPr>
        <w:t xml:space="preserve"> vert</w:t>
      </w:r>
      <w:r>
        <w:rPr>
          <w:rFonts w:eastAsia="Times New Roman" w:cs="Times New Roman"/>
          <w:color w:val="000000"/>
          <w:szCs w:val="24"/>
          <w:lang w:eastAsia="lt-LT"/>
        </w:rPr>
        <w:t>ė</w:t>
      </w:r>
      <w:r w:rsidRPr="00EB33DB">
        <w:rPr>
          <w:rFonts w:eastAsia="Times New Roman" w:cs="Times New Roman"/>
          <w:color w:val="000000"/>
          <w:szCs w:val="24"/>
          <w:lang w:eastAsia="lt-LT"/>
        </w:rPr>
        <w:t xml:space="preserve"> akcijų rinkoje, lyginant su buhalterine jos verte.</w:t>
      </w:r>
      <w:r>
        <w:rPr>
          <w:rFonts w:eastAsia="Times New Roman" w:cs="Times New Roman"/>
          <w:color w:val="000000"/>
          <w:szCs w:val="24"/>
          <w:lang w:eastAsia="lt-LT"/>
        </w:rPr>
        <w:t xml:space="preserve"> Remiantis Fracassi (2008) kintamasis yra naudojamas kaip įmonės augimo perspektyvas atspindintis veiksnys – t.y. kuo didesnį augimo potencialą turi įmonė, tuo didesnių teigiamų dividendų pokyčių galima tikėtis.</w:t>
      </w:r>
    </w:p>
    <w:p w:rsidR="00EB33DB" w:rsidRPr="00EB33DB" w:rsidRDefault="00EB33DB" w:rsidP="003B24EE">
      <w:pPr>
        <w:rPr>
          <w:b/>
          <w:szCs w:val="24"/>
        </w:rPr>
      </w:pPr>
      <w:r>
        <w:rPr>
          <w:rFonts w:eastAsia="Times New Roman" w:cs="Times New Roman"/>
          <w:color w:val="000000"/>
          <w:szCs w:val="24"/>
          <w:lang w:eastAsia="lt-LT"/>
        </w:rPr>
        <w:t xml:space="preserve">Rodiklis apskaičiuojamas akcijų kainą t metų pabaigoje padauginus iš akcijų skaičiaus atitinkamais metais ir padalinus iš akcinio kapitalo, atmetus įmonėje apskaitomo mažumos dalies (angl. minority interest) kapitalo. Atsižvelgiant į </w:t>
      </w:r>
      <w:r w:rsidRPr="00EB33DB">
        <w:rPr>
          <w:rFonts w:eastAsia="Times New Roman" w:cs="Times New Roman"/>
          <w:b/>
          <w:i/>
          <w:color w:val="000000"/>
          <w:szCs w:val="24"/>
          <w:lang w:eastAsia="lt-LT"/>
        </w:rPr>
        <w:t>dividendų signalizavimo hipotezę</w:t>
      </w:r>
      <w:r>
        <w:rPr>
          <w:rFonts w:eastAsia="Times New Roman" w:cs="Times New Roman"/>
          <w:color w:val="000000"/>
          <w:szCs w:val="24"/>
          <w:lang w:eastAsia="lt-LT"/>
        </w:rPr>
        <w:t>, prognozuojamas neigiamas rodiklio poveikis akcijų pelningumui (Fracassi, 2008)</w:t>
      </w:r>
    </w:p>
    <w:p w:rsidR="00EB33DB" w:rsidRDefault="00C24640" w:rsidP="003B24EE">
      <w:pPr>
        <w:rPr>
          <w:szCs w:val="24"/>
        </w:rPr>
      </w:pPr>
      <w:r w:rsidRPr="00C24640">
        <w:rPr>
          <w:b/>
          <w:szCs w:val="24"/>
        </w:rPr>
        <w:t>Apyvartumo rodiklis (lnAPYV).</w:t>
      </w:r>
      <w:r>
        <w:rPr>
          <w:b/>
          <w:szCs w:val="24"/>
        </w:rPr>
        <w:t xml:space="preserve"> </w:t>
      </w:r>
      <w:r w:rsidR="00126394">
        <w:rPr>
          <w:szCs w:val="24"/>
        </w:rPr>
        <w:t>Apyvartumo rodiklis naudojamas kaip papildomas kontrolinis kintamasis, įmonės prekybos apyvartumui (prekybos likvidumui) analizuoti.</w:t>
      </w:r>
    </w:p>
    <w:p w:rsidR="00126394" w:rsidRPr="00175526" w:rsidRDefault="00126394" w:rsidP="00126394">
      <w:pPr>
        <w:rPr>
          <w:b/>
        </w:rPr>
      </w:pPr>
      <w:r>
        <w:t xml:space="preserve">Šiame tyrime įmonės dydis apskaičiuojamas logaritmuojant įmonės </w:t>
      </w:r>
      <w:r w:rsidRPr="00126394">
        <w:t>akcijų prekyb</w:t>
      </w:r>
      <w:r>
        <w:t>inės</w:t>
      </w:r>
      <w:r w:rsidRPr="00126394">
        <w:t xml:space="preserve"> apyvart</w:t>
      </w:r>
      <w:r>
        <w:t>os</w:t>
      </w:r>
      <w:r w:rsidRPr="00126394">
        <w:t xml:space="preserve"> biržoje per</w:t>
      </w:r>
      <w:r>
        <w:rPr>
          <w:i/>
        </w:rPr>
        <w:t xml:space="preserve"> t </w:t>
      </w:r>
      <w:r w:rsidRPr="00126394">
        <w:t xml:space="preserve">metus </w:t>
      </w:r>
      <w:r>
        <w:t xml:space="preserve">dydį atitinkamais finansiniais metais - </w:t>
      </w:r>
      <w:r w:rsidRPr="00175526">
        <w:rPr>
          <w:i/>
        </w:rPr>
        <w:t>ln(</w:t>
      </w:r>
      <w:r>
        <w:rPr>
          <w:i/>
        </w:rPr>
        <w:t>Akcijų prekybos apyvarta</w:t>
      </w:r>
      <w:r>
        <w:t xml:space="preserve">). Laukiamas teigiamas šio rodiklio ryšys su akcijų pelningumu. </w:t>
      </w:r>
      <w:r>
        <w:rPr>
          <w:i/>
        </w:rPr>
        <w:t>Skaičiavimų p</w:t>
      </w:r>
      <w:r w:rsidRPr="00756858">
        <w:rPr>
          <w:i/>
        </w:rPr>
        <w:t>astaba:</w:t>
      </w:r>
      <w:r>
        <w:rPr>
          <w:i/>
        </w:rPr>
        <w:t xml:space="preserve"> </w:t>
      </w:r>
      <w:r w:rsidRPr="00756858">
        <w:t>įmonės, kurios</w:t>
      </w:r>
      <w:r>
        <w:t xml:space="preserve"> metinė</w:t>
      </w:r>
      <w:r w:rsidRPr="00756858">
        <w:t xml:space="preserve"> </w:t>
      </w:r>
      <w:r>
        <w:t>prekybos apyvarta mažesnė</w:t>
      </w:r>
      <w:r w:rsidRPr="00756858">
        <w:t xml:space="preserve"> nei 1 mln. Eur, logaritmuota turto vertė visais atvejais bus mažesnė už 1.</w:t>
      </w:r>
    </w:p>
    <w:p w:rsidR="00CC60D6" w:rsidRPr="00C24640" w:rsidRDefault="00EB33DB" w:rsidP="003B24EE">
      <w:pPr>
        <w:rPr>
          <w:b/>
          <w:szCs w:val="24"/>
        </w:rPr>
      </w:pPr>
      <w:r>
        <w:rPr>
          <w:b/>
          <w:szCs w:val="24"/>
        </w:rPr>
        <w:t xml:space="preserve">Žyminiai kintamieji DY_I ir DY_D. </w:t>
      </w:r>
      <w:r w:rsidRPr="00EB33DB">
        <w:rPr>
          <w:szCs w:val="24"/>
        </w:rPr>
        <w:t>Kintamieji atspindi informacijos paskelbimo tipą: jei</w:t>
      </w:r>
      <w:r>
        <w:rPr>
          <w:szCs w:val="24"/>
        </w:rPr>
        <w:t xml:space="preserve"> dividendų informacija reiškia dividendų pajamingumo rodiklio padidėjimą, tuomet rodikli</w:t>
      </w:r>
      <w:r w:rsidR="00FC6A12">
        <w:rPr>
          <w:szCs w:val="24"/>
        </w:rPr>
        <w:t>s</w:t>
      </w:r>
      <w:r>
        <w:rPr>
          <w:szCs w:val="24"/>
        </w:rPr>
        <w:t xml:space="preserve"> DY_I </w:t>
      </w:r>
      <w:r>
        <w:rPr>
          <w:szCs w:val="24"/>
          <w:lang w:val="en-US"/>
        </w:rPr>
        <w:t>= 1</w:t>
      </w:r>
      <w:r w:rsidR="00FC6A12">
        <w:rPr>
          <w:szCs w:val="24"/>
          <w:lang w:val="en-US"/>
        </w:rPr>
        <w:t xml:space="preserve"> (DY_D = 0)</w:t>
      </w:r>
      <w:r>
        <w:rPr>
          <w:szCs w:val="24"/>
          <w:lang w:val="en-US"/>
        </w:rPr>
        <w:t xml:space="preserve">, </w:t>
      </w:r>
      <w:r w:rsidRPr="00FC6A12">
        <w:rPr>
          <w:szCs w:val="24"/>
        </w:rPr>
        <w:t xml:space="preserve">jei </w:t>
      </w:r>
      <w:r w:rsidR="00931F3E">
        <w:rPr>
          <w:szCs w:val="24"/>
        </w:rPr>
        <w:t>sumažėjimą, tuomet rodiklis</w:t>
      </w:r>
      <w:r w:rsidRPr="00FC6A12">
        <w:rPr>
          <w:szCs w:val="24"/>
        </w:rPr>
        <w:t xml:space="preserve"> DY_D</w:t>
      </w:r>
      <w:r w:rsidR="00FC6A12" w:rsidRPr="00FC6A12">
        <w:rPr>
          <w:szCs w:val="24"/>
        </w:rPr>
        <w:t xml:space="preserve"> = 1 (DY_I = 1). Jei dividendų </w:t>
      </w:r>
      <w:r w:rsidR="00FC6A12">
        <w:rPr>
          <w:szCs w:val="24"/>
        </w:rPr>
        <w:t>naujienose</w:t>
      </w:r>
      <w:r w:rsidR="00FC6A12" w:rsidRPr="00FC6A12">
        <w:rPr>
          <w:szCs w:val="24"/>
        </w:rPr>
        <w:t xml:space="preserve"> pateikiama dividend</w:t>
      </w:r>
      <w:r w:rsidR="00FC6A12">
        <w:rPr>
          <w:szCs w:val="24"/>
        </w:rPr>
        <w:t>ų</w:t>
      </w:r>
      <w:r w:rsidR="00FC6A12" w:rsidRPr="00FC6A12">
        <w:rPr>
          <w:szCs w:val="24"/>
        </w:rPr>
        <w:t xml:space="preserve"> neišmokėjimo informacija arba dividend</w:t>
      </w:r>
      <w:r w:rsidR="00FC6A12">
        <w:rPr>
          <w:szCs w:val="24"/>
        </w:rPr>
        <w:t>ų</w:t>
      </w:r>
      <w:r w:rsidR="00FC6A12" w:rsidRPr="00FC6A12">
        <w:rPr>
          <w:szCs w:val="24"/>
        </w:rPr>
        <w:t xml:space="preserve"> inicijavimas</w:t>
      </w:r>
      <w:r w:rsidR="00FC6A12">
        <w:rPr>
          <w:szCs w:val="24"/>
          <w:lang w:val="en-US"/>
        </w:rPr>
        <w:t xml:space="preserve">, </w:t>
      </w:r>
      <w:r w:rsidR="00FC6A12" w:rsidRPr="00FC6A12">
        <w:rPr>
          <w:szCs w:val="24"/>
        </w:rPr>
        <w:t>tuomet abiejų rodiklių įtaka akcijų pelningumui lygi 0, kas r</w:t>
      </w:r>
      <w:r w:rsidR="00931F3E">
        <w:rPr>
          <w:szCs w:val="24"/>
        </w:rPr>
        <w:t>odo</w:t>
      </w:r>
      <w:r w:rsidR="00FC6A12" w:rsidRPr="00FC6A12">
        <w:rPr>
          <w:szCs w:val="24"/>
        </w:rPr>
        <w:t>, jog nei dividend</w:t>
      </w:r>
      <w:r w:rsidR="00FC6A12">
        <w:rPr>
          <w:szCs w:val="24"/>
        </w:rPr>
        <w:t>ų</w:t>
      </w:r>
      <w:r w:rsidR="00FC6A12" w:rsidRPr="00FC6A12">
        <w:rPr>
          <w:szCs w:val="24"/>
        </w:rPr>
        <w:t xml:space="preserve"> pajamingumo padidėjim</w:t>
      </w:r>
      <w:r w:rsidR="00FC6A12">
        <w:rPr>
          <w:szCs w:val="24"/>
        </w:rPr>
        <w:t>o</w:t>
      </w:r>
      <w:r w:rsidR="00FC6A12" w:rsidRPr="00FC6A12">
        <w:rPr>
          <w:szCs w:val="24"/>
        </w:rPr>
        <w:t xml:space="preserve"> nei sumažėjim</w:t>
      </w:r>
      <w:r w:rsidR="00FC6A12">
        <w:rPr>
          <w:szCs w:val="24"/>
        </w:rPr>
        <w:t>o informacija neįtakoja akcijų pelningumų. Šiam tyrimui aktualiausi būtent dividendų pajamingumo pokyčiai, kadangi dividendų neišmokėjimą ir inicijavimą ne visuomet galima prognozuoti.</w:t>
      </w:r>
    </w:p>
    <w:p w:rsidR="00210ED6" w:rsidRDefault="00931F3E" w:rsidP="00931F3E">
      <w:r>
        <w:t>A</w:t>
      </w:r>
      <w:r w:rsidR="009A1AE3">
        <w:t>tliekant</w:t>
      </w:r>
      <w:r>
        <w:t xml:space="preserve"> akcijų pelningumų</w:t>
      </w:r>
      <w:r w:rsidR="009A1AE3">
        <w:t xml:space="preserve"> tyrimą bus </w:t>
      </w:r>
      <w:r>
        <w:t>analizuojami</w:t>
      </w:r>
      <w:r w:rsidR="009A1AE3">
        <w:t xml:space="preserve"> </w:t>
      </w:r>
      <w:r>
        <w:t>2 dividendų politikos</w:t>
      </w:r>
      <w:r w:rsidR="009A1AE3" w:rsidRPr="00E32AFA">
        <w:t xml:space="preserve"> kriterij</w:t>
      </w:r>
      <w:r>
        <w:t>ai ir 11 kontrolinių kriterijų. L</w:t>
      </w:r>
      <w:r w:rsidR="009A1AE3">
        <w:t xml:space="preserve">aukiamas poveikis ir </w:t>
      </w:r>
      <w:r w:rsidR="002513C3">
        <w:t>skaičiavimo metodika pateikiami</w:t>
      </w:r>
      <w:r>
        <w:t xml:space="preserve"> </w:t>
      </w:r>
      <w:r w:rsidR="00707DF4">
        <w:t>lentelėje</w:t>
      </w:r>
      <w:r w:rsidR="00E32AFA">
        <w:t xml:space="preserve"> (žr. 9 lent.)</w:t>
      </w:r>
      <w:r w:rsidR="009A1AE3">
        <w:t>.</w:t>
      </w:r>
    </w:p>
    <w:p w:rsidR="009A1AE3" w:rsidRDefault="00210ED6" w:rsidP="00210ED6">
      <w:pPr>
        <w:spacing w:before="0" w:after="200" w:line="276" w:lineRule="auto"/>
        <w:ind w:firstLine="0"/>
        <w:jc w:val="left"/>
      </w:pPr>
      <w:r>
        <w:br w:type="page"/>
      </w:r>
    </w:p>
    <w:p w:rsidR="000862E2" w:rsidRDefault="000862E2" w:rsidP="000862E2">
      <w:pPr>
        <w:pStyle w:val="Caption"/>
      </w:pPr>
      <w:bookmarkStart w:id="71" w:name="_Ref339887314"/>
      <w:bookmarkStart w:id="72" w:name="_Toc343677827"/>
      <w:r>
        <w:lastRenderedPageBreak/>
        <w:t>Apibendrinta formuojamo dividendinio investavimo modelio kriterijų aibė</w:t>
      </w:r>
      <w:bookmarkEnd w:id="71"/>
      <w:bookmarkEnd w:id="72"/>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9"/>
        <w:gridCol w:w="1843"/>
        <w:gridCol w:w="1367"/>
        <w:gridCol w:w="1268"/>
        <w:gridCol w:w="4700"/>
      </w:tblGrid>
      <w:tr w:rsidR="009A1AE3" w:rsidRPr="000862E2" w:rsidTr="00835B09">
        <w:tc>
          <w:tcPr>
            <w:tcW w:w="959" w:type="dxa"/>
          </w:tcPr>
          <w:p w:rsidR="009A1AE3" w:rsidRPr="000862E2" w:rsidRDefault="009A1AE3" w:rsidP="00835B09">
            <w:pPr>
              <w:spacing w:line="240" w:lineRule="auto"/>
              <w:ind w:firstLine="0"/>
              <w:jc w:val="center"/>
              <w:rPr>
                <w:rFonts w:cs="Times New Roman"/>
                <w:b/>
              </w:rPr>
            </w:pPr>
            <w:r w:rsidRPr="000862E2">
              <w:rPr>
                <w:rFonts w:cs="Times New Roman"/>
                <w:b/>
              </w:rPr>
              <w:t>Eil. nr.</w:t>
            </w:r>
          </w:p>
        </w:tc>
        <w:tc>
          <w:tcPr>
            <w:tcW w:w="1843" w:type="dxa"/>
          </w:tcPr>
          <w:p w:rsidR="009A1AE3" w:rsidRPr="000862E2" w:rsidRDefault="009A1AE3" w:rsidP="00835B09">
            <w:pPr>
              <w:spacing w:line="240" w:lineRule="auto"/>
              <w:ind w:firstLine="0"/>
              <w:jc w:val="center"/>
              <w:rPr>
                <w:rFonts w:cs="Times New Roman"/>
                <w:b/>
              </w:rPr>
            </w:pPr>
            <w:r w:rsidRPr="000862E2">
              <w:rPr>
                <w:rFonts w:cs="Times New Roman"/>
                <w:b/>
              </w:rPr>
              <w:t>Kriterijus</w:t>
            </w:r>
          </w:p>
        </w:tc>
        <w:tc>
          <w:tcPr>
            <w:tcW w:w="1367" w:type="dxa"/>
          </w:tcPr>
          <w:p w:rsidR="009A1AE3" w:rsidRPr="000862E2" w:rsidRDefault="009A1AE3" w:rsidP="00835B09">
            <w:pPr>
              <w:spacing w:line="240" w:lineRule="auto"/>
              <w:ind w:firstLine="0"/>
              <w:jc w:val="center"/>
              <w:rPr>
                <w:rFonts w:cs="Times New Roman"/>
                <w:b/>
              </w:rPr>
            </w:pPr>
            <w:r w:rsidRPr="000862E2">
              <w:rPr>
                <w:rFonts w:cs="Times New Roman"/>
                <w:b/>
              </w:rPr>
              <w:t>Trumpinys</w:t>
            </w:r>
          </w:p>
        </w:tc>
        <w:tc>
          <w:tcPr>
            <w:tcW w:w="1268" w:type="dxa"/>
          </w:tcPr>
          <w:p w:rsidR="009A1AE3" w:rsidRPr="000862E2" w:rsidRDefault="009A1AE3" w:rsidP="00835B09">
            <w:pPr>
              <w:spacing w:line="240" w:lineRule="auto"/>
              <w:ind w:firstLine="0"/>
              <w:jc w:val="center"/>
              <w:rPr>
                <w:rFonts w:cs="Times New Roman"/>
                <w:b/>
              </w:rPr>
            </w:pPr>
            <w:r w:rsidRPr="000862E2">
              <w:rPr>
                <w:rFonts w:cs="Times New Roman"/>
                <w:b/>
              </w:rPr>
              <w:t>Laukiamas poveikis</w:t>
            </w:r>
          </w:p>
        </w:tc>
        <w:tc>
          <w:tcPr>
            <w:tcW w:w="4700" w:type="dxa"/>
          </w:tcPr>
          <w:p w:rsidR="009A1AE3" w:rsidRPr="000862E2" w:rsidRDefault="00ED073D" w:rsidP="00835B09">
            <w:pPr>
              <w:spacing w:line="240" w:lineRule="auto"/>
              <w:ind w:firstLine="0"/>
              <w:jc w:val="center"/>
              <w:rPr>
                <w:rFonts w:cs="Times New Roman"/>
                <w:b/>
              </w:rPr>
            </w:pPr>
            <w:r>
              <w:rPr>
                <w:rFonts w:cs="Times New Roman"/>
                <w:b/>
              </w:rPr>
              <w:t>Kr</w:t>
            </w:r>
            <w:r w:rsidR="009A1AE3" w:rsidRPr="000862E2">
              <w:rPr>
                <w:rFonts w:cs="Times New Roman"/>
                <w:b/>
              </w:rPr>
              <w:t>i</w:t>
            </w:r>
            <w:r>
              <w:rPr>
                <w:rFonts w:cs="Times New Roman"/>
                <w:b/>
              </w:rPr>
              <w:t>t</w:t>
            </w:r>
            <w:r w:rsidR="009A1AE3" w:rsidRPr="000862E2">
              <w:rPr>
                <w:rFonts w:cs="Times New Roman"/>
                <w:b/>
              </w:rPr>
              <w:t>erijaus apskaičiavimas</w:t>
            </w:r>
          </w:p>
        </w:tc>
      </w:tr>
      <w:tr w:rsidR="009A1AE3" w:rsidRPr="000862E2" w:rsidTr="00835B09">
        <w:tc>
          <w:tcPr>
            <w:tcW w:w="10137" w:type="dxa"/>
            <w:gridSpan w:val="5"/>
          </w:tcPr>
          <w:p w:rsidR="009A1AE3" w:rsidRPr="000862E2" w:rsidRDefault="00142942" w:rsidP="00835B09">
            <w:pPr>
              <w:spacing w:line="240" w:lineRule="auto"/>
              <w:ind w:firstLine="0"/>
              <w:jc w:val="center"/>
              <w:rPr>
                <w:rFonts w:cs="Times New Roman"/>
                <w:b/>
                <w:szCs w:val="24"/>
              </w:rPr>
            </w:pPr>
            <w:r>
              <w:rPr>
                <w:rFonts w:cs="Times New Roman"/>
                <w:b/>
                <w:szCs w:val="24"/>
              </w:rPr>
              <w:t>P</w:t>
            </w:r>
            <w:r w:rsidR="009A1AE3" w:rsidRPr="000862E2">
              <w:rPr>
                <w:rFonts w:cs="Times New Roman"/>
                <w:b/>
                <w:szCs w:val="24"/>
              </w:rPr>
              <w:t>riklausomas kintamasis</w:t>
            </w:r>
          </w:p>
        </w:tc>
      </w:tr>
      <w:tr w:rsidR="009A1AE3" w:rsidRPr="000862E2" w:rsidTr="00835B09">
        <w:tc>
          <w:tcPr>
            <w:tcW w:w="959" w:type="dxa"/>
          </w:tcPr>
          <w:p w:rsidR="009A1AE3" w:rsidRPr="000862E2" w:rsidRDefault="009A1AE3" w:rsidP="00835B09">
            <w:pPr>
              <w:spacing w:line="240" w:lineRule="auto"/>
              <w:ind w:firstLine="0"/>
              <w:jc w:val="center"/>
              <w:rPr>
                <w:rFonts w:cs="Times New Roman"/>
                <w:szCs w:val="24"/>
              </w:rPr>
            </w:pPr>
            <w:r w:rsidRPr="000862E2">
              <w:rPr>
                <w:rFonts w:cs="Times New Roman"/>
                <w:szCs w:val="24"/>
              </w:rPr>
              <w:t>1.</w:t>
            </w:r>
          </w:p>
        </w:tc>
        <w:tc>
          <w:tcPr>
            <w:tcW w:w="1843" w:type="dxa"/>
          </w:tcPr>
          <w:p w:rsidR="009A1AE3" w:rsidRPr="000862E2" w:rsidRDefault="008F0FFE" w:rsidP="00835B09">
            <w:pPr>
              <w:spacing w:line="240" w:lineRule="auto"/>
              <w:ind w:firstLine="0"/>
              <w:jc w:val="center"/>
              <w:rPr>
                <w:rFonts w:cs="Times New Roman"/>
                <w:szCs w:val="24"/>
              </w:rPr>
            </w:pPr>
            <w:r w:rsidRPr="000862E2">
              <w:rPr>
                <w:rFonts w:cs="Times New Roman"/>
                <w:szCs w:val="24"/>
              </w:rPr>
              <w:t>Akcijos pelningumas</w:t>
            </w:r>
          </w:p>
        </w:tc>
        <w:tc>
          <w:tcPr>
            <w:tcW w:w="1367" w:type="dxa"/>
          </w:tcPr>
          <w:p w:rsidR="009A1AE3" w:rsidRPr="000862E2" w:rsidRDefault="00EC7800" w:rsidP="00E01FE5">
            <w:pPr>
              <w:spacing w:line="240" w:lineRule="auto"/>
              <w:ind w:firstLine="0"/>
              <w:jc w:val="center"/>
              <w:rPr>
                <w:rFonts w:cs="Times New Roman"/>
                <w:szCs w:val="24"/>
                <w:lang w:val="en-US"/>
              </w:rPr>
            </w:pPr>
            <m:oMathPara>
              <m:oMath>
                <m:sSub>
                  <m:sSubPr>
                    <m:ctrlPr>
                      <w:rPr>
                        <w:rFonts w:ascii="Cambria Math" w:hAnsi="Cambria Math" w:cs="Times New Roman"/>
                        <w:i/>
                        <w:szCs w:val="24"/>
                        <w:lang w:val="en-US"/>
                      </w:rPr>
                    </m:ctrlPr>
                  </m:sSubPr>
                  <m:e>
                    <m:r>
                      <w:rPr>
                        <w:rFonts w:ascii="Cambria Math" w:hAnsi="Cambria Math" w:cs="Times New Roman"/>
                        <w:szCs w:val="24"/>
                        <w:lang w:val="en-US"/>
                      </w:rPr>
                      <m:t>r</m:t>
                    </m:r>
                  </m:e>
                  <m:sub>
                    <m:r>
                      <w:rPr>
                        <w:rFonts w:ascii="Cambria Math" w:hAnsi="Cambria Math" w:cs="Times New Roman"/>
                        <w:szCs w:val="24"/>
                        <w:lang w:val="en-US"/>
                      </w:rPr>
                      <m:t>p</m:t>
                    </m:r>
                  </m:sub>
                </m:sSub>
              </m:oMath>
            </m:oMathPara>
          </w:p>
        </w:tc>
        <w:tc>
          <w:tcPr>
            <w:tcW w:w="1268" w:type="dxa"/>
          </w:tcPr>
          <w:p w:rsidR="009A1AE3" w:rsidRPr="000862E2" w:rsidRDefault="009A1AE3" w:rsidP="00EE1813">
            <w:pPr>
              <w:spacing w:line="240" w:lineRule="auto"/>
              <w:ind w:firstLine="0"/>
              <w:jc w:val="center"/>
              <w:rPr>
                <w:rFonts w:cs="Times New Roman"/>
                <w:szCs w:val="24"/>
                <w:lang w:val="en-US"/>
              </w:rPr>
            </w:pPr>
            <w:r w:rsidRPr="000862E2">
              <w:rPr>
                <w:rFonts w:cs="Times New Roman"/>
                <w:szCs w:val="24"/>
                <w:lang w:val="en-US"/>
              </w:rPr>
              <w:t>+</w:t>
            </w:r>
          </w:p>
        </w:tc>
        <w:tc>
          <w:tcPr>
            <w:tcW w:w="4700" w:type="dxa"/>
          </w:tcPr>
          <w:p w:rsidR="009A1AE3" w:rsidRPr="006352D3" w:rsidRDefault="00ED073D" w:rsidP="000E5E22">
            <w:pPr>
              <w:spacing w:line="240" w:lineRule="auto"/>
              <w:ind w:firstLine="0"/>
              <w:jc w:val="center"/>
              <w:rPr>
                <w:rFonts w:cs="Times New Roman"/>
                <w:i/>
                <w:szCs w:val="24"/>
              </w:rPr>
            </w:pPr>
            <w:r>
              <w:rPr>
                <w:rFonts w:cs="Times New Roman"/>
                <w:i/>
                <w:szCs w:val="24"/>
                <w:lang w:val="en-US"/>
              </w:rPr>
              <w:t xml:space="preserve">* </w:t>
            </w:r>
            <w:r>
              <w:rPr>
                <w:rFonts w:cs="Times New Roman"/>
                <w:i/>
                <w:szCs w:val="24"/>
              </w:rPr>
              <w:t xml:space="preserve">rodiklio apskaičiavimo metodai pateikiami </w:t>
            </w:r>
            <w:r w:rsidR="00EC7800">
              <w:rPr>
                <w:rFonts w:cs="Times New Roman"/>
                <w:i/>
                <w:szCs w:val="24"/>
              </w:rPr>
              <w:fldChar w:fldCharType="begin"/>
            </w:r>
            <w:r>
              <w:rPr>
                <w:rFonts w:cs="Times New Roman"/>
                <w:i/>
                <w:szCs w:val="24"/>
              </w:rPr>
              <w:instrText xml:space="preserve"> REF _Ref343084077 \r \h </w:instrText>
            </w:r>
            <w:r w:rsidR="00EC7800">
              <w:rPr>
                <w:rFonts w:cs="Times New Roman"/>
                <w:i/>
                <w:szCs w:val="24"/>
              </w:rPr>
            </w:r>
            <w:r w:rsidR="00EC7800">
              <w:rPr>
                <w:rFonts w:cs="Times New Roman"/>
                <w:i/>
                <w:szCs w:val="24"/>
              </w:rPr>
              <w:fldChar w:fldCharType="separate"/>
            </w:r>
            <w:r w:rsidR="0009577F">
              <w:rPr>
                <w:rFonts w:cs="Times New Roman"/>
                <w:i/>
                <w:szCs w:val="24"/>
              </w:rPr>
              <w:t>2.2.1</w:t>
            </w:r>
            <w:r w:rsidR="00EC7800">
              <w:rPr>
                <w:rFonts w:cs="Times New Roman"/>
                <w:i/>
                <w:szCs w:val="24"/>
              </w:rPr>
              <w:fldChar w:fldCharType="end"/>
            </w:r>
            <w:r>
              <w:rPr>
                <w:rFonts w:cs="Times New Roman"/>
                <w:i/>
                <w:szCs w:val="24"/>
              </w:rPr>
              <w:t xml:space="preserve"> darbo dalyje</w:t>
            </w:r>
          </w:p>
        </w:tc>
      </w:tr>
      <w:tr w:rsidR="009A1AE3" w:rsidRPr="000862E2" w:rsidTr="00835B09">
        <w:tc>
          <w:tcPr>
            <w:tcW w:w="10137" w:type="dxa"/>
            <w:gridSpan w:val="5"/>
          </w:tcPr>
          <w:p w:rsidR="009A1AE3" w:rsidRPr="000862E2" w:rsidRDefault="00142942" w:rsidP="00835B09">
            <w:pPr>
              <w:spacing w:line="240" w:lineRule="auto"/>
              <w:ind w:firstLine="0"/>
              <w:jc w:val="center"/>
              <w:rPr>
                <w:rFonts w:cs="Times New Roman"/>
                <w:b/>
                <w:szCs w:val="24"/>
              </w:rPr>
            </w:pPr>
            <w:r>
              <w:rPr>
                <w:rFonts w:cs="Times New Roman"/>
                <w:b/>
                <w:szCs w:val="24"/>
              </w:rPr>
              <w:t>Ne</w:t>
            </w:r>
            <w:r w:rsidR="009A1AE3" w:rsidRPr="000862E2">
              <w:rPr>
                <w:rFonts w:cs="Times New Roman"/>
                <w:b/>
                <w:szCs w:val="24"/>
              </w:rPr>
              <w:t>riklausomi</w:t>
            </w:r>
            <w:r>
              <w:rPr>
                <w:rFonts w:cs="Times New Roman"/>
                <w:b/>
                <w:szCs w:val="24"/>
              </w:rPr>
              <w:t xml:space="preserve"> dividendų politikos</w:t>
            </w:r>
            <w:r w:rsidR="009A1AE3" w:rsidRPr="000862E2">
              <w:rPr>
                <w:rFonts w:cs="Times New Roman"/>
                <w:b/>
                <w:szCs w:val="24"/>
              </w:rPr>
              <w:t xml:space="preserve"> kintamieji</w:t>
            </w:r>
          </w:p>
        </w:tc>
      </w:tr>
      <w:tr w:rsidR="009A1AE3" w:rsidRPr="000862E2" w:rsidTr="00835B09">
        <w:tc>
          <w:tcPr>
            <w:tcW w:w="959" w:type="dxa"/>
          </w:tcPr>
          <w:p w:rsidR="009A1AE3" w:rsidRPr="000862E2" w:rsidRDefault="009A1AE3" w:rsidP="00835B09">
            <w:pPr>
              <w:spacing w:line="240" w:lineRule="auto"/>
              <w:ind w:firstLine="0"/>
              <w:jc w:val="center"/>
              <w:rPr>
                <w:rFonts w:cs="Times New Roman"/>
                <w:szCs w:val="24"/>
              </w:rPr>
            </w:pPr>
            <w:r w:rsidRPr="000862E2">
              <w:rPr>
                <w:rFonts w:cs="Times New Roman"/>
                <w:szCs w:val="24"/>
              </w:rPr>
              <w:t>2.</w:t>
            </w:r>
          </w:p>
        </w:tc>
        <w:tc>
          <w:tcPr>
            <w:tcW w:w="1843" w:type="dxa"/>
          </w:tcPr>
          <w:p w:rsidR="009A1AE3" w:rsidRPr="000862E2" w:rsidRDefault="009A1AE3" w:rsidP="00835B09">
            <w:pPr>
              <w:spacing w:line="240" w:lineRule="auto"/>
              <w:ind w:firstLine="0"/>
              <w:jc w:val="center"/>
              <w:rPr>
                <w:rFonts w:cs="Times New Roman"/>
                <w:szCs w:val="24"/>
              </w:rPr>
            </w:pPr>
            <w:r w:rsidRPr="000862E2">
              <w:rPr>
                <w:rFonts w:cs="Times New Roman"/>
                <w:szCs w:val="24"/>
              </w:rPr>
              <w:t>Dividendų pelningumas</w:t>
            </w:r>
          </w:p>
        </w:tc>
        <w:tc>
          <w:tcPr>
            <w:tcW w:w="1367" w:type="dxa"/>
          </w:tcPr>
          <w:p w:rsidR="009A1AE3" w:rsidRPr="000862E2" w:rsidRDefault="00EC7800" w:rsidP="00835B09">
            <w:pPr>
              <w:spacing w:line="240" w:lineRule="auto"/>
              <w:ind w:firstLine="0"/>
              <w:jc w:val="center"/>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DY</m:t>
                    </m:r>
                  </m:e>
                  <m:sub>
                    <m:r>
                      <w:rPr>
                        <w:rFonts w:ascii="Cambria Math" w:hAnsi="Cambria Math" w:cs="Times New Roman"/>
                        <w:szCs w:val="24"/>
                      </w:rPr>
                      <m:t>i(t+1)</m:t>
                    </m:r>
                  </m:sub>
                </m:sSub>
              </m:oMath>
            </m:oMathPara>
          </w:p>
        </w:tc>
        <w:tc>
          <w:tcPr>
            <w:tcW w:w="1268" w:type="dxa"/>
          </w:tcPr>
          <w:p w:rsidR="009A1AE3" w:rsidRPr="000862E2" w:rsidRDefault="009A1AE3" w:rsidP="00835B09">
            <w:pPr>
              <w:spacing w:line="240" w:lineRule="auto"/>
              <w:ind w:firstLine="0"/>
              <w:jc w:val="center"/>
              <w:rPr>
                <w:rFonts w:cs="Times New Roman"/>
                <w:szCs w:val="24"/>
                <w:lang w:val="en-US"/>
              </w:rPr>
            </w:pPr>
            <w:r w:rsidRPr="000862E2">
              <w:rPr>
                <w:rFonts w:cs="Times New Roman"/>
                <w:szCs w:val="24"/>
                <w:lang w:val="en-US"/>
              </w:rPr>
              <w:t>+</w:t>
            </w:r>
          </w:p>
        </w:tc>
        <w:tc>
          <w:tcPr>
            <w:tcW w:w="4700" w:type="dxa"/>
          </w:tcPr>
          <w:p w:rsidR="009A1AE3" w:rsidRPr="006352D3" w:rsidRDefault="00EC7800" w:rsidP="00B96948">
            <w:pPr>
              <w:spacing w:line="240" w:lineRule="auto"/>
              <w:ind w:firstLine="0"/>
              <w:jc w:val="center"/>
              <w:rPr>
                <w:rFonts w:cs="Times New Roman"/>
                <w:i/>
                <w:szCs w:val="24"/>
              </w:rPr>
            </w:pPr>
            <m:oMathPara>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DPS</m:t>
                        </m:r>
                      </m:e>
                      <m:sub>
                        <m:r>
                          <w:rPr>
                            <w:rFonts w:ascii="Cambria Math" w:hAnsi="Cambria Math" w:cs="Times New Roman"/>
                            <w:szCs w:val="24"/>
                          </w:rPr>
                          <m:t>i(t+1)</m:t>
                        </m:r>
                      </m:sub>
                    </m:sSub>
                  </m:num>
                  <m:den>
                    <m:acc>
                      <m:accPr>
                        <m:chr m:val="̅"/>
                        <m:ctrlPr>
                          <w:rPr>
                            <w:rFonts w:ascii="Cambria Math" w:hAnsi="Cambria Math" w:cs="Times New Roman"/>
                            <w:i/>
                            <w:szCs w:val="24"/>
                          </w:rPr>
                        </m:ctrlPr>
                      </m:accPr>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it</m:t>
                            </m:r>
                          </m:sub>
                        </m:sSub>
                      </m:e>
                    </m:acc>
                    <m:r>
                      <w:rPr>
                        <w:rFonts w:ascii="Cambria Math" w:hAnsi="Cambria Math" w:cs="Times New Roman"/>
                        <w:szCs w:val="24"/>
                      </w:rPr>
                      <m:t>[-5;5]</m:t>
                    </m:r>
                  </m:den>
                </m:f>
              </m:oMath>
            </m:oMathPara>
          </w:p>
        </w:tc>
      </w:tr>
      <w:tr w:rsidR="009A1AE3" w:rsidRPr="000862E2" w:rsidTr="00835B09">
        <w:tc>
          <w:tcPr>
            <w:tcW w:w="959" w:type="dxa"/>
          </w:tcPr>
          <w:p w:rsidR="009A1AE3" w:rsidRPr="000862E2" w:rsidRDefault="009A1AE3" w:rsidP="00835B09">
            <w:pPr>
              <w:spacing w:line="240" w:lineRule="auto"/>
              <w:ind w:firstLine="0"/>
              <w:jc w:val="center"/>
              <w:rPr>
                <w:rFonts w:cs="Times New Roman"/>
                <w:szCs w:val="24"/>
              </w:rPr>
            </w:pPr>
            <w:r w:rsidRPr="000862E2">
              <w:rPr>
                <w:rFonts w:cs="Times New Roman"/>
                <w:szCs w:val="24"/>
              </w:rPr>
              <w:t>3.</w:t>
            </w:r>
          </w:p>
        </w:tc>
        <w:tc>
          <w:tcPr>
            <w:tcW w:w="1843" w:type="dxa"/>
          </w:tcPr>
          <w:p w:rsidR="009A1AE3" w:rsidRPr="000862E2" w:rsidRDefault="00142942" w:rsidP="005157E9">
            <w:pPr>
              <w:spacing w:line="240" w:lineRule="auto"/>
              <w:ind w:firstLine="0"/>
              <w:jc w:val="center"/>
              <w:rPr>
                <w:rFonts w:cs="Times New Roman"/>
                <w:szCs w:val="24"/>
              </w:rPr>
            </w:pPr>
            <w:r>
              <w:rPr>
                <w:rFonts w:cs="Times New Roman"/>
                <w:szCs w:val="24"/>
              </w:rPr>
              <w:t>Dividendų išmokėjimo koeficientas</w:t>
            </w:r>
          </w:p>
        </w:tc>
        <w:tc>
          <w:tcPr>
            <w:tcW w:w="1367" w:type="dxa"/>
          </w:tcPr>
          <w:p w:rsidR="009A1AE3" w:rsidRPr="000862E2" w:rsidRDefault="00EC7800" w:rsidP="00835B09">
            <w:pPr>
              <w:spacing w:line="240" w:lineRule="auto"/>
              <w:ind w:firstLine="0"/>
              <w:jc w:val="center"/>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DP</m:t>
                    </m:r>
                  </m:e>
                  <m:sub>
                    <m:r>
                      <w:rPr>
                        <w:rFonts w:ascii="Cambria Math" w:hAnsi="Cambria Math" w:cs="Times New Roman"/>
                        <w:szCs w:val="24"/>
                      </w:rPr>
                      <m:t>i(t+1)</m:t>
                    </m:r>
                  </m:sub>
                </m:sSub>
              </m:oMath>
            </m:oMathPara>
          </w:p>
        </w:tc>
        <w:tc>
          <w:tcPr>
            <w:tcW w:w="1268" w:type="dxa"/>
          </w:tcPr>
          <w:p w:rsidR="009A1AE3" w:rsidRPr="000862E2" w:rsidRDefault="00142942" w:rsidP="00835B09">
            <w:pPr>
              <w:spacing w:line="240" w:lineRule="auto"/>
              <w:ind w:firstLine="0"/>
              <w:jc w:val="center"/>
              <w:rPr>
                <w:rFonts w:cs="Times New Roman"/>
                <w:szCs w:val="24"/>
              </w:rPr>
            </w:pPr>
            <w:r>
              <w:rPr>
                <w:rFonts w:cs="Times New Roman"/>
                <w:szCs w:val="24"/>
              </w:rPr>
              <w:t>-</w:t>
            </w:r>
          </w:p>
        </w:tc>
        <w:tc>
          <w:tcPr>
            <w:tcW w:w="4700" w:type="dxa"/>
          </w:tcPr>
          <w:p w:rsidR="009A1AE3" w:rsidRPr="00B96948" w:rsidRDefault="00EC7800" w:rsidP="000E5E22">
            <w:pPr>
              <w:spacing w:line="240" w:lineRule="auto"/>
              <w:ind w:firstLine="0"/>
              <w:jc w:val="center"/>
              <w:rPr>
                <w:rFonts w:cs="Times New Roman"/>
                <w:i/>
                <w:szCs w:val="24"/>
              </w:rPr>
            </w:pPr>
            <m:oMathPara>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cs="Times New Roman"/>
                            <w:szCs w:val="24"/>
                          </w:rPr>
                          <m:t>DPS</m:t>
                        </m:r>
                      </m:e>
                      <m:sub>
                        <m:r>
                          <w:rPr>
                            <w:rFonts w:ascii="Cambria Math" w:cs="Times New Roman"/>
                            <w:szCs w:val="24"/>
                          </w:rPr>
                          <m:t>i(t+1)</m:t>
                        </m:r>
                      </m:sub>
                    </m:sSub>
                  </m:num>
                  <m:den>
                    <m:sSub>
                      <m:sSubPr>
                        <m:ctrlPr>
                          <w:rPr>
                            <w:rFonts w:ascii="Cambria Math" w:hAnsi="Cambria Math" w:cs="Times New Roman"/>
                            <w:i/>
                            <w:szCs w:val="24"/>
                          </w:rPr>
                        </m:ctrlPr>
                      </m:sSubPr>
                      <m:e>
                        <m:r>
                          <w:rPr>
                            <w:rFonts w:ascii="Cambria Math" w:cs="Times New Roman"/>
                            <w:szCs w:val="24"/>
                          </w:rPr>
                          <m:t>EPS</m:t>
                        </m:r>
                      </m:e>
                      <m:sub>
                        <m:r>
                          <w:rPr>
                            <w:rFonts w:ascii="Cambria Math" w:cs="Times New Roman"/>
                            <w:szCs w:val="24"/>
                          </w:rPr>
                          <m:t>it</m:t>
                        </m:r>
                      </m:sub>
                    </m:sSub>
                  </m:den>
                </m:f>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Dividendai</m:t>
                    </m:r>
                  </m:num>
                  <m:den>
                    <m:r>
                      <w:rPr>
                        <w:rFonts w:ascii="Cambria Math" w:hAnsi="Cambria Math" w:cs="Times New Roman"/>
                        <w:szCs w:val="24"/>
                      </w:rPr>
                      <m:t>Neto pelnas</m:t>
                    </m:r>
                  </m:den>
                </m:f>
              </m:oMath>
            </m:oMathPara>
          </w:p>
        </w:tc>
      </w:tr>
      <w:tr w:rsidR="00142942" w:rsidRPr="000862E2" w:rsidTr="00261C29">
        <w:tc>
          <w:tcPr>
            <w:tcW w:w="10137" w:type="dxa"/>
            <w:gridSpan w:val="5"/>
          </w:tcPr>
          <w:p w:rsidR="00142942" w:rsidRDefault="00142942" w:rsidP="008046F2">
            <w:pPr>
              <w:ind w:firstLine="0"/>
              <w:jc w:val="center"/>
            </w:pPr>
            <w:r>
              <w:rPr>
                <w:rFonts w:cs="Times New Roman"/>
                <w:b/>
                <w:szCs w:val="24"/>
              </w:rPr>
              <w:t>Ne</w:t>
            </w:r>
            <w:r w:rsidR="008046F2">
              <w:rPr>
                <w:rFonts w:cs="Times New Roman"/>
                <w:b/>
                <w:szCs w:val="24"/>
              </w:rPr>
              <w:t>p</w:t>
            </w:r>
            <w:r w:rsidRPr="00D56A42">
              <w:rPr>
                <w:rFonts w:cs="Times New Roman"/>
                <w:b/>
                <w:szCs w:val="24"/>
              </w:rPr>
              <w:t xml:space="preserve">riklausomi </w:t>
            </w:r>
            <w:r>
              <w:rPr>
                <w:rFonts w:cs="Times New Roman"/>
                <w:b/>
                <w:szCs w:val="24"/>
              </w:rPr>
              <w:t>kontroliniai</w:t>
            </w:r>
            <w:r w:rsidRPr="00D56A42">
              <w:rPr>
                <w:rFonts w:cs="Times New Roman"/>
                <w:b/>
                <w:szCs w:val="24"/>
              </w:rPr>
              <w:t xml:space="preserve"> kintamieji</w:t>
            </w:r>
          </w:p>
        </w:tc>
      </w:tr>
      <w:tr w:rsidR="008046F2" w:rsidRPr="000862E2" w:rsidTr="00835B09">
        <w:tc>
          <w:tcPr>
            <w:tcW w:w="959" w:type="dxa"/>
          </w:tcPr>
          <w:p w:rsidR="008046F2" w:rsidRPr="000862E2" w:rsidRDefault="008046F2" w:rsidP="003B27C1">
            <w:pPr>
              <w:spacing w:line="240" w:lineRule="auto"/>
              <w:ind w:firstLine="0"/>
              <w:jc w:val="center"/>
              <w:rPr>
                <w:rFonts w:cs="Times New Roman"/>
                <w:szCs w:val="24"/>
              </w:rPr>
            </w:pPr>
            <w:r w:rsidRPr="000862E2">
              <w:rPr>
                <w:rFonts w:cs="Times New Roman"/>
                <w:szCs w:val="24"/>
              </w:rPr>
              <w:t>4.</w:t>
            </w:r>
          </w:p>
        </w:tc>
        <w:tc>
          <w:tcPr>
            <w:tcW w:w="1843" w:type="dxa"/>
          </w:tcPr>
          <w:p w:rsidR="008046F2" w:rsidRPr="000862E2" w:rsidRDefault="008046F2" w:rsidP="00835B09">
            <w:pPr>
              <w:spacing w:line="240" w:lineRule="auto"/>
              <w:ind w:firstLine="0"/>
              <w:jc w:val="center"/>
              <w:rPr>
                <w:rFonts w:cs="Times New Roman"/>
                <w:szCs w:val="24"/>
              </w:rPr>
            </w:pPr>
            <w:r>
              <w:rPr>
                <w:rFonts w:eastAsia="Times New Roman" w:cs="Times New Roman"/>
                <w:color w:val="000000"/>
                <w:szCs w:val="24"/>
                <w:lang w:eastAsia="lt-LT"/>
              </w:rPr>
              <w:t>Įmonės dydžio rodiklis</w:t>
            </w:r>
          </w:p>
        </w:tc>
        <w:tc>
          <w:tcPr>
            <w:tcW w:w="1367" w:type="dxa"/>
          </w:tcPr>
          <w:p w:rsidR="008046F2" w:rsidRPr="007E4D09" w:rsidRDefault="008046F2" w:rsidP="00835B09">
            <w:pPr>
              <w:spacing w:line="240" w:lineRule="auto"/>
              <w:ind w:firstLine="0"/>
              <w:jc w:val="center"/>
              <w:rPr>
                <w:rFonts w:cs="Times New Roman"/>
                <w:szCs w:val="24"/>
                <w:vertAlign w:val="subscript"/>
              </w:rPr>
            </w:pPr>
            <w:r>
              <w:rPr>
                <w:rFonts w:eastAsia="Times New Roman" w:cs="Times New Roman"/>
                <w:i/>
                <w:color w:val="000000"/>
                <w:szCs w:val="24"/>
                <w:lang w:eastAsia="lt-LT"/>
              </w:rPr>
              <w:t>lnTUR</w:t>
            </w:r>
            <w:r w:rsidR="007E4D09">
              <w:rPr>
                <w:rFonts w:eastAsia="Times New Roman" w:cs="Times New Roman"/>
                <w:i/>
                <w:color w:val="000000"/>
                <w:szCs w:val="24"/>
                <w:vertAlign w:val="subscript"/>
                <w:lang w:eastAsia="lt-LT"/>
              </w:rPr>
              <w:t>it</w:t>
            </w:r>
          </w:p>
        </w:tc>
        <w:tc>
          <w:tcPr>
            <w:tcW w:w="1268" w:type="dxa"/>
          </w:tcPr>
          <w:p w:rsidR="008046F2" w:rsidRPr="000862E2" w:rsidRDefault="000E5E22" w:rsidP="00835B09">
            <w:pPr>
              <w:spacing w:line="240" w:lineRule="auto"/>
              <w:ind w:firstLine="0"/>
              <w:jc w:val="center"/>
              <w:rPr>
                <w:rFonts w:cs="Times New Roman"/>
                <w:szCs w:val="24"/>
              </w:rPr>
            </w:pPr>
            <w:r>
              <w:rPr>
                <w:rFonts w:cs="Times New Roman"/>
                <w:szCs w:val="24"/>
              </w:rPr>
              <w:t>+</w:t>
            </w:r>
          </w:p>
        </w:tc>
        <w:tc>
          <w:tcPr>
            <w:tcW w:w="4700" w:type="dxa"/>
          </w:tcPr>
          <w:p w:rsidR="008046F2" w:rsidRPr="00BB49FC" w:rsidRDefault="00EC7800" w:rsidP="008046F2">
            <w:pPr>
              <w:spacing w:line="240" w:lineRule="auto"/>
              <w:ind w:firstLine="0"/>
              <w:jc w:val="center"/>
              <w:rPr>
                <w:rFonts w:cs="Times New Roman"/>
                <w:szCs w:val="24"/>
              </w:rPr>
            </w:pPr>
            <m:oMathPara>
              <m:oMath>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Visas_turtas</m:t>
                    </m:r>
                  </m:e>
                </m:func>
              </m:oMath>
            </m:oMathPara>
          </w:p>
        </w:tc>
      </w:tr>
      <w:tr w:rsidR="008046F2" w:rsidRPr="000862E2" w:rsidTr="00835B09">
        <w:tc>
          <w:tcPr>
            <w:tcW w:w="959" w:type="dxa"/>
          </w:tcPr>
          <w:p w:rsidR="008046F2" w:rsidRPr="000862E2" w:rsidRDefault="008046F2" w:rsidP="003B27C1">
            <w:pPr>
              <w:spacing w:line="240" w:lineRule="auto"/>
              <w:ind w:firstLine="0"/>
              <w:jc w:val="center"/>
              <w:rPr>
                <w:rFonts w:cs="Times New Roman"/>
                <w:szCs w:val="24"/>
              </w:rPr>
            </w:pPr>
            <w:r w:rsidRPr="000862E2">
              <w:rPr>
                <w:rFonts w:cs="Times New Roman"/>
                <w:szCs w:val="24"/>
              </w:rPr>
              <w:t>5.</w:t>
            </w:r>
          </w:p>
        </w:tc>
        <w:tc>
          <w:tcPr>
            <w:tcW w:w="1843" w:type="dxa"/>
          </w:tcPr>
          <w:p w:rsidR="008046F2" w:rsidRPr="000862E2" w:rsidRDefault="008046F2" w:rsidP="007D46EC">
            <w:pPr>
              <w:spacing w:line="240" w:lineRule="auto"/>
              <w:ind w:firstLine="0"/>
              <w:jc w:val="center"/>
              <w:rPr>
                <w:rFonts w:cs="Times New Roman"/>
                <w:szCs w:val="24"/>
              </w:rPr>
            </w:pPr>
            <w:r>
              <w:rPr>
                <w:rFonts w:eastAsia="Times New Roman" w:cs="Times New Roman"/>
                <w:color w:val="000000"/>
                <w:szCs w:val="24"/>
                <w:lang w:eastAsia="lt-LT"/>
              </w:rPr>
              <w:t xml:space="preserve">Nepaskirstyto pelno – akcinio kapitalo </w:t>
            </w:r>
            <w:r w:rsidR="007D46EC">
              <w:rPr>
                <w:rFonts w:eastAsia="Times New Roman" w:cs="Times New Roman"/>
                <w:color w:val="000000"/>
                <w:szCs w:val="24"/>
                <w:lang w:eastAsia="lt-LT"/>
              </w:rPr>
              <w:t>santykis</w:t>
            </w:r>
          </w:p>
        </w:tc>
        <w:tc>
          <w:tcPr>
            <w:tcW w:w="1367" w:type="dxa"/>
          </w:tcPr>
          <w:p w:rsidR="008046F2" w:rsidRPr="007E4D09" w:rsidRDefault="008046F2" w:rsidP="00835B09">
            <w:pPr>
              <w:spacing w:line="240" w:lineRule="auto"/>
              <w:ind w:firstLine="0"/>
              <w:jc w:val="center"/>
              <w:rPr>
                <w:rFonts w:cs="Times New Roman"/>
                <w:szCs w:val="24"/>
                <w:vertAlign w:val="subscript"/>
              </w:rPr>
            </w:pPr>
            <w:r w:rsidRPr="003A618C">
              <w:rPr>
                <w:rFonts w:eastAsia="Times New Roman" w:cs="Times New Roman"/>
                <w:i/>
                <w:color w:val="000000"/>
                <w:szCs w:val="24"/>
                <w:lang w:eastAsia="lt-LT"/>
              </w:rPr>
              <w:t>RETE</w:t>
            </w:r>
            <w:r w:rsidR="007E4D09">
              <w:rPr>
                <w:rFonts w:eastAsia="Times New Roman" w:cs="Times New Roman"/>
                <w:i/>
                <w:color w:val="000000"/>
                <w:szCs w:val="24"/>
                <w:vertAlign w:val="subscript"/>
                <w:lang w:eastAsia="lt-LT"/>
              </w:rPr>
              <w:t>it</w:t>
            </w:r>
          </w:p>
        </w:tc>
        <w:tc>
          <w:tcPr>
            <w:tcW w:w="1268" w:type="dxa"/>
          </w:tcPr>
          <w:p w:rsidR="008046F2" w:rsidRPr="000862E2" w:rsidRDefault="000E5E22" w:rsidP="00835B09">
            <w:pPr>
              <w:spacing w:line="240" w:lineRule="auto"/>
              <w:ind w:firstLine="0"/>
              <w:jc w:val="center"/>
              <w:rPr>
                <w:rFonts w:cs="Times New Roman"/>
                <w:szCs w:val="24"/>
              </w:rPr>
            </w:pPr>
            <w:r>
              <w:rPr>
                <w:rFonts w:cs="Times New Roman"/>
                <w:szCs w:val="24"/>
              </w:rPr>
              <w:t>-</w:t>
            </w:r>
          </w:p>
        </w:tc>
        <w:tc>
          <w:tcPr>
            <w:tcW w:w="4700" w:type="dxa"/>
          </w:tcPr>
          <w:p w:rsidR="008046F2" w:rsidRPr="00BB49FC" w:rsidRDefault="00EC7800" w:rsidP="008046F2">
            <w:pPr>
              <w:spacing w:line="240" w:lineRule="auto"/>
              <w:ind w:firstLine="0"/>
              <w:jc w:val="center"/>
              <w:rPr>
                <w:rFonts w:cs="Times New Roman"/>
                <w:szCs w:val="24"/>
              </w:rPr>
            </w:pPr>
            <m:oMathPara>
              <m:oMath>
                <m:f>
                  <m:fPr>
                    <m:ctrlPr>
                      <w:rPr>
                        <w:rFonts w:ascii="Cambria Math" w:hAnsi="Cambria Math" w:cs="Times New Roman"/>
                        <w:i/>
                        <w:szCs w:val="24"/>
                      </w:rPr>
                    </m:ctrlPr>
                  </m:fPr>
                  <m:num>
                    <m:r>
                      <w:rPr>
                        <w:rFonts w:ascii="Cambria Math" w:hAnsi="Cambria Math" w:cs="Times New Roman"/>
                        <w:szCs w:val="24"/>
                      </w:rPr>
                      <m:t>Nepaskirstytas pelnas</m:t>
                    </m:r>
                  </m:num>
                  <m:den>
                    <m:r>
                      <w:rPr>
                        <w:rFonts w:ascii="Cambria Math" w:hAnsi="Cambria Math" w:cs="Times New Roman"/>
                        <w:szCs w:val="24"/>
                      </w:rPr>
                      <m:t>Akcinis kapital</m:t>
                    </m:r>
                    <m:r>
                      <w:rPr>
                        <w:rFonts w:ascii="Cambria Math" w:hAnsi="Cambria Math" w:cs="Times New Roman"/>
                        <w:szCs w:val="24"/>
                      </w:rPr>
                      <m:t>as</m:t>
                    </m:r>
                  </m:den>
                </m:f>
              </m:oMath>
            </m:oMathPara>
          </w:p>
        </w:tc>
      </w:tr>
      <w:tr w:rsidR="008046F2" w:rsidRPr="000862E2" w:rsidTr="00835B09">
        <w:tc>
          <w:tcPr>
            <w:tcW w:w="959" w:type="dxa"/>
          </w:tcPr>
          <w:p w:rsidR="008046F2" w:rsidRPr="000862E2" w:rsidRDefault="008046F2" w:rsidP="003B27C1">
            <w:pPr>
              <w:spacing w:line="240" w:lineRule="auto"/>
              <w:ind w:firstLine="0"/>
              <w:jc w:val="center"/>
              <w:rPr>
                <w:rFonts w:cs="Times New Roman"/>
                <w:szCs w:val="24"/>
              </w:rPr>
            </w:pPr>
            <w:r w:rsidRPr="000862E2">
              <w:rPr>
                <w:rFonts w:cs="Times New Roman"/>
                <w:szCs w:val="24"/>
              </w:rPr>
              <w:t>6.</w:t>
            </w:r>
          </w:p>
        </w:tc>
        <w:tc>
          <w:tcPr>
            <w:tcW w:w="1843" w:type="dxa"/>
          </w:tcPr>
          <w:p w:rsidR="008046F2" w:rsidRPr="000862E2" w:rsidRDefault="008046F2" w:rsidP="007D46EC">
            <w:pPr>
              <w:spacing w:line="240" w:lineRule="auto"/>
              <w:ind w:firstLine="0"/>
              <w:jc w:val="center"/>
              <w:rPr>
                <w:rFonts w:cs="Times New Roman"/>
                <w:szCs w:val="24"/>
              </w:rPr>
            </w:pPr>
            <w:r w:rsidRPr="008E3CF0">
              <w:rPr>
                <w:rFonts w:eastAsia="Times New Roman" w:cs="Times New Roman"/>
                <w:szCs w:val="24"/>
                <w:lang w:eastAsia="lt-LT"/>
              </w:rPr>
              <w:t xml:space="preserve">Nepaskirstyto pelno </w:t>
            </w:r>
            <w:r w:rsidR="007D46EC">
              <w:rPr>
                <w:rFonts w:eastAsia="Times New Roman" w:cs="Times New Roman"/>
                <w:szCs w:val="24"/>
                <w:lang w:eastAsia="lt-LT"/>
              </w:rPr>
              <w:t>rodiklis</w:t>
            </w:r>
          </w:p>
        </w:tc>
        <w:tc>
          <w:tcPr>
            <w:tcW w:w="1367" w:type="dxa"/>
          </w:tcPr>
          <w:p w:rsidR="008046F2" w:rsidRPr="000862E2" w:rsidRDefault="00EC7800" w:rsidP="00835B09">
            <w:pPr>
              <w:spacing w:line="240" w:lineRule="auto"/>
              <w:ind w:firstLine="0"/>
              <w:jc w:val="center"/>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RR</m:t>
                    </m:r>
                  </m:e>
                  <m:sub>
                    <m:r>
                      <w:rPr>
                        <w:rFonts w:ascii="Cambria Math" w:hAnsi="Cambria Math" w:cs="Times New Roman"/>
                        <w:szCs w:val="24"/>
                      </w:rPr>
                      <m:t>it</m:t>
                    </m:r>
                  </m:sub>
                </m:sSub>
              </m:oMath>
            </m:oMathPara>
          </w:p>
        </w:tc>
        <w:tc>
          <w:tcPr>
            <w:tcW w:w="1268" w:type="dxa"/>
          </w:tcPr>
          <w:p w:rsidR="008046F2" w:rsidRPr="000862E2" w:rsidRDefault="008046F2" w:rsidP="00835B09">
            <w:pPr>
              <w:spacing w:line="240" w:lineRule="auto"/>
              <w:ind w:firstLine="0"/>
              <w:jc w:val="center"/>
              <w:rPr>
                <w:rFonts w:cs="Times New Roman"/>
                <w:szCs w:val="24"/>
              </w:rPr>
            </w:pPr>
            <w:r w:rsidRPr="000862E2">
              <w:rPr>
                <w:rFonts w:cs="Times New Roman"/>
                <w:szCs w:val="24"/>
              </w:rPr>
              <w:t>-</w:t>
            </w:r>
          </w:p>
        </w:tc>
        <w:tc>
          <w:tcPr>
            <w:tcW w:w="4700" w:type="dxa"/>
          </w:tcPr>
          <w:p w:rsidR="008046F2" w:rsidRPr="000862E2" w:rsidRDefault="00EC7800" w:rsidP="008046F2">
            <w:pPr>
              <w:spacing w:line="240" w:lineRule="auto"/>
              <w:ind w:firstLine="0"/>
              <w:jc w:val="center"/>
              <w:rPr>
                <w:rFonts w:cs="Times New Roman"/>
                <w:szCs w:val="24"/>
              </w:rPr>
            </w:pPr>
            <m:oMathPara>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EPS</m:t>
                        </m:r>
                      </m:e>
                      <m:sub>
                        <m:r>
                          <w:rPr>
                            <w:rFonts w:ascii="Cambria Math" w:hAnsi="Cambria Math" w:cs="Times New Roman"/>
                            <w:szCs w:val="24"/>
                          </w:rPr>
                          <m:t>t</m:t>
                        </m:r>
                      </m:sub>
                    </m:sSub>
                    <m:r>
                      <w:rPr>
                        <w:rFonts w:ascii="Cambria Math" w:hAnsi="Cambria Math" w:cs="Times New Roman"/>
                        <w:szCs w:val="24"/>
                        <w:lang w:val="en-US"/>
                      </w:rPr>
                      <m:t xml:space="preserve">- </m:t>
                    </m:r>
                    <m:sSub>
                      <m:sSubPr>
                        <m:ctrlPr>
                          <w:rPr>
                            <w:rFonts w:ascii="Cambria Math" w:hAnsi="Cambria Math" w:cs="Times New Roman"/>
                            <w:i/>
                            <w:szCs w:val="24"/>
                            <w:lang w:val="en-US"/>
                          </w:rPr>
                        </m:ctrlPr>
                      </m:sSubPr>
                      <m:e>
                        <m:r>
                          <w:rPr>
                            <w:rFonts w:ascii="Cambria Math" w:hAnsi="Cambria Math" w:cs="Times New Roman"/>
                            <w:szCs w:val="24"/>
                            <w:lang w:val="en-US"/>
                          </w:rPr>
                          <m:t>DPS</m:t>
                        </m:r>
                      </m:e>
                      <m:sub>
                        <m:r>
                          <w:rPr>
                            <w:rFonts w:ascii="Cambria Math" w:hAnsi="Cambria Math" w:cs="Times New Roman"/>
                            <w:szCs w:val="24"/>
                            <w:lang w:val="en-US"/>
                          </w:rPr>
                          <m:t>t+1</m:t>
                        </m:r>
                      </m:sub>
                    </m:sSub>
                  </m:num>
                  <m:den>
                    <m:sSub>
                      <m:sSubPr>
                        <m:ctrlPr>
                          <w:rPr>
                            <w:rFonts w:ascii="Cambria Math" w:hAnsi="Cambria Math" w:cs="Times New Roman"/>
                            <w:i/>
                            <w:szCs w:val="24"/>
                          </w:rPr>
                        </m:ctrlPr>
                      </m:sSubPr>
                      <m:e>
                        <m:r>
                          <w:rPr>
                            <w:rFonts w:ascii="Cambria Math" w:hAnsi="Cambria Math" w:cs="Times New Roman"/>
                            <w:szCs w:val="24"/>
                          </w:rPr>
                          <m:t>DPS</m:t>
                        </m:r>
                      </m:e>
                      <m:sub>
                        <m:r>
                          <w:rPr>
                            <w:rFonts w:ascii="Cambria Math" w:hAnsi="Cambria Math" w:cs="Times New Roman"/>
                            <w:szCs w:val="24"/>
                          </w:rPr>
                          <m:t>t+1</m:t>
                        </m:r>
                      </m:sub>
                    </m:sSub>
                  </m:den>
                </m:f>
              </m:oMath>
            </m:oMathPara>
          </w:p>
        </w:tc>
      </w:tr>
      <w:tr w:rsidR="008046F2" w:rsidRPr="000862E2" w:rsidTr="003B27C1">
        <w:tc>
          <w:tcPr>
            <w:tcW w:w="959" w:type="dxa"/>
          </w:tcPr>
          <w:p w:rsidR="008046F2" w:rsidRPr="000862E2" w:rsidRDefault="00E32AFA" w:rsidP="00835B09">
            <w:pPr>
              <w:spacing w:line="240" w:lineRule="auto"/>
              <w:ind w:firstLine="0"/>
              <w:jc w:val="center"/>
              <w:rPr>
                <w:rFonts w:cs="Times New Roman"/>
                <w:szCs w:val="24"/>
              </w:rPr>
            </w:pPr>
            <w:r>
              <w:rPr>
                <w:rFonts w:cs="Times New Roman"/>
                <w:szCs w:val="24"/>
              </w:rPr>
              <w:t>7.</w:t>
            </w:r>
          </w:p>
        </w:tc>
        <w:tc>
          <w:tcPr>
            <w:tcW w:w="1843" w:type="dxa"/>
            <w:vAlign w:val="center"/>
          </w:tcPr>
          <w:p w:rsidR="008046F2" w:rsidRPr="003067E9" w:rsidRDefault="002513C3" w:rsidP="003B27C1">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EBI</w:t>
            </w:r>
            <w:r w:rsidR="008046F2" w:rsidRPr="003067E9">
              <w:rPr>
                <w:rFonts w:eastAsia="Times New Roman" w:cs="Times New Roman"/>
                <w:color w:val="000000"/>
                <w:szCs w:val="24"/>
                <w:lang w:eastAsia="lt-LT"/>
              </w:rPr>
              <w:t>T</w:t>
            </w:r>
            <w:r>
              <w:rPr>
                <w:rFonts w:eastAsia="Times New Roman" w:cs="Times New Roman"/>
                <w:color w:val="000000"/>
                <w:szCs w:val="24"/>
                <w:lang w:eastAsia="lt-LT"/>
              </w:rPr>
              <w:t>D</w:t>
            </w:r>
            <w:r w:rsidR="008046F2" w:rsidRPr="003067E9">
              <w:rPr>
                <w:rFonts w:eastAsia="Times New Roman" w:cs="Times New Roman"/>
                <w:color w:val="000000"/>
                <w:szCs w:val="24"/>
                <w:lang w:eastAsia="lt-LT"/>
              </w:rPr>
              <w:t>A pokytis</w:t>
            </w:r>
          </w:p>
        </w:tc>
        <w:tc>
          <w:tcPr>
            <w:tcW w:w="1367" w:type="dxa"/>
            <w:vAlign w:val="center"/>
          </w:tcPr>
          <w:p w:rsidR="008046F2" w:rsidRPr="007E4D09" w:rsidRDefault="002513C3" w:rsidP="003B27C1">
            <w:pPr>
              <w:spacing w:before="0" w:line="240" w:lineRule="auto"/>
              <w:ind w:firstLine="0"/>
              <w:jc w:val="center"/>
              <w:rPr>
                <w:rFonts w:eastAsia="Times New Roman" w:cs="Times New Roman"/>
                <w:i/>
                <w:color w:val="000000"/>
                <w:szCs w:val="24"/>
                <w:vertAlign w:val="subscript"/>
                <w:lang w:eastAsia="lt-LT"/>
              </w:rPr>
            </w:pPr>
            <w:r>
              <w:rPr>
                <w:rFonts w:eastAsia="Times New Roman" w:cs="Times New Roman"/>
                <w:i/>
                <w:color w:val="000000"/>
                <w:szCs w:val="24"/>
                <w:lang w:eastAsia="lt-LT"/>
              </w:rPr>
              <w:t>∆EBI</w:t>
            </w:r>
            <w:r w:rsidR="008046F2" w:rsidRPr="003A618C">
              <w:rPr>
                <w:rFonts w:eastAsia="Times New Roman" w:cs="Times New Roman"/>
                <w:i/>
                <w:color w:val="000000"/>
                <w:szCs w:val="24"/>
                <w:lang w:eastAsia="lt-LT"/>
              </w:rPr>
              <w:t>T</w:t>
            </w:r>
            <w:r>
              <w:rPr>
                <w:rFonts w:eastAsia="Times New Roman" w:cs="Times New Roman"/>
                <w:i/>
                <w:color w:val="000000"/>
                <w:szCs w:val="24"/>
                <w:lang w:eastAsia="lt-LT"/>
              </w:rPr>
              <w:t>D</w:t>
            </w:r>
            <w:r w:rsidR="008046F2" w:rsidRPr="003A618C">
              <w:rPr>
                <w:rFonts w:eastAsia="Times New Roman" w:cs="Times New Roman"/>
                <w:i/>
                <w:color w:val="000000"/>
                <w:szCs w:val="24"/>
                <w:lang w:eastAsia="lt-LT"/>
              </w:rPr>
              <w:t>A</w:t>
            </w:r>
            <w:r w:rsidR="007E4D09">
              <w:rPr>
                <w:rFonts w:eastAsia="Times New Roman" w:cs="Times New Roman"/>
                <w:i/>
                <w:color w:val="000000"/>
                <w:szCs w:val="24"/>
                <w:vertAlign w:val="subscript"/>
                <w:lang w:eastAsia="lt-LT"/>
              </w:rPr>
              <w:t>it</w:t>
            </w:r>
          </w:p>
        </w:tc>
        <w:tc>
          <w:tcPr>
            <w:tcW w:w="1268" w:type="dxa"/>
          </w:tcPr>
          <w:p w:rsidR="008046F2" w:rsidRPr="000862E2" w:rsidRDefault="000E5E22" w:rsidP="00835B09">
            <w:pPr>
              <w:spacing w:line="240" w:lineRule="auto"/>
              <w:ind w:firstLine="0"/>
              <w:jc w:val="center"/>
              <w:rPr>
                <w:rFonts w:cs="Times New Roman"/>
                <w:szCs w:val="24"/>
                <w:lang w:val="en-US"/>
              </w:rPr>
            </w:pPr>
            <w:r>
              <w:rPr>
                <w:rFonts w:cs="Times New Roman"/>
                <w:szCs w:val="24"/>
                <w:lang w:val="en-US"/>
              </w:rPr>
              <w:t>+</w:t>
            </w:r>
          </w:p>
        </w:tc>
        <w:tc>
          <w:tcPr>
            <w:tcW w:w="4700" w:type="dxa"/>
          </w:tcPr>
          <w:p w:rsidR="008046F2" w:rsidRPr="000862E2" w:rsidRDefault="00EC7800" w:rsidP="000E5E22">
            <w:pPr>
              <w:spacing w:line="240" w:lineRule="auto"/>
              <w:ind w:firstLine="0"/>
              <w:jc w:val="center"/>
              <w:rPr>
                <w:rFonts w:cs="Times New Roman"/>
                <w:szCs w:val="24"/>
              </w:rPr>
            </w:pPr>
            <m:oMathPara>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EBITDA</m:t>
                        </m:r>
                      </m:e>
                      <m:sub>
                        <m:r>
                          <w:rPr>
                            <w:rFonts w:ascii="Cambria Math" w:hAnsi="Cambria Math" w:cs="Times New Roman"/>
                            <w:szCs w:val="24"/>
                          </w:rPr>
                          <m:t>it</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EBITDA</m:t>
                        </m:r>
                      </m:e>
                      <m:sub>
                        <m:r>
                          <w:rPr>
                            <w:rFonts w:ascii="Cambria Math" w:hAnsi="Cambria Math" w:cs="Times New Roman"/>
                            <w:szCs w:val="24"/>
                          </w:rPr>
                          <m:t>i(t-1)</m:t>
                        </m:r>
                      </m:sub>
                    </m:sSub>
                  </m:num>
                  <m:den>
                    <m:sSub>
                      <m:sSubPr>
                        <m:ctrlPr>
                          <w:rPr>
                            <w:rFonts w:ascii="Cambria Math" w:hAnsi="Cambria Math" w:cs="Times New Roman"/>
                            <w:i/>
                            <w:szCs w:val="24"/>
                          </w:rPr>
                        </m:ctrlPr>
                      </m:sSubPr>
                      <m:e>
                        <m:r>
                          <w:rPr>
                            <w:rFonts w:ascii="Cambria Math" w:hAnsi="Cambria Math" w:cs="Times New Roman"/>
                            <w:szCs w:val="24"/>
                          </w:rPr>
                          <m:t>EBITDA</m:t>
                        </m:r>
                      </m:e>
                      <m:sub>
                        <m:r>
                          <w:rPr>
                            <w:rFonts w:ascii="Cambria Math" w:hAnsi="Cambria Math" w:cs="Times New Roman"/>
                            <w:szCs w:val="24"/>
                          </w:rPr>
                          <m:t>i(t-1)</m:t>
                        </m:r>
                      </m:sub>
                    </m:sSub>
                  </m:den>
                </m:f>
              </m:oMath>
            </m:oMathPara>
          </w:p>
        </w:tc>
      </w:tr>
      <w:tr w:rsidR="008046F2" w:rsidRPr="000862E2" w:rsidTr="00835B09">
        <w:tc>
          <w:tcPr>
            <w:tcW w:w="959" w:type="dxa"/>
          </w:tcPr>
          <w:p w:rsidR="008046F2" w:rsidRPr="000862E2" w:rsidRDefault="00E32AFA" w:rsidP="00835B09">
            <w:pPr>
              <w:spacing w:line="240" w:lineRule="auto"/>
              <w:ind w:firstLine="0"/>
              <w:jc w:val="center"/>
              <w:rPr>
                <w:rFonts w:cs="Times New Roman"/>
                <w:szCs w:val="24"/>
              </w:rPr>
            </w:pPr>
            <w:r>
              <w:rPr>
                <w:rFonts w:cs="Times New Roman"/>
                <w:szCs w:val="24"/>
              </w:rPr>
              <w:t>8.</w:t>
            </w:r>
          </w:p>
        </w:tc>
        <w:tc>
          <w:tcPr>
            <w:tcW w:w="1843" w:type="dxa"/>
          </w:tcPr>
          <w:p w:rsidR="008046F2" w:rsidRPr="000862E2" w:rsidRDefault="008046F2" w:rsidP="008046F2">
            <w:pPr>
              <w:spacing w:line="240" w:lineRule="auto"/>
              <w:ind w:firstLine="0"/>
              <w:jc w:val="center"/>
              <w:rPr>
                <w:rFonts w:cs="Times New Roman"/>
                <w:szCs w:val="24"/>
              </w:rPr>
            </w:pPr>
            <w:r>
              <w:rPr>
                <w:rFonts w:cs="Times New Roman"/>
                <w:szCs w:val="24"/>
              </w:rPr>
              <w:t>Nuosavo kapitalo grąža</w:t>
            </w:r>
          </w:p>
        </w:tc>
        <w:tc>
          <w:tcPr>
            <w:tcW w:w="1367" w:type="dxa"/>
          </w:tcPr>
          <w:p w:rsidR="008046F2" w:rsidRPr="000862E2" w:rsidRDefault="00EC7800" w:rsidP="00E01FE5">
            <w:pPr>
              <w:spacing w:line="240" w:lineRule="auto"/>
              <w:ind w:firstLine="0"/>
              <w:jc w:val="center"/>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ROE</m:t>
                    </m:r>
                  </m:e>
                  <m:sub>
                    <m:r>
                      <w:rPr>
                        <w:rFonts w:ascii="Cambria Math" w:hAnsi="Cambria Math" w:cs="Times New Roman"/>
                        <w:szCs w:val="24"/>
                      </w:rPr>
                      <m:t>it</m:t>
                    </m:r>
                  </m:sub>
                </m:sSub>
              </m:oMath>
            </m:oMathPara>
          </w:p>
        </w:tc>
        <w:tc>
          <w:tcPr>
            <w:tcW w:w="1268" w:type="dxa"/>
          </w:tcPr>
          <w:p w:rsidR="008046F2" w:rsidRPr="000862E2" w:rsidRDefault="008046F2" w:rsidP="00835B09">
            <w:pPr>
              <w:spacing w:line="240" w:lineRule="auto"/>
              <w:ind w:firstLine="0"/>
              <w:jc w:val="center"/>
              <w:rPr>
                <w:rFonts w:cs="Times New Roman"/>
                <w:szCs w:val="24"/>
              </w:rPr>
            </w:pPr>
            <w:r>
              <w:rPr>
                <w:rFonts w:cs="Times New Roman"/>
                <w:szCs w:val="24"/>
              </w:rPr>
              <w:t>+</w:t>
            </w:r>
          </w:p>
        </w:tc>
        <w:tc>
          <w:tcPr>
            <w:tcW w:w="4700" w:type="dxa"/>
          </w:tcPr>
          <w:p w:rsidR="008046F2" w:rsidRPr="000862E2" w:rsidRDefault="00EC7800" w:rsidP="00C608A0">
            <w:pPr>
              <w:spacing w:line="240" w:lineRule="auto"/>
              <w:ind w:firstLine="0"/>
              <w:jc w:val="center"/>
              <w:rPr>
                <w:rFonts w:cs="Times New Roman"/>
                <w:szCs w:val="24"/>
              </w:rPr>
            </w:pPr>
            <m:oMathPara>
              <m:oMath>
                <m:f>
                  <m:fPr>
                    <m:ctrlPr>
                      <w:rPr>
                        <w:rFonts w:ascii="Cambria Math" w:hAnsi="Cambria Math" w:cs="Times New Roman"/>
                        <w:i/>
                        <w:szCs w:val="24"/>
                      </w:rPr>
                    </m:ctrlPr>
                  </m:fPr>
                  <m:num>
                    <m:r>
                      <w:rPr>
                        <w:rFonts w:ascii="Cambria Math" w:hAnsi="Cambria Math" w:cs="Times New Roman"/>
                        <w:szCs w:val="24"/>
                      </w:rPr>
                      <m:t>Neto pel</m:t>
                    </m:r>
                    <m:r>
                      <w:rPr>
                        <w:rFonts w:ascii="Cambria Math" w:hAnsi="Cambria Math" w:cs="Times New Roman"/>
                        <w:szCs w:val="24"/>
                      </w:rPr>
                      <m:t>nas</m:t>
                    </m:r>
                  </m:num>
                  <m:den>
                    <m:r>
                      <w:rPr>
                        <w:rFonts w:ascii="Cambria Math" w:hAnsi="Cambria Math" w:cs="Times New Roman"/>
                        <w:szCs w:val="24"/>
                      </w:rPr>
                      <m:t>Visas turtas-Visi įsipareigojomai</m:t>
                    </m:r>
                  </m:den>
                </m:f>
              </m:oMath>
            </m:oMathPara>
          </w:p>
        </w:tc>
      </w:tr>
      <w:tr w:rsidR="008046F2" w:rsidRPr="000862E2" w:rsidTr="003B27C1">
        <w:tc>
          <w:tcPr>
            <w:tcW w:w="959" w:type="dxa"/>
          </w:tcPr>
          <w:p w:rsidR="008046F2" w:rsidRPr="000862E2" w:rsidRDefault="00E32AFA" w:rsidP="00835B09">
            <w:pPr>
              <w:spacing w:line="240" w:lineRule="auto"/>
              <w:ind w:firstLine="0"/>
              <w:jc w:val="center"/>
              <w:rPr>
                <w:rFonts w:cs="Times New Roman"/>
                <w:szCs w:val="24"/>
              </w:rPr>
            </w:pPr>
            <w:r>
              <w:rPr>
                <w:rFonts w:cs="Times New Roman"/>
                <w:szCs w:val="24"/>
              </w:rPr>
              <w:t>9.</w:t>
            </w:r>
          </w:p>
        </w:tc>
        <w:tc>
          <w:tcPr>
            <w:tcW w:w="1843" w:type="dxa"/>
            <w:vAlign w:val="center"/>
          </w:tcPr>
          <w:p w:rsidR="008046F2" w:rsidRPr="003067E9" w:rsidRDefault="008046F2" w:rsidP="003B27C1">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Bendrasis likvidumo koeficientas</w:t>
            </w:r>
          </w:p>
        </w:tc>
        <w:tc>
          <w:tcPr>
            <w:tcW w:w="1367" w:type="dxa"/>
            <w:vAlign w:val="center"/>
          </w:tcPr>
          <w:p w:rsidR="008046F2" w:rsidRPr="007E4D09" w:rsidRDefault="008046F2" w:rsidP="003B27C1">
            <w:pPr>
              <w:spacing w:before="0" w:line="240" w:lineRule="auto"/>
              <w:ind w:firstLine="0"/>
              <w:jc w:val="center"/>
              <w:rPr>
                <w:rFonts w:eastAsia="Times New Roman" w:cs="Times New Roman"/>
                <w:i/>
                <w:color w:val="000000"/>
                <w:szCs w:val="24"/>
                <w:vertAlign w:val="subscript"/>
                <w:lang w:eastAsia="lt-LT"/>
              </w:rPr>
            </w:pPr>
            <w:r w:rsidRPr="003A618C">
              <w:rPr>
                <w:rFonts w:eastAsia="Times New Roman" w:cs="Times New Roman"/>
                <w:i/>
                <w:color w:val="000000"/>
                <w:szCs w:val="24"/>
                <w:lang w:eastAsia="lt-LT"/>
              </w:rPr>
              <w:t>CR</w:t>
            </w:r>
            <w:r w:rsidR="007E4D09">
              <w:rPr>
                <w:rFonts w:eastAsia="Times New Roman" w:cs="Times New Roman"/>
                <w:i/>
                <w:color w:val="000000"/>
                <w:szCs w:val="24"/>
                <w:vertAlign w:val="subscript"/>
                <w:lang w:eastAsia="lt-LT"/>
              </w:rPr>
              <w:t>it</w:t>
            </w:r>
          </w:p>
        </w:tc>
        <w:tc>
          <w:tcPr>
            <w:tcW w:w="1268" w:type="dxa"/>
          </w:tcPr>
          <w:p w:rsidR="008046F2" w:rsidRDefault="000E5E22" w:rsidP="00835B09">
            <w:pPr>
              <w:spacing w:line="240" w:lineRule="auto"/>
              <w:ind w:firstLine="0"/>
              <w:jc w:val="center"/>
              <w:rPr>
                <w:rFonts w:cs="Times New Roman"/>
                <w:szCs w:val="24"/>
              </w:rPr>
            </w:pPr>
            <w:r>
              <w:rPr>
                <w:rFonts w:cs="Times New Roman"/>
                <w:szCs w:val="24"/>
              </w:rPr>
              <w:t>+</w:t>
            </w:r>
          </w:p>
        </w:tc>
        <w:tc>
          <w:tcPr>
            <w:tcW w:w="4700" w:type="dxa"/>
          </w:tcPr>
          <w:p w:rsidR="008046F2" w:rsidRPr="00BB49FC" w:rsidRDefault="00EC7800" w:rsidP="000E5E22">
            <w:pPr>
              <w:spacing w:line="240" w:lineRule="auto"/>
              <w:ind w:firstLine="0"/>
              <w:jc w:val="center"/>
              <w:rPr>
                <w:rFonts w:cs="Times New Roman"/>
                <w:szCs w:val="24"/>
              </w:rPr>
            </w:pPr>
            <m:oMathPara>
              <m:oMath>
                <m:f>
                  <m:fPr>
                    <m:ctrlPr>
                      <w:rPr>
                        <w:rFonts w:ascii="Cambria Math" w:hAnsi="Cambria Math" w:cs="Times New Roman"/>
                        <w:i/>
                        <w:szCs w:val="24"/>
                      </w:rPr>
                    </m:ctrlPr>
                  </m:fPr>
                  <m:num>
                    <m:r>
                      <w:rPr>
                        <w:rFonts w:ascii="Cambria Math" w:hAnsi="Cambria Math" w:cs="Times New Roman"/>
                        <w:szCs w:val="24"/>
                      </w:rPr>
                      <m:t>Trumpalaikis turtas</m:t>
                    </m:r>
                  </m:num>
                  <m:den>
                    <m:r>
                      <w:rPr>
                        <w:rFonts w:ascii="Cambria Math" w:hAnsi="Cambria Math" w:cs="Times New Roman"/>
                        <w:szCs w:val="24"/>
                      </w:rPr>
                      <m:t>Trumpalaikiai įsisikolinimai</m:t>
                    </m:r>
                  </m:den>
                </m:f>
              </m:oMath>
            </m:oMathPara>
          </w:p>
        </w:tc>
      </w:tr>
      <w:tr w:rsidR="008046F2" w:rsidRPr="000862E2" w:rsidTr="003B27C1">
        <w:tc>
          <w:tcPr>
            <w:tcW w:w="959" w:type="dxa"/>
          </w:tcPr>
          <w:p w:rsidR="008046F2" w:rsidRPr="000862E2" w:rsidRDefault="00E32AFA" w:rsidP="00835B09">
            <w:pPr>
              <w:spacing w:line="240" w:lineRule="auto"/>
              <w:ind w:firstLine="0"/>
              <w:jc w:val="center"/>
              <w:rPr>
                <w:rFonts w:cs="Times New Roman"/>
                <w:szCs w:val="24"/>
              </w:rPr>
            </w:pPr>
            <w:r>
              <w:rPr>
                <w:rFonts w:cs="Times New Roman"/>
                <w:szCs w:val="24"/>
              </w:rPr>
              <w:t>10.</w:t>
            </w:r>
          </w:p>
        </w:tc>
        <w:tc>
          <w:tcPr>
            <w:tcW w:w="1843" w:type="dxa"/>
            <w:vAlign w:val="center"/>
          </w:tcPr>
          <w:p w:rsidR="008046F2" w:rsidRPr="007D46EC" w:rsidRDefault="007D46EC" w:rsidP="003B27C1">
            <w:pPr>
              <w:spacing w:before="0" w:line="240" w:lineRule="auto"/>
              <w:ind w:firstLine="0"/>
              <w:jc w:val="center"/>
              <w:rPr>
                <w:rFonts w:eastAsia="Times New Roman" w:cs="Times New Roman"/>
                <w:color w:val="000000"/>
                <w:szCs w:val="24"/>
                <w:lang w:eastAsia="lt-LT"/>
              </w:rPr>
            </w:pPr>
            <w:r w:rsidRPr="007D46EC">
              <w:rPr>
                <w:rFonts w:eastAsia="Times New Roman" w:cs="Times New Roman"/>
                <w:color w:val="000000"/>
                <w:szCs w:val="24"/>
                <w:lang w:eastAsia="lt-LT"/>
              </w:rPr>
              <w:t>Skolos ir nuosavybės santyki</w:t>
            </w:r>
            <w:r>
              <w:rPr>
                <w:rFonts w:eastAsia="Times New Roman" w:cs="Times New Roman"/>
                <w:color w:val="000000"/>
                <w:szCs w:val="24"/>
                <w:lang w:eastAsia="lt-LT"/>
              </w:rPr>
              <w:t>s</w:t>
            </w:r>
          </w:p>
        </w:tc>
        <w:tc>
          <w:tcPr>
            <w:tcW w:w="1367" w:type="dxa"/>
            <w:vAlign w:val="center"/>
          </w:tcPr>
          <w:p w:rsidR="008046F2" w:rsidRPr="007E4D09" w:rsidRDefault="008046F2" w:rsidP="003B27C1">
            <w:pPr>
              <w:spacing w:before="0" w:line="240" w:lineRule="auto"/>
              <w:ind w:firstLine="0"/>
              <w:jc w:val="center"/>
              <w:rPr>
                <w:rFonts w:eastAsia="Times New Roman" w:cs="Times New Roman"/>
                <w:i/>
                <w:color w:val="000000"/>
                <w:szCs w:val="24"/>
                <w:vertAlign w:val="subscript"/>
                <w:lang w:eastAsia="lt-LT"/>
              </w:rPr>
            </w:pPr>
            <w:r w:rsidRPr="003A618C">
              <w:rPr>
                <w:rFonts w:eastAsia="Times New Roman" w:cs="Times New Roman"/>
                <w:i/>
                <w:color w:val="000000"/>
                <w:szCs w:val="24"/>
                <w:lang w:eastAsia="lt-LT"/>
              </w:rPr>
              <w:t>D/E</w:t>
            </w:r>
            <w:r w:rsidR="007E4D09">
              <w:rPr>
                <w:rFonts w:eastAsia="Times New Roman" w:cs="Times New Roman"/>
                <w:i/>
                <w:color w:val="000000"/>
                <w:szCs w:val="24"/>
                <w:vertAlign w:val="subscript"/>
                <w:lang w:eastAsia="lt-LT"/>
              </w:rPr>
              <w:t>it</w:t>
            </w:r>
          </w:p>
        </w:tc>
        <w:tc>
          <w:tcPr>
            <w:tcW w:w="1268" w:type="dxa"/>
          </w:tcPr>
          <w:p w:rsidR="008046F2" w:rsidRDefault="000E5E22" w:rsidP="00835B09">
            <w:pPr>
              <w:spacing w:line="240" w:lineRule="auto"/>
              <w:ind w:firstLine="0"/>
              <w:jc w:val="center"/>
              <w:rPr>
                <w:rFonts w:cs="Times New Roman"/>
                <w:szCs w:val="24"/>
              </w:rPr>
            </w:pPr>
            <w:r>
              <w:rPr>
                <w:rFonts w:cs="Times New Roman"/>
                <w:szCs w:val="24"/>
              </w:rPr>
              <w:t>-</w:t>
            </w:r>
          </w:p>
        </w:tc>
        <w:tc>
          <w:tcPr>
            <w:tcW w:w="4700" w:type="dxa"/>
          </w:tcPr>
          <w:p w:rsidR="008046F2" w:rsidRPr="00BB49FC" w:rsidRDefault="00EC7800" w:rsidP="00C24640">
            <w:pPr>
              <w:spacing w:line="240" w:lineRule="auto"/>
              <w:ind w:firstLine="0"/>
              <w:jc w:val="center"/>
              <w:rPr>
                <w:rFonts w:cs="Times New Roman"/>
                <w:szCs w:val="24"/>
              </w:rPr>
            </w:pPr>
            <m:oMathPara>
              <m:oMath>
                <m:f>
                  <m:fPr>
                    <m:ctrlPr>
                      <w:rPr>
                        <w:rFonts w:ascii="Cambria Math" w:hAnsi="Cambria Math" w:cs="Times New Roman"/>
                        <w:i/>
                        <w:szCs w:val="24"/>
                      </w:rPr>
                    </m:ctrlPr>
                  </m:fPr>
                  <m:num>
                    <m:r>
                      <w:rPr>
                        <w:rFonts w:ascii="Cambria Math" w:hAnsi="Cambria Math" w:cs="Times New Roman"/>
                        <w:szCs w:val="24"/>
                      </w:rPr>
                      <m:t>V</m:t>
                    </m:r>
                    <m:r>
                      <w:rPr>
                        <w:rFonts w:ascii="Cambria Math" w:hAnsi="Cambria Math" w:cs="Times New Roman"/>
                        <w:szCs w:val="24"/>
                      </w:rPr>
                      <m:t>isi įsipareigojimai</m:t>
                    </m:r>
                  </m:num>
                  <m:den>
                    <m:r>
                      <w:rPr>
                        <w:rFonts w:ascii="Cambria Math" w:hAnsi="Cambria Math" w:cs="Times New Roman"/>
                        <w:szCs w:val="24"/>
                      </w:rPr>
                      <m:t>Visas turtas-visi įsipareigojimai</m:t>
                    </m:r>
                  </m:den>
                </m:f>
              </m:oMath>
            </m:oMathPara>
          </w:p>
        </w:tc>
      </w:tr>
      <w:tr w:rsidR="00C24640" w:rsidRPr="000862E2" w:rsidTr="003B27C1">
        <w:tc>
          <w:tcPr>
            <w:tcW w:w="959" w:type="dxa"/>
          </w:tcPr>
          <w:p w:rsidR="00C24640" w:rsidRDefault="00EB33DB" w:rsidP="00835B09">
            <w:pPr>
              <w:spacing w:line="240" w:lineRule="auto"/>
              <w:ind w:firstLine="0"/>
              <w:jc w:val="center"/>
              <w:rPr>
                <w:rFonts w:cs="Times New Roman"/>
                <w:szCs w:val="24"/>
              </w:rPr>
            </w:pPr>
            <w:r>
              <w:rPr>
                <w:rFonts w:cs="Times New Roman"/>
                <w:szCs w:val="24"/>
              </w:rPr>
              <w:t>11.</w:t>
            </w:r>
          </w:p>
        </w:tc>
        <w:tc>
          <w:tcPr>
            <w:tcW w:w="1843" w:type="dxa"/>
            <w:vAlign w:val="center"/>
          </w:tcPr>
          <w:p w:rsidR="00C24640" w:rsidRDefault="00EB33DB" w:rsidP="003B27C1">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Tikrosios vertės koeficientas</w:t>
            </w:r>
          </w:p>
        </w:tc>
        <w:tc>
          <w:tcPr>
            <w:tcW w:w="1367" w:type="dxa"/>
            <w:vAlign w:val="center"/>
          </w:tcPr>
          <w:p w:rsidR="00C24640" w:rsidRPr="00C24640" w:rsidRDefault="00C24640" w:rsidP="003B27C1">
            <w:pPr>
              <w:spacing w:before="0" w:line="240" w:lineRule="auto"/>
              <w:ind w:firstLine="0"/>
              <w:jc w:val="center"/>
              <w:rPr>
                <w:rFonts w:eastAsia="Times New Roman" w:cs="Times New Roman"/>
                <w:i/>
                <w:color w:val="000000"/>
                <w:szCs w:val="24"/>
                <w:vertAlign w:val="subscript"/>
                <w:lang w:eastAsia="lt-LT"/>
              </w:rPr>
            </w:pPr>
            <w:r>
              <w:rPr>
                <w:rFonts w:eastAsia="Times New Roman" w:cs="Times New Roman"/>
                <w:i/>
                <w:color w:val="000000"/>
                <w:szCs w:val="24"/>
                <w:lang w:eastAsia="lt-LT"/>
              </w:rPr>
              <w:t>M/B</w:t>
            </w:r>
            <w:r>
              <w:rPr>
                <w:rFonts w:eastAsia="Times New Roman" w:cs="Times New Roman"/>
                <w:i/>
                <w:color w:val="000000"/>
                <w:szCs w:val="24"/>
                <w:vertAlign w:val="subscript"/>
                <w:lang w:eastAsia="lt-LT"/>
              </w:rPr>
              <w:t>it</w:t>
            </w:r>
          </w:p>
        </w:tc>
        <w:tc>
          <w:tcPr>
            <w:tcW w:w="1268" w:type="dxa"/>
          </w:tcPr>
          <w:p w:rsidR="00C24640" w:rsidRDefault="00EB33DB" w:rsidP="00835B09">
            <w:pPr>
              <w:spacing w:line="240" w:lineRule="auto"/>
              <w:ind w:firstLine="0"/>
              <w:jc w:val="center"/>
              <w:rPr>
                <w:rFonts w:cs="Times New Roman"/>
                <w:szCs w:val="24"/>
              </w:rPr>
            </w:pPr>
            <w:r>
              <w:rPr>
                <w:rFonts w:cs="Times New Roman"/>
                <w:szCs w:val="24"/>
              </w:rPr>
              <w:t>-</w:t>
            </w:r>
          </w:p>
        </w:tc>
        <w:tc>
          <w:tcPr>
            <w:tcW w:w="4700" w:type="dxa"/>
          </w:tcPr>
          <w:p w:rsidR="00C24640" w:rsidRPr="00EE1347" w:rsidRDefault="00EC7800" w:rsidP="00C24640">
            <w:pPr>
              <w:spacing w:line="240" w:lineRule="auto"/>
              <w:ind w:firstLine="0"/>
              <w:jc w:val="center"/>
              <w:rPr>
                <w:rFonts w:cs="Times New Roman"/>
                <w:szCs w:val="24"/>
              </w:rPr>
            </w:pPr>
            <m:oMathPara>
              <m:oMath>
                <m:f>
                  <m:fPr>
                    <m:ctrlPr>
                      <w:rPr>
                        <w:rFonts w:ascii="Cambria Math" w:hAnsi="Cambria Math" w:cs="Times New Roman"/>
                        <w:i/>
                        <w:szCs w:val="24"/>
                      </w:rPr>
                    </m:ctrlPr>
                  </m:fPr>
                  <m:num>
                    <m:r>
                      <w:rPr>
                        <w:rFonts w:ascii="Cambria Math" w:hAnsi="Cambria Math" w:cs="Times New Roman"/>
                        <w:szCs w:val="24"/>
                      </w:rPr>
                      <m:t xml:space="preserve">Akcijos kaina t metų pab.  x </m:t>
                    </m:r>
                    <m:r>
                      <w:rPr>
                        <w:rFonts w:ascii="Cambria Math" w:hAnsi="Cambria Math" w:cs="Times New Roman"/>
                        <w:szCs w:val="24"/>
                        <w:lang w:val="en-US"/>
                      </w:rPr>
                      <m:t>a</m:t>
                    </m:r>
                    <m:r>
                      <w:rPr>
                        <w:rFonts w:ascii="Cambria Math" w:hAnsi="Cambria Math" w:cs="Times New Roman"/>
                        <w:szCs w:val="24"/>
                      </w:rPr>
                      <m:t>kcijų skaičius</m:t>
                    </m:r>
                  </m:num>
                  <m:den>
                    <m:r>
                      <w:rPr>
                        <w:rFonts w:ascii="Cambria Math" w:hAnsi="Cambria Math" w:cs="Times New Roman"/>
                        <w:szCs w:val="24"/>
                      </w:rPr>
                      <m:t>Bendrasis akcinis kapitalas</m:t>
                    </m:r>
                  </m:den>
                </m:f>
              </m:oMath>
            </m:oMathPara>
          </w:p>
        </w:tc>
      </w:tr>
      <w:tr w:rsidR="008046F2" w:rsidRPr="000862E2" w:rsidTr="003B27C1">
        <w:tc>
          <w:tcPr>
            <w:tcW w:w="959" w:type="dxa"/>
          </w:tcPr>
          <w:p w:rsidR="008046F2" w:rsidRPr="000862E2" w:rsidRDefault="00EB33DB" w:rsidP="00835B09">
            <w:pPr>
              <w:spacing w:line="240" w:lineRule="auto"/>
              <w:ind w:firstLine="0"/>
              <w:jc w:val="center"/>
              <w:rPr>
                <w:rFonts w:cs="Times New Roman"/>
                <w:szCs w:val="24"/>
              </w:rPr>
            </w:pPr>
            <w:r>
              <w:rPr>
                <w:rFonts w:cs="Times New Roman"/>
                <w:szCs w:val="24"/>
              </w:rPr>
              <w:t>12</w:t>
            </w:r>
            <w:r w:rsidR="00E32AFA">
              <w:rPr>
                <w:rFonts w:cs="Times New Roman"/>
                <w:szCs w:val="24"/>
              </w:rPr>
              <w:t>.</w:t>
            </w:r>
          </w:p>
        </w:tc>
        <w:tc>
          <w:tcPr>
            <w:tcW w:w="1843" w:type="dxa"/>
            <w:vAlign w:val="center"/>
          </w:tcPr>
          <w:p w:rsidR="008046F2" w:rsidRDefault="008046F2" w:rsidP="003B27C1">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Apyvartumo rodiklis</w:t>
            </w:r>
          </w:p>
        </w:tc>
        <w:tc>
          <w:tcPr>
            <w:tcW w:w="1367" w:type="dxa"/>
            <w:vAlign w:val="center"/>
          </w:tcPr>
          <w:p w:rsidR="008046F2" w:rsidRPr="007E4D09" w:rsidRDefault="008046F2" w:rsidP="003B27C1">
            <w:pPr>
              <w:spacing w:before="0" w:line="240" w:lineRule="auto"/>
              <w:ind w:firstLine="0"/>
              <w:jc w:val="center"/>
              <w:rPr>
                <w:rFonts w:eastAsia="Times New Roman" w:cs="Times New Roman"/>
                <w:i/>
                <w:color w:val="000000"/>
                <w:szCs w:val="24"/>
                <w:vertAlign w:val="subscript"/>
                <w:lang w:eastAsia="lt-LT"/>
              </w:rPr>
            </w:pPr>
            <w:r w:rsidRPr="003A618C">
              <w:rPr>
                <w:rFonts w:eastAsia="Times New Roman" w:cs="Times New Roman"/>
                <w:i/>
                <w:color w:val="000000"/>
                <w:szCs w:val="24"/>
                <w:lang w:eastAsia="lt-LT"/>
              </w:rPr>
              <w:t>lnAPYV</w:t>
            </w:r>
            <w:r w:rsidR="007E4D09">
              <w:rPr>
                <w:rFonts w:eastAsia="Times New Roman" w:cs="Times New Roman"/>
                <w:i/>
                <w:color w:val="000000"/>
                <w:szCs w:val="24"/>
                <w:vertAlign w:val="subscript"/>
                <w:lang w:eastAsia="lt-LT"/>
              </w:rPr>
              <w:t>it</w:t>
            </w:r>
          </w:p>
        </w:tc>
        <w:tc>
          <w:tcPr>
            <w:tcW w:w="1268" w:type="dxa"/>
          </w:tcPr>
          <w:p w:rsidR="008046F2" w:rsidRDefault="000E5E22" w:rsidP="00835B09">
            <w:pPr>
              <w:spacing w:line="240" w:lineRule="auto"/>
              <w:ind w:firstLine="0"/>
              <w:jc w:val="center"/>
              <w:rPr>
                <w:rFonts w:cs="Times New Roman"/>
                <w:szCs w:val="24"/>
              </w:rPr>
            </w:pPr>
            <w:r>
              <w:rPr>
                <w:rFonts w:cs="Times New Roman"/>
                <w:szCs w:val="24"/>
              </w:rPr>
              <w:t>+</w:t>
            </w:r>
          </w:p>
        </w:tc>
        <w:tc>
          <w:tcPr>
            <w:tcW w:w="4700" w:type="dxa"/>
          </w:tcPr>
          <w:p w:rsidR="008046F2" w:rsidRPr="00BB49FC" w:rsidRDefault="00EC7800" w:rsidP="00126394">
            <w:pPr>
              <w:spacing w:line="240" w:lineRule="auto"/>
              <w:ind w:firstLine="0"/>
              <w:jc w:val="center"/>
              <w:rPr>
                <w:rFonts w:cs="Times New Roman"/>
                <w:szCs w:val="24"/>
              </w:rPr>
            </w:pPr>
            <m:oMathPara>
              <m:oMath>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Prekybos_apyvarta</m:t>
                    </m:r>
                  </m:e>
                </m:func>
              </m:oMath>
            </m:oMathPara>
          </w:p>
        </w:tc>
      </w:tr>
      <w:tr w:rsidR="008046F2" w:rsidRPr="000862E2" w:rsidTr="003B27C1">
        <w:tc>
          <w:tcPr>
            <w:tcW w:w="10137" w:type="dxa"/>
            <w:gridSpan w:val="5"/>
          </w:tcPr>
          <w:p w:rsidR="008046F2" w:rsidRPr="000E5E22" w:rsidRDefault="008046F2" w:rsidP="00EE1813">
            <w:pPr>
              <w:spacing w:line="240" w:lineRule="auto"/>
              <w:ind w:firstLine="0"/>
              <w:jc w:val="center"/>
              <w:rPr>
                <w:rFonts w:cs="Times New Roman"/>
                <w:b/>
                <w:szCs w:val="24"/>
              </w:rPr>
            </w:pPr>
            <w:r w:rsidRPr="000E5E22">
              <w:rPr>
                <w:rFonts w:cs="Times New Roman"/>
                <w:b/>
                <w:szCs w:val="24"/>
              </w:rPr>
              <w:t>Žyminiai kintamieji</w:t>
            </w:r>
          </w:p>
        </w:tc>
      </w:tr>
      <w:tr w:rsidR="000E5E22" w:rsidRPr="000862E2" w:rsidTr="000E5E22">
        <w:tc>
          <w:tcPr>
            <w:tcW w:w="959" w:type="dxa"/>
          </w:tcPr>
          <w:p w:rsidR="000E5E22" w:rsidRPr="000862E2" w:rsidRDefault="00EB33DB" w:rsidP="00835B09">
            <w:pPr>
              <w:spacing w:line="240" w:lineRule="auto"/>
              <w:ind w:firstLine="0"/>
              <w:jc w:val="center"/>
              <w:rPr>
                <w:rFonts w:cs="Times New Roman"/>
                <w:szCs w:val="24"/>
              </w:rPr>
            </w:pPr>
            <w:r>
              <w:rPr>
                <w:rFonts w:cs="Times New Roman"/>
                <w:szCs w:val="24"/>
              </w:rPr>
              <w:t>13</w:t>
            </w:r>
            <w:r w:rsidR="000E5E22">
              <w:rPr>
                <w:rFonts w:cs="Times New Roman"/>
                <w:szCs w:val="24"/>
              </w:rPr>
              <w:t>.</w:t>
            </w:r>
          </w:p>
        </w:tc>
        <w:tc>
          <w:tcPr>
            <w:tcW w:w="1843" w:type="dxa"/>
            <w:vAlign w:val="center"/>
          </w:tcPr>
          <w:p w:rsidR="000E5E22" w:rsidRPr="003067E9" w:rsidRDefault="000E5E22" w:rsidP="003B27C1">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DY padidėjimo informacija</w:t>
            </w:r>
          </w:p>
        </w:tc>
        <w:tc>
          <w:tcPr>
            <w:tcW w:w="1367" w:type="dxa"/>
            <w:vAlign w:val="center"/>
          </w:tcPr>
          <w:p w:rsidR="000E5E22" w:rsidRPr="007E4D09" w:rsidRDefault="000E5E22" w:rsidP="003B27C1">
            <w:pPr>
              <w:spacing w:before="0" w:line="240" w:lineRule="auto"/>
              <w:ind w:firstLine="0"/>
              <w:jc w:val="center"/>
              <w:rPr>
                <w:rFonts w:eastAsia="Times New Roman" w:cs="Times New Roman"/>
                <w:i/>
                <w:color w:val="000000"/>
                <w:szCs w:val="24"/>
                <w:vertAlign w:val="subscript"/>
                <w:lang w:eastAsia="lt-LT"/>
              </w:rPr>
            </w:pPr>
            <w:r>
              <w:rPr>
                <w:rFonts w:eastAsia="Times New Roman" w:cs="Times New Roman"/>
                <w:i/>
                <w:color w:val="000000"/>
                <w:szCs w:val="24"/>
                <w:lang w:eastAsia="lt-LT"/>
              </w:rPr>
              <w:t>DY_I</w:t>
            </w:r>
            <w:r>
              <w:rPr>
                <w:rFonts w:eastAsia="Times New Roman" w:cs="Times New Roman"/>
                <w:i/>
                <w:color w:val="000000"/>
                <w:szCs w:val="24"/>
                <w:vertAlign w:val="subscript"/>
                <w:lang w:eastAsia="lt-LT"/>
              </w:rPr>
              <w:t>it</w:t>
            </w:r>
          </w:p>
        </w:tc>
        <w:tc>
          <w:tcPr>
            <w:tcW w:w="1268" w:type="dxa"/>
          </w:tcPr>
          <w:p w:rsidR="000E5E22" w:rsidRDefault="000E5E22" w:rsidP="00835B09">
            <w:pPr>
              <w:spacing w:line="240" w:lineRule="auto"/>
              <w:ind w:firstLine="0"/>
              <w:jc w:val="center"/>
              <w:rPr>
                <w:rFonts w:cs="Times New Roman"/>
                <w:szCs w:val="24"/>
              </w:rPr>
            </w:pPr>
            <w:r>
              <w:rPr>
                <w:rFonts w:cs="Times New Roman"/>
                <w:szCs w:val="24"/>
              </w:rPr>
              <w:t>+</w:t>
            </w:r>
          </w:p>
        </w:tc>
        <w:tc>
          <w:tcPr>
            <w:tcW w:w="4700" w:type="dxa"/>
            <w:vMerge w:val="restart"/>
            <w:vAlign w:val="center"/>
          </w:tcPr>
          <w:p w:rsidR="000E5E22" w:rsidRPr="00BB49FC" w:rsidRDefault="000E5E22" w:rsidP="000E5E22">
            <w:pPr>
              <w:spacing w:line="240" w:lineRule="auto"/>
              <w:ind w:firstLine="0"/>
              <w:jc w:val="center"/>
              <w:rPr>
                <w:rFonts w:cs="Times New Roman"/>
                <w:szCs w:val="24"/>
              </w:rPr>
            </w:pPr>
            <m:oMathPara>
              <m:oMath>
                <m:r>
                  <w:rPr>
                    <w:rFonts w:ascii="Cambria Math" w:hAnsi="Cambria Math" w:cs="Times New Roman"/>
                    <w:szCs w:val="24"/>
                  </w:rPr>
                  <m:t>=IF(∆DY=-1;-2;IF(∆DY=1;2;IF(∆DY&lt;0;-1;1)))</m:t>
                </m:r>
              </m:oMath>
            </m:oMathPara>
          </w:p>
        </w:tc>
      </w:tr>
      <w:tr w:rsidR="000E5E22" w:rsidRPr="000862E2" w:rsidTr="003B27C1">
        <w:tc>
          <w:tcPr>
            <w:tcW w:w="959" w:type="dxa"/>
          </w:tcPr>
          <w:p w:rsidR="000E5E22" w:rsidRPr="000862E2" w:rsidRDefault="00EB33DB" w:rsidP="00835B09">
            <w:pPr>
              <w:spacing w:line="240" w:lineRule="auto"/>
              <w:ind w:firstLine="0"/>
              <w:jc w:val="center"/>
              <w:rPr>
                <w:rFonts w:cs="Times New Roman"/>
                <w:szCs w:val="24"/>
              </w:rPr>
            </w:pPr>
            <w:r>
              <w:rPr>
                <w:rFonts w:cs="Times New Roman"/>
                <w:szCs w:val="24"/>
              </w:rPr>
              <w:t>14</w:t>
            </w:r>
            <w:r w:rsidR="000E5E22">
              <w:rPr>
                <w:rFonts w:cs="Times New Roman"/>
                <w:szCs w:val="24"/>
              </w:rPr>
              <w:t>.</w:t>
            </w:r>
          </w:p>
        </w:tc>
        <w:tc>
          <w:tcPr>
            <w:tcW w:w="1843" w:type="dxa"/>
            <w:vAlign w:val="center"/>
          </w:tcPr>
          <w:p w:rsidR="000E5E22" w:rsidRPr="003067E9" w:rsidRDefault="000E5E22" w:rsidP="003B27C1">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DY sumažėjimo informacija</w:t>
            </w:r>
          </w:p>
        </w:tc>
        <w:tc>
          <w:tcPr>
            <w:tcW w:w="1367" w:type="dxa"/>
            <w:vAlign w:val="center"/>
          </w:tcPr>
          <w:p w:rsidR="000E5E22" w:rsidRPr="007E4D09" w:rsidRDefault="000E5E22" w:rsidP="003B27C1">
            <w:pPr>
              <w:spacing w:before="0" w:line="240" w:lineRule="auto"/>
              <w:ind w:firstLine="0"/>
              <w:jc w:val="center"/>
              <w:rPr>
                <w:rFonts w:eastAsia="Times New Roman" w:cs="Times New Roman"/>
                <w:i/>
                <w:color w:val="000000"/>
                <w:szCs w:val="24"/>
                <w:vertAlign w:val="subscript"/>
                <w:lang w:eastAsia="lt-LT"/>
              </w:rPr>
            </w:pPr>
            <w:r>
              <w:rPr>
                <w:rFonts w:eastAsia="Times New Roman" w:cs="Times New Roman"/>
                <w:i/>
                <w:color w:val="000000"/>
                <w:szCs w:val="24"/>
                <w:lang w:eastAsia="lt-LT"/>
              </w:rPr>
              <w:t>DY_D</w:t>
            </w:r>
            <w:r>
              <w:rPr>
                <w:rFonts w:eastAsia="Times New Roman" w:cs="Times New Roman"/>
                <w:i/>
                <w:color w:val="000000"/>
                <w:szCs w:val="24"/>
                <w:vertAlign w:val="subscript"/>
                <w:lang w:eastAsia="lt-LT"/>
              </w:rPr>
              <w:t>it</w:t>
            </w:r>
          </w:p>
        </w:tc>
        <w:tc>
          <w:tcPr>
            <w:tcW w:w="1268" w:type="dxa"/>
          </w:tcPr>
          <w:p w:rsidR="000E5E22" w:rsidRDefault="000E5E22" w:rsidP="00835B09">
            <w:pPr>
              <w:spacing w:line="240" w:lineRule="auto"/>
              <w:ind w:firstLine="0"/>
              <w:jc w:val="center"/>
              <w:rPr>
                <w:rFonts w:cs="Times New Roman"/>
                <w:szCs w:val="24"/>
              </w:rPr>
            </w:pPr>
            <w:r>
              <w:rPr>
                <w:rFonts w:cs="Times New Roman"/>
                <w:szCs w:val="24"/>
              </w:rPr>
              <w:t>-</w:t>
            </w:r>
          </w:p>
        </w:tc>
        <w:tc>
          <w:tcPr>
            <w:tcW w:w="4700" w:type="dxa"/>
            <w:vMerge/>
          </w:tcPr>
          <w:p w:rsidR="000E5E22" w:rsidRPr="00BB49FC" w:rsidRDefault="000E5E22" w:rsidP="00EE1813">
            <w:pPr>
              <w:spacing w:line="240" w:lineRule="auto"/>
              <w:ind w:firstLine="0"/>
              <w:jc w:val="center"/>
              <w:rPr>
                <w:rFonts w:cs="Times New Roman"/>
                <w:szCs w:val="24"/>
              </w:rPr>
            </w:pPr>
          </w:p>
        </w:tc>
      </w:tr>
    </w:tbl>
    <w:p w:rsidR="00210ED6" w:rsidRDefault="00210ED6" w:rsidP="00D353C6"/>
    <w:p w:rsidR="009A1AE3" w:rsidRPr="00FC6A12" w:rsidRDefault="00D353C6" w:rsidP="00D353C6">
      <w:r w:rsidRPr="00FC6A12">
        <w:lastRenderedPageBreak/>
        <w:t>G</w:t>
      </w:r>
      <w:r w:rsidR="00E01FE5" w:rsidRPr="00FC6A12">
        <w:t>aunama tokia dividendinio investavimo modelio regresijos lygtis</w:t>
      </w:r>
      <w:r w:rsidRPr="00FC6A12">
        <w:t xml:space="preserve"> (žr. (12) formulę), kurią sudaro priklausomas kintamasis r</w:t>
      </w:r>
      <w:r w:rsidRPr="00FC6A12">
        <w:rPr>
          <w:vertAlign w:val="subscript"/>
        </w:rPr>
        <w:t>p</w:t>
      </w:r>
      <w:r w:rsidRPr="00FC6A12">
        <w:t xml:space="preserve">, nepriklausomi </w:t>
      </w:r>
      <w:r w:rsidR="00FC6A12" w:rsidRPr="00FC6A12">
        <w:t xml:space="preserve">dividendų politikos </w:t>
      </w:r>
      <w:r w:rsidRPr="00FC6A12">
        <w:t>kintamieji DY</w:t>
      </w:r>
      <w:r w:rsidRPr="00FC6A12">
        <w:rPr>
          <w:vertAlign w:val="subscript"/>
        </w:rPr>
        <w:t xml:space="preserve">it </w:t>
      </w:r>
      <w:r w:rsidRPr="00FC6A12">
        <w:t>ir DPS</w:t>
      </w:r>
      <w:r w:rsidRPr="00FC6A12">
        <w:rPr>
          <w:vertAlign w:val="subscript"/>
        </w:rPr>
        <w:t>it</w:t>
      </w:r>
      <w:r w:rsidRPr="00FC6A12">
        <w:t xml:space="preserve">, taip pat papildomi </w:t>
      </w:r>
      <w:r w:rsidRPr="00931F3E">
        <w:t xml:space="preserve">kontroliniai kintamieji </w:t>
      </w:r>
      <w:r w:rsidR="00FC6A12" w:rsidRPr="00931F3E">
        <w:rPr>
          <w:rFonts w:cs="Times New Roman"/>
          <w:szCs w:val="24"/>
        </w:rPr>
        <w:t>ir žyminiai kintamieji,</w:t>
      </w:r>
      <w:r w:rsidR="00FC6A12" w:rsidRPr="00FC6A12">
        <w:rPr>
          <w:rFonts w:cs="Times New Roman"/>
          <w:i/>
          <w:szCs w:val="24"/>
        </w:rPr>
        <w:t xml:space="preserve"> </w:t>
      </w:r>
      <w:r w:rsidR="00210ED6" w:rsidRPr="00210ED6">
        <w:rPr>
          <w:rFonts w:cs="Times New Roman"/>
          <w:szCs w:val="24"/>
        </w:rPr>
        <w:t>prieš tai</w:t>
      </w:r>
      <w:r w:rsidR="00210ED6">
        <w:rPr>
          <w:rFonts w:cs="Times New Roman"/>
          <w:i/>
          <w:szCs w:val="24"/>
        </w:rPr>
        <w:t xml:space="preserve"> </w:t>
      </w:r>
      <w:r w:rsidR="00FC6A12" w:rsidRPr="00931F3E">
        <w:rPr>
          <w:rFonts w:cs="Times New Roman"/>
          <w:szCs w:val="24"/>
        </w:rPr>
        <w:t xml:space="preserve">aprašyti </w:t>
      </w:r>
      <w:r w:rsidR="00210ED6">
        <w:rPr>
          <w:rFonts w:cs="Times New Roman"/>
          <w:szCs w:val="24"/>
        </w:rPr>
        <w:t>šiame skyriuje</w:t>
      </w:r>
      <w:r w:rsidR="00FC6A12" w:rsidRPr="00FC6A12">
        <w:rPr>
          <w:rFonts w:cs="Times New Roman"/>
          <w:i/>
          <w:szCs w:val="24"/>
        </w:rPr>
        <w:t>.</w:t>
      </w:r>
      <w:r w:rsidRPr="00FC6A12">
        <w:t xml:space="preserve"> </w:t>
      </w:r>
    </w:p>
    <w:p w:rsidR="00D353C6" w:rsidRDefault="00E01FE5" w:rsidP="00E5638D">
      <w:pPr>
        <w:jc w:val="center"/>
      </w:pPr>
      <w:r>
        <w:rPr>
          <w:rFonts w:cs="Times New Roman"/>
          <w:i/>
          <w:szCs w:val="24"/>
        </w:rPr>
        <w:t>r</w:t>
      </w:r>
      <w:r>
        <w:rPr>
          <w:rFonts w:cs="Times New Roman"/>
          <w:i/>
          <w:szCs w:val="24"/>
          <w:vertAlign w:val="subscript"/>
        </w:rPr>
        <w:t xml:space="preserve">p </w:t>
      </w:r>
      <w:r w:rsidRPr="008235BD">
        <w:rPr>
          <w:rFonts w:cs="Times New Roman"/>
          <w:i/>
          <w:szCs w:val="24"/>
        </w:rPr>
        <w:t>=</w:t>
      </w:r>
      <w:r>
        <w:rPr>
          <w:rFonts w:cs="Times New Roman"/>
          <w:i/>
          <w:szCs w:val="24"/>
        </w:rPr>
        <w:t xml:space="preserve"> </w:t>
      </w:r>
      <w:r w:rsidRPr="008235BD">
        <w:rPr>
          <w:rFonts w:cs="Times New Roman"/>
          <w:i/>
          <w:szCs w:val="24"/>
          <w:lang w:val="en-US"/>
        </w:rPr>
        <w:t>β</w:t>
      </w:r>
      <w:r>
        <w:rPr>
          <w:rFonts w:cs="Times New Roman"/>
          <w:i/>
          <w:szCs w:val="24"/>
          <w:vertAlign w:val="subscript"/>
        </w:rPr>
        <w:t>0</w:t>
      </w:r>
      <w:r w:rsidRPr="008235BD">
        <w:rPr>
          <w:rFonts w:cs="Times New Roman"/>
          <w:i/>
          <w:szCs w:val="24"/>
        </w:rPr>
        <w:t>+</w:t>
      </w:r>
      <w:r w:rsidRPr="008235BD">
        <w:rPr>
          <w:rFonts w:cs="Times New Roman"/>
          <w:i/>
          <w:szCs w:val="24"/>
          <w:lang w:val="en-US"/>
        </w:rPr>
        <w:t>β</w:t>
      </w:r>
      <w:r>
        <w:rPr>
          <w:rFonts w:cs="Times New Roman"/>
          <w:i/>
          <w:szCs w:val="24"/>
          <w:vertAlign w:val="subscript"/>
        </w:rPr>
        <w:t>1</w:t>
      </w:r>
      <w:r w:rsidRPr="008235BD">
        <w:rPr>
          <w:rFonts w:cs="Times New Roman"/>
          <w:i/>
          <w:szCs w:val="24"/>
        </w:rPr>
        <w:t>D</w:t>
      </w:r>
      <w:r>
        <w:rPr>
          <w:rFonts w:cs="Times New Roman"/>
          <w:i/>
          <w:szCs w:val="24"/>
        </w:rPr>
        <w:t>Y</w:t>
      </w:r>
      <w:r>
        <w:rPr>
          <w:rFonts w:cs="Times New Roman"/>
          <w:i/>
          <w:szCs w:val="24"/>
          <w:vertAlign w:val="subscript"/>
        </w:rPr>
        <w:t xml:space="preserve">it </w:t>
      </w:r>
      <w:r w:rsidR="00E5638D">
        <w:rPr>
          <w:rFonts w:cs="Times New Roman"/>
          <w:i/>
          <w:szCs w:val="24"/>
        </w:rPr>
        <w:t>-</w:t>
      </w:r>
      <w:r>
        <w:rPr>
          <w:rFonts w:cs="Times New Roman"/>
          <w:i/>
          <w:szCs w:val="24"/>
        </w:rPr>
        <w:t xml:space="preserve"> </w:t>
      </w:r>
      <w:r w:rsidRPr="008235BD">
        <w:rPr>
          <w:rFonts w:cs="Times New Roman"/>
          <w:i/>
          <w:szCs w:val="24"/>
          <w:lang w:val="en-US"/>
        </w:rPr>
        <w:t>β</w:t>
      </w:r>
      <w:r>
        <w:rPr>
          <w:rFonts w:cs="Times New Roman"/>
          <w:i/>
          <w:szCs w:val="24"/>
          <w:vertAlign w:val="subscript"/>
        </w:rPr>
        <w:t>2</w:t>
      </w:r>
      <w:r>
        <w:rPr>
          <w:rFonts w:cs="Times New Roman"/>
          <w:i/>
          <w:szCs w:val="24"/>
        </w:rPr>
        <w:t>DP</w:t>
      </w:r>
      <w:r>
        <w:rPr>
          <w:rFonts w:cs="Times New Roman"/>
          <w:i/>
          <w:szCs w:val="24"/>
          <w:vertAlign w:val="subscript"/>
        </w:rPr>
        <w:t xml:space="preserve">it </w:t>
      </w:r>
      <w:r w:rsidRPr="008235BD">
        <w:rPr>
          <w:rFonts w:cs="Times New Roman"/>
          <w:i/>
          <w:szCs w:val="24"/>
        </w:rPr>
        <w:t>+</w:t>
      </w:r>
      <w:r>
        <w:rPr>
          <w:rFonts w:cs="Times New Roman"/>
          <w:i/>
          <w:szCs w:val="24"/>
        </w:rPr>
        <w:t xml:space="preserve"> </w:t>
      </w:r>
      <w:r w:rsidRPr="008235BD">
        <w:rPr>
          <w:rFonts w:cs="Times New Roman"/>
          <w:i/>
          <w:szCs w:val="24"/>
          <w:lang w:val="en-US"/>
        </w:rPr>
        <w:t>β</w:t>
      </w:r>
      <w:r w:rsidRPr="00EF67EA">
        <w:rPr>
          <w:rFonts w:cs="Times New Roman"/>
          <w:i/>
          <w:szCs w:val="24"/>
          <w:vertAlign w:val="subscript"/>
        </w:rPr>
        <w:t>3</w:t>
      </w:r>
      <w:r w:rsidR="00E5638D" w:rsidRPr="00CE641E">
        <w:rPr>
          <w:i/>
          <w:szCs w:val="24"/>
          <w:lang w:val="en-US"/>
        </w:rPr>
        <w:t>lnTURT</w:t>
      </w:r>
      <w:r w:rsidRPr="008235BD">
        <w:rPr>
          <w:rFonts w:cs="Times New Roman"/>
          <w:i/>
          <w:szCs w:val="24"/>
          <w:vertAlign w:val="subscript"/>
        </w:rPr>
        <w:t>it</w:t>
      </w:r>
      <w:r>
        <w:rPr>
          <w:rFonts w:cs="Times New Roman"/>
          <w:i/>
          <w:szCs w:val="24"/>
          <w:vertAlign w:val="subscript"/>
        </w:rPr>
        <w:t xml:space="preserve"> </w:t>
      </w:r>
      <w:r w:rsidR="00E5638D">
        <w:rPr>
          <w:rFonts w:cs="Times New Roman"/>
          <w:i/>
          <w:szCs w:val="24"/>
        </w:rPr>
        <w:t>-</w:t>
      </w:r>
      <w:r>
        <w:rPr>
          <w:rFonts w:cs="Times New Roman"/>
          <w:i/>
          <w:szCs w:val="24"/>
        </w:rPr>
        <w:t xml:space="preserve"> </w:t>
      </w:r>
      <w:r w:rsidRPr="008235BD">
        <w:rPr>
          <w:rFonts w:cs="Times New Roman"/>
          <w:i/>
          <w:szCs w:val="24"/>
          <w:lang w:val="en-US"/>
        </w:rPr>
        <w:t>β</w:t>
      </w:r>
      <w:r>
        <w:rPr>
          <w:rFonts w:cs="Times New Roman"/>
          <w:i/>
          <w:szCs w:val="24"/>
          <w:vertAlign w:val="subscript"/>
        </w:rPr>
        <w:t>4</w:t>
      </w:r>
      <w:r w:rsidR="00E5638D" w:rsidRPr="00E5638D">
        <w:rPr>
          <w:i/>
          <w:szCs w:val="24"/>
          <w:lang w:val="en-US"/>
        </w:rPr>
        <w:t xml:space="preserve"> </w:t>
      </w:r>
      <w:r w:rsidR="00E5638D" w:rsidRPr="00CE641E">
        <w:rPr>
          <w:i/>
          <w:szCs w:val="24"/>
          <w:lang w:val="en-US"/>
        </w:rPr>
        <w:t>RETE</w:t>
      </w:r>
      <w:r w:rsidRPr="008235BD">
        <w:rPr>
          <w:rFonts w:cs="Times New Roman"/>
          <w:i/>
          <w:szCs w:val="24"/>
          <w:vertAlign w:val="subscript"/>
        </w:rPr>
        <w:t>it</w:t>
      </w:r>
      <w:r>
        <w:rPr>
          <w:rFonts w:cs="Times New Roman"/>
          <w:i/>
          <w:szCs w:val="24"/>
          <w:vertAlign w:val="subscript"/>
        </w:rPr>
        <w:t xml:space="preserve"> </w:t>
      </w:r>
      <w:r w:rsidR="00E5638D">
        <w:rPr>
          <w:rFonts w:cs="Times New Roman"/>
          <w:i/>
          <w:szCs w:val="24"/>
        </w:rPr>
        <w:t>–</w:t>
      </w:r>
      <w:r>
        <w:rPr>
          <w:rFonts w:cs="Times New Roman"/>
          <w:i/>
          <w:szCs w:val="24"/>
        </w:rPr>
        <w:t xml:space="preserve"> </w:t>
      </w:r>
      <w:r w:rsidR="00E5638D" w:rsidRPr="008235BD">
        <w:rPr>
          <w:rFonts w:cs="Times New Roman"/>
          <w:i/>
          <w:szCs w:val="24"/>
          <w:lang w:val="en-US"/>
        </w:rPr>
        <w:t>β</w:t>
      </w:r>
      <w:r w:rsidR="00E5638D">
        <w:rPr>
          <w:rFonts w:cs="Times New Roman"/>
          <w:i/>
          <w:szCs w:val="24"/>
          <w:vertAlign w:val="subscript"/>
          <w:lang w:val="en-US"/>
        </w:rPr>
        <w:t>5</w:t>
      </w:r>
      <w:r w:rsidR="00E5638D" w:rsidRPr="00CE641E">
        <w:rPr>
          <w:i/>
          <w:szCs w:val="24"/>
          <w:lang w:val="en-US"/>
        </w:rPr>
        <w:t>RR</w:t>
      </w:r>
      <w:r w:rsidR="00E5638D" w:rsidRPr="008235BD">
        <w:rPr>
          <w:rFonts w:cs="Times New Roman"/>
          <w:i/>
          <w:szCs w:val="24"/>
          <w:vertAlign w:val="subscript"/>
        </w:rPr>
        <w:t>it</w:t>
      </w:r>
      <w:r w:rsidR="00E5638D" w:rsidRPr="008235BD">
        <w:rPr>
          <w:rFonts w:cs="Times New Roman"/>
          <w:i/>
          <w:szCs w:val="24"/>
        </w:rPr>
        <w:t xml:space="preserve"> </w:t>
      </w:r>
      <w:r w:rsidR="00E5638D">
        <w:rPr>
          <w:i/>
          <w:szCs w:val="24"/>
          <w:lang w:val="en-US"/>
        </w:rPr>
        <w:t>+</w:t>
      </w:r>
      <w:r w:rsidR="00E5638D" w:rsidRPr="00E5638D">
        <w:rPr>
          <w:rFonts w:cs="Times New Roman"/>
          <w:i/>
          <w:szCs w:val="24"/>
          <w:lang w:val="en-US"/>
        </w:rPr>
        <w:t xml:space="preserve"> </w:t>
      </w:r>
      <w:r w:rsidR="00E5638D" w:rsidRPr="008235BD">
        <w:rPr>
          <w:rFonts w:cs="Times New Roman"/>
          <w:i/>
          <w:szCs w:val="24"/>
          <w:lang w:val="en-US"/>
        </w:rPr>
        <w:t>β</w:t>
      </w:r>
      <w:r w:rsidR="00E5638D">
        <w:rPr>
          <w:rFonts w:cs="Times New Roman"/>
          <w:i/>
          <w:szCs w:val="24"/>
          <w:vertAlign w:val="subscript"/>
          <w:lang w:val="en-US"/>
        </w:rPr>
        <w:t>6</w:t>
      </w:r>
      <w:r w:rsidR="00E5638D" w:rsidRPr="00CE641E">
        <w:rPr>
          <w:rFonts w:eastAsia="Times New Roman" w:cs="Times New Roman"/>
          <w:i/>
          <w:color w:val="000000"/>
          <w:szCs w:val="24"/>
          <w:lang w:eastAsia="zh-CN"/>
        </w:rPr>
        <w:t>∆EBIT</w:t>
      </w:r>
      <w:r w:rsidR="002513C3">
        <w:rPr>
          <w:rFonts w:eastAsia="Times New Roman" w:cs="Times New Roman"/>
          <w:i/>
          <w:color w:val="000000"/>
          <w:szCs w:val="24"/>
          <w:lang w:eastAsia="zh-CN"/>
        </w:rPr>
        <w:t>D</w:t>
      </w:r>
      <w:r w:rsidR="00E5638D" w:rsidRPr="00CE641E">
        <w:rPr>
          <w:rFonts w:eastAsia="Times New Roman" w:cs="Times New Roman"/>
          <w:i/>
          <w:color w:val="000000"/>
          <w:szCs w:val="24"/>
          <w:lang w:eastAsia="zh-CN"/>
        </w:rPr>
        <w:t xml:space="preserve">A </w:t>
      </w:r>
      <w:r w:rsidR="00E5638D" w:rsidRPr="008235BD">
        <w:rPr>
          <w:rFonts w:cs="Times New Roman"/>
          <w:i/>
          <w:szCs w:val="24"/>
        </w:rPr>
        <w:t>+</w:t>
      </w:r>
      <w:r w:rsidR="00E5638D">
        <w:rPr>
          <w:rFonts w:cs="Times New Roman"/>
          <w:i/>
          <w:szCs w:val="24"/>
        </w:rPr>
        <w:t xml:space="preserve"> </w:t>
      </w:r>
      <w:r w:rsidR="00E5638D" w:rsidRPr="008235BD">
        <w:rPr>
          <w:rFonts w:cs="Times New Roman"/>
          <w:i/>
          <w:szCs w:val="24"/>
          <w:lang w:val="en-US"/>
        </w:rPr>
        <w:t>β</w:t>
      </w:r>
      <w:r w:rsidR="00E5638D">
        <w:rPr>
          <w:rFonts w:cs="Times New Roman"/>
          <w:i/>
          <w:szCs w:val="24"/>
          <w:vertAlign w:val="subscript"/>
        </w:rPr>
        <w:t>7</w:t>
      </w:r>
      <w:r w:rsidR="00E5638D">
        <w:rPr>
          <w:rFonts w:cs="Times New Roman"/>
          <w:i/>
          <w:szCs w:val="24"/>
        </w:rPr>
        <w:t>ROE</w:t>
      </w:r>
      <w:r w:rsidR="00E5638D" w:rsidRPr="008235BD">
        <w:rPr>
          <w:rFonts w:cs="Times New Roman"/>
          <w:i/>
          <w:szCs w:val="24"/>
          <w:vertAlign w:val="subscript"/>
        </w:rPr>
        <w:t>it</w:t>
      </w:r>
      <w:r w:rsidR="00E5638D">
        <w:rPr>
          <w:rFonts w:cs="Times New Roman"/>
          <w:i/>
          <w:szCs w:val="24"/>
        </w:rPr>
        <w:t xml:space="preserve"> </w:t>
      </w:r>
      <w:r w:rsidR="00E5638D" w:rsidRPr="00CE641E">
        <w:rPr>
          <w:rFonts w:eastAsia="Times New Roman" w:cs="Times New Roman"/>
          <w:i/>
          <w:color w:val="000000"/>
          <w:szCs w:val="24"/>
          <w:lang w:eastAsia="zh-CN"/>
        </w:rPr>
        <w:t xml:space="preserve">+  </w:t>
      </w:r>
      <w:r w:rsidR="00E5638D" w:rsidRPr="008235BD">
        <w:rPr>
          <w:rFonts w:cs="Times New Roman"/>
          <w:i/>
          <w:szCs w:val="24"/>
          <w:lang w:val="en-US"/>
        </w:rPr>
        <w:t>β</w:t>
      </w:r>
      <w:r w:rsidR="00E5638D">
        <w:rPr>
          <w:rFonts w:cs="Times New Roman"/>
          <w:i/>
          <w:szCs w:val="24"/>
          <w:vertAlign w:val="subscript"/>
          <w:lang w:val="en-US"/>
        </w:rPr>
        <w:t>8</w:t>
      </w:r>
      <w:r w:rsidR="00E5638D" w:rsidRPr="00CE641E">
        <w:rPr>
          <w:rFonts w:eastAsia="Times New Roman" w:cs="Times New Roman"/>
          <w:i/>
          <w:color w:val="000000"/>
          <w:szCs w:val="24"/>
          <w:lang w:eastAsia="zh-CN"/>
        </w:rPr>
        <w:t>CR</w:t>
      </w:r>
      <w:r w:rsidR="007E4D09">
        <w:rPr>
          <w:rFonts w:eastAsia="Times New Roman" w:cs="Times New Roman"/>
          <w:i/>
          <w:color w:val="000000"/>
          <w:szCs w:val="24"/>
          <w:vertAlign w:val="subscript"/>
          <w:lang w:eastAsia="zh-CN"/>
        </w:rPr>
        <w:t>it</w:t>
      </w:r>
      <w:r w:rsidR="00E5638D" w:rsidRPr="00CE641E">
        <w:rPr>
          <w:rFonts w:eastAsia="Times New Roman" w:cs="Times New Roman"/>
          <w:i/>
          <w:color w:val="000000"/>
          <w:szCs w:val="24"/>
          <w:lang w:eastAsia="zh-CN"/>
        </w:rPr>
        <w:t xml:space="preserve"> + </w:t>
      </w:r>
      <w:r w:rsidR="008046F2" w:rsidRPr="008235BD">
        <w:rPr>
          <w:rFonts w:cs="Times New Roman"/>
          <w:i/>
          <w:szCs w:val="24"/>
          <w:lang w:val="en-US"/>
        </w:rPr>
        <w:t>β</w:t>
      </w:r>
      <w:r w:rsidR="008046F2" w:rsidRPr="008046F2">
        <w:rPr>
          <w:rFonts w:cs="Times New Roman"/>
          <w:i/>
          <w:szCs w:val="24"/>
          <w:vertAlign w:val="subscript"/>
          <w:lang w:val="en-US"/>
        </w:rPr>
        <w:t>9</w:t>
      </w:r>
      <w:r w:rsidR="008046F2">
        <w:rPr>
          <w:rFonts w:eastAsia="Times New Roman" w:cs="Times New Roman"/>
          <w:i/>
          <w:color w:val="000000"/>
          <w:szCs w:val="24"/>
          <w:lang w:eastAsia="zh-CN"/>
        </w:rPr>
        <w:t>(D/E</w:t>
      </w:r>
      <w:r w:rsidR="007E4D09">
        <w:rPr>
          <w:rFonts w:eastAsia="Times New Roman" w:cs="Times New Roman"/>
          <w:i/>
          <w:color w:val="000000"/>
          <w:szCs w:val="24"/>
          <w:vertAlign w:val="subscript"/>
          <w:lang w:eastAsia="zh-CN"/>
        </w:rPr>
        <w:t>it</w:t>
      </w:r>
      <w:r w:rsidR="008046F2">
        <w:rPr>
          <w:rFonts w:eastAsia="Times New Roman" w:cs="Times New Roman"/>
          <w:i/>
          <w:color w:val="000000"/>
          <w:szCs w:val="24"/>
          <w:lang w:eastAsia="zh-CN"/>
        </w:rPr>
        <w:t xml:space="preserve">) + </w:t>
      </w:r>
      <w:r w:rsidR="00E5638D" w:rsidRPr="00CE641E">
        <w:rPr>
          <w:rFonts w:eastAsia="Times New Roman" w:cs="Times New Roman"/>
          <w:i/>
          <w:color w:val="000000"/>
          <w:szCs w:val="24"/>
          <w:lang w:eastAsia="zh-CN"/>
        </w:rPr>
        <w:t xml:space="preserve"> </w:t>
      </w:r>
      <w:r w:rsidR="008046F2" w:rsidRPr="008235BD">
        <w:rPr>
          <w:rFonts w:cs="Times New Roman"/>
          <w:i/>
          <w:szCs w:val="24"/>
          <w:lang w:val="en-US"/>
        </w:rPr>
        <w:t>β</w:t>
      </w:r>
      <w:r w:rsidR="008046F2">
        <w:rPr>
          <w:rFonts w:cs="Times New Roman"/>
          <w:i/>
          <w:szCs w:val="24"/>
          <w:vertAlign w:val="subscript"/>
          <w:lang w:val="en-US"/>
        </w:rPr>
        <w:t>10</w:t>
      </w:r>
      <w:r w:rsidR="008046F2">
        <w:rPr>
          <w:rFonts w:eastAsia="Times New Roman" w:cs="Times New Roman"/>
          <w:i/>
          <w:color w:val="000000"/>
          <w:szCs w:val="24"/>
          <w:lang w:eastAsia="zh-CN"/>
        </w:rPr>
        <w:t>(M/B</w:t>
      </w:r>
      <w:r w:rsidR="007E4D09">
        <w:rPr>
          <w:rFonts w:eastAsia="Times New Roman" w:cs="Times New Roman"/>
          <w:i/>
          <w:color w:val="000000"/>
          <w:szCs w:val="24"/>
          <w:vertAlign w:val="subscript"/>
          <w:lang w:eastAsia="zh-CN"/>
        </w:rPr>
        <w:t>it</w:t>
      </w:r>
      <w:r w:rsidR="008046F2">
        <w:rPr>
          <w:rFonts w:eastAsia="Times New Roman" w:cs="Times New Roman"/>
          <w:i/>
          <w:color w:val="000000"/>
          <w:szCs w:val="24"/>
          <w:lang w:eastAsia="zh-CN"/>
        </w:rPr>
        <w:t xml:space="preserve">) + </w:t>
      </w:r>
      <w:r w:rsidR="008046F2" w:rsidRPr="008235BD">
        <w:rPr>
          <w:rFonts w:cs="Times New Roman"/>
          <w:i/>
          <w:szCs w:val="24"/>
          <w:lang w:val="en-US"/>
        </w:rPr>
        <w:t>β</w:t>
      </w:r>
      <w:r w:rsidR="008046F2">
        <w:rPr>
          <w:rFonts w:cs="Times New Roman"/>
          <w:i/>
          <w:szCs w:val="24"/>
          <w:vertAlign w:val="subscript"/>
          <w:lang w:val="en-US"/>
        </w:rPr>
        <w:t>11</w:t>
      </w:r>
      <w:r w:rsidR="00E5638D" w:rsidRPr="00CE641E">
        <w:rPr>
          <w:rFonts w:eastAsia="Times New Roman" w:cs="Times New Roman"/>
          <w:i/>
          <w:color w:val="000000"/>
          <w:szCs w:val="24"/>
          <w:lang w:eastAsia="zh-CN"/>
        </w:rPr>
        <w:t>lnAP</w:t>
      </w:r>
      <w:r w:rsidR="008046F2">
        <w:rPr>
          <w:rFonts w:eastAsia="Times New Roman" w:cs="Times New Roman"/>
          <w:i/>
          <w:color w:val="000000"/>
          <w:szCs w:val="24"/>
          <w:lang w:eastAsia="zh-CN"/>
        </w:rPr>
        <w:t>YV</w:t>
      </w:r>
      <w:r w:rsidR="007E4D09">
        <w:rPr>
          <w:rFonts w:eastAsia="Times New Roman" w:cs="Times New Roman"/>
          <w:i/>
          <w:color w:val="000000"/>
          <w:szCs w:val="24"/>
          <w:vertAlign w:val="subscript"/>
          <w:lang w:eastAsia="zh-CN"/>
        </w:rPr>
        <w:t>it</w:t>
      </w:r>
      <w:r w:rsidR="008046F2">
        <w:rPr>
          <w:rFonts w:eastAsia="Times New Roman" w:cs="Times New Roman"/>
          <w:i/>
          <w:color w:val="000000"/>
          <w:szCs w:val="24"/>
          <w:lang w:eastAsia="zh-CN"/>
        </w:rPr>
        <w:t xml:space="preserve"> +</w:t>
      </w:r>
      <w:r w:rsidR="008046F2" w:rsidRPr="008046F2">
        <w:rPr>
          <w:rFonts w:cs="Times New Roman"/>
          <w:i/>
          <w:szCs w:val="24"/>
          <w:lang w:val="en-US"/>
        </w:rPr>
        <w:t xml:space="preserve"> </w:t>
      </w:r>
      <w:r w:rsidR="008046F2" w:rsidRPr="008235BD">
        <w:rPr>
          <w:rFonts w:cs="Times New Roman"/>
          <w:i/>
          <w:szCs w:val="24"/>
          <w:lang w:val="en-US"/>
        </w:rPr>
        <w:t>β</w:t>
      </w:r>
      <w:r w:rsidR="008046F2">
        <w:rPr>
          <w:rFonts w:cs="Times New Roman"/>
          <w:i/>
          <w:szCs w:val="24"/>
          <w:vertAlign w:val="subscript"/>
          <w:lang w:val="en-US"/>
        </w:rPr>
        <w:t>12</w:t>
      </w:r>
      <w:r w:rsidR="00E5638D">
        <w:rPr>
          <w:rFonts w:eastAsia="Times New Roman" w:cs="Times New Roman"/>
          <w:i/>
          <w:color w:val="000000"/>
          <w:szCs w:val="24"/>
          <w:lang w:eastAsia="zh-CN"/>
        </w:rPr>
        <w:t>DY_I</w:t>
      </w:r>
      <w:r w:rsidR="007E4D09">
        <w:rPr>
          <w:rFonts w:eastAsia="Times New Roman" w:cs="Times New Roman"/>
          <w:i/>
          <w:color w:val="000000"/>
          <w:szCs w:val="24"/>
          <w:vertAlign w:val="subscript"/>
          <w:lang w:eastAsia="zh-CN"/>
        </w:rPr>
        <w:t>it</w:t>
      </w:r>
      <w:r w:rsidR="00E5638D">
        <w:rPr>
          <w:rFonts w:eastAsia="Times New Roman" w:cs="Times New Roman"/>
          <w:i/>
          <w:color w:val="000000"/>
          <w:szCs w:val="24"/>
          <w:lang w:eastAsia="zh-CN"/>
        </w:rPr>
        <w:t xml:space="preserve"> - </w:t>
      </w:r>
      <w:r w:rsidR="008046F2" w:rsidRPr="008235BD">
        <w:rPr>
          <w:rFonts w:cs="Times New Roman"/>
          <w:i/>
          <w:szCs w:val="24"/>
          <w:lang w:val="en-US"/>
        </w:rPr>
        <w:t>β</w:t>
      </w:r>
      <w:r w:rsidR="008046F2">
        <w:rPr>
          <w:rFonts w:cs="Times New Roman"/>
          <w:i/>
          <w:szCs w:val="24"/>
          <w:vertAlign w:val="subscript"/>
          <w:lang w:val="en-US"/>
        </w:rPr>
        <w:t>13</w:t>
      </w:r>
      <w:r w:rsidR="00E5638D" w:rsidRPr="00CE641E">
        <w:rPr>
          <w:rFonts w:eastAsia="Times New Roman" w:cs="Times New Roman"/>
          <w:i/>
          <w:color w:val="000000"/>
          <w:szCs w:val="24"/>
          <w:lang w:eastAsia="zh-CN"/>
        </w:rPr>
        <w:t>DY_D</w:t>
      </w:r>
      <w:r w:rsidR="007E4D09">
        <w:rPr>
          <w:rFonts w:eastAsia="Times New Roman" w:cs="Times New Roman"/>
          <w:i/>
          <w:color w:val="000000"/>
          <w:szCs w:val="24"/>
          <w:vertAlign w:val="subscript"/>
          <w:lang w:eastAsia="zh-CN"/>
        </w:rPr>
        <w:t>it</w:t>
      </w:r>
      <w:r w:rsidR="008046F2">
        <w:rPr>
          <w:rFonts w:eastAsia="Times New Roman" w:cs="Times New Roman"/>
          <w:i/>
          <w:color w:val="000000"/>
          <w:szCs w:val="24"/>
          <w:lang w:eastAsia="zh-CN"/>
        </w:rPr>
        <w:t xml:space="preserve"> +</w:t>
      </w:r>
      <w:r w:rsidR="00E5638D" w:rsidRPr="00CE641E">
        <w:rPr>
          <w:i/>
          <w:szCs w:val="24"/>
          <w:lang w:val="en-US"/>
        </w:rPr>
        <w:t xml:space="preserve"> </w:t>
      </w:r>
      <w:r w:rsidRPr="008235BD">
        <w:rPr>
          <w:rFonts w:cs="Times New Roman"/>
          <w:i/>
          <w:szCs w:val="24"/>
          <w:lang w:val="en-US"/>
        </w:rPr>
        <w:t>μ</w:t>
      </w:r>
      <w:r w:rsidRPr="008235BD">
        <w:rPr>
          <w:rFonts w:cs="Times New Roman"/>
          <w:i/>
          <w:szCs w:val="24"/>
          <w:vertAlign w:val="subscript"/>
        </w:rPr>
        <w:t>it</w:t>
      </w:r>
      <w:r w:rsidR="008046F2" w:rsidRPr="008046F2">
        <w:rPr>
          <w:rFonts w:cs="Times New Roman"/>
          <w:i/>
          <w:szCs w:val="24"/>
        </w:rPr>
        <w:t>(v</w:t>
      </w:r>
      <w:r w:rsidR="008046F2" w:rsidRPr="008046F2">
        <w:rPr>
          <w:rFonts w:cs="Times New Roman"/>
          <w:i/>
          <w:szCs w:val="24"/>
          <w:vertAlign w:val="subscript"/>
        </w:rPr>
        <w:t>it</w:t>
      </w:r>
      <w:r w:rsidR="008046F2" w:rsidRPr="008046F2">
        <w:rPr>
          <w:rFonts w:cs="Times New Roman"/>
          <w:i/>
          <w:szCs w:val="24"/>
        </w:rPr>
        <w:t>)</w:t>
      </w:r>
      <w:r w:rsidR="00D353C6" w:rsidRPr="00D353C6">
        <w:t xml:space="preserve"> </w:t>
      </w:r>
      <w:r w:rsidR="00931F3E">
        <w:t xml:space="preserve">; </w:t>
      </w:r>
      <w:r w:rsidR="00931F3E">
        <w:tab/>
      </w:r>
      <w:r w:rsidR="00931F3E">
        <w:tab/>
        <w:t>(21</w:t>
      </w:r>
      <w:r w:rsidR="00D353C6">
        <w:t>)</w:t>
      </w:r>
    </w:p>
    <w:p w:rsidR="00E01FE5" w:rsidRDefault="00D353C6" w:rsidP="00D353C6">
      <w:r>
        <w:t>Naudojantis šia</w:t>
      </w:r>
      <w:r w:rsidR="008046F2">
        <w:t xml:space="preserve"> regresijos</w:t>
      </w:r>
      <w:r>
        <w:t xml:space="preserve"> lygtimi toliau bus įvertinamos kriterijų reikšmės ir svoriai naudojant atitinkamas statistines</w:t>
      </w:r>
      <w:r w:rsidR="008046F2">
        <w:t xml:space="preserve"> daugiakriterinio vertinimo</w:t>
      </w:r>
      <w:r>
        <w:t xml:space="preserve"> metodikas.</w:t>
      </w:r>
    </w:p>
    <w:p w:rsidR="009A1AE3" w:rsidRDefault="004E6B94" w:rsidP="00B64EEA">
      <w:pPr>
        <w:pStyle w:val="Heading3"/>
        <w:numPr>
          <w:ilvl w:val="0"/>
          <w:numId w:val="21"/>
        </w:numPr>
      </w:pPr>
      <w:bookmarkStart w:id="73" w:name="_Ref343174720"/>
      <w:bookmarkStart w:id="74" w:name="_Toc343677754"/>
      <w:r>
        <w:t>T</w:t>
      </w:r>
      <w:r w:rsidR="009A1AE3">
        <w:t>yrim</w:t>
      </w:r>
      <w:r w:rsidR="00CC60D6">
        <w:t xml:space="preserve">o kriterijų </w:t>
      </w:r>
      <w:r>
        <w:t>standartizuotų reikšmių</w:t>
      </w:r>
      <w:r w:rsidR="00CC60D6">
        <w:t xml:space="preserve"> </w:t>
      </w:r>
      <w:r>
        <w:t>apskaičiavimo</w:t>
      </w:r>
      <w:r w:rsidR="00CC60D6">
        <w:t xml:space="preserve"> metodikos</w:t>
      </w:r>
      <w:bookmarkEnd w:id="73"/>
      <w:bookmarkEnd w:id="74"/>
    </w:p>
    <w:p w:rsidR="009A1AE3" w:rsidRDefault="009A1AE3" w:rsidP="009A1AE3">
      <w:r>
        <w:t>Tam, kad iš analizuoti ryšius tarp dividendų politikos</w:t>
      </w:r>
      <w:r w:rsidR="00CC60D6">
        <w:t xml:space="preserve"> veiksnių</w:t>
      </w:r>
      <w:r>
        <w:t xml:space="preserve"> ir akcijų </w:t>
      </w:r>
      <w:r w:rsidR="00CC60D6">
        <w:t>pelningumo</w:t>
      </w:r>
      <w:r>
        <w:t xml:space="preserve">, bus naudojama </w:t>
      </w:r>
      <w:r w:rsidR="00CC60D6">
        <w:rPr>
          <w:i/>
        </w:rPr>
        <w:t>daugiakriterinė</w:t>
      </w:r>
      <w:r w:rsidRPr="00D353C6">
        <w:rPr>
          <w:i/>
        </w:rPr>
        <w:t xml:space="preserve"> duomenų analizės metodika</w:t>
      </w:r>
      <w:r>
        <w:t xml:space="preserve"> (angl. panel data approach), kurią siūlo naudoti daugelis dividendų politikos efektus nagrinėjančių autorių (Khan ir kt. 2011, Khan, 2012 ir k</w:t>
      </w:r>
      <w:r w:rsidR="00D353C6">
        <w:t>iti</w:t>
      </w:r>
      <w:r>
        <w:t xml:space="preserve">). </w:t>
      </w:r>
      <w:r w:rsidR="00CC60D6">
        <w:t>Daugiakriteriniai</w:t>
      </w:r>
      <w:r>
        <w:t xml:space="preserve"> duomenys – tai duomenys, kurie stebimi dvejomis dimensijomis (</w:t>
      </w:r>
      <w:r w:rsidRPr="00D353C6">
        <w:rPr>
          <w:i/>
        </w:rPr>
        <w:t>t</w:t>
      </w:r>
      <w:r>
        <w:t xml:space="preserve"> - laiko, </w:t>
      </w:r>
      <w:r w:rsidRPr="00D353C6">
        <w:rPr>
          <w:i/>
        </w:rPr>
        <w:t>i</w:t>
      </w:r>
      <w:r>
        <w:t xml:space="preserve"> – skersinio pjūvio). </w:t>
      </w:r>
      <w:r w:rsidR="00CC60D6">
        <w:t>Daugiakriteriniai</w:t>
      </w:r>
      <w:r>
        <w:t xml:space="preserve"> duomenys</w:t>
      </w:r>
      <w:r w:rsidR="004E6B94">
        <w:t xml:space="preserve"> dažniausiai</w:t>
      </w:r>
      <w:r>
        <w:t xml:space="preserve"> mokslinėje literat</w:t>
      </w:r>
      <w:r>
        <w:rPr>
          <w:lang w:val="en-US"/>
        </w:rPr>
        <w:t>ūroje</w:t>
      </w:r>
      <w:r>
        <w:t xml:space="preserve"> analizuojami trimis </w:t>
      </w:r>
      <w:r w:rsidR="00D353C6">
        <w:t>būdais,</w:t>
      </w:r>
      <w:r>
        <w:t xml:space="preserve"> </w:t>
      </w:r>
      <w:r w:rsidR="00D353C6">
        <w:t xml:space="preserve">naudojant: </w:t>
      </w:r>
      <w:r w:rsidR="00D353C6" w:rsidRPr="004E6B94">
        <w:rPr>
          <w:i/>
        </w:rPr>
        <w:t>sudėtinį paprastųjų mažiausių kvadratų</w:t>
      </w:r>
      <w:r w:rsidR="00D353C6">
        <w:t xml:space="preserve"> (angl. pooled ordinary least squares), </w:t>
      </w:r>
      <w:r w:rsidRPr="004E6B94">
        <w:rPr>
          <w:i/>
        </w:rPr>
        <w:t>fiksuoto efekto</w:t>
      </w:r>
      <w:r>
        <w:t xml:space="preserve"> (angl. fixed-effect), </w:t>
      </w:r>
      <w:r w:rsidRPr="004E6B94">
        <w:rPr>
          <w:i/>
        </w:rPr>
        <w:t>atsitiktinio efekto</w:t>
      </w:r>
      <w:r>
        <w:t xml:space="preserve"> (angl. random-effect) ir </w:t>
      </w:r>
      <w:r w:rsidR="00D353C6">
        <w:t>metodus</w:t>
      </w:r>
      <w:r>
        <w:t>.</w:t>
      </w:r>
    </w:p>
    <w:p w:rsidR="009A1AE3" w:rsidRPr="00E74A6D" w:rsidRDefault="009A1AE3" w:rsidP="009A1AE3">
      <w:pPr>
        <w:rPr>
          <w:b/>
        </w:rPr>
      </w:pPr>
      <w:r w:rsidRPr="00BF42F3">
        <w:rPr>
          <w:b/>
        </w:rPr>
        <w:t>Sudėtinis mažiausių kvadratų</w:t>
      </w:r>
      <w:r w:rsidR="00C5726A">
        <w:rPr>
          <w:b/>
        </w:rPr>
        <w:t xml:space="preserve"> duomenų skaičiavimo</w:t>
      </w:r>
      <w:r w:rsidRPr="00BF42F3">
        <w:rPr>
          <w:b/>
        </w:rPr>
        <w:t xml:space="preserve"> modelis.</w:t>
      </w:r>
      <w:r>
        <w:rPr>
          <w:b/>
        </w:rPr>
        <w:t xml:space="preserve"> </w:t>
      </w:r>
      <w:r w:rsidRPr="00E74A6D">
        <w:t>Kuomet turimi duomenys analizuojami kartu,  neišskiriant skersinio pjūvio ir laiko serijų,</w:t>
      </w:r>
      <w:r>
        <w:t xml:space="preserve"> regresiją galima pritaikyti visiems duomenims, naudojant paprastųjų kvadratų modelį (angl. trump. OLS). Tai yra vadinama sudėtine mažiausių kvadratų regresija. Tai lengviausiai pritaikoma regresinė metodika, tačiau šiai metodikai būdingas ir didesnis tikėtinų klaidų kiekis.</w:t>
      </w:r>
    </w:p>
    <w:p w:rsidR="009A1AE3" w:rsidRDefault="009A1AE3" w:rsidP="009A1AE3">
      <w:r w:rsidRPr="00CA2A3D">
        <w:rPr>
          <w:b/>
        </w:rPr>
        <w:t>Fiksuoto efekto</w:t>
      </w:r>
      <w:r w:rsidR="00C5726A">
        <w:rPr>
          <w:b/>
        </w:rPr>
        <w:t xml:space="preserve"> duomenų skaičiavimo</w:t>
      </w:r>
      <w:r w:rsidRPr="00CA2A3D">
        <w:rPr>
          <w:b/>
        </w:rPr>
        <w:t xml:space="preserve"> modelis.</w:t>
      </w:r>
      <w:r>
        <w:rPr>
          <w:b/>
        </w:rPr>
        <w:t xml:space="preserve"> </w:t>
      </w:r>
      <w:r w:rsidRPr="00AB00C2">
        <w:t>Ank</w:t>
      </w:r>
      <w:r>
        <w:t>s</w:t>
      </w:r>
      <w:r w:rsidRPr="00AB00C2">
        <w:t xml:space="preserve">tyvaisiais modelio vystymosi metais, </w:t>
      </w:r>
      <w:r w:rsidR="00ED073D">
        <w:t>daugiakriteriniai</w:t>
      </w:r>
      <w:r>
        <w:t xml:space="preserve"> duomenys</w:t>
      </w:r>
      <w:r w:rsidRPr="00AB00C2">
        <w:t xml:space="preserve"> ekonomikoje buvo naudojam</w:t>
      </w:r>
      <w:r>
        <w:t>i</w:t>
      </w:r>
      <w:r w:rsidRPr="00AB00C2">
        <w:t xml:space="preserve"> apskaičiuoti produkcijos lygtims, kuriose būtų atsižvelgiama į nestebimus efektus, kurie turi atitinkamą specifiką kiekvienam produkcijos vienetui.</w:t>
      </w:r>
      <w:r>
        <w:rPr>
          <w:b/>
        </w:rPr>
        <w:t xml:space="preserve"> </w:t>
      </w:r>
      <w:r w:rsidRPr="00AB00C2">
        <w:t xml:space="preserve">Dividendų politikos </w:t>
      </w:r>
      <w:r w:rsidRPr="00076718">
        <w:rPr>
          <w:i/>
        </w:rPr>
        <w:t>fiksuoto efekto</w:t>
      </w:r>
      <w:r w:rsidRPr="00AB00C2">
        <w:t xml:space="preserve"> tyrimo metodika </w:t>
      </w:r>
      <w:r w:rsidR="00DF4026" w:rsidRPr="00AB00C2">
        <w:t xml:space="preserve">mokslinėje literatūroje </w:t>
      </w:r>
      <w:r w:rsidRPr="00AB00C2">
        <w:t xml:space="preserve">naudojama efektams tarp dividendų politikos ir akcijų kainų nustatyti. Modelio principas naudojamas šiais laikais yra vadinamas </w:t>
      </w:r>
      <w:r w:rsidRPr="00076718">
        <w:rPr>
          <w:i/>
        </w:rPr>
        <w:t>fiksuoto efekto</w:t>
      </w:r>
      <w:r w:rsidRPr="00AB00C2">
        <w:t xml:space="preserve"> metodu ir užrašomas regresine lygtimi</w:t>
      </w:r>
      <w:r w:rsidR="00995FB0">
        <w:t xml:space="preserve"> </w:t>
      </w:r>
      <w:r w:rsidR="00931F3E">
        <w:t>(žr. (22</w:t>
      </w:r>
      <w:r w:rsidR="00076718">
        <w:t>) formulę) pagal Maddala (</w:t>
      </w:r>
      <w:r w:rsidR="00995FB0">
        <w:t>1987</w:t>
      </w:r>
      <w:r>
        <w:t>)</w:t>
      </w:r>
      <w:r w:rsidR="00076718">
        <w:t>:</w:t>
      </w:r>
    </w:p>
    <w:p w:rsidR="00835B09" w:rsidRDefault="009A1AE3" w:rsidP="009A1AE3">
      <w:pPr>
        <w:spacing w:before="0"/>
        <w:jc w:val="center"/>
      </w:pPr>
      <w:r w:rsidRPr="00B90317">
        <w:rPr>
          <w:i/>
        </w:rPr>
        <w:t>y</w:t>
      </w:r>
      <w:r w:rsidRPr="00B90317">
        <w:rPr>
          <w:i/>
          <w:vertAlign w:val="subscript"/>
        </w:rPr>
        <w:t xml:space="preserve">it </w:t>
      </w:r>
      <w:r w:rsidRPr="00B90317">
        <w:rPr>
          <w:i/>
        </w:rPr>
        <w:t xml:space="preserve">= </w:t>
      </w:r>
      <w:r w:rsidRPr="00B90317">
        <w:rPr>
          <w:rFonts w:cs="Times New Roman"/>
          <w:i/>
        </w:rPr>
        <w:t>α</w:t>
      </w:r>
      <w:r w:rsidRPr="00B90317">
        <w:rPr>
          <w:i/>
          <w:vertAlign w:val="subscript"/>
        </w:rPr>
        <w:t>i</w:t>
      </w:r>
      <w:r w:rsidRPr="00B90317">
        <w:rPr>
          <w:i/>
        </w:rPr>
        <w:t xml:space="preserve"> + </w:t>
      </w:r>
      <w:r w:rsidRPr="00B90317">
        <w:rPr>
          <w:rFonts w:cs="Times New Roman"/>
          <w:i/>
        </w:rPr>
        <w:t>β</w:t>
      </w:r>
      <w:r w:rsidRPr="00B90317">
        <w:rPr>
          <w:i/>
        </w:rPr>
        <w:t>’x</w:t>
      </w:r>
      <w:r w:rsidRPr="00B90317">
        <w:rPr>
          <w:i/>
          <w:vertAlign w:val="subscript"/>
        </w:rPr>
        <w:t>it</w:t>
      </w:r>
      <w:r w:rsidRPr="00B90317">
        <w:rPr>
          <w:i/>
        </w:rPr>
        <w:t xml:space="preserve"> + </w:t>
      </w:r>
      <w:r w:rsidR="00BB258F">
        <w:rPr>
          <w:i/>
        </w:rPr>
        <w:t>e</w:t>
      </w:r>
      <w:r w:rsidRPr="00B90317">
        <w:rPr>
          <w:i/>
          <w:vertAlign w:val="subscript"/>
        </w:rPr>
        <w:t>it</w:t>
      </w:r>
      <w:r w:rsidR="007037A9">
        <w:rPr>
          <w:i/>
          <w:vertAlign w:val="subscript"/>
        </w:rPr>
        <w:t xml:space="preserve"> </w:t>
      </w:r>
      <w:r w:rsidR="00931F3E">
        <w:t xml:space="preserve">; </w:t>
      </w:r>
      <w:r w:rsidR="00931F3E">
        <w:tab/>
        <w:t xml:space="preserve">       (22</w:t>
      </w:r>
      <w:r w:rsidR="007037A9">
        <w:t>)</w:t>
      </w:r>
    </w:p>
    <w:p w:rsidR="009A1AE3" w:rsidRPr="00B90317" w:rsidRDefault="00835B09" w:rsidP="000B281A">
      <w:pPr>
        <w:spacing w:line="240" w:lineRule="auto"/>
        <w:jc w:val="left"/>
        <w:rPr>
          <w:i/>
        </w:rPr>
      </w:pPr>
      <w:r>
        <w:t xml:space="preserve">Čia: </w:t>
      </w:r>
      <w:r w:rsidR="00CC60D6">
        <w:tab/>
      </w:r>
      <w:r w:rsidR="009A1AE3" w:rsidRPr="00B90317">
        <w:rPr>
          <w:i/>
        </w:rPr>
        <w:t xml:space="preserve">i </w:t>
      </w:r>
      <w:r w:rsidR="009A1AE3" w:rsidRPr="007037A9">
        <w:t>= 1, 2, …, N</w:t>
      </w:r>
      <w:r w:rsidRPr="007037A9">
        <w:t xml:space="preserve"> – stebim</w:t>
      </w:r>
      <w:r w:rsidR="007037A9">
        <w:t>a įmonės</w:t>
      </w:r>
      <w:r w:rsidRPr="007037A9">
        <w:t xml:space="preserve"> akcij</w:t>
      </w:r>
      <w:r w:rsidR="007037A9">
        <w:t>a</w:t>
      </w:r>
      <w:r w:rsidR="007037A9" w:rsidRPr="007037A9">
        <w:t>;</w:t>
      </w:r>
    </w:p>
    <w:p w:rsidR="007037A9" w:rsidRPr="007037A9" w:rsidRDefault="009A1AE3" w:rsidP="000B281A">
      <w:pPr>
        <w:spacing w:line="240" w:lineRule="auto"/>
        <w:ind w:firstLine="1296"/>
        <w:jc w:val="left"/>
      </w:pPr>
      <w:r w:rsidRPr="00B90317">
        <w:rPr>
          <w:i/>
        </w:rPr>
        <w:t xml:space="preserve">t </w:t>
      </w:r>
      <w:r w:rsidRPr="007037A9">
        <w:t xml:space="preserve">= 1, 2, …, T </w:t>
      </w:r>
      <w:r w:rsidR="00835B09" w:rsidRPr="007037A9">
        <w:t>– laiko vienetas</w:t>
      </w:r>
      <w:r w:rsidR="007037A9" w:rsidRPr="007037A9">
        <w:t>;</w:t>
      </w:r>
    </w:p>
    <w:p w:rsidR="007037A9" w:rsidRDefault="009A1AE3" w:rsidP="000B281A">
      <w:pPr>
        <w:spacing w:line="240" w:lineRule="auto"/>
        <w:ind w:firstLine="1296"/>
        <w:jc w:val="left"/>
      </w:pPr>
      <w:r w:rsidRPr="007037A9">
        <w:rPr>
          <w:i/>
        </w:rPr>
        <w:t>y</w:t>
      </w:r>
      <w:r w:rsidRPr="007037A9">
        <w:rPr>
          <w:i/>
          <w:vertAlign w:val="subscript"/>
        </w:rPr>
        <w:t>it</w:t>
      </w:r>
      <w:r w:rsidR="007037A9">
        <w:t xml:space="preserve">  – duomenų išvestis; </w:t>
      </w:r>
    </w:p>
    <w:p w:rsidR="007037A9" w:rsidRDefault="009A1AE3" w:rsidP="000B281A">
      <w:pPr>
        <w:spacing w:line="240" w:lineRule="auto"/>
        <w:ind w:firstLine="1296"/>
        <w:jc w:val="left"/>
      </w:pPr>
      <w:r w:rsidRPr="007037A9">
        <w:rPr>
          <w:i/>
        </w:rPr>
        <w:t>x</w:t>
      </w:r>
      <w:r w:rsidRPr="007037A9">
        <w:rPr>
          <w:i/>
          <w:vertAlign w:val="subscript"/>
        </w:rPr>
        <w:t>it</w:t>
      </w:r>
      <w:r w:rsidRPr="00B90317">
        <w:rPr>
          <w:vertAlign w:val="subscript"/>
        </w:rPr>
        <w:t xml:space="preserve"> </w:t>
      </w:r>
      <w:r w:rsidR="007037A9">
        <w:rPr>
          <w:vertAlign w:val="subscript"/>
        </w:rPr>
        <w:t xml:space="preserve"> </w:t>
      </w:r>
      <w:r w:rsidRPr="00B90317">
        <w:t>– duo</w:t>
      </w:r>
      <w:r w:rsidR="00142942">
        <w:t xml:space="preserve">menų įvesties vektorius įmonei </w:t>
      </w:r>
      <w:r w:rsidRPr="00B90317">
        <w:t xml:space="preserve"> </w:t>
      </w:r>
      <w:r w:rsidRPr="007037A9">
        <w:rPr>
          <w:i/>
        </w:rPr>
        <w:t>i</w:t>
      </w:r>
      <w:r w:rsidR="00142942">
        <w:t xml:space="preserve">, periodu </w:t>
      </w:r>
      <w:r w:rsidRPr="00B90317">
        <w:t xml:space="preserve"> </w:t>
      </w:r>
      <w:r w:rsidRPr="007037A9">
        <w:rPr>
          <w:i/>
        </w:rPr>
        <w:t>t</w:t>
      </w:r>
      <w:r w:rsidR="007037A9">
        <w:t>;</w:t>
      </w:r>
    </w:p>
    <w:p w:rsidR="007037A9" w:rsidRDefault="009A1AE3" w:rsidP="000B281A">
      <w:pPr>
        <w:spacing w:line="240" w:lineRule="auto"/>
        <w:ind w:firstLine="1296"/>
        <w:jc w:val="left"/>
      </w:pPr>
      <w:r w:rsidRPr="00B90317">
        <w:rPr>
          <w:rFonts w:cs="Times New Roman"/>
        </w:rPr>
        <w:t>α</w:t>
      </w:r>
      <w:r w:rsidRPr="00B90317">
        <w:rPr>
          <w:vertAlign w:val="subscript"/>
        </w:rPr>
        <w:t xml:space="preserve">i </w:t>
      </w:r>
      <w:r w:rsidR="00197A6A">
        <w:t>– konstanta, išreiškianti įmonės specifinius, nestebimuosius</w:t>
      </w:r>
      <w:r w:rsidR="007037A9">
        <w:t xml:space="preserve"> įvesties duomenys;</w:t>
      </w:r>
      <w:r w:rsidRPr="00B90317">
        <w:t xml:space="preserve"> </w:t>
      </w:r>
    </w:p>
    <w:p w:rsidR="009A1AE3" w:rsidRDefault="00BB258F" w:rsidP="000B281A">
      <w:pPr>
        <w:ind w:firstLine="1296"/>
        <w:jc w:val="left"/>
      </w:pPr>
      <w:r>
        <w:rPr>
          <w:i/>
        </w:rPr>
        <w:lastRenderedPageBreak/>
        <w:t>e</w:t>
      </w:r>
      <w:r w:rsidR="009A1AE3" w:rsidRPr="007037A9">
        <w:rPr>
          <w:i/>
          <w:vertAlign w:val="subscript"/>
        </w:rPr>
        <w:t>it</w:t>
      </w:r>
      <w:r w:rsidR="009A1AE3" w:rsidRPr="00B90317">
        <w:t xml:space="preserve"> – atsi</w:t>
      </w:r>
      <w:r w:rsidR="009A1AE3">
        <w:t>ti</w:t>
      </w:r>
      <w:r w:rsidR="009A1AE3" w:rsidRPr="00B90317">
        <w:t>ktinės klaidos išraiška.</w:t>
      </w:r>
    </w:p>
    <w:p w:rsidR="00076718" w:rsidRDefault="00076718" w:rsidP="009A1AE3">
      <w:pPr>
        <w:spacing w:before="0"/>
      </w:pPr>
      <w:r>
        <w:t>Kaip teigia Atkins (2012), pagrindinis šio modelio privalumas, lyginant su įprastais mažiausių kvadratų (OLS) metodais, yra tas, jog kuomet yra daug individualių stebimųjų, individualių standartizuotų koeficientų reikšmės yra nuslopinamos (angl. suppressed). Kuomet analizuojamų imties narių N skaičius yra didelis, retais atvejais tyrėją domina konkrečių imties narių parametrai (Atkins, 2012).</w:t>
      </w:r>
    </w:p>
    <w:p w:rsidR="009A1AE3" w:rsidRPr="00B90317" w:rsidRDefault="009A1AE3" w:rsidP="009A1AE3">
      <w:pPr>
        <w:spacing w:before="0"/>
      </w:pPr>
      <w:r>
        <w:t>Kaip šio modelio trūkumą Ma</w:t>
      </w:r>
      <w:r w:rsidR="00995FB0">
        <w:t>ddala (1987</w:t>
      </w:r>
      <w:r>
        <w:t>) įvardino tai, jog didelės N ir mažos T reikšmės fiksuoto efekto modeliui suteikia klaidingus parametrų reikšmių apskaičiavimus.</w:t>
      </w:r>
    </w:p>
    <w:p w:rsidR="009A1AE3" w:rsidRDefault="009A1AE3" w:rsidP="009A1AE3">
      <w:r>
        <w:rPr>
          <w:b/>
        </w:rPr>
        <w:t>Atsitiktinio efekto</w:t>
      </w:r>
      <w:r w:rsidR="00C5726A">
        <w:rPr>
          <w:b/>
        </w:rPr>
        <w:t xml:space="preserve"> duomenų skaičiavimo</w:t>
      </w:r>
      <w:r>
        <w:rPr>
          <w:b/>
        </w:rPr>
        <w:t xml:space="preserve"> modelis. </w:t>
      </w:r>
      <w:r w:rsidR="00197A6A">
        <w:t>Kaip pažymi</w:t>
      </w:r>
      <w:r w:rsidR="00197A6A" w:rsidRPr="00197A6A">
        <w:t xml:space="preserve"> Atkins (2012),</w:t>
      </w:r>
      <w:r w:rsidR="00197A6A">
        <w:rPr>
          <w:b/>
        </w:rPr>
        <w:t xml:space="preserve"> </w:t>
      </w:r>
      <w:r w:rsidR="00197A6A" w:rsidRPr="00197A6A">
        <w:rPr>
          <w:i/>
        </w:rPr>
        <w:t>a</w:t>
      </w:r>
      <w:r w:rsidRPr="00076718">
        <w:rPr>
          <w:i/>
        </w:rPr>
        <w:t>tsitiktinio efekto</w:t>
      </w:r>
      <w:r w:rsidRPr="00B75380">
        <w:t xml:space="preserve"> statistinis įvertinimas įtraukia individualius skirtumus, kurie yra atsitiktinai</w:t>
      </w:r>
      <w:r>
        <w:t xml:space="preserve"> priskiriami</w:t>
      </w:r>
      <w:r w:rsidRPr="00B75380">
        <w:t xml:space="preserve"> individualiems</w:t>
      </w:r>
      <w:r>
        <w:t xml:space="preserve"> subjektams (šiuo atveju </w:t>
      </w:r>
      <w:r w:rsidR="00197A6A">
        <w:t xml:space="preserve">įmonių </w:t>
      </w:r>
      <w:r>
        <w:t>VP)</w:t>
      </w:r>
      <w:r w:rsidRPr="00B75380">
        <w:t>.</w:t>
      </w:r>
      <w:r>
        <w:t xml:space="preserve"> </w:t>
      </w:r>
      <w:r w:rsidR="00076718">
        <w:rPr>
          <w:i/>
        </w:rPr>
        <w:t>Fiksuoto</w:t>
      </w:r>
      <w:r w:rsidRPr="00076718">
        <w:rPr>
          <w:i/>
        </w:rPr>
        <w:t xml:space="preserve"> efekt</w:t>
      </w:r>
      <w:r w:rsidR="00076718">
        <w:rPr>
          <w:i/>
        </w:rPr>
        <w:t>o</w:t>
      </w:r>
      <w:r>
        <w:t xml:space="preserve"> modelyje jie yra įvertinami tiesiog kaip parametrai</w:t>
      </w:r>
      <w:r w:rsidR="00197A6A">
        <w:t xml:space="preserve"> (</w:t>
      </w:r>
      <w:r w:rsidR="00197A6A" w:rsidRPr="00197A6A">
        <w:rPr>
          <w:rFonts w:cs="Times New Roman"/>
          <w:i/>
        </w:rPr>
        <w:t>α</w:t>
      </w:r>
      <w:r w:rsidR="00197A6A" w:rsidRPr="00197A6A">
        <w:rPr>
          <w:i/>
          <w:vertAlign w:val="subscript"/>
        </w:rPr>
        <w:t>i</w:t>
      </w:r>
      <w:r w:rsidR="00197A6A" w:rsidRPr="00197A6A">
        <w:rPr>
          <w:i/>
        </w:rPr>
        <w:t xml:space="preserve"> </w:t>
      </w:r>
      <w:r w:rsidR="00197A6A" w:rsidRPr="00197A6A">
        <w:rPr>
          <w:i/>
          <w:lang w:val="en-US"/>
        </w:rPr>
        <w:t xml:space="preserve">= </w:t>
      </w:r>
      <w:r w:rsidR="00197A6A" w:rsidRPr="00197A6A">
        <w:rPr>
          <w:rFonts w:cs="Times New Roman"/>
          <w:i/>
          <w:lang w:val="en-US"/>
        </w:rPr>
        <w:t>͞</w:t>
      </w:r>
      <w:r w:rsidR="00197A6A">
        <w:rPr>
          <w:rFonts w:cs="Times New Roman"/>
          <w:i/>
          <w:lang w:val="en-US"/>
        </w:rPr>
        <w:t>α</w:t>
      </w:r>
      <w:r w:rsidR="00197A6A" w:rsidRPr="00197A6A">
        <w:rPr>
          <w:rFonts w:cs="Times New Roman"/>
          <w:i/>
          <w:vertAlign w:val="subscript"/>
          <w:lang w:val="en-US"/>
        </w:rPr>
        <w:t>1</w:t>
      </w:r>
      <w:r w:rsidR="00197A6A" w:rsidRPr="00197A6A">
        <w:rPr>
          <w:rFonts w:cs="Times New Roman"/>
          <w:i/>
          <w:lang w:val="en-US"/>
        </w:rPr>
        <w:t xml:space="preserve"> + u</w:t>
      </w:r>
      <w:r w:rsidR="00197A6A" w:rsidRPr="00197A6A">
        <w:rPr>
          <w:rFonts w:cs="Times New Roman"/>
          <w:i/>
          <w:vertAlign w:val="subscript"/>
          <w:lang w:val="en-US"/>
        </w:rPr>
        <w:t>i</w:t>
      </w:r>
      <w:r w:rsidR="00197A6A">
        <w:rPr>
          <w:rFonts w:cs="Times New Roman"/>
          <w:lang w:val="en-US"/>
        </w:rPr>
        <w:t>)</w:t>
      </w:r>
      <w:r>
        <w:t xml:space="preserve">, kai tuo tarpu </w:t>
      </w:r>
      <w:r w:rsidRPr="00197A6A">
        <w:rPr>
          <w:i/>
        </w:rPr>
        <w:t>atsitiktinio efekto</w:t>
      </w:r>
      <w:r>
        <w:t xml:space="preserve"> modelis juos įtraukia į numatomą modelio klaidos išraišką, kuri duomenų panelėje turi specifinę struktūrą.</w:t>
      </w:r>
      <w:r>
        <w:rPr>
          <w:b/>
        </w:rPr>
        <w:t xml:space="preserve"> </w:t>
      </w:r>
      <w:r w:rsidRPr="00BF42F3">
        <w:t>Modelis iš esmės naudojamas, k</w:t>
      </w:r>
      <w:r>
        <w:t>ai turimos imties charakteristikos skiriasi tarpusavyje. VP rinkai būdinga, kad įmonės tarpusavyje skiriasi savo dydžiu, turimais finansiniais aktyvais, akcininkų sk</w:t>
      </w:r>
      <w:r w:rsidR="00076718">
        <w:t>aičiumi, vadovybe, svertu ir kitomis</w:t>
      </w:r>
      <w:r>
        <w:t xml:space="preserve"> charakteristikomis (Khan ir kt. 2011). Modelio matematinė išraiška</w:t>
      </w:r>
      <w:r w:rsidR="00931F3E">
        <w:t xml:space="preserve"> (žr. (23</w:t>
      </w:r>
      <w:r w:rsidR="00D353C6">
        <w:t>) formulę)</w:t>
      </w:r>
      <w:r>
        <w:t xml:space="preserve"> pateikiama Balestra ir Nerlove (1966):</w:t>
      </w:r>
    </w:p>
    <w:p w:rsidR="007037A9" w:rsidRDefault="009A1AE3" w:rsidP="00931F3E">
      <w:pPr>
        <w:spacing w:before="0"/>
        <w:ind w:firstLine="0"/>
        <w:jc w:val="center"/>
        <w:rPr>
          <w:lang w:val="en-US"/>
        </w:rPr>
      </w:pPr>
      <w:r w:rsidRPr="00EB55F3">
        <w:rPr>
          <w:i/>
        </w:rPr>
        <w:t>y</w:t>
      </w:r>
      <w:r w:rsidRPr="00EB55F3">
        <w:rPr>
          <w:i/>
          <w:vertAlign w:val="subscript"/>
        </w:rPr>
        <w:t xml:space="preserve">it </w:t>
      </w:r>
      <w:r w:rsidRPr="00EB55F3">
        <w:rPr>
          <w:i/>
          <w:lang w:val="en-US"/>
        </w:rPr>
        <w:t xml:space="preserve">= </w:t>
      </w:r>
      <w:r w:rsidRPr="00EB55F3">
        <w:rPr>
          <w:rFonts w:cs="Times New Roman"/>
          <w:i/>
          <w:lang w:val="en-US"/>
        </w:rPr>
        <w:t>α</w:t>
      </w:r>
      <w:r w:rsidRPr="00EB55F3">
        <w:rPr>
          <w:i/>
          <w:vertAlign w:val="subscript"/>
          <w:lang w:val="en-US"/>
        </w:rPr>
        <w:t>i</w:t>
      </w:r>
      <w:r w:rsidRPr="00EB55F3">
        <w:rPr>
          <w:i/>
          <w:lang w:val="en-US"/>
        </w:rPr>
        <w:t xml:space="preserve"> + </w:t>
      </w:r>
      <w:r w:rsidRPr="00EB55F3">
        <w:rPr>
          <w:rFonts w:cs="Times New Roman"/>
          <w:i/>
          <w:lang w:val="en-US"/>
        </w:rPr>
        <w:t>β</w:t>
      </w:r>
      <w:r w:rsidRPr="00EB55F3">
        <w:rPr>
          <w:i/>
          <w:lang w:val="en-US"/>
        </w:rPr>
        <w:t>’x</w:t>
      </w:r>
      <w:r w:rsidRPr="00EB55F3">
        <w:rPr>
          <w:i/>
          <w:vertAlign w:val="subscript"/>
          <w:lang w:val="en-US"/>
        </w:rPr>
        <w:t>it</w:t>
      </w:r>
      <w:r w:rsidRPr="00EB55F3">
        <w:rPr>
          <w:i/>
          <w:lang w:val="en-US"/>
        </w:rPr>
        <w:t xml:space="preserve"> + </w:t>
      </w:r>
      <w:r>
        <w:rPr>
          <w:i/>
          <w:lang w:val="en-US"/>
        </w:rPr>
        <w:t>(e</w:t>
      </w:r>
      <w:r w:rsidRPr="00B90317">
        <w:rPr>
          <w:i/>
          <w:vertAlign w:val="subscript"/>
          <w:lang w:val="en-US"/>
        </w:rPr>
        <w:t>it</w:t>
      </w:r>
      <w:r>
        <w:rPr>
          <w:i/>
          <w:lang w:val="en-US"/>
        </w:rPr>
        <w:t xml:space="preserve"> + u</w:t>
      </w:r>
      <w:r>
        <w:rPr>
          <w:i/>
          <w:vertAlign w:val="subscript"/>
          <w:lang w:val="en-US"/>
        </w:rPr>
        <w:t>it</w:t>
      </w:r>
      <w:r>
        <w:rPr>
          <w:i/>
          <w:lang w:val="en-US"/>
        </w:rPr>
        <w:t>)</w:t>
      </w:r>
      <w:r w:rsidR="007037A9" w:rsidRPr="007037A9">
        <w:rPr>
          <w:lang w:val="en-US"/>
        </w:rPr>
        <w:t>;</w:t>
      </w:r>
      <w:r w:rsidR="00931F3E">
        <w:rPr>
          <w:lang w:val="en-US"/>
        </w:rPr>
        <w:tab/>
        <w:t xml:space="preserve">       (23</w:t>
      </w:r>
      <w:r w:rsidR="007037A9" w:rsidRPr="007037A9">
        <w:rPr>
          <w:lang w:val="en-US"/>
        </w:rPr>
        <w:t>)</w:t>
      </w:r>
    </w:p>
    <w:p w:rsidR="009A1AE3" w:rsidRDefault="007037A9" w:rsidP="007037A9">
      <w:pPr>
        <w:spacing w:before="0"/>
        <w:jc w:val="left"/>
        <w:rPr>
          <w:lang w:val="en-US"/>
        </w:rPr>
      </w:pPr>
      <w:r>
        <w:t xml:space="preserve">Čia: </w:t>
      </w:r>
      <w:r w:rsidR="000B281A">
        <w:tab/>
      </w:r>
      <w:r w:rsidR="009A1AE3">
        <w:rPr>
          <w:i/>
          <w:lang w:val="en-US"/>
        </w:rPr>
        <w:t>e</w:t>
      </w:r>
      <w:r w:rsidR="009A1AE3" w:rsidRPr="00B90317">
        <w:rPr>
          <w:i/>
          <w:vertAlign w:val="subscript"/>
          <w:lang w:val="en-US"/>
        </w:rPr>
        <w:t>it</w:t>
      </w:r>
      <w:r w:rsidR="009A1AE3">
        <w:rPr>
          <w:i/>
          <w:lang w:val="en-US"/>
        </w:rPr>
        <w:t xml:space="preserve"> + u</w:t>
      </w:r>
      <w:r w:rsidR="009A1AE3">
        <w:rPr>
          <w:i/>
          <w:vertAlign w:val="subscript"/>
          <w:lang w:val="en-US"/>
        </w:rPr>
        <w:t>it</w:t>
      </w:r>
      <w:r w:rsidR="009A1AE3">
        <w:rPr>
          <w:i/>
          <w:lang w:val="en-US"/>
        </w:rPr>
        <w:t xml:space="preserve"> = v</w:t>
      </w:r>
      <w:r w:rsidR="009A1AE3" w:rsidRPr="00B90317">
        <w:rPr>
          <w:i/>
          <w:vertAlign w:val="subscript"/>
          <w:lang w:val="en-US"/>
        </w:rPr>
        <w:t>it</w:t>
      </w:r>
      <w:r w:rsidR="009A1AE3">
        <w:rPr>
          <w:i/>
          <w:vertAlign w:val="subscript"/>
          <w:lang w:val="en-US"/>
        </w:rPr>
        <w:t xml:space="preserve"> </w:t>
      </w:r>
      <w:r w:rsidR="00BB258F">
        <w:rPr>
          <w:i/>
          <w:vertAlign w:val="subscript"/>
          <w:lang w:val="en-US"/>
        </w:rPr>
        <w:t xml:space="preserve"> </w:t>
      </w:r>
      <w:r w:rsidR="009A1AE3" w:rsidRPr="00B90317">
        <w:rPr>
          <w:lang w:val="en-US"/>
        </w:rPr>
        <w:t xml:space="preserve">– </w:t>
      </w:r>
      <w:r w:rsidR="009A1AE3" w:rsidRPr="00D23D64">
        <w:t>klaidos kombinacija</w:t>
      </w:r>
      <w:r w:rsidR="00D353C6">
        <w:t xml:space="preserve"> esant atsitiktiniam efektui</w:t>
      </w:r>
      <w:r w:rsidR="00D23D64" w:rsidRPr="00D23D64">
        <w:t>.</w:t>
      </w:r>
    </w:p>
    <w:p w:rsidR="00BB258F" w:rsidRDefault="000803D8" w:rsidP="00BB258F">
      <w:r>
        <w:t>Kaip teigia Atkins (2012), p</w:t>
      </w:r>
      <w:r w:rsidR="00BB258F">
        <w:t xml:space="preserve">agrindinė klaidos kombinacijos savybė yra ta, jog ji yra homoskedatiška </w:t>
      </w:r>
      <w:r w:rsidR="00931F3E">
        <w:t>(žr. (24</w:t>
      </w:r>
      <w:r>
        <w:t>) formulę):</w:t>
      </w:r>
    </w:p>
    <w:p w:rsidR="00BB258F" w:rsidRDefault="00EC7800" w:rsidP="00BB258F">
      <w:pPr>
        <w:autoSpaceDE w:val="0"/>
        <w:autoSpaceDN w:val="0"/>
        <w:adjustRightInd w:val="0"/>
        <w:spacing w:before="0" w:line="240" w:lineRule="auto"/>
        <w:ind w:firstLine="0"/>
        <w:jc w:val="center"/>
        <w:rPr>
          <w:rFonts w:ascii="CMR10" w:hAnsi="CMR10" w:cs="CMR10"/>
          <w:szCs w:val="24"/>
        </w:rPr>
      </w:pPr>
      <m:oMath>
        <m:sSubSup>
          <m:sSubSupPr>
            <m:ctrlPr>
              <w:rPr>
                <w:rFonts w:ascii="Cambria Math" w:hAnsi="Cambria Math" w:cs="CMMI8"/>
                <w:i/>
                <w:szCs w:val="24"/>
              </w:rPr>
            </m:ctrlPr>
          </m:sSubSupPr>
          <m:e>
            <m:r>
              <w:rPr>
                <w:rFonts w:ascii="Cambria Math" w:hAnsi="Cambria Math" w:cs="CMMI8"/>
                <w:i/>
                <w:szCs w:val="24"/>
              </w:rPr>
              <w:sym w:font="Symbol" w:char="F073"/>
            </m:r>
          </m:e>
          <m:sub>
            <m:r>
              <w:rPr>
                <w:rFonts w:ascii="Cambria Math" w:hAnsi="Cambria Math" w:cs="CMMI8"/>
                <w:szCs w:val="24"/>
              </w:rPr>
              <m:t>v</m:t>
            </m:r>
          </m:sub>
          <m:sup>
            <m:r>
              <w:rPr>
                <w:rFonts w:ascii="Cambria Math" w:hAnsi="Cambria Math" w:cs="CMMI8"/>
                <w:szCs w:val="24"/>
              </w:rPr>
              <m:t>2</m:t>
            </m:r>
          </m:sup>
        </m:sSubSup>
      </m:oMath>
      <w:r w:rsidR="00BB258F">
        <w:rPr>
          <w:rFonts w:ascii="CMMI8" w:hAnsi="CMMI8" w:cs="CMMI8"/>
          <w:sz w:val="16"/>
          <w:szCs w:val="16"/>
        </w:rPr>
        <w:t xml:space="preserve"> </w:t>
      </w:r>
      <w:r w:rsidR="00BB258F" w:rsidRPr="00BB258F">
        <w:rPr>
          <w:rFonts w:cs="Times New Roman"/>
          <w:i/>
          <w:szCs w:val="24"/>
        </w:rPr>
        <w:t>= var(v</w:t>
      </w:r>
      <w:r w:rsidR="00BB258F" w:rsidRPr="000803D8">
        <w:rPr>
          <w:rFonts w:cs="Times New Roman"/>
          <w:i/>
          <w:szCs w:val="24"/>
          <w:vertAlign w:val="subscript"/>
        </w:rPr>
        <w:t>it</w:t>
      </w:r>
      <w:r w:rsidR="000803D8">
        <w:rPr>
          <w:rFonts w:cs="Times New Roman"/>
          <w:i/>
          <w:szCs w:val="24"/>
        </w:rPr>
        <w:t>) = var</w:t>
      </w:r>
      <w:r w:rsidR="00BB258F" w:rsidRPr="00BB258F">
        <w:rPr>
          <w:rFonts w:cs="Times New Roman"/>
          <w:i/>
          <w:szCs w:val="24"/>
        </w:rPr>
        <w:t>(u</w:t>
      </w:r>
      <w:r w:rsidR="00BB258F" w:rsidRPr="000803D8">
        <w:rPr>
          <w:rFonts w:cs="Times New Roman"/>
          <w:i/>
          <w:szCs w:val="24"/>
          <w:vertAlign w:val="subscript"/>
        </w:rPr>
        <w:t>i</w:t>
      </w:r>
      <w:r w:rsidR="000803D8">
        <w:rPr>
          <w:rFonts w:cs="Times New Roman"/>
          <w:i/>
          <w:szCs w:val="24"/>
        </w:rPr>
        <w:t>+</w:t>
      </w:r>
      <w:r w:rsidR="00BB258F" w:rsidRPr="00BB258F">
        <w:rPr>
          <w:rFonts w:cs="Times New Roman"/>
          <w:i/>
          <w:szCs w:val="24"/>
        </w:rPr>
        <w:t>e</w:t>
      </w:r>
      <w:r w:rsidR="00BB258F" w:rsidRPr="000803D8">
        <w:rPr>
          <w:rFonts w:cs="Times New Roman"/>
          <w:i/>
          <w:szCs w:val="24"/>
          <w:vertAlign w:val="subscript"/>
        </w:rPr>
        <w:t>it</w:t>
      </w:r>
      <w:r w:rsidR="00BB258F" w:rsidRPr="00BB258F">
        <w:rPr>
          <w:rFonts w:cs="Times New Roman"/>
          <w:i/>
          <w:szCs w:val="24"/>
        </w:rPr>
        <w:t>) =</w:t>
      </w:r>
      <w:r w:rsidR="00BB258F">
        <w:rPr>
          <w:rFonts w:ascii="CMR10" w:hAnsi="CMR10" w:cs="CMR10"/>
          <w:sz w:val="22"/>
        </w:rPr>
        <w:t xml:space="preserve"> </w:t>
      </w:r>
      <m:oMath>
        <m:sSubSup>
          <m:sSubSupPr>
            <m:ctrlPr>
              <w:rPr>
                <w:rFonts w:ascii="Cambria Math" w:hAnsi="Cambria Math" w:cs="CMMI8"/>
                <w:i/>
                <w:szCs w:val="24"/>
              </w:rPr>
            </m:ctrlPr>
          </m:sSubSupPr>
          <m:e>
            <m:r>
              <w:rPr>
                <w:rFonts w:ascii="Cambria Math" w:hAnsi="Cambria Math" w:cs="CMMI8"/>
                <w:i/>
                <w:szCs w:val="24"/>
              </w:rPr>
              <w:sym w:font="Symbol" w:char="F073"/>
            </m:r>
          </m:e>
          <m:sub>
            <m:r>
              <w:rPr>
                <w:rFonts w:ascii="Cambria Math" w:hAnsi="Cambria Math" w:cs="CMMI8"/>
                <w:szCs w:val="24"/>
              </w:rPr>
              <m:t>u</m:t>
            </m:r>
          </m:sub>
          <m:sup>
            <m:r>
              <w:rPr>
                <w:rFonts w:ascii="Cambria Math" w:hAnsi="Cambria Math" w:cs="CMMI8"/>
                <w:szCs w:val="24"/>
              </w:rPr>
              <m:t>2</m:t>
            </m:r>
          </m:sup>
        </m:sSubSup>
      </m:oMath>
      <w:r w:rsidR="00BB258F">
        <w:rPr>
          <w:rFonts w:ascii="CMR10" w:hAnsi="CMR10" w:cs="CMR10"/>
          <w:szCs w:val="24"/>
        </w:rPr>
        <w:t xml:space="preserve"> + </w:t>
      </w:r>
      <m:oMath>
        <m:sSubSup>
          <m:sSubSupPr>
            <m:ctrlPr>
              <w:rPr>
                <w:rFonts w:ascii="Cambria Math" w:hAnsi="Cambria Math" w:cs="CMMI8"/>
                <w:i/>
                <w:szCs w:val="24"/>
              </w:rPr>
            </m:ctrlPr>
          </m:sSubSupPr>
          <m:e>
            <m:r>
              <w:rPr>
                <w:rFonts w:ascii="Cambria Math" w:hAnsi="Cambria Math" w:cs="CMMI8"/>
                <w:i/>
                <w:szCs w:val="24"/>
              </w:rPr>
              <w:sym w:font="Symbol" w:char="F073"/>
            </m:r>
          </m:e>
          <m:sub>
            <m:r>
              <w:rPr>
                <w:rFonts w:ascii="Cambria Math" w:hAnsi="Cambria Math" w:cs="CMMI8"/>
                <w:szCs w:val="24"/>
              </w:rPr>
              <m:t>e</m:t>
            </m:r>
          </m:sub>
          <m:sup>
            <m:r>
              <w:rPr>
                <w:rFonts w:ascii="Cambria Math" w:hAnsi="Cambria Math" w:cs="CMMI8"/>
                <w:szCs w:val="24"/>
              </w:rPr>
              <m:t>2</m:t>
            </m:r>
          </m:sup>
        </m:sSubSup>
      </m:oMath>
      <w:r w:rsidR="00931F3E">
        <w:rPr>
          <w:rFonts w:ascii="CMR10" w:hAnsi="CMR10" w:cs="CMR10"/>
          <w:szCs w:val="24"/>
        </w:rPr>
        <w:t>;</w:t>
      </w:r>
      <w:r w:rsidR="00931F3E">
        <w:rPr>
          <w:rFonts w:ascii="CMR10" w:hAnsi="CMR10" w:cs="CMR10"/>
          <w:szCs w:val="24"/>
        </w:rPr>
        <w:tab/>
        <w:t xml:space="preserve">      (24</w:t>
      </w:r>
      <w:r w:rsidR="00BB258F">
        <w:rPr>
          <w:rFonts w:ascii="CMR10" w:hAnsi="CMR10" w:cs="CMR10"/>
          <w:szCs w:val="24"/>
        </w:rPr>
        <w:t>)</w:t>
      </w:r>
    </w:p>
    <w:p w:rsidR="00BB258F" w:rsidRDefault="000803D8" w:rsidP="00BB258F">
      <w:r>
        <w:t>Taip pat nauja klaidos reikšmė</w:t>
      </w:r>
      <w:r w:rsidR="00BB258F">
        <w:t xml:space="preserve"> reikšmingai koreliuoja</w:t>
      </w:r>
      <w:r>
        <w:t xml:space="preserve"> tarpusavyje</w:t>
      </w:r>
      <w:r w:rsidR="00BB258F">
        <w:t xml:space="preserve">. Pagal Atkins (2012), kovariacija tarp individualaus imties nario </w:t>
      </w:r>
      <w:r w:rsidR="00BB258F" w:rsidRPr="00BB258F">
        <w:rPr>
          <w:i/>
        </w:rPr>
        <w:t>i</w:t>
      </w:r>
      <w:r w:rsidR="00BB258F">
        <w:rPr>
          <w:i/>
        </w:rPr>
        <w:t xml:space="preserve"> </w:t>
      </w:r>
      <w:r w:rsidR="00BB258F" w:rsidRPr="00BB258F">
        <w:t>kombinuotų klaidų</w:t>
      </w:r>
      <w:r w:rsidR="00931F3E">
        <w:t xml:space="preserve"> išreiškiama formule (žr. (25</w:t>
      </w:r>
      <w:r w:rsidR="00BB258F">
        <w:t>) formulę):</w:t>
      </w:r>
    </w:p>
    <w:p w:rsidR="000803D8" w:rsidRPr="00931F3E" w:rsidRDefault="000803D8" w:rsidP="00931F3E">
      <w:pPr>
        <w:ind w:firstLine="0"/>
        <w:jc w:val="center"/>
        <w:rPr>
          <w:rFonts w:ascii="CMMI8" w:hAnsi="CMMI8" w:cs="CMMI8"/>
          <w:sz w:val="16"/>
          <w:szCs w:val="16"/>
          <w:lang w:val="en-US"/>
        </w:rPr>
      </w:pPr>
      <w:r w:rsidRPr="000803D8">
        <w:rPr>
          <w:i/>
        </w:rPr>
        <w:t>cov(</w:t>
      </w:r>
      <w:r w:rsidRPr="000803D8">
        <w:rPr>
          <w:rFonts w:cs="Times New Roman"/>
          <w:i/>
          <w:szCs w:val="24"/>
        </w:rPr>
        <w:t>v</w:t>
      </w:r>
      <w:r w:rsidRPr="000803D8">
        <w:rPr>
          <w:rFonts w:cs="Times New Roman"/>
          <w:i/>
          <w:szCs w:val="24"/>
          <w:vertAlign w:val="subscript"/>
        </w:rPr>
        <w:t xml:space="preserve">it, </w:t>
      </w:r>
      <w:r w:rsidRPr="000803D8">
        <w:rPr>
          <w:rFonts w:cs="Times New Roman"/>
          <w:i/>
          <w:szCs w:val="24"/>
        </w:rPr>
        <w:t>v</w:t>
      </w:r>
      <w:r w:rsidRPr="000803D8">
        <w:rPr>
          <w:rFonts w:cs="Times New Roman"/>
          <w:i/>
          <w:szCs w:val="24"/>
          <w:vertAlign w:val="subscript"/>
        </w:rPr>
        <w:t>is</w:t>
      </w:r>
      <w:r w:rsidRPr="000803D8">
        <w:rPr>
          <w:rFonts w:cs="Times New Roman"/>
          <w:i/>
          <w:szCs w:val="24"/>
        </w:rPr>
        <w:t>)</w:t>
      </w:r>
      <w:r>
        <w:rPr>
          <w:rFonts w:cs="Times New Roman"/>
          <w:i/>
          <w:szCs w:val="24"/>
        </w:rPr>
        <w:t xml:space="preserve"> </w:t>
      </w:r>
      <w:r>
        <w:rPr>
          <w:rFonts w:cs="Times New Roman"/>
          <w:i/>
          <w:szCs w:val="24"/>
          <w:lang w:val="en-US"/>
        </w:rPr>
        <w:t>=</w:t>
      </w:r>
      <m:oMath>
        <m:sSubSup>
          <m:sSubSupPr>
            <m:ctrlPr>
              <w:rPr>
                <w:rFonts w:ascii="Cambria Math" w:hAnsi="Cambria Math" w:cs="CMMI8"/>
                <w:i/>
                <w:szCs w:val="24"/>
              </w:rPr>
            </m:ctrlPr>
          </m:sSubSupPr>
          <m:e>
            <m:r>
              <w:rPr>
                <w:rFonts w:ascii="Cambria Math" w:hAnsi="Cambria Math" w:cs="CMMI8"/>
                <w:i/>
                <w:szCs w:val="24"/>
              </w:rPr>
              <w:sym w:font="Symbol" w:char="F073"/>
            </m:r>
          </m:e>
          <m:sub>
            <m:r>
              <w:rPr>
                <w:rFonts w:ascii="Cambria Math" w:hAnsi="Cambria Math" w:cs="CMMI8"/>
                <w:szCs w:val="24"/>
              </w:rPr>
              <m:t>u</m:t>
            </m:r>
          </m:sub>
          <m:sup>
            <m:r>
              <w:rPr>
                <w:rFonts w:ascii="Cambria Math" w:hAnsi="Cambria Math" w:cs="CMMI8"/>
                <w:szCs w:val="24"/>
              </w:rPr>
              <m:t>2</m:t>
            </m:r>
          </m:sup>
        </m:sSubSup>
      </m:oMath>
      <w:r w:rsidR="00931F3E">
        <w:rPr>
          <w:rFonts w:cs="Times New Roman"/>
          <w:i/>
          <w:szCs w:val="24"/>
        </w:rPr>
        <w:t>;</w:t>
      </w:r>
      <w:r w:rsidR="00931F3E">
        <w:rPr>
          <w:rFonts w:cs="Times New Roman"/>
          <w:i/>
          <w:szCs w:val="24"/>
        </w:rPr>
        <w:tab/>
      </w:r>
      <w:r w:rsidR="00931F3E">
        <w:rPr>
          <w:rFonts w:cs="Times New Roman"/>
          <w:szCs w:val="24"/>
        </w:rPr>
        <w:t>(25)</w:t>
      </w:r>
    </w:p>
    <w:p w:rsidR="009A1AE3" w:rsidRPr="004C49B5" w:rsidRDefault="00995FB0" w:rsidP="009A1AE3">
      <w:r>
        <w:t>Kaip teigia Maddala (1987</w:t>
      </w:r>
      <w:r w:rsidR="009A1AE3">
        <w:t>) pagrindinis pastarojo modelio privalumas yra tas, kad rezultatui apskaičiuoti panaudojama mažiau laisvės laipsnių, individualūs skirtumai yra labiau laikytini atsitiktiniais nei fiksuotais ar apskaičiuojamais</w:t>
      </w:r>
      <w:r w:rsidR="000803D8">
        <w:t>, tuo tarpu parametrai gali būti apskaičiuojami ir nekintamiems nuo laiko regresoriams (Atkins, 2012)</w:t>
      </w:r>
      <w:r w:rsidR="009A1AE3">
        <w:t xml:space="preserve">. </w:t>
      </w:r>
      <w:r w:rsidR="00076718">
        <w:t xml:space="preserve">Remiantis Atkins (2012), </w:t>
      </w:r>
      <w:r w:rsidR="00076718" w:rsidRPr="00076718">
        <w:rPr>
          <w:i/>
        </w:rPr>
        <w:t>a</w:t>
      </w:r>
      <w:r w:rsidR="009A1AE3" w:rsidRPr="00076718">
        <w:rPr>
          <w:i/>
        </w:rPr>
        <w:t>tsitiktinio efekto</w:t>
      </w:r>
      <w:r w:rsidR="009A1AE3">
        <w:t xml:space="preserve"> modelis taip pat turi neigiamą savybę – modelis reikalauja, kad ne</w:t>
      </w:r>
      <w:r w:rsidR="001E62B6">
        <w:t>e</w:t>
      </w:r>
      <w:r w:rsidR="009A1AE3">
        <w:t xml:space="preserve">gzistuotų koreliacija tarp regresijos narių </w:t>
      </w:r>
      <w:r w:rsidR="009A1AE3" w:rsidRPr="007037A9">
        <w:rPr>
          <w:i/>
        </w:rPr>
        <w:t>x</w:t>
      </w:r>
      <w:r w:rsidR="009A1AE3" w:rsidRPr="007037A9">
        <w:rPr>
          <w:i/>
          <w:vertAlign w:val="subscript"/>
        </w:rPr>
        <w:t>it</w:t>
      </w:r>
      <w:r w:rsidR="009A1AE3">
        <w:t xml:space="preserve"> ir </w:t>
      </w:r>
      <w:r w:rsidR="009A1AE3" w:rsidRPr="007037A9">
        <w:rPr>
          <w:i/>
        </w:rPr>
        <w:t>e</w:t>
      </w:r>
      <w:r w:rsidR="009A1AE3" w:rsidRPr="007037A9">
        <w:rPr>
          <w:i/>
          <w:vertAlign w:val="subscript"/>
        </w:rPr>
        <w:t>it</w:t>
      </w:r>
      <w:r w:rsidR="009A1AE3">
        <w:t xml:space="preserve"> (tokiu atveju turi būti atliekamas </w:t>
      </w:r>
      <w:r w:rsidR="009A1AE3" w:rsidRPr="00D23D64">
        <w:rPr>
          <w:i/>
        </w:rPr>
        <w:t>Hausman testas</w:t>
      </w:r>
      <w:r w:rsidR="00AD4EB5">
        <w:rPr>
          <w:i/>
        </w:rPr>
        <w:t xml:space="preserve">, </w:t>
      </w:r>
      <w:r w:rsidR="00AD4EB5" w:rsidRPr="00AD4EB5">
        <w:t xml:space="preserve">toliau žr. </w:t>
      </w:r>
      <w:fldSimple w:instr=" REF _Ref343119654 \r \h  \* MERGEFORMAT ">
        <w:r w:rsidR="0009577F">
          <w:t>2.3.4</w:t>
        </w:r>
      </w:fldSimple>
      <w:r w:rsidR="00AD4EB5" w:rsidRPr="00AD4EB5">
        <w:t xml:space="preserve"> skyri</w:t>
      </w:r>
      <w:r w:rsidR="00AD4EB5">
        <w:t>ų</w:t>
      </w:r>
      <w:r w:rsidR="009A1AE3">
        <w:t>)</w:t>
      </w:r>
      <w:r w:rsidR="00076718">
        <w:t>.</w:t>
      </w:r>
    </w:p>
    <w:p w:rsidR="00AD4EB5" w:rsidRDefault="00AD4EB5" w:rsidP="000803D8">
      <w:r w:rsidRPr="00D23D64">
        <w:t xml:space="preserve">Regresinio modelio parametrai </w:t>
      </w:r>
      <w:r w:rsidRPr="00D23D64">
        <w:rPr>
          <w:i/>
        </w:rPr>
        <w:t>β</w:t>
      </w:r>
      <w:r>
        <w:rPr>
          <w:i/>
        </w:rPr>
        <w:t xml:space="preserve"> </w:t>
      </w:r>
      <w:r w:rsidRPr="002307FC">
        <w:t>empirinėje šio darbo dalyje</w:t>
      </w:r>
      <w:r w:rsidRPr="00D23D64">
        <w:rPr>
          <w:i/>
        </w:rPr>
        <w:t xml:space="preserve"> </w:t>
      </w:r>
      <w:r w:rsidRPr="00D23D64">
        <w:t>bus</w:t>
      </w:r>
      <w:r w:rsidRPr="00D23D64">
        <w:rPr>
          <w:i/>
        </w:rPr>
        <w:t xml:space="preserve"> </w:t>
      </w:r>
      <w:r w:rsidRPr="00D23D64">
        <w:t xml:space="preserve">surandami pritaikius </w:t>
      </w:r>
      <w:r w:rsidRPr="00142942">
        <w:rPr>
          <w:i/>
        </w:rPr>
        <w:t xml:space="preserve">fiksuoto ir atsitiktinio efekto </w:t>
      </w:r>
      <w:r w:rsidRPr="00D23D64">
        <w:t>skaičiavimo metodiką, kuri</w:t>
      </w:r>
      <w:r>
        <w:t xml:space="preserve">a remiantis atlikti dauguma daugiakriterinių tyrimų, </w:t>
      </w:r>
      <w:r>
        <w:lastRenderedPageBreak/>
        <w:t>teorinėje darbo dalyje analizuotoje mokslinėje literatūroje. T</w:t>
      </w:r>
      <w:r w:rsidRPr="00D23D64">
        <w:t>ikimasi, jog modeliuojamą reiškinį apibrėžiantis modelis atitinkamai reprezentuos faktinę padėtį, jei modelio liekana bus pati mažiausia.</w:t>
      </w:r>
    </w:p>
    <w:p w:rsidR="009A1AE3" w:rsidRPr="00AD4EB5" w:rsidRDefault="00995FB0" w:rsidP="000803D8">
      <w:r>
        <w:t>Pasak Maddala (1987</w:t>
      </w:r>
      <w:r w:rsidR="009A1AE3">
        <w:t>) pasirinkimas tarp dviejų efektų modelių turi priklausyti nuo n</w:t>
      </w:r>
      <w:r w:rsidR="00AD4EB5">
        <w:t xml:space="preserve">umanomo statistinio įvertinimo </w:t>
      </w:r>
      <w:r w:rsidR="009A1AE3">
        <w:t xml:space="preserve">ypatybių. </w:t>
      </w:r>
      <w:r w:rsidR="000803D8">
        <w:t xml:space="preserve">Daugelyje daugiakriterinių dividendų politikos tyrimų naudotos būtent šios technikos (OLS – tik atskirais atvejais). </w:t>
      </w:r>
      <w:r w:rsidR="009A1AE3">
        <w:t xml:space="preserve">Khan </w:t>
      </w:r>
      <w:r w:rsidR="00AD4EB5">
        <w:t>et al.</w:t>
      </w:r>
      <w:r w:rsidR="009A1AE3">
        <w:t xml:space="preserve"> (2011), Bougatef (2011) atliktų mokslinių tyrimų rezultatai rodo, jog efektyvesni rezultatai pasiekti remiantis </w:t>
      </w:r>
      <w:r w:rsidR="009A1AE3" w:rsidRPr="00AD4EB5">
        <w:rPr>
          <w:i/>
        </w:rPr>
        <w:t>fiksuoto efekto</w:t>
      </w:r>
      <w:r w:rsidR="009A1AE3">
        <w:t xml:space="preserve"> modeliu. Tuo tarpu Khan (2012) tyrimo rezultatai buvo tikslesni</w:t>
      </w:r>
      <w:r w:rsidR="007037A9">
        <w:t>, gauti</w:t>
      </w:r>
      <w:r w:rsidR="009A1AE3">
        <w:t xml:space="preserve"> </w:t>
      </w:r>
      <w:r w:rsidR="009A1AE3" w:rsidRPr="00AD4EB5">
        <w:rPr>
          <w:i/>
        </w:rPr>
        <w:t>atsitiktinio efekto</w:t>
      </w:r>
      <w:r w:rsidR="009A1AE3">
        <w:t xml:space="preserve"> metodu.</w:t>
      </w:r>
      <w:r w:rsidR="00617B32">
        <w:t xml:space="preserve"> Rezultatų tikslumą </w:t>
      </w:r>
      <w:r w:rsidR="00AD4EB5">
        <w:t xml:space="preserve">minėti </w:t>
      </w:r>
      <w:r w:rsidR="00617B32">
        <w:t>autoriai apskaičiavo</w:t>
      </w:r>
      <w:r w:rsidR="007037A9">
        <w:t xml:space="preserve"> </w:t>
      </w:r>
      <w:r w:rsidR="00C5726A">
        <w:t>naudojant</w:t>
      </w:r>
      <w:r w:rsidR="00D353C6">
        <w:t xml:space="preserve"> papildomą</w:t>
      </w:r>
      <w:r w:rsidR="008B2EB4">
        <w:t xml:space="preserve"> rizikos matą </w:t>
      </w:r>
      <w:r w:rsidR="00AD4EB5">
        <w:t>–</w:t>
      </w:r>
      <w:r w:rsidR="00C5726A">
        <w:t xml:space="preserve"> </w:t>
      </w:r>
      <w:r w:rsidR="007037A9" w:rsidRPr="00C5726A">
        <w:rPr>
          <w:i/>
        </w:rPr>
        <w:t>R</w:t>
      </w:r>
      <w:r w:rsidR="00AD4EB5">
        <w:rPr>
          <w:i/>
          <w:vertAlign w:val="superscript"/>
        </w:rPr>
        <w:t>2</w:t>
      </w:r>
      <w:r w:rsidR="00AD4EB5" w:rsidRPr="00AD4EB5">
        <w:t>, kur didesnė determinacijos koeficiento reikšmė rodo, jog modelis paaiškina didesnę variacijų proporciją (toliau</w:t>
      </w:r>
      <w:r w:rsidR="00AD4EB5">
        <w:t xml:space="preserve"> žr.</w:t>
      </w:r>
      <w:r w:rsidR="00AD4EB5" w:rsidRPr="00AD4EB5">
        <w:t xml:space="preserve"> </w:t>
      </w:r>
      <w:fldSimple w:instr=" REF _Ref343119654 \r \h  \* MERGEFORMAT ">
        <w:r w:rsidR="0009577F">
          <w:t>2.3.4</w:t>
        </w:r>
      </w:fldSimple>
      <w:r w:rsidR="00AD4EB5" w:rsidRPr="00AD4EB5">
        <w:t xml:space="preserve"> skyri</w:t>
      </w:r>
      <w:r w:rsidR="00AD4EB5">
        <w:t>ų</w:t>
      </w:r>
      <w:r w:rsidR="00AD4EB5" w:rsidRPr="00AD4EB5">
        <w:t>).</w:t>
      </w:r>
    </w:p>
    <w:p w:rsidR="00912AB5" w:rsidRDefault="00912AB5" w:rsidP="000803D8">
      <w:r>
        <w:t>Daugiakriterinio modelio</w:t>
      </w:r>
      <w:r w:rsidR="004E6B94">
        <w:t xml:space="preserve"> standartizuotos reikšmės (svoriai) ir kiti</w:t>
      </w:r>
      <w:r>
        <w:t xml:space="preserve"> statistiniai skaičiavimai šiame darbe bus atliekami </w:t>
      </w:r>
      <w:r w:rsidR="004E6B94">
        <w:t xml:space="preserve">naudojantis </w:t>
      </w:r>
      <w:r>
        <w:t>statistinės duomenų analizės paketu GRETL®.</w:t>
      </w:r>
    </w:p>
    <w:p w:rsidR="001E3A9E" w:rsidRDefault="00142942" w:rsidP="00B64EEA">
      <w:pPr>
        <w:pStyle w:val="Heading3"/>
        <w:numPr>
          <w:ilvl w:val="0"/>
          <w:numId w:val="21"/>
        </w:numPr>
        <w:rPr>
          <w:rFonts w:eastAsiaTheme="majorEastAsia"/>
        </w:rPr>
      </w:pPr>
      <w:bookmarkStart w:id="75" w:name="_Ref343119654"/>
      <w:bookmarkStart w:id="76" w:name="_Toc343677755"/>
      <w:r>
        <w:t>Tyrimo kriterijų</w:t>
      </w:r>
      <w:r w:rsidR="00575760" w:rsidRPr="00575760">
        <w:t xml:space="preserve"> tarpusavio koreliacijos įvertinimas</w:t>
      </w:r>
      <w:r>
        <w:t xml:space="preserve"> ir rezultatų interpretavimas</w:t>
      </w:r>
      <w:bookmarkEnd w:id="75"/>
      <w:bookmarkEnd w:id="76"/>
    </w:p>
    <w:p w:rsidR="009A1AE3" w:rsidRPr="00575760" w:rsidRDefault="00575760" w:rsidP="00575760">
      <w:pPr>
        <w:rPr>
          <w:rFonts w:eastAsiaTheme="majorEastAsia"/>
          <w:b/>
        </w:rPr>
      </w:pPr>
      <w:r>
        <w:rPr>
          <w:rFonts w:eastAsiaTheme="majorEastAsia"/>
          <w:b/>
        </w:rPr>
        <w:t xml:space="preserve"> </w:t>
      </w:r>
      <w:r w:rsidR="000B281A" w:rsidRPr="000B281A">
        <w:rPr>
          <w:rFonts w:eastAsiaTheme="majorEastAsia"/>
        </w:rPr>
        <w:t>K</w:t>
      </w:r>
      <w:r w:rsidR="009A1AE3" w:rsidRPr="00575760">
        <w:t xml:space="preserve">oreliacijos koeficientas nusako ryšio stiprumą lyginant tarpusavyje </w:t>
      </w:r>
      <w:r w:rsidR="000B281A">
        <w:t>keletą skirtingų</w:t>
      </w:r>
      <w:r w:rsidR="009A1AE3" w:rsidRPr="00575760">
        <w:t xml:space="preserve"> </w:t>
      </w:r>
      <w:r w:rsidR="000B281A">
        <w:t>faktorių</w:t>
      </w:r>
      <w:r w:rsidR="009A1AE3" w:rsidRPr="00575760">
        <w:t xml:space="preserve">. </w:t>
      </w:r>
      <w:r w:rsidR="0070202A">
        <w:t>Tarpusavio sąveikos</w:t>
      </w:r>
      <w:r w:rsidR="009A1AE3" w:rsidRPr="00575760">
        <w:t xml:space="preserve"> rizika laikoma mažesne, kuomet koreliacijos koeficientas yra mažesnis</w:t>
      </w:r>
      <w:r w:rsidR="000B281A" w:rsidRPr="000B281A">
        <w:t xml:space="preserve"> </w:t>
      </w:r>
      <w:r w:rsidR="000B281A">
        <w:t xml:space="preserve">(Daujotė, Piniauskaitė, </w:t>
      </w:r>
      <w:r w:rsidR="000B281A" w:rsidRPr="00575760">
        <w:t>2009</w:t>
      </w:r>
      <w:r w:rsidR="000B281A">
        <w:t>)</w:t>
      </w:r>
      <w:r w:rsidR="009A1AE3" w:rsidRPr="00575760">
        <w:t>. Analitinėje darbo dalyje bus įvertintos gautų koreliacijos koeficient</w:t>
      </w:r>
      <w:r w:rsidR="0070202A">
        <w:t>ų reikšmės, remiantis mokslinėje literatūroje naudojamomis reikšmių interpretacijomi</w:t>
      </w:r>
      <w:r w:rsidR="009A1AE3" w:rsidRPr="00575760">
        <w:t xml:space="preserve">s (žr. </w:t>
      </w:r>
      <w:r w:rsidR="00707DF4">
        <w:t>10 lent.</w:t>
      </w:r>
      <w:r w:rsidR="009A1AE3" w:rsidRPr="00575760">
        <w:t>).</w:t>
      </w:r>
      <w:r w:rsidR="009A1AE3">
        <w:t xml:space="preserve"> </w:t>
      </w:r>
    </w:p>
    <w:p w:rsidR="00835B09" w:rsidRDefault="00835B09" w:rsidP="00835B09">
      <w:pPr>
        <w:pStyle w:val="Caption"/>
      </w:pPr>
      <w:bookmarkStart w:id="77" w:name="_Ref339213416"/>
      <w:bookmarkStart w:id="78" w:name="_Toc343677828"/>
      <w:r>
        <w:t>Koreliacinio ryšio</w:t>
      </w:r>
      <w:r w:rsidR="00617B32">
        <w:t xml:space="preserve"> reikšmės ir</w:t>
      </w:r>
      <w:r w:rsidR="00A8316B">
        <w:t xml:space="preserve"> </w:t>
      </w:r>
      <w:r>
        <w:t>kokybinė</w:t>
      </w:r>
      <w:r w:rsidR="00A8316B">
        <w:t xml:space="preserve"> </w:t>
      </w:r>
      <w:r>
        <w:t>interpretacija</w:t>
      </w:r>
      <w:bookmarkEnd w:id="77"/>
      <w:bookmarkEnd w:id="78"/>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379"/>
        <w:gridCol w:w="3959"/>
      </w:tblGrid>
      <w:tr w:rsidR="009A1AE3" w:rsidTr="00617B32">
        <w:trPr>
          <w:jc w:val="center"/>
        </w:trPr>
        <w:tc>
          <w:tcPr>
            <w:tcW w:w="3379" w:type="dxa"/>
            <w:vAlign w:val="center"/>
          </w:tcPr>
          <w:p w:rsidR="009A1AE3" w:rsidRPr="00B52CA2" w:rsidRDefault="009A1AE3" w:rsidP="00617B32">
            <w:pPr>
              <w:spacing w:before="0" w:line="240" w:lineRule="auto"/>
              <w:ind w:firstLine="0"/>
              <w:jc w:val="center"/>
              <w:rPr>
                <w:b/>
              </w:rPr>
            </w:pPr>
            <w:r w:rsidRPr="00B52CA2">
              <w:rPr>
                <w:b/>
              </w:rPr>
              <w:t>Koreliacinio koeficiento reikšmės</w:t>
            </w:r>
          </w:p>
        </w:tc>
        <w:tc>
          <w:tcPr>
            <w:tcW w:w="3959" w:type="dxa"/>
            <w:vAlign w:val="center"/>
          </w:tcPr>
          <w:p w:rsidR="009A1AE3" w:rsidRPr="00B52CA2" w:rsidRDefault="009A1AE3" w:rsidP="00617B32">
            <w:pPr>
              <w:spacing w:before="0" w:line="240" w:lineRule="auto"/>
              <w:ind w:firstLine="0"/>
              <w:jc w:val="center"/>
              <w:rPr>
                <w:b/>
              </w:rPr>
            </w:pPr>
            <w:r w:rsidRPr="00B52CA2">
              <w:rPr>
                <w:b/>
              </w:rPr>
              <w:t>Reikšmių interpretacija</w:t>
            </w:r>
          </w:p>
        </w:tc>
      </w:tr>
      <w:tr w:rsidR="009A1AE3" w:rsidTr="00617B32">
        <w:trPr>
          <w:jc w:val="center"/>
        </w:trPr>
        <w:tc>
          <w:tcPr>
            <w:tcW w:w="3379" w:type="dxa"/>
            <w:vAlign w:val="center"/>
          </w:tcPr>
          <w:p w:rsidR="009A1AE3" w:rsidRPr="00B52CA2" w:rsidRDefault="009A1AE3" w:rsidP="00617B32">
            <w:pPr>
              <w:spacing w:before="0" w:line="240" w:lineRule="auto"/>
              <w:ind w:firstLine="0"/>
              <w:jc w:val="center"/>
              <w:rPr>
                <w:szCs w:val="24"/>
              </w:rPr>
            </w:pPr>
            <w:r w:rsidRPr="00B52CA2">
              <w:rPr>
                <w:szCs w:val="24"/>
              </w:rPr>
              <w:t xml:space="preserve">0  </w:t>
            </w:r>
            <w:r w:rsidRPr="00B52CA2">
              <w:rPr>
                <w:rFonts w:cs="Times New Roman"/>
                <w:szCs w:val="24"/>
              </w:rPr>
              <w:t>≤</w:t>
            </w:r>
            <w:r w:rsidRPr="00B52CA2">
              <w:rPr>
                <w:szCs w:val="24"/>
              </w:rPr>
              <w:t xml:space="preserve">  |p</w:t>
            </w:r>
            <w:r w:rsidRPr="00B52CA2">
              <w:rPr>
                <w:szCs w:val="24"/>
                <w:vertAlign w:val="subscript"/>
              </w:rPr>
              <w:t>ij</w:t>
            </w:r>
            <w:r w:rsidR="008B2EB4">
              <w:rPr>
                <w:szCs w:val="24"/>
              </w:rPr>
              <w:t>| &lt; 0,</w:t>
            </w:r>
            <w:r w:rsidRPr="00B52CA2">
              <w:rPr>
                <w:szCs w:val="24"/>
              </w:rPr>
              <w:t>2</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Nėra priklausomybės</w:t>
            </w:r>
          </w:p>
        </w:tc>
      </w:tr>
      <w:tr w:rsidR="009A1AE3" w:rsidTr="00617B32">
        <w:trPr>
          <w:jc w:val="center"/>
        </w:trPr>
        <w:tc>
          <w:tcPr>
            <w:tcW w:w="3379" w:type="dxa"/>
            <w:vAlign w:val="center"/>
          </w:tcPr>
          <w:p w:rsidR="009A1AE3" w:rsidRPr="00B52CA2" w:rsidRDefault="008B2EB4" w:rsidP="00617B32">
            <w:pPr>
              <w:spacing w:before="0" w:line="240" w:lineRule="auto"/>
              <w:ind w:firstLine="0"/>
              <w:jc w:val="center"/>
              <w:rPr>
                <w:szCs w:val="24"/>
              </w:rPr>
            </w:pPr>
            <w:r>
              <w:rPr>
                <w:szCs w:val="24"/>
              </w:rPr>
              <w:t>0,</w:t>
            </w:r>
            <w:r w:rsidR="009A1AE3" w:rsidRPr="00B52CA2">
              <w:rPr>
                <w:szCs w:val="24"/>
              </w:rPr>
              <w:t xml:space="preserve">2  </w:t>
            </w:r>
            <w:r w:rsidR="009A1AE3" w:rsidRPr="00B52CA2">
              <w:rPr>
                <w:rFonts w:cs="Times New Roman"/>
                <w:szCs w:val="24"/>
              </w:rPr>
              <w:t>≤</w:t>
            </w:r>
            <w:r w:rsidR="009A1AE3" w:rsidRPr="00B52CA2">
              <w:rPr>
                <w:szCs w:val="24"/>
              </w:rPr>
              <w:t xml:space="preserve">  |p</w:t>
            </w:r>
            <w:r w:rsidR="009A1AE3" w:rsidRPr="00B52CA2">
              <w:rPr>
                <w:szCs w:val="24"/>
                <w:vertAlign w:val="subscript"/>
              </w:rPr>
              <w:t>ij</w:t>
            </w:r>
            <w:r>
              <w:rPr>
                <w:szCs w:val="24"/>
              </w:rPr>
              <w:t>| &lt; 0,</w:t>
            </w:r>
            <w:r w:rsidR="009A1AE3" w:rsidRPr="00B52CA2">
              <w:rPr>
                <w:szCs w:val="24"/>
              </w:rPr>
              <w:t>4</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Silpna priklausomybė</w:t>
            </w:r>
          </w:p>
        </w:tc>
      </w:tr>
      <w:tr w:rsidR="009A1AE3" w:rsidTr="00617B32">
        <w:trPr>
          <w:jc w:val="center"/>
        </w:trPr>
        <w:tc>
          <w:tcPr>
            <w:tcW w:w="3379" w:type="dxa"/>
            <w:vAlign w:val="center"/>
          </w:tcPr>
          <w:p w:rsidR="009A1AE3" w:rsidRPr="00B52CA2" w:rsidRDefault="008B2EB4" w:rsidP="00617B32">
            <w:pPr>
              <w:spacing w:before="0" w:line="240" w:lineRule="auto"/>
              <w:ind w:firstLine="0"/>
              <w:jc w:val="center"/>
              <w:rPr>
                <w:szCs w:val="24"/>
              </w:rPr>
            </w:pPr>
            <w:r>
              <w:rPr>
                <w:szCs w:val="24"/>
              </w:rPr>
              <w:t>0,</w:t>
            </w:r>
            <w:r w:rsidR="009A1AE3" w:rsidRPr="00B52CA2">
              <w:rPr>
                <w:szCs w:val="24"/>
              </w:rPr>
              <w:t xml:space="preserve">4  </w:t>
            </w:r>
            <w:r w:rsidR="009A1AE3" w:rsidRPr="00B52CA2">
              <w:rPr>
                <w:rFonts w:cs="Times New Roman"/>
                <w:szCs w:val="24"/>
              </w:rPr>
              <w:t>≤</w:t>
            </w:r>
            <w:r w:rsidR="009A1AE3" w:rsidRPr="00B52CA2">
              <w:rPr>
                <w:szCs w:val="24"/>
              </w:rPr>
              <w:t xml:space="preserve">  |p</w:t>
            </w:r>
            <w:r w:rsidR="009A1AE3" w:rsidRPr="00B52CA2">
              <w:rPr>
                <w:szCs w:val="24"/>
                <w:vertAlign w:val="subscript"/>
              </w:rPr>
              <w:t>ij</w:t>
            </w:r>
            <w:r>
              <w:rPr>
                <w:szCs w:val="24"/>
              </w:rPr>
              <w:t>| &lt; 0,</w:t>
            </w:r>
            <w:r w:rsidR="009A1AE3" w:rsidRPr="00B52CA2">
              <w:rPr>
                <w:szCs w:val="24"/>
              </w:rPr>
              <w:t>7</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Vidutinio stiprumo priklausomybė</w:t>
            </w:r>
          </w:p>
        </w:tc>
      </w:tr>
      <w:tr w:rsidR="009A1AE3" w:rsidTr="00617B32">
        <w:trPr>
          <w:jc w:val="center"/>
        </w:trPr>
        <w:tc>
          <w:tcPr>
            <w:tcW w:w="3379" w:type="dxa"/>
            <w:vAlign w:val="center"/>
          </w:tcPr>
          <w:p w:rsidR="009A1AE3" w:rsidRPr="00B52CA2" w:rsidRDefault="008B2EB4" w:rsidP="00617B32">
            <w:pPr>
              <w:spacing w:before="0" w:line="240" w:lineRule="auto"/>
              <w:ind w:firstLine="0"/>
              <w:jc w:val="center"/>
              <w:rPr>
                <w:szCs w:val="24"/>
              </w:rPr>
            </w:pPr>
            <w:r>
              <w:rPr>
                <w:szCs w:val="24"/>
              </w:rPr>
              <w:t>0,</w:t>
            </w:r>
            <w:r w:rsidR="009A1AE3" w:rsidRPr="00B52CA2">
              <w:rPr>
                <w:szCs w:val="24"/>
              </w:rPr>
              <w:t xml:space="preserve">7  </w:t>
            </w:r>
            <w:r w:rsidR="009A1AE3" w:rsidRPr="00B52CA2">
              <w:rPr>
                <w:rFonts w:cs="Times New Roman"/>
                <w:szCs w:val="24"/>
              </w:rPr>
              <w:t>≤</w:t>
            </w:r>
            <w:r w:rsidR="009A1AE3" w:rsidRPr="00B52CA2">
              <w:rPr>
                <w:szCs w:val="24"/>
              </w:rPr>
              <w:t xml:space="preserve">  |p</w:t>
            </w:r>
            <w:r w:rsidR="009A1AE3" w:rsidRPr="00B52CA2">
              <w:rPr>
                <w:szCs w:val="24"/>
                <w:vertAlign w:val="subscript"/>
              </w:rPr>
              <w:t>ij</w:t>
            </w:r>
            <w:r>
              <w:rPr>
                <w:szCs w:val="24"/>
              </w:rPr>
              <w:t>| &lt; 0,</w:t>
            </w:r>
            <w:r w:rsidR="009A1AE3" w:rsidRPr="00B52CA2">
              <w:rPr>
                <w:szCs w:val="24"/>
              </w:rPr>
              <w:t>85</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Stipri priklausomybė</w:t>
            </w:r>
          </w:p>
        </w:tc>
      </w:tr>
      <w:tr w:rsidR="009A1AE3" w:rsidTr="00617B32">
        <w:trPr>
          <w:jc w:val="center"/>
        </w:trPr>
        <w:tc>
          <w:tcPr>
            <w:tcW w:w="3379" w:type="dxa"/>
            <w:vAlign w:val="center"/>
          </w:tcPr>
          <w:p w:rsidR="009A1AE3" w:rsidRPr="00B52CA2" w:rsidRDefault="008B2EB4" w:rsidP="00617B32">
            <w:pPr>
              <w:spacing w:before="0" w:line="240" w:lineRule="auto"/>
              <w:ind w:firstLine="0"/>
              <w:jc w:val="center"/>
              <w:rPr>
                <w:szCs w:val="24"/>
              </w:rPr>
            </w:pPr>
            <w:r>
              <w:rPr>
                <w:szCs w:val="24"/>
              </w:rPr>
              <w:t>0,</w:t>
            </w:r>
            <w:r w:rsidR="009A1AE3" w:rsidRPr="00B52CA2">
              <w:rPr>
                <w:szCs w:val="24"/>
              </w:rPr>
              <w:t xml:space="preserve">85  </w:t>
            </w:r>
            <w:r w:rsidR="009A1AE3" w:rsidRPr="00B52CA2">
              <w:rPr>
                <w:rFonts w:cs="Times New Roman"/>
                <w:szCs w:val="24"/>
              </w:rPr>
              <w:t>≤</w:t>
            </w:r>
            <w:r w:rsidR="009A1AE3" w:rsidRPr="00B52CA2">
              <w:rPr>
                <w:szCs w:val="24"/>
              </w:rPr>
              <w:t xml:space="preserve">  |p</w:t>
            </w:r>
            <w:r w:rsidR="009A1AE3" w:rsidRPr="00B52CA2">
              <w:rPr>
                <w:szCs w:val="24"/>
                <w:vertAlign w:val="subscript"/>
              </w:rPr>
              <w:t>ij</w:t>
            </w:r>
            <w:r w:rsidR="009A1AE3" w:rsidRPr="00B52CA2">
              <w:rPr>
                <w:szCs w:val="24"/>
              </w:rPr>
              <w:t>| &lt; 1</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Labai stipri priklausomybė</w:t>
            </w:r>
          </w:p>
        </w:tc>
      </w:tr>
      <w:tr w:rsidR="009A1AE3" w:rsidTr="00617B32">
        <w:trPr>
          <w:jc w:val="center"/>
        </w:trPr>
        <w:tc>
          <w:tcPr>
            <w:tcW w:w="3379" w:type="dxa"/>
            <w:vAlign w:val="center"/>
          </w:tcPr>
          <w:p w:rsidR="009A1AE3" w:rsidRPr="00B52CA2" w:rsidRDefault="009A1AE3" w:rsidP="00617B32">
            <w:pPr>
              <w:spacing w:before="0" w:line="240" w:lineRule="auto"/>
              <w:ind w:firstLine="0"/>
              <w:jc w:val="center"/>
              <w:rPr>
                <w:szCs w:val="24"/>
                <w:lang w:val="en-US"/>
              </w:rPr>
            </w:pPr>
            <w:r w:rsidRPr="00B52CA2">
              <w:rPr>
                <w:szCs w:val="24"/>
              </w:rPr>
              <w:t>|p</w:t>
            </w:r>
            <w:r w:rsidRPr="00B52CA2">
              <w:rPr>
                <w:szCs w:val="24"/>
                <w:vertAlign w:val="subscript"/>
              </w:rPr>
              <w:t>ij</w:t>
            </w:r>
            <w:r w:rsidRPr="00B52CA2">
              <w:rPr>
                <w:szCs w:val="24"/>
              </w:rPr>
              <w:t xml:space="preserve">| </w:t>
            </w:r>
            <w:r w:rsidRPr="00B52CA2">
              <w:rPr>
                <w:szCs w:val="24"/>
                <w:lang w:val="en-US"/>
              </w:rPr>
              <w:t>= 1</w:t>
            </w:r>
          </w:p>
        </w:tc>
        <w:tc>
          <w:tcPr>
            <w:tcW w:w="3959" w:type="dxa"/>
            <w:vAlign w:val="center"/>
          </w:tcPr>
          <w:p w:rsidR="009A1AE3" w:rsidRPr="00B52CA2" w:rsidRDefault="009A1AE3" w:rsidP="00617B32">
            <w:pPr>
              <w:spacing w:before="0" w:line="240" w:lineRule="auto"/>
              <w:ind w:firstLine="0"/>
              <w:jc w:val="center"/>
              <w:rPr>
                <w:szCs w:val="24"/>
              </w:rPr>
            </w:pPr>
            <w:r w:rsidRPr="00B52CA2">
              <w:rPr>
                <w:szCs w:val="24"/>
              </w:rPr>
              <w:t>Funkcinė priklausomybė</w:t>
            </w:r>
          </w:p>
        </w:tc>
      </w:tr>
    </w:tbl>
    <w:p w:rsidR="00B52CA2" w:rsidRPr="003D34C3" w:rsidRDefault="00B52CA2" w:rsidP="003D34C3">
      <w:pPr>
        <w:ind w:firstLine="1296"/>
        <w:rPr>
          <w:sz w:val="20"/>
          <w:szCs w:val="20"/>
        </w:rPr>
      </w:pPr>
      <w:r w:rsidRPr="003D34C3">
        <w:rPr>
          <w:b/>
          <w:sz w:val="20"/>
          <w:szCs w:val="20"/>
        </w:rPr>
        <w:t>Šaltinis:</w:t>
      </w:r>
      <w:r w:rsidRPr="003D34C3">
        <w:rPr>
          <w:sz w:val="20"/>
          <w:szCs w:val="20"/>
        </w:rPr>
        <w:t xml:space="preserve"> Daujotė, Piniauskaitė (2009), p. 36</w:t>
      </w:r>
      <w:r w:rsidR="00835B09" w:rsidRPr="003D34C3">
        <w:rPr>
          <w:sz w:val="20"/>
          <w:szCs w:val="20"/>
        </w:rPr>
        <w:t>.</w:t>
      </w:r>
    </w:p>
    <w:p w:rsidR="0045456E" w:rsidRDefault="00050FDA" w:rsidP="00912AB5">
      <w:pPr>
        <w:spacing w:before="240"/>
        <w:rPr>
          <w:rStyle w:val="SubtleEmphasis"/>
          <w:rFonts w:cs="Times New Roman"/>
          <w:i w:val="0"/>
          <w:iCs w:val="0"/>
          <w:color w:val="auto"/>
        </w:rPr>
      </w:pPr>
      <w:r>
        <w:rPr>
          <w:rStyle w:val="SubtleEmphasis"/>
          <w:i w:val="0"/>
          <w:iCs w:val="0"/>
          <w:color w:val="auto"/>
        </w:rPr>
        <w:t>Kadangi</w:t>
      </w:r>
      <w:r w:rsidR="0045456E">
        <w:rPr>
          <w:rStyle w:val="SubtleEmphasis"/>
          <w:i w:val="0"/>
          <w:iCs w:val="0"/>
          <w:color w:val="auto"/>
        </w:rPr>
        <w:t>, pasak Bougatef (2011),</w:t>
      </w:r>
      <w:r>
        <w:rPr>
          <w:rStyle w:val="SubtleEmphasis"/>
          <w:i w:val="0"/>
          <w:iCs w:val="0"/>
          <w:color w:val="auto"/>
        </w:rPr>
        <w:t xml:space="preserve"> </w:t>
      </w:r>
      <w:r w:rsidRPr="00EC62C9">
        <w:rPr>
          <w:rStyle w:val="SubtleEmphasis"/>
          <w:iCs w:val="0"/>
          <w:color w:val="auto"/>
        </w:rPr>
        <w:t>fiksuoto efekto</w:t>
      </w:r>
      <w:r>
        <w:rPr>
          <w:rStyle w:val="SubtleEmphasis"/>
          <w:i w:val="0"/>
          <w:iCs w:val="0"/>
          <w:color w:val="auto"/>
        </w:rPr>
        <w:t xml:space="preserve"> atveju laikoma, jog </w:t>
      </w:r>
      <w:r>
        <w:rPr>
          <w:rStyle w:val="SubtleEmphasis"/>
          <w:rFonts w:cs="Times New Roman"/>
          <w:i w:val="0"/>
          <w:iCs w:val="0"/>
          <w:color w:val="auto"/>
        </w:rPr>
        <w:t>α</w:t>
      </w:r>
      <w:r>
        <w:rPr>
          <w:rStyle w:val="SubtleEmphasis"/>
          <w:i w:val="0"/>
          <w:iCs w:val="0"/>
          <w:color w:val="auto"/>
          <w:vertAlign w:val="subscript"/>
        </w:rPr>
        <w:t xml:space="preserve">i </w:t>
      </w:r>
      <w:r>
        <w:rPr>
          <w:rStyle w:val="SubtleEmphasis"/>
          <w:i w:val="0"/>
          <w:iCs w:val="0"/>
          <w:color w:val="auto"/>
        </w:rPr>
        <w:t xml:space="preserve">yra specifinis tam tikrai analizuojamai grupei būdingas </w:t>
      </w:r>
      <w:r w:rsidR="004A3D7F">
        <w:rPr>
          <w:rStyle w:val="SubtleEmphasis"/>
          <w:i w:val="0"/>
          <w:iCs w:val="0"/>
          <w:color w:val="auto"/>
        </w:rPr>
        <w:t>įvykis</w:t>
      </w:r>
      <w:r>
        <w:rPr>
          <w:rStyle w:val="SubtleEmphasis"/>
          <w:i w:val="0"/>
          <w:iCs w:val="0"/>
          <w:color w:val="auto"/>
        </w:rPr>
        <w:t xml:space="preserve">, o </w:t>
      </w:r>
      <w:r w:rsidRPr="00EC62C9">
        <w:rPr>
          <w:rStyle w:val="SubtleEmphasis"/>
          <w:iCs w:val="0"/>
          <w:color w:val="auto"/>
        </w:rPr>
        <w:t>atsitiktinio efekto</w:t>
      </w:r>
      <w:r>
        <w:rPr>
          <w:rStyle w:val="SubtleEmphasis"/>
          <w:i w:val="0"/>
          <w:iCs w:val="0"/>
          <w:color w:val="auto"/>
        </w:rPr>
        <w:t xml:space="preserve"> atveju laikoma, jog </w:t>
      </w:r>
      <w:r>
        <w:rPr>
          <w:rStyle w:val="SubtleEmphasis"/>
          <w:rFonts w:cs="Times New Roman"/>
          <w:i w:val="0"/>
          <w:iCs w:val="0"/>
          <w:color w:val="auto"/>
        </w:rPr>
        <w:t>α</w:t>
      </w:r>
      <w:r>
        <w:rPr>
          <w:rStyle w:val="SubtleEmphasis"/>
          <w:i w:val="0"/>
          <w:iCs w:val="0"/>
          <w:color w:val="auto"/>
          <w:vertAlign w:val="subscript"/>
        </w:rPr>
        <w:t xml:space="preserve">i </w:t>
      </w:r>
      <w:r w:rsidRPr="0045456E">
        <w:rPr>
          <w:rStyle w:val="SubtleEmphasis"/>
          <w:i w:val="0"/>
          <w:iCs w:val="0"/>
          <w:color w:val="auto"/>
        </w:rPr>
        <w:t>yra specifin</w:t>
      </w:r>
      <w:r w:rsidR="0045456E" w:rsidRPr="0045456E">
        <w:rPr>
          <w:rStyle w:val="SubtleEmphasis"/>
          <w:i w:val="0"/>
          <w:iCs w:val="0"/>
          <w:color w:val="auto"/>
        </w:rPr>
        <w:t>is</w:t>
      </w:r>
      <w:r w:rsidR="0045456E">
        <w:rPr>
          <w:rStyle w:val="SubtleEmphasis"/>
          <w:i w:val="0"/>
          <w:iCs w:val="0"/>
          <w:color w:val="auto"/>
          <w:vertAlign w:val="subscript"/>
        </w:rPr>
        <w:t xml:space="preserve"> </w:t>
      </w:r>
      <w:r w:rsidR="0045456E">
        <w:rPr>
          <w:rStyle w:val="SubtleEmphasis"/>
          <w:i w:val="0"/>
          <w:iCs w:val="0"/>
          <w:color w:val="auto"/>
        </w:rPr>
        <w:t>tam tikrai grupei būdingas tr</w:t>
      </w:r>
      <w:r w:rsidR="00EC62C9">
        <w:rPr>
          <w:rStyle w:val="SubtleEmphasis"/>
          <w:i w:val="0"/>
          <w:iCs w:val="0"/>
          <w:color w:val="auto"/>
        </w:rPr>
        <w:t>i</w:t>
      </w:r>
      <w:r w:rsidR="0045456E">
        <w:rPr>
          <w:rStyle w:val="SubtleEmphasis"/>
          <w:i w:val="0"/>
          <w:iCs w:val="0"/>
          <w:color w:val="auto"/>
        </w:rPr>
        <w:t xml:space="preserve">kdis, turi būti analizuojamas grupėms būdingų efektų reikšmingumo lygmuo. Tam, kad </w:t>
      </w:r>
      <w:r w:rsidR="004A3D7F">
        <w:rPr>
          <w:rStyle w:val="SubtleEmphasis"/>
          <w:i w:val="0"/>
          <w:iCs w:val="0"/>
          <w:color w:val="auto"/>
        </w:rPr>
        <w:t>patvirtinti</w:t>
      </w:r>
      <w:r w:rsidR="0045456E">
        <w:rPr>
          <w:rStyle w:val="SubtleEmphasis"/>
          <w:i w:val="0"/>
          <w:iCs w:val="0"/>
          <w:color w:val="auto"/>
        </w:rPr>
        <w:t xml:space="preserve"> efekto modelių</w:t>
      </w:r>
      <w:r w:rsidR="004A3D7F">
        <w:rPr>
          <w:rStyle w:val="SubtleEmphasis"/>
          <w:i w:val="0"/>
          <w:iCs w:val="0"/>
          <w:color w:val="auto"/>
        </w:rPr>
        <w:t xml:space="preserve"> statistinį reikšmingumą</w:t>
      </w:r>
      <w:r w:rsidR="0045456E">
        <w:rPr>
          <w:rStyle w:val="SubtleEmphasis"/>
          <w:i w:val="0"/>
          <w:iCs w:val="0"/>
          <w:color w:val="auto"/>
        </w:rPr>
        <w:t xml:space="preserve">, reikia atlikti homogeniškumo testą, kad nustatyti </w:t>
      </w:r>
      <w:r w:rsidR="004A3D7F">
        <w:rPr>
          <w:rStyle w:val="SubtleEmphasis"/>
          <w:i w:val="0"/>
          <w:iCs w:val="0"/>
          <w:color w:val="auto"/>
        </w:rPr>
        <w:t>grupių efektus, kuomet pradiniu atveju laikoma, jog įvykis yra būdingas visoms grupėms (</w:t>
      </w:r>
      <w:r w:rsidR="004A3D7F">
        <w:rPr>
          <w:rStyle w:val="SubtleEmphasis"/>
          <w:rFonts w:cs="Times New Roman"/>
          <w:i w:val="0"/>
          <w:iCs w:val="0"/>
          <w:color w:val="auto"/>
        </w:rPr>
        <w:t>α)</w:t>
      </w:r>
      <w:r w:rsidR="0045456E">
        <w:rPr>
          <w:rStyle w:val="SubtleEmphasis"/>
          <w:i w:val="0"/>
          <w:iCs w:val="0"/>
          <w:color w:val="auto"/>
        </w:rPr>
        <w:t>. Homogeniškumo hipotezė gali būti suformuluota sekančiai:</w:t>
      </w:r>
      <w:r w:rsidR="004A3D7F">
        <w:rPr>
          <w:rStyle w:val="SubtleEmphasis"/>
          <w:i w:val="0"/>
          <w:iCs w:val="0"/>
          <w:color w:val="auto"/>
        </w:rPr>
        <w:t xml:space="preserve"> </w:t>
      </w:r>
      <w:r w:rsidR="0045456E" w:rsidRPr="0006747A">
        <w:rPr>
          <w:rStyle w:val="SubtleEmphasis"/>
          <w:iCs w:val="0"/>
          <w:color w:val="auto"/>
        </w:rPr>
        <w:t>H</w:t>
      </w:r>
      <w:r w:rsidR="0045456E" w:rsidRPr="0006747A">
        <w:rPr>
          <w:rStyle w:val="SubtleEmphasis"/>
          <w:iCs w:val="0"/>
          <w:color w:val="auto"/>
          <w:vertAlign w:val="subscript"/>
        </w:rPr>
        <w:t>0</w:t>
      </w:r>
      <w:r w:rsidR="0045456E" w:rsidRPr="0006747A">
        <w:rPr>
          <w:rStyle w:val="SubtleEmphasis"/>
          <w:iCs w:val="0"/>
          <w:color w:val="auto"/>
        </w:rPr>
        <w:t>:</w:t>
      </w:r>
      <w:r w:rsidR="004A3D7F" w:rsidRPr="0006747A">
        <w:rPr>
          <w:rStyle w:val="SubtleEmphasis"/>
          <w:iCs w:val="0"/>
          <w:color w:val="auto"/>
        </w:rPr>
        <w:t xml:space="preserve"> </w:t>
      </w:r>
      <w:r w:rsidR="0045456E" w:rsidRPr="0006747A">
        <w:rPr>
          <w:rStyle w:val="SubtleEmphasis"/>
          <w:iCs w:val="0"/>
          <w:color w:val="auto"/>
        </w:rPr>
        <w:t xml:space="preserve"> </w:t>
      </w:r>
      <w:r w:rsidR="004A3D7F" w:rsidRPr="0006747A">
        <w:rPr>
          <w:rStyle w:val="SubtleEmphasis"/>
          <w:rFonts w:cs="Times New Roman"/>
          <w:iCs w:val="0"/>
          <w:color w:val="auto"/>
        </w:rPr>
        <w:t>α</w:t>
      </w:r>
      <w:r w:rsidR="004A3D7F" w:rsidRPr="0006747A">
        <w:rPr>
          <w:rStyle w:val="SubtleEmphasis"/>
          <w:iCs w:val="0"/>
          <w:color w:val="auto"/>
          <w:vertAlign w:val="subscript"/>
        </w:rPr>
        <w:t xml:space="preserve">i </w:t>
      </w:r>
      <w:r w:rsidR="004A3D7F" w:rsidRPr="0006747A">
        <w:rPr>
          <w:rStyle w:val="SubtleEmphasis"/>
          <w:iCs w:val="0"/>
          <w:color w:val="auto"/>
          <w:vertAlign w:val="subscript"/>
          <w:lang w:val="en-US"/>
        </w:rPr>
        <w:t>=</w:t>
      </w:r>
      <w:r w:rsidR="004A3D7F" w:rsidRPr="0006747A">
        <w:rPr>
          <w:rStyle w:val="SubtleEmphasis"/>
          <w:iCs w:val="0"/>
          <w:color w:val="auto"/>
          <w:vertAlign w:val="subscript"/>
        </w:rPr>
        <w:t xml:space="preserve"> </w:t>
      </w:r>
      <w:r w:rsidR="004A3D7F" w:rsidRPr="0006747A">
        <w:rPr>
          <w:rStyle w:val="SubtleEmphasis"/>
          <w:rFonts w:cs="Times New Roman"/>
          <w:iCs w:val="0"/>
          <w:color w:val="auto"/>
        </w:rPr>
        <w:t>α</w:t>
      </w:r>
      <w:r w:rsidR="00931F3E">
        <w:rPr>
          <w:rStyle w:val="SubtleEmphasis"/>
          <w:rFonts w:cs="Times New Roman"/>
          <w:i w:val="0"/>
          <w:iCs w:val="0"/>
          <w:color w:val="auto"/>
        </w:rPr>
        <w:t xml:space="preserve">, tuomet pagal </w:t>
      </w:r>
      <w:r w:rsidR="004A3D7F">
        <w:rPr>
          <w:rStyle w:val="SubtleEmphasis"/>
          <w:rFonts w:cs="Times New Roman"/>
          <w:i w:val="0"/>
          <w:iCs w:val="0"/>
          <w:color w:val="auto"/>
        </w:rPr>
        <w:t>formulę</w:t>
      </w:r>
      <w:r w:rsidR="00931F3E">
        <w:rPr>
          <w:rStyle w:val="SubtleEmphasis"/>
          <w:rFonts w:cs="Times New Roman"/>
          <w:i w:val="0"/>
          <w:iCs w:val="0"/>
          <w:color w:val="auto"/>
        </w:rPr>
        <w:t xml:space="preserve"> (žr. (26) formulę)</w:t>
      </w:r>
      <w:r w:rsidR="004A3D7F">
        <w:rPr>
          <w:rStyle w:val="SubtleEmphasis"/>
          <w:rFonts w:cs="Times New Roman"/>
          <w:i w:val="0"/>
          <w:iCs w:val="0"/>
          <w:color w:val="auto"/>
        </w:rPr>
        <w:t xml:space="preserve"> apskaičiuojamas </w:t>
      </w:r>
      <w:r w:rsidR="004A3D7F" w:rsidRPr="00912AB5">
        <w:rPr>
          <w:rStyle w:val="SubtleEmphasis"/>
          <w:rFonts w:cs="Times New Roman"/>
          <w:iCs w:val="0"/>
          <w:color w:val="auto"/>
        </w:rPr>
        <w:t>Fisher</w:t>
      </w:r>
      <w:r w:rsidR="00912AB5">
        <w:rPr>
          <w:rStyle w:val="SubtleEmphasis"/>
          <w:rFonts w:cs="Times New Roman"/>
          <w:iCs w:val="0"/>
          <w:color w:val="auto"/>
        </w:rPr>
        <w:t xml:space="preserve"> (F)</w:t>
      </w:r>
      <w:r w:rsidR="004A3D7F">
        <w:rPr>
          <w:rStyle w:val="SubtleEmphasis"/>
          <w:rFonts w:cs="Times New Roman"/>
          <w:i w:val="0"/>
          <w:iCs w:val="0"/>
          <w:color w:val="auto"/>
        </w:rPr>
        <w:t xml:space="preserve"> kriterijus (Bougatef, 2011):</w:t>
      </w:r>
    </w:p>
    <w:p w:rsidR="004A3D7F" w:rsidRDefault="004A3D7F" w:rsidP="004A3D7F">
      <w:pPr>
        <w:ind w:firstLine="0"/>
        <w:jc w:val="center"/>
        <w:rPr>
          <w:rStyle w:val="SubtleEmphasis"/>
          <w:i w:val="0"/>
          <w:iCs w:val="0"/>
          <w:color w:val="auto"/>
        </w:rPr>
      </w:pPr>
      <m:oMath>
        <m:r>
          <w:rPr>
            <w:rStyle w:val="SubtleEmphasis"/>
            <w:rFonts w:ascii="Cambria Math" w:hAnsi="Cambria Math"/>
            <w:color w:val="auto"/>
          </w:rPr>
          <m:t>F</m:t>
        </m:r>
        <m:r>
          <w:rPr>
            <w:rStyle w:val="SubtleEmphasis"/>
            <w:rFonts w:ascii="Cambria Math" w:hAnsi="Cambria Math"/>
            <w:color w:val="auto"/>
            <w:lang w:val="en-US"/>
          </w:rPr>
          <m:t>=</m:t>
        </m:r>
        <m:f>
          <m:fPr>
            <m:ctrlPr>
              <w:rPr>
                <w:rStyle w:val="SubtleEmphasis"/>
                <w:rFonts w:ascii="Cambria Math" w:hAnsi="Cambria Math"/>
                <w:iCs w:val="0"/>
                <w:color w:val="auto"/>
              </w:rPr>
            </m:ctrlPr>
          </m:fPr>
          <m:num>
            <m:sSub>
              <m:sSubPr>
                <m:ctrlPr>
                  <w:rPr>
                    <w:rStyle w:val="SubtleEmphasis"/>
                    <w:rFonts w:ascii="Cambria Math" w:hAnsi="Cambria Math"/>
                    <w:iCs w:val="0"/>
                    <w:color w:val="auto"/>
                  </w:rPr>
                </m:ctrlPr>
              </m:sSubPr>
              <m:e>
                <m:r>
                  <w:rPr>
                    <w:rStyle w:val="SubtleEmphasis"/>
                    <w:rFonts w:ascii="Cambria Math" w:hAnsi="Cambria Math"/>
                    <w:color w:val="auto"/>
                  </w:rPr>
                  <m:t>SSE</m:t>
                </m:r>
              </m:e>
              <m:sub>
                <m:r>
                  <w:rPr>
                    <w:rStyle w:val="SubtleEmphasis"/>
                    <w:rFonts w:ascii="Cambria Math" w:hAnsi="Cambria Math"/>
                    <w:color w:val="auto"/>
                  </w:rPr>
                  <m:t>p</m:t>
                </m:r>
              </m:sub>
            </m:sSub>
            <m:r>
              <w:rPr>
                <w:rStyle w:val="SubtleEmphasis"/>
                <w:rFonts w:ascii="Cambria Math" w:hAnsi="Cambria Math"/>
                <w:color w:val="auto"/>
              </w:rPr>
              <m:t>-</m:t>
            </m:r>
            <m:sSub>
              <m:sSubPr>
                <m:ctrlPr>
                  <w:rPr>
                    <w:rStyle w:val="SubtleEmphasis"/>
                    <w:rFonts w:ascii="Cambria Math" w:hAnsi="Cambria Math"/>
                    <w:iCs w:val="0"/>
                    <w:color w:val="auto"/>
                  </w:rPr>
                </m:ctrlPr>
              </m:sSubPr>
              <m:e>
                <m:r>
                  <w:rPr>
                    <w:rStyle w:val="SubtleEmphasis"/>
                    <w:rFonts w:ascii="Cambria Math" w:hAnsi="Cambria Math"/>
                    <w:color w:val="auto"/>
                  </w:rPr>
                  <m:t>SSE</m:t>
                </m:r>
              </m:e>
              <m:sub>
                <m:r>
                  <w:rPr>
                    <w:rStyle w:val="SubtleEmphasis"/>
                    <w:rFonts w:ascii="Cambria Math" w:hAnsi="Cambria Math"/>
                    <w:color w:val="auto"/>
                  </w:rPr>
                  <m:t>W</m:t>
                </m:r>
              </m:sub>
            </m:sSub>
          </m:num>
          <m:den>
            <m:sSub>
              <m:sSubPr>
                <m:ctrlPr>
                  <w:rPr>
                    <w:rStyle w:val="SubtleEmphasis"/>
                    <w:rFonts w:ascii="Cambria Math" w:hAnsi="Cambria Math"/>
                    <w:iCs w:val="0"/>
                    <w:color w:val="auto"/>
                  </w:rPr>
                </m:ctrlPr>
              </m:sSubPr>
              <m:e>
                <m:r>
                  <w:rPr>
                    <w:rStyle w:val="SubtleEmphasis"/>
                    <w:rFonts w:ascii="Cambria Math" w:hAnsi="Cambria Math"/>
                    <w:color w:val="auto"/>
                  </w:rPr>
                  <m:t>SSE</m:t>
                </m:r>
              </m:e>
              <m:sub>
                <m:r>
                  <w:rPr>
                    <w:rStyle w:val="SubtleEmphasis"/>
                    <w:rFonts w:ascii="Cambria Math" w:hAnsi="Cambria Math"/>
                    <w:color w:val="auto"/>
                  </w:rPr>
                  <m:t>W</m:t>
                </m:r>
              </m:sub>
            </m:sSub>
          </m:den>
        </m:f>
        <m:r>
          <w:rPr>
            <w:rStyle w:val="SubtleEmphasis"/>
            <w:rFonts w:ascii="Cambria Math" w:hAnsi="Cambria Math"/>
            <w:color w:val="auto"/>
          </w:rPr>
          <m:t>*</m:t>
        </m:r>
        <m:f>
          <m:fPr>
            <m:ctrlPr>
              <w:rPr>
                <w:rStyle w:val="SubtleEmphasis"/>
                <w:rFonts w:ascii="Cambria Math" w:hAnsi="Cambria Math"/>
                <w:iCs w:val="0"/>
                <w:color w:val="auto"/>
              </w:rPr>
            </m:ctrlPr>
          </m:fPr>
          <m:num>
            <m:r>
              <w:rPr>
                <w:rStyle w:val="SubtleEmphasis"/>
                <w:rFonts w:ascii="Cambria Math" w:hAnsi="Cambria Math"/>
                <w:color w:val="auto"/>
              </w:rPr>
              <m:t>N</m:t>
            </m:r>
            <m:d>
              <m:dPr>
                <m:ctrlPr>
                  <w:rPr>
                    <w:rStyle w:val="SubtleEmphasis"/>
                    <w:rFonts w:ascii="Cambria Math" w:hAnsi="Cambria Math"/>
                    <w:iCs w:val="0"/>
                    <w:color w:val="auto"/>
                  </w:rPr>
                </m:ctrlPr>
              </m:dPr>
              <m:e>
                <m:r>
                  <w:rPr>
                    <w:rStyle w:val="SubtleEmphasis"/>
                    <w:rFonts w:ascii="Cambria Math" w:hAnsi="Cambria Math"/>
                    <w:color w:val="auto"/>
                  </w:rPr>
                  <m:t>T-1</m:t>
                </m:r>
              </m:e>
            </m:d>
            <m:r>
              <w:rPr>
                <w:rStyle w:val="SubtleEmphasis"/>
                <w:rFonts w:ascii="Cambria Math" w:hAnsi="Cambria Math"/>
                <w:color w:val="auto"/>
              </w:rPr>
              <m:t>-K</m:t>
            </m:r>
          </m:num>
          <m:den>
            <m:r>
              <w:rPr>
                <w:rStyle w:val="SubtleEmphasis"/>
                <w:rFonts w:ascii="Cambria Math" w:hAnsi="Cambria Math"/>
                <w:color w:val="auto"/>
              </w:rPr>
              <m:t>(N-1)</m:t>
            </m:r>
          </m:den>
        </m:f>
      </m:oMath>
      <w:r>
        <w:rPr>
          <w:rStyle w:val="SubtleEmphasis"/>
          <w:i w:val="0"/>
          <w:iCs w:val="0"/>
          <w:color w:val="auto"/>
        </w:rPr>
        <w:t xml:space="preserve">; </w:t>
      </w:r>
      <w:r>
        <w:rPr>
          <w:rStyle w:val="SubtleEmphasis"/>
          <w:i w:val="0"/>
          <w:iCs w:val="0"/>
          <w:color w:val="auto"/>
        </w:rPr>
        <w:tab/>
        <w:t>(</w:t>
      </w:r>
      <w:r w:rsidR="00931F3E">
        <w:rPr>
          <w:rStyle w:val="SubtleEmphasis"/>
          <w:i w:val="0"/>
          <w:iCs w:val="0"/>
          <w:color w:val="auto"/>
        </w:rPr>
        <w:t>26</w:t>
      </w:r>
      <w:r>
        <w:rPr>
          <w:rStyle w:val="SubtleEmphasis"/>
          <w:i w:val="0"/>
          <w:iCs w:val="0"/>
          <w:color w:val="auto"/>
        </w:rPr>
        <w:t>)</w:t>
      </w:r>
    </w:p>
    <w:p w:rsidR="004A3D7F" w:rsidRDefault="004A3D7F" w:rsidP="004A3D7F">
      <w:pPr>
        <w:spacing w:line="240" w:lineRule="auto"/>
        <w:rPr>
          <w:rStyle w:val="SubtleEmphasis"/>
          <w:i w:val="0"/>
          <w:iCs w:val="0"/>
          <w:color w:val="auto"/>
        </w:rPr>
      </w:pPr>
      <w:r>
        <w:rPr>
          <w:rStyle w:val="SubtleEmphasis"/>
          <w:i w:val="0"/>
          <w:iCs w:val="0"/>
          <w:color w:val="auto"/>
        </w:rPr>
        <w:lastRenderedPageBreak/>
        <w:t xml:space="preserve">Čia: </w:t>
      </w:r>
      <w:r>
        <w:rPr>
          <w:rStyle w:val="SubtleEmphasis"/>
          <w:i w:val="0"/>
          <w:iCs w:val="0"/>
          <w:color w:val="auto"/>
        </w:rPr>
        <w:tab/>
      </w:r>
      <w:r w:rsidRPr="004A3D7F">
        <w:rPr>
          <w:rStyle w:val="SubtleEmphasis"/>
          <w:iCs w:val="0"/>
          <w:color w:val="auto"/>
        </w:rPr>
        <w:t>SSE</w:t>
      </w:r>
      <w:r w:rsidRPr="004A3D7F">
        <w:rPr>
          <w:rStyle w:val="SubtleEmphasis"/>
          <w:iCs w:val="0"/>
          <w:color w:val="auto"/>
          <w:vertAlign w:val="subscript"/>
        </w:rPr>
        <w:t>w</w:t>
      </w:r>
      <w:r>
        <w:rPr>
          <w:rStyle w:val="SubtleEmphasis"/>
          <w:i w:val="0"/>
          <w:iCs w:val="0"/>
          <w:color w:val="auto"/>
        </w:rPr>
        <w:t xml:space="preserve"> – liekanų kvadratinė suma individualaus efekto atveju;</w:t>
      </w:r>
    </w:p>
    <w:p w:rsidR="004A3D7F" w:rsidRDefault="004A3D7F" w:rsidP="004A3D7F">
      <w:pPr>
        <w:spacing w:line="240" w:lineRule="auto"/>
        <w:ind w:firstLine="1296"/>
      </w:pPr>
      <w:r w:rsidRPr="004A3D7F">
        <w:rPr>
          <w:rStyle w:val="SubtleEmphasis"/>
          <w:iCs w:val="0"/>
          <w:color w:val="auto"/>
        </w:rPr>
        <w:t>SSE</w:t>
      </w:r>
      <w:r w:rsidRPr="004A3D7F">
        <w:rPr>
          <w:rStyle w:val="SubtleEmphasis"/>
          <w:iCs w:val="0"/>
          <w:color w:val="auto"/>
          <w:vertAlign w:val="subscript"/>
        </w:rPr>
        <w:t>w</w:t>
      </w:r>
      <w:r>
        <w:rPr>
          <w:rStyle w:val="SubtleEmphasis"/>
          <w:i w:val="0"/>
          <w:iCs w:val="0"/>
          <w:color w:val="auto"/>
        </w:rPr>
        <w:t xml:space="preserve"> - liekanų kvadratinė suma bendro (angl. pooled) efekto atveju</w:t>
      </w:r>
    </w:p>
    <w:p w:rsidR="0070202A" w:rsidRDefault="004A3D7F" w:rsidP="004A3D7F">
      <w:pPr>
        <w:spacing w:line="240" w:lineRule="auto"/>
        <w:ind w:firstLine="1296"/>
      </w:pPr>
      <w:r w:rsidRPr="004A3D7F">
        <w:rPr>
          <w:i/>
        </w:rPr>
        <w:t>N</w:t>
      </w:r>
      <w:r>
        <w:t xml:space="preserve"> – įmonių skaičius;</w:t>
      </w:r>
    </w:p>
    <w:p w:rsidR="004A3D7F" w:rsidRDefault="004A3D7F" w:rsidP="004A3D7F">
      <w:pPr>
        <w:ind w:firstLine="1298"/>
      </w:pPr>
      <w:r w:rsidRPr="004A3D7F">
        <w:rPr>
          <w:i/>
        </w:rPr>
        <w:t>K</w:t>
      </w:r>
      <w:r>
        <w:t xml:space="preserve"> – modelį paaiškinančių kintamųjų skaičius, neįskaitant konstantos.</w:t>
      </w:r>
    </w:p>
    <w:p w:rsidR="0006747A" w:rsidRDefault="00912AB5" w:rsidP="00912AB5">
      <w:r>
        <w:t xml:space="preserve">Kuomet apskaičiuota F reikšmė mažesnė už teorinę (p &lt; 0,05), hipotezė atmetama ir lieka pasirinkti tarp dviejų efekto modelių (Bougatef, 2011). </w:t>
      </w:r>
    </w:p>
    <w:p w:rsidR="004A3D7F" w:rsidRDefault="00912AB5" w:rsidP="00912AB5">
      <w:pPr>
        <w:rPr>
          <w:rStyle w:val="SubtleEmphasis"/>
          <w:i w:val="0"/>
          <w:iCs w:val="0"/>
          <w:color w:val="auto"/>
        </w:rPr>
      </w:pPr>
      <w:r>
        <w:t xml:space="preserve">Jei efektas laikomas individualiai būdingu tam tikroms grupėms, atliekamas patikslinamojo pobūdžio </w:t>
      </w:r>
      <w:r w:rsidRPr="00912AB5">
        <w:rPr>
          <w:i/>
        </w:rPr>
        <w:t xml:space="preserve">Hausman </w:t>
      </w:r>
      <w:r>
        <w:t xml:space="preserve">testas, tam, kad pasirinkti kurį iš dviejų efekto modelių naudoti. Remiantis tuo pačiu autoriumi, </w:t>
      </w:r>
      <w:r w:rsidRPr="00912AB5">
        <w:rPr>
          <w:i/>
        </w:rPr>
        <w:t>Hausman</w:t>
      </w:r>
      <w:r>
        <w:t xml:space="preserve"> testas palygina </w:t>
      </w:r>
      <w:r w:rsidRPr="00912AB5">
        <w:rPr>
          <w:i/>
        </w:rPr>
        <w:t>fiksuoto</w:t>
      </w:r>
      <w:r>
        <w:t xml:space="preserve"> ir </w:t>
      </w:r>
      <w:r w:rsidRPr="00912AB5">
        <w:rPr>
          <w:i/>
        </w:rPr>
        <w:t>atsitiktinio efekto</w:t>
      </w:r>
      <w:r>
        <w:t xml:space="preserve"> modelių</w:t>
      </w:r>
      <w:r w:rsidRPr="00912AB5">
        <w:rPr>
          <w:i/>
        </w:rPr>
        <w:t xml:space="preserve"> Beta</w:t>
      </w:r>
      <w:r>
        <w:t xml:space="preserve"> koeficientų reikšmes. Remiantis nuline hipoteze, tikrinama koreliacija tarp individualių efektų ir efektus paaiškinančių veiksnių (kintamųjų</w:t>
      </w:r>
      <w:r w:rsidR="0006747A">
        <w:t xml:space="preserve"> </w:t>
      </w:r>
      <w:r w:rsidR="0006747A" w:rsidRPr="0006747A">
        <w:rPr>
          <w:rStyle w:val="SubtleEmphasis"/>
          <w:iCs w:val="0"/>
          <w:color w:val="auto"/>
        </w:rPr>
        <w:t>x</w:t>
      </w:r>
      <w:r w:rsidR="0006747A" w:rsidRPr="0006747A">
        <w:rPr>
          <w:rStyle w:val="SubtleEmphasis"/>
          <w:iCs w:val="0"/>
          <w:color w:val="auto"/>
          <w:vertAlign w:val="subscript"/>
        </w:rPr>
        <w:t>it</w:t>
      </w:r>
      <w:r>
        <w:t xml:space="preserve">): </w:t>
      </w:r>
      <w:r w:rsidRPr="0006747A">
        <w:rPr>
          <w:i/>
        </w:rPr>
        <w:t>H</w:t>
      </w:r>
      <w:r w:rsidRPr="0006747A">
        <w:rPr>
          <w:i/>
          <w:vertAlign w:val="subscript"/>
        </w:rPr>
        <w:t>0</w:t>
      </w:r>
      <w:r w:rsidRPr="0006747A">
        <w:rPr>
          <w:i/>
        </w:rPr>
        <w:t>: cov(</w:t>
      </w:r>
      <w:r w:rsidR="0006747A" w:rsidRPr="0006747A">
        <w:rPr>
          <w:rStyle w:val="SubtleEmphasis"/>
          <w:rFonts w:cs="Times New Roman"/>
          <w:i w:val="0"/>
          <w:iCs w:val="0"/>
          <w:color w:val="auto"/>
        </w:rPr>
        <w:t>α</w:t>
      </w:r>
      <w:r w:rsidR="0006747A" w:rsidRPr="0006747A">
        <w:rPr>
          <w:rStyle w:val="SubtleEmphasis"/>
          <w:i w:val="0"/>
          <w:iCs w:val="0"/>
          <w:color w:val="auto"/>
          <w:vertAlign w:val="subscript"/>
        </w:rPr>
        <w:t xml:space="preserve">i </w:t>
      </w:r>
      <w:r w:rsidR="0006747A" w:rsidRPr="0006747A">
        <w:rPr>
          <w:rStyle w:val="SubtleEmphasis"/>
          <w:i w:val="0"/>
          <w:iCs w:val="0"/>
          <w:color w:val="auto"/>
        </w:rPr>
        <w:t>, x</w:t>
      </w:r>
      <w:r w:rsidR="0006747A" w:rsidRPr="0006747A">
        <w:rPr>
          <w:rStyle w:val="SubtleEmphasis"/>
          <w:i w:val="0"/>
          <w:iCs w:val="0"/>
          <w:color w:val="auto"/>
          <w:vertAlign w:val="subscript"/>
        </w:rPr>
        <w:t>it</w:t>
      </w:r>
      <w:r w:rsidR="0006747A" w:rsidRPr="0006747A">
        <w:rPr>
          <w:rStyle w:val="SubtleEmphasis"/>
          <w:iCs w:val="0"/>
          <w:color w:val="auto"/>
        </w:rPr>
        <w:t>)</w:t>
      </w:r>
      <w:r w:rsidR="0006747A">
        <w:rPr>
          <w:rStyle w:val="SubtleEmphasis"/>
          <w:iCs w:val="0"/>
          <w:color w:val="auto"/>
        </w:rPr>
        <w:t xml:space="preserve">. </w:t>
      </w:r>
      <w:r w:rsidR="0006747A">
        <w:rPr>
          <w:rStyle w:val="SubtleEmphasis"/>
          <w:i w:val="0"/>
          <w:iCs w:val="0"/>
          <w:color w:val="auto"/>
        </w:rPr>
        <w:t>Jei</w:t>
      </w:r>
      <w:r w:rsidR="0006747A" w:rsidRPr="0006747A">
        <w:rPr>
          <w:rStyle w:val="SubtleEmphasis"/>
          <w:i w:val="0"/>
          <w:iCs w:val="0"/>
          <w:color w:val="auto"/>
        </w:rPr>
        <w:t xml:space="preserve"> individualūs efektai yra atsitiktiniai</w:t>
      </w:r>
      <w:r w:rsidR="0006747A">
        <w:rPr>
          <w:rStyle w:val="SubtleEmphasis"/>
          <w:i w:val="0"/>
          <w:iCs w:val="0"/>
          <w:color w:val="auto"/>
        </w:rPr>
        <w:t xml:space="preserve">, tuomet </w:t>
      </w:r>
      <w:r w:rsidR="0006747A" w:rsidRPr="0006747A">
        <w:rPr>
          <w:rStyle w:val="SubtleEmphasis"/>
          <w:i w:val="0"/>
          <w:iCs w:val="0"/>
          <w:color w:val="auto"/>
        </w:rPr>
        <w:t xml:space="preserve">analitikas turėtų rinktis </w:t>
      </w:r>
      <w:r w:rsidR="0006747A" w:rsidRPr="0006747A">
        <w:rPr>
          <w:rStyle w:val="SubtleEmphasis"/>
          <w:iCs w:val="0"/>
          <w:color w:val="auto"/>
        </w:rPr>
        <w:t>atsitiktinio efekto</w:t>
      </w:r>
      <w:r w:rsidR="0006747A" w:rsidRPr="0006747A">
        <w:rPr>
          <w:rStyle w:val="SubtleEmphasis"/>
          <w:i w:val="0"/>
          <w:iCs w:val="0"/>
          <w:color w:val="auto"/>
        </w:rPr>
        <w:t xml:space="preserve"> vertinimo modelį (GLS)</w:t>
      </w:r>
      <w:r w:rsidR="0006747A">
        <w:rPr>
          <w:rStyle w:val="SubtleEmphasis"/>
          <w:i w:val="0"/>
          <w:iCs w:val="0"/>
          <w:color w:val="auto"/>
        </w:rPr>
        <w:t xml:space="preserve">, o kuomet individualūs efektai koreliuoja su juos paaiškinančiais veiksniais, tuomet renkamasi </w:t>
      </w:r>
      <w:r w:rsidR="0006747A" w:rsidRPr="0006747A">
        <w:rPr>
          <w:rStyle w:val="SubtleEmphasis"/>
          <w:iCs w:val="0"/>
          <w:color w:val="auto"/>
        </w:rPr>
        <w:t>fiksuoto efekto</w:t>
      </w:r>
      <w:r w:rsidR="0006747A">
        <w:rPr>
          <w:rStyle w:val="SubtleEmphasis"/>
          <w:i w:val="0"/>
          <w:iCs w:val="0"/>
          <w:color w:val="auto"/>
        </w:rPr>
        <w:t xml:space="preserve"> modelį.</w:t>
      </w:r>
    </w:p>
    <w:p w:rsidR="0006747A" w:rsidRDefault="0006747A" w:rsidP="00912AB5">
      <w:pPr>
        <w:rPr>
          <w:rStyle w:val="SubtleEmphasis"/>
          <w:i w:val="0"/>
          <w:iCs w:val="0"/>
          <w:color w:val="auto"/>
        </w:rPr>
      </w:pPr>
      <w:r w:rsidRPr="0006747A">
        <w:rPr>
          <w:rStyle w:val="SubtleEmphasis"/>
          <w:iCs w:val="0"/>
          <w:color w:val="auto"/>
        </w:rPr>
        <w:t>Hausman</w:t>
      </w:r>
      <w:r w:rsidR="00931F3E">
        <w:rPr>
          <w:rStyle w:val="SubtleEmphasis"/>
          <w:i w:val="0"/>
          <w:iCs w:val="0"/>
          <w:color w:val="auto"/>
        </w:rPr>
        <w:t xml:space="preserve"> testas (žr. (27</w:t>
      </w:r>
      <w:r>
        <w:rPr>
          <w:rStyle w:val="SubtleEmphasis"/>
          <w:i w:val="0"/>
          <w:iCs w:val="0"/>
          <w:color w:val="auto"/>
        </w:rPr>
        <w:t>) formulę) atliekamas</w:t>
      </w:r>
      <w:r w:rsidR="009467FC">
        <w:rPr>
          <w:rStyle w:val="SubtleEmphasis"/>
          <w:i w:val="0"/>
          <w:iCs w:val="0"/>
          <w:color w:val="auto"/>
        </w:rPr>
        <w:t xml:space="preserve"> dviejų efekto modelių</w:t>
      </w:r>
      <w:r>
        <w:rPr>
          <w:rStyle w:val="SubtleEmphasis"/>
          <w:i w:val="0"/>
          <w:iCs w:val="0"/>
          <w:color w:val="auto"/>
        </w:rPr>
        <w:t xml:space="preserve"> variančių-kovariančių matricų palyginamuoju principu (Bougatef, 2011):</w:t>
      </w:r>
      <w:r>
        <w:rPr>
          <w:rStyle w:val="SubtleEmphasis"/>
          <w:i w:val="0"/>
          <w:iCs w:val="0"/>
          <w:color w:val="auto"/>
        </w:rPr>
        <w:tab/>
      </w:r>
    </w:p>
    <w:p w:rsidR="009467FC" w:rsidRDefault="0006747A" w:rsidP="009467FC">
      <w:pPr>
        <w:ind w:firstLine="0"/>
        <w:jc w:val="center"/>
        <w:rPr>
          <w:rStyle w:val="SubtleEmphasis"/>
          <w:rFonts w:cs="Times New Roman"/>
          <w:i w:val="0"/>
          <w:iCs w:val="0"/>
          <w:color w:val="auto"/>
          <w:lang w:val="en-US"/>
        </w:rPr>
      </w:pPr>
      <w:r>
        <w:rPr>
          <w:rStyle w:val="SubtleEmphasis"/>
          <w:i w:val="0"/>
          <w:iCs w:val="0"/>
          <w:color w:val="auto"/>
        </w:rPr>
        <w:t xml:space="preserve">H </w:t>
      </w:r>
      <w:r>
        <w:rPr>
          <w:rStyle w:val="SubtleEmphasis"/>
          <w:i w:val="0"/>
          <w:iCs w:val="0"/>
          <w:color w:val="auto"/>
          <w:lang w:val="en-US"/>
        </w:rPr>
        <w:t>=</w:t>
      </w:r>
      <w:r w:rsidR="009467FC">
        <w:rPr>
          <w:rStyle w:val="SubtleEmphasis"/>
          <w:i w:val="0"/>
          <w:iCs w:val="0"/>
          <w:color w:val="auto"/>
          <w:lang w:val="en-US"/>
        </w:rPr>
        <w:t xml:space="preserve"> (</w:t>
      </w:r>
      <w:r w:rsidR="009467FC">
        <w:rPr>
          <w:rStyle w:val="SubtleEmphasis"/>
          <w:rFonts w:cs="Times New Roman"/>
          <w:i w:val="0"/>
          <w:iCs w:val="0"/>
          <w:color w:val="auto"/>
          <w:lang w:val="en-US"/>
        </w:rPr>
        <w:t>β̌</w:t>
      </w:r>
      <w:r w:rsidR="009467FC">
        <w:rPr>
          <w:rStyle w:val="SubtleEmphasis"/>
          <w:rFonts w:cs="Times New Roman"/>
          <w:i w:val="0"/>
          <w:iCs w:val="0"/>
          <w:color w:val="auto"/>
          <w:vertAlign w:val="subscript"/>
          <w:lang w:val="en-US"/>
        </w:rPr>
        <w:t>RE -</w:t>
      </w:r>
      <w:r w:rsidR="009467FC">
        <w:rPr>
          <w:rStyle w:val="SubtleEmphasis"/>
          <w:rFonts w:cs="Times New Roman"/>
          <w:i w:val="0"/>
          <w:iCs w:val="0"/>
          <w:color w:val="auto"/>
          <w:lang w:val="en-US"/>
        </w:rPr>
        <w:t xml:space="preserve"> β̌</w:t>
      </w:r>
      <w:r w:rsidR="009467FC">
        <w:rPr>
          <w:rStyle w:val="SubtleEmphasis"/>
          <w:rFonts w:cs="Times New Roman"/>
          <w:i w:val="0"/>
          <w:iCs w:val="0"/>
          <w:color w:val="auto"/>
          <w:vertAlign w:val="subscript"/>
          <w:lang w:val="en-US"/>
        </w:rPr>
        <w:t>FE</w:t>
      </w:r>
      <w:r w:rsidR="009467FC">
        <w:rPr>
          <w:rStyle w:val="SubtleEmphasis"/>
          <w:rFonts w:cs="Times New Roman"/>
          <w:i w:val="0"/>
          <w:iCs w:val="0"/>
          <w:color w:val="auto"/>
          <w:lang w:val="en-US"/>
        </w:rPr>
        <w:t>)́ [var(β̌</w:t>
      </w:r>
      <w:r w:rsidR="009467FC">
        <w:rPr>
          <w:rStyle w:val="SubtleEmphasis"/>
          <w:rFonts w:cs="Times New Roman"/>
          <w:i w:val="0"/>
          <w:iCs w:val="0"/>
          <w:color w:val="auto"/>
          <w:vertAlign w:val="subscript"/>
          <w:lang w:val="en-US"/>
        </w:rPr>
        <w:t>RE -</w:t>
      </w:r>
      <w:r w:rsidR="009467FC">
        <w:rPr>
          <w:rStyle w:val="SubtleEmphasis"/>
          <w:rFonts w:cs="Times New Roman"/>
          <w:i w:val="0"/>
          <w:iCs w:val="0"/>
          <w:color w:val="auto"/>
          <w:lang w:val="en-US"/>
        </w:rPr>
        <w:t xml:space="preserve"> β̌</w:t>
      </w:r>
      <w:r w:rsidR="009467FC">
        <w:rPr>
          <w:rStyle w:val="SubtleEmphasis"/>
          <w:rFonts w:cs="Times New Roman"/>
          <w:i w:val="0"/>
          <w:iCs w:val="0"/>
          <w:color w:val="auto"/>
          <w:vertAlign w:val="subscript"/>
          <w:lang w:val="en-US"/>
        </w:rPr>
        <w:t>FE</w:t>
      </w:r>
      <w:r w:rsidR="009467FC" w:rsidRPr="009467FC">
        <w:rPr>
          <w:rStyle w:val="SubtleEmphasis"/>
          <w:rFonts w:cs="Times New Roman"/>
          <w:i w:val="0"/>
          <w:iCs w:val="0"/>
          <w:color w:val="auto"/>
          <w:lang w:val="en-US"/>
        </w:rPr>
        <w:t>)</w:t>
      </w:r>
      <w:r w:rsidR="009467FC">
        <w:rPr>
          <w:rStyle w:val="SubtleEmphasis"/>
          <w:rFonts w:cs="Times New Roman"/>
          <w:i w:val="0"/>
          <w:iCs w:val="0"/>
          <w:color w:val="auto"/>
          <w:lang w:val="en-US"/>
        </w:rPr>
        <w:t>]</w:t>
      </w:r>
      <w:r w:rsidR="009467FC">
        <w:rPr>
          <w:rStyle w:val="SubtleEmphasis"/>
          <w:rFonts w:cs="Times New Roman"/>
          <w:i w:val="0"/>
          <w:iCs w:val="0"/>
          <w:color w:val="auto"/>
          <w:vertAlign w:val="superscript"/>
          <w:lang w:val="en-US"/>
        </w:rPr>
        <w:t>-1</w:t>
      </w:r>
      <w:r w:rsidR="009467FC">
        <w:rPr>
          <w:rStyle w:val="SubtleEmphasis"/>
          <w:rFonts w:cs="Times New Roman"/>
          <w:i w:val="0"/>
          <w:iCs w:val="0"/>
          <w:color w:val="auto"/>
          <w:lang w:val="en-US"/>
        </w:rPr>
        <w:t xml:space="preserve"> (β̌</w:t>
      </w:r>
      <w:r w:rsidR="009467FC">
        <w:rPr>
          <w:rStyle w:val="SubtleEmphasis"/>
          <w:rFonts w:cs="Times New Roman"/>
          <w:i w:val="0"/>
          <w:iCs w:val="0"/>
          <w:color w:val="auto"/>
          <w:vertAlign w:val="subscript"/>
          <w:lang w:val="en-US"/>
        </w:rPr>
        <w:t>RE -</w:t>
      </w:r>
      <w:r w:rsidR="009467FC">
        <w:rPr>
          <w:rStyle w:val="SubtleEmphasis"/>
          <w:rFonts w:cs="Times New Roman"/>
          <w:i w:val="0"/>
          <w:iCs w:val="0"/>
          <w:color w:val="auto"/>
          <w:lang w:val="en-US"/>
        </w:rPr>
        <w:t xml:space="preserve"> β̌</w:t>
      </w:r>
      <w:r w:rsidR="009467FC">
        <w:rPr>
          <w:rStyle w:val="SubtleEmphasis"/>
          <w:rFonts w:cs="Times New Roman"/>
          <w:i w:val="0"/>
          <w:iCs w:val="0"/>
          <w:color w:val="auto"/>
          <w:vertAlign w:val="subscript"/>
          <w:lang w:val="en-US"/>
        </w:rPr>
        <w:t>FE</w:t>
      </w:r>
      <w:r w:rsidR="00931F3E">
        <w:rPr>
          <w:rStyle w:val="SubtleEmphasis"/>
          <w:rFonts w:cs="Times New Roman"/>
          <w:i w:val="0"/>
          <w:iCs w:val="0"/>
          <w:color w:val="auto"/>
          <w:lang w:val="en-US"/>
        </w:rPr>
        <w:t>);</w:t>
      </w:r>
      <w:r w:rsidR="00931F3E">
        <w:rPr>
          <w:rStyle w:val="SubtleEmphasis"/>
          <w:rFonts w:cs="Times New Roman"/>
          <w:i w:val="0"/>
          <w:iCs w:val="0"/>
          <w:color w:val="auto"/>
          <w:lang w:val="en-US"/>
        </w:rPr>
        <w:tab/>
        <w:t>(27</w:t>
      </w:r>
      <w:r w:rsidR="009467FC">
        <w:rPr>
          <w:rStyle w:val="SubtleEmphasis"/>
          <w:rFonts w:cs="Times New Roman"/>
          <w:i w:val="0"/>
          <w:iCs w:val="0"/>
          <w:color w:val="auto"/>
          <w:lang w:val="en-US"/>
        </w:rPr>
        <w:t>)</w:t>
      </w:r>
    </w:p>
    <w:p w:rsidR="009467FC" w:rsidRPr="00DA25BC" w:rsidRDefault="00DA25BC" w:rsidP="00DA25BC">
      <w:r>
        <w:rPr>
          <w:rStyle w:val="SubtleEmphasis"/>
          <w:rFonts w:cs="Times New Roman"/>
          <w:iCs w:val="0"/>
          <w:color w:val="auto"/>
        </w:rPr>
        <w:t>Hausman (</w:t>
      </w:r>
      <w:r w:rsidR="009467FC" w:rsidRPr="00DA25BC">
        <w:rPr>
          <w:rStyle w:val="SubtleEmphasis"/>
          <w:rFonts w:cs="Times New Roman"/>
          <w:iCs w:val="0"/>
          <w:color w:val="auto"/>
        </w:rPr>
        <w:t>H</w:t>
      </w:r>
      <w:r>
        <w:rPr>
          <w:rStyle w:val="SubtleEmphasis"/>
          <w:rFonts w:cs="Times New Roman"/>
          <w:iCs w:val="0"/>
          <w:color w:val="auto"/>
        </w:rPr>
        <w:t>)</w:t>
      </w:r>
      <w:r w:rsidR="009467FC" w:rsidRPr="00DA25BC">
        <w:rPr>
          <w:rStyle w:val="SubtleEmphasis"/>
          <w:rFonts w:cs="Times New Roman"/>
          <w:i w:val="0"/>
          <w:iCs w:val="0"/>
          <w:color w:val="auto"/>
        </w:rPr>
        <w:t xml:space="preserve"> statistikos kriterijus turi asimptotinę distribucija</w:t>
      </w:r>
      <w:r w:rsidRPr="00DA25BC">
        <w:rPr>
          <w:rStyle w:val="SubtleEmphasis"/>
          <w:rFonts w:cs="Times New Roman"/>
          <w:i w:val="0"/>
          <w:iCs w:val="0"/>
          <w:color w:val="auto"/>
        </w:rPr>
        <w:t xml:space="preserve"> kai</w:t>
      </w:r>
      <w:r>
        <w:rPr>
          <w:rStyle w:val="SubtleEmphasis"/>
          <w:rFonts w:cs="Times New Roman"/>
          <w:i w:val="0"/>
          <w:iCs w:val="0"/>
          <w:color w:val="auto"/>
        </w:rPr>
        <w:t>p ir</w:t>
      </w:r>
      <w:r w:rsidR="009467FC" w:rsidRPr="00DA25BC">
        <w:rPr>
          <w:rStyle w:val="SubtleEmphasis"/>
          <w:rFonts w:cs="Times New Roman"/>
          <w:i w:val="0"/>
          <w:iCs w:val="0"/>
          <w:color w:val="auto"/>
        </w:rPr>
        <w:t xml:space="preserve"> </w:t>
      </w:r>
      <w:r w:rsidR="009467FC" w:rsidRPr="00DA25BC">
        <w:rPr>
          <w:rStyle w:val="SubtleEmphasis"/>
          <w:rFonts w:cs="Times New Roman"/>
          <w:iCs w:val="0"/>
          <w:color w:val="auto"/>
        </w:rPr>
        <w:t>chi</w:t>
      </w:r>
      <w:r w:rsidR="009467FC" w:rsidRPr="00DA25BC">
        <w:rPr>
          <w:rStyle w:val="SubtleEmphasis"/>
          <w:rFonts w:cs="Times New Roman"/>
          <w:iCs w:val="0"/>
          <w:color w:val="auto"/>
          <w:vertAlign w:val="superscript"/>
        </w:rPr>
        <w:t>2</w:t>
      </w:r>
      <w:r w:rsidRPr="00DA25BC">
        <w:rPr>
          <w:rStyle w:val="SubtleEmphasis"/>
          <w:rFonts w:cs="Times New Roman"/>
          <w:i w:val="0"/>
          <w:iCs w:val="0"/>
          <w:color w:val="auto"/>
          <w:vertAlign w:val="superscript"/>
        </w:rPr>
        <w:t xml:space="preserve"> </w:t>
      </w:r>
      <w:r w:rsidRPr="00DA25BC">
        <w:rPr>
          <w:rStyle w:val="SubtleEmphasis"/>
          <w:rFonts w:cs="Times New Roman"/>
          <w:i w:val="0"/>
          <w:iCs w:val="0"/>
          <w:color w:val="auto"/>
        </w:rPr>
        <w:t xml:space="preserve">su </w:t>
      </w:r>
      <w:r w:rsidRPr="00DA25BC">
        <w:rPr>
          <w:rStyle w:val="SubtleEmphasis"/>
          <w:rFonts w:cs="Times New Roman"/>
          <w:iCs w:val="0"/>
          <w:color w:val="auto"/>
        </w:rPr>
        <w:t>K</w:t>
      </w:r>
      <w:r w:rsidRPr="00DA25BC">
        <w:rPr>
          <w:rStyle w:val="SubtleEmphasis"/>
          <w:rFonts w:cs="Times New Roman"/>
          <w:i w:val="0"/>
          <w:iCs w:val="0"/>
          <w:color w:val="auto"/>
        </w:rPr>
        <w:t xml:space="preserve"> laisvės laipsnių, kur </w:t>
      </w:r>
      <w:r w:rsidRPr="00DA25BC">
        <w:rPr>
          <w:rStyle w:val="SubtleEmphasis"/>
          <w:rFonts w:cs="Times New Roman"/>
          <w:iCs w:val="0"/>
          <w:color w:val="auto"/>
        </w:rPr>
        <w:t>K</w:t>
      </w:r>
      <w:r w:rsidRPr="00DA25BC">
        <w:rPr>
          <w:rStyle w:val="SubtleEmphasis"/>
          <w:rFonts w:cs="Times New Roman"/>
          <w:i w:val="0"/>
          <w:iCs w:val="0"/>
          <w:color w:val="auto"/>
        </w:rPr>
        <w:t xml:space="preserve"> – paaiškinančių veiksnių skaičius</w:t>
      </w:r>
      <w:r>
        <w:rPr>
          <w:rStyle w:val="SubtleEmphasis"/>
          <w:rFonts w:cs="Times New Roman"/>
          <w:i w:val="0"/>
          <w:iCs w:val="0"/>
          <w:color w:val="auto"/>
        </w:rPr>
        <w:t>,</w:t>
      </w:r>
      <w:r w:rsidRPr="00DA25BC">
        <w:rPr>
          <w:rStyle w:val="SubtleEmphasis"/>
          <w:rFonts w:cs="Times New Roman"/>
          <w:i w:val="0"/>
          <w:iCs w:val="0"/>
          <w:color w:val="auto"/>
        </w:rPr>
        <w:t xml:space="preserve"> </w:t>
      </w:r>
      <w:r>
        <w:rPr>
          <w:rStyle w:val="SubtleEmphasis"/>
          <w:rFonts w:cs="Times New Roman"/>
          <w:i w:val="0"/>
          <w:iCs w:val="0"/>
          <w:color w:val="auto"/>
        </w:rPr>
        <w:t xml:space="preserve">taigi jei </w:t>
      </w:r>
      <w:r w:rsidRPr="00DA25BC">
        <w:rPr>
          <w:rStyle w:val="SubtleEmphasis"/>
          <w:rFonts w:cs="Times New Roman"/>
          <w:iCs w:val="0"/>
          <w:color w:val="auto"/>
        </w:rPr>
        <w:t>H</w:t>
      </w:r>
      <w:r>
        <w:rPr>
          <w:rStyle w:val="SubtleEmphasis"/>
          <w:rFonts w:cs="Times New Roman"/>
          <w:iCs w:val="0"/>
          <w:color w:val="auto"/>
        </w:rPr>
        <w:t xml:space="preserve"> </w:t>
      </w:r>
      <w:r>
        <w:rPr>
          <w:rStyle w:val="SubtleEmphasis"/>
          <w:rFonts w:cs="Times New Roman"/>
          <w:i w:val="0"/>
          <w:iCs w:val="0"/>
          <w:color w:val="auto"/>
        </w:rPr>
        <w:t xml:space="preserve">mažesnis už </w:t>
      </w:r>
      <w:r w:rsidRPr="00DA25BC">
        <w:rPr>
          <w:rStyle w:val="SubtleEmphasis"/>
          <w:rFonts w:cs="Times New Roman"/>
          <w:iCs w:val="0"/>
          <w:color w:val="auto"/>
        </w:rPr>
        <w:t>chi</w:t>
      </w:r>
      <w:r w:rsidRPr="00DA25BC">
        <w:rPr>
          <w:rStyle w:val="SubtleEmphasis"/>
          <w:rFonts w:cs="Times New Roman"/>
          <w:iCs w:val="0"/>
          <w:color w:val="auto"/>
          <w:vertAlign w:val="superscript"/>
        </w:rPr>
        <w:t>2</w:t>
      </w:r>
      <w:r>
        <w:rPr>
          <w:rStyle w:val="SubtleEmphasis"/>
          <w:rFonts w:cs="Times New Roman"/>
          <w:iCs w:val="0"/>
          <w:color w:val="auto"/>
        </w:rPr>
        <w:t xml:space="preserve">(p &lt; 0,05), </w:t>
      </w:r>
      <w:r w:rsidRPr="00DA25BC">
        <w:rPr>
          <w:rStyle w:val="SubtleEmphasis"/>
          <w:rFonts w:cs="Times New Roman"/>
          <w:i w:val="0"/>
          <w:iCs w:val="0"/>
          <w:color w:val="auto"/>
        </w:rPr>
        <w:t>tuomet hipotezė atmetama, o individualūs efektai laikomi fiksuotais</w:t>
      </w:r>
      <w:r>
        <w:rPr>
          <w:rStyle w:val="SubtleEmphasis"/>
          <w:rFonts w:cs="Times New Roman"/>
          <w:i w:val="0"/>
          <w:iCs w:val="0"/>
          <w:color w:val="auto"/>
        </w:rPr>
        <w:t xml:space="preserve"> </w:t>
      </w:r>
      <w:r w:rsidRPr="00DA25BC">
        <w:rPr>
          <w:rStyle w:val="SubtleEmphasis"/>
          <w:rFonts w:cs="Times New Roman"/>
          <w:i w:val="0"/>
          <w:iCs w:val="0"/>
          <w:color w:val="auto"/>
        </w:rPr>
        <w:t>(Bougatef, 2011).</w:t>
      </w:r>
    </w:p>
    <w:p w:rsidR="00AD4EB5" w:rsidRDefault="00240F98" w:rsidP="00240F98">
      <w:r>
        <w:t xml:space="preserve">Toliau </w:t>
      </w:r>
      <w:r w:rsidRPr="00240F98">
        <w:rPr>
          <w:i/>
        </w:rPr>
        <w:t>fiksuoto efekto</w:t>
      </w:r>
      <w:r>
        <w:t xml:space="preserve"> modelio atveju apskaičiuojami determinacijos koeficientai</w:t>
      </w:r>
      <w:r w:rsidR="00DA25BC">
        <w:rPr>
          <w:lang w:val="en-US"/>
        </w:rPr>
        <w:t xml:space="preserve"> </w:t>
      </w:r>
      <w:r w:rsidR="00496C89">
        <w:t>R</w:t>
      </w:r>
      <w:r w:rsidR="00DA25BC" w:rsidRPr="00DA25BC">
        <w:rPr>
          <w:vertAlign w:val="superscript"/>
        </w:rPr>
        <w:t>2</w:t>
      </w:r>
      <w:r>
        <w:t>. Deteriminacijos koeficientas R</w:t>
      </w:r>
      <w:r w:rsidRPr="00DA25BC">
        <w:rPr>
          <w:vertAlign w:val="superscript"/>
        </w:rPr>
        <w:t>2</w:t>
      </w:r>
      <w:r>
        <w:t xml:space="preserve"> parodo, kokią dalį (</w:t>
      </w:r>
      <w:r w:rsidRPr="00240F98">
        <w:rPr>
          <w:lang w:val="en-US"/>
        </w:rPr>
        <w:t>%</w:t>
      </w:r>
      <w:r>
        <w:rPr>
          <w:lang w:val="en-US"/>
        </w:rPr>
        <w:t>)</w:t>
      </w:r>
      <w:r w:rsidRPr="00240F98">
        <w:t xml:space="preserve"> priklausomo kintamojo variacijų paaiškina nepriklausomi kintamieji</w:t>
      </w:r>
      <w:r>
        <w:t xml:space="preserve">. </w:t>
      </w:r>
      <w:r w:rsidRPr="00240F98">
        <w:t>Koreguotas determinacijos koeficientas R</w:t>
      </w:r>
      <w:r>
        <w:rPr>
          <w:vertAlign w:val="superscript"/>
        </w:rPr>
        <w:t>2</w:t>
      </w:r>
      <w:r w:rsidRPr="00240F98">
        <w:t xml:space="preserve"> parodo, </w:t>
      </w:r>
      <w:r>
        <w:t>kokią dalį</w:t>
      </w:r>
      <w:r w:rsidRPr="00240F98">
        <w:t xml:space="preserve"> priklausomo kintamojo variacijų paaiškina nepriklausomi kintamieji,</w:t>
      </w:r>
      <w:r>
        <w:t xml:space="preserve"> </w:t>
      </w:r>
      <w:r w:rsidRPr="00240F98">
        <w:t>įvertinus nepriklau</w:t>
      </w:r>
      <w:r>
        <w:t xml:space="preserve">somų kintamųjų skaičių modelyje (Atkins, 2012). </w:t>
      </w:r>
    </w:p>
    <w:p w:rsidR="00691E5B" w:rsidRDefault="00240F98" w:rsidP="00AD4EB5">
      <w:r w:rsidRPr="00240F98">
        <w:rPr>
          <w:i/>
        </w:rPr>
        <w:t>Pastaba:</w:t>
      </w:r>
      <w:r>
        <w:t xml:space="preserve"> S</w:t>
      </w:r>
      <w:r w:rsidR="00496C89">
        <w:t>tatistinės duomenų analizės paketas</w:t>
      </w:r>
      <w:r w:rsidR="00DA25BC">
        <w:t xml:space="preserve"> GRETL®</w:t>
      </w:r>
      <w:r w:rsidR="00496C89">
        <w:t xml:space="preserve"> </w:t>
      </w:r>
      <w:r w:rsidR="00496C89" w:rsidRPr="00DA25BC">
        <w:rPr>
          <w:i/>
        </w:rPr>
        <w:t xml:space="preserve">atsitiktinio efekto </w:t>
      </w:r>
      <w:r w:rsidR="00496C89">
        <w:t xml:space="preserve">modeliui neskaičiuoja </w:t>
      </w:r>
      <w:r w:rsidR="00DA25BC">
        <w:t>determinacijos koeficiento</w:t>
      </w:r>
      <w:r w:rsidR="00AD4EB5">
        <w:t xml:space="preserve"> reikšmių, kadangi R</w:t>
      </w:r>
      <w:r w:rsidR="00AD4EB5">
        <w:rPr>
          <w:vertAlign w:val="superscript"/>
        </w:rPr>
        <w:t xml:space="preserve">2 </w:t>
      </w:r>
      <w:r w:rsidR="00AD4EB5">
        <w:t xml:space="preserve">tinkamas tiesinių modelių nagrinėjimui, naudojant OLS metodikas, kas būdinga vienos krypties </w:t>
      </w:r>
      <w:r w:rsidR="00AD4EB5" w:rsidRPr="00AD4EB5">
        <w:rPr>
          <w:i/>
        </w:rPr>
        <w:t xml:space="preserve">fiksuoto efekto </w:t>
      </w:r>
      <w:r w:rsidR="00AD4EB5">
        <w:t>modelių atvejais (Atkins, 2012). Todėl l</w:t>
      </w:r>
      <w:r w:rsidR="00496C89">
        <w:t>aikoma</w:t>
      </w:r>
      <w:r w:rsidR="00AD4EB5">
        <w:t>si prielaidos</w:t>
      </w:r>
      <w:r w:rsidR="00496C89">
        <w:t xml:space="preserve">, jog atlikus </w:t>
      </w:r>
      <w:r w:rsidR="00496C89" w:rsidRPr="00DA25BC">
        <w:rPr>
          <w:i/>
        </w:rPr>
        <w:t>Hausman</w:t>
      </w:r>
      <w:r w:rsidR="00496C89">
        <w:t xml:space="preserve"> test</w:t>
      </w:r>
      <w:r w:rsidR="00DA25BC">
        <w:t>ą</w:t>
      </w:r>
      <w:r w:rsidR="00496C89">
        <w:t xml:space="preserve"> ir pasirinkus atsitiktinio efekto modelį</w:t>
      </w:r>
      <w:r w:rsidR="003A45BC">
        <w:t xml:space="preserve"> </w:t>
      </w:r>
      <w:r w:rsidR="00DA25BC">
        <w:t xml:space="preserve">(nulinė hipotezę dėl individualių efektų atsitiktinumo </w:t>
      </w:r>
      <w:r w:rsidR="003A45BC">
        <w:t>bus patvirtinta</w:t>
      </w:r>
      <w:r w:rsidR="00DA25BC">
        <w:t>)</w:t>
      </w:r>
      <w:r w:rsidR="00496C89">
        <w:t>, R</w:t>
      </w:r>
      <w:r w:rsidR="00496C89" w:rsidRPr="00DA25BC">
        <w:rPr>
          <w:vertAlign w:val="superscript"/>
        </w:rPr>
        <w:t>2</w:t>
      </w:r>
      <w:r w:rsidR="00496C89">
        <w:t xml:space="preserve"> lygmuo nebus reikšmingai mažesnis nei fiksuoto efekto atveju</w:t>
      </w:r>
      <w:r w:rsidR="00AD4EB5">
        <w:t>, individualūs skirtumai neturės reikšmingos koreliacijos su modelių regresiniais koeficientais (Atkins, 2012)</w:t>
      </w:r>
      <w:r w:rsidR="00496C89">
        <w:t xml:space="preserve">. </w:t>
      </w:r>
    </w:p>
    <w:p w:rsidR="00126394" w:rsidRDefault="00691E5B" w:rsidP="00691E5B">
      <w:r>
        <w:lastRenderedPageBreak/>
        <w:t>Visos statistine programa GRETL® apskaičiuotos modelio kintamųjų standartizuotos reikšmės, rezultatai ir reikšmingumo vertinimo testai pateikiami šio darbo prieduose, kuomet analitinėje dalyje pateikiami jau susisteminti gautų rezultatų duomenys.</w:t>
      </w:r>
    </w:p>
    <w:p w:rsidR="00D358B7" w:rsidRDefault="00931F3E" w:rsidP="00AF58A0">
      <w:pPr>
        <w:spacing w:before="240"/>
      </w:pPr>
      <w:r>
        <w:t xml:space="preserve">Metodologinėje darbo dalyje iškeltos 2 mokslinės hipotezės: </w:t>
      </w:r>
      <w:r w:rsidR="00736723">
        <w:t xml:space="preserve">(1) </w:t>
      </w:r>
      <w:r w:rsidR="00D358B7">
        <w:t xml:space="preserve">Hipotezė </w:t>
      </w:r>
      <w:r w:rsidR="00D358B7" w:rsidRPr="006857BF">
        <w:t>H</w:t>
      </w:r>
      <w:r w:rsidR="00D358B7" w:rsidRPr="006857BF">
        <w:rPr>
          <w:vertAlign w:val="subscript"/>
        </w:rPr>
        <w:t>0</w:t>
      </w:r>
      <w:r w:rsidR="00D358B7" w:rsidRPr="006857BF">
        <w:t xml:space="preserve">: </w:t>
      </w:r>
      <w:r w:rsidR="00D358B7" w:rsidRPr="004E0A75">
        <w:rPr>
          <w:i/>
        </w:rPr>
        <w:t>Baltijos šalių įmonių dividendų politika neturi statistiškai reikšmingos įtakos akcijų kainoms dividendų paskelbimo dienomis</w:t>
      </w:r>
      <w:r>
        <w:t xml:space="preserve">; </w:t>
      </w:r>
      <w:r w:rsidR="00736723">
        <w:t xml:space="preserve">(2) </w:t>
      </w:r>
      <w:r w:rsidR="00D358B7" w:rsidRPr="005F509C">
        <w:t>Hipotezė</w:t>
      </w:r>
      <w:r w:rsidR="00D358B7">
        <w:t xml:space="preserve"> </w:t>
      </w:r>
      <w:r w:rsidR="00D358B7" w:rsidRPr="006857BF">
        <w:t>H</w:t>
      </w:r>
      <w:r w:rsidR="00D358B7" w:rsidRPr="006857BF">
        <w:rPr>
          <w:vertAlign w:val="subscript"/>
        </w:rPr>
        <w:t>0</w:t>
      </w:r>
      <w:r w:rsidR="00D358B7" w:rsidRPr="006857BF">
        <w:t xml:space="preserve">: </w:t>
      </w:r>
      <w:r w:rsidR="00D358B7" w:rsidRPr="00A2271D">
        <w:rPr>
          <w:i/>
        </w:rPr>
        <w:t>Daugiakriterinis dividendinio investavimo strategijos modelis nepaaiškina kainų svyravimų dividendų informacijos paskelbimo laikotarpiu</w:t>
      </w:r>
      <w:r w:rsidR="00D358B7">
        <w:rPr>
          <w:i/>
        </w:rPr>
        <w:t>.</w:t>
      </w:r>
      <w:r w:rsidR="00D358B7">
        <w:t xml:space="preserve"> </w:t>
      </w:r>
      <w:r w:rsidR="00736723">
        <w:t xml:space="preserve">Pirmosios hipotezės nagrinėjimo pagrindu parinktas pirmasis tyrimo metodas – </w:t>
      </w:r>
      <w:r w:rsidR="007D46EC">
        <w:rPr>
          <w:b/>
          <w:i/>
        </w:rPr>
        <w:t>įvykio</w:t>
      </w:r>
      <w:r w:rsidR="00736723" w:rsidRPr="00736723">
        <w:rPr>
          <w:b/>
          <w:i/>
        </w:rPr>
        <w:t xml:space="preserve"> analizės metodas</w:t>
      </w:r>
      <w:r w:rsidR="00736723">
        <w:t xml:space="preserve">, antrosios hipotezės nagrinėjimo pagrindu parinktas </w:t>
      </w:r>
      <w:r w:rsidR="00736723" w:rsidRPr="00736723">
        <w:rPr>
          <w:b/>
          <w:i/>
        </w:rPr>
        <w:t>daugiakriterinės analizės metodas</w:t>
      </w:r>
      <w:r w:rsidR="00D358B7">
        <w:t xml:space="preserve">. </w:t>
      </w:r>
    </w:p>
    <w:p w:rsidR="007D46EC" w:rsidRDefault="00C80C4F" w:rsidP="00C80C4F">
      <w:r>
        <w:t>Visų pirma, h</w:t>
      </w:r>
      <w:r w:rsidR="00D358B7">
        <w:t>ipotez</w:t>
      </w:r>
      <w:r>
        <w:t>ėms tikrinti</w:t>
      </w:r>
      <w:r w:rsidR="00D358B7">
        <w:t xml:space="preserve"> apibrėžta nagrinėjama </w:t>
      </w:r>
      <w:r w:rsidR="007D46EC">
        <w:t>tyrimo aibė</w:t>
      </w:r>
      <w:r w:rsidR="00D358B7">
        <w:t xml:space="preserve"> - </w:t>
      </w:r>
      <w:r w:rsidR="00D358B7" w:rsidRPr="00D358B7">
        <w:rPr>
          <w:i/>
        </w:rPr>
        <w:t>Nasdaq OMX Baltic</w:t>
      </w:r>
      <w:r w:rsidR="00D358B7">
        <w:t xml:space="preserve"> dividendinės akcijos, tuomet suformuoti atliekamo empirinio tyrimo dividendinių ir fundamentinių duomenų atrankos kriterijai</w:t>
      </w:r>
      <w:r w:rsidR="00AA0822">
        <w:t xml:space="preserve"> 5 metų analizės laikotarpiui</w:t>
      </w:r>
      <w:r w:rsidR="00D358B7">
        <w:t xml:space="preserve">. </w:t>
      </w:r>
      <w:r w:rsidR="007D46EC">
        <w:rPr>
          <w:b/>
        </w:rPr>
        <w:t>Įvykio</w:t>
      </w:r>
      <w:r w:rsidR="00D358B7" w:rsidRPr="00C80C4F">
        <w:rPr>
          <w:b/>
        </w:rPr>
        <w:t xml:space="preserve"> analizei</w:t>
      </w:r>
      <w:r w:rsidR="00D358B7">
        <w:t xml:space="preserve"> atlikti parinktas nagrinėjimas įvyko laiko intervalas – 5 dienos prieš</w:t>
      </w:r>
      <w:r w:rsidR="007D46EC">
        <w:t xml:space="preserve"> ir 5 po dienos po dividendų nauijienų paskelbimo</w:t>
      </w:r>
      <w:r w:rsidR="00D358B7">
        <w:t>, kur 0</w:t>
      </w:r>
      <w:r w:rsidR="007D46EC">
        <w:t xml:space="preserve"> </w:t>
      </w:r>
      <w:r w:rsidR="00D358B7">
        <w:t xml:space="preserve">– dividendų paskelbimo diena. </w:t>
      </w:r>
      <w:r w:rsidR="007D46EC">
        <w:t>Toks intervalas pasirinktas</w:t>
      </w:r>
      <w:r w:rsidR="00D358B7">
        <w:t xml:space="preserve"> </w:t>
      </w:r>
      <w:r w:rsidR="007D46EC">
        <w:t>informacijos asimetrijai</w:t>
      </w:r>
      <w:r w:rsidR="00D358B7">
        <w:t xml:space="preserve">, kainų prisitaikymo trukmei ir rinkos efektyvumui įvertinti. </w:t>
      </w:r>
      <w:r w:rsidR="007D46EC">
        <w:t>Šiame tyrime toliau bus nagrinėjimi vidutiniai ir sudėtiniai dividendinių akcijų pelningumai</w:t>
      </w:r>
      <w:r w:rsidR="00D358B7">
        <w:t xml:space="preserve"> naujienų paskelbimo dienomis</w:t>
      </w:r>
      <w:r w:rsidR="007D46EC">
        <w:t>, priklausomai nuo dividendų naujienų konteksto  -</w:t>
      </w:r>
      <w:r w:rsidR="00D358B7">
        <w:t xml:space="preserve"> </w:t>
      </w:r>
      <w:r w:rsidR="007D46EC">
        <w:t xml:space="preserve">dividendų mažėjimo, </w:t>
      </w:r>
      <w:r>
        <w:t>didėjimo, dividendų neišmokėj</w:t>
      </w:r>
      <w:r w:rsidR="007D46EC">
        <w:t>imo ir inicijavimo</w:t>
      </w:r>
      <w:r>
        <w:t xml:space="preserve">. </w:t>
      </w:r>
    </w:p>
    <w:p w:rsidR="00C80C4F" w:rsidRPr="00C80C4F" w:rsidRDefault="00C80C4F" w:rsidP="00C80C4F">
      <w:r>
        <w:rPr>
          <w:b/>
        </w:rPr>
        <w:t xml:space="preserve">Daugiakriterinei analizei </w:t>
      </w:r>
      <w:r w:rsidRPr="00C80C4F">
        <w:t xml:space="preserve">atlikti </w:t>
      </w:r>
      <w:r w:rsidR="00AF58A0">
        <w:t xml:space="preserve">apibrėžiami modelių kintamieji: </w:t>
      </w:r>
      <w:r w:rsidRPr="00C80C4F">
        <w:t xml:space="preserve">dividendų politikos </w:t>
      </w:r>
      <w:r>
        <w:t>(dividendų pajamingumas ir div</w:t>
      </w:r>
      <w:r w:rsidR="002513C3">
        <w:t xml:space="preserve">idendų išmokėjimo koeficientas), </w:t>
      </w:r>
      <w:r w:rsidRPr="00C80C4F">
        <w:t xml:space="preserve">kontroliniai </w:t>
      </w:r>
      <w:r w:rsidR="002513C3">
        <w:t xml:space="preserve">(lnTur, RETE, RR, </w:t>
      </w:r>
      <w:r>
        <w:t xml:space="preserve"> </w:t>
      </w:r>
      <w:r w:rsidR="002513C3">
        <w:t>EBITDA poky</w:t>
      </w:r>
      <w:r w:rsidR="00AF58A0">
        <w:t>tis, ROE, CR, D/E, M/B, lnApyv)</w:t>
      </w:r>
      <w:r w:rsidR="002513C3">
        <w:t xml:space="preserve"> ir žyminiai</w:t>
      </w:r>
      <w:r w:rsidR="00AF58A0">
        <w:rPr>
          <w:lang w:val="en-US"/>
        </w:rPr>
        <w:t xml:space="preserve">. </w:t>
      </w:r>
      <w:r w:rsidR="00AA0822">
        <w:t>Nepriklausomų kintamųjų įtakos</w:t>
      </w:r>
      <w:r>
        <w:t xml:space="preserve"> priklausomiems tyrimo kintamiesiems </w:t>
      </w:r>
      <w:r w:rsidR="00AA0822">
        <w:t>(akcijų pelningumui</w:t>
      </w:r>
      <w:r w:rsidR="00AF58A0">
        <w:t xml:space="preserve">) </w:t>
      </w:r>
      <w:r w:rsidR="00AA0822">
        <w:t xml:space="preserve">vertinimas atliekamas </w:t>
      </w:r>
      <w:r w:rsidR="00AA0822" w:rsidRPr="00AA0822">
        <w:rPr>
          <w:i/>
        </w:rPr>
        <w:t>fiksuoto</w:t>
      </w:r>
      <w:r w:rsidR="00AA0822">
        <w:t xml:space="preserve"> ir </w:t>
      </w:r>
      <w:r w:rsidR="00AA0822" w:rsidRPr="00AA0822">
        <w:rPr>
          <w:i/>
        </w:rPr>
        <w:t>atsitiktinio efekto</w:t>
      </w:r>
      <w:r w:rsidR="00AA0822">
        <w:t xml:space="preserve"> modeliais, rezultatai pagrindžiami siūlomų regresinių modelių statistinio patikimumo apskaičiavimu.</w:t>
      </w:r>
    </w:p>
    <w:p w:rsidR="002513C3" w:rsidRPr="00240F98" w:rsidRDefault="00617B32" w:rsidP="00691E5B">
      <w:pPr>
        <w:rPr>
          <w:sz w:val="20"/>
          <w:szCs w:val="20"/>
        </w:rPr>
      </w:pPr>
      <w:r>
        <w:br w:type="page"/>
      </w:r>
    </w:p>
    <w:p w:rsidR="00FC6A12" w:rsidRDefault="00FC6A12" w:rsidP="00B64EEA">
      <w:pPr>
        <w:pStyle w:val="Heading1"/>
        <w:numPr>
          <w:ilvl w:val="0"/>
          <w:numId w:val="24"/>
        </w:numPr>
      </w:pPr>
      <w:bookmarkStart w:id="79" w:name="_Toc343677756"/>
      <w:r>
        <w:lastRenderedPageBreak/>
        <w:t>Dividendinio investavimo strategijŲ taikymo empirInis pagrindimas</w:t>
      </w:r>
      <w:bookmarkEnd w:id="79"/>
    </w:p>
    <w:p w:rsidR="00FC6A12" w:rsidRDefault="00FC6A12" w:rsidP="00FC6A12">
      <w:r>
        <w:t xml:space="preserve">Atsižvelgiant į metodologinėje darbo dalyje suformuluotus atrankos kriterijus, visų pirma buvo atrinktos </w:t>
      </w:r>
      <w:r>
        <w:rPr>
          <w:i/>
        </w:rPr>
        <w:t>Nasdaq</w:t>
      </w:r>
      <w:r w:rsidRPr="00FC2094">
        <w:rPr>
          <w:i/>
        </w:rPr>
        <w:t xml:space="preserve"> OMX Baltic</w:t>
      </w:r>
      <w:r>
        <w:t xml:space="preserve"> biržoje 2012 m. lapkričio 17 dienai listinguotos dividendinės akcijos. Tyrimo aibę sudarė viso 38 įmonių akcijos, bent kartą išmokėjusios savo akcininkams pinginius dividendus 2008-2012 metais (2008 metai laikomi pirmaisiais nagrinėjamais metais per kuriuos įmonės paskelbė naujienas apie dividendų išmokėjimą). Daugumos dividendus mokėjusių įmonių akcijomis prekiaujama </w:t>
      </w:r>
      <w:r w:rsidRPr="00FC2094">
        <w:rPr>
          <w:i/>
        </w:rPr>
        <w:t>OMX Vilnius</w:t>
      </w:r>
      <w:r>
        <w:t xml:space="preserve"> biržoje – 20, </w:t>
      </w:r>
      <w:r w:rsidRPr="00FC2094">
        <w:rPr>
          <w:i/>
        </w:rPr>
        <w:t xml:space="preserve">OMX Tallinn </w:t>
      </w:r>
      <w:r>
        <w:t xml:space="preserve">biržoje – 11, bei likusios 7 – </w:t>
      </w:r>
      <w:r w:rsidRPr="00FC2094">
        <w:rPr>
          <w:i/>
        </w:rPr>
        <w:t>OMX Riga</w:t>
      </w:r>
      <w:r>
        <w:t xml:space="preserve"> biržoje. Atsižvelgiant į planuojamo tyrimo rezultatų patikimumą, tyrimo aibė padalinta į dvi imtis: įmonių, kurios yra bent kartą mokėję dividendus akcininkams, bet nebemoka (nereprezentatyviąją) ir reprezentatyviąją (žr. </w:t>
      </w:r>
      <w:r w:rsidR="00707DF4">
        <w:t>11 lent.</w:t>
      </w:r>
      <w:r>
        <w:t>).</w:t>
      </w:r>
    </w:p>
    <w:p w:rsidR="00FC6A12" w:rsidRDefault="00FC6A12" w:rsidP="00FC6A12">
      <w:pPr>
        <w:pStyle w:val="Caption"/>
      </w:pPr>
      <w:r>
        <w:t xml:space="preserve"> </w:t>
      </w:r>
      <w:bookmarkStart w:id="80" w:name="_Ref341871126"/>
      <w:bookmarkStart w:id="81" w:name="_Toc343677829"/>
      <w:r>
        <w:t>Nereprezentatyvioji ir reprezentatyvioji tyrimo imtys</w:t>
      </w:r>
      <w:bookmarkEnd w:id="80"/>
      <w:bookmarkEnd w:id="81"/>
    </w:p>
    <w:tbl>
      <w:tblPr>
        <w:tblW w:w="9980" w:type="dxa"/>
        <w:tblInd w:w="1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73"/>
        <w:gridCol w:w="1701"/>
        <w:gridCol w:w="1963"/>
        <w:gridCol w:w="2330"/>
        <w:gridCol w:w="1713"/>
      </w:tblGrid>
      <w:tr w:rsidR="00FC6A12" w:rsidRPr="008F365F" w:rsidTr="00FC6A12">
        <w:trPr>
          <w:trHeight w:val="311"/>
        </w:trPr>
        <w:tc>
          <w:tcPr>
            <w:tcW w:w="3974" w:type="dxa"/>
            <w:gridSpan w:val="2"/>
            <w:tcBorders>
              <w:bottom w:val="single" w:sz="12" w:space="0" w:color="auto"/>
            </w:tcBorders>
            <w:shd w:val="clear" w:color="auto" w:fill="auto"/>
            <w:noWrap/>
            <w:vAlign w:val="bottom"/>
            <w:hideMark/>
          </w:tcPr>
          <w:p w:rsidR="00FC6A12" w:rsidRPr="008F365F" w:rsidRDefault="00FC6A12" w:rsidP="00FC6A12">
            <w:pPr>
              <w:spacing w:before="0" w:line="240" w:lineRule="auto"/>
              <w:ind w:firstLine="0"/>
              <w:jc w:val="center"/>
              <w:rPr>
                <w:rFonts w:ascii="Calibri" w:eastAsia="Times New Roman" w:hAnsi="Calibri" w:cs="Times New Roman"/>
                <w:b/>
                <w:bCs/>
                <w:color w:val="000000"/>
                <w:lang w:eastAsia="lt-LT"/>
              </w:rPr>
            </w:pPr>
            <w:r>
              <w:rPr>
                <w:rFonts w:ascii="Calibri" w:eastAsia="Times New Roman" w:hAnsi="Calibri" w:cs="Times New Roman"/>
                <w:b/>
                <w:bCs/>
                <w:color w:val="000000"/>
                <w:sz w:val="22"/>
                <w:lang w:eastAsia="lt-LT"/>
              </w:rPr>
              <w:t>Nerepreze</w:t>
            </w:r>
            <w:r w:rsidRPr="008F365F">
              <w:rPr>
                <w:rFonts w:ascii="Calibri" w:eastAsia="Times New Roman" w:hAnsi="Calibri" w:cs="Times New Roman"/>
                <w:b/>
                <w:bCs/>
                <w:color w:val="000000"/>
                <w:sz w:val="22"/>
                <w:lang w:eastAsia="lt-LT"/>
              </w:rPr>
              <w:t>nt</w:t>
            </w:r>
            <w:r>
              <w:rPr>
                <w:rFonts w:ascii="Calibri" w:eastAsia="Times New Roman" w:hAnsi="Calibri" w:cs="Times New Roman"/>
                <w:b/>
                <w:bCs/>
                <w:color w:val="000000"/>
                <w:sz w:val="22"/>
                <w:lang w:eastAsia="lt-LT"/>
              </w:rPr>
              <w:t>aty</w:t>
            </w:r>
            <w:r w:rsidRPr="008F365F">
              <w:rPr>
                <w:rFonts w:ascii="Calibri" w:eastAsia="Times New Roman" w:hAnsi="Calibri" w:cs="Times New Roman"/>
                <w:b/>
                <w:bCs/>
                <w:color w:val="000000"/>
                <w:sz w:val="22"/>
                <w:lang w:eastAsia="lt-LT"/>
              </w:rPr>
              <w:t>vioji imtis</w:t>
            </w:r>
          </w:p>
        </w:tc>
        <w:tc>
          <w:tcPr>
            <w:tcW w:w="6006" w:type="dxa"/>
            <w:gridSpan w:val="3"/>
            <w:tcBorders>
              <w:bottom w:val="single" w:sz="12" w:space="0" w:color="auto"/>
            </w:tcBorders>
            <w:shd w:val="clear" w:color="auto" w:fill="auto"/>
            <w:noWrap/>
            <w:vAlign w:val="bottom"/>
            <w:hideMark/>
          </w:tcPr>
          <w:p w:rsidR="00FC6A12" w:rsidRPr="008F365F" w:rsidRDefault="00FC6A12" w:rsidP="00FC6A12">
            <w:pPr>
              <w:spacing w:line="240" w:lineRule="auto"/>
              <w:ind w:firstLine="0"/>
              <w:jc w:val="center"/>
              <w:rPr>
                <w:rFonts w:ascii="Calibri" w:eastAsia="Times New Roman" w:hAnsi="Calibri" w:cs="Times New Roman"/>
                <w:b/>
                <w:bCs/>
                <w:color w:val="000000"/>
                <w:lang w:eastAsia="lt-LT"/>
              </w:rPr>
            </w:pPr>
            <w:r w:rsidRPr="008F365F">
              <w:rPr>
                <w:rFonts w:ascii="Calibri" w:eastAsia="Times New Roman" w:hAnsi="Calibri" w:cs="Times New Roman"/>
                <w:b/>
                <w:bCs/>
                <w:color w:val="000000"/>
                <w:sz w:val="22"/>
                <w:lang w:eastAsia="lt-LT"/>
              </w:rPr>
              <w:t>Reprezentatyvioji imtis</w:t>
            </w:r>
          </w:p>
        </w:tc>
      </w:tr>
      <w:tr w:rsidR="00FC6A12" w:rsidRPr="008F365F" w:rsidTr="00FC6A12">
        <w:trPr>
          <w:trHeight w:val="300"/>
        </w:trPr>
        <w:tc>
          <w:tcPr>
            <w:tcW w:w="2273" w:type="dxa"/>
            <w:tcBorders>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Arco Vara</w:t>
            </w:r>
          </w:p>
        </w:tc>
        <w:tc>
          <w:tcPr>
            <w:tcW w:w="1701" w:type="dxa"/>
            <w:tcBorders>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Invalda</w:t>
            </w:r>
          </w:p>
        </w:tc>
        <w:tc>
          <w:tcPr>
            <w:tcW w:w="1963" w:type="dxa"/>
            <w:tcBorders>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Harju Elekter</w:t>
            </w:r>
          </w:p>
        </w:tc>
        <w:tc>
          <w:tcPr>
            <w:tcW w:w="2330" w:type="dxa"/>
            <w:tcBorders>
              <w:left w:val="nil"/>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Kurzemes CMAS</w:t>
            </w:r>
          </w:p>
        </w:tc>
        <w:tc>
          <w:tcPr>
            <w:tcW w:w="1713" w:type="dxa"/>
            <w:tcBorders>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Lietuvos dujos</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Olympic Entertainment Group </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Linas Agro Group</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Silvano Fashion Group</w:t>
            </w:r>
          </w:p>
        </w:tc>
        <w:tc>
          <w:tcPr>
            <w:tcW w:w="2330" w:type="dxa"/>
            <w:tcBorders>
              <w:top w:val="nil"/>
              <w:left w:val="nil"/>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Valmieras stikla šķiedra</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Panevėžio statybos trestas</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Nordecon</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LITGRID</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Merko Ehitus</w:t>
            </w:r>
          </w:p>
        </w:tc>
        <w:tc>
          <w:tcPr>
            <w:tcW w:w="2330" w:type="dxa"/>
            <w:tcBorders>
              <w:top w:val="nil"/>
              <w:left w:val="nil"/>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Siguldas CMAS</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Rokiškio sūris</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Ditton pievadķēžu rūpnīca</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Šiaulių bankas</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Tallinna Kaubamaja</w:t>
            </w:r>
          </w:p>
        </w:tc>
        <w:tc>
          <w:tcPr>
            <w:tcW w:w="2330" w:type="dxa"/>
            <w:tcBorders>
              <w:top w:val="nil"/>
              <w:left w:val="nil"/>
              <w:bottom w:val="nil"/>
              <w:righ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Vilkyškių pieninė</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Pieno žvaigždės </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Premia Foods</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Ūkio bankas</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Tallinna Vesi</w:t>
            </w:r>
          </w:p>
        </w:tc>
        <w:tc>
          <w:tcPr>
            <w:tcW w:w="2330" w:type="dxa"/>
            <w:tcBorders>
              <w:top w:val="nil"/>
              <w:left w:val="nil"/>
              <w:bottom w:val="nil"/>
              <w:righ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City Service</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TEO LT</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Viisnurk</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Baltika</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SAF Tehnika</w:t>
            </w:r>
          </w:p>
        </w:tc>
        <w:tc>
          <w:tcPr>
            <w:tcW w:w="2330" w:type="dxa"/>
            <w:tcBorders>
              <w:top w:val="nil"/>
              <w:left w:val="nil"/>
              <w:bottom w:val="nil"/>
              <w:righ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Grigiškės</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Apranga </w:t>
            </w:r>
          </w:p>
        </w:tc>
      </w:tr>
      <w:tr w:rsidR="00FC6A12" w:rsidRPr="008F365F" w:rsidTr="00FC6A12">
        <w:trPr>
          <w:trHeight w:val="300"/>
        </w:trPr>
        <w:tc>
          <w:tcPr>
            <w:tcW w:w="2273" w:type="dxa"/>
            <w:tcBorders>
              <w:top w:val="nil"/>
              <w:bottom w:val="nil"/>
              <w:right w:val="nil"/>
            </w:tcBorders>
            <w:shd w:val="clear" w:color="auto" w:fill="auto"/>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Žemaitijos pienas </w:t>
            </w:r>
          </w:p>
        </w:tc>
        <w:tc>
          <w:tcPr>
            <w:tcW w:w="1701" w:type="dxa"/>
            <w:tcBorders>
              <w:top w:val="nil"/>
              <w:left w:val="nil"/>
              <w:bottom w:val="nil"/>
              <w:right w:val="single" w:sz="12" w:space="0" w:color="auto"/>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Kauno energija</w:t>
            </w:r>
          </w:p>
        </w:tc>
        <w:tc>
          <w:tcPr>
            <w:tcW w:w="1963" w:type="dxa"/>
            <w:tcBorders>
              <w:top w:val="nil"/>
              <w:left w:val="single" w:sz="12" w:space="0" w:color="auto"/>
              <w:bottom w:val="nil"/>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Latvijas Gāze</w:t>
            </w:r>
          </w:p>
        </w:tc>
        <w:tc>
          <w:tcPr>
            <w:tcW w:w="2330" w:type="dxa"/>
            <w:tcBorders>
              <w:top w:val="nil"/>
              <w:left w:val="nil"/>
              <w:bottom w:val="nil"/>
              <w:righ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Klaipėdos nafta</w:t>
            </w:r>
          </w:p>
        </w:tc>
        <w:tc>
          <w:tcPr>
            <w:tcW w:w="1713" w:type="dxa"/>
            <w:tcBorders>
              <w:top w:val="nil"/>
              <w:left w:val="nil"/>
              <w:bottom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Vilniaus baldai</w:t>
            </w:r>
          </w:p>
        </w:tc>
      </w:tr>
      <w:tr w:rsidR="00FC6A12" w:rsidRPr="008F365F" w:rsidTr="00FC6A12">
        <w:trPr>
          <w:trHeight w:val="300"/>
        </w:trPr>
        <w:tc>
          <w:tcPr>
            <w:tcW w:w="2273" w:type="dxa"/>
            <w:tcBorders>
              <w:top w:val="nil"/>
              <w:righ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Lietuvos energija </w:t>
            </w:r>
          </w:p>
        </w:tc>
        <w:tc>
          <w:tcPr>
            <w:tcW w:w="1701" w:type="dxa"/>
            <w:tcBorders>
              <w:top w:val="nil"/>
              <w:left w:val="nil"/>
              <w:right w:val="single" w:sz="12" w:space="0" w:color="auto"/>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p>
        </w:tc>
        <w:tc>
          <w:tcPr>
            <w:tcW w:w="1963" w:type="dxa"/>
            <w:tcBorders>
              <w:top w:val="nil"/>
              <w:left w:val="single" w:sz="12" w:space="0" w:color="auto"/>
              <w:right w:val="nil"/>
            </w:tcBorders>
            <w:shd w:val="clear" w:color="auto" w:fill="auto"/>
            <w:noWrap/>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Olainfarm</w:t>
            </w:r>
          </w:p>
        </w:tc>
        <w:tc>
          <w:tcPr>
            <w:tcW w:w="4043" w:type="dxa"/>
            <w:gridSpan w:val="2"/>
            <w:tcBorders>
              <w:top w:val="nil"/>
              <w:left w:val="nil"/>
            </w:tcBorders>
            <w:shd w:val="clear" w:color="000000" w:fill="FFFFFF"/>
            <w:vAlign w:val="center"/>
            <w:hideMark/>
          </w:tcPr>
          <w:p w:rsidR="00FC6A12" w:rsidRPr="008F365F" w:rsidRDefault="00FC6A12" w:rsidP="00FC6A12">
            <w:pPr>
              <w:spacing w:before="0" w:line="240" w:lineRule="auto"/>
              <w:ind w:firstLine="0"/>
              <w:jc w:val="center"/>
              <w:rPr>
                <w:rFonts w:eastAsia="Times New Roman" w:cs="Times New Roman"/>
                <w:color w:val="000000"/>
                <w:szCs w:val="24"/>
                <w:lang w:eastAsia="lt-LT"/>
              </w:rPr>
            </w:pPr>
            <w:r w:rsidRPr="008F365F">
              <w:rPr>
                <w:rFonts w:eastAsia="Times New Roman" w:cs="Times New Roman"/>
                <w:color w:val="000000"/>
                <w:szCs w:val="24"/>
                <w:lang w:eastAsia="lt-LT"/>
              </w:rPr>
              <w:t xml:space="preserve">LESTO </w:t>
            </w:r>
            <w:r w:rsidRPr="008F365F">
              <w:rPr>
                <w:rFonts w:eastAsia="Times New Roman" w:cs="Times New Roman"/>
                <w:i/>
                <w:color w:val="000000"/>
                <w:szCs w:val="24"/>
                <w:lang w:eastAsia="lt-LT"/>
              </w:rPr>
              <w:t>(iki 2011.01.01 VST ir RST)</w:t>
            </w:r>
          </w:p>
        </w:tc>
      </w:tr>
    </w:tbl>
    <w:p w:rsidR="00FC6A12" w:rsidRDefault="00FC6A12" w:rsidP="00FC6A12">
      <w:r>
        <w:t xml:space="preserve">Į reprezentatyviąją tyrimo imtį nepateko įmonės, neatitinkančios minimalių tyrimo imties formavimo parametrų, t.y. tos įmonės, kurios nepaskelbė naujienų apie dividendų išmokėjimą bent 2 kartus per pastaruosius tris metus (nuo 2010 iki 2012 metų imtinai), taip pat įmonės, prie kurių duomenų apie istorines akcijų kainas arba naujienas apie dividendus 2008-2012 metų laikotarpiui prieigos nerasta. </w:t>
      </w:r>
      <w:r w:rsidR="006403CD">
        <w:t>Į</w:t>
      </w:r>
      <w:r>
        <w:t xml:space="preserve"> galutinę tyrimo imtį nepateko </w:t>
      </w:r>
      <w:r w:rsidR="006403CD">
        <w:t>ir toliau neanalizuojamos</w:t>
      </w:r>
      <w:r>
        <w:t xml:space="preserve"> įmonės, neturinčios tiek istorinio dividendų mokėjimo pagrindo, tiek ir dividendų dydžio rentabilumo, </w:t>
      </w:r>
      <w:r w:rsidR="006403CD">
        <w:t>siekiant rezultatų tikslumo ir galimų klaidų tyrimo metu</w:t>
      </w:r>
      <w:r>
        <w:t>.</w:t>
      </w:r>
    </w:p>
    <w:p w:rsidR="00FC6A12" w:rsidRDefault="006403CD" w:rsidP="00B64EEA">
      <w:pPr>
        <w:pStyle w:val="Heading2"/>
        <w:numPr>
          <w:ilvl w:val="0"/>
          <w:numId w:val="25"/>
        </w:numPr>
        <w:ind w:left="0" w:firstLine="709"/>
      </w:pPr>
      <w:bookmarkStart w:id="82" w:name="_Toc343677757"/>
      <w:r>
        <w:t>Dividendinių įmonių rinkos struktūra ir pagrindinių rodiklių analizė</w:t>
      </w:r>
      <w:bookmarkEnd w:id="82"/>
    </w:p>
    <w:p w:rsidR="00FC6A12" w:rsidRDefault="00FC6A12" w:rsidP="00FC6A12">
      <w:r>
        <w:t>Dividendinių akcijų analizei atlikti suformuota galutinė tyrimo imtis: atrinktos 23 įmonių akcijos  (žr.</w:t>
      </w:r>
      <w:r w:rsidR="00AA0822">
        <w:t xml:space="preserve"> </w:t>
      </w:r>
      <w:r w:rsidR="00707DF4">
        <w:t>12 lent.</w:t>
      </w:r>
      <w:r>
        <w:t xml:space="preserve">), kuriomis prekiaujama Baltijos rinkoje. 12 iš jų prekiaujama </w:t>
      </w:r>
      <w:r w:rsidRPr="00FC2094">
        <w:rPr>
          <w:i/>
        </w:rPr>
        <w:t>OMX Vilnius</w:t>
      </w:r>
      <w:r>
        <w:t xml:space="preserve"> biržoje (svoris pagal rinkos kapitalizaciją - 62,1%), 6 – </w:t>
      </w:r>
      <w:r w:rsidRPr="00FC2094">
        <w:rPr>
          <w:i/>
        </w:rPr>
        <w:t>OMX Riga</w:t>
      </w:r>
      <w:r>
        <w:t xml:space="preserve"> (15,5</w:t>
      </w:r>
      <w:r w:rsidRPr="005E1587">
        <w:t>%)</w:t>
      </w:r>
      <w:r>
        <w:t xml:space="preserve">  ir 5 – </w:t>
      </w:r>
      <w:r w:rsidRPr="00FC2094">
        <w:rPr>
          <w:i/>
        </w:rPr>
        <w:t>OMX Tallinn</w:t>
      </w:r>
      <w:r>
        <w:t xml:space="preserve"> biržose (22,4</w:t>
      </w:r>
      <w:r w:rsidRPr="005E1587">
        <w:t>%</w:t>
      </w:r>
      <w:r>
        <w:t xml:space="preserve">).  </w:t>
      </w:r>
      <w:r>
        <w:lastRenderedPageBreak/>
        <w:t xml:space="preserve">Dividendinių akcijų dalis pagal rinkos kapitalizaciją </w:t>
      </w:r>
      <w:r w:rsidRPr="009237E4">
        <w:t>(daugiau kaip 2,5 mlrd. Eur)</w:t>
      </w:r>
      <w:r>
        <w:t xml:space="preserve"> lyginant su visomis Baltijos rinkoje prekiaujamomis akcijomis sudaro 49,4</w:t>
      </w:r>
      <w:r w:rsidRPr="005E1587">
        <w:t>%.</w:t>
      </w:r>
    </w:p>
    <w:p w:rsidR="00FC6A12" w:rsidRDefault="00FC6A12" w:rsidP="00230AF4">
      <w:pPr>
        <w:pStyle w:val="Caption"/>
        <w:ind w:left="1276" w:hanging="992"/>
      </w:pPr>
      <w:bookmarkStart w:id="83" w:name="_Ref341874164"/>
      <w:r>
        <w:t xml:space="preserve"> </w:t>
      </w:r>
      <w:bookmarkStart w:id="84" w:name="_Ref343345891"/>
      <w:bookmarkStart w:id="85" w:name="_Toc343677830"/>
      <w:r>
        <w:t>Analizuojamų dividendinių akcijų svoriai ir veiklos sektoriai Baltijos rinkoje</w:t>
      </w:r>
      <w:bookmarkEnd w:id="83"/>
      <w:bookmarkEnd w:id="84"/>
      <w:bookmarkEnd w:id="85"/>
    </w:p>
    <w:tbl>
      <w:tblPr>
        <w:tblW w:w="9933" w:type="dxa"/>
        <w:tblInd w:w="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432"/>
        <w:gridCol w:w="1536"/>
        <w:gridCol w:w="1076"/>
        <w:gridCol w:w="1048"/>
        <w:gridCol w:w="3841"/>
      </w:tblGrid>
      <w:tr w:rsidR="00FC6A12" w:rsidRPr="00C64C5A" w:rsidTr="00FC6A12">
        <w:trPr>
          <w:trHeight w:val="690"/>
        </w:trPr>
        <w:tc>
          <w:tcPr>
            <w:tcW w:w="2432" w:type="dxa"/>
            <w:shd w:val="clear" w:color="auto" w:fill="auto"/>
            <w:vAlign w:val="bottom"/>
            <w:hideMark/>
          </w:tcPr>
          <w:p w:rsidR="00FC6A12" w:rsidRPr="00C64C5A" w:rsidRDefault="00FC6A12" w:rsidP="00FC6A12">
            <w:pPr>
              <w:spacing w:before="0" w:line="240" w:lineRule="auto"/>
              <w:ind w:firstLine="0"/>
              <w:jc w:val="center"/>
              <w:rPr>
                <w:rFonts w:eastAsia="Times New Roman" w:cs="Times New Roman"/>
                <w:b/>
                <w:bCs/>
                <w:color w:val="000000"/>
                <w:lang w:eastAsia="zh-CN"/>
              </w:rPr>
            </w:pPr>
            <w:r w:rsidRPr="00C64C5A">
              <w:rPr>
                <w:rFonts w:eastAsia="Times New Roman" w:cs="Times New Roman"/>
                <w:b/>
                <w:bCs/>
                <w:color w:val="000000"/>
                <w:sz w:val="22"/>
                <w:lang w:eastAsia="zh-CN"/>
              </w:rPr>
              <w:t>Emitentas</w:t>
            </w:r>
          </w:p>
        </w:tc>
        <w:tc>
          <w:tcPr>
            <w:tcW w:w="1536" w:type="dxa"/>
            <w:shd w:val="clear" w:color="auto" w:fill="auto"/>
            <w:vAlign w:val="bottom"/>
            <w:hideMark/>
          </w:tcPr>
          <w:p w:rsidR="00FC6A12" w:rsidRPr="00C64C5A" w:rsidRDefault="00FC6A12" w:rsidP="00FC6A12">
            <w:pPr>
              <w:spacing w:before="0" w:line="240" w:lineRule="auto"/>
              <w:ind w:firstLine="0"/>
              <w:jc w:val="center"/>
              <w:rPr>
                <w:rFonts w:eastAsia="Times New Roman" w:cs="Times New Roman"/>
                <w:b/>
                <w:bCs/>
                <w:color w:val="000000"/>
                <w:lang w:eastAsia="zh-CN"/>
              </w:rPr>
            </w:pPr>
            <w:r w:rsidRPr="00C64C5A">
              <w:rPr>
                <w:rFonts w:eastAsia="Times New Roman" w:cs="Times New Roman"/>
                <w:b/>
                <w:bCs/>
                <w:color w:val="000000"/>
                <w:sz w:val="22"/>
                <w:lang w:eastAsia="zh-CN"/>
              </w:rPr>
              <w:t>Kapitalizacija mln. Eur</w:t>
            </w:r>
          </w:p>
        </w:tc>
        <w:tc>
          <w:tcPr>
            <w:tcW w:w="1076" w:type="dxa"/>
            <w:shd w:val="clear" w:color="auto" w:fill="auto"/>
            <w:vAlign w:val="bottom"/>
            <w:hideMark/>
          </w:tcPr>
          <w:p w:rsidR="00FC6A12" w:rsidRPr="00C64C5A" w:rsidRDefault="00FC6A12" w:rsidP="00FC6A12">
            <w:pPr>
              <w:spacing w:before="0" w:line="240" w:lineRule="auto"/>
              <w:ind w:firstLine="0"/>
              <w:jc w:val="center"/>
              <w:rPr>
                <w:rFonts w:eastAsia="Times New Roman" w:cs="Times New Roman"/>
                <w:b/>
                <w:bCs/>
                <w:color w:val="000000"/>
                <w:lang w:eastAsia="zh-CN"/>
              </w:rPr>
            </w:pPr>
            <w:r w:rsidRPr="00C64C5A">
              <w:rPr>
                <w:rFonts w:eastAsia="Times New Roman" w:cs="Times New Roman"/>
                <w:b/>
                <w:bCs/>
                <w:color w:val="000000"/>
                <w:sz w:val="22"/>
                <w:lang w:eastAsia="zh-CN"/>
              </w:rPr>
              <w:t>Dalis</w:t>
            </w:r>
          </w:p>
        </w:tc>
        <w:tc>
          <w:tcPr>
            <w:tcW w:w="1048" w:type="dxa"/>
            <w:vAlign w:val="bottom"/>
          </w:tcPr>
          <w:p w:rsidR="00FC6A12" w:rsidRPr="00C64C5A" w:rsidRDefault="00FC6A12" w:rsidP="00FC6A12">
            <w:pPr>
              <w:spacing w:before="0" w:line="240" w:lineRule="auto"/>
              <w:ind w:firstLine="0"/>
              <w:jc w:val="center"/>
              <w:rPr>
                <w:rFonts w:eastAsia="Times New Roman" w:cs="Times New Roman"/>
                <w:b/>
                <w:bCs/>
                <w:color w:val="000000"/>
                <w:lang w:eastAsia="zh-CN"/>
              </w:rPr>
            </w:pPr>
            <w:r w:rsidRPr="00C64C5A">
              <w:rPr>
                <w:rFonts w:eastAsia="Times New Roman" w:cs="Times New Roman"/>
                <w:b/>
                <w:bCs/>
                <w:color w:val="000000"/>
                <w:sz w:val="22"/>
                <w:lang w:eastAsia="zh-CN"/>
              </w:rPr>
              <w:t>Indeksas</w:t>
            </w:r>
            <w:r>
              <w:rPr>
                <w:rFonts w:eastAsia="Times New Roman" w:cs="Times New Roman"/>
                <w:b/>
                <w:bCs/>
                <w:color w:val="000000"/>
                <w:sz w:val="22"/>
                <w:lang w:eastAsia="zh-CN"/>
              </w:rPr>
              <w:t xml:space="preserve"> (rinka)</w:t>
            </w:r>
          </w:p>
        </w:tc>
        <w:tc>
          <w:tcPr>
            <w:tcW w:w="3841" w:type="dxa"/>
            <w:shd w:val="clear" w:color="auto" w:fill="auto"/>
            <w:vAlign w:val="bottom"/>
            <w:hideMark/>
          </w:tcPr>
          <w:p w:rsidR="00FC6A12" w:rsidRPr="00C64C5A" w:rsidRDefault="00FC6A12" w:rsidP="00FC6A12">
            <w:pPr>
              <w:spacing w:before="0" w:line="240" w:lineRule="auto"/>
              <w:ind w:firstLine="0"/>
              <w:jc w:val="center"/>
              <w:rPr>
                <w:rFonts w:eastAsia="Times New Roman" w:cs="Times New Roman"/>
                <w:b/>
                <w:bCs/>
                <w:color w:val="000000"/>
                <w:lang w:eastAsia="zh-CN"/>
              </w:rPr>
            </w:pPr>
            <w:r w:rsidRPr="00C64C5A">
              <w:rPr>
                <w:rFonts w:eastAsia="Times New Roman" w:cs="Times New Roman"/>
                <w:b/>
                <w:bCs/>
                <w:color w:val="000000"/>
                <w:sz w:val="22"/>
                <w:lang w:eastAsia="zh-CN"/>
              </w:rPr>
              <w:t>Pramonės sektorius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TEO LT</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466,09</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18,11%</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Telekomunikacijos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LESTO AB</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338,21</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13,14%</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Komunalinės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Latvijas Gāze</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320,82</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12,46%</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Komunalinės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Lietuvos dujos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280,97</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10,92%</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Komunalinės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Tallinna Kaubamaja</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196,03</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7,62%</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OMXT</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Mažmeninė prekyba</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Klaipėdos nafta</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133,38</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5,18%</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Pramoninės prekės ir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Tallinna Vesi</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125,80</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4,89%</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OMXT</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Komunalinės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Silvano Fashion Group</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120,67</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4,69%</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OMXT</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Asmeninės priežiūros ir buitinės prekės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Merko Ehitus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95,58</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3,71%</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OMXT</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Statyba ir medžiagos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Pieno žvaigždės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91,55</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3,56%</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Maistas ir gėrimai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Apranga</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80,39</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3,12%</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Mažmeninė prekyba</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City Service AB</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62,15</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2,41%</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Pramoninės prekės ir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Olainfarm</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49,20</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1,91%</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Sveikatos priežiūra</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Rokiškio sūris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46,56</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1,81%</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Maistas ir gėrimai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Vilniaus baldai</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40,03</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1,56%</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Maistas ir gėrimai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Harju Elekter</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38,30</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1,49%</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OMXT</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Pramoninės prekės ir paslaugos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Grigiškės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27,72</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1,08%</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Pagrindiniai ištekliai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Valmieras stikla šķiedra</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19,25</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0,75%</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Chemikalai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Panevėžio statybos trestas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17,82</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0,69%</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Statyba ir medžiagos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Vilkyškių pieninė</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14,33</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0,56%</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OMXV</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Maistas ir gėrimai</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SAF Tehnika</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7,02</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0,27%</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Technologijos</w:t>
            </w:r>
          </w:p>
        </w:tc>
      </w:tr>
      <w:tr w:rsidR="00FC6A12" w:rsidRPr="00C64C5A" w:rsidTr="00FC6A12">
        <w:trPr>
          <w:trHeight w:val="330"/>
        </w:trPr>
        <w:tc>
          <w:tcPr>
            <w:tcW w:w="2432" w:type="dxa"/>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Kurzemes CMAS</w:t>
            </w:r>
          </w:p>
        </w:tc>
        <w:tc>
          <w:tcPr>
            <w:tcW w:w="153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1,22</w:t>
            </w:r>
          </w:p>
        </w:tc>
        <w:tc>
          <w:tcPr>
            <w:tcW w:w="1076"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0,05%</w:t>
            </w:r>
          </w:p>
        </w:tc>
        <w:tc>
          <w:tcPr>
            <w:tcW w:w="1048" w:type="dxa"/>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Asmeninės priežiūros ir buitinės prekės</w:t>
            </w:r>
          </w:p>
        </w:tc>
      </w:tr>
      <w:tr w:rsidR="00FC6A12" w:rsidRPr="00C64C5A" w:rsidTr="00FC6A12">
        <w:trPr>
          <w:trHeight w:val="330"/>
        </w:trPr>
        <w:tc>
          <w:tcPr>
            <w:tcW w:w="2432" w:type="dxa"/>
            <w:tcBorders>
              <w:bottom w:val="single" w:sz="12" w:space="0" w:color="auto"/>
            </w:tcBorders>
            <w:shd w:val="clear" w:color="auto" w:fill="auto"/>
            <w:noWrap/>
            <w:vAlign w:val="center"/>
            <w:hideMark/>
          </w:tcPr>
          <w:p w:rsidR="00FC6A12" w:rsidRPr="00924EA6" w:rsidRDefault="00FC6A12" w:rsidP="00FC6A12">
            <w:pPr>
              <w:spacing w:before="0" w:line="240" w:lineRule="auto"/>
              <w:ind w:firstLine="0"/>
              <w:jc w:val="center"/>
              <w:rPr>
                <w:rFonts w:eastAsia="Times New Roman" w:cs="Times New Roman"/>
                <w:i/>
                <w:color w:val="000000"/>
                <w:lang w:eastAsia="zh-CN"/>
              </w:rPr>
            </w:pPr>
            <w:r w:rsidRPr="00924EA6">
              <w:rPr>
                <w:rFonts w:eastAsia="Times New Roman" w:cs="Times New Roman"/>
                <w:i/>
                <w:color w:val="000000"/>
                <w:sz w:val="22"/>
                <w:lang w:eastAsia="zh-CN"/>
              </w:rPr>
              <w:t>Siguldas CMAS</w:t>
            </w:r>
          </w:p>
        </w:tc>
        <w:tc>
          <w:tcPr>
            <w:tcW w:w="1536" w:type="dxa"/>
            <w:tcBorders>
              <w:bottom w:val="single" w:sz="12" w:space="0" w:color="auto"/>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0,78</w:t>
            </w:r>
          </w:p>
        </w:tc>
        <w:tc>
          <w:tcPr>
            <w:tcW w:w="1076" w:type="dxa"/>
            <w:tcBorders>
              <w:bottom w:val="single" w:sz="12" w:space="0" w:color="auto"/>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0,03%</w:t>
            </w:r>
          </w:p>
        </w:tc>
        <w:tc>
          <w:tcPr>
            <w:tcW w:w="1048" w:type="dxa"/>
            <w:tcBorders>
              <w:bottom w:val="single" w:sz="12" w:space="0" w:color="auto"/>
            </w:tcBorders>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OMXR</w:t>
            </w:r>
          </w:p>
        </w:tc>
        <w:tc>
          <w:tcPr>
            <w:tcW w:w="3841" w:type="dxa"/>
            <w:tcBorders>
              <w:bottom w:val="single" w:sz="12" w:space="0" w:color="auto"/>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Maistas ir gėrimai</w:t>
            </w:r>
          </w:p>
        </w:tc>
      </w:tr>
      <w:tr w:rsidR="00FC6A12" w:rsidRPr="00C64C5A" w:rsidTr="00FC6A12">
        <w:trPr>
          <w:trHeight w:val="312"/>
        </w:trPr>
        <w:tc>
          <w:tcPr>
            <w:tcW w:w="2432" w:type="dxa"/>
            <w:tcBorders>
              <w:bottom w:val="nil"/>
              <w:right w:val="nil"/>
            </w:tcBorders>
            <w:shd w:val="clear" w:color="auto" w:fill="auto"/>
            <w:vAlign w:val="center"/>
          </w:tcPr>
          <w:p w:rsidR="00FC6A12" w:rsidRPr="00947451" w:rsidRDefault="00FC6A12" w:rsidP="00FC6A12">
            <w:pPr>
              <w:spacing w:before="0" w:line="240" w:lineRule="auto"/>
              <w:ind w:firstLine="0"/>
              <w:jc w:val="center"/>
              <w:rPr>
                <w:rFonts w:eastAsia="Times New Roman" w:cs="Times New Roman"/>
                <w:b/>
                <w:i/>
                <w:iCs/>
                <w:color w:val="000000"/>
                <w:szCs w:val="24"/>
                <w:lang w:eastAsia="zh-CN"/>
              </w:rPr>
            </w:pPr>
            <w:r>
              <w:rPr>
                <w:rFonts w:eastAsia="Times New Roman" w:cs="Times New Roman"/>
                <w:b/>
                <w:i/>
                <w:iCs/>
                <w:color w:val="000000"/>
                <w:szCs w:val="24"/>
                <w:lang w:eastAsia="zh-CN"/>
              </w:rPr>
              <w:t>Dividendų mokėtojos</w:t>
            </w:r>
            <w:r w:rsidRPr="00947451">
              <w:rPr>
                <w:rFonts w:eastAsia="Times New Roman" w:cs="Times New Roman"/>
                <w:b/>
                <w:i/>
                <w:iCs/>
                <w:color w:val="000000"/>
                <w:szCs w:val="24"/>
                <w:lang w:eastAsia="zh-CN"/>
              </w:rPr>
              <w:t>:</w:t>
            </w:r>
          </w:p>
        </w:tc>
        <w:tc>
          <w:tcPr>
            <w:tcW w:w="1536" w:type="dxa"/>
            <w:tcBorders>
              <w:left w:val="nil"/>
              <w:bottom w:val="nil"/>
              <w:right w:val="nil"/>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2.573,87</w:t>
            </w:r>
          </w:p>
        </w:tc>
        <w:tc>
          <w:tcPr>
            <w:tcW w:w="1076" w:type="dxa"/>
            <w:tcBorders>
              <w:left w:val="nil"/>
              <w:bottom w:val="nil"/>
              <w:right w:val="nil"/>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100,00%</w:t>
            </w:r>
          </w:p>
        </w:tc>
        <w:tc>
          <w:tcPr>
            <w:tcW w:w="1048" w:type="dxa"/>
            <w:tcBorders>
              <w:left w:val="nil"/>
              <w:bottom w:val="nil"/>
              <w:right w:val="nil"/>
            </w:tcBorders>
          </w:tcPr>
          <w:p w:rsidR="00FC6A12" w:rsidRPr="00C64C5A" w:rsidRDefault="00FC6A12" w:rsidP="00FC6A12">
            <w:pPr>
              <w:spacing w:before="0" w:line="240" w:lineRule="auto"/>
              <w:ind w:firstLine="0"/>
              <w:jc w:val="left"/>
              <w:rPr>
                <w:rFonts w:eastAsia="Times New Roman" w:cs="Times New Roman"/>
                <w:color w:val="000000"/>
                <w:szCs w:val="24"/>
                <w:lang w:eastAsia="zh-CN"/>
              </w:rPr>
            </w:pPr>
          </w:p>
        </w:tc>
        <w:tc>
          <w:tcPr>
            <w:tcW w:w="3841" w:type="dxa"/>
            <w:tcBorders>
              <w:left w:val="nil"/>
              <w:bottom w:val="nil"/>
            </w:tcBorders>
            <w:shd w:val="clear" w:color="auto" w:fill="auto"/>
            <w:noWrap/>
            <w:vAlign w:val="bottom"/>
            <w:hideMark/>
          </w:tcPr>
          <w:p w:rsidR="00FC6A12" w:rsidRPr="00C64C5A" w:rsidRDefault="00FC6A12" w:rsidP="00FC6A12">
            <w:pPr>
              <w:spacing w:before="0" w:line="240" w:lineRule="auto"/>
              <w:ind w:firstLine="0"/>
              <w:jc w:val="left"/>
              <w:rPr>
                <w:rFonts w:eastAsia="Times New Roman" w:cs="Times New Roman"/>
                <w:color w:val="000000"/>
                <w:szCs w:val="24"/>
                <w:lang w:eastAsia="zh-CN"/>
              </w:rPr>
            </w:pPr>
            <w:r w:rsidRPr="00C64C5A">
              <w:rPr>
                <w:rFonts w:eastAsia="Times New Roman" w:cs="Times New Roman"/>
                <w:color w:val="000000"/>
                <w:szCs w:val="24"/>
                <w:lang w:eastAsia="zh-CN"/>
              </w:rPr>
              <w:t> </w:t>
            </w:r>
          </w:p>
        </w:tc>
      </w:tr>
      <w:tr w:rsidR="00FC6A12" w:rsidRPr="00C64C5A" w:rsidTr="00FC6A12">
        <w:trPr>
          <w:trHeight w:val="275"/>
        </w:trPr>
        <w:tc>
          <w:tcPr>
            <w:tcW w:w="2432" w:type="dxa"/>
            <w:tcBorders>
              <w:top w:val="nil"/>
              <w:bottom w:val="single" w:sz="12" w:space="0" w:color="auto"/>
              <w:right w:val="nil"/>
            </w:tcBorders>
            <w:shd w:val="clear" w:color="auto" w:fill="auto"/>
            <w:vAlign w:val="center"/>
          </w:tcPr>
          <w:p w:rsidR="00FC6A12" w:rsidRPr="00947451" w:rsidRDefault="00FC6A12" w:rsidP="00FC6A12">
            <w:pPr>
              <w:spacing w:before="0" w:line="240" w:lineRule="auto"/>
              <w:ind w:firstLine="0"/>
              <w:jc w:val="center"/>
              <w:rPr>
                <w:rFonts w:eastAsia="Times New Roman" w:cs="Times New Roman"/>
                <w:b/>
                <w:i/>
                <w:iCs/>
                <w:color w:val="000000"/>
                <w:szCs w:val="24"/>
                <w:lang w:eastAsia="zh-CN"/>
              </w:rPr>
            </w:pPr>
            <w:r w:rsidRPr="00C64C5A">
              <w:rPr>
                <w:rFonts w:eastAsia="Times New Roman" w:cs="Times New Roman"/>
                <w:b/>
                <w:i/>
                <w:iCs/>
                <w:color w:val="000000"/>
                <w:szCs w:val="24"/>
                <w:lang w:eastAsia="zh-CN"/>
              </w:rPr>
              <w:t>OMX Baltic</w:t>
            </w:r>
          </w:p>
        </w:tc>
        <w:tc>
          <w:tcPr>
            <w:tcW w:w="1536" w:type="dxa"/>
            <w:tcBorders>
              <w:top w:val="nil"/>
              <w:left w:val="nil"/>
              <w:bottom w:val="single" w:sz="12" w:space="0" w:color="auto"/>
              <w:right w:val="nil"/>
            </w:tcBorders>
            <w:shd w:val="clear" w:color="auto" w:fill="auto"/>
            <w:noWrap/>
            <w:vAlign w:val="center"/>
            <w:hideMark/>
          </w:tcPr>
          <w:p w:rsidR="00FC6A12" w:rsidRPr="00C64C5A" w:rsidRDefault="00FC6A12" w:rsidP="00FC6A12">
            <w:pPr>
              <w:spacing w:before="0" w:line="240" w:lineRule="auto"/>
              <w:ind w:firstLine="0"/>
              <w:jc w:val="center"/>
              <w:rPr>
                <w:rFonts w:eastAsia="Times New Roman" w:cs="Times New Roman"/>
                <w:color w:val="000000"/>
                <w:szCs w:val="24"/>
                <w:lang w:eastAsia="zh-CN"/>
              </w:rPr>
            </w:pPr>
            <w:r w:rsidRPr="00C64C5A">
              <w:rPr>
                <w:rFonts w:eastAsia="Times New Roman" w:cs="Times New Roman"/>
                <w:color w:val="000000"/>
                <w:szCs w:val="24"/>
                <w:lang w:eastAsia="zh-CN"/>
              </w:rPr>
              <w:t>5.206,00</w:t>
            </w:r>
          </w:p>
        </w:tc>
        <w:tc>
          <w:tcPr>
            <w:tcW w:w="1076" w:type="dxa"/>
            <w:tcBorders>
              <w:top w:val="nil"/>
              <w:left w:val="nil"/>
              <w:bottom w:val="single" w:sz="12" w:space="0" w:color="auto"/>
              <w:right w:val="nil"/>
            </w:tcBorders>
            <w:vAlign w:val="center"/>
          </w:tcPr>
          <w:p w:rsidR="00FC6A12" w:rsidRPr="00C64C5A" w:rsidRDefault="00FC6A12" w:rsidP="00FC6A12">
            <w:pPr>
              <w:spacing w:before="0" w:line="240" w:lineRule="auto"/>
              <w:ind w:firstLine="0"/>
              <w:jc w:val="center"/>
              <w:rPr>
                <w:rFonts w:eastAsia="Times New Roman" w:cs="Times New Roman"/>
                <w:color w:val="000000"/>
                <w:szCs w:val="24"/>
                <w:lang w:eastAsia="zh-CN"/>
              </w:rPr>
            </w:pPr>
          </w:p>
        </w:tc>
        <w:tc>
          <w:tcPr>
            <w:tcW w:w="4889" w:type="dxa"/>
            <w:gridSpan w:val="2"/>
            <w:tcBorders>
              <w:top w:val="nil"/>
              <w:left w:val="nil"/>
              <w:bottom w:val="single" w:sz="12" w:space="0" w:color="auto"/>
            </w:tcBorders>
            <w:shd w:val="clear" w:color="auto" w:fill="auto"/>
            <w:noWrap/>
            <w:vAlign w:val="bottom"/>
            <w:hideMark/>
          </w:tcPr>
          <w:p w:rsidR="00FC6A12" w:rsidRPr="00C64C5A" w:rsidRDefault="00FC6A12" w:rsidP="00FC6A12">
            <w:pPr>
              <w:spacing w:before="0" w:line="240" w:lineRule="auto"/>
              <w:ind w:firstLine="0"/>
              <w:jc w:val="left"/>
              <w:rPr>
                <w:rFonts w:eastAsia="Times New Roman" w:cs="Times New Roman"/>
                <w:color w:val="000000"/>
                <w:szCs w:val="24"/>
                <w:lang w:eastAsia="zh-CN"/>
              </w:rPr>
            </w:pPr>
          </w:p>
        </w:tc>
      </w:tr>
      <w:tr w:rsidR="00FC6A12" w:rsidRPr="00C64C5A" w:rsidTr="00FC6A12">
        <w:trPr>
          <w:trHeight w:val="406"/>
        </w:trPr>
        <w:tc>
          <w:tcPr>
            <w:tcW w:w="3968" w:type="dxa"/>
            <w:gridSpan w:val="2"/>
            <w:tcBorders>
              <w:top w:val="single" w:sz="12" w:space="0" w:color="auto"/>
              <w:right w:val="nil"/>
            </w:tcBorders>
            <w:shd w:val="pct10" w:color="auto" w:fill="FFFFFF" w:themeFill="background1"/>
            <w:vAlign w:val="center"/>
          </w:tcPr>
          <w:p w:rsidR="00FC6A12" w:rsidRPr="00C64C5A" w:rsidRDefault="00FC6A12" w:rsidP="00FC6A12">
            <w:pPr>
              <w:spacing w:before="0" w:line="240" w:lineRule="auto"/>
              <w:ind w:firstLine="0"/>
              <w:jc w:val="left"/>
              <w:rPr>
                <w:rFonts w:eastAsia="Times New Roman" w:cs="Times New Roman"/>
                <w:b/>
                <w:bCs/>
                <w:color w:val="000000"/>
                <w:szCs w:val="24"/>
                <w:lang w:eastAsia="zh-CN"/>
              </w:rPr>
            </w:pPr>
            <w:r w:rsidRPr="00C64C5A">
              <w:rPr>
                <w:rFonts w:eastAsia="Times New Roman" w:cs="Times New Roman"/>
                <w:b/>
                <w:bCs/>
                <w:i/>
                <w:iCs/>
                <w:color w:val="000000"/>
                <w:szCs w:val="24"/>
                <w:lang w:eastAsia="zh-CN"/>
              </w:rPr>
              <w:t>Dividendinių akcijų proporcija</w:t>
            </w:r>
            <w:r>
              <w:rPr>
                <w:rFonts w:eastAsia="Times New Roman" w:cs="Times New Roman"/>
                <w:b/>
                <w:bCs/>
                <w:i/>
                <w:iCs/>
                <w:color w:val="000000"/>
                <w:szCs w:val="24"/>
                <w:lang w:eastAsia="zh-CN"/>
              </w:rPr>
              <w:t>:</w:t>
            </w:r>
          </w:p>
        </w:tc>
        <w:tc>
          <w:tcPr>
            <w:tcW w:w="1076" w:type="dxa"/>
            <w:tcBorders>
              <w:top w:val="single" w:sz="12" w:space="0" w:color="auto"/>
              <w:left w:val="nil"/>
              <w:right w:val="nil"/>
            </w:tcBorders>
            <w:shd w:val="pct10" w:color="auto" w:fill="FFFFFF" w:themeFill="background1"/>
            <w:noWrap/>
            <w:vAlign w:val="center"/>
            <w:hideMark/>
          </w:tcPr>
          <w:p w:rsidR="00FC6A12" w:rsidRPr="00C64C5A" w:rsidRDefault="00FC6A12" w:rsidP="00FC6A12">
            <w:pPr>
              <w:spacing w:before="0" w:line="240" w:lineRule="auto"/>
              <w:ind w:firstLine="0"/>
              <w:jc w:val="center"/>
              <w:rPr>
                <w:rFonts w:ascii="Calibri" w:eastAsia="Times New Roman" w:hAnsi="Calibri" w:cs="Times New Roman"/>
                <w:color w:val="000000"/>
                <w:lang w:eastAsia="zh-CN"/>
              </w:rPr>
            </w:pPr>
            <w:r w:rsidRPr="00C64C5A">
              <w:rPr>
                <w:rFonts w:eastAsia="Times New Roman" w:cs="Times New Roman"/>
                <w:b/>
                <w:bCs/>
                <w:color w:val="000000"/>
                <w:szCs w:val="24"/>
                <w:lang w:eastAsia="zh-CN"/>
              </w:rPr>
              <w:t>49,44%</w:t>
            </w:r>
          </w:p>
        </w:tc>
        <w:tc>
          <w:tcPr>
            <w:tcW w:w="1048" w:type="dxa"/>
            <w:tcBorders>
              <w:top w:val="single" w:sz="12" w:space="0" w:color="auto"/>
              <w:left w:val="nil"/>
              <w:right w:val="nil"/>
            </w:tcBorders>
            <w:shd w:val="pct10" w:color="auto" w:fill="FFFFFF" w:themeFill="background1"/>
            <w:vAlign w:val="center"/>
          </w:tcPr>
          <w:p w:rsidR="00FC6A12" w:rsidRPr="00C64C5A" w:rsidRDefault="00FC6A12" w:rsidP="00FC6A12">
            <w:pPr>
              <w:spacing w:before="0" w:line="240" w:lineRule="auto"/>
              <w:ind w:firstLine="0"/>
              <w:jc w:val="center"/>
              <w:rPr>
                <w:rFonts w:ascii="Calibri" w:eastAsia="Times New Roman" w:hAnsi="Calibri" w:cs="Times New Roman"/>
                <w:color w:val="000000"/>
                <w:lang w:eastAsia="zh-CN"/>
              </w:rPr>
            </w:pPr>
          </w:p>
        </w:tc>
        <w:tc>
          <w:tcPr>
            <w:tcW w:w="3841" w:type="dxa"/>
            <w:tcBorders>
              <w:top w:val="single" w:sz="12" w:space="0" w:color="auto"/>
              <w:left w:val="nil"/>
            </w:tcBorders>
            <w:shd w:val="pct10" w:color="auto" w:fill="FFFFFF" w:themeFill="background1"/>
            <w:noWrap/>
            <w:vAlign w:val="center"/>
            <w:hideMark/>
          </w:tcPr>
          <w:p w:rsidR="00FC6A12" w:rsidRPr="00C64C5A" w:rsidRDefault="00FC6A12" w:rsidP="00FC6A12">
            <w:pPr>
              <w:spacing w:before="0" w:line="240" w:lineRule="auto"/>
              <w:ind w:firstLine="0"/>
              <w:jc w:val="center"/>
              <w:rPr>
                <w:rFonts w:ascii="Calibri" w:eastAsia="Times New Roman" w:hAnsi="Calibri" w:cs="Times New Roman"/>
                <w:color w:val="000000"/>
                <w:lang w:eastAsia="zh-CN"/>
              </w:rPr>
            </w:pPr>
          </w:p>
        </w:tc>
      </w:tr>
    </w:tbl>
    <w:p w:rsidR="00FC6A12" w:rsidRPr="00463F5C" w:rsidRDefault="00FC6A12" w:rsidP="00FC6A12">
      <w:pPr>
        <w:ind w:firstLine="0"/>
        <w:rPr>
          <w:sz w:val="20"/>
          <w:szCs w:val="20"/>
        </w:rPr>
      </w:pPr>
      <w:r w:rsidRPr="00463F5C">
        <w:rPr>
          <w:b/>
          <w:sz w:val="20"/>
          <w:szCs w:val="20"/>
        </w:rPr>
        <w:t>Šaltinis:</w:t>
      </w:r>
      <w:r w:rsidRPr="00463F5C">
        <w:rPr>
          <w:sz w:val="20"/>
          <w:szCs w:val="20"/>
        </w:rPr>
        <w:t xml:space="preserve"> Sudaryta autoriaus pagal N</w:t>
      </w:r>
      <w:r>
        <w:rPr>
          <w:sz w:val="20"/>
          <w:szCs w:val="20"/>
        </w:rPr>
        <w:t>asdaq</w:t>
      </w:r>
      <w:r w:rsidRPr="00463F5C">
        <w:rPr>
          <w:sz w:val="20"/>
          <w:szCs w:val="20"/>
        </w:rPr>
        <w:t xml:space="preserve"> OMX Baltic duomenis</w:t>
      </w:r>
      <w:r>
        <w:rPr>
          <w:sz w:val="20"/>
          <w:szCs w:val="20"/>
        </w:rPr>
        <w:t xml:space="preserve"> </w:t>
      </w:r>
      <w:r w:rsidRPr="00463F5C">
        <w:rPr>
          <w:sz w:val="20"/>
          <w:szCs w:val="20"/>
        </w:rPr>
        <w:t>(2011.12.30)</w:t>
      </w:r>
    </w:p>
    <w:p w:rsidR="00FC6A12" w:rsidRDefault="00FC6A12" w:rsidP="00FC6A12">
      <w:r>
        <w:t xml:space="preserve">Didžiausios dividendinės įmonės rinkoje: </w:t>
      </w:r>
      <w:r w:rsidRPr="00D1521A">
        <w:rPr>
          <w:i/>
        </w:rPr>
        <w:t>TEO LT, LESTO AB</w:t>
      </w:r>
      <w:r>
        <w:t xml:space="preserve"> (abi - Vilniaus rinka), </w:t>
      </w:r>
      <w:r w:rsidRPr="00C64C5A">
        <w:rPr>
          <w:rFonts w:eastAsia="Times New Roman" w:cs="Times New Roman"/>
          <w:i/>
          <w:color w:val="000000"/>
          <w:szCs w:val="24"/>
          <w:lang w:eastAsia="zh-CN"/>
        </w:rPr>
        <w:t>Latvijas Gāze</w:t>
      </w:r>
      <w:r>
        <w:t xml:space="preserve">, </w:t>
      </w:r>
      <w:r w:rsidRPr="00D1521A">
        <w:rPr>
          <w:i/>
        </w:rPr>
        <w:t>Lietuvos dujos</w:t>
      </w:r>
      <w:r>
        <w:t xml:space="preserve">, </w:t>
      </w:r>
      <w:r w:rsidRPr="00D1521A">
        <w:rPr>
          <w:i/>
        </w:rPr>
        <w:t>Tallinna Kaubamaja</w:t>
      </w:r>
      <w:r>
        <w:t xml:space="preserve">. Reiktų paminėti, jog trijų mažiausių dividendinių įmonių akcijomis prekiaujama Latvijos rinkoje, dvi iš jų listinguojamos papildome prekybos sąraše. </w:t>
      </w:r>
    </w:p>
    <w:p w:rsidR="00FC6A12" w:rsidRPr="003A4A02" w:rsidRDefault="00FC6A12" w:rsidP="00FC6A12">
      <w:r>
        <w:t>Šis rodiklis iš esmės atspindi ir pačios Latvijos akcijų prekybos rinkos specifiką. Iš viso net</w:t>
      </w:r>
      <w:r w:rsidRPr="005E1587">
        <w:t xml:space="preserve"> 26 i</w:t>
      </w:r>
      <w:r>
        <w:t xml:space="preserve">š  31 įmonės įtrauktos į Papildomą Baltijos akcijų sąrašą. Latvijos akcijų birža taip pat išsiskiria savo </w:t>
      </w:r>
      <w:r>
        <w:lastRenderedPageBreak/>
        <w:t>dydžiu: pagal praėjusių (2011) metų apyvartumą ši rinka užima tik 9,3</w:t>
      </w:r>
      <w:r w:rsidRPr="003A4A02">
        <w:t>%</w:t>
      </w:r>
      <w:r>
        <w:t xml:space="preserve"> visos Baltijos akcijų rinkos, atrinktų Latvijos dividendinių įmonių akcijų apyvartumas sudaro tik 6,3</w:t>
      </w:r>
      <w:r w:rsidRPr="003A4A02">
        <w:t>%</w:t>
      </w:r>
      <w:r>
        <w:t xml:space="preserve"> visų analizuojamų dividendinių akcijų, kuomet Estijos ir Lietuvos įmonių atitinkamai 47,5</w:t>
      </w:r>
      <w:r w:rsidRPr="003A4A02">
        <w:t>%</w:t>
      </w:r>
      <w:r>
        <w:t xml:space="preserve"> ir 46,3% (Nasdaq OMX Baltic, 2012).</w:t>
      </w:r>
    </w:p>
    <w:p w:rsidR="00FC6A12" w:rsidRPr="005D4572" w:rsidRDefault="00FC6A12" w:rsidP="00FC6A12">
      <w:r>
        <w:t xml:space="preserve">Pagal </w:t>
      </w:r>
      <w:r w:rsidRPr="007A6826">
        <w:rPr>
          <w:i/>
        </w:rPr>
        <w:t>ICB</w:t>
      </w:r>
      <w:r>
        <w:t xml:space="preserve"> (angl. </w:t>
      </w:r>
      <w:r w:rsidRPr="00D1521A">
        <w:t>Industry Classification Benchmark</w:t>
      </w:r>
      <w:r>
        <w:t xml:space="preserve">) klasifikavimo standartą, kuriuo remiantis analizuojamos Baltijos šalių dividendinės įmonės suskirstytos pagal sektorius, ir </w:t>
      </w:r>
      <w:r w:rsidRPr="007A6826">
        <w:rPr>
          <w:i/>
        </w:rPr>
        <w:t>GICS</w:t>
      </w:r>
      <w:r>
        <w:t xml:space="preserve"> klasifikaciją, atlikta palyginamoji Baltijos šalių ir JAV dividendinių akcijų pasiskirstymo pagal veiklos sektorius analizė (žr.</w:t>
      </w:r>
      <w:r w:rsidR="00AA0822">
        <w:t xml:space="preserve"> </w:t>
      </w:r>
      <w:r w:rsidR="00EC7800">
        <w:fldChar w:fldCharType="begin"/>
      </w:r>
      <w:r w:rsidR="00AA0822">
        <w:instrText xml:space="preserve"> REF _Ref342134340 \r \h </w:instrText>
      </w:r>
      <w:r w:rsidR="00EC7800">
        <w:fldChar w:fldCharType="separate"/>
      </w:r>
      <w:r w:rsidR="0009577F">
        <w:t>6 pav</w:t>
      </w:r>
      <w:r w:rsidR="00EC7800">
        <w:fldChar w:fldCharType="end"/>
      </w:r>
      <w:r>
        <w:t xml:space="preserve">.). Palyginimui, </w:t>
      </w:r>
      <w:r w:rsidRPr="007A6826">
        <w:rPr>
          <w:i/>
        </w:rPr>
        <w:t>S&amp;P500</w:t>
      </w:r>
      <w:r>
        <w:t xml:space="preserve"> indekso bendrovių, mokančių dividendus, skaičius siekia net </w:t>
      </w:r>
      <w:r>
        <w:rPr>
          <w:lang w:val="en-US"/>
        </w:rPr>
        <w:t xml:space="preserve">403, o </w:t>
      </w:r>
      <w:r w:rsidRPr="007A6826">
        <w:rPr>
          <w:i/>
          <w:lang w:val="en-US"/>
        </w:rPr>
        <w:t>OMX Baltic</w:t>
      </w:r>
      <w:r>
        <w:rPr>
          <w:lang w:val="en-US"/>
        </w:rPr>
        <w:t xml:space="preserve"> </w:t>
      </w:r>
      <w:r w:rsidRPr="005D4572">
        <w:t>sąraše - 23 dividendinės įmonės. T</w:t>
      </w:r>
      <w:r>
        <w:t>endencija</w:t>
      </w:r>
      <w:r w:rsidRPr="005D4572">
        <w:t xml:space="preserve"> rodo, jog dauguma </w:t>
      </w:r>
      <w:r w:rsidRPr="005D4572">
        <w:rPr>
          <w:i/>
        </w:rPr>
        <w:t>S&amp;P500</w:t>
      </w:r>
      <w:r w:rsidRPr="005D4572">
        <w:t xml:space="preserve"> dividendinių įmonių veikia </w:t>
      </w:r>
      <w:r w:rsidRPr="005D4572">
        <w:rPr>
          <w:i/>
        </w:rPr>
        <w:t>Finansų paslaugų</w:t>
      </w:r>
      <w:r w:rsidRPr="005D4572">
        <w:t xml:space="preserve"> sektoriuje (75 įmonės arba 18,6%), kuomet Baltijos šalyse šiame sektoriuje veikiančių dividendinių įmonių apskritai nėra. </w:t>
      </w:r>
      <w:r w:rsidRPr="005D4572">
        <w:rPr>
          <w:i/>
        </w:rPr>
        <w:t>Paslaugų vartotojams</w:t>
      </w:r>
      <w:r w:rsidRPr="005D4572">
        <w:t xml:space="preserve"> sektoriuje veikia 14,6% </w:t>
      </w:r>
      <w:r w:rsidRPr="005D4572">
        <w:rPr>
          <w:i/>
        </w:rPr>
        <w:t>S&amp;P500</w:t>
      </w:r>
      <w:r w:rsidRPr="005D4572">
        <w:t xml:space="preserve"> indekso įmonių, kuomet Baltijos šalyse – 8,6%. Taip pat reiktų pastebėti, jog </w:t>
      </w:r>
      <w:r w:rsidRPr="005D4572">
        <w:rPr>
          <w:i/>
        </w:rPr>
        <w:t>Pramonės gaminių sektorius</w:t>
      </w:r>
      <w:r w:rsidRPr="005D4572">
        <w:t xml:space="preserve"> </w:t>
      </w:r>
      <w:r w:rsidRPr="005D4572">
        <w:rPr>
          <w:i/>
        </w:rPr>
        <w:t>S&amp;P500</w:t>
      </w:r>
      <w:r w:rsidRPr="005D4572">
        <w:t xml:space="preserve"> atveju pagal įmonių pasiskirstymą yra trečias pagal dydį, tuo tarpu </w:t>
      </w:r>
      <w:r w:rsidRPr="005D4572">
        <w:rPr>
          <w:i/>
        </w:rPr>
        <w:t>OMX Baltic</w:t>
      </w:r>
      <w:r w:rsidRPr="005D4572">
        <w:t xml:space="preserve"> – antras. Didžiausias dividendinių įmonių sektorius Baltijos šalyse yra </w:t>
      </w:r>
      <w:r w:rsidRPr="005D4572">
        <w:rPr>
          <w:i/>
        </w:rPr>
        <w:t>Plataus vartojimo prekių</w:t>
      </w:r>
      <w:r w:rsidRPr="005D4572">
        <w:t xml:space="preserve">, tuo tarpu </w:t>
      </w:r>
      <w:r w:rsidRPr="005D4572">
        <w:rPr>
          <w:i/>
        </w:rPr>
        <w:t xml:space="preserve">S&amp;P500 </w:t>
      </w:r>
      <w:r w:rsidRPr="005D4572">
        <w:t>atveju</w:t>
      </w:r>
      <w:r w:rsidRPr="005D4572">
        <w:rPr>
          <w:i/>
        </w:rPr>
        <w:t xml:space="preserve"> </w:t>
      </w:r>
      <w:r w:rsidRPr="005D4572">
        <w:t>– kiek mažesnis nei vidutinio dydžio, į jį patenka 38 įmonės.</w:t>
      </w:r>
    </w:p>
    <w:p w:rsidR="00FC6A12" w:rsidRDefault="00FC6A12" w:rsidP="00FC6A12">
      <w:pPr>
        <w:ind w:firstLine="0"/>
        <w:jc w:val="center"/>
      </w:pPr>
      <w:r w:rsidRPr="00B05359">
        <w:rPr>
          <w:noProof/>
          <w:lang w:eastAsia="lt-LT"/>
        </w:rPr>
        <w:drawing>
          <wp:inline distT="0" distB="0" distL="0" distR="0">
            <wp:extent cx="4572000" cy="27432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6A12" w:rsidRPr="00A45664" w:rsidRDefault="00FC6A12" w:rsidP="00FC6A12">
      <w:pPr>
        <w:ind w:firstLine="0"/>
        <w:jc w:val="center"/>
        <w:rPr>
          <w:sz w:val="20"/>
          <w:szCs w:val="20"/>
          <w:lang w:val="en-US"/>
        </w:rPr>
      </w:pPr>
      <w:r w:rsidRPr="009D0BB8">
        <w:rPr>
          <w:b/>
          <w:sz w:val="20"/>
          <w:szCs w:val="20"/>
        </w:rPr>
        <w:t>Šaltinis:</w:t>
      </w:r>
      <w:r w:rsidRPr="00A45664">
        <w:rPr>
          <w:sz w:val="20"/>
          <w:szCs w:val="20"/>
        </w:rPr>
        <w:t xml:space="preserve"> sudaryta</w:t>
      </w:r>
      <w:r>
        <w:rPr>
          <w:sz w:val="20"/>
          <w:szCs w:val="20"/>
        </w:rPr>
        <w:t xml:space="preserve"> autoriaus pagal Nasdaq OMX Baltic (2012) ir Standard</w:t>
      </w:r>
      <w:r>
        <w:rPr>
          <w:sz w:val="20"/>
          <w:szCs w:val="20"/>
          <w:lang w:val="en-US"/>
        </w:rPr>
        <w:t>&amp;Poors (2012.09.30) duomenis</w:t>
      </w:r>
    </w:p>
    <w:p w:rsidR="00FC6A12" w:rsidRDefault="00FC6A12" w:rsidP="00FC6A12">
      <w:pPr>
        <w:pStyle w:val="Subtitle"/>
      </w:pPr>
      <w:bookmarkStart w:id="86" w:name="_Ref342134340"/>
      <w:bookmarkStart w:id="87" w:name="_Toc343677849"/>
      <w:r>
        <w:t>Baltijos šalių ir S</w:t>
      </w:r>
      <w:r>
        <w:rPr>
          <w:lang w:val="en-US"/>
        </w:rPr>
        <w:t>&amp;P500</w:t>
      </w:r>
      <w:r>
        <w:t xml:space="preserve"> dividendinių įmonių pasiskirstymas pagal pramonės sektorius</w:t>
      </w:r>
      <w:bookmarkEnd w:id="86"/>
      <w:bookmarkEnd w:id="87"/>
    </w:p>
    <w:p w:rsidR="00FC6A12" w:rsidRDefault="00FC6A12" w:rsidP="00FC6A12">
      <w:r>
        <w:t xml:space="preserve">Pramonės sektorių palyginamoji analizė su JAV akcijų indekso dividendinėmis akcijomis parodė, jog Baltijos šalių dividendinių akcijų rinka turi savitą rinkos specifiką, o įmonių akcijos pagal pramonės sektorius pasiskirstę gana skirtingai, jei lygintume </w:t>
      </w:r>
      <w:r w:rsidRPr="008E4007">
        <w:rPr>
          <w:i/>
        </w:rPr>
        <w:t>S</w:t>
      </w:r>
      <w:r w:rsidRPr="005E1587">
        <w:rPr>
          <w:i/>
        </w:rPr>
        <w:t>&amp;P500</w:t>
      </w:r>
      <w:r>
        <w:t xml:space="preserve">. </w:t>
      </w:r>
    </w:p>
    <w:p w:rsidR="00FC6A12" w:rsidRDefault="00FC6A12" w:rsidP="00FC6A12">
      <w:r>
        <w:t>Toliau analizuojant Baltijos šalių dividendinių įmonių pasiskirstymą tarp pramonės sektorių, kaip jau minėta prieš tai, daugiausiai įmonių (žr.</w:t>
      </w:r>
      <w:r w:rsidR="00AA0822">
        <w:t xml:space="preserve"> </w:t>
      </w:r>
      <w:r w:rsidR="00EC7800">
        <w:fldChar w:fldCharType="begin"/>
      </w:r>
      <w:r w:rsidR="00AA0822">
        <w:instrText xml:space="preserve"> REF _Ref343345946 \r \h </w:instrText>
      </w:r>
      <w:r w:rsidR="00EC7800">
        <w:fldChar w:fldCharType="separate"/>
      </w:r>
      <w:r w:rsidR="0009577F">
        <w:t>7 pav</w:t>
      </w:r>
      <w:r w:rsidR="00EC7800">
        <w:fldChar w:fldCharType="end"/>
      </w:r>
      <w:r>
        <w:t xml:space="preserve">.) veikia </w:t>
      </w:r>
      <w:r w:rsidRPr="00D1521A">
        <w:rPr>
          <w:i/>
        </w:rPr>
        <w:t xml:space="preserve">Plataus vartojimo gaminių pramonės </w:t>
      </w:r>
      <w:r w:rsidRPr="00D1521A">
        <w:lastRenderedPageBreak/>
        <w:t>šakoj</w:t>
      </w:r>
      <w:r w:rsidRPr="00C748DA">
        <w:t>e</w:t>
      </w:r>
      <w:r>
        <w:t xml:space="preserve">, tarp jų: 5 - Maisto ir gėrimų pramonės, 2 - Asmeninės priežiūros ir buities prekių sektoriuose. 5 įmonės veikia </w:t>
      </w:r>
      <w:r w:rsidRPr="00D1521A">
        <w:rPr>
          <w:i/>
        </w:rPr>
        <w:t xml:space="preserve">Pramoninių gaminių pramonės </w:t>
      </w:r>
      <w:r w:rsidRPr="00D1521A">
        <w:t>šakoje,</w:t>
      </w:r>
      <w:r>
        <w:t xml:space="preserve"> tarp jų: 3 - Pramoninių prekių ir paslaugų, 2 - Statybos ir medžiagų pramonės sektoriuose. Dar 4 įmonės veikia </w:t>
      </w:r>
      <w:r w:rsidRPr="00D1521A">
        <w:rPr>
          <w:i/>
        </w:rPr>
        <w:t>Komunalinių paslaugų pramonės</w:t>
      </w:r>
      <w:r>
        <w:t xml:space="preserve"> sektoriuje, tuo tarpu 2 – </w:t>
      </w:r>
      <w:r w:rsidRPr="00D1521A">
        <w:rPr>
          <w:i/>
        </w:rPr>
        <w:t>Paslaugų vartotojams</w:t>
      </w:r>
      <w:r>
        <w:t xml:space="preserve"> pramonės šakoje (Mažemeninės prekybos sektoriuje) ir 2 – </w:t>
      </w:r>
      <w:r w:rsidRPr="00E91CA4">
        <w:rPr>
          <w:i/>
        </w:rPr>
        <w:t>Pagrindinių medžiagų</w:t>
      </w:r>
      <w:r>
        <w:t xml:space="preserve"> šakoje (po vieną – Pagrindinių ištekių ir Chemikalų sektoriuje).</w:t>
      </w:r>
    </w:p>
    <w:p w:rsidR="00FC6A12" w:rsidRDefault="00FC6A12" w:rsidP="00FC6A12">
      <w:pPr>
        <w:ind w:firstLine="0"/>
      </w:pPr>
      <w:r w:rsidRPr="0039727E">
        <w:rPr>
          <w:noProof/>
          <w:lang w:eastAsia="lt-LT"/>
        </w:rPr>
        <w:drawing>
          <wp:inline distT="0" distB="0" distL="0" distR="0">
            <wp:extent cx="24003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D2433">
        <w:rPr>
          <w:noProof/>
          <w:lang w:eastAsia="lt-LT"/>
        </w:rPr>
        <w:drawing>
          <wp:inline distT="0" distB="0" distL="0" distR="0">
            <wp:extent cx="3810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6A12" w:rsidRPr="00B95D69" w:rsidRDefault="00FC6A12" w:rsidP="00CA7FAE">
      <w:pPr>
        <w:ind w:firstLine="142"/>
        <w:rPr>
          <w:sz w:val="20"/>
          <w:szCs w:val="20"/>
        </w:rPr>
      </w:pPr>
      <w:r w:rsidRPr="00B95D69">
        <w:rPr>
          <w:b/>
          <w:sz w:val="20"/>
          <w:szCs w:val="20"/>
        </w:rPr>
        <w:t>Šaltinis:</w:t>
      </w:r>
      <w:r>
        <w:rPr>
          <w:sz w:val="20"/>
          <w:szCs w:val="20"/>
        </w:rPr>
        <w:t xml:space="preserve"> sudaryta autoriaus pagal Nasdaq</w:t>
      </w:r>
      <w:r w:rsidRPr="00B95D69">
        <w:rPr>
          <w:sz w:val="20"/>
          <w:szCs w:val="20"/>
        </w:rPr>
        <w:t xml:space="preserve"> OMX Baltic duomenis</w:t>
      </w:r>
      <w:r>
        <w:rPr>
          <w:sz w:val="20"/>
          <w:szCs w:val="20"/>
        </w:rPr>
        <w:t xml:space="preserve"> (</w:t>
      </w:r>
      <w:r w:rsidRPr="00463F5C">
        <w:rPr>
          <w:sz w:val="20"/>
          <w:szCs w:val="20"/>
        </w:rPr>
        <w:t>2011.12.30</w:t>
      </w:r>
      <w:r>
        <w:rPr>
          <w:sz w:val="20"/>
          <w:szCs w:val="20"/>
        </w:rPr>
        <w:t>)</w:t>
      </w:r>
    </w:p>
    <w:p w:rsidR="00FC6A12" w:rsidRDefault="00FC6A12" w:rsidP="00FC6A12">
      <w:pPr>
        <w:pStyle w:val="Subtitle"/>
      </w:pPr>
      <w:bookmarkStart w:id="88" w:name="_Ref341877839"/>
      <w:bookmarkStart w:id="89" w:name="_Ref343345946"/>
      <w:bookmarkStart w:id="90" w:name="_Toc343677850"/>
      <w:r>
        <w:t xml:space="preserve">Dividendinių įmonių pasiskirstymas tarp sektorių pagal </w:t>
      </w:r>
      <w:bookmarkEnd w:id="88"/>
      <w:r>
        <w:t>įmonių skaičių ir rinkos kapitalizaciją</w:t>
      </w:r>
      <w:bookmarkEnd w:id="89"/>
      <w:bookmarkEnd w:id="90"/>
    </w:p>
    <w:p w:rsidR="00FC6A12" w:rsidRPr="005E1587" w:rsidRDefault="00FC6A12" w:rsidP="00FC6A12">
      <w:pPr>
        <w:rPr>
          <w:i/>
        </w:rPr>
      </w:pPr>
      <w:r w:rsidRPr="0039727E">
        <w:t xml:space="preserve">Nors daugiausiai analizuojamų dividendinių įmonių susitelkę </w:t>
      </w:r>
      <w:r w:rsidRPr="0039727E">
        <w:rPr>
          <w:i/>
        </w:rPr>
        <w:t>Plataus vartojimo prekių</w:t>
      </w:r>
      <w:r w:rsidRPr="0039727E">
        <w:t xml:space="preserve"> sektoriuje, šio sektoriaus įmonės pagal rinkos kapitalizaciją užima tik 12,2% dalį tarp visų dividendinių įmonių. </w:t>
      </w:r>
      <w:r w:rsidRPr="0039727E">
        <w:rPr>
          <w:i/>
        </w:rPr>
        <w:t>Pramoninių gaminių</w:t>
      </w:r>
      <w:r w:rsidRPr="0039727E">
        <w:t xml:space="preserve"> sektoriaus įmonių kapitalizacija sudaro 13,5%. Tuo tarpu keturių </w:t>
      </w:r>
      <w:r w:rsidRPr="0039727E">
        <w:rPr>
          <w:i/>
        </w:rPr>
        <w:t>Komunalinių paslaugų</w:t>
      </w:r>
      <w:r w:rsidRPr="0039727E">
        <w:t xml:space="preserve"> sektoriaus įmonių kapitalizacija yra didžiausia ir sudaro 41,4%: trys įmonės patenka į didžiausių analizuojamų divi</w:t>
      </w:r>
      <w:r>
        <w:t>dendinių įmonių penketą, o</w:t>
      </w:r>
      <w:r w:rsidRPr="0039727E">
        <w:t xml:space="preserve"> </w:t>
      </w:r>
      <w:r w:rsidRPr="0039727E">
        <w:rPr>
          <w:i/>
        </w:rPr>
        <w:t>Tallinna Vesi</w:t>
      </w:r>
      <w:r w:rsidRPr="0039727E">
        <w:t xml:space="preserve"> yra septinta pagal dydį. Kadangi </w:t>
      </w:r>
      <w:r w:rsidRPr="0039727E">
        <w:rPr>
          <w:i/>
        </w:rPr>
        <w:t>TEO LT</w:t>
      </w:r>
      <w:r w:rsidRPr="0039727E">
        <w:t xml:space="preserve"> yra didžiausia dividendinė įmonė rinkoje ir yra vienintelė </w:t>
      </w:r>
      <w:r w:rsidRPr="0039727E">
        <w:rPr>
          <w:i/>
        </w:rPr>
        <w:t>Telekomunikacijų</w:t>
      </w:r>
      <w:r w:rsidRPr="0039727E">
        <w:t xml:space="preserve"> sektoriuje, šis sektorius pagal kapitalizaciją tarp dividendinių akcijų yra antras</w:t>
      </w:r>
      <w:r w:rsidRPr="005E1587">
        <w:rPr>
          <w:i/>
        </w:rPr>
        <w:t>.</w:t>
      </w:r>
    </w:p>
    <w:p w:rsidR="00230AF4" w:rsidRDefault="00FC6A12" w:rsidP="00FC6A12">
      <w:r>
        <w:t>Apibendrinant tyrimo imties duomenis</w:t>
      </w:r>
      <w:r w:rsidR="00CA7FAE">
        <w:t xml:space="preserve"> (žr. </w:t>
      </w:r>
      <w:r w:rsidR="00EC7800">
        <w:fldChar w:fldCharType="begin"/>
      </w:r>
      <w:r w:rsidR="00CA7FAE">
        <w:instrText xml:space="preserve"> REF _Ref343531512 \r \h </w:instrText>
      </w:r>
      <w:r w:rsidR="00EC7800">
        <w:fldChar w:fldCharType="separate"/>
      </w:r>
      <w:r w:rsidR="0009577F">
        <w:t>2 PRIEDAS</w:t>
      </w:r>
      <w:r w:rsidR="00EC7800">
        <w:fldChar w:fldCharType="end"/>
      </w:r>
      <w:r w:rsidR="00CA7FAE">
        <w:t>)</w:t>
      </w:r>
      <w:r>
        <w:t>, i</w:t>
      </w:r>
      <w:r w:rsidRPr="0078332E">
        <w:t>š 23 analizuojamų dividendinių įmonių</w:t>
      </w:r>
      <w:r>
        <w:t xml:space="preserve"> Baltijos regione</w:t>
      </w:r>
      <w:r w:rsidRPr="0078332E">
        <w:t xml:space="preserve">, net 7 įmonės mokėjo dividendus 10 metų ir </w:t>
      </w:r>
      <w:r>
        <w:t>ilgiau</w:t>
      </w:r>
      <w:r w:rsidRPr="0078332E">
        <w:t xml:space="preserve"> (žr.</w:t>
      </w:r>
      <w:r>
        <w:t xml:space="preserve"> </w:t>
      </w:r>
      <w:r w:rsidR="00707DF4">
        <w:t>13 lent.</w:t>
      </w:r>
      <w:r>
        <w:t xml:space="preserve">). Į pirmąjį pastovių dividendų šešetą patenka įmonės </w:t>
      </w:r>
      <w:r w:rsidRPr="00E914C2">
        <w:rPr>
          <w:rFonts w:eastAsia="Times New Roman" w:cs="Times New Roman"/>
          <w:i/>
          <w:iCs/>
          <w:color w:val="000000"/>
          <w:szCs w:val="24"/>
          <w:lang w:eastAsia="lt-LT"/>
        </w:rPr>
        <w:t>Latvijas Gāze</w:t>
      </w:r>
      <w:r>
        <w:t xml:space="preserve"> ir </w:t>
      </w:r>
      <w:r w:rsidRPr="00CC408F">
        <w:rPr>
          <w:i/>
        </w:rPr>
        <w:t>Lietuvos dujos</w:t>
      </w:r>
      <w:r>
        <w:t xml:space="preserve">, kurios taip pat atitinkamai rikiuojasi 3 ir 4 vietose tarp dividendinių akcijų pagal rinkos kapitalizaciją. Minėtos įmonės vykdo veiklą tame pačiame pramonės sektoriuje ir užsiima dujų tiekimu, abi įmonės pagal natūraliai susiklosčiusias ekonomines aplinkybes užima svarbias politines pozicijas, ypač </w:t>
      </w:r>
      <w:r w:rsidRPr="00E03CC8">
        <w:rPr>
          <w:i/>
        </w:rPr>
        <w:t>Lietuvos dujos</w:t>
      </w:r>
      <w:r>
        <w:t xml:space="preserve">, kurios mažiau kaip penktadalį akcijų valdo Lietuvos Respublikos Energetikos ministerija. </w:t>
      </w:r>
    </w:p>
    <w:p w:rsidR="00230AF4" w:rsidRDefault="00230AF4">
      <w:pPr>
        <w:spacing w:before="0" w:after="200" w:line="276" w:lineRule="auto"/>
        <w:ind w:firstLine="0"/>
        <w:jc w:val="left"/>
      </w:pPr>
      <w:r>
        <w:br w:type="page"/>
      </w:r>
    </w:p>
    <w:p w:rsidR="00FC6A12" w:rsidRPr="005E1587" w:rsidRDefault="00FC6A12" w:rsidP="00FC6A12"/>
    <w:p w:rsidR="00FC6A12" w:rsidRPr="009E0493" w:rsidRDefault="00FC6A12" w:rsidP="00FC6A12">
      <w:pPr>
        <w:pStyle w:val="Caption"/>
        <w:rPr>
          <w:lang w:val="en-US"/>
        </w:rPr>
      </w:pPr>
      <w:r w:rsidRPr="005E1587">
        <w:t xml:space="preserve"> </w:t>
      </w:r>
      <w:bookmarkStart w:id="91" w:name="_Ref343346345"/>
      <w:bookmarkStart w:id="92" w:name="_Toc343677831"/>
      <w:r>
        <w:rPr>
          <w:lang w:val="en-US"/>
        </w:rPr>
        <w:t>Pagrindiniai Baltijos šalių dividendinių įmonių dividendų politikos rodikliai 2012 metais</w:t>
      </w:r>
      <w:bookmarkEnd w:id="91"/>
      <w:bookmarkEnd w:id="92"/>
    </w:p>
    <w:tbl>
      <w:tblPr>
        <w:tblW w:w="9928" w:type="dxa"/>
        <w:tblInd w:w="1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680"/>
        <w:gridCol w:w="2003"/>
        <w:gridCol w:w="1897"/>
        <w:gridCol w:w="1620"/>
        <w:gridCol w:w="1728"/>
      </w:tblGrid>
      <w:tr w:rsidR="00FC6A12" w:rsidRPr="00E914C2" w:rsidTr="00FC6A12">
        <w:trPr>
          <w:trHeight w:val="87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b/>
                <w:bCs/>
                <w:color w:val="000000"/>
                <w:lang w:eastAsia="lt-LT"/>
              </w:rPr>
            </w:pPr>
            <w:r w:rsidRPr="00E914C2">
              <w:rPr>
                <w:rFonts w:eastAsia="Times New Roman" w:cs="Times New Roman"/>
                <w:b/>
                <w:bCs/>
                <w:color w:val="000000"/>
                <w:sz w:val="22"/>
                <w:lang w:eastAsia="lt-LT"/>
              </w:rPr>
              <w:t>Emitentas</w:t>
            </w:r>
          </w:p>
        </w:tc>
        <w:tc>
          <w:tcPr>
            <w:tcW w:w="2003" w:type="dxa"/>
            <w:shd w:val="clear" w:color="auto" w:fill="auto"/>
            <w:vAlign w:val="center"/>
            <w:hideMark/>
          </w:tcPr>
          <w:p w:rsidR="00FC6A12" w:rsidRPr="00F12D8B" w:rsidRDefault="00FC6A12" w:rsidP="00FC6A12">
            <w:pPr>
              <w:spacing w:before="0" w:line="240" w:lineRule="auto"/>
              <w:ind w:firstLine="0"/>
              <w:jc w:val="center"/>
              <w:rPr>
                <w:rFonts w:eastAsia="Times New Roman" w:cs="Times New Roman"/>
                <w:b/>
                <w:bCs/>
                <w:color w:val="000000"/>
                <w:vertAlign w:val="superscript"/>
                <w:lang w:eastAsia="lt-LT"/>
              </w:rPr>
            </w:pPr>
            <w:r w:rsidRPr="00E914C2">
              <w:rPr>
                <w:rFonts w:eastAsia="Times New Roman" w:cs="Times New Roman"/>
                <w:b/>
                <w:bCs/>
                <w:color w:val="000000"/>
                <w:sz w:val="22"/>
                <w:lang w:eastAsia="lt-LT"/>
              </w:rPr>
              <w:t>Dividendų mokėjimo istorija</w:t>
            </w:r>
            <w:r>
              <w:rPr>
                <w:rFonts w:eastAsia="Times New Roman" w:cs="Times New Roman"/>
                <w:b/>
                <w:bCs/>
                <w:color w:val="000000"/>
                <w:sz w:val="22"/>
                <w:vertAlign w:val="superscript"/>
                <w:lang w:eastAsia="lt-LT"/>
              </w:rPr>
              <w:t>1</w:t>
            </w:r>
          </w:p>
        </w:tc>
        <w:tc>
          <w:tcPr>
            <w:tcW w:w="1897" w:type="dxa"/>
            <w:shd w:val="clear" w:color="auto" w:fill="auto"/>
            <w:vAlign w:val="center"/>
            <w:hideMark/>
          </w:tcPr>
          <w:p w:rsidR="00FC6A12" w:rsidRPr="00F12D8B" w:rsidRDefault="00FC6A12" w:rsidP="00FC6A12">
            <w:pPr>
              <w:spacing w:before="0" w:line="240" w:lineRule="auto"/>
              <w:ind w:firstLine="0"/>
              <w:jc w:val="center"/>
              <w:rPr>
                <w:rFonts w:eastAsia="Times New Roman" w:cs="Times New Roman"/>
                <w:b/>
                <w:bCs/>
                <w:color w:val="000000"/>
                <w:vertAlign w:val="superscript"/>
                <w:lang w:eastAsia="lt-LT"/>
              </w:rPr>
            </w:pPr>
            <w:r w:rsidRPr="00E914C2">
              <w:rPr>
                <w:rFonts w:eastAsia="Times New Roman" w:cs="Times New Roman"/>
                <w:b/>
                <w:bCs/>
                <w:color w:val="000000"/>
                <w:sz w:val="22"/>
                <w:lang w:eastAsia="lt-LT"/>
              </w:rPr>
              <w:t>Dividendų dydis, EUR</w:t>
            </w:r>
            <w:r>
              <w:rPr>
                <w:rFonts w:eastAsia="Times New Roman" w:cs="Times New Roman"/>
                <w:b/>
                <w:bCs/>
                <w:color w:val="000000"/>
                <w:sz w:val="22"/>
                <w:vertAlign w:val="superscript"/>
                <w:lang w:eastAsia="lt-LT"/>
              </w:rPr>
              <w:t>2</w:t>
            </w:r>
          </w:p>
        </w:tc>
        <w:tc>
          <w:tcPr>
            <w:tcW w:w="1620" w:type="dxa"/>
            <w:shd w:val="clear" w:color="auto" w:fill="auto"/>
            <w:vAlign w:val="center"/>
            <w:hideMark/>
          </w:tcPr>
          <w:p w:rsidR="00FC6A12" w:rsidRPr="00F12D8B" w:rsidRDefault="00FC6A12" w:rsidP="00FC6A12">
            <w:pPr>
              <w:spacing w:before="0" w:line="240" w:lineRule="auto"/>
              <w:ind w:firstLine="0"/>
              <w:jc w:val="center"/>
              <w:rPr>
                <w:rFonts w:eastAsia="Times New Roman" w:cs="Times New Roman"/>
                <w:b/>
                <w:bCs/>
                <w:color w:val="000000"/>
                <w:vertAlign w:val="superscript"/>
                <w:lang w:eastAsia="lt-LT"/>
              </w:rPr>
            </w:pPr>
            <w:r w:rsidRPr="00E914C2">
              <w:rPr>
                <w:rFonts w:eastAsia="Times New Roman" w:cs="Times New Roman"/>
                <w:b/>
                <w:bCs/>
                <w:color w:val="000000"/>
                <w:sz w:val="22"/>
                <w:lang w:eastAsia="lt-LT"/>
              </w:rPr>
              <w:t>Dividendų  pokytis</w:t>
            </w:r>
            <w:r>
              <w:rPr>
                <w:rFonts w:eastAsia="Times New Roman" w:cs="Times New Roman"/>
                <w:b/>
                <w:bCs/>
                <w:color w:val="000000"/>
                <w:sz w:val="22"/>
                <w:lang w:eastAsia="lt-LT"/>
              </w:rPr>
              <w:t xml:space="preserve"> per metus</w:t>
            </w:r>
            <w:r>
              <w:rPr>
                <w:rFonts w:eastAsia="Times New Roman" w:cs="Times New Roman"/>
                <w:b/>
                <w:bCs/>
                <w:color w:val="000000"/>
                <w:sz w:val="22"/>
                <w:vertAlign w:val="superscript"/>
                <w:lang w:eastAsia="lt-LT"/>
              </w:rPr>
              <w:t>3</w:t>
            </w:r>
          </w:p>
        </w:tc>
        <w:tc>
          <w:tcPr>
            <w:tcW w:w="1728" w:type="dxa"/>
            <w:shd w:val="clear" w:color="auto" w:fill="auto"/>
            <w:vAlign w:val="center"/>
            <w:hideMark/>
          </w:tcPr>
          <w:p w:rsidR="00FC6A12" w:rsidRPr="00F12D8B" w:rsidRDefault="00FC6A12" w:rsidP="00FC6A12">
            <w:pPr>
              <w:spacing w:before="0" w:line="240" w:lineRule="auto"/>
              <w:ind w:firstLine="0"/>
              <w:jc w:val="center"/>
              <w:rPr>
                <w:rFonts w:eastAsia="Times New Roman" w:cs="Times New Roman"/>
                <w:b/>
                <w:bCs/>
                <w:color w:val="000000"/>
                <w:vertAlign w:val="superscript"/>
                <w:lang w:eastAsia="lt-LT"/>
              </w:rPr>
            </w:pPr>
            <w:r>
              <w:rPr>
                <w:rFonts w:eastAsia="Times New Roman" w:cs="Times New Roman"/>
                <w:b/>
                <w:bCs/>
                <w:color w:val="000000"/>
                <w:sz w:val="22"/>
                <w:lang w:eastAsia="lt-LT"/>
              </w:rPr>
              <w:t>D</w:t>
            </w:r>
            <w:r w:rsidRPr="00E914C2">
              <w:rPr>
                <w:rFonts w:eastAsia="Times New Roman" w:cs="Times New Roman"/>
                <w:b/>
                <w:bCs/>
                <w:color w:val="000000"/>
                <w:sz w:val="22"/>
                <w:lang w:eastAsia="lt-LT"/>
              </w:rPr>
              <w:t>ividendų pokytis per 5 metus</w:t>
            </w:r>
            <w:r>
              <w:rPr>
                <w:rFonts w:eastAsia="Times New Roman" w:cs="Times New Roman"/>
                <w:b/>
                <w:bCs/>
                <w:color w:val="000000"/>
                <w:sz w:val="22"/>
                <w:vertAlign w:val="superscript"/>
                <w:lang w:eastAsia="lt-LT"/>
              </w:rPr>
              <w:t>4</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Harju Elekter</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13</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0,07</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16,67%</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-5,10%</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Latvijas Gāze</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13</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0,85</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20,00%</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18,59%</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szCs w:val="24"/>
                <w:lang w:eastAsia="lt-LT"/>
              </w:rPr>
            </w:pPr>
            <w:r w:rsidRPr="00E914C2">
              <w:rPr>
                <w:rFonts w:eastAsia="Times New Roman" w:cs="Times New Roman"/>
                <w:i/>
                <w:iCs/>
                <w:szCs w:val="24"/>
                <w:lang w:eastAsia="lt-LT"/>
              </w:rPr>
              <w:t>TEO LT</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13</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0,06</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11,54%</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-4,62%</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Merko Ehitus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11</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b/>
                <w:bCs/>
                <w:color w:val="000000"/>
                <w:szCs w:val="24"/>
                <w:lang w:eastAsia="lt-LT"/>
              </w:rPr>
            </w:pPr>
            <w:r w:rsidRPr="00E914C2">
              <w:rPr>
                <w:rFonts w:eastAsia="Times New Roman" w:cs="Times New Roman"/>
                <w:b/>
                <w:bCs/>
                <w:color w:val="000000"/>
                <w:szCs w:val="24"/>
                <w:lang w:eastAsia="lt-LT"/>
              </w:rPr>
              <w:t>0,00</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Kurzemes CMAS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11</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0,07</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-28,57%</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6,95%</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szCs w:val="24"/>
                <w:lang w:eastAsia="lt-LT"/>
              </w:rPr>
            </w:pPr>
            <w:r w:rsidRPr="00E914C2">
              <w:rPr>
                <w:rFonts w:eastAsia="Times New Roman" w:cs="Times New Roman"/>
                <w:i/>
                <w:iCs/>
                <w:szCs w:val="24"/>
                <w:lang w:eastAsia="lt-LT"/>
              </w:rPr>
              <w:t>Lietuvos dujos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10</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0,04</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-40,54%</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27,65%</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Rokiškio sūris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10</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0,03</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b/>
                <w:bCs/>
                <w:color w:val="000000"/>
                <w:szCs w:val="24"/>
                <w:lang w:eastAsia="lt-LT"/>
              </w:rPr>
            </w:pPr>
            <w:r w:rsidRPr="00E914C2">
              <w:rPr>
                <w:rFonts w:eastAsia="Times New Roman" w:cs="Times New Roman"/>
                <w:b/>
                <w:bCs/>
                <w:color w:val="000000"/>
                <w:szCs w:val="24"/>
                <w:lang w:eastAsia="lt-LT"/>
              </w:rPr>
              <w:t>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Klaipėdos nafta</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9</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0,05</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b/>
                <w:bCs/>
                <w:color w:val="000000"/>
                <w:szCs w:val="24"/>
                <w:lang w:eastAsia="lt-LT"/>
              </w:rPr>
            </w:pPr>
            <w:r w:rsidRPr="00E914C2">
              <w:rPr>
                <w:rFonts w:eastAsia="Times New Roman" w:cs="Times New Roman"/>
                <w:b/>
                <w:bCs/>
                <w:color w:val="000000"/>
                <w:szCs w:val="24"/>
                <w:lang w:eastAsia="lt-LT"/>
              </w:rPr>
              <w:t>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Pieno žvaigždės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9</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0,15</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3,57%</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36,05%</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Tallinna Kaubamaja</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0,35</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25,00%</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139,62%</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Tallinna Vesi</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0,84</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5,00%</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18,48%</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Siguldas CMAS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0,14</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25,00%</w:t>
            </w:r>
          </w:p>
        </w:tc>
        <w:tc>
          <w:tcPr>
            <w:tcW w:w="1728"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7,00%</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Grigiškės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0,01</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b/>
                <w:bCs/>
                <w:color w:val="000000"/>
                <w:szCs w:val="24"/>
                <w:lang w:eastAsia="lt-LT"/>
              </w:rPr>
            </w:pPr>
            <w:r w:rsidRPr="00E914C2">
              <w:rPr>
                <w:rFonts w:eastAsia="Times New Roman" w:cs="Times New Roman"/>
                <w:b/>
                <w:bCs/>
                <w:color w:val="000000"/>
                <w:szCs w:val="24"/>
                <w:lang w:eastAsia="lt-LT"/>
              </w:rPr>
              <w:t>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Apranga</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7</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0,11</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48,07%</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szCs w:val="24"/>
                <w:lang w:eastAsia="lt-LT"/>
              </w:rPr>
            </w:pPr>
            <w:r w:rsidRPr="00E914C2">
              <w:rPr>
                <w:rFonts w:eastAsia="Times New Roman" w:cs="Times New Roman"/>
                <w:i/>
                <w:iCs/>
                <w:szCs w:val="24"/>
                <w:lang w:eastAsia="lt-LT"/>
              </w:rPr>
              <w:t>LESTO</w:t>
            </w:r>
          </w:p>
        </w:tc>
        <w:tc>
          <w:tcPr>
            <w:tcW w:w="2003" w:type="dxa"/>
            <w:shd w:val="clear" w:color="auto" w:fill="auto"/>
            <w:noWrap/>
            <w:vAlign w:val="center"/>
            <w:hideMark/>
          </w:tcPr>
          <w:p w:rsidR="00FC6A12" w:rsidRPr="0051375E" w:rsidRDefault="00FC6A12" w:rsidP="00FC6A12">
            <w:pPr>
              <w:spacing w:before="0" w:line="240" w:lineRule="auto"/>
              <w:ind w:firstLine="0"/>
              <w:jc w:val="center"/>
              <w:rPr>
                <w:rFonts w:eastAsia="Times New Roman" w:cs="Times New Roman"/>
                <w:b/>
                <w:szCs w:val="24"/>
                <w:lang w:eastAsia="lt-LT"/>
              </w:rPr>
            </w:pPr>
            <w:r w:rsidRPr="0051375E">
              <w:rPr>
                <w:rFonts w:eastAsia="Times New Roman" w:cs="Times New Roman"/>
                <w:b/>
                <w:szCs w:val="24"/>
                <w:lang w:eastAsia="lt-LT"/>
              </w:rPr>
              <w:t>6</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0,08</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182,76%</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szCs w:val="24"/>
                <w:lang w:eastAsia="lt-LT"/>
              </w:rPr>
            </w:pPr>
            <w:r>
              <w:rPr>
                <w:rFonts w:eastAsia="Times New Roman" w:cs="Times New Roman"/>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Panevėžio statybos trestas</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6</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b/>
                <w:bCs/>
                <w:color w:val="000000"/>
                <w:szCs w:val="24"/>
                <w:lang w:eastAsia="lt-LT"/>
              </w:rPr>
            </w:pPr>
            <w:r w:rsidRPr="00E914C2">
              <w:rPr>
                <w:rFonts w:eastAsia="Times New Roman" w:cs="Times New Roman"/>
                <w:b/>
                <w:bCs/>
                <w:color w:val="000000"/>
                <w:szCs w:val="24"/>
                <w:lang w:eastAsia="lt-LT"/>
              </w:rPr>
              <w:t>0,00</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City Service</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4</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0,07</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-8,01%</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SAF Tehnika</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0,14</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-56,52%</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szCs w:val="24"/>
                <w:lang w:eastAsia="lt-LT"/>
              </w:rPr>
            </w:pPr>
            <w:r w:rsidRPr="00E914C2">
              <w:rPr>
                <w:rFonts w:eastAsia="Times New Roman" w:cs="Times New Roman"/>
                <w:i/>
                <w:iCs/>
                <w:szCs w:val="24"/>
                <w:lang w:eastAsia="lt-LT"/>
              </w:rPr>
              <w:t>Vilkyškių pieninė</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0,07</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4,17%</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Silvano Fashion Group</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3</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0,25</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400,00%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Olainfarm</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0,09</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146,40%</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i/>
                <w:iCs/>
                <w:color w:val="000000"/>
                <w:szCs w:val="24"/>
                <w:lang w:eastAsia="lt-LT"/>
              </w:rPr>
            </w:pPr>
            <w:r w:rsidRPr="00E914C2">
              <w:rPr>
                <w:rFonts w:eastAsia="Times New Roman" w:cs="Times New Roman"/>
                <w:i/>
                <w:iCs/>
                <w:color w:val="000000"/>
                <w:szCs w:val="24"/>
                <w:lang w:eastAsia="lt-LT"/>
              </w:rPr>
              <w:t>Valmieras stikla šķiedra</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0,04</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237,66%</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r w:rsidR="00FC6A12" w:rsidRPr="00E914C2" w:rsidTr="00FC6A12">
        <w:trPr>
          <w:trHeight w:val="300"/>
        </w:trPr>
        <w:tc>
          <w:tcPr>
            <w:tcW w:w="2680" w:type="dxa"/>
            <w:shd w:val="clear" w:color="auto" w:fill="auto"/>
            <w:vAlign w:val="center"/>
            <w:hideMark/>
          </w:tcPr>
          <w:p w:rsidR="00FC6A12" w:rsidRPr="00E914C2" w:rsidRDefault="00FC6A12" w:rsidP="00FC6A12">
            <w:pPr>
              <w:spacing w:before="0" w:line="240" w:lineRule="auto"/>
              <w:ind w:firstLine="0"/>
              <w:jc w:val="center"/>
              <w:rPr>
                <w:rFonts w:eastAsia="Times New Roman" w:cs="Times New Roman"/>
                <w:i/>
                <w:iCs/>
                <w:szCs w:val="24"/>
                <w:lang w:eastAsia="lt-LT"/>
              </w:rPr>
            </w:pPr>
            <w:r w:rsidRPr="00E914C2">
              <w:rPr>
                <w:rFonts w:eastAsia="Times New Roman" w:cs="Times New Roman"/>
                <w:i/>
                <w:iCs/>
                <w:szCs w:val="24"/>
                <w:lang w:eastAsia="lt-LT"/>
              </w:rPr>
              <w:t>Vilniaus baldai</w:t>
            </w:r>
          </w:p>
        </w:tc>
        <w:tc>
          <w:tcPr>
            <w:tcW w:w="2003"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w:t>
            </w:r>
          </w:p>
        </w:tc>
        <w:tc>
          <w:tcPr>
            <w:tcW w:w="1897"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szCs w:val="24"/>
                <w:lang w:eastAsia="lt-LT"/>
              </w:rPr>
            </w:pPr>
            <w:r w:rsidRPr="00E914C2">
              <w:rPr>
                <w:rFonts w:eastAsia="Times New Roman" w:cs="Times New Roman"/>
                <w:szCs w:val="24"/>
                <w:lang w:eastAsia="lt-LT"/>
              </w:rPr>
              <w:t>2,90</w:t>
            </w:r>
          </w:p>
        </w:tc>
        <w:tc>
          <w:tcPr>
            <w:tcW w:w="1620" w:type="dxa"/>
            <w:shd w:val="clear" w:color="auto" w:fill="auto"/>
            <w:noWrap/>
            <w:vAlign w:val="center"/>
            <w:hideMark/>
          </w:tcPr>
          <w:p w:rsidR="00FC6A12" w:rsidRPr="00E914C2" w:rsidRDefault="00FC6A12" w:rsidP="00FC6A12">
            <w:pPr>
              <w:spacing w:before="0" w:line="240" w:lineRule="auto"/>
              <w:ind w:firstLine="0"/>
              <w:jc w:val="center"/>
              <w:rPr>
                <w:rFonts w:eastAsia="Times New Roman" w:cs="Times New Roman"/>
                <w:color w:val="000000"/>
                <w:szCs w:val="24"/>
                <w:lang w:eastAsia="lt-LT"/>
              </w:rPr>
            </w:pPr>
            <w:r w:rsidRPr="00E914C2">
              <w:rPr>
                <w:rFonts w:eastAsia="Times New Roman" w:cs="Times New Roman"/>
                <w:color w:val="000000"/>
                <w:szCs w:val="24"/>
                <w:lang w:eastAsia="lt-LT"/>
              </w:rPr>
              <w:t>233,33%</w:t>
            </w:r>
          </w:p>
        </w:tc>
        <w:tc>
          <w:tcPr>
            <w:tcW w:w="1728" w:type="dxa"/>
            <w:shd w:val="clear" w:color="auto" w:fill="auto"/>
            <w:noWrap/>
            <w:vAlign w:val="center"/>
            <w:hideMark/>
          </w:tcPr>
          <w:p w:rsidR="00FC6A12" w:rsidRPr="00E914C2" w:rsidRDefault="006403CD"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w:t>
            </w:r>
          </w:p>
        </w:tc>
      </w:tr>
    </w:tbl>
    <w:p w:rsidR="00FC6A12" w:rsidRDefault="00FC6A12" w:rsidP="00FC6A12">
      <w:pPr>
        <w:spacing w:line="240" w:lineRule="auto"/>
        <w:ind w:firstLine="0"/>
        <w:rPr>
          <w:sz w:val="20"/>
          <w:szCs w:val="20"/>
        </w:rPr>
      </w:pPr>
      <w:r w:rsidRPr="00E914C2">
        <w:rPr>
          <w:sz w:val="20"/>
          <w:szCs w:val="20"/>
        </w:rPr>
        <w:t xml:space="preserve">Čia: </w:t>
      </w:r>
      <w:r>
        <w:rPr>
          <w:sz w:val="20"/>
          <w:szCs w:val="20"/>
        </w:rPr>
        <w:t xml:space="preserve"> </w:t>
      </w:r>
      <w:r w:rsidRPr="00F12D8B">
        <w:rPr>
          <w:b/>
          <w:sz w:val="20"/>
          <w:szCs w:val="20"/>
          <w:vertAlign w:val="superscript"/>
        </w:rPr>
        <w:t>1</w:t>
      </w:r>
      <w:r w:rsidRPr="00F12D8B">
        <w:rPr>
          <w:b/>
          <w:sz w:val="20"/>
          <w:szCs w:val="20"/>
        </w:rPr>
        <w:t>Dividendų mokėjimo istorija:</w:t>
      </w:r>
      <w:r w:rsidRPr="00E914C2">
        <w:rPr>
          <w:sz w:val="20"/>
          <w:szCs w:val="20"/>
        </w:rPr>
        <w:t xml:space="preserve"> atli</w:t>
      </w:r>
      <w:r>
        <w:rPr>
          <w:sz w:val="20"/>
          <w:szCs w:val="20"/>
        </w:rPr>
        <w:t>ktų metinių dividendų mokėjimų kiekis</w:t>
      </w:r>
      <w:r w:rsidRPr="00E914C2">
        <w:rPr>
          <w:sz w:val="20"/>
          <w:szCs w:val="20"/>
        </w:rPr>
        <w:t xml:space="preserve"> nuo 2000 m.</w:t>
      </w:r>
      <w:r>
        <w:rPr>
          <w:sz w:val="20"/>
          <w:szCs w:val="20"/>
        </w:rPr>
        <w:t>;</w:t>
      </w:r>
    </w:p>
    <w:p w:rsidR="00FC6A12" w:rsidRDefault="00FC6A12" w:rsidP="00FC6A12">
      <w:pPr>
        <w:spacing w:line="240" w:lineRule="auto"/>
        <w:ind w:left="426" w:firstLine="0"/>
        <w:rPr>
          <w:sz w:val="20"/>
          <w:szCs w:val="20"/>
        </w:rPr>
      </w:pPr>
      <w:r w:rsidRPr="00F12D8B">
        <w:rPr>
          <w:b/>
          <w:sz w:val="20"/>
          <w:szCs w:val="20"/>
          <w:vertAlign w:val="superscript"/>
        </w:rPr>
        <w:t>2</w:t>
      </w:r>
      <w:r w:rsidRPr="00F12D8B">
        <w:rPr>
          <w:b/>
          <w:sz w:val="20"/>
          <w:szCs w:val="20"/>
        </w:rPr>
        <w:t>Dividendų dydis:</w:t>
      </w:r>
      <w:r>
        <w:rPr>
          <w:sz w:val="20"/>
          <w:szCs w:val="20"/>
        </w:rPr>
        <w:t xml:space="preserve"> 2012 metais deklaruotas išmokamų dividendų dydis, tenkantis akcijai, už praėjusius finansinius metus  (0 - dividendai neišmokami);</w:t>
      </w:r>
    </w:p>
    <w:p w:rsidR="00FC6A12" w:rsidRDefault="00FC6A12" w:rsidP="00FC6A12">
      <w:pPr>
        <w:spacing w:line="240" w:lineRule="auto"/>
        <w:ind w:left="426" w:firstLine="0"/>
        <w:rPr>
          <w:sz w:val="20"/>
          <w:szCs w:val="20"/>
        </w:rPr>
      </w:pPr>
      <w:r w:rsidRPr="00F12D8B">
        <w:rPr>
          <w:b/>
          <w:sz w:val="20"/>
          <w:szCs w:val="20"/>
          <w:vertAlign w:val="superscript"/>
        </w:rPr>
        <w:t>3</w:t>
      </w:r>
      <w:r w:rsidRPr="00F12D8B">
        <w:rPr>
          <w:b/>
          <w:sz w:val="20"/>
          <w:szCs w:val="20"/>
        </w:rPr>
        <w:t>Dividendų pokytis per metus:</w:t>
      </w:r>
      <w:r>
        <w:rPr>
          <w:sz w:val="20"/>
          <w:szCs w:val="20"/>
        </w:rPr>
        <w:t xml:space="preserve"> dividendų dydžio pokytis lyginant su ankstesniu periodu (0</w:t>
      </w:r>
      <w:r>
        <w:rPr>
          <w:sz w:val="20"/>
          <w:szCs w:val="20"/>
          <w:lang w:val="en-US"/>
        </w:rPr>
        <w:t xml:space="preserve">% - </w:t>
      </w:r>
      <w:r>
        <w:rPr>
          <w:sz w:val="20"/>
          <w:szCs w:val="20"/>
        </w:rPr>
        <w:t>išlaikytas pastovus dividendų dydis);</w:t>
      </w:r>
    </w:p>
    <w:p w:rsidR="00FC6A12" w:rsidRPr="00E914C2" w:rsidRDefault="00FC6A12" w:rsidP="00FC6A12">
      <w:pPr>
        <w:spacing w:after="120" w:line="240" w:lineRule="auto"/>
        <w:ind w:left="425" w:firstLine="0"/>
        <w:rPr>
          <w:sz w:val="20"/>
          <w:szCs w:val="20"/>
        </w:rPr>
      </w:pPr>
      <w:r w:rsidRPr="00F12D8B">
        <w:rPr>
          <w:b/>
          <w:sz w:val="20"/>
          <w:szCs w:val="20"/>
          <w:vertAlign w:val="superscript"/>
        </w:rPr>
        <w:t>4</w:t>
      </w:r>
      <w:r w:rsidRPr="00F12D8B">
        <w:rPr>
          <w:b/>
          <w:sz w:val="20"/>
          <w:szCs w:val="20"/>
        </w:rPr>
        <w:t>Dividendų pokytis per 5 metus:</w:t>
      </w:r>
      <w:r>
        <w:rPr>
          <w:sz w:val="20"/>
          <w:szCs w:val="20"/>
        </w:rPr>
        <w:t xml:space="preserve"> vidutinis metinis dividendų dydžio pokytis 5 metų laikotarpiui, skaičiuojamas jei per analizuojamą 5 metų periodą dividendai buvo mokami be pertraukų (kasmet).</w:t>
      </w:r>
    </w:p>
    <w:p w:rsidR="00FC6A12" w:rsidRDefault="00FC6A12" w:rsidP="00FC6A12">
      <w:r w:rsidRPr="00EE7156">
        <w:rPr>
          <w:i/>
        </w:rPr>
        <w:t>TEO LT</w:t>
      </w:r>
      <w:r>
        <w:rPr>
          <w:i/>
        </w:rPr>
        <w:t xml:space="preserve">, </w:t>
      </w:r>
      <w:r w:rsidRPr="00C47346">
        <w:t>pasižyminti kaip</w:t>
      </w:r>
      <w:r>
        <w:t xml:space="preserve"> didžiausią kapitalizaciją turintį įmonė tarp visų dividendinių įmonių, taip pat užima stabiliausios dividendų mokėtojos pozicijas. Šie požymiai iš dalies patvirtina tyrimo </w:t>
      </w:r>
      <w:r w:rsidRPr="00807983">
        <w:t>teorinėje dalyje analizuotos hipotezės</w:t>
      </w:r>
      <w:r>
        <w:t xml:space="preserve"> nagrinėjimo reikšmingumą ir rodo, jog įmonės </w:t>
      </w:r>
      <w:r w:rsidRPr="00807983">
        <w:rPr>
          <w:b/>
          <w:i/>
        </w:rPr>
        <w:t>brandos stadija</w:t>
      </w:r>
      <w:r>
        <w:t xml:space="preserve"> yra taip pat pakankamai svarbus aspektas, analizuojant Baltijos šalių dividendines įmones. </w:t>
      </w:r>
    </w:p>
    <w:p w:rsidR="00FC6A12" w:rsidRPr="00DA3110" w:rsidRDefault="00FC6A12" w:rsidP="00FC6A12">
      <w:r>
        <w:t xml:space="preserve">7 iš 12 pastoviausią dividendų mokėjimo istoriją turinčių įmonių pasižymėjo dividendų augimu per pastaruosius metus. Šios įmonės per pastaruosius penkerius metus kasmet didino išmokamų </w:t>
      </w:r>
      <w:r>
        <w:lastRenderedPageBreak/>
        <w:t xml:space="preserve">dividendų dydį. Tuo tarpu </w:t>
      </w:r>
      <w:r w:rsidRPr="00C47346">
        <w:rPr>
          <w:i/>
        </w:rPr>
        <w:t>Tallinna Kaubamaja</w:t>
      </w:r>
      <w:r>
        <w:rPr>
          <w:i/>
        </w:rPr>
        <w:t xml:space="preserve"> </w:t>
      </w:r>
      <w:r>
        <w:t>dividendus padidino vidutiniškai 139,6</w:t>
      </w:r>
      <w:r w:rsidRPr="005E1587">
        <w:t xml:space="preserve">%, </w:t>
      </w:r>
      <w:r w:rsidRPr="00DA3110">
        <w:t>lyginant su   2007 metais, kuomet išmokami dividendai sudarė 0,07 Eur vienai akcijai</w:t>
      </w:r>
      <w:r>
        <w:t>, ir pasižymėjo tarp visų dividendinių įmonių kaip didžiausią dividendų augimą pademonstravusi įmonė.</w:t>
      </w:r>
    </w:p>
    <w:p w:rsidR="00FC6A12" w:rsidRDefault="00FC6A12" w:rsidP="00FC6A12">
      <w:r>
        <w:t xml:space="preserve">Taip pat analizuojant šiuos duomenis, svarbu pažymėti, jog tarp vienų iš pastovesnių dividendų mokėtojų atsidūrė ir viso keturios į Baltijos papildomą prekybos sąrašą įtrauktos įmonės: </w:t>
      </w:r>
      <w:r w:rsidRPr="00E914C2">
        <w:rPr>
          <w:rFonts w:eastAsia="Times New Roman" w:cs="Times New Roman"/>
          <w:i/>
          <w:iCs/>
          <w:color w:val="000000"/>
          <w:szCs w:val="24"/>
          <w:lang w:eastAsia="lt-LT"/>
        </w:rPr>
        <w:t>Latvijas Gāze</w:t>
      </w:r>
      <w:r>
        <w:rPr>
          <w:rFonts w:eastAsia="Times New Roman" w:cs="Times New Roman"/>
          <w:i/>
          <w:iCs/>
          <w:color w:val="000000"/>
          <w:szCs w:val="24"/>
          <w:lang w:eastAsia="lt-LT"/>
        </w:rPr>
        <w:t xml:space="preserve"> </w:t>
      </w:r>
      <w:r w:rsidRPr="00B52A08">
        <w:rPr>
          <w:rFonts w:eastAsia="Times New Roman" w:cs="Times New Roman"/>
          <w:iCs/>
          <w:color w:val="000000"/>
          <w:szCs w:val="24"/>
          <w:lang w:eastAsia="lt-LT"/>
        </w:rPr>
        <w:t xml:space="preserve">(į papildomą sąrašą </w:t>
      </w:r>
      <w:r>
        <w:rPr>
          <w:rFonts w:eastAsia="Times New Roman" w:cs="Times New Roman"/>
          <w:iCs/>
          <w:color w:val="000000"/>
          <w:szCs w:val="24"/>
          <w:lang w:eastAsia="lt-LT"/>
        </w:rPr>
        <w:t>perkelta</w:t>
      </w:r>
      <w:r w:rsidRPr="00B52A08">
        <w:rPr>
          <w:rFonts w:eastAsia="Times New Roman" w:cs="Times New Roman"/>
          <w:iCs/>
          <w:color w:val="000000"/>
          <w:szCs w:val="24"/>
          <w:lang w:eastAsia="lt-LT"/>
        </w:rPr>
        <w:t xml:space="preserve"> tik 2008 metų antroje pusėje),</w:t>
      </w:r>
      <w:r w:rsidRPr="00CC408F">
        <w:rPr>
          <w:i/>
        </w:rPr>
        <w:t xml:space="preserve"> Klaipėdos nafta</w:t>
      </w:r>
      <w:r>
        <w:rPr>
          <w:i/>
        </w:rPr>
        <w:t>,</w:t>
      </w:r>
      <w:r w:rsidRPr="00CC408F">
        <w:rPr>
          <w:i/>
        </w:rPr>
        <w:t xml:space="preserve"> Kurzemes CMAS, Siguldas CMAS</w:t>
      </w:r>
      <w:r>
        <w:t xml:space="preserve"> (pastarosios dvi - mažiausią rinkos kapitalizaciją turinčios įmonės).</w:t>
      </w:r>
    </w:p>
    <w:p w:rsidR="00FC6A12" w:rsidRDefault="00FC6A12" w:rsidP="00FC6A12">
      <w:r>
        <w:t xml:space="preserve">Į tyrimo imtį neatsitiktinai pateko ir keletas tokių įmonių, kurios dividendų akcininkams už paskutinius finansinius metus nemokėjo. </w:t>
      </w:r>
      <w:r w:rsidRPr="008E143C">
        <w:rPr>
          <w:i/>
        </w:rPr>
        <w:t>Merko Ehitus</w:t>
      </w:r>
      <w:r>
        <w:rPr>
          <w:i/>
        </w:rPr>
        <w:t xml:space="preserve"> </w:t>
      </w:r>
      <w:r w:rsidRPr="00353CF8">
        <w:t>pasižymi 11 metų dividendų mokėjimo istorija</w:t>
      </w:r>
      <w:r>
        <w:rPr>
          <w:i/>
        </w:rPr>
        <w:t xml:space="preserve">, </w:t>
      </w:r>
      <w:r w:rsidRPr="00353CF8">
        <w:t>tuo tarpu</w:t>
      </w:r>
      <w:r>
        <w:t xml:space="preserve"> </w:t>
      </w:r>
      <w:r w:rsidRPr="008E143C">
        <w:rPr>
          <w:i/>
        </w:rPr>
        <w:t>Panevėžio statybos trestas</w:t>
      </w:r>
      <w:r>
        <w:rPr>
          <w:i/>
        </w:rPr>
        <w:t xml:space="preserve"> </w:t>
      </w:r>
      <w:r w:rsidRPr="00353CF8">
        <w:t>– nuo 2000 metų dividendus mokėjo 6 kartus.</w:t>
      </w:r>
      <w:r>
        <w:t xml:space="preserve"> Turint omenyje, jog įmonės veikia tame pačiame sektoriuje ir susiduria su tais pačiais sektoriuje veikiančiais faktoriais, dividendų sprendimai abiejose įmonėse priimami atsižvelgiant į įmonių finansinius rezultatus ir investicines galimybes.</w:t>
      </w:r>
    </w:p>
    <w:p w:rsidR="00FC6A12" w:rsidRPr="00526C9E" w:rsidRDefault="00FC6A12" w:rsidP="00FC6A12">
      <w:r>
        <w:t xml:space="preserve">Verta išskirti tris įmones, kurios išlaikė pastovų dividendų dydį, lyginant su 2011 metais: </w:t>
      </w:r>
      <w:r w:rsidRPr="00353CF8">
        <w:rPr>
          <w:i/>
        </w:rPr>
        <w:t>Rokiškio sūris, Klaipėdos nafta, Grigiškės</w:t>
      </w:r>
      <w:r>
        <w:t xml:space="preserve">. Analizuojant šių įmonių išmokamų dividendų dydį per pastarųjų 5 metų periodą, galima pastebėti, jog metai iš metų įmonės stengiasi palaikyti stabilų dividendų politikos dydį. Nagrinėjant </w:t>
      </w:r>
      <w:r w:rsidRPr="00526C9E">
        <w:rPr>
          <w:i/>
        </w:rPr>
        <w:t>Rokiškio sūri</w:t>
      </w:r>
      <w:r>
        <w:rPr>
          <w:i/>
        </w:rPr>
        <w:t xml:space="preserve">o </w:t>
      </w:r>
      <w:r>
        <w:t>ataskaitas galima pastebėti, jog įmonė kai kuriais metais netgi laikėsi tokios pastovios dividendų politikos, kuri išreiškiama kaip išmokama dividendų suma procentine išraiška nuo gauto pelno.</w:t>
      </w:r>
    </w:p>
    <w:p w:rsidR="00FC6A12" w:rsidRDefault="00FC6A12" w:rsidP="00FC6A12">
      <w:r>
        <w:t>Tam, kad nustatyti analizuojamų įmonių skelbiamų dividendų naujienų įtaką akcijų kainoms, toliau bus atliekamas statistinis akcijų pelningumų vertinimas dividendų naujienų paskelbimo dienomis</w:t>
      </w:r>
      <w:r w:rsidR="00C93B8E">
        <w:t>.</w:t>
      </w:r>
    </w:p>
    <w:p w:rsidR="00FC6A12" w:rsidRDefault="00FC6A12" w:rsidP="00FC6A12">
      <w:pPr>
        <w:spacing w:before="0" w:after="200" w:line="276" w:lineRule="auto"/>
        <w:ind w:firstLine="0"/>
        <w:jc w:val="left"/>
      </w:pPr>
      <w:r>
        <w:br w:type="page"/>
      </w:r>
    </w:p>
    <w:p w:rsidR="00FC6A12" w:rsidRDefault="00FC6A12" w:rsidP="00B64EEA">
      <w:pPr>
        <w:pStyle w:val="Heading2"/>
        <w:numPr>
          <w:ilvl w:val="0"/>
          <w:numId w:val="25"/>
        </w:numPr>
        <w:ind w:left="0" w:firstLine="567"/>
      </w:pPr>
      <w:bookmarkStart w:id="93" w:name="_Ref342642134"/>
      <w:bookmarkStart w:id="94" w:name="_Toc343677758"/>
      <w:r>
        <w:lastRenderedPageBreak/>
        <w:t>Dividendų naujienų įtakos akcijų pelningumui vertinimas</w:t>
      </w:r>
      <w:bookmarkEnd w:id="93"/>
      <w:bookmarkEnd w:id="94"/>
    </w:p>
    <w:p w:rsidR="00FC6A12" w:rsidRDefault="00FC6A12" w:rsidP="00FC6A12">
      <w:r>
        <w:t>Pagrindiniai analizuojami kriterijai, kurių pagrindu bus atliekamas akcijų pelningumo vertinimas yra du: dividendai tenkantys akcijai (DPS), dividendinis pajamingumas (DY). Nors mokslinėje literatūroje</w:t>
      </w:r>
      <w:r w:rsidRPr="00BE12B3">
        <w:t xml:space="preserve"> </w:t>
      </w:r>
      <w:r>
        <w:t>(Anderson, 2009, Mahmood, Sheikh, Ghaffari, Yuce, Taneem, 2011 ir kiti), nagrinėjančioje dividendų naujienų įtaką akcijų kainoms pagrindiniu kriterijumi laikomas DPS rodiklis, tačiau kai kurių autorių</w:t>
      </w:r>
      <w:r w:rsidRPr="00BE12B3">
        <w:t xml:space="preserve"> </w:t>
      </w:r>
      <w:r>
        <w:t xml:space="preserve">(Fracassi, 2008, Asghar, Shah, Hamid, Suleman bei Khan et al., 2011) tyrimų rezultatai, rodo, jog DY rodiklis ne mažiau reikšmingai charakterizuoja akcijų kainų pokyčius. </w:t>
      </w:r>
    </w:p>
    <w:p w:rsidR="00FC6A12" w:rsidRPr="008A0F62" w:rsidRDefault="00FC6A12" w:rsidP="00FC6A12">
      <w:r>
        <w:t xml:space="preserve">Atrinkti ir susisteminti Baltijos šalių įmonių dividendų  duomenys (žr. </w:t>
      </w:r>
      <w:r w:rsidR="00707DF4">
        <w:t>14 lent.</w:t>
      </w:r>
      <w:r>
        <w:t>) rodo, jog 2012 metais paskelbtų dividendų, tenkančių vienai akcijai vidutinė reikšmė Baltijos regione sudarė 0,278 Eur už vieną akciją ir buvo didžiausia per visą nagrinėjamą periodą. Tą iš esmės įtakojo išaugęs vidutinis dividendų dydis tarp Lietuvos įmonių. Per analizuojamą laikotarpį didžiausius dividendus, tenkančius vienai akcijai siūlė Estijos įmonės, kiek mažesnius – Latvijos. Aukščiausia dividendų pajamingumo reikšme (7,46</w:t>
      </w:r>
      <w:r w:rsidRPr="00A45664">
        <w:t xml:space="preserve">%) </w:t>
      </w:r>
      <w:r>
        <w:t>2012 metais tarp visų Baltijos šalių pasižymėjo Lietuvos įmonės</w:t>
      </w:r>
      <w:r w:rsidRPr="00A45664">
        <w:t xml:space="preserve">, </w:t>
      </w:r>
      <w:r w:rsidRPr="00FC2094">
        <w:t xml:space="preserve">nors ankstesniais metais didžiausi </w:t>
      </w:r>
      <w:r>
        <w:t xml:space="preserve">dividendai, įvertinus akcijos rinkos kainą, buvo siūlomi Latvijos šalyse. </w:t>
      </w:r>
    </w:p>
    <w:p w:rsidR="00FC6A12" w:rsidRPr="007A5962" w:rsidRDefault="00FC6A12" w:rsidP="00087250">
      <w:pPr>
        <w:pStyle w:val="Caption"/>
        <w:ind w:left="1276" w:hanging="1134"/>
      </w:pPr>
      <w:r>
        <w:t xml:space="preserve"> </w:t>
      </w:r>
      <w:bookmarkStart w:id="95" w:name="_Toc343677832"/>
      <w:bookmarkStart w:id="96" w:name="_Ref342578628"/>
      <w:r>
        <w:t>Vidutiniai dividendų ir dividendų pajamingumo rodikliai Baltijos šalyse 2008-2012</w:t>
      </w:r>
      <w:bookmarkEnd w:id="95"/>
      <w:r>
        <w:t xml:space="preserve"> </w:t>
      </w:r>
      <w:bookmarkEnd w:id="96"/>
    </w:p>
    <w:tbl>
      <w:tblPr>
        <w:tblW w:w="9968" w:type="dxa"/>
        <w:tblInd w:w="93" w:type="dxa"/>
        <w:tblBorders>
          <w:top w:val="single" w:sz="12" w:space="0" w:color="auto"/>
          <w:left w:val="single" w:sz="12" w:space="0" w:color="auto"/>
          <w:bottom w:val="single" w:sz="12" w:space="0" w:color="auto"/>
          <w:right w:val="single" w:sz="12" w:space="0" w:color="auto"/>
        </w:tblBorders>
        <w:tblLook w:val="04A0"/>
      </w:tblPr>
      <w:tblGrid>
        <w:gridCol w:w="1610"/>
        <w:gridCol w:w="1554"/>
        <w:gridCol w:w="1276"/>
        <w:gridCol w:w="1134"/>
        <w:gridCol w:w="1134"/>
        <w:gridCol w:w="992"/>
        <w:gridCol w:w="992"/>
        <w:gridCol w:w="1276"/>
      </w:tblGrid>
      <w:tr w:rsidR="00FC6A12" w:rsidRPr="007A5962" w:rsidTr="00FC6A12">
        <w:trPr>
          <w:trHeight w:val="315"/>
        </w:trPr>
        <w:tc>
          <w:tcPr>
            <w:tcW w:w="1610" w:type="dxa"/>
            <w:tcBorders>
              <w:top w:val="single" w:sz="12" w:space="0" w:color="auto"/>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Rodiklis</w:t>
            </w:r>
          </w:p>
        </w:tc>
        <w:tc>
          <w:tcPr>
            <w:tcW w:w="155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Rinka, Metai</w:t>
            </w:r>
          </w:p>
        </w:tc>
        <w:tc>
          <w:tcPr>
            <w:tcW w:w="1276" w:type="dxa"/>
            <w:tcBorders>
              <w:top w:val="single" w:sz="12" w:space="0" w:color="auto"/>
              <w:left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2008</w:t>
            </w:r>
          </w:p>
        </w:tc>
        <w:tc>
          <w:tcPr>
            <w:tcW w:w="1134" w:type="dxa"/>
            <w:tcBorders>
              <w:top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2009</w:t>
            </w:r>
          </w:p>
        </w:tc>
        <w:tc>
          <w:tcPr>
            <w:tcW w:w="1134" w:type="dxa"/>
            <w:tcBorders>
              <w:top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2010</w:t>
            </w:r>
          </w:p>
        </w:tc>
        <w:tc>
          <w:tcPr>
            <w:tcW w:w="992" w:type="dxa"/>
            <w:tcBorders>
              <w:top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2011</w:t>
            </w:r>
          </w:p>
        </w:tc>
        <w:tc>
          <w:tcPr>
            <w:tcW w:w="992" w:type="dxa"/>
            <w:tcBorders>
              <w:top w:val="single" w:sz="12" w:space="0" w:color="auto"/>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2012</w:t>
            </w:r>
          </w:p>
        </w:tc>
        <w:tc>
          <w:tcPr>
            <w:tcW w:w="1276" w:type="dxa"/>
            <w:tcBorders>
              <w:top w:val="single" w:sz="12" w:space="0" w:color="auto"/>
              <w:left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2008-2012</w:t>
            </w:r>
          </w:p>
        </w:tc>
      </w:tr>
      <w:tr w:rsidR="00FC6A12" w:rsidRPr="007A5962" w:rsidTr="00FC6A12">
        <w:trPr>
          <w:trHeight w:val="300"/>
        </w:trPr>
        <w:tc>
          <w:tcPr>
            <w:tcW w:w="1610" w:type="dxa"/>
            <w:vMerge w:val="restart"/>
            <w:tcBorders>
              <w:top w:val="single" w:sz="12" w:space="0" w:color="auto"/>
              <w:bottom w:val="single" w:sz="12" w:space="0" w:color="auto"/>
              <w:right w:val="single" w:sz="12" w:space="0" w:color="auto"/>
            </w:tcBorders>
            <w:shd w:val="clear" w:color="auto" w:fill="auto"/>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Dividendai tenkantys akcijai (EUR)</w:t>
            </w:r>
          </w:p>
        </w:tc>
        <w:tc>
          <w:tcPr>
            <w:tcW w:w="1554"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Tallinn</w:t>
            </w:r>
          </w:p>
        </w:tc>
        <w:tc>
          <w:tcPr>
            <w:tcW w:w="1276" w:type="dxa"/>
            <w:tcBorders>
              <w:top w:val="single" w:sz="12" w:space="0" w:color="auto"/>
              <w:left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0,353</w:t>
            </w:r>
          </w:p>
        </w:tc>
        <w:tc>
          <w:tcPr>
            <w:tcW w:w="1134" w:type="dxa"/>
            <w:tcBorders>
              <w:top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0,260</w:t>
            </w:r>
          </w:p>
        </w:tc>
        <w:tc>
          <w:tcPr>
            <w:tcW w:w="1134" w:type="dxa"/>
            <w:tcBorders>
              <w:top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0,488</w:t>
            </w:r>
          </w:p>
        </w:tc>
        <w:tc>
          <w:tcPr>
            <w:tcW w:w="992" w:type="dxa"/>
            <w:tcBorders>
              <w:top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0,258</w:t>
            </w:r>
          </w:p>
        </w:tc>
        <w:tc>
          <w:tcPr>
            <w:tcW w:w="992" w:type="dxa"/>
            <w:tcBorders>
              <w:top w:val="single" w:sz="12" w:space="0" w:color="auto"/>
              <w:right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0,302</w:t>
            </w:r>
          </w:p>
        </w:tc>
        <w:tc>
          <w:tcPr>
            <w:tcW w:w="1276" w:type="dxa"/>
            <w:tcBorders>
              <w:top w:val="single" w:sz="12" w:space="0" w:color="auto"/>
              <w:left w:val="single" w:sz="12" w:space="0" w:color="auto"/>
              <w:bottom w:val="nil"/>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0,334</w:t>
            </w:r>
          </w:p>
        </w:tc>
      </w:tr>
      <w:tr w:rsidR="00FC6A12" w:rsidRPr="007A5962" w:rsidTr="00FC6A12">
        <w:trPr>
          <w:trHeight w:val="315"/>
        </w:trPr>
        <w:tc>
          <w:tcPr>
            <w:tcW w:w="1610" w:type="dxa"/>
            <w:vMerge/>
            <w:tcBorders>
              <w:top w:val="nil"/>
              <w:bottom w:val="single" w:sz="12" w:space="0" w:color="auto"/>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nil"/>
              <w:left w:val="single" w:sz="12" w:space="0" w:color="auto"/>
              <w:bottom w:val="nil"/>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Riga</w:t>
            </w:r>
          </w:p>
        </w:tc>
        <w:tc>
          <w:tcPr>
            <w:tcW w:w="1276" w:type="dxa"/>
            <w:tcBorders>
              <w:left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0,332</w:t>
            </w:r>
          </w:p>
        </w:tc>
        <w:tc>
          <w:tcPr>
            <w:tcW w:w="1134" w:type="dxa"/>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0,256</w:t>
            </w:r>
          </w:p>
        </w:tc>
        <w:tc>
          <w:tcPr>
            <w:tcW w:w="1134" w:type="dxa"/>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0,278</w:t>
            </w:r>
          </w:p>
        </w:tc>
        <w:tc>
          <w:tcPr>
            <w:tcW w:w="992" w:type="dxa"/>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0,219</w:t>
            </w:r>
          </w:p>
        </w:tc>
        <w:tc>
          <w:tcPr>
            <w:tcW w:w="992" w:type="dxa"/>
            <w:tcBorders>
              <w:right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0,222</w:t>
            </w:r>
          </w:p>
        </w:tc>
        <w:tc>
          <w:tcPr>
            <w:tcW w:w="1276" w:type="dxa"/>
            <w:tcBorders>
              <w:top w:val="nil"/>
              <w:left w:val="single" w:sz="12" w:space="0" w:color="auto"/>
              <w:bottom w:val="nil"/>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0,251</w:t>
            </w:r>
          </w:p>
        </w:tc>
      </w:tr>
      <w:tr w:rsidR="00FC6A12" w:rsidRPr="007A5962" w:rsidTr="00FC6A12">
        <w:trPr>
          <w:trHeight w:val="315"/>
        </w:trPr>
        <w:tc>
          <w:tcPr>
            <w:tcW w:w="1610" w:type="dxa"/>
            <w:vMerge/>
            <w:tcBorders>
              <w:top w:val="nil"/>
              <w:bottom w:val="single" w:sz="12" w:space="0" w:color="auto"/>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Vilnius</w:t>
            </w:r>
          </w:p>
        </w:tc>
        <w:tc>
          <w:tcPr>
            <w:tcW w:w="1276" w:type="dxa"/>
            <w:tcBorders>
              <w:left w:val="single" w:sz="12" w:space="0" w:color="auto"/>
              <w:bottom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0,047</w:t>
            </w:r>
          </w:p>
        </w:tc>
        <w:tc>
          <w:tcPr>
            <w:tcW w:w="1134" w:type="dxa"/>
            <w:tcBorders>
              <w:bottom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0,021</w:t>
            </w:r>
          </w:p>
        </w:tc>
        <w:tc>
          <w:tcPr>
            <w:tcW w:w="1134" w:type="dxa"/>
            <w:tcBorders>
              <w:bottom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0,030</w:t>
            </w:r>
          </w:p>
        </w:tc>
        <w:tc>
          <w:tcPr>
            <w:tcW w:w="992" w:type="dxa"/>
            <w:tcBorders>
              <w:bottom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0,144</w:t>
            </w:r>
          </w:p>
        </w:tc>
        <w:tc>
          <w:tcPr>
            <w:tcW w:w="992" w:type="dxa"/>
            <w:tcBorders>
              <w:bottom w:val="single" w:sz="12" w:space="0" w:color="auto"/>
              <w:right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0,297</w:t>
            </w:r>
          </w:p>
        </w:tc>
        <w:tc>
          <w:tcPr>
            <w:tcW w:w="1276" w:type="dxa"/>
            <w:tcBorders>
              <w:top w:val="nil"/>
              <w:left w:val="single" w:sz="12" w:space="0" w:color="auto"/>
              <w:bottom w:val="single" w:sz="12" w:space="0" w:color="auto"/>
            </w:tcBorders>
            <w:shd w:val="clear" w:color="auto" w:fill="auto"/>
            <w:noWrap/>
            <w:vAlign w:val="center"/>
            <w:hideMark/>
          </w:tcPr>
          <w:p w:rsidR="00FC6A12" w:rsidRPr="00FE40D7" w:rsidRDefault="00FC6A12" w:rsidP="00FC6A12">
            <w:pPr>
              <w:spacing w:before="0" w:line="240" w:lineRule="auto"/>
              <w:ind w:firstLine="0"/>
              <w:jc w:val="center"/>
              <w:rPr>
                <w:rFonts w:cs="Times New Roman"/>
                <w:color w:val="000000"/>
              </w:rPr>
            </w:pPr>
            <w:r w:rsidRPr="00FE40D7">
              <w:rPr>
                <w:rFonts w:cs="Times New Roman"/>
                <w:color w:val="000000"/>
                <w:sz w:val="22"/>
              </w:rPr>
              <w:t>0,116</w:t>
            </w:r>
          </w:p>
        </w:tc>
      </w:tr>
      <w:tr w:rsidR="00FC6A12" w:rsidRPr="007A5962" w:rsidTr="00FC6A12">
        <w:trPr>
          <w:trHeight w:val="315"/>
        </w:trPr>
        <w:tc>
          <w:tcPr>
            <w:tcW w:w="1610" w:type="dxa"/>
            <w:vMerge/>
            <w:tcBorders>
              <w:top w:val="nil"/>
              <w:bottom w:val="single" w:sz="12" w:space="0" w:color="auto"/>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single" w:sz="12" w:space="0" w:color="auto"/>
              <w:left w:val="single" w:sz="12" w:space="0" w:color="auto"/>
              <w:bottom w:val="single" w:sz="12" w:space="0" w:color="auto"/>
              <w:right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lang w:eastAsia="lt-LT"/>
              </w:rPr>
            </w:pPr>
            <w:r w:rsidRPr="007A5962">
              <w:rPr>
                <w:rFonts w:eastAsia="Times New Roman" w:cs="Times New Roman"/>
                <w:i/>
                <w:iCs/>
                <w:color w:val="000000"/>
                <w:sz w:val="22"/>
                <w:lang w:eastAsia="lt-LT"/>
              </w:rPr>
              <w:t>OMX Baltic</w:t>
            </w:r>
          </w:p>
        </w:tc>
        <w:tc>
          <w:tcPr>
            <w:tcW w:w="1276" w:type="dxa"/>
            <w:tcBorders>
              <w:top w:val="single" w:sz="12" w:space="0" w:color="auto"/>
              <w:left w:val="single" w:sz="12" w:space="0" w:color="auto"/>
              <w:bottom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0,158</w:t>
            </w:r>
          </w:p>
        </w:tc>
        <w:tc>
          <w:tcPr>
            <w:tcW w:w="1134" w:type="dxa"/>
            <w:tcBorders>
              <w:top w:val="single" w:sz="12" w:space="0" w:color="auto"/>
              <w:bottom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0,126</w:t>
            </w:r>
          </w:p>
        </w:tc>
        <w:tc>
          <w:tcPr>
            <w:tcW w:w="1134" w:type="dxa"/>
            <w:tcBorders>
              <w:top w:val="single" w:sz="12" w:space="0" w:color="auto"/>
              <w:bottom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0,202</w:t>
            </w:r>
          </w:p>
        </w:tc>
        <w:tc>
          <w:tcPr>
            <w:tcW w:w="992" w:type="dxa"/>
            <w:tcBorders>
              <w:top w:val="single" w:sz="12" w:space="0" w:color="auto"/>
              <w:bottom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0,188</w:t>
            </w:r>
          </w:p>
        </w:tc>
        <w:tc>
          <w:tcPr>
            <w:tcW w:w="992" w:type="dxa"/>
            <w:tcBorders>
              <w:top w:val="single" w:sz="12" w:space="0" w:color="auto"/>
              <w:bottom w:val="single" w:sz="12" w:space="0" w:color="auto"/>
              <w:right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0,278</w:t>
            </w:r>
          </w:p>
        </w:tc>
        <w:tc>
          <w:tcPr>
            <w:tcW w:w="1276" w:type="dxa"/>
            <w:tcBorders>
              <w:top w:val="single" w:sz="12" w:space="0" w:color="auto"/>
              <w:left w:val="single" w:sz="12" w:space="0" w:color="auto"/>
              <w:bottom w:val="single" w:sz="12" w:space="0" w:color="auto"/>
            </w:tcBorders>
            <w:shd w:val="pct5" w:color="auto" w:fill="auto"/>
            <w:noWrap/>
            <w:vAlign w:val="center"/>
            <w:hideMark/>
          </w:tcPr>
          <w:p w:rsidR="00FC6A12" w:rsidRPr="00FE40D7" w:rsidRDefault="00FC6A12" w:rsidP="00FC6A12">
            <w:pPr>
              <w:spacing w:before="0" w:line="240" w:lineRule="auto"/>
              <w:ind w:firstLine="0"/>
              <w:jc w:val="center"/>
              <w:rPr>
                <w:rFonts w:cs="Times New Roman"/>
                <w:i/>
                <w:iCs/>
                <w:color w:val="000000"/>
              </w:rPr>
            </w:pPr>
            <w:r w:rsidRPr="00FE40D7">
              <w:rPr>
                <w:rFonts w:cs="Times New Roman"/>
                <w:i/>
                <w:iCs/>
                <w:color w:val="000000"/>
                <w:sz w:val="22"/>
              </w:rPr>
              <w:t>0,196</w:t>
            </w:r>
          </w:p>
        </w:tc>
      </w:tr>
      <w:tr w:rsidR="00FC6A12" w:rsidRPr="007A5962" w:rsidTr="00FC6A12">
        <w:trPr>
          <w:trHeight w:val="300"/>
        </w:trPr>
        <w:tc>
          <w:tcPr>
            <w:tcW w:w="1610" w:type="dxa"/>
            <w:vMerge w:val="restart"/>
            <w:tcBorders>
              <w:top w:val="single" w:sz="12" w:space="0" w:color="auto"/>
              <w:right w:val="single" w:sz="12" w:space="0" w:color="auto"/>
            </w:tcBorders>
            <w:shd w:val="clear" w:color="auto" w:fill="auto"/>
            <w:vAlign w:val="center"/>
            <w:hideMark/>
          </w:tcPr>
          <w:p w:rsidR="00FC6A12" w:rsidRPr="007A5962" w:rsidRDefault="00FC6A12" w:rsidP="00FC6A12">
            <w:pPr>
              <w:spacing w:before="0" w:line="240" w:lineRule="auto"/>
              <w:ind w:firstLine="0"/>
              <w:jc w:val="center"/>
              <w:rPr>
                <w:rFonts w:eastAsia="Times New Roman" w:cs="Times New Roman"/>
                <w:b/>
                <w:bCs/>
                <w:color w:val="000000"/>
                <w:lang w:eastAsia="lt-LT"/>
              </w:rPr>
            </w:pPr>
            <w:r w:rsidRPr="007A5962">
              <w:rPr>
                <w:rFonts w:eastAsia="Times New Roman" w:cs="Times New Roman"/>
                <w:b/>
                <w:bCs/>
                <w:color w:val="000000"/>
                <w:sz w:val="22"/>
                <w:lang w:eastAsia="lt-LT"/>
              </w:rPr>
              <w:t>Dividendinis pajamingumas</w:t>
            </w:r>
          </w:p>
        </w:tc>
        <w:tc>
          <w:tcPr>
            <w:tcW w:w="1554"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Tallinn</w:t>
            </w:r>
          </w:p>
        </w:tc>
        <w:tc>
          <w:tcPr>
            <w:tcW w:w="1276" w:type="dxa"/>
            <w:tcBorders>
              <w:top w:val="single" w:sz="12" w:space="0" w:color="auto"/>
              <w:lef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4,33%</w:t>
            </w:r>
          </w:p>
        </w:tc>
        <w:tc>
          <w:tcPr>
            <w:tcW w:w="1134" w:type="dxa"/>
            <w:tcBorders>
              <w:top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6,40%</w:t>
            </w:r>
          </w:p>
        </w:tc>
        <w:tc>
          <w:tcPr>
            <w:tcW w:w="1134" w:type="dxa"/>
            <w:tcBorders>
              <w:top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5,92%</w:t>
            </w:r>
          </w:p>
        </w:tc>
        <w:tc>
          <w:tcPr>
            <w:tcW w:w="992" w:type="dxa"/>
            <w:tcBorders>
              <w:top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3,64%</w:t>
            </w:r>
          </w:p>
        </w:tc>
        <w:tc>
          <w:tcPr>
            <w:tcW w:w="992" w:type="dxa"/>
            <w:tcBorders>
              <w:top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5,48%</w:t>
            </w:r>
          </w:p>
        </w:tc>
        <w:tc>
          <w:tcPr>
            <w:tcW w:w="1276" w:type="dxa"/>
            <w:tcBorders>
              <w:top w:val="single" w:sz="12" w:space="0" w:color="auto"/>
              <w:left w:val="single" w:sz="12" w:space="0" w:color="auto"/>
              <w:bottom w:val="nil"/>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5,17%</w:t>
            </w:r>
          </w:p>
        </w:tc>
      </w:tr>
      <w:tr w:rsidR="00FC6A12" w:rsidRPr="007A5962" w:rsidTr="00FC6A12">
        <w:trPr>
          <w:trHeight w:val="315"/>
        </w:trPr>
        <w:tc>
          <w:tcPr>
            <w:tcW w:w="1610" w:type="dxa"/>
            <w:vMerge/>
            <w:tcBorders>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nil"/>
              <w:left w:val="single" w:sz="12" w:space="0" w:color="auto"/>
              <w:bottom w:val="nil"/>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Riga</w:t>
            </w:r>
          </w:p>
        </w:tc>
        <w:tc>
          <w:tcPr>
            <w:tcW w:w="1276" w:type="dxa"/>
            <w:tcBorders>
              <w:lef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6,07%</w:t>
            </w:r>
          </w:p>
        </w:tc>
        <w:tc>
          <w:tcPr>
            <w:tcW w:w="1134" w:type="dxa"/>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14,15%</w:t>
            </w:r>
          </w:p>
        </w:tc>
        <w:tc>
          <w:tcPr>
            <w:tcW w:w="1134" w:type="dxa"/>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6,33%</w:t>
            </w:r>
          </w:p>
        </w:tc>
        <w:tc>
          <w:tcPr>
            <w:tcW w:w="992" w:type="dxa"/>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5,40%</w:t>
            </w:r>
          </w:p>
        </w:tc>
        <w:tc>
          <w:tcPr>
            <w:tcW w:w="992" w:type="dxa"/>
            <w:tcBorders>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5,15%</w:t>
            </w:r>
          </w:p>
        </w:tc>
        <w:tc>
          <w:tcPr>
            <w:tcW w:w="1276" w:type="dxa"/>
            <w:tcBorders>
              <w:top w:val="nil"/>
              <w:left w:val="single" w:sz="12" w:space="0" w:color="auto"/>
              <w:bottom w:val="nil"/>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7,10%</w:t>
            </w:r>
          </w:p>
        </w:tc>
      </w:tr>
      <w:tr w:rsidR="00FC6A12" w:rsidRPr="007A5962" w:rsidTr="00FC6A12">
        <w:trPr>
          <w:trHeight w:val="315"/>
        </w:trPr>
        <w:tc>
          <w:tcPr>
            <w:tcW w:w="1610" w:type="dxa"/>
            <w:vMerge/>
            <w:tcBorders>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lang w:eastAsia="lt-LT"/>
              </w:rPr>
            </w:pPr>
            <w:r w:rsidRPr="007A5962">
              <w:rPr>
                <w:rFonts w:eastAsia="Times New Roman" w:cs="Times New Roman"/>
                <w:color w:val="000000"/>
                <w:sz w:val="22"/>
                <w:lang w:eastAsia="lt-LT"/>
              </w:rPr>
              <w:t>OMX Vilnius</w:t>
            </w:r>
          </w:p>
        </w:tc>
        <w:tc>
          <w:tcPr>
            <w:tcW w:w="1276" w:type="dxa"/>
            <w:tcBorders>
              <w:left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3,66%</w:t>
            </w:r>
          </w:p>
        </w:tc>
        <w:tc>
          <w:tcPr>
            <w:tcW w:w="1134" w:type="dxa"/>
            <w:tcBorders>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4,96%</w:t>
            </w:r>
          </w:p>
        </w:tc>
        <w:tc>
          <w:tcPr>
            <w:tcW w:w="1134" w:type="dxa"/>
            <w:tcBorders>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3,66%</w:t>
            </w:r>
          </w:p>
        </w:tc>
        <w:tc>
          <w:tcPr>
            <w:tcW w:w="992" w:type="dxa"/>
            <w:tcBorders>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4,59%</w:t>
            </w:r>
          </w:p>
        </w:tc>
        <w:tc>
          <w:tcPr>
            <w:tcW w:w="992" w:type="dxa"/>
            <w:tcBorders>
              <w:bottom w:val="single" w:sz="12" w:space="0" w:color="auto"/>
              <w:right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7,46%</w:t>
            </w:r>
          </w:p>
        </w:tc>
        <w:tc>
          <w:tcPr>
            <w:tcW w:w="1276" w:type="dxa"/>
            <w:tcBorders>
              <w:top w:val="nil"/>
              <w:left w:val="single" w:sz="12" w:space="0" w:color="auto"/>
              <w:bottom w:val="single" w:sz="12" w:space="0" w:color="auto"/>
            </w:tcBorders>
            <w:shd w:val="clear" w:color="auto" w:fill="auto"/>
            <w:noWrap/>
            <w:vAlign w:val="center"/>
            <w:hideMark/>
          </w:tcPr>
          <w:p w:rsidR="00FC6A12" w:rsidRPr="007A5962" w:rsidRDefault="00FC6A12" w:rsidP="00FC6A12">
            <w:pPr>
              <w:spacing w:before="0" w:line="240" w:lineRule="auto"/>
              <w:ind w:firstLine="0"/>
              <w:jc w:val="center"/>
              <w:rPr>
                <w:rFonts w:eastAsia="Times New Roman" w:cs="Times New Roman"/>
                <w:color w:val="000000"/>
                <w:szCs w:val="24"/>
                <w:lang w:eastAsia="lt-LT"/>
              </w:rPr>
            </w:pPr>
            <w:r w:rsidRPr="007A5962">
              <w:rPr>
                <w:rFonts w:eastAsia="Times New Roman" w:cs="Times New Roman"/>
                <w:color w:val="000000"/>
                <w:szCs w:val="24"/>
                <w:lang w:eastAsia="lt-LT"/>
              </w:rPr>
              <w:t>4,95%</w:t>
            </w:r>
          </w:p>
        </w:tc>
      </w:tr>
      <w:tr w:rsidR="00FC6A12" w:rsidRPr="007A5962" w:rsidTr="00FC6A12">
        <w:trPr>
          <w:trHeight w:val="315"/>
        </w:trPr>
        <w:tc>
          <w:tcPr>
            <w:tcW w:w="1610" w:type="dxa"/>
            <w:vMerge/>
            <w:tcBorders>
              <w:right w:val="single" w:sz="12" w:space="0" w:color="auto"/>
            </w:tcBorders>
            <w:vAlign w:val="center"/>
            <w:hideMark/>
          </w:tcPr>
          <w:p w:rsidR="00FC6A12" w:rsidRPr="007A5962" w:rsidRDefault="00FC6A12" w:rsidP="00FC6A12">
            <w:pPr>
              <w:spacing w:before="0" w:line="240" w:lineRule="auto"/>
              <w:ind w:firstLine="0"/>
              <w:jc w:val="left"/>
              <w:rPr>
                <w:rFonts w:eastAsia="Times New Roman" w:cs="Times New Roman"/>
                <w:b/>
                <w:bCs/>
                <w:color w:val="000000"/>
                <w:lang w:eastAsia="lt-LT"/>
              </w:rPr>
            </w:pPr>
          </w:p>
        </w:tc>
        <w:tc>
          <w:tcPr>
            <w:tcW w:w="1554" w:type="dxa"/>
            <w:tcBorders>
              <w:top w:val="single" w:sz="12" w:space="0" w:color="auto"/>
              <w:left w:val="single" w:sz="12" w:space="0" w:color="auto"/>
              <w:bottom w:val="single" w:sz="12" w:space="0" w:color="auto"/>
              <w:right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lang w:eastAsia="lt-LT"/>
              </w:rPr>
            </w:pPr>
            <w:r w:rsidRPr="007A5962">
              <w:rPr>
                <w:rFonts w:eastAsia="Times New Roman" w:cs="Times New Roman"/>
                <w:i/>
                <w:iCs/>
                <w:color w:val="000000"/>
                <w:sz w:val="22"/>
                <w:lang w:eastAsia="lt-LT"/>
              </w:rPr>
              <w:t>OMX Baltic</w:t>
            </w:r>
          </w:p>
        </w:tc>
        <w:tc>
          <w:tcPr>
            <w:tcW w:w="1276" w:type="dxa"/>
            <w:tcBorders>
              <w:top w:val="single" w:sz="12" w:space="0" w:color="auto"/>
              <w:left w:val="single" w:sz="12" w:space="0" w:color="auto"/>
              <w:bottom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4,24%</w:t>
            </w:r>
          </w:p>
        </w:tc>
        <w:tc>
          <w:tcPr>
            <w:tcW w:w="1134" w:type="dxa"/>
            <w:tcBorders>
              <w:top w:val="single" w:sz="12" w:space="0" w:color="auto"/>
              <w:bottom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7,32%</w:t>
            </w:r>
          </w:p>
        </w:tc>
        <w:tc>
          <w:tcPr>
            <w:tcW w:w="1134" w:type="dxa"/>
            <w:tcBorders>
              <w:top w:val="single" w:sz="12" w:space="0" w:color="auto"/>
              <w:bottom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4,82%</w:t>
            </w:r>
          </w:p>
        </w:tc>
        <w:tc>
          <w:tcPr>
            <w:tcW w:w="992" w:type="dxa"/>
            <w:tcBorders>
              <w:top w:val="single" w:sz="12" w:space="0" w:color="auto"/>
              <w:bottom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4,60%</w:t>
            </w:r>
          </w:p>
        </w:tc>
        <w:tc>
          <w:tcPr>
            <w:tcW w:w="992" w:type="dxa"/>
            <w:tcBorders>
              <w:top w:val="single" w:sz="12" w:space="0" w:color="auto"/>
              <w:bottom w:val="single" w:sz="12" w:space="0" w:color="auto"/>
              <w:right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6,43%</w:t>
            </w:r>
          </w:p>
        </w:tc>
        <w:tc>
          <w:tcPr>
            <w:tcW w:w="1276" w:type="dxa"/>
            <w:tcBorders>
              <w:top w:val="single" w:sz="12" w:space="0" w:color="auto"/>
              <w:left w:val="single" w:sz="12" w:space="0" w:color="auto"/>
              <w:bottom w:val="single" w:sz="12" w:space="0" w:color="auto"/>
            </w:tcBorders>
            <w:shd w:val="pct5" w:color="auto" w:fill="auto"/>
            <w:noWrap/>
            <w:vAlign w:val="center"/>
            <w:hideMark/>
          </w:tcPr>
          <w:p w:rsidR="00FC6A12" w:rsidRPr="007A5962" w:rsidRDefault="00FC6A12" w:rsidP="00FC6A12">
            <w:pPr>
              <w:spacing w:before="0" w:line="240" w:lineRule="auto"/>
              <w:ind w:firstLine="0"/>
              <w:jc w:val="center"/>
              <w:rPr>
                <w:rFonts w:eastAsia="Times New Roman" w:cs="Times New Roman"/>
                <w:i/>
                <w:iCs/>
                <w:color w:val="000000"/>
                <w:szCs w:val="24"/>
                <w:lang w:eastAsia="lt-LT"/>
              </w:rPr>
            </w:pPr>
            <w:r w:rsidRPr="007A5962">
              <w:rPr>
                <w:rFonts w:eastAsia="Times New Roman" w:cs="Times New Roman"/>
                <w:i/>
                <w:iCs/>
                <w:color w:val="000000"/>
                <w:szCs w:val="24"/>
                <w:lang w:eastAsia="lt-LT"/>
              </w:rPr>
              <w:t>5,50%</w:t>
            </w:r>
          </w:p>
        </w:tc>
      </w:tr>
    </w:tbl>
    <w:p w:rsidR="00CA7FAE" w:rsidRPr="00CA7FAE" w:rsidRDefault="00CA7FAE" w:rsidP="00CA7FAE">
      <w:pPr>
        <w:ind w:firstLine="0"/>
        <w:rPr>
          <w:sz w:val="20"/>
          <w:szCs w:val="20"/>
        </w:rPr>
      </w:pPr>
      <w:r w:rsidRPr="00CA7FAE">
        <w:rPr>
          <w:b/>
          <w:sz w:val="20"/>
          <w:szCs w:val="20"/>
        </w:rPr>
        <w:t>Šaltinis:</w:t>
      </w:r>
      <w:r>
        <w:rPr>
          <w:b/>
          <w:sz w:val="20"/>
          <w:szCs w:val="20"/>
        </w:rPr>
        <w:t xml:space="preserve"> </w:t>
      </w:r>
      <w:r w:rsidRPr="00CA7FAE">
        <w:rPr>
          <w:sz w:val="20"/>
          <w:szCs w:val="20"/>
        </w:rPr>
        <w:t>sudaryta autoriaus</w:t>
      </w:r>
      <w:r>
        <w:rPr>
          <w:b/>
          <w:sz w:val="20"/>
          <w:szCs w:val="20"/>
        </w:rPr>
        <w:t xml:space="preserve"> </w:t>
      </w:r>
      <w:r w:rsidRPr="00CA7FAE">
        <w:rPr>
          <w:sz w:val="20"/>
          <w:szCs w:val="20"/>
        </w:rPr>
        <w:t>pagal</w:t>
      </w:r>
      <w:r>
        <w:rPr>
          <w:sz w:val="20"/>
          <w:szCs w:val="20"/>
        </w:rPr>
        <w:t xml:space="preserve"> susitemintus</w:t>
      </w:r>
      <w:r w:rsidRPr="00CA7FAE">
        <w:rPr>
          <w:sz w:val="20"/>
          <w:szCs w:val="20"/>
        </w:rPr>
        <w:t xml:space="preserve"> Nasdaq OMX Baltic duomenis</w:t>
      </w:r>
      <w:r>
        <w:rPr>
          <w:b/>
          <w:sz w:val="20"/>
          <w:szCs w:val="20"/>
        </w:rPr>
        <w:t xml:space="preserve"> (</w:t>
      </w:r>
      <w:r w:rsidRPr="00CA7FAE">
        <w:rPr>
          <w:sz w:val="20"/>
          <w:szCs w:val="20"/>
        </w:rPr>
        <w:t>žr.</w:t>
      </w:r>
      <w:r w:rsidR="00BC2E39">
        <w:rPr>
          <w:sz w:val="20"/>
          <w:szCs w:val="20"/>
        </w:rPr>
        <w:t xml:space="preserve"> 6 priedą)</w:t>
      </w:r>
      <w:r w:rsidRPr="00CA7FAE">
        <w:rPr>
          <w:sz w:val="20"/>
          <w:szCs w:val="20"/>
        </w:rPr>
        <w:t>.</w:t>
      </w:r>
    </w:p>
    <w:p w:rsidR="00FC6A12" w:rsidRDefault="00FC6A12" w:rsidP="00FC6A12">
      <w:r>
        <w:t>Baltijos šalių akcijų rinkoje nuo 2008 iki 2012 metų imtinai įmonės paskelbė 99 su dividendų išmokėji</w:t>
      </w:r>
      <w:r w:rsidR="00BC2E39">
        <w:t>mais susijusias naujienas (žr. 2</w:t>
      </w:r>
      <w:r>
        <w:t xml:space="preserve"> priedą): 8 atvejais dividendai nebuvo išmokami, 26 atvejais dividendų dydis (DPS) mažinamas, 13 naujienų buvo susijusios su ankstesnių finansinių metų dividendų dydžio išlaikymu, 40 naujienų</w:t>
      </w:r>
      <w:r w:rsidRPr="00081C46">
        <w:t xml:space="preserve"> kontekstas buvo susijęs dividendų didinimo informacija, 1</w:t>
      </w:r>
      <w:r>
        <w:t>2</w:t>
      </w:r>
      <w:r w:rsidRPr="00081C46">
        <w:t xml:space="preserve"> atvejų </w:t>
      </w:r>
      <w:r>
        <w:t>įmonės inicijavo dividendinius mokėjimus, nors metus prieš tai dividendų akcininkams nemokėjo. Viso - 60 teigiamų ir 39 neigiamų dividendų naujienų.</w:t>
      </w:r>
    </w:p>
    <w:p w:rsidR="00FC6A12" w:rsidRDefault="00FC6A12" w:rsidP="00FC6A12">
      <w:r>
        <w:t xml:space="preserve">Duomenų rinkimo metu pastebėta, jog dividendų naujienos dažniausiai paskelbiamos kovo mėnesio antroje pusėje ir balandžio mėnesio pirmoje pusėje, išskyrus </w:t>
      </w:r>
      <w:r w:rsidRPr="005E6B4D">
        <w:rPr>
          <w:i/>
        </w:rPr>
        <w:t>Merko Ehitus</w:t>
      </w:r>
      <w:r>
        <w:rPr>
          <w:i/>
        </w:rPr>
        <w:t xml:space="preserve"> </w:t>
      </w:r>
      <w:r w:rsidRPr="005E6B4D">
        <w:t>(gegužės mėnesis)</w:t>
      </w:r>
      <w:r w:rsidRPr="005E6B4D">
        <w:rPr>
          <w:i/>
        </w:rPr>
        <w:t xml:space="preserve"> Silvano Fashion Group</w:t>
      </w:r>
      <w:r w:rsidRPr="005E6B4D">
        <w:t xml:space="preserve">, </w:t>
      </w:r>
      <w:r>
        <w:t>(l</w:t>
      </w:r>
      <w:r w:rsidRPr="005E6B4D">
        <w:t>iepos mėnesio pradži</w:t>
      </w:r>
      <w:r>
        <w:t>a)</w:t>
      </w:r>
      <w:r w:rsidRPr="005E6B4D">
        <w:t>,</w:t>
      </w:r>
      <w:r>
        <w:t xml:space="preserve"> </w:t>
      </w:r>
      <w:r w:rsidRPr="005E6B4D">
        <w:rPr>
          <w:i/>
        </w:rPr>
        <w:t xml:space="preserve">Latvijas </w:t>
      </w:r>
      <w:r w:rsidRPr="00E914C2">
        <w:rPr>
          <w:rFonts w:eastAsia="Times New Roman" w:cs="Times New Roman"/>
          <w:i/>
          <w:iCs/>
          <w:color w:val="000000"/>
          <w:szCs w:val="24"/>
          <w:lang w:eastAsia="lt-LT"/>
        </w:rPr>
        <w:t>Gāze</w:t>
      </w:r>
      <w:r>
        <w:rPr>
          <w:rFonts w:eastAsia="Times New Roman" w:cs="Times New Roman"/>
          <w:i/>
          <w:iCs/>
          <w:color w:val="000000"/>
          <w:szCs w:val="24"/>
          <w:lang w:eastAsia="lt-LT"/>
        </w:rPr>
        <w:t xml:space="preserve">, </w:t>
      </w:r>
      <w:r>
        <w:t xml:space="preserve"> kuri apie siūlomus dividendus paskelbia kasmet liepos mėnesio pabaigoje. Kaip jau minėta pireš tai, įmonės </w:t>
      </w:r>
      <w:r w:rsidRPr="005E6B4D">
        <w:rPr>
          <w:i/>
        </w:rPr>
        <w:t>SAF Tehnika</w:t>
      </w:r>
      <w:r>
        <w:t xml:space="preserve"> finansiniai </w:t>
      </w:r>
      <w:r>
        <w:lastRenderedPageBreak/>
        <w:t>metai baigiasi liepos 31 dieną, todėl bendrovė naujienas apie išmokamus dividendus paskelbdavo einamųjų metų spalio mėnesio pabaigoje.</w:t>
      </w:r>
    </w:p>
    <w:p w:rsidR="00FC6A12" w:rsidRPr="00153123" w:rsidRDefault="00FC6A12" w:rsidP="00FC6A12">
      <w:r>
        <w:t>Bendrovių akcininkai 92,9</w:t>
      </w:r>
      <w:r w:rsidRPr="00081C46">
        <w:t>%</w:t>
      </w:r>
      <w:r>
        <w:t xml:space="preserve"> atvejų po įvykusių eilinių visuotinių akcininkų susirinkimų patvirtino valdybos siūlymus dėl įmonės pelno (rezervų) paskirstymo dividendams išmokėti. Kitais atvejais, nors </w:t>
      </w:r>
      <w:r w:rsidRPr="00153123">
        <w:rPr>
          <w:i/>
        </w:rPr>
        <w:t>LESTO AB</w:t>
      </w:r>
      <w:r>
        <w:rPr>
          <w:i/>
        </w:rPr>
        <w:t xml:space="preserve"> </w:t>
      </w:r>
      <w:r w:rsidRPr="002C6F5D">
        <w:t>savo akcininkams</w:t>
      </w:r>
      <w:r>
        <w:t xml:space="preserve"> 2011 ir 2012 metais dividendus išmokėjo (atitinkamai už akciją - 0,03 Eur ir 0,08 Eur), nors valdyba siūlymo dėl dividendų išmokėjimo neteikė svarstyti akcininkams. Įmonės </w:t>
      </w:r>
      <w:r w:rsidRPr="00EA1BB8">
        <w:rPr>
          <w:i/>
        </w:rPr>
        <w:t>Rokiškio sūris</w:t>
      </w:r>
      <w:r>
        <w:t xml:space="preserve"> akcininkų susirinkime, įvykusiame 2010 metais, nuspręstą išmokėti 0,03 Eur dividendus už akciją, nors valdyba prieš tai nepateikė siūlymo dėl dividendų mokėjimo. Bendrovė </w:t>
      </w:r>
      <w:r w:rsidRPr="00153123">
        <w:rPr>
          <w:i/>
        </w:rPr>
        <w:t>Siguldas CMAS</w:t>
      </w:r>
      <w:r>
        <w:rPr>
          <w:i/>
        </w:rPr>
        <w:t xml:space="preserve"> </w:t>
      </w:r>
      <w:r>
        <w:t>du</w:t>
      </w:r>
      <w:r w:rsidRPr="00153123">
        <w:t xml:space="preserve"> kartus per 5 metų laikotarpį</w:t>
      </w:r>
      <w:r>
        <w:rPr>
          <w:i/>
        </w:rPr>
        <w:t xml:space="preserve"> </w:t>
      </w:r>
      <w:r w:rsidRPr="00153123">
        <w:t>po akcininkų</w:t>
      </w:r>
      <w:r>
        <w:t xml:space="preserve"> susirinkimuose priimtų sprendimų</w:t>
      </w:r>
      <w:r w:rsidRPr="00153123">
        <w:t xml:space="preserve"> išmokėjo savo akcininkams didesnius dividendus, nei buvo valdybos siūlyme</w:t>
      </w:r>
      <w:r>
        <w:t xml:space="preserve">: 2009 metais – 0,114 Eur (siūlyta 0,07 Eur), 2011 metais - 0,128 Eur (siūlyta 0,11 Eur). </w:t>
      </w:r>
      <w:r w:rsidRPr="00153123">
        <w:rPr>
          <w:i/>
        </w:rPr>
        <w:t>Vilniaus baldai</w:t>
      </w:r>
      <w:r>
        <w:rPr>
          <w:i/>
        </w:rPr>
        <w:t xml:space="preserve"> </w:t>
      </w:r>
      <w:r w:rsidRPr="00EA1BB8">
        <w:t>po</w:t>
      </w:r>
      <w:r>
        <w:rPr>
          <w:i/>
        </w:rPr>
        <w:t xml:space="preserve"> </w:t>
      </w:r>
      <w:r>
        <w:t xml:space="preserve">2011 metais vykusio akcininkų susirinkimo nusprendė mokėti 1,16 Eur dydžio dividendus už vieną akciją (siūlyta 0,86 Eur). Tuo tarpu </w:t>
      </w:r>
      <w:r w:rsidRPr="00EA1BB8">
        <w:rPr>
          <w:i/>
        </w:rPr>
        <w:t>Klaipėdos nafta</w:t>
      </w:r>
      <w:r>
        <w:t xml:space="preserve"> 2011 metais paskelbė, jog dividendai akcininkams mokami nebus, nors valdybos siūlyme buvo numatyti 0,01 Eur dydžio dividendai.</w:t>
      </w:r>
    </w:p>
    <w:p w:rsidR="00FC6A12" w:rsidRDefault="00FC6A12" w:rsidP="00B64EEA">
      <w:pPr>
        <w:pStyle w:val="Heading3"/>
        <w:numPr>
          <w:ilvl w:val="0"/>
          <w:numId w:val="28"/>
        </w:numPr>
      </w:pPr>
      <w:bookmarkStart w:id="97" w:name="_Toc343677759"/>
      <w:r>
        <w:t>Dividendų tenkančių akcijai rodiklio pokyčio įtaka vidutiniam akcijų pelningumui</w:t>
      </w:r>
      <w:bookmarkEnd w:id="97"/>
    </w:p>
    <w:p w:rsidR="00FC6A12" w:rsidRDefault="00FC6A12" w:rsidP="00FC6A12">
      <w:r>
        <w:t>Analizuojant dividendinių informacijos įtaką akcijų kainoms atlikta vidutinių akcijų pelningumų (R</w:t>
      </w:r>
      <w:r>
        <w:rPr>
          <w:vertAlign w:val="subscript"/>
        </w:rPr>
        <w:t>t</w:t>
      </w:r>
      <w:r>
        <w:t>) analizė dividendinių naujienų dienomis nuo -5 (penkta prekybos diena prieš dividendų paskelbimą, t</w:t>
      </w:r>
      <w:r w:rsidRPr="0051375E">
        <w:t>=-5</w:t>
      </w:r>
      <w:r>
        <w:t>) iki 5 (penkta prekybos diena po dividendų paskelbimo, t=5), kur 0 - dividendų paskelbimo diena (t=0). Atliekant tyrimą buvo laikomasi dviejų prielaidų. Jei naujienos paskelbtos prieš biržos prekybos valandų pabaigą, kuomet dar gali būti atliekami sandoriai, naujienos turės įtaką tos pačios prekybos dienos biržos uždarymo kainai. Tuo tarpu, jei dividendai paskelbti ne prekybos metu (po prekybos sesijos arba prieš prekybos sesiją), laikoma, jog naujienos turės įtaką artimiausios prekybos dienos akcijų kainoms. Abiem atvejais prekybos sesija, kurios metu arba prieš kuriai prasidedant paskelbiamos naujienos apie planuojamus mokėti dividendus, laikoma - dividendų paskelbimo diena.</w:t>
      </w:r>
    </w:p>
    <w:p w:rsidR="00FC6A12" w:rsidRDefault="00FC6A12" w:rsidP="00FC6A12">
      <w:r w:rsidRPr="005463A0">
        <w:t xml:space="preserve">Iš gautų statistinių rezultatų (žr. </w:t>
      </w:r>
      <w:r w:rsidR="00707DF4">
        <w:t>15 lent.</w:t>
      </w:r>
      <w:r>
        <w:t>), matyti, jog informacija</w:t>
      </w:r>
      <w:r w:rsidRPr="005463A0">
        <w:t xml:space="preserve"> apie dividendus</w:t>
      </w:r>
      <w:r>
        <w:t xml:space="preserve"> paskelbimą</w:t>
      </w:r>
      <w:r w:rsidRPr="005463A0">
        <w:t>, nepriklausomai nuo informacijos pobūdžio, įgyja statistiškai reikšmingą pelningumo pokytį (1,56%) dividendų paskelbimo dieną – 0</w:t>
      </w:r>
      <w:r>
        <w:t xml:space="preserve"> (t=0)</w:t>
      </w:r>
      <w:r w:rsidRPr="005463A0">
        <w:t xml:space="preserve">. Vidutinė generuojama </w:t>
      </w:r>
      <w:r w:rsidRPr="00807983">
        <w:t>grąža</w:t>
      </w:r>
      <w:r w:rsidRPr="005463A0">
        <w:t xml:space="preserve"> per 11</w:t>
      </w:r>
      <w:r>
        <w:t xml:space="preserve"> (T=11)</w:t>
      </w:r>
      <w:r w:rsidRPr="005463A0">
        <w:t xml:space="preserve"> prekybos dienų apie dividendų paskelbimo dieną sudaro 1,5</w:t>
      </w:r>
      <w:r w:rsidRPr="005463A0">
        <w:rPr>
          <w:lang w:val="en-US"/>
        </w:rPr>
        <w:t>%</w:t>
      </w:r>
      <w:r w:rsidRPr="005463A0">
        <w:t>. Visgi paskutinę analizuojamą prekybos dieną įgyja statistiškai reikšmingą neigiamą pelningumo reikšmę -0,48%. Taip pat 5 iš 11 dienų generuojamas neigiamas pelningumas. Kuomet dividendų informacijos kontekstas išskaidomas į dvi kategorijas: neigiamų ir teigiamų naujienų, pelningumų reikšmės ir statistinis reikšmingumas koreguojasi, tačiau abiem atvejais daugeliu prekybos dienų (</w:t>
      </w:r>
      <w:r>
        <w:t>31</w:t>
      </w:r>
      <w:r w:rsidRPr="005463A0">
        <w:t xml:space="preserve"> iš 44) akcijų pelningumas išlieka teigiamas.</w:t>
      </w:r>
    </w:p>
    <w:p w:rsidR="00FC6A12" w:rsidRPr="00B45792" w:rsidRDefault="00FC6A12" w:rsidP="009D0BB8">
      <w:pPr>
        <w:pStyle w:val="Caption"/>
        <w:ind w:left="1134"/>
      </w:pPr>
      <w:r>
        <w:lastRenderedPageBreak/>
        <w:t xml:space="preserve"> </w:t>
      </w:r>
      <w:bookmarkStart w:id="98" w:name="_Ref341970489"/>
      <w:bookmarkStart w:id="99" w:name="_Toc343677833"/>
      <w:r>
        <w:t>Dividendinės informacijos įtaka akcijų pelningumui dividendų paskelbimo dienomis</w:t>
      </w:r>
      <w:bookmarkEnd w:id="98"/>
      <w:bookmarkEnd w:id="99"/>
      <w:r>
        <w:t xml:space="preserve"> </w:t>
      </w: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93"/>
        <w:gridCol w:w="1417"/>
        <w:gridCol w:w="1418"/>
        <w:gridCol w:w="1275"/>
        <w:gridCol w:w="1701"/>
        <w:gridCol w:w="1560"/>
        <w:gridCol w:w="1559"/>
      </w:tblGrid>
      <w:tr w:rsidR="00FC6A12" w:rsidRPr="00B45792" w:rsidTr="005A3365">
        <w:trPr>
          <w:trHeight w:val="302"/>
        </w:trPr>
        <w:tc>
          <w:tcPr>
            <w:tcW w:w="993" w:type="dxa"/>
            <w:vMerge w:val="restart"/>
            <w:shd w:val="clear" w:color="auto" w:fill="auto"/>
            <w:noWrap/>
            <w:vAlign w:val="center"/>
            <w:hideMark/>
          </w:tcPr>
          <w:p w:rsidR="00FC6A12" w:rsidRPr="00B45792" w:rsidRDefault="005A3365"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R(t)</w:t>
            </w:r>
            <w:r>
              <w:rPr>
                <w:rFonts w:eastAsia="Times New Roman" w:cs="Times New Roman"/>
                <w:b/>
                <w:color w:val="000000"/>
                <w:sz w:val="20"/>
                <w:szCs w:val="20"/>
                <w:vertAlign w:val="superscript"/>
                <w:lang w:eastAsia="lt-LT"/>
              </w:rPr>
              <w:t>1</w:t>
            </w:r>
          </w:p>
        </w:tc>
        <w:tc>
          <w:tcPr>
            <w:tcW w:w="1417" w:type="dxa"/>
            <w:vMerge w:val="restart"/>
            <w:shd w:val="clear" w:color="auto" w:fill="auto"/>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sidRPr="00B45792">
              <w:rPr>
                <w:rFonts w:eastAsia="Times New Roman" w:cs="Times New Roman"/>
                <w:b/>
                <w:bCs/>
                <w:color w:val="000000"/>
                <w:sz w:val="22"/>
                <w:lang w:eastAsia="lt-LT"/>
              </w:rPr>
              <w:t>Dividendų paskelbimas</w:t>
            </w:r>
          </w:p>
        </w:tc>
        <w:tc>
          <w:tcPr>
            <w:tcW w:w="2693" w:type="dxa"/>
            <w:gridSpan w:val="2"/>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sidRPr="00B45792">
              <w:rPr>
                <w:rFonts w:eastAsia="Times New Roman" w:cs="Times New Roman"/>
                <w:b/>
                <w:bCs/>
                <w:color w:val="000000"/>
                <w:sz w:val="22"/>
                <w:lang w:eastAsia="lt-LT"/>
              </w:rPr>
              <w:t>Neigiamos naujienos</w:t>
            </w:r>
          </w:p>
        </w:tc>
        <w:tc>
          <w:tcPr>
            <w:tcW w:w="4820" w:type="dxa"/>
            <w:gridSpan w:val="3"/>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sidRPr="00B45792">
              <w:rPr>
                <w:rFonts w:eastAsia="Times New Roman" w:cs="Times New Roman"/>
                <w:b/>
                <w:bCs/>
                <w:color w:val="000000"/>
                <w:sz w:val="22"/>
                <w:lang w:eastAsia="lt-LT"/>
              </w:rPr>
              <w:t>Teigiamos naujienos</w:t>
            </w:r>
          </w:p>
        </w:tc>
      </w:tr>
      <w:tr w:rsidR="00FC6A12" w:rsidRPr="00B45792" w:rsidTr="00FC6A12">
        <w:trPr>
          <w:trHeight w:val="588"/>
        </w:trPr>
        <w:tc>
          <w:tcPr>
            <w:tcW w:w="993" w:type="dxa"/>
            <w:vMerge/>
            <w:vAlign w:val="center"/>
            <w:hideMark/>
          </w:tcPr>
          <w:p w:rsidR="00FC6A12" w:rsidRPr="00B45792" w:rsidRDefault="00FC6A12" w:rsidP="00FC6A12">
            <w:pPr>
              <w:spacing w:before="0" w:line="240" w:lineRule="auto"/>
              <w:ind w:firstLine="0"/>
              <w:jc w:val="left"/>
              <w:rPr>
                <w:rFonts w:eastAsia="Times New Roman" w:cs="Times New Roman"/>
                <w:b/>
                <w:bCs/>
                <w:color w:val="000000"/>
                <w:lang w:eastAsia="lt-LT"/>
              </w:rPr>
            </w:pPr>
          </w:p>
        </w:tc>
        <w:tc>
          <w:tcPr>
            <w:tcW w:w="1417" w:type="dxa"/>
            <w:vMerge/>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p>
        </w:tc>
        <w:tc>
          <w:tcPr>
            <w:tcW w:w="1418" w:type="dxa"/>
            <w:shd w:val="clear" w:color="auto" w:fill="auto"/>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sidRPr="00B45792">
              <w:rPr>
                <w:rFonts w:eastAsia="Times New Roman" w:cs="Times New Roman"/>
                <w:b/>
                <w:bCs/>
                <w:color w:val="000000"/>
                <w:sz w:val="22"/>
                <w:lang w:eastAsia="lt-LT"/>
              </w:rPr>
              <w:t>Dividendai neišmokami</w:t>
            </w:r>
          </w:p>
        </w:tc>
        <w:tc>
          <w:tcPr>
            <w:tcW w:w="1275" w:type="dxa"/>
            <w:shd w:val="clear" w:color="auto" w:fill="auto"/>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DPS</w:t>
            </w:r>
            <w:r w:rsidR="005A3365">
              <w:rPr>
                <w:rFonts w:eastAsia="Times New Roman" w:cs="Times New Roman"/>
                <w:b/>
                <w:bCs/>
                <w:color w:val="000000"/>
                <w:sz w:val="22"/>
                <w:vertAlign w:val="superscript"/>
                <w:lang w:eastAsia="lt-LT"/>
              </w:rPr>
              <w:t>2</w:t>
            </w:r>
            <w:r w:rsidRPr="00B45792">
              <w:rPr>
                <w:rFonts w:eastAsia="Times New Roman" w:cs="Times New Roman"/>
                <w:b/>
                <w:bCs/>
                <w:color w:val="000000"/>
                <w:sz w:val="22"/>
                <w:lang w:eastAsia="lt-LT"/>
              </w:rPr>
              <w:t xml:space="preserve"> </w:t>
            </w:r>
            <w:r>
              <w:rPr>
                <w:rFonts w:eastAsia="Times New Roman" w:cs="Times New Roman"/>
                <w:b/>
                <w:bCs/>
                <w:color w:val="000000"/>
                <w:sz w:val="22"/>
                <w:lang w:eastAsia="lt-LT"/>
              </w:rPr>
              <w:t xml:space="preserve">dydis </w:t>
            </w:r>
            <w:r w:rsidRPr="00B45792">
              <w:rPr>
                <w:rFonts w:eastAsia="Times New Roman" w:cs="Times New Roman"/>
                <w:b/>
                <w:bCs/>
                <w:color w:val="000000"/>
                <w:sz w:val="22"/>
                <w:lang w:eastAsia="lt-LT"/>
              </w:rPr>
              <w:t>sumažint</w:t>
            </w:r>
            <w:r>
              <w:rPr>
                <w:rFonts w:eastAsia="Times New Roman" w:cs="Times New Roman"/>
                <w:b/>
                <w:bCs/>
                <w:color w:val="000000"/>
                <w:sz w:val="22"/>
                <w:lang w:eastAsia="lt-LT"/>
              </w:rPr>
              <w:t>as</w:t>
            </w:r>
          </w:p>
        </w:tc>
        <w:tc>
          <w:tcPr>
            <w:tcW w:w="1701" w:type="dxa"/>
            <w:shd w:val="clear" w:color="auto" w:fill="auto"/>
            <w:vAlign w:val="center"/>
            <w:hideMark/>
          </w:tcPr>
          <w:p w:rsidR="00FC6A12" w:rsidRPr="00B45792"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DPS</w:t>
            </w:r>
            <w:r w:rsidRPr="00B45792">
              <w:rPr>
                <w:rFonts w:eastAsia="Times New Roman" w:cs="Times New Roman"/>
                <w:b/>
                <w:bCs/>
                <w:color w:val="000000"/>
                <w:sz w:val="22"/>
                <w:lang w:eastAsia="lt-LT"/>
              </w:rPr>
              <w:t xml:space="preserve"> dydis išlaikytas</w:t>
            </w:r>
          </w:p>
        </w:tc>
        <w:tc>
          <w:tcPr>
            <w:tcW w:w="1560" w:type="dxa"/>
            <w:shd w:val="clear" w:color="auto" w:fill="auto"/>
            <w:vAlign w:val="center"/>
            <w:hideMark/>
          </w:tcPr>
          <w:p w:rsidR="00FC6A12" w:rsidRPr="005463A0" w:rsidRDefault="00FC6A12" w:rsidP="00FC6A12">
            <w:pPr>
              <w:spacing w:before="0" w:line="240" w:lineRule="auto"/>
              <w:ind w:firstLine="0"/>
              <w:jc w:val="center"/>
              <w:rPr>
                <w:rFonts w:eastAsia="Times New Roman" w:cs="Times New Roman"/>
                <w:b/>
                <w:bCs/>
                <w:lang w:eastAsia="lt-LT"/>
              </w:rPr>
            </w:pPr>
            <w:r>
              <w:rPr>
                <w:rFonts w:eastAsia="Times New Roman" w:cs="Times New Roman"/>
                <w:b/>
                <w:bCs/>
                <w:sz w:val="22"/>
                <w:lang w:eastAsia="lt-LT"/>
              </w:rPr>
              <w:t>DPS dydis</w:t>
            </w:r>
            <w:r w:rsidRPr="005463A0">
              <w:rPr>
                <w:rFonts w:eastAsia="Times New Roman" w:cs="Times New Roman"/>
                <w:b/>
                <w:bCs/>
                <w:sz w:val="22"/>
                <w:lang w:eastAsia="lt-LT"/>
              </w:rPr>
              <w:t xml:space="preserve"> padidint</w:t>
            </w:r>
            <w:r>
              <w:rPr>
                <w:rFonts w:eastAsia="Times New Roman" w:cs="Times New Roman"/>
                <w:b/>
                <w:bCs/>
                <w:sz w:val="22"/>
                <w:lang w:eastAsia="lt-LT"/>
              </w:rPr>
              <w:t>as</w:t>
            </w:r>
          </w:p>
        </w:tc>
        <w:tc>
          <w:tcPr>
            <w:tcW w:w="1559" w:type="dxa"/>
            <w:vAlign w:val="center"/>
          </w:tcPr>
          <w:p w:rsidR="00FC6A12" w:rsidRPr="003552E4" w:rsidRDefault="00FC6A12" w:rsidP="00FC6A12">
            <w:pPr>
              <w:spacing w:before="0" w:line="240" w:lineRule="auto"/>
              <w:ind w:firstLine="0"/>
              <w:jc w:val="center"/>
              <w:rPr>
                <w:rFonts w:eastAsia="Times New Roman" w:cs="Times New Roman"/>
                <w:b/>
                <w:bCs/>
                <w:lang w:eastAsia="lt-LT"/>
              </w:rPr>
            </w:pPr>
            <w:r w:rsidRPr="003552E4">
              <w:rPr>
                <w:rFonts w:eastAsia="Times New Roman" w:cs="Times New Roman"/>
                <w:b/>
                <w:bCs/>
                <w:sz w:val="22"/>
                <w:lang w:eastAsia="lt-LT"/>
              </w:rPr>
              <w:t>Dividendų inicijavimas</w:t>
            </w:r>
          </w:p>
        </w:tc>
      </w:tr>
      <w:tr w:rsidR="00FC6A12" w:rsidRPr="00B45792" w:rsidTr="00FC6A12">
        <w:trPr>
          <w:trHeight w:hRule="exact" w:val="397"/>
        </w:trPr>
        <w:tc>
          <w:tcPr>
            <w:tcW w:w="993" w:type="dxa"/>
            <w:shd w:val="clear" w:color="auto" w:fill="auto"/>
            <w:noWrap/>
            <w:vAlign w:val="center"/>
            <w:hideMark/>
          </w:tcPr>
          <w:p w:rsidR="00FC6A12" w:rsidRPr="00B40CA6" w:rsidRDefault="00FC6A12" w:rsidP="005A3365">
            <w:pPr>
              <w:spacing w:before="0" w:line="240" w:lineRule="auto"/>
              <w:ind w:firstLine="0"/>
              <w:jc w:val="center"/>
              <w:rPr>
                <w:rFonts w:eastAsia="Times New Roman" w:cs="Times New Roman"/>
                <w:color w:val="000000"/>
                <w:sz w:val="20"/>
                <w:szCs w:val="20"/>
                <w:vertAlign w:val="superscript"/>
                <w:lang w:eastAsia="lt-LT"/>
              </w:rPr>
            </w:pPr>
            <w:r w:rsidRPr="00C53A91">
              <w:rPr>
                <w:rFonts w:eastAsia="Times New Roman" w:cs="Times New Roman"/>
                <w:color w:val="000000"/>
                <w:sz w:val="20"/>
                <w:szCs w:val="20"/>
                <w:lang w:eastAsia="lt-LT"/>
              </w:rPr>
              <w:t>R(-5)</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0,27%</w:t>
            </w:r>
          </w:p>
        </w:tc>
        <w:tc>
          <w:tcPr>
            <w:tcW w:w="1418" w:type="dxa"/>
            <w:shd w:val="clear" w:color="auto" w:fill="auto"/>
            <w:noWrap/>
            <w:vAlign w:val="center"/>
            <w:hideMark/>
          </w:tcPr>
          <w:p w:rsidR="00FC6A12" w:rsidRPr="001426A4" w:rsidRDefault="00FC6A12" w:rsidP="00FC6A12">
            <w:pPr>
              <w:spacing w:before="0" w:line="240" w:lineRule="auto"/>
              <w:ind w:firstLine="0"/>
              <w:jc w:val="center"/>
              <w:rPr>
                <w:rFonts w:eastAsia="Times New Roman" w:cs="Times New Roman"/>
                <w:bCs/>
                <w:color w:val="000000"/>
                <w:szCs w:val="24"/>
                <w:lang w:eastAsia="lt-LT"/>
              </w:rPr>
            </w:pPr>
            <w:r w:rsidRPr="001426A4">
              <w:rPr>
                <w:rFonts w:eastAsia="Times New Roman" w:cs="Times New Roman"/>
                <w:bCs/>
                <w:color w:val="000000"/>
                <w:szCs w:val="24"/>
                <w:lang w:eastAsia="lt-LT"/>
              </w:rPr>
              <w:t>1,38%</w:t>
            </w:r>
          </w:p>
        </w:tc>
        <w:tc>
          <w:tcPr>
            <w:tcW w:w="1275" w:type="dxa"/>
            <w:shd w:val="clear" w:color="auto" w:fill="auto"/>
            <w:noWrap/>
            <w:vAlign w:val="center"/>
            <w:hideMark/>
          </w:tcPr>
          <w:p w:rsidR="00FC6A12" w:rsidRDefault="00FC6A12" w:rsidP="00FC6A12">
            <w:pPr>
              <w:spacing w:before="0" w:line="240" w:lineRule="auto"/>
              <w:ind w:firstLine="0"/>
              <w:jc w:val="center"/>
              <w:rPr>
                <w:b/>
                <w:bCs/>
                <w:color w:val="000000"/>
                <w:szCs w:val="24"/>
              </w:rPr>
            </w:pPr>
            <w:r>
              <w:rPr>
                <w:b/>
                <w:bCs/>
                <w:color w:val="000000"/>
              </w:rPr>
              <w:t>0,93%*</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0,02%</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-0,30%</w:t>
            </w:r>
          </w:p>
        </w:tc>
        <w:tc>
          <w:tcPr>
            <w:tcW w:w="1559" w:type="dxa"/>
            <w:vAlign w:val="center"/>
          </w:tcPr>
          <w:p w:rsidR="00FC6A12" w:rsidRDefault="00FC6A12" w:rsidP="00FC6A12">
            <w:pPr>
              <w:spacing w:before="0" w:line="240" w:lineRule="auto"/>
              <w:ind w:firstLine="0"/>
              <w:jc w:val="center"/>
              <w:rPr>
                <w:szCs w:val="24"/>
              </w:rPr>
            </w:pPr>
            <w:r>
              <w:t>0,23%</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R(-4)</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0,19%</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1,40%</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-0,36%</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-0,38%</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0,32%</w:t>
            </w:r>
          </w:p>
        </w:tc>
        <w:tc>
          <w:tcPr>
            <w:tcW w:w="1559" w:type="dxa"/>
            <w:vAlign w:val="center"/>
          </w:tcPr>
          <w:p w:rsidR="00FC6A12" w:rsidRDefault="00FC6A12" w:rsidP="00FC6A12">
            <w:pPr>
              <w:spacing w:before="0" w:line="240" w:lineRule="auto"/>
              <w:ind w:firstLine="0"/>
              <w:jc w:val="center"/>
              <w:rPr>
                <w:szCs w:val="24"/>
              </w:rPr>
            </w:pPr>
            <w:r>
              <w:t>0,78%</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R(-3)</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-0,12%</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-1,95%</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0,06%</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0,28%</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0,15%</w:t>
            </w:r>
          </w:p>
        </w:tc>
        <w:tc>
          <w:tcPr>
            <w:tcW w:w="1559" w:type="dxa"/>
            <w:vAlign w:val="center"/>
          </w:tcPr>
          <w:p w:rsidR="00FC6A12" w:rsidRDefault="00FC6A12" w:rsidP="00FC6A12">
            <w:pPr>
              <w:spacing w:before="0" w:line="240" w:lineRule="auto"/>
              <w:ind w:firstLine="0"/>
              <w:jc w:val="center"/>
              <w:rPr>
                <w:szCs w:val="24"/>
              </w:rPr>
            </w:pPr>
            <w:r>
              <w:t>-0,65%</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R(-2)</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0,08%</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1,01%</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-0,13%</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0,15%</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0,21%</w:t>
            </w:r>
          </w:p>
        </w:tc>
        <w:tc>
          <w:tcPr>
            <w:tcW w:w="1559" w:type="dxa"/>
            <w:vAlign w:val="center"/>
          </w:tcPr>
          <w:p w:rsidR="00FC6A12" w:rsidRDefault="00FC6A12" w:rsidP="00FC6A12">
            <w:pPr>
              <w:spacing w:before="0" w:line="240" w:lineRule="auto"/>
              <w:ind w:firstLine="0"/>
              <w:jc w:val="center"/>
              <w:rPr>
                <w:szCs w:val="24"/>
              </w:rPr>
            </w:pPr>
            <w:r>
              <w:t>-0,56%</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R(-1)</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0,12%</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1,09%</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0,05%</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0,21%</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-0,03%</w:t>
            </w:r>
          </w:p>
        </w:tc>
        <w:tc>
          <w:tcPr>
            <w:tcW w:w="1559" w:type="dxa"/>
            <w:vAlign w:val="center"/>
          </w:tcPr>
          <w:p w:rsidR="00FC6A12" w:rsidRDefault="00FC6A12" w:rsidP="00FC6A12">
            <w:pPr>
              <w:spacing w:before="0" w:line="240" w:lineRule="auto"/>
              <w:ind w:firstLine="0"/>
              <w:jc w:val="center"/>
              <w:rPr>
                <w:szCs w:val="24"/>
              </w:rPr>
            </w:pPr>
            <w:r>
              <w:t>-0,01%</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R(0)</w:t>
            </w:r>
          </w:p>
        </w:tc>
        <w:tc>
          <w:tcPr>
            <w:tcW w:w="1417" w:type="dxa"/>
            <w:shd w:val="clear" w:color="auto" w:fill="auto"/>
            <w:noWrap/>
            <w:vAlign w:val="center"/>
            <w:hideMark/>
          </w:tcPr>
          <w:p w:rsidR="00FC6A12" w:rsidRPr="007E6BD1" w:rsidRDefault="00FC6A12" w:rsidP="00FC6A12">
            <w:pPr>
              <w:spacing w:before="0" w:line="240" w:lineRule="auto"/>
              <w:ind w:firstLine="0"/>
              <w:jc w:val="center"/>
              <w:rPr>
                <w:rFonts w:eastAsia="Times New Roman" w:cs="Times New Roman"/>
                <w:b/>
                <w:bCs/>
                <w:color w:val="000000"/>
                <w:szCs w:val="24"/>
                <w:lang w:val="en-US" w:eastAsia="lt-LT"/>
              </w:rPr>
            </w:pPr>
            <w:r w:rsidRPr="00B45792">
              <w:rPr>
                <w:rFonts w:eastAsia="Times New Roman" w:cs="Times New Roman"/>
                <w:b/>
                <w:bCs/>
                <w:color w:val="000000"/>
                <w:szCs w:val="24"/>
                <w:lang w:eastAsia="lt-LT"/>
              </w:rPr>
              <w:t>1,56%</w:t>
            </w:r>
            <w:r>
              <w:rPr>
                <w:rFonts w:eastAsia="Times New Roman" w:cs="Times New Roman"/>
                <w:b/>
                <w:bCs/>
                <w:color w:val="000000"/>
                <w:szCs w:val="24"/>
                <w:lang w:eastAsia="lt-LT"/>
              </w:rPr>
              <w:t>*</w:t>
            </w:r>
            <w:r>
              <w:rPr>
                <w:rFonts w:eastAsia="Times New Roman" w:cs="Times New Roman"/>
                <w:b/>
                <w:bCs/>
                <w:color w:val="000000"/>
                <w:szCs w:val="24"/>
                <w:lang w:val="en-US" w:eastAsia="lt-LT"/>
              </w:rPr>
              <w:t>**</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-0,79%</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1,13%</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1,08%</w:t>
            </w:r>
          </w:p>
        </w:tc>
        <w:tc>
          <w:tcPr>
            <w:tcW w:w="1560" w:type="dxa"/>
            <w:shd w:val="clear" w:color="auto" w:fill="auto"/>
            <w:noWrap/>
            <w:vAlign w:val="center"/>
            <w:hideMark/>
          </w:tcPr>
          <w:p w:rsidR="00FC6A12" w:rsidRPr="005463A0" w:rsidRDefault="00FC6A12" w:rsidP="00FC6A12">
            <w:pPr>
              <w:spacing w:before="0" w:line="240" w:lineRule="auto"/>
              <w:ind w:firstLine="0"/>
              <w:jc w:val="center"/>
              <w:rPr>
                <w:b/>
                <w:bCs/>
                <w:szCs w:val="24"/>
                <w:lang w:val="en-US"/>
              </w:rPr>
            </w:pPr>
            <w:r>
              <w:rPr>
                <w:b/>
                <w:bCs/>
              </w:rPr>
              <w:t>1,60%</w:t>
            </w:r>
            <w:r>
              <w:rPr>
                <w:b/>
                <w:bCs/>
                <w:lang w:val="en-US"/>
              </w:rPr>
              <w:t>***</w:t>
            </w:r>
          </w:p>
        </w:tc>
        <w:tc>
          <w:tcPr>
            <w:tcW w:w="1559" w:type="dxa"/>
            <w:vAlign w:val="center"/>
          </w:tcPr>
          <w:p w:rsidR="00FC6A12" w:rsidRDefault="00FC6A12" w:rsidP="00FC6A12">
            <w:pPr>
              <w:spacing w:before="0" w:line="240" w:lineRule="auto"/>
              <w:ind w:firstLine="0"/>
              <w:jc w:val="center"/>
              <w:rPr>
                <w:b/>
                <w:bCs/>
                <w:szCs w:val="24"/>
              </w:rPr>
            </w:pPr>
            <w:r>
              <w:rPr>
                <w:b/>
                <w:bCs/>
              </w:rPr>
              <w:t>4,41%***</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R(1)</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0,16%</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-1,13%</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-0,13%</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-0,35%</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0,42%</w:t>
            </w:r>
          </w:p>
        </w:tc>
        <w:tc>
          <w:tcPr>
            <w:tcW w:w="1559" w:type="dxa"/>
            <w:vAlign w:val="center"/>
          </w:tcPr>
          <w:p w:rsidR="00FC6A12" w:rsidRDefault="00FC6A12" w:rsidP="00FC6A12">
            <w:pPr>
              <w:spacing w:before="0" w:line="240" w:lineRule="auto"/>
              <w:ind w:firstLine="0"/>
              <w:jc w:val="center"/>
              <w:rPr>
                <w:szCs w:val="24"/>
              </w:rPr>
            </w:pPr>
            <w:r>
              <w:t>1,33%</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R(2)</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-0,19%</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0,54%</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0,16%</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-1,73%</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0,05%</w:t>
            </w:r>
          </w:p>
        </w:tc>
        <w:tc>
          <w:tcPr>
            <w:tcW w:w="1559" w:type="dxa"/>
            <w:vAlign w:val="center"/>
          </w:tcPr>
          <w:p w:rsidR="00FC6A12" w:rsidRDefault="00FC6A12" w:rsidP="00FC6A12">
            <w:pPr>
              <w:spacing w:before="0" w:line="240" w:lineRule="auto"/>
              <w:ind w:firstLine="0"/>
              <w:jc w:val="center"/>
              <w:rPr>
                <w:szCs w:val="24"/>
              </w:rPr>
            </w:pPr>
            <w:r>
              <w:t>-0,55%</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R(3)</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-0,04%</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0,64%</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-0,44%</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-0,05%</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0,44%</w:t>
            </w:r>
          </w:p>
        </w:tc>
        <w:tc>
          <w:tcPr>
            <w:tcW w:w="1559" w:type="dxa"/>
            <w:vAlign w:val="center"/>
          </w:tcPr>
          <w:p w:rsidR="00FC6A12" w:rsidRDefault="00FC6A12" w:rsidP="00FC6A12">
            <w:pPr>
              <w:spacing w:before="0" w:line="240" w:lineRule="auto"/>
              <w:ind w:firstLine="0"/>
              <w:jc w:val="center"/>
              <w:rPr>
                <w:szCs w:val="24"/>
              </w:rPr>
            </w:pPr>
            <w:r>
              <w:t>-1,18%</w:t>
            </w:r>
          </w:p>
        </w:tc>
      </w:tr>
      <w:tr w:rsidR="00FC6A12" w:rsidRPr="00B45792" w:rsidTr="00FC6A12">
        <w:trPr>
          <w:trHeight w:hRule="exact" w:val="397"/>
        </w:trPr>
        <w:tc>
          <w:tcPr>
            <w:tcW w:w="993" w:type="dxa"/>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R(4)</w:t>
            </w:r>
          </w:p>
        </w:tc>
        <w:tc>
          <w:tcPr>
            <w:tcW w:w="1417"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-0,05%</w:t>
            </w:r>
          </w:p>
        </w:tc>
        <w:tc>
          <w:tcPr>
            <w:tcW w:w="1418"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0,01%</w:t>
            </w:r>
          </w:p>
        </w:tc>
        <w:tc>
          <w:tcPr>
            <w:tcW w:w="1275" w:type="dxa"/>
            <w:shd w:val="clear" w:color="auto" w:fill="auto"/>
            <w:noWrap/>
            <w:vAlign w:val="center"/>
            <w:hideMark/>
          </w:tcPr>
          <w:p w:rsidR="00FC6A12" w:rsidRDefault="00FC6A12" w:rsidP="00FC6A12">
            <w:pPr>
              <w:spacing w:before="0" w:line="240" w:lineRule="auto"/>
              <w:ind w:firstLine="0"/>
              <w:jc w:val="center"/>
              <w:rPr>
                <w:color w:val="000000"/>
                <w:szCs w:val="24"/>
              </w:rPr>
            </w:pPr>
            <w:r>
              <w:rPr>
                <w:color w:val="000000"/>
              </w:rPr>
              <w:t>-0,01%</w:t>
            </w:r>
          </w:p>
        </w:tc>
        <w:tc>
          <w:tcPr>
            <w:tcW w:w="1701" w:type="dxa"/>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0,33%</w:t>
            </w:r>
          </w:p>
        </w:tc>
        <w:tc>
          <w:tcPr>
            <w:tcW w:w="1560" w:type="dxa"/>
            <w:shd w:val="clear" w:color="auto" w:fill="auto"/>
            <w:noWrap/>
            <w:vAlign w:val="center"/>
            <w:hideMark/>
          </w:tcPr>
          <w:p w:rsidR="00FC6A12" w:rsidRDefault="00FC6A12" w:rsidP="00FC6A12">
            <w:pPr>
              <w:spacing w:before="0" w:line="240" w:lineRule="auto"/>
              <w:ind w:firstLine="0"/>
              <w:jc w:val="center"/>
              <w:rPr>
                <w:szCs w:val="24"/>
              </w:rPr>
            </w:pPr>
            <w:r>
              <w:t>-0,44%</w:t>
            </w:r>
          </w:p>
        </w:tc>
        <w:tc>
          <w:tcPr>
            <w:tcW w:w="1559" w:type="dxa"/>
            <w:vAlign w:val="center"/>
          </w:tcPr>
          <w:p w:rsidR="00FC6A12" w:rsidRDefault="00FC6A12" w:rsidP="00FC6A12">
            <w:pPr>
              <w:spacing w:before="0" w:line="240" w:lineRule="auto"/>
              <w:ind w:firstLine="0"/>
              <w:jc w:val="center"/>
              <w:rPr>
                <w:szCs w:val="24"/>
              </w:rPr>
            </w:pPr>
            <w:r>
              <w:t>0,72%</w:t>
            </w:r>
          </w:p>
        </w:tc>
      </w:tr>
      <w:tr w:rsidR="00FC6A12" w:rsidRPr="00B45792" w:rsidTr="00FC6A12">
        <w:trPr>
          <w:trHeight w:hRule="exact" w:val="397"/>
        </w:trPr>
        <w:tc>
          <w:tcPr>
            <w:tcW w:w="993" w:type="dxa"/>
            <w:tcBorders>
              <w:bottom w:val="single" w:sz="12" w:space="0" w:color="auto"/>
            </w:tcBorders>
            <w:shd w:val="clear" w:color="auto" w:fill="auto"/>
            <w:noWrap/>
            <w:vAlign w:val="center"/>
            <w:hideMark/>
          </w:tcPr>
          <w:p w:rsidR="00FC6A12" w:rsidRPr="00C53A91" w:rsidRDefault="00FC6A12" w:rsidP="00FC6A12">
            <w:pPr>
              <w:spacing w:before="0" w:line="240" w:lineRule="auto"/>
              <w:ind w:firstLine="0"/>
              <w:jc w:val="center"/>
              <w:rPr>
                <w:rFonts w:eastAsia="Times New Roman" w:cs="Times New Roman"/>
                <w:color w:val="000000"/>
                <w:sz w:val="20"/>
                <w:szCs w:val="20"/>
                <w:lang w:eastAsia="lt-LT"/>
              </w:rPr>
            </w:pPr>
            <w:r w:rsidRPr="00C53A91">
              <w:rPr>
                <w:rFonts w:eastAsia="Times New Roman" w:cs="Times New Roman"/>
                <w:color w:val="000000"/>
                <w:sz w:val="20"/>
                <w:szCs w:val="20"/>
                <w:lang w:eastAsia="lt-LT"/>
              </w:rPr>
              <w:t>R(5)</w:t>
            </w:r>
          </w:p>
        </w:tc>
        <w:tc>
          <w:tcPr>
            <w:tcW w:w="1417" w:type="dxa"/>
            <w:tcBorders>
              <w:bottom w:val="single" w:sz="12" w:space="0" w:color="auto"/>
            </w:tcBorders>
            <w:shd w:val="clear" w:color="auto" w:fill="auto"/>
            <w:noWrap/>
            <w:vAlign w:val="center"/>
            <w:hideMark/>
          </w:tcPr>
          <w:p w:rsidR="00FC6A12" w:rsidRPr="001426A4" w:rsidRDefault="00FC6A12" w:rsidP="00FC6A12">
            <w:pPr>
              <w:spacing w:before="0" w:line="240" w:lineRule="auto"/>
              <w:ind w:firstLine="0"/>
              <w:jc w:val="center"/>
              <w:rPr>
                <w:rFonts w:eastAsia="Times New Roman" w:cs="Times New Roman"/>
                <w:b/>
                <w:color w:val="000000"/>
                <w:szCs w:val="24"/>
                <w:lang w:eastAsia="lt-LT"/>
              </w:rPr>
            </w:pPr>
            <w:r w:rsidRPr="001426A4">
              <w:rPr>
                <w:rFonts w:eastAsia="Times New Roman" w:cs="Times New Roman"/>
                <w:b/>
                <w:color w:val="000000"/>
                <w:szCs w:val="24"/>
                <w:lang w:eastAsia="lt-LT"/>
              </w:rPr>
              <w:t>-0,48%</w:t>
            </w:r>
            <w:r>
              <w:rPr>
                <w:rFonts w:eastAsia="Times New Roman" w:cs="Times New Roman"/>
                <w:b/>
                <w:color w:val="000000"/>
                <w:szCs w:val="24"/>
                <w:lang w:eastAsia="lt-LT"/>
              </w:rPr>
              <w:t>*</w:t>
            </w:r>
          </w:p>
        </w:tc>
        <w:tc>
          <w:tcPr>
            <w:tcW w:w="1418" w:type="dxa"/>
            <w:tcBorders>
              <w:bottom w:val="single" w:sz="12" w:space="0" w:color="auto"/>
            </w:tcBorders>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-0,26%</w:t>
            </w:r>
          </w:p>
        </w:tc>
        <w:tc>
          <w:tcPr>
            <w:tcW w:w="1275" w:type="dxa"/>
            <w:tcBorders>
              <w:bottom w:val="single" w:sz="12" w:space="0" w:color="auto"/>
            </w:tcBorders>
            <w:shd w:val="clear" w:color="auto" w:fill="auto"/>
            <w:noWrap/>
            <w:vAlign w:val="center"/>
            <w:hideMark/>
          </w:tcPr>
          <w:p w:rsidR="00FC6A12" w:rsidRDefault="00FC6A12" w:rsidP="00FC6A12">
            <w:pPr>
              <w:spacing w:before="0" w:line="240" w:lineRule="auto"/>
              <w:ind w:firstLine="0"/>
              <w:jc w:val="center"/>
              <w:rPr>
                <w:b/>
                <w:bCs/>
                <w:color w:val="000000"/>
                <w:szCs w:val="24"/>
              </w:rPr>
            </w:pPr>
            <w:r>
              <w:rPr>
                <w:b/>
                <w:bCs/>
                <w:color w:val="000000"/>
              </w:rPr>
              <w:t>-1,02%**</w:t>
            </w:r>
          </w:p>
        </w:tc>
        <w:tc>
          <w:tcPr>
            <w:tcW w:w="1701" w:type="dxa"/>
            <w:tcBorders>
              <w:bottom w:val="single" w:sz="12" w:space="0" w:color="auto"/>
            </w:tcBorders>
            <w:shd w:val="clear" w:color="auto" w:fill="auto"/>
            <w:noWrap/>
            <w:vAlign w:val="center"/>
            <w:hideMark/>
          </w:tcPr>
          <w:p w:rsidR="00FC6A12" w:rsidRPr="00B45792" w:rsidRDefault="00FC6A12" w:rsidP="00FC6A12">
            <w:pPr>
              <w:spacing w:before="0" w:line="240" w:lineRule="auto"/>
              <w:ind w:firstLine="0"/>
              <w:jc w:val="center"/>
              <w:rPr>
                <w:rFonts w:eastAsia="Times New Roman" w:cs="Times New Roman"/>
                <w:color w:val="000000"/>
                <w:szCs w:val="24"/>
                <w:lang w:eastAsia="lt-LT"/>
              </w:rPr>
            </w:pPr>
            <w:r w:rsidRPr="00B45792">
              <w:rPr>
                <w:rFonts w:eastAsia="Times New Roman" w:cs="Times New Roman"/>
                <w:color w:val="000000"/>
                <w:szCs w:val="24"/>
                <w:lang w:eastAsia="lt-LT"/>
              </w:rPr>
              <w:t>-0,94%</w:t>
            </w:r>
          </w:p>
        </w:tc>
        <w:tc>
          <w:tcPr>
            <w:tcW w:w="1560" w:type="dxa"/>
            <w:tcBorders>
              <w:bottom w:val="single" w:sz="12" w:space="0" w:color="auto"/>
            </w:tcBorders>
            <w:shd w:val="clear" w:color="auto" w:fill="auto"/>
            <w:noWrap/>
            <w:vAlign w:val="center"/>
            <w:hideMark/>
          </w:tcPr>
          <w:p w:rsidR="00FC6A12" w:rsidRDefault="00FC6A12" w:rsidP="00FC6A12">
            <w:pPr>
              <w:spacing w:before="0" w:line="240" w:lineRule="auto"/>
              <w:ind w:firstLine="0"/>
              <w:jc w:val="center"/>
              <w:rPr>
                <w:szCs w:val="24"/>
              </w:rPr>
            </w:pPr>
            <w:r>
              <w:t>-0,30%</w:t>
            </w:r>
          </w:p>
        </w:tc>
        <w:tc>
          <w:tcPr>
            <w:tcW w:w="1559" w:type="dxa"/>
            <w:tcBorders>
              <w:bottom w:val="single" w:sz="12" w:space="0" w:color="auto"/>
            </w:tcBorders>
            <w:vAlign w:val="center"/>
          </w:tcPr>
          <w:p w:rsidR="00FC6A12" w:rsidRDefault="00FC6A12" w:rsidP="00FC6A12">
            <w:pPr>
              <w:spacing w:before="0" w:line="240" w:lineRule="auto"/>
              <w:ind w:firstLine="0"/>
              <w:jc w:val="center"/>
              <w:rPr>
                <w:szCs w:val="24"/>
              </w:rPr>
            </w:pPr>
            <w:r>
              <w:t>0,43%</w:t>
            </w:r>
          </w:p>
        </w:tc>
      </w:tr>
      <w:tr w:rsidR="00FC6A12" w:rsidRPr="00B45792" w:rsidTr="00FC6A12">
        <w:trPr>
          <w:trHeight w:hRule="exact" w:val="397"/>
        </w:trPr>
        <w:tc>
          <w:tcPr>
            <w:tcW w:w="993" w:type="dxa"/>
            <w:shd w:val="pct10" w:color="auto" w:fill="auto"/>
            <w:noWrap/>
            <w:vAlign w:val="center"/>
            <w:hideMark/>
          </w:tcPr>
          <w:p w:rsidR="00FC6A12" w:rsidRPr="00C53A91" w:rsidRDefault="00FC6A12" w:rsidP="00FC6A12">
            <w:pPr>
              <w:spacing w:before="0" w:line="240" w:lineRule="auto"/>
              <w:ind w:firstLine="0"/>
              <w:jc w:val="center"/>
              <w:rPr>
                <w:rFonts w:eastAsia="Times New Roman" w:cs="Times New Roman"/>
                <w:i/>
                <w:iCs/>
                <w:color w:val="000000"/>
                <w:sz w:val="16"/>
                <w:szCs w:val="16"/>
                <w:lang w:eastAsia="lt-LT"/>
              </w:rPr>
            </w:pPr>
            <w:r w:rsidRPr="00C53A91">
              <w:rPr>
                <w:rFonts w:eastAsia="Times New Roman" w:cs="Times New Roman"/>
                <w:i/>
                <w:iCs/>
                <w:color w:val="000000"/>
                <w:sz w:val="16"/>
                <w:szCs w:val="16"/>
                <w:lang w:eastAsia="lt-LT"/>
              </w:rPr>
              <w:t>CAR[-5 ; 5]</w:t>
            </w:r>
          </w:p>
        </w:tc>
        <w:tc>
          <w:tcPr>
            <w:tcW w:w="1417" w:type="dxa"/>
            <w:shd w:val="pct10" w:color="auto" w:fill="auto"/>
            <w:noWrap/>
            <w:vAlign w:val="center"/>
            <w:hideMark/>
          </w:tcPr>
          <w:p w:rsidR="00FC6A12" w:rsidRPr="00B45792" w:rsidRDefault="00FC6A12" w:rsidP="00FC6A12">
            <w:pPr>
              <w:spacing w:before="0" w:line="240" w:lineRule="auto"/>
              <w:ind w:firstLine="0"/>
              <w:jc w:val="center"/>
              <w:rPr>
                <w:rFonts w:eastAsia="Times New Roman" w:cs="Times New Roman"/>
                <w:i/>
                <w:iCs/>
                <w:color w:val="000000"/>
                <w:szCs w:val="24"/>
                <w:lang w:eastAsia="lt-LT"/>
              </w:rPr>
            </w:pPr>
            <w:r w:rsidRPr="00B45792">
              <w:rPr>
                <w:rFonts w:eastAsia="Times New Roman" w:cs="Times New Roman"/>
                <w:i/>
                <w:iCs/>
                <w:color w:val="000000"/>
                <w:szCs w:val="24"/>
                <w:lang w:eastAsia="lt-LT"/>
              </w:rPr>
              <w:t>1,50%</w:t>
            </w:r>
          </w:p>
        </w:tc>
        <w:tc>
          <w:tcPr>
            <w:tcW w:w="1418" w:type="dxa"/>
            <w:shd w:val="pct10" w:color="auto" w:fill="auto"/>
            <w:noWrap/>
            <w:vAlign w:val="center"/>
            <w:hideMark/>
          </w:tcPr>
          <w:p w:rsidR="00FC6A12" w:rsidRPr="00B45792" w:rsidRDefault="00FC6A12" w:rsidP="00FC6A12">
            <w:pPr>
              <w:spacing w:before="0" w:line="240" w:lineRule="auto"/>
              <w:ind w:firstLine="0"/>
              <w:jc w:val="center"/>
              <w:rPr>
                <w:rFonts w:eastAsia="Times New Roman" w:cs="Times New Roman"/>
                <w:i/>
                <w:iCs/>
                <w:color w:val="000000"/>
                <w:szCs w:val="24"/>
                <w:lang w:eastAsia="lt-LT"/>
              </w:rPr>
            </w:pPr>
            <w:r w:rsidRPr="00B45792">
              <w:rPr>
                <w:rFonts w:eastAsia="Times New Roman" w:cs="Times New Roman"/>
                <w:i/>
                <w:iCs/>
                <w:color w:val="000000"/>
                <w:szCs w:val="24"/>
                <w:lang w:eastAsia="lt-LT"/>
              </w:rPr>
              <w:t>1,94%</w:t>
            </w:r>
          </w:p>
        </w:tc>
        <w:tc>
          <w:tcPr>
            <w:tcW w:w="1275" w:type="dxa"/>
            <w:shd w:val="pct10" w:color="auto" w:fill="auto"/>
            <w:noWrap/>
            <w:vAlign w:val="center"/>
            <w:hideMark/>
          </w:tcPr>
          <w:p w:rsidR="00FC6A12" w:rsidRDefault="00FC6A12" w:rsidP="00FC6A12">
            <w:pPr>
              <w:spacing w:before="0" w:line="240" w:lineRule="auto"/>
              <w:ind w:firstLine="0"/>
              <w:jc w:val="center"/>
              <w:rPr>
                <w:i/>
                <w:iCs/>
                <w:color w:val="000000"/>
                <w:szCs w:val="24"/>
              </w:rPr>
            </w:pPr>
            <w:r>
              <w:rPr>
                <w:i/>
                <w:iCs/>
                <w:color w:val="000000"/>
              </w:rPr>
              <w:t>0,24%</w:t>
            </w:r>
          </w:p>
        </w:tc>
        <w:tc>
          <w:tcPr>
            <w:tcW w:w="1701" w:type="dxa"/>
            <w:shd w:val="pct10" w:color="auto" w:fill="auto"/>
            <w:noWrap/>
            <w:vAlign w:val="center"/>
            <w:hideMark/>
          </w:tcPr>
          <w:p w:rsidR="00FC6A12" w:rsidRPr="00B45792" w:rsidRDefault="00FC6A12" w:rsidP="00FC6A12">
            <w:pPr>
              <w:spacing w:before="0" w:line="240" w:lineRule="auto"/>
              <w:ind w:firstLine="0"/>
              <w:jc w:val="center"/>
              <w:rPr>
                <w:rFonts w:eastAsia="Times New Roman" w:cs="Times New Roman"/>
                <w:i/>
                <w:iCs/>
                <w:color w:val="000000"/>
                <w:szCs w:val="24"/>
                <w:lang w:eastAsia="lt-LT"/>
              </w:rPr>
            </w:pPr>
            <w:r w:rsidRPr="00B45792">
              <w:rPr>
                <w:rFonts w:eastAsia="Times New Roman" w:cs="Times New Roman"/>
                <w:i/>
                <w:iCs/>
                <w:color w:val="000000"/>
                <w:szCs w:val="24"/>
                <w:lang w:eastAsia="lt-LT"/>
              </w:rPr>
              <w:t>-1,38%</w:t>
            </w:r>
          </w:p>
        </w:tc>
        <w:tc>
          <w:tcPr>
            <w:tcW w:w="1560" w:type="dxa"/>
            <w:shd w:val="pct10" w:color="auto" w:fill="auto"/>
            <w:noWrap/>
            <w:vAlign w:val="center"/>
            <w:hideMark/>
          </w:tcPr>
          <w:p w:rsidR="00FC6A12" w:rsidRDefault="00FC6A12" w:rsidP="00FC6A12">
            <w:pPr>
              <w:spacing w:before="0" w:line="240" w:lineRule="auto"/>
              <w:ind w:firstLine="0"/>
              <w:jc w:val="center"/>
              <w:rPr>
                <w:i/>
                <w:iCs/>
                <w:szCs w:val="24"/>
              </w:rPr>
            </w:pPr>
            <w:r>
              <w:rPr>
                <w:i/>
                <w:iCs/>
              </w:rPr>
              <w:t>2,12%</w:t>
            </w:r>
          </w:p>
        </w:tc>
        <w:tc>
          <w:tcPr>
            <w:tcW w:w="1559" w:type="dxa"/>
            <w:shd w:val="pct10" w:color="auto" w:fill="auto"/>
            <w:vAlign w:val="center"/>
          </w:tcPr>
          <w:p w:rsidR="00FC6A12" w:rsidRDefault="00FC6A12" w:rsidP="00FC6A12">
            <w:pPr>
              <w:spacing w:before="0" w:line="240" w:lineRule="auto"/>
              <w:ind w:firstLine="0"/>
              <w:jc w:val="center"/>
              <w:rPr>
                <w:i/>
                <w:iCs/>
                <w:szCs w:val="24"/>
              </w:rPr>
            </w:pPr>
            <w:r>
              <w:rPr>
                <w:i/>
                <w:iCs/>
              </w:rPr>
              <w:t>4,95%</w:t>
            </w:r>
          </w:p>
        </w:tc>
      </w:tr>
    </w:tbl>
    <w:p w:rsidR="005A3365" w:rsidRDefault="00FC6A12" w:rsidP="005A3365">
      <w:pPr>
        <w:spacing w:line="240" w:lineRule="auto"/>
        <w:rPr>
          <w:b/>
          <w:sz w:val="20"/>
          <w:szCs w:val="20"/>
          <w:vertAlign w:val="superscript"/>
        </w:rPr>
      </w:pPr>
      <w:r w:rsidRPr="001A1564">
        <w:rPr>
          <w:sz w:val="20"/>
          <w:szCs w:val="20"/>
        </w:rPr>
        <w:t xml:space="preserve">Čia: </w:t>
      </w:r>
      <w:r>
        <w:rPr>
          <w:sz w:val="20"/>
          <w:szCs w:val="20"/>
        </w:rPr>
        <w:tab/>
      </w:r>
      <w:r w:rsidR="005A3365">
        <w:rPr>
          <w:b/>
          <w:sz w:val="20"/>
          <w:szCs w:val="20"/>
          <w:vertAlign w:val="superscript"/>
        </w:rPr>
        <w:t>1</w:t>
      </w:r>
      <w:r w:rsidR="005A3365" w:rsidRPr="00B40CA6">
        <w:rPr>
          <w:b/>
          <w:sz w:val="20"/>
          <w:szCs w:val="20"/>
        </w:rPr>
        <w:t>R(t)</w:t>
      </w:r>
      <w:r w:rsidR="005A3365">
        <w:rPr>
          <w:sz w:val="20"/>
          <w:szCs w:val="20"/>
        </w:rPr>
        <w:t xml:space="preserve">: vidutinis akcijų pelningumas laiko momentu </w:t>
      </w:r>
      <w:r w:rsidR="005A3365" w:rsidRPr="00062607">
        <w:rPr>
          <w:i/>
          <w:sz w:val="20"/>
          <w:szCs w:val="20"/>
        </w:rPr>
        <w:t>t</w:t>
      </w:r>
      <w:r w:rsidR="005A3365">
        <w:rPr>
          <w:sz w:val="20"/>
          <w:szCs w:val="20"/>
        </w:rPr>
        <w:t>;</w:t>
      </w:r>
    </w:p>
    <w:p w:rsidR="00FC6A12" w:rsidRDefault="005A3365" w:rsidP="005A3365">
      <w:pPr>
        <w:spacing w:before="0" w:line="240" w:lineRule="auto"/>
        <w:ind w:firstLine="1276"/>
        <w:rPr>
          <w:sz w:val="20"/>
          <w:szCs w:val="20"/>
        </w:rPr>
      </w:pPr>
      <w:r>
        <w:rPr>
          <w:b/>
          <w:sz w:val="20"/>
          <w:szCs w:val="20"/>
          <w:vertAlign w:val="superscript"/>
        </w:rPr>
        <w:t>2</w:t>
      </w:r>
      <w:r w:rsidR="00FC6A12" w:rsidRPr="00B40CA6">
        <w:rPr>
          <w:b/>
          <w:sz w:val="20"/>
          <w:szCs w:val="20"/>
        </w:rPr>
        <w:t>DPS</w:t>
      </w:r>
      <w:r w:rsidR="00FC6A12">
        <w:rPr>
          <w:sz w:val="20"/>
          <w:szCs w:val="20"/>
        </w:rPr>
        <w:t>: dividendų dydis, tenkantis akcijai;</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sidRPr="001A1564">
        <w:rPr>
          <w:sz w:val="20"/>
          <w:szCs w:val="20"/>
        </w:rPr>
        <w:t xml:space="preserve">pelningumų vidurkis statistiškai reikšmingai skiriasi nuo </w:t>
      </w:r>
      <w:r>
        <w:rPr>
          <w:sz w:val="20"/>
          <w:szCs w:val="20"/>
        </w:rPr>
        <w:t>R=</w:t>
      </w:r>
      <w:r w:rsidRPr="001A1564">
        <w:rPr>
          <w:sz w:val="20"/>
          <w:szCs w:val="20"/>
        </w:rPr>
        <w:t>0</w:t>
      </w:r>
      <w:r>
        <w:rPr>
          <w:sz w:val="20"/>
          <w:szCs w:val="20"/>
        </w:rPr>
        <w:t xml:space="preserve"> su 99% </w:t>
      </w:r>
      <w:r w:rsidRPr="00355357">
        <w:rPr>
          <w:sz w:val="20"/>
          <w:szCs w:val="20"/>
        </w:rPr>
        <w:t xml:space="preserve"> </w:t>
      </w:r>
      <w:r>
        <w:rPr>
          <w:sz w:val="20"/>
          <w:szCs w:val="20"/>
        </w:rPr>
        <w:t>tikimybe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w:t>
      </w:r>
      <w:r w:rsidRPr="001A1564">
        <w:rPr>
          <w:sz w:val="20"/>
          <w:szCs w:val="20"/>
        </w:rPr>
        <w:t xml:space="preserve">pelningumų vidurkis statistiškai reikšmingai skiriasi nuo </w:t>
      </w:r>
      <w:r>
        <w:rPr>
          <w:sz w:val="20"/>
          <w:szCs w:val="20"/>
        </w:rPr>
        <w:t>R=</w:t>
      </w:r>
      <w:r w:rsidRPr="001A1564">
        <w:rPr>
          <w:sz w:val="20"/>
          <w:szCs w:val="20"/>
        </w:rPr>
        <w:t>0</w:t>
      </w:r>
      <w:r>
        <w:rPr>
          <w:sz w:val="20"/>
          <w:szCs w:val="20"/>
        </w:rPr>
        <w:t xml:space="preserve"> su </w:t>
      </w:r>
      <w:r w:rsidRPr="001A1564">
        <w:rPr>
          <w:sz w:val="20"/>
          <w:szCs w:val="20"/>
        </w:rPr>
        <w:t>95%</w:t>
      </w:r>
      <w:r>
        <w:rPr>
          <w:sz w:val="20"/>
          <w:szCs w:val="20"/>
        </w:rPr>
        <w:t xml:space="preserve"> tikimybe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pelningumų vidurkis statistiškai reikšmingai sk</w:t>
      </w:r>
      <w:r>
        <w:rPr>
          <w:sz w:val="20"/>
          <w:szCs w:val="20"/>
        </w:rPr>
        <w:t>iriasi nuo R=0 su 90% tikimybe (p</w:t>
      </w:r>
      <w:r w:rsidRPr="001A1564">
        <w:rPr>
          <w:sz w:val="20"/>
          <w:szCs w:val="20"/>
        </w:rPr>
        <w:t xml:space="preserve"> &lt; 0</w:t>
      </w:r>
      <w:r>
        <w:rPr>
          <w:sz w:val="20"/>
          <w:szCs w:val="20"/>
        </w:rPr>
        <w:t>,</w:t>
      </w:r>
      <w:r w:rsidRPr="001A1564">
        <w:rPr>
          <w:sz w:val="20"/>
          <w:szCs w:val="20"/>
        </w:rPr>
        <w:t>10).</w:t>
      </w:r>
    </w:p>
    <w:p w:rsidR="00FC6A12" w:rsidRDefault="00FC6A12" w:rsidP="00FC6A12">
      <w:r>
        <w:t xml:space="preserve">Jei įmonė nusprendžia nemokėti dividendų (nors praeitais metais dividendus mokėjo), arba dividendų dydį (DPS) sumažinti, laikomasi prielaidos, kad investuotojai šias naujienas interpretuos kaip neigiamą informaciją. Gautos pelningumų reikšmės rodo, jog tokiu atveju prekybos </w:t>
      </w:r>
      <w:r w:rsidRPr="003552E4">
        <w:t>dienomis -3</w:t>
      </w:r>
      <w:r>
        <w:t xml:space="preserve"> (t=</w:t>
      </w:r>
      <w:r w:rsidRPr="0051375E">
        <w:t>-3)</w:t>
      </w:r>
      <w:r w:rsidRPr="003552E4">
        <w:t>, 0</w:t>
      </w:r>
      <w:r>
        <w:t xml:space="preserve"> (t=0)</w:t>
      </w:r>
      <w:r w:rsidRPr="003552E4">
        <w:t>, 1</w:t>
      </w:r>
      <w:r>
        <w:t xml:space="preserve"> (t=1) akcijų pelningumai įgyja neigiamas, bet statistiškai mažai reikšmingas reikšmes. Tokį rezultatą galima būtų traktuoti, kaip rinkos lūkesčius, kurie jau yra įskaičiuoti į rinkos kainą po anksčiau paskelbtų įmonės rezultatų už praėjusius fiskalinius metus arba paskelbtos informacijos apie numatomus investicinius projektus, kuriems įmonė panaudos sukauptas ir uždirbtas lėšas. Todėl neišmokamus dividendus investuotojai traktuoja kaip iš anksto numatytą pelno paskirstymo scenarijų.</w:t>
      </w:r>
    </w:p>
    <w:p w:rsidR="00FC6A12" w:rsidRDefault="00FC6A12" w:rsidP="00FC6A12">
      <w:r>
        <w:t xml:space="preserve">Kuomet dividendų dydis sumažinamas, akcijų pelningumas su 90% tikimybe įgyja statistiškai teigiamą reikšmę </w:t>
      </w:r>
      <w:r w:rsidRPr="003552E4">
        <w:t>-5 prekybos dieną (0,93%)</w:t>
      </w:r>
      <w:r>
        <w:t xml:space="preserve"> ir</w:t>
      </w:r>
      <w:r w:rsidRPr="005E1587">
        <w:t xml:space="preserve"> </w:t>
      </w:r>
      <w:r>
        <w:t xml:space="preserve">neigiamą statistiškai pastebimą smukimą patiria tik </w:t>
      </w:r>
      <w:r w:rsidRPr="003552E4">
        <w:t>5 dieną</w:t>
      </w:r>
      <w:r>
        <w:t xml:space="preserve"> po paskelbimo</w:t>
      </w:r>
      <w:r w:rsidRPr="003552E4">
        <w:t xml:space="preserve">, </w:t>
      </w:r>
      <w:r>
        <w:t>kuomet akcijų kaina vidutiniškai smunka 1,02</w:t>
      </w:r>
      <w:r w:rsidRPr="003552E4">
        <w:t>%</w:t>
      </w:r>
      <w:r>
        <w:t>. T</w:t>
      </w:r>
      <w:r w:rsidRPr="003552E4">
        <w:t xml:space="preserve">uo tarpu </w:t>
      </w:r>
      <w:r>
        <w:t>dėl informacijos apie mažesnį dividendų dydį vidutinis akcijų pelningumas paskelbimo diena siekia 1,13</w:t>
      </w:r>
      <w:r w:rsidRPr="003552E4">
        <w:t>%</w:t>
      </w:r>
      <w:r>
        <w:t>. Bendras pelningumo prieaugis dėl dividendų sumažinimo analizuojamu periodu sudaro 0,24%.</w:t>
      </w:r>
    </w:p>
    <w:p w:rsidR="00FC6A12" w:rsidRDefault="00FC6A12" w:rsidP="00FC6A12">
      <w:r>
        <w:t xml:space="preserve">Kuomet įmonė paskelbia, jog mokės tą patį dividendų dydį kaip ir praėjusiais metais, padidins dividendus (DPS) arba inicijuos dividendų mokėjimą, laikomasi prielaidos, jog tai teigiamos naujienos apie dividendų išmokėjimą. Visgi kuomet dividendų dydis išlieka pastovus, statistiškai reikšmingų </w:t>
      </w:r>
      <w:r>
        <w:lastRenderedPageBreak/>
        <w:t>pelningumo reikšmių informacija nesugeneruoja, o susumavus 11 prekybos dienų pelningumus, gaunamas neigiamas kainos pokytis - 1,38</w:t>
      </w:r>
      <w:r w:rsidRPr="005E1587">
        <w:t>%. Dividend</w:t>
      </w:r>
      <w:r>
        <w:t>ų padidinimo atveju, paskelbimo dieną pasireiškia statistiškai reikšmingas 1,60</w:t>
      </w:r>
      <w:r w:rsidRPr="008917E2">
        <w:t>% dydžio pelningumas, o bendras analizuojamų prekybos dienų pel</w:t>
      </w:r>
      <w:r>
        <w:t>ningumas siekia 2,12</w:t>
      </w:r>
      <w:r w:rsidRPr="008917E2">
        <w:t>%</w:t>
      </w:r>
      <w:r>
        <w:t xml:space="preserve"> vidutinį kainos prieaugį, nepaisant to, kad 4 ir 5 dienomis pelningumai koreguojasi</w:t>
      </w:r>
      <w:r w:rsidRPr="008917E2">
        <w:t>.</w:t>
      </w:r>
      <w:r>
        <w:t xml:space="preserve"> Tuo tarpu dividendų inicijavimas vertinamas kaip teigiamas signalas ir rinka dividendų inicijavimo dieną tokias naujienas įvertina su vidutiniu 4,41</w:t>
      </w:r>
      <w:r w:rsidRPr="005E1587">
        <w:t xml:space="preserve">% </w:t>
      </w:r>
      <w:r w:rsidRPr="0085578E">
        <w:t>kainos prieaugiu</w:t>
      </w:r>
      <w:r>
        <w:t xml:space="preserve"> ir sugeneruoja net 4,95</w:t>
      </w:r>
      <w:r w:rsidRPr="005E1587">
        <w:t>% bendr</w:t>
      </w:r>
      <w:r>
        <w:t>ą analizuojamų prekybos dienų pelningumą.</w:t>
      </w:r>
    </w:p>
    <w:p w:rsidR="00FC6A12" w:rsidRDefault="00FC6A12" w:rsidP="00FC6A12">
      <w:r>
        <w:t xml:space="preserve">Gauti akcijų kainų pelningumų rezultatai rodo, jog naujienos apie dividendų (DPS) padidinimą ir inicijavimą </w:t>
      </w:r>
      <w:r w:rsidRPr="00057A4E">
        <w:rPr>
          <w:b/>
          <w:i/>
        </w:rPr>
        <w:t>perteikia teigiamą informaciją</w:t>
      </w:r>
      <w:r>
        <w:t xml:space="preserve"> rinkai apie įmones, kuomet neigiamos naujienos ne visais atvejais turi neigiamą įtaką akcijų pelningumui. Dividendų paskelbimas turi statistiškai reikšmingą įtaką dividendų paskelbimo dieną ir per analizuojamą prekybos laikotarpį bendru atveju sugeneruoja teigiamą grąžą, todėl Baltijos akcijų rinkos atveju galima priimti Gordon (1956) teiginį, jog investuotojai palankiai vertina įmones kurios moka dividendus.</w:t>
      </w:r>
    </w:p>
    <w:p w:rsidR="00FC6A12" w:rsidRDefault="00FC6A12" w:rsidP="00FC6A12">
      <w:r>
        <w:t>Kadangi prieš tai apskaičiuotas vidutinis akcijų pelningumas neįvertina rinkos rizikos prekybos dienomis, toliau apskaičiuojamos vidutinės pelningumų reikšmės</w:t>
      </w:r>
      <w:r>
        <w:rPr>
          <w:rFonts w:cs="Times New Roman"/>
        </w:rPr>
        <w:t xml:space="preserve"> (AAR</w:t>
      </w:r>
      <w:r>
        <w:t xml:space="preserve">), </w:t>
      </w:r>
      <w:r w:rsidR="006403CD">
        <w:t>įvertinus</w:t>
      </w:r>
      <w:r>
        <w:t xml:space="preserve"> rinkos svyravimus atitinkamomis dienomis.</w:t>
      </w:r>
    </w:p>
    <w:p w:rsidR="00FC6A12" w:rsidRPr="00FA446D" w:rsidRDefault="00FC6A12" w:rsidP="00FC6A12">
      <w:r w:rsidRPr="00FA446D">
        <w:t xml:space="preserve">Kaip matyti iš gautų rezultatų (žr. </w:t>
      </w:r>
      <w:r w:rsidR="00707DF4">
        <w:t>16 lent.</w:t>
      </w:r>
      <w:r w:rsidRPr="00FA446D">
        <w:t>), st</w:t>
      </w:r>
      <w:r>
        <w:t>atistiškai reikšmingos vidutinių</w:t>
      </w:r>
      <w:r w:rsidRPr="00FA446D">
        <w:t xml:space="preserve"> pelningumų reikšmės </w:t>
      </w:r>
      <w:r>
        <w:t>iš</w:t>
      </w:r>
      <w:r w:rsidRPr="00FA446D">
        <w:t xml:space="preserve">liko tose pačiose prekybinių dienų pozicijose, kaip ir prieš tai nagrinėtu pelningumų atveju. </w:t>
      </w:r>
    </w:p>
    <w:p w:rsidR="00FC6A12" w:rsidRPr="00B45792" w:rsidRDefault="00FC6A12" w:rsidP="009D0BB8">
      <w:pPr>
        <w:pStyle w:val="Caption"/>
        <w:ind w:left="1134" w:hanging="1134"/>
      </w:pPr>
      <w:r>
        <w:t xml:space="preserve"> </w:t>
      </w:r>
      <w:bookmarkStart w:id="100" w:name="_Ref342045224"/>
      <w:bookmarkStart w:id="101" w:name="_Toc343677834"/>
      <w:r>
        <w:t>Dividendinės informacijos įtaka akcijų pelningumui, įvertinus rinkos rizikos faktorių</w:t>
      </w:r>
      <w:bookmarkEnd w:id="100"/>
      <w:bookmarkEnd w:id="101"/>
    </w:p>
    <w:tbl>
      <w:tblPr>
        <w:tblW w:w="9938" w:type="dxa"/>
        <w:tblInd w:w="93" w:type="dxa"/>
        <w:tblLayout w:type="fixed"/>
        <w:tblLook w:val="04A0"/>
      </w:tblPr>
      <w:tblGrid>
        <w:gridCol w:w="1149"/>
        <w:gridCol w:w="1418"/>
        <w:gridCol w:w="1417"/>
        <w:gridCol w:w="1276"/>
        <w:gridCol w:w="1701"/>
        <w:gridCol w:w="1559"/>
        <w:gridCol w:w="1418"/>
      </w:tblGrid>
      <w:tr w:rsidR="00FC6A12" w:rsidRPr="00714CB3" w:rsidTr="005A3365">
        <w:trPr>
          <w:trHeight w:val="300"/>
        </w:trPr>
        <w:tc>
          <w:tcPr>
            <w:tcW w:w="114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C6A12" w:rsidRPr="00062607" w:rsidRDefault="00FC6A12" w:rsidP="00FC6A12">
            <w:pPr>
              <w:spacing w:before="0" w:line="240" w:lineRule="auto"/>
              <w:ind w:firstLine="0"/>
              <w:jc w:val="center"/>
              <w:rPr>
                <w:rFonts w:eastAsia="Times New Roman" w:cs="Times New Roman"/>
                <w:b/>
                <w:bCs/>
                <w:color w:val="000000"/>
                <w:vertAlign w:val="superscript"/>
                <w:lang w:eastAsia="lt-LT"/>
              </w:rPr>
            </w:pPr>
            <w:r>
              <w:rPr>
                <w:rFonts w:eastAsia="Times New Roman" w:cs="Times New Roman"/>
                <w:b/>
                <w:bCs/>
                <w:color w:val="000000"/>
                <w:sz w:val="22"/>
                <w:lang w:eastAsia="lt-LT"/>
              </w:rPr>
              <w:t>AAR(t)</w:t>
            </w:r>
            <w:r>
              <w:rPr>
                <w:rFonts w:eastAsia="Times New Roman" w:cs="Times New Roman"/>
                <w:b/>
                <w:bCs/>
                <w:color w:val="000000"/>
                <w:sz w:val="22"/>
                <w:vertAlign w:val="superscript"/>
                <w:lang w:eastAsia="lt-LT"/>
              </w:rPr>
              <w:t>1</w:t>
            </w:r>
          </w:p>
        </w:tc>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sidRPr="00714CB3">
              <w:rPr>
                <w:rFonts w:eastAsia="Times New Roman" w:cs="Times New Roman"/>
                <w:b/>
                <w:bCs/>
                <w:color w:val="000000"/>
                <w:sz w:val="22"/>
                <w:lang w:eastAsia="lt-LT"/>
              </w:rPr>
              <w:t>Dividendų paskelbimas</w:t>
            </w:r>
          </w:p>
        </w:tc>
        <w:tc>
          <w:tcPr>
            <w:tcW w:w="2693"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sidRPr="00714CB3">
              <w:rPr>
                <w:rFonts w:eastAsia="Times New Roman" w:cs="Times New Roman"/>
                <w:b/>
                <w:bCs/>
                <w:color w:val="000000"/>
                <w:sz w:val="22"/>
                <w:lang w:eastAsia="lt-LT"/>
              </w:rPr>
              <w:t>Neigiamos naujienos</w:t>
            </w:r>
          </w:p>
        </w:tc>
        <w:tc>
          <w:tcPr>
            <w:tcW w:w="4678"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sidRPr="00714CB3">
              <w:rPr>
                <w:rFonts w:eastAsia="Times New Roman" w:cs="Times New Roman"/>
                <w:b/>
                <w:bCs/>
                <w:color w:val="000000"/>
                <w:sz w:val="22"/>
                <w:lang w:eastAsia="lt-LT"/>
              </w:rPr>
              <w:t>Teigiamos naujienos</w:t>
            </w:r>
          </w:p>
        </w:tc>
      </w:tr>
      <w:tr w:rsidR="00FC6A12" w:rsidRPr="00714CB3" w:rsidTr="00FC6A12">
        <w:trPr>
          <w:trHeight w:val="615"/>
        </w:trPr>
        <w:tc>
          <w:tcPr>
            <w:tcW w:w="1149" w:type="dxa"/>
            <w:vMerge/>
            <w:tcBorders>
              <w:top w:val="single" w:sz="12" w:space="0" w:color="auto"/>
              <w:left w:val="single" w:sz="12" w:space="0" w:color="auto"/>
              <w:bottom w:val="single" w:sz="12" w:space="0" w:color="auto"/>
              <w:right w:val="single" w:sz="12" w:space="0" w:color="auto"/>
            </w:tcBorders>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p>
        </w:tc>
        <w:tc>
          <w:tcPr>
            <w:tcW w:w="1417" w:type="dxa"/>
            <w:tcBorders>
              <w:top w:val="nil"/>
              <w:left w:val="nil"/>
              <w:bottom w:val="single" w:sz="12" w:space="0" w:color="auto"/>
              <w:right w:val="single" w:sz="12" w:space="0" w:color="auto"/>
            </w:tcBorders>
            <w:shd w:val="clear" w:color="auto" w:fill="auto"/>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sidRPr="00714CB3">
              <w:rPr>
                <w:rFonts w:eastAsia="Times New Roman" w:cs="Times New Roman"/>
                <w:b/>
                <w:bCs/>
                <w:color w:val="000000"/>
                <w:sz w:val="22"/>
                <w:lang w:eastAsia="lt-LT"/>
              </w:rPr>
              <w:t>Dividendai neišmokami</w:t>
            </w:r>
          </w:p>
        </w:tc>
        <w:tc>
          <w:tcPr>
            <w:tcW w:w="1276" w:type="dxa"/>
            <w:tcBorders>
              <w:top w:val="nil"/>
              <w:left w:val="nil"/>
              <w:bottom w:val="single" w:sz="12" w:space="0" w:color="auto"/>
              <w:right w:val="single" w:sz="12" w:space="0" w:color="auto"/>
            </w:tcBorders>
            <w:shd w:val="clear" w:color="auto" w:fill="auto"/>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DPS dydis</w:t>
            </w:r>
            <w:r w:rsidRPr="00714CB3">
              <w:rPr>
                <w:rFonts w:eastAsia="Times New Roman" w:cs="Times New Roman"/>
                <w:b/>
                <w:bCs/>
                <w:color w:val="000000"/>
                <w:sz w:val="22"/>
                <w:lang w:eastAsia="lt-LT"/>
              </w:rPr>
              <w:t xml:space="preserve"> sumažint</w:t>
            </w:r>
            <w:r>
              <w:rPr>
                <w:rFonts w:eastAsia="Times New Roman" w:cs="Times New Roman"/>
                <w:b/>
                <w:bCs/>
                <w:color w:val="000000"/>
                <w:sz w:val="22"/>
                <w:lang w:eastAsia="lt-LT"/>
              </w:rPr>
              <w:t>as</w:t>
            </w:r>
          </w:p>
        </w:tc>
        <w:tc>
          <w:tcPr>
            <w:tcW w:w="1701" w:type="dxa"/>
            <w:tcBorders>
              <w:top w:val="nil"/>
              <w:left w:val="nil"/>
              <w:bottom w:val="single" w:sz="12" w:space="0" w:color="auto"/>
              <w:right w:val="single" w:sz="12" w:space="0" w:color="auto"/>
            </w:tcBorders>
            <w:shd w:val="clear" w:color="auto" w:fill="auto"/>
            <w:vAlign w:val="center"/>
            <w:hideMark/>
          </w:tcPr>
          <w:p w:rsidR="00FC6A12" w:rsidRPr="00714CB3"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DPS</w:t>
            </w:r>
            <w:r w:rsidRPr="00714CB3">
              <w:rPr>
                <w:rFonts w:eastAsia="Times New Roman" w:cs="Times New Roman"/>
                <w:b/>
                <w:bCs/>
                <w:color w:val="000000"/>
                <w:sz w:val="22"/>
                <w:lang w:eastAsia="lt-LT"/>
              </w:rPr>
              <w:t xml:space="preserve"> dydis išlaikytas</w:t>
            </w:r>
          </w:p>
        </w:tc>
        <w:tc>
          <w:tcPr>
            <w:tcW w:w="1559" w:type="dxa"/>
            <w:tcBorders>
              <w:top w:val="nil"/>
              <w:left w:val="nil"/>
              <w:bottom w:val="single" w:sz="12" w:space="0" w:color="auto"/>
              <w:right w:val="single" w:sz="12" w:space="0" w:color="auto"/>
            </w:tcBorders>
            <w:shd w:val="clear" w:color="auto" w:fill="auto"/>
            <w:vAlign w:val="center"/>
            <w:hideMark/>
          </w:tcPr>
          <w:p w:rsidR="00FC6A12" w:rsidRPr="00355357" w:rsidRDefault="00FC6A12" w:rsidP="00FC6A12">
            <w:pPr>
              <w:spacing w:before="0" w:line="240" w:lineRule="auto"/>
              <w:ind w:firstLine="0"/>
              <w:jc w:val="center"/>
              <w:rPr>
                <w:rFonts w:eastAsia="Times New Roman" w:cs="Times New Roman"/>
                <w:b/>
                <w:bCs/>
                <w:lang w:eastAsia="lt-LT"/>
              </w:rPr>
            </w:pPr>
            <w:r>
              <w:rPr>
                <w:rFonts w:eastAsia="Times New Roman" w:cs="Times New Roman"/>
                <w:b/>
                <w:bCs/>
                <w:sz w:val="22"/>
                <w:lang w:eastAsia="lt-LT"/>
              </w:rPr>
              <w:t>DPS</w:t>
            </w:r>
            <w:r w:rsidRPr="00355357">
              <w:rPr>
                <w:rFonts w:eastAsia="Times New Roman" w:cs="Times New Roman"/>
                <w:b/>
                <w:bCs/>
                <w:sz w:val="22"/>
                <w:lang w:eastAsia="lt-LT"/>
              </w:rPr>
              <w:t xml:space="preserve"> </w:t>
            </w:r>
            <w:r>
              <w:rPr>
                <w:rFonts w:eastAsia="Times New Roman" w:cs="Times New Roman"/>
                <w:b/>
                <w:bCs/>
                <w:sz w:val="22"/>
                <w:lang w:eastAsia="lt-LT"/>
              </w:rPr>
              <w:t xml:space="preserve">dydis </w:t>
            </w:r>
            <w:r w:rsidRPr="00355357">
              <w:rPr>
                <w:rFonts w:eastAsia="Times New Roman" w:cs="Times New Roman"/>
                <w:b/>
                <w:bCs/>
                <w:sz w:val="22"/>
                <w:lang w:eastAsia="lt-LT"/>
              </w:rPr>
              <w:t>padidint</w:t>
            </w:r>
            <w:r>
              <w:rPr>
                <w:rFonts w:eastAsia="Times New Roman" w:cs="Times New Roman"/>
                <w:b/>
                <w:bCs/>
                <w:sz w:val="22"/>
                <w:lang w:eastAsia="lt-LT"/>
              </w:rPr>
              <w:t>as</w:t>
            </w:r>
          </w:p>
        </w:tc>
        <w:tc>
          <w:tcPr>
            <w:tcW w:w="1418" w:type="dxa"/>
            <w:tcBorders>
              <w:top w:val="nil"/>
              <w:left w:val="nil"/>
              <w:bottom w:val="single" w:sz="12" w:space="0" w:color="auto"/>
              <w:right w:val="single" w:sz="12" w:space="0" w:color="auto"/>
            </w:tcBorders>
            <w:shd w:val="clear" w:color="auto" w:fill="auto"/>
            <w:vAlign w:val="center"/>
            <w:hideMark/>
          </w:tcPr>
          <w:p w:rsidR="00FC6A12" w:rsidRPr="00355357" w:rsidRDefault="00FC6A12" w:rsidP="00FC6A12">
            <w:pPr>
              <w:spacing w:before="0" w:line="240" w:lineRule="auto"/>
              <w:ind w:firstLine="0"/>
              <w:jc w:val="center"/>
              <w:rPr>
                <w:rFonts w:eastAsia="Times New Roman" w:cs="Times New Roman"/>
                <w:b/>
                <w:bCs/>
                <w:lang w:eastAsia="lt-LT"/>
              </w:rPr>
            </w:pPr>
            <w:r w:rsidRPr="00355357">
              <w:rPr>
                <w:rFonts w:eastAsia="Times New Roman" w:cs="Times New Roman"/>
                <w:b/>
                <w:bCs/>
                <w:sz w:val="22"/>
                <w:lang w:eastAsia="lt-LT"/>
              </w:rPr>
              <w:t>Dividendų inicijavimas</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40CA6" w:rsidRDefault="00FC6A12" w:rsidP="00FC6A12">
            <w:pPr>
              <w:spacing w:before="0" w:line="240" w:lineRule="auto"/>
              <w:ind w:firstLine="0"/>
              <w:jc w:val="center"/>
              <w:rPr>
                <w:rFonts w:eastAsia="Times New Roman" w:cs="Times New Roman"/>
                <w:color w:val="000000"/>
                <w:sz w:val="20"/>
                <w:szCs w:val="20"/>
                <w:vertAlign w:val="superscript"/>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(-5)</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D543B6" w:rsidRDefault="00FC6A12" w:rsidP="00FC6A12">
            <w:pPr>
              <w:spacing w:before="0" w:line="240" w:lineRule="auto"/>
              <w:ind w:firstLine="0"/>
              <w:jc w:val="center"/>
              <w:rPr>
                <w:rFonts w:eastAsia="Times New Roman" w:cs="Times New Roman"/>
                <w:b/>
                <w:color w:val="000000"/>
                <w:szCs w:val="24"/>
                <w:lang w:val="en-US" w:eastAsia="lt-LT"/>
              </w:rPr>
            </w:pPr>
            <w:r w:rsidRPr="00D543B6">
              <w:rPr>
                <w:rFonts w:eastAsia="Times New Roman" w:cs="Times New Roman"/>
                <w:b/>
                <w:color w:val="000000"/>
                <w:szCs w:val="24"/>
                <w:lang w:eastAsia="lt-LT"/>
              </w:rPr>
              <w:t>0,36%</w:t>
            </w:r>
            <w:r>
              <w:rPr>
                <w:rFonts w:eastAsia="Times New Roman" w:cs="Times New Roman"/>
                <w:b/>
                <w:color w:val="000000"/>
                <w:szCs w:val="24"/>
                <w:lang w:val="en-US" w:eastAsia="lt-LT"/>
              </w:rPr>
              <w:t>*</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0,78%</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Pr="00355357" w:rsidRDefault="00FC6A12" w:rsidP="00FC6A12">
            <w:pPr>
              <w:spacing w:before="100" w:beforeAutospacing="1" w:after="100" w:afterAutospacing="1" w:line="240" w:lineRule="auto"/>
              <w:ind w:firstLine="0"/>
              <w:jc w:val="center"/>
              <w:rPr>
                <w:b/>
                <w:bCs/>
                <w:color w:val="000000"/>
                <w:szCs w:val="24"/>
                <w:lang w:val="en-US"/>
              </w:rPr>
            </w:pPr>
            <w:r>
              <w:rPr>
                <w:b/>
                <w:bCs/>
                <w:color w:val="000000"/>
              </w:rPr>
              <w:t>1,02%</w:t>
            </w:r>
            <w:r>
              <w:rPr>
                <w:b/>
                <w:bCs/>
                <w:color w:val="000000"/>
                <w:lang w:val="en-US"/>
              </w:rPr>
              <w:t>**</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0,72%</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-0,15%</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0,01%</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(-4)</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0,15%</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1,53%</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-0,50%</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-0,48%</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0,34%</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0,69%</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(-3)</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0,02%</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-1,56%</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0,12%</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0,28%</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0,33%</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-0,43%</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(-2)</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-0,02%</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0,60%</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-0,31%</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0,21%</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-0,02%</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0,00%</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(-1)</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0,00%</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0,39%</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-0,09%</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0,06%</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0,00%</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-0,13%</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(0)</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1A1564" w:rsidRDefault="00FC6A12" w:rsidP="00FC6A12">
            <w:pPr>
              <w:spacing w:before="0" w:line="240" w:lineRule="auto"/>
              <w:ind w:firstLine="0"/>
              <w:jc w:val="center"/>
              <w:rPr>
                <w:rFonts w:eastAsia="Times New Roman" w:cs="Times New Roman"/>
                <w:b/>
                <w:bCs/>
                <w:color w:val="000000"/>
                <w:szCs w:val="24"/>
                <w:lang w:val="en-US" w:eastAsia="lt-LT"/>
              </w:rPr>
            </w:pPr>
            <w:r w:rsidRPr="00714CB3">
              <w:rPr>
                <w:rFonts w:eastAsia="Times New Roman" w:cs="Times New Roman"/>
                <w:b/>
                <w:bCs/>
                <w:color w:val="000000"/>
                <w:szCs w:val="24"/>
                <w:lang w:eastAsia="lt-LT"/>
              </w:rPr>
              <w:t>1,43%</w:t>
            </w:r>
            <w:r>
              <w:rPr>
                <w:rFonts w:eastAsia="Times New Roman" w:cs="Times New Roman"/>
                <w:b/>
                <w:bCs/>
                <w:color w:val="000000"/>
                <w:szCs w:val="24"/>
                <w:lang w:val="en-US" w:eastAsia="lt-LT"/>
              </w:rPr>
              <w:t>***</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-1,05%</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1,25%</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0,68%</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1,39%***</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b/>
                <w:bCs/>
                <w:szCs w:val="24"/>
              </w:rPr>
            </w:pPr>
            <w:r>
              <w:rPr>
                <w:b/>
                <w:bCs/>
              </w:rPr>
              <w:t>4,38%**</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(1)</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0,30%</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-0,51%</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0,10%</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-0,43%</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0,52%</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1,36%</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(2)</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-0,23%</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0,56%</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-0,40%</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-1,75%</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0,24%</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-0,32%</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(3)</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-0,14%</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0,26%</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-0,49%</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0,18%</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0,35%</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-1,58%</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(4)</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Cs w:val="24"/>
                <w:lang w:eastAsia="lt-LT"/>
              </w:rPr>
            </w:pPr>
            <w:r w:rsidRPr="00714CB3">
              <w:rPr>
                <w:rFonts w:eastAsia="Times New Roman" w:cs="Times New Roman"/>
                <w:color w:val="000000"/>
                <w:szCs w:val="24"/>
                <w:lang w:eastAsia="lt-LT"/>
              </w:rPr>
              <w:t>-0,01%</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-0,03%</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-0,20%</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0,01%</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-0,18%</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0,98%</w:t>
            </w:r>
          </w:p>
        </w:tc>
      </w:tr>
      <w:tr w:rsidR="00FC6A12" w:rsidRPr="00714CB3" w:rsidTr="00FC6A12">
        <w:trPr>
          <w:trHeight w:hRule="exact" w:val="345"/>
        </w:trPr>
        <w:tc>
          <w:tcPr>
            <w:tcW w:w="1149"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AAR</w:t>
            </w:r>
            <w:r w:rsidRPr="00714CB3">
              <w:rPr>
                <w:rFonts w:eastAsia="Times New Roman" w:cs="Times New Roman"/>
                <w:color w:val="000000"/>
                <w:sz w:val="20"/>
                <w:szCs w:val="20"/>
                <w:lang w:eastAsia="lt-LT"/>
              </w:rPr>
              <w:t>(5)</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Pr="00714CB3" w:rsidRDefault="00FC6A12" w:rsidP="00FC6A12">
            <w:pPr>
              <w:spacing w:before="0" w:line="240" w:lineRule="auto"/>
              <w:ind w:firstLine="0"/>
              <w:jc w:val="center"/>
              <w:rPr>
                <w:rFonts w:eastAsia="Times New Roman" w:cs="Times New Roman"/>
                <w:b/>
                <w:bCs/>
                <w:color w:val="000000"/>
                <w:szCs w:val="24"/>
                <w:lang w:eastAsia="lt-LT"/>
              </w:rPr>
            </w:pPr>
            <w:r w:rsidRPr="00714CB3">
              <w:rPr>
                <w:rFonts w:eastAsia="Times New Roman" w:cs="Times New Roman"/>
                <w:b/>
                <w:bCs/>
                <w:color w:val="000000"/>
                <w:szCs w:val="24"/>
                <w:lang w:eastAsia="lt-LT"/>
              </w:rPr>
              <w:t>-0,51%</w:t>
            </w:r>
            <w:r>
              <w:rPr>
                <w:rFonts w:eastAsia="Times New Roman" w:cs="Times New Roman"/>
                <w:b/>
                <w:bCs/>
                <w:color w:val="000000"/>
                <w:szCs w:val="24"/>
                <w:lang w:eastAsia="lt-LT"/>
              </w:rPr>
              <w:t>**</w:t>
            </w:r>
          </w:p>
        </w:tc>
        <w:tc>
          <w:tcPr>
            <w:tcW w:w="1417"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0,39%</w:t>
            </w:r>
          </w:p>
        </w:tc>
        <w:tc>
          <w:tcPr>
            <w:tcW w:w="1276"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b/>
                <w:bCs/>
                <w:color w:val="000000"/>
                <w:szCs w:val="24"/>
              </w:rPr>
            </w:pPr>
            <w:r>
              <w:rPr>
                <w:b/>
                <w:bCs/>
                <w:color w:val="000000"/>
              </w:rPr>
              <w:t>-0,82%*</w:t>
            </w:r>
          </w:p>
        </w:tc>
        <w:tc>
          <w:tcPr>
            <w:tcW w:w="1701"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color w:val="000000"/>
                <w:szCs w:val="24"/>
              </w:rPr>
            </w:pPr>
            <w:r>
              <w:rPr>
                <w:color w:val="000000"/>
              </w:rPr>
              <w:t>-0,71%</w:t>
            </w:r>
          </w:p>
        </w:tc>
        <w:tc>
          <w:tcPr>
            <w:tcW w:w="1559"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b/>
                <w:bCs/>
                <w:szCs w:val="24"/>
              </w:rPr>
            </w:pPr>
            <w:r>
              <w:rPr>
                <w:b/>
                <w:bCs/>
              </w:rPr>
              <w:t>-0,59%**</w:t>
            </w:r>
          </w:p>
        </w:tc>
        <w:tc>
          <w:tcPr>
            <w:tcW w:w="1418" w:type="dxa"/>
            <w:tcBorders>
              <w:top w:val="nil"/>
              <w:left w:val="nil"/>
              <w:bottom w:val="single" w:sz="12" w:space="0" w:color="auto"/>
              <w:right w:val="single" w:sz="12" w:space="0" w:color="auto"/>
            </w:tcBorders>
            <w:shd w:val="clear" w:color="auto" w:fill="auto"/>
            <w:noWrap/>
            <w:vAlign w:val="center"/>
            <w:hideMark/>
          </w:tcPr>
          <w:p w:rsidR="00FC6A12" w:rsidRDefault="00FC6A12" w:rsidP="00FC6A12">
            <w:pPr>
              <w:spacing w:before="100" w:beforeAutospacing="1" w:after="100" w:afterAutospacing="1" w:line="240" w:lineRule="auto"/>
              <w:ind w:firstLine="0"/>
              <w:jc w:val="center"/>
              <w:rPr>
                <w:szCs w:val="24"/>
              </w:rPr>
            </w:pPr>
            <w:r>
              <w:t>0,09%</w:t>
            </w:r>
          </w:p>
        </w:tc>
      </w:tr>
      <w:tr w:rsidR="00FC6A12" w:rsidRPr="00714CB3" w:rsidTr="00FC6A12">
        <w:trPr>
          <w:trHeight w:hRule="exact" w:val="375"/>
        </w:trPr>
        <w:tc>
          <w:tcPr>
            <w:tcW w:w="1149" w:type="dxa"/>
            <w:tcBorders>
              <w:top w:val="single" w:sz="12" w:space="0" w:color="auto"/>
              <w:left w:val="single" w:sz="12" w:space="0" w:color="auto"/>
              <w:bottom w:val="single" w:sz="12" w:space="0" w:color="auto"/>
              <w:right w:val="single" w:sz="12" w:space="0" w:color="auto"/>
            </w:tcBorders>
            <w:shd w:val="pct10" w:color="auto" w:fill="auto"/>
            <w:noWrap/>
            <w:vAlign w:val="center"/>
            <w:hideMark/>
          </w:tcPr>
          <w:p w:rsidR="00FC6A12" w:rsidRPr="00714CB3" w:rsidRDefault="00FC6A12" w:rsidP="00FC6A12">
            <w:pPr>
              <w:spacing w:before="0" w:line="240" w:lineRule="auto"/>
              <w:ind w:firstLine="0"/>
              <w:jc w:val="center"/>
              <w:rPr>
                <w:rFonts w:eastAsia="Times New Roman" w:cs="Times New Roman"/>
                <w:i/>
                <w:iCs/>
                <w:color w:val="000000"/>
                <w:sz w:val="20"/>
                <w:szCs w:val="20"/>
                <w:lang w:eastAsia="lt-LT"/>
              </w:rPr>
            </w:pPr>
            <w:r w:rsidRPr="00C53A91">
              <w:rPr>
                <w:rFonts w:eastAsia="Times New Roman" w:cs="Times New Roman"/>
                <w:i/>
                <w:iCs/>
                <w:color w:val="000000"/>
                <w:sz w:val="16"/>
                <w:szCs w:val="16"/>
                <w:lang w:eastAsia="lt-LT"/>
              </w:rPr>
              <w:t xml:space="preserve">CAAR[-5 ; </w:t>
            </w:r>
            <w:r w:rsidRPr="00714CB3">
              <w:rPr>
                <w:rFonts w:eastAsia="Times New Roman" w:cs="Times New Roman"/>
                <w:i/>
                <w:iCs/>
                <w:color w:val="000000"/>
                <w:sz w:val="20"/>
                <w:szCs w:val="20"/>
                <w:lang w:eastAsia="lt-LT"/>
              </w:rPr>
              <w:t>5]</w:t>
            </w:r>
          </w:p>
        </w:tc>
        <w:tc>
          <w:tcPr>
            <w:tcW w:w="1418" w:type="dxa"/>
            <w:tcBorders>
              <w:top w:val="single" w:sz="12" w:space="0" w:color="auto"/>
              <w:left w:val="nil"/>
              <w:bottom w:val="single" w:sz="12" w:space="0" w:color="auto"/>
              <w:right w:val="single" w:sz="12" w:space="0" w:color="auto"/>
            </w:tcBorders>
            <w:shd w:val="pct10" w:color="auto" w:fill="auto"/>
            <w:noWrap/>
            <w:vAlign w:val="center"/>
            <w:hideMark/>
          </w:tcPr>
          <w:p w:rsidR="00FC6A12" w:rsidRPr="00714CB3" w:rsidRDefault="00FC6A12" w:rsidP="00FC6A12">
            <w:pPr>
              <w:spacing w:before="0" w:line="240" w:lineRule="auto"/>
              <w:ind w:firstLine="0"/>
              <w:jc w:val="center"/>
              <w:rPr>
                <w:rFonts w:eastAsia="Times New Roman" w:cs="Times New Roman"/>
                <w:i/>
                <w:iCs/>
                <w:color w:val="000000"/>
                <w:szCs w:val="24"/>
                <w:lang w:eastAsia="lt-LT"/>
              </w:rPr>
            </w:pPr>
            <w:r w:rsidRPr="00714CB3">
              <w:rPr>
                <w:rFonts w:eastAsia="Times New Roman" w:cs="Times New Roman"/>
                <w:i/>
                <w:iCs/>
                <w:color w:val="000000"/>
                <w:szCs w:val="24"/>
                <w:lang w:eastAsia="lt-LT"/>
              </w:rPr>
              <w:t>1,37%</w:t>
            </w:r>
          </w:p>
        </w:tc>
        <w:tc>
          <w:tcPr>
            <w:tcW w:w="1417" w:type="dxa"/>
            <w:tcBorders>
              <w:top w:val="single" w:sz="12" w:space="0" w:color="auto"/>
              <w:left w:val="nil"/>
              <w:bottom w:val="single" w:sz="12" w:space="0" w:color="auto"/>
              <w:right w:val="single" w:sz="12" w:space="0" w:color="auto"/>
            </w:tcBorders>
            <w:shd w:val="pct10" w:color="auto" w:fill="auto"/>
            <w:noWrap/>
            <w:vAlign w:val="center"/>
            <w:hideMark/>
          </w:tcPr>
          <w:p w:rsidR="00FC6A12" w:rsidRDefault="00FC6A12" w:rsidP="00FC6A12">
            <w:pPr>
              <w:spacing w:before="100" w:beforeAutospacing="1" w:after="100" w:afterAutospacing="1" w:line="240" w:lineRule="auto"/>
              <w:ind w:firstLine="0"/>
              <w:jc w:val="center"/>
              <w:rPr>
                <w:i/>
                <w:iCs/>
                <w:color w:val="000000"/>
                <w:szCs w:val="24"/>
              </w:rPr>
            </w:pPr>
            <w:r>
              <w:rPr>
                <w:i/>
                <w:iCs/>
                <w:color w:val="000000"/>
              </w:rPr>
              <w:t>1,35%</w:t>
            </w:r>
          </w:p>
        </w:tc>
        <w:tc>
          <w:tcPr>
            <w:tcW w:w="1276" w:type="dxa"/>
            <w:tcBorders>
              <w:top w:val="single" w:sz="12" w:space="0" w:color="auto"/>
              <w:left w:val="nil"/>
              <w:bottom w:val="single" w:sz="12" w:space="0" w:color="auto"/>
              <w:right w:val="single" w:sz="12" w:space="0" w:color="auto"/>
            </w:tcBorders>
            <w:shd w:val="pct10" w:color="auto" w:fill="auto"/>
            <w:noWrap/>
            <w:vAlign w:val="center"/>
            <w:hideMark/>
          </w:tcPr>
          <w:p w:rsidR="00FC6A12" w:rsidRDefault="00FC6A12" w:rsidP="00FC6A12">
            <w:pPr>
              <w:spacing w:before="100" w:beforeAutospacing="1" w:after="100" w:afterAutospacing="1" w:line="240" w:lineRule="auto"/>
              <w:ind w:firstLine="0"/>
              <w:jc w:val="center"/>
              <w:rPr>
                <w:i/>
                <w:iCs/>
                <w:color w:val="000000"/>
                <w:szCs w:val="24"/>
              </w:rPr>
            </w:pPr>
            <w:r>
              <w:rPr>
                <w:i/>
                <w:iCs/>
                <w:color w:val="000000"/>
              </w:rPr>
              <w:t>-0,33%</w:t>
            </w:r>
          </w:p>
        </w:tc>
        <w:tc>
          <w:tcPr>
            <w:tcW w:w="1701" w:type="dxa"/>
            <w:tcBorders>
              <w:top w:val="single" w:sz="12" w:space="0" w:color="auto"/>
              <w:left w:val="nil"/>
              <w:bottom w:val="single" w:sz="12" w:space="0" w:color="auto"/>
              <w:right w:val="single" w:sz="12" w:space="0" w:color="auto"/>
            </w:tcBorders>
            <w:shd w:val="pct10" w:color="auto" w:fill="auto"/>
            <w:noWrap/>
            <w:vAlign w:val="center"/>
            <w:hideMark/>
          </w:tcPr>
          <w:p w:rsidR="00FC6A12" w:rsidRDefault="00FC6A12" w:rsidP="00FC6A12">
            <w:pPr>
              <w:spacing w:before="100" w:beforeAutospacing="1" w:after="100" w:afterAutospacing="1" w:line="240" w:lineRule="auto"/>
              <w:ind w:firstLine="0"/>
              <w:jc w:val="center"/>
              <w:rPr>
                <w:i/>
                <w:iCs/>
                <w:color w:val="000000"/>
                <w:szCs w:val="24"/>
              </w:rPr>
            </w:pPr>
            <w:r>
              <w:rPr>
                <w:i/>
                <w:iCs/>
                <w:color w:val="000000"/>
              </w:rPr>
              <w:t>-1,23%</w:t>
            </w:r>
          </w:p>
        </w:tc>
        <w:tc>
          <w:tcPr>
            <w:tcW w:w="1559" w:type="dxa"/>
            <w:tcBorders>
              <w:top w:val="single" w:sz="12" w:space="0" w:color="auto"/>
              <w:left w:val="nil"/>
              <w:bottom w:val="single" w:sz="12" w:space="0" w:color="auto"/>
              <w:right w:val="single" w:sz="12" w:space="0" w:color="auto"/>
            </w:tcBorders>
            <w:shd w:val="pct10" w:color="auto" w:fill="auto"/>
            <w:noWrap/>
            <w:vAlign w:val="center"/>
            <w:hideMark/>
          </w:tcPr>
          <w:p w:rsidR="00FC6A12" w:rsidRDefault="00FC6A12" w:rsidP="00FC6A12">
            <w:pPr>
              <w:spacing w:before="100" w:beforeAutospacing="1" w:after="100" w:afterAutospacing="1" w:line="240" w:lineRule="auto"/>
              <w:ind w:firstLine="0"/>
              <w:jc w:val="center"/>
              <w:rPr>
                <w:i/>
                <w:iCs/>
                <w:szCs w:val="24"/>
              </w:rPr>
            </w:pPr>
            <w:r>
              <w:rPr>
                <w:i/>
                <w:iCs/>
              </w:rPr>
              <w:t>2,23%</w:t>
            </w:r>
          </w:p>
        </w:tc>
        <w:tc>
          <w:tcPr>
            <w:tcW w:w="1418" w:type="dxa"/>
            <w:tcBorders>
              <w:top w:val="single" w:sz="12" w:space="0" w:color="auto"/>
              <w:left w:val="nil"/>
              <w:bottom w:val="single" w:sz="12" w:space="0" w:color="auto"/>
              <w:right w:val="single" w:sz="12" w:space="0" w:color="auto"/>
            </w:tcBorders>
            <w:shd w:val="pct10" w:color="auto" w:fill="auto"/>
            <w:noWrap/>
            <w:vAlign w:val="center"/>
            <w:hideMark/>
          </w:tcPr>
          <w:p w:rsidR="00FC6A12" w:rsidRDefault="00FC6A12" w:rsidP="00FC6A12">
            <w:pPr>
              <w:spacing w:before="100" w:beforeAutospacing="1" w:after="100" w:afterAutospacing="1" w:line="240" w:lineRule="auto"/>
              <w:ind w:firstLine="0"/>
              <w:jc w:val="center"/>
              <w:rPr>
                <w:i/>
                <w:iCs/>
                <w:szCs w:val="24"/>
              </w:rPr>
            </w:pPr>
            <w:r>
              <w:rPr>
                <w:i/>
                <w:iCs/>
              </w:rPr>
              <w:t>5,07%</w:t>
            </w:r>
          </w:p>
        </w:tc>
      </w:tr>
    </w:tbl>
    <w:p w:rsidR="00FC6A12" w:rsidRDefault="00FC6A12" w:rsidP="00FC6A12">
      <w:pPr>
        <w:spacing w:line="240" w:lineRule="auto"/>
        <w:rPr>
          <w:sz w:val="20"/>
          <w:szCs w:val="20"/>
        </w:rPr>
      </w:pPr>
      <w:r w:rsidRPr="001A1564">
        <w:rPr>
          <w:sz w:val="20"/>
          <w:szCs w:val="20"/>
        </w:rPr>
        <w:t xml:space="preserve">Čia: </w:t>
      </w:r>
      <w:r>
        <w:rPr>
          <w:sz w:val="20"/>
          <w:szCs w:val="20"/>
        </w:rPr>
        <w:tab/>
      </w:r>
      <w:r w:rsidRPr="00B40CA6">
        <w:rPr>
          <w:b/>
          <w:sz w:val="20"/>
          <w:szCs w:val="20"/>
          <w:vertAlign w:val="superscript"/>
        </w:rPr>
        <w:t>1</w:t>
      </w:r>
      <w:r w:rsidRPr="00B40CA6">
        <w:rPr>
          <w:b/>
          <w:sz w:val="20"/>
          <w:szCs w:val="20"/>
        </w:rPr>
        <w:t>AAR(t)</w:t>
      </w:r>
      <w:r>
        <w:rPr>
          <w:sz w:val="20"/>
          <w:szCs w:val="20"/>
        </w:rPr>
        <w:t xml:space="preserve">: vidutinis akcijų pelningumas laiko momentu </w:t>
      </w:r>
      <w:r w:rsidRPr="00062607">
        <w:rPr>
          <w:i/>
          <w:sz w:val="20"/>
          <w:szCs w:val="20"/>
        </w:rPr>
        <w:t>t</w:t>
      </w:r>
      <w:r>
        <w:rPr>
          <w:sz w:val="20"/>
          <w:szCs w:val="20"/>
        </w:rPr>
        <w:t>, įvertinus rinkos rizikos faktorių;</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sidRPr="001A1564">
        <w:rPr>
          <w:sz w:val="20"/>
          <w:szCs w:val="20"/>
        </w:rPr>
        <w:t xml:space="preserve">pelningumų vidurkis statistiškai reikšmingai skiriasi nuo </w:t>
      </w:r>
      <w:r>
        <w:rPr>
          <w:sz w:val="20"/>
          <w:szCs w:val="20"/>
        </w:rPr>
        <w:t>R=</w:t>
      </w:r>
      <w:r w:rsidRPr="001A1564">
        <w:rPr>
          <w:sz w:val="20"/>
          <w:szCs w:val="20"/>
        </w:rPr>
        <w:t>0</w:t>
      </w:r>
      <w:r>
        <w:rPr>
          <w:sz w:val="20"/>
          <w:szCs w:val="20"/>
        </w:rPr>
        <w:t xml:space="preserve"> su 99% </w:t>
      </w:r>
      <w:r w:rsidRPr="00355357">
        <w:rPr>
          <w:sz w:val="20"/>
          <w:szCs w:val="20"/>
        </w:rPr>
        <w:t xml:space="preserve"> </w:t>
      </w:r>
      <w:r>
        <w:rPr>
          <w:sz w:val="20"/>
          <w:szCs w:val="20"/>
        </w:rPr>
        <w:t>tikimybe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w:t>
      </w:r>
      <w:r w:rsidRPr="001A1564">
        <w:rPr>
          <w:sz w:val="20"/>
          <w:szCs w:val="20"/>
        </w:rPr>
        <w:t xml:space="preserve">pelningumų vidurkis statistiškai reikšmingai skiriasi nuo </w:t>
      </w:r>
      <w:r>
        <w:rPr>
          <w:sz w:val="20"/>
          <w:szCs w:val="20"/>
        </w:rPr>
        <w:t>R=</w:t>
      </w:r>
      <w:r w:rsidRPr="001A1564">
        <w:rPr>
          <w:sz w:val="20"/>
          <w:szCs w:val="20"/>
        </w:rPr>
        <w:t>0</w:t>
      </w:r>
      <w:r>
        <w:rPr>
          <w:sz w:val="20"/>
          <w:szCs w:val="20"/>
        </w:rPr>
        <w:t xml:space="preserve"> su </w:t>
      </w:r>
      <w:r w:rsidRPr="001A1564">
        <w:rPr>
          <w:sz w:val="20"/>
          <w:szCs w:val="20"/>
        </w:rPr>
        <w:t>95%</w:t>
      </w:r>
      <w:r>
        <w:rPr>
          <w:sz w:val="20"/>
          <w:szCs w:val="20"/>
        </w:rPr>
        <w:t xml:space="preserve"> tikimybe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pelningumų vidurkis statistiškai reikšmingai sk</w:t>
      </w:r>
      <w:r>
        <w:rPr>
          <w:sz w:val="20"/>
          <w:szCs w:val="20"/>
        </w:rPr>
        <w:t>iriasi nuo R=0 su 90% tikimybe (p</w:t>
      </w:r>
      <w:r w:rsidRPr="001A1564">
        <w:rPr>
          <w:sz w:val="20"/>
          <w:szCs w:val="20"/>
        </w:rPr>
        <w:t xml:space="preserve"> &lt; 0</w:t>
      </w:r>
      <w:r>
        <w:rPr>
          <w:sz w:val="20"/>
          <w:szCs w:val="20"/>
        </w:rPr>
        <w:t>,</w:t>
      </w:r>
      <w:r w:rsidRPr="001A1564">
        <w:rPr>
          <w:sz w:val="20"/>
          <w:szCs w:val="20"/>
        </w:rPr>
        <w:t>10).</w:t>
      </w:r>
    </w:p>
    <w:p w:rsidR="00FC6A12" w:rsidRDefault="00FC6A12" w:rsidP="00FC6A12">
      <w:r w:rsidRPr="00FA446D">
        <w:lastRenderedPageBreak/>
        <w:t>Visgi dividendų neišmokėjimo atveju, naujienų paskelbimas viršijo 1% neigiamą reakciją, o antrą dieną kainų smukimas buvo menkesnis, jei palygintume su prieš tai nagrinėtu atveju. Dividendų</w:t>
      </w:r>
      <w:r>
        <w:t xml:space="preserve"> (DPS)</w:t>
      </w:r>
      <w:r w:rsidRPr="00FA446D">
        <w:t xml:space="preserve"> sumažinimo atveju susumavus visų analizuojamų prekybos dienų pelningumus, gaunama reikšmė </w:t>
      </w:r>
      <w:r>
        <w:t>yra neigiama -</w:t>
      </w:r>
      <w:r w:rsidRPr="00FA446D">
        <w:t>0</w:t>
      </w:r>
      <w:r>
        <w:t>,33</w:t>
      </w:r>
      <w:r w:rsidRPr="00FA446D">
        <w:t xml:space="preserve">%. </w:t>
      </w:r>
      <w:r>
        <w:t>T</w:t>
      </w:r>
      <w:r w:rsidRPr="00FA446D">
        <w:t xml:space="preserve">eigiamos naujienos </w:t>
      </w:r>
      <w:r>
        <w:t>visais</w:t>
      </w:r>
      <w:r w:rsidRPr="00FA446D">
        <w:t xml:space="preserve"> atvejais sugeneravo</w:t>
      </w:r>
      <w:r>
        <w:t xml:space="preserve"> palyginamai</w:t>
      </w:r>
      <w:r w:rsidRPr="00FA446D">
        <w:t xml:space="preserve"> didesnį analizuojamų prekybinių dienų suminį pelningumą, jei įvertiname rinkos svyravimo faktorius</w:t>
      </w:r>
      <w:r>
        <w:t>. Reiktų pažymėti, jog teigiama rinkos reakcija dividendų padidinimo atveju sumažėjo 0,21 punkto</w:t>
      </w:r>
      <w:r w:rsidRPr="00FA446D">
        <w:t>.</w:t>
      </w:r>
    </w:p>
    <w:p w:rsidR="00FC6A12" w:rsidRDefault="00FC6A12" w:rsidP="00FC6A12">
      <w:r>
        <w:t xml:space="preserve">Nors gautų rezultatų statistinis reikšmingumas išliko daugmaž adekvatus kaip prieš tai nagrinėtu atveju, tačiau šiek tiek koregavosi pelningumų procentinės reikšmės. Kadangi mokslinėje literatūroje skaičiavimo metodas, atmetus rinkos rizikos faktorių, vertinamas kaip tikslesnis, šios pelningumų reikšmės laikomos korektiškesnėmis. Esant tokiai situacijai, akivaizdu, jog </w:t>
      </w:r>
      <w:r w:rsidRPr="00FC2094">
        <w:rPr>
          <w:b/>
          <w:i/>
        </w:rPr>
        <w:t>dividendų irelevantiškumo teiginys</w:t>
      </w:r>
      <w:r>
        <w:t xml:space="preserve"> neturi stipraus empirinio pagrindo nagrinėjimų dividendinių akcijų atveju. </w:t>
      </w:r>
    </w:p>
    <w:p w:rsidR="00FC6A12" w:rsidRDefault="00FC6A12" w:rsidP="00FC6A12">
      <w:r>
        <w:t xml:space="preserve">Galima daryti prielaidą, jog dividendų dydžio (DPS) mažinimas nėra pagrindžiamas </w:t>
      </w:r>
      <w:r w:rsidRPr="00FC2094">
        <w:rPr>
          <w:b/>
          <w:i/>
        </w:rPr>
        <w:t>dividendų signalizavimo hipoteze</w:t>
      </w:r>
      <w:r>
        <w:t>. Kaip pastebėjo Michaely, Benartzi ir Thaler (2005), įmonės mažindamos dividendų dydį gali turėti didesnį pelningumo potencialą ateityje, palyginus su kitomis įmonėmis. Taip pat, kaip teigia Fracassi (2008), dividendų signalizavimo hipotezė turi mažą teorinį pagrindą dividendų mažinimo atveju, kadangi nėra to atskirties taško, kuriuo remiantis įmonės vadovai būtų linkę siųsti brangiai kainuojantį neigiamą signalą, į kurį rinka reaguotų neigiamai.</w:t>
      </w:r>
      <w:r w:rsidRPr="003A618C">
        <w:t xml:space="preserve"> </w:t>
      </w:r>
      <w:r>
        <w:t xml:space="preserve">Ankstesnio tyrimo rezultatai atskleidė pakankamai neadekvačią rinkos reakciją į dividendų dydžio (DPS) sumažinimo ir padidinimo naujienas. Tam, kad palyginti dviejų grupių duomenų sklaidos lygybę, buvo atliekamas </w:t>
      </w:r>
      <w:r w:rsidRPr="00DB0AB5">
        <w:rPr>
          <w:i/>
        </w:rPr>
        <w:t>Levene‘o</w:t>
      </w:r>
      <w:r>
        <w:t xml:space="preserve"> testas. Atliktas nepriklausomų imčių testas (</w:t>
      </w:r>
      <w:r w:rsidRPr="00BC2E39">
        <w:t xml:space="preserve">žr. </w:t>
      </w:r>
      <w:r w:rsidR="00BC2E39">
        <w:t>4</w:t>
      </w:r>
      <w:r w:rsidR="00BC2E39" w:rsidRPr="00BC2E39">
        <w:t xml:space="preserve"> priedą</w:t>
      </w:r>
      <w:r>
        <w:t xml:space="preserve">) parodė, jog statistiškai reikšmingi skirtumai dividendų dydžio mažinimo ir didinimo atvejais pasireiškia tik </w:t>
      </w:r>
      <w:r w:rsidRPr="008E7E02">
        <w:rPr>
          <w:i/>
        </w:rPr>
        <w:t>t</w:t>
      </w:r>
      <w:r w:rsidR="008E7E02" w:rsidRPr="008E7E02">
        <w:rPr>
          <w:i/>
        </w:rPr>
        <w:t xml:space="preserve"> </w:t>
      </w:r>
      <w:r w:rsidRPr="008E7E02">
        <w:rPr>
          <w:i/>
        </w:rPr>
        <w:t>=</w:t>
      </w:r>
      <w:r w:rsidR="008E7E02" w:rsidRPr="008E7E02">
        <w:rPr>
          <w:i/>
        </w:rPr>
        <w:t xml:space="preserve"> </w:t>
      </w:r>
      <w:r w:rsidRPr="008E7E02">
        <w:rPr>
          <w:i/>
        </w:rPr>
        <w:t>–5</w:t>
      </w:r>
      <w:r w:rsidRPr="00081C46">
        <w:t xml:space="preserve"> dien</w:t>
      </w:r>
      <w:r>
        <w:t>ą.</w:t>
      </w:r>
    </w:p>
    <w:p w:rsidR="00FC6A12" w:rsidRDefault="00FC6A12" w:rsidP="00FC6A12">
      <w:r>
        <w:t>Kadangi kitomis prekybos dienomis, reikšmingų skirtumų tarp grupių nepastebėta, būtų korektiška išmatuoti dividendinio pajamingumo (DY) pokytį akcijų kainoms. Tam, kad įsitikinti pastarojo teiginio statistine nauda atliekamam tyrimui, surasti kiekvienos įmonės dividendinio pajamingumo pokyčiai, lyginant su ankstesniais metais. Kaip ir prieš tai nagrinėtu atveju, taip ir dabar – dividendų naujienos išskaidomos į pogrupius, eliminuojant pastovaus dividendų dydžio išlaikymą, kadangi dažniausiai dividendų pajamingumas keičiasi į teigiamą arba į neigiamą pusę, metai iš metų akcijų kainoms svyruojant. Dividendų neišmokėjimo sprendimo dividendų pajamingumo formulė įvertinti negali (gaunamas rezultatas = 1</w:t>
      </w:r>
      <w:r>
        <w:rPr>
          <w:lang w:val="en-US"/>
        </w:rPr>
        <w:t>)</w:t>
      </w:r>
      <w:r>
        <w:t xml:space="preserve">, kaip ir įmonės sprendimo inicijuoti dividendus (vardiklio reikšmė </w:t>
      </w:r>
      <w:r>
        <w:rPr>
          <w:lang w:val="en-US"/>
        </w:rPr>
        <w:t>= 0).</w:t>
      </w:r>
    </w:p>
    <w:p w:rsidR="00FC6A12" w:rsidRDefault="00FC6A12" w:rsidP="00B64EEA">
      <w:pPr>
        <w:pStyle w:val="Heading3"/>
        <w:numPr>
          <w:ilvl w:val="0"/>
          <w:numId w:val="28"/>
        </w:numPr>
      </w:pPr>
      <w:bookmarkStart w:id="102" w:name="_Toc343677760"/>
      <w:r>
        <w:t>Dividendų pajamingumo pokyčio įtaka akcijų pelningumui prekybos dienomis</w:t>
      </w:r>
      <w:bookmarkEnd w:id="102"/>
    </w:p>
    <w:p w:rsidR="00FC6A12" w:rsidRDefault="00FC6A12" w:rsidP="00FC6A12">
      <w:r>
        <w:t>Analizuojamų Baltijos šalių įmonių dividendinis pajamingumas, lyginant su ankstesniais metais, po naujienų paskelbimo sumažėjo 29 atvejais ir</w:t>
      </w:r>
      <w:r w:rsidRPr="00081C46">
        <w:t xml:space="preserve"> padidėjo </w:t>
      </w:r>
      <w:r>
        <w:t>50</w:t>
      </w:r>
      <w:r w:rsidRPr="00081C46">
        <w:t xml:space="preserve"> atvej</w:t>
      </w:r>
      <w:r>
        <w:t xml:space="preserve">ų. Dividendų paskelbimo dienomis </w:t>
      </w:r>
      <w:r>
        <w:lastRenderedPageBreak/>
        <w:t xml:space="preserve">dividendinio pajamingumo (DY) sumažėjimas sutapo su dividendų dydžio (DPS) mažėjimu 14 kartų, o abiejų reikšmių padidėjimas sutapo 33 kartus. </w:t>
      </w:r>
    </w:p>
    <w:p w:rsidR="00FC6A12" w:rsidRDefault="00FC6A12" w:rsidP="00FC6A12">
      <w:pPr>
        <w:ind w:firstLine="0"/>
      </w:pPr>
      <w:r>
        <w:t>Akivaizdu, jog tik 52,8</w:t>
      </w:r>
      <w:r w:rsidRPr="0051375E">
        <w:t>% atvejų</w:t>
      </w:r>
      <w:r>
        <w:t xml:space="preserve"> paskelbus apie mažesnį (didesnį) išmokamų dividendų dydį dividendų pajamingumas atitinkamai sumažėdavo (padidėdavo), tikėtina, jog besikeičiant rinkos kainoms, rinkos dalyviai nespėdavo įvertinti realaus išmokamų dividendų dydžio, lyginant su akcijos kaina, kas taip pat įtakojo ir mažesnį ankstesnių rezultatų statistinį reikšmingumą, ypač nagrinėjant dividendų sumažinimo ir pastovaus dividendų dydžio išlaikymo informaciją.</w:t>
      </w:r>
    </w:p>
    <w:p w:rsidR="00FC6A12" w:rsidRDefault="00FC6A12" w:rsidP="00FC6A12">
      <w:r>
        <w:t>Atlikus pakartotinį</w:t>
      </w:r>
      <w:r w:rsidRPr="00F50BFE">
        <w:t xml:space="preserve"> </w:t>
      </w:r>
      <w:r w:rsidRPr="00F50BFE">
        <w:rPr>
          <w:i/>
        </w:rPr>
        <w:t>Levene‘</w:t>
      </w:r>
      <w:r>
        <w:rPr>
          <w:i/>
        </w:rPr>
        <w:t>o</w:t>
      </w:r>
      <w:r>
        <w:t xml:space="preserve"> testą</w:t>
      </w:r>
      <w:r w:rsidRPr="00F50BFE">
        <w:t xml:space="preserve"> ryšiui tarp dviejų</w:t>
      </w:r>
      <w:r>
        <w:t xml:space="preserve"> prieš tai identifikuotų</w:t>
      </w:r>
      <w:r w:rsidRPr="00F50BFE">
        <w:t xml:space="preserve"> </w:t>
      </w:r>
      <w:r>
        <w:t xml:space="preserve">dividendinio pajamingumo pokytį apibūdinančių </w:t>
      </w:r>
      <w:r w:rsidRPr="00F50BFE">
        <w:t>grupių nustatyti</w:t>
      </w:r>
      <w:r>
        <w:t xml:space="preserve"> </w:t>
      </w:r>
      <w:r w:rsidRPr="00BC2E39">
        <w:t>(žr.</w:t>
      </w:r>
      <w:r w:rsidR="00BC2E39" w:rsidRPr="00BC2E39">
        <w:t xml:space="preserve"> 5</w:t>
      </w:r>
      <w:r w:rsidRPr="00BC2E39">
        <w:t xml:space="preserve"> </w:t>
      </w:r>
      <w:r w:rsidR="00BC2E39" w:rsidRPr="00BC2E39">
        <w:t>priedą</w:t>
      </w:r>
      <w:r w:rsidRPr="00BC2E39">
        <w:t>).</w:t>
      </w:r>
      <w:r>
        <w:t xml:space="preserve"> Šiuo atveju nustatyta, jog egzistuoja statistiškai reikšmingi skirtumai, kai dividendų pajamingumas po naujienų paskelbimo išauga ir kai sumažėja. Tarpusavio skirtumai 90</w:t>
      </w:r>
      <w:r w:rsidRPr="002735F1">
        <w:t>% atvej</w:t>
      </w:r>
      <w:r>
        <w:t>ų pasireiškia 2 prekybos dieną prieš naujienų paskelbimą, 95</w:t>
      </w:r>
      <w:r w:rsidRPr="002735F1">
        <w:t>% atvej</w:t>
      </w:r>
      <w:r>
        <w:t>ų – 1 ir 2 prekybos dienomis, 99</w:t>
      </w:r>
      <w:r w:rsidRPr="002735F1">
        <w:t>% atvej</w:t>
      </w:r>
      <w:r>
        <w:t>ų – dividendų paskelbimo dieną.</w:t>
      </w:r>
    </w:p>
    <w:p w:rsidR="00FC6A12" w:rsidRDefault="00FC6A12" w:rsidP="00FC6A12">
      <w:r>
        <w:t>Toliau buvo išnagrinėta, kaip dividendų pajamingumo sumažėjimas (neigiamos naujienos) ir padidėjimas (teigiamos naujienos) įtakoja akcijų pelningumą atitinkamomis prekybos dienomis (žr.</w:t>
      </w:r>
      <w:r w:rsidR="0009577F">
        <w:t xml:space="preserve"> 17 </w:t>
      </w:r>
      <w:r w:rsidR="00707DF4">
        <w:t>lent.</w:t>
      </w:r>
      <w:r>
        <w:t>).</w:t>
      </w:r>
      <w:r w:rsidRPr="00941FB3">
        <w:t xml:space="preserve"> </w:t>
      </w:r>
    </w:p>
    <w:p w:rsidR="00FC6A12" w:rsidRPr="00C231C5" w:rsidRDefault="00FC6A12" w:rsidP="008E7E02">
      <w:pPr>
        <w:pStyle w:val="Caption"/>
        <w:ind w:left="1134" w:right="-144" w:hanging="1134"/>
      </w:pPr>
      <w:bookmarkStart w:id="103" w:name="_Ref342298313"/>
      <w:bookmarkStart w:id="104" w:name="_Ref343346581"/>
      <w:bookmarkStart w:id="105" w:name="_Toc343677835"/>
      <w:r>
        <w:t>Dividendinio pajamingumo pokyčio įtaka akcijų pelningumui, įvertinus rinkos rizik</w:t>
      </w:r>
      <w:bookmarkEnd w:id="103"/>
      <w:r w:rsidR="008E7E02">
        <w:t>ą</w:t>
      </w:r>
      <w:bookmarkEnd w:id="104"/>
      <w:bookmarkEnd w:id="105"/>
    </w:p>
    <w:tbl>
      <w:tblPr>
        <w:tblW w:w="9938" w:type="dxa"/>
        <w:tblInd w:w="93" w:type="dxa"/>
        <w:tblLook w:val="04A0"/>
      </w:tblPr>
      <w:tblGrid>
        <w:gridCol w:w="913"/>
        <w:gridCol w:w="1286"/>
        <w:gridCol w:w="850"/>
        <w:gridCol w:w="2410"/>
        <w:gridCol w:w="1337"/>
        <w:gridCol w:w="789"/>
        <w:gridCol w:w="2410"/>
      </w:tblGrid>
      <w:tr w:rsidR="00FC6A12" w:rsidRPr="00B20E4B" w:rsidTr="005A3365">
        <w:trPr>
          <w:trHeight w:val="330"/>
        </w:trPr>
        <w:tc>
          <w:tcPr>
            <w:tcW w:w="856" w:type="dxa"/>
            <w:vMerge w:val="restart"/>
            <w:tcBorders>
              <w:top w:val="single" w:sz="12" w:space="0" w:color="auto"/>
              <w:left w:val="single" w:sz="12" w:space="0" w:color="auto"/>
              <w:bottom w:val="single" w:sz="12" w:space="0" w:color="000000"/>
              <w:right w:val="single" w:sz="12" w:space="0" w:color="auto"/>
            </w:tcBorders>
            <w:shd w:val="clear" w:color="auto" w:fill="auto"/>
            <w:noWrap/>
            <w:vAlign w:val="center"/>
            <w:hideMark/>
          </w:tcPr>
          <w:p w:rsidR="00FC6A12" w:rsidRPr="00B20E4B" w:rsidRDefault="005A3365" w:rsidP="00FC6A12">
            <w:pPr>
              <w:spacing w:before="100" w:beforeAutospacing="1" w:after="100" w:afterAutospacing="1" w:line="240" w:lineRule="auto"/>
              <w:ind w:firstLine="0"/>
              <w:jc w:val="center"/>
              <w:rPr>
                <w:rFonts w:eastAsia="Times New Roman" w:cs="Times New Roman"/>
                <w:b/>
                <w:bCs/>
                <w:color w:val="000000"/>
                <w:lang w:eastAsia="zh-CN"/>
              </w:rPr>
            </w:pPr>
            <w:r>
              <w:rPr>
                <w:rFonts w:eastAsia="Times New Roman" w:cs="Times New Roman"/>
                <w:b/>
                <w:bCs/>
                <w:color w:val="000000"/>
                <w:sz w:val="22"/>
                <w:lang w:eastAsia="zh-CN"/>
              </w:rPr>
              <w:t>AAR</w:t>
            </w:r>
            <w:r w:rsidR="00FC6A12">
              <w:rPr>
                <w:rFonts w:eastAsia="Times New Roman" w:cs="Times New Roman"/>
                <w:b/>
                <w:bCs/>
                <w:color w:val="000000"/>
                <w:sz w:val="22"/>
                <w:lang w:eastAsia="zh-CN"/>
              </w:rPr>
              <w:t>(t)</w:t>
            </w:r>
          </w:p>
        </w:tc>
        <w:tc>
          <w:tcPr>
            <w:tcW w:w="4546" w:type="dxa"/>
            <w:gridSpan w:val="3"/>
            <w:tcBorders>
              <w:top w:val="single" w:sz="12" w:space="0" w:color="auto"/>
              <w:left w:val="nil"/>
              <w:bottom w:val="single" w:sz="12" w:space="0" w:color="auto"/>
              <w:right w:val="single" w:sz="12" w:space="0" w:color="000000"/>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r w:rsidRPr="00B20E4B">
              <w:rPr>
                <w:rFonts w:eastAsia="Times New Roman" w:cs="Times New Roman"/>
                <w:b/>
                <w:bCs/>
                <w:color w:val="000000"/>
                <w:sz w:val="22"/>
                <w:lang w:eastAsia="zh-CN"/>
              </w:rPr>
              <w:t>Neigiamos naujienos</w:t>
            </w:r>
          </w:p>
        </w:tc>
        <w:tc>
          <w:tcPr>
            <w:tcW w:w="4536" w:type="dxa"/>
            <w:gridSpan w:val="3"/>
            <w:tcBorders>
              <w:top w:val="single" w:sz="12" w:space="0" w:color="auto"/>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r w:rsidRPr="00B20E4B">
              <w:rPr>
                <w:rFonts w:eastAsia="Times New Roman" w:cs="Times New Roman"/>
                <w:b/>
                <w:bCs/>
                <w:color w:val="000000"/>
                <w:sz w:val="22"/>
                <w:lang w:eastAsia="zh-CN"/>
              </w:rPr>
              <w:t>Teigiamos naujienos</w:t>
            </w:r>
          </w:p>
        </w:tc>
      </w:tr>
      <w:tr w:rsidR="00FC6A12" w:rsidRPr="00B20E4B" w:rsidTr="00FC6A12">
        <w:trPr>
          <w:trHeight w:val="435"/>
        </w:trPr>
        <w:tc>
          <w:tcPr>
            <w:tcW w:w="856" w:type="dxa"/>
            <w:vMerge/>
            <w:tcBorders>
              <w:top w:val="single" w:sz="12" w:space="0" w:color="auto"/>
              <w:left w:val="single" w:sz="12" w:space="0" w:color="auto"/>
              <w:bottom w:val="single" w:sz="12" w:space="0" w:color="000000"/>
              <w:right w:val="single" w:sz="12" w:space="0" w:color="auto"/>
            </w:tcBorders>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p>
        </w:tc>
        <w:tc>
          <w:tcPr>
            <w:tcW w:w="4546" w:type="dxa"/>
            <w:gridSpan w:val="3"/>
            <w:tcBorders>
              <w:top w:val="single" w:sz="12" w:space="0" w:color="auto"/>
              <w:left w:val="nil"/>
              <w:bottom w:val="single" w:sz="12" w:space="0" w:color="auto"/>
              <w:right w:val="single" w:sz="12" w:space="0" w:color="000000"/>
            </w:tcBorders>
            <w:shd w:val="clear" w:color="auto" w:fill="auto"/>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r w:rsidRPr="00B20E4B">
              <w:rPr>
                <w:rFonts w:eastAsia="Times New Roman" w:cs="Times New Roman"/>
                <w:b/>
                <w:bCs/>
                <w:color w:val="000000"/>
                <w:sz w:val="22"/>
                <w:lang w:eastAsia="zh-CN"/>
              </w:rPr>
              <w:t>D</w:t>
            </w:r>
            <w:r>
              <w:rPr>
                <w:rFonts w:eastAsia="Times New Roman" w:cs="Times New Roman"/>
                <w:b/>
                <w:bCs/>
                <w:color w:val="000000"/>
                <w:sz w:val="22"/>
                <w:lang w:eastAsia="zh-CN"/>
              </w:rPr>
              <w:t>Y</w:t>
            </w:r>
            <w:r>
              <w:rPr>
                <w:rFonts w:eastAsia="Times New Roman" w:cs="Times New Roman"/>
                <w:b/>
                <w:bCs/>
                <w:color w:val="000000"/>
                <w:sz w:val="22"/>
                <w:vertAlign w:val="superscript"/>
                <w:lang w:eastAsia="zh-CN"/>
              </w:rPr>
              <w:t>1</w:t>
            </w:r>
            <w:r>
              <w:rPr>
                <w:rFonts w:eastAsia="Times New Roman" w:cs="Times New Roman"/>
                <w:b/>
                <w:bCs/>
                <w:color w:val="000000"/>
                <w:sz w:val="22"/>
                <w:lang w:eastAsia="zh-CN"/>
              </w:rPr>
              <w:t xml:space="preserve"> dydžio sumažėjimas</w:t>
            </w:r>
          </w:p>
        </w:tc>
        <w:tc>
          <w:tcPr>
            <w:tcW w:w="4536" w:type="dxa"/>
            <w:gridSpan w:val="3"/>
            <w:tcBorders>
              <w:top w:val="single" w:sz="12" w:space="0" w:color="auto"/>
              <w:left w:val="nil"/>
              <w:bottom w:val="single" w:sz="12" w:space="0" w:color="auto"/>
              <w:right w:val="single" w:sz="12" w:space="0" w:color="000000"/>
            </w:tcBorders>
            <w:shd w:val="clear" w:color="auto" w:fill="auto"/>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r>
              <w:rPr>
                <w:rFonts w:eastAsia="Times New Roman" w:cs="Times New Roman"/>
                <w:b/>
                <w:bCs/>
                <w:color w:val="000000"/>
                <w:sz w:val="22"/>
                <w:lang w:eastAsia="zh-CN"/>
              </w:rPr>
              <w:t>DY dydžio padidėjimas</w:t>
            </w:r>
          </w:p>
        </w:tc>
      </w:tr>
      <w:tr w:rsidR="00FC6A12" w:rsidRPr="00B20E4B" w:rsidTr="00FC6A12">
        <w:trPr>
          <w:trHeight w:val="450"/>
        </w:trPr>
        <w:tc>
          <w:tcPr>
            <w:tcW w:w="856" w:type="dxa"/>
            <w:vMerge/>
            <w:tcBorders>
              <w:top w:val="single" w:sz="12" w:space="0" w:color="auto"/>
              <w:left w:val="single" w:sz="12" w:space="0" w:color="auto"/>
              <w:bottom w:val="single" w:sz="12" w:space="0" w:color="000000"/>
              <w:right w:val="single" w:sz="12" w:space="0" w:color="auto"/>
            </w:tcBorders>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p>
        </w:tc>
        <w:tc>
          <w:tcPr>
            <w:tcW w:w="1286" w:type="dxa"/>
            <w:tcBorders>
              <w:top w:val="nil"/>
              <w:left w:val="nil"/>
              <w:bottom w:val="single" w:sz="12" w:space="0" w:color="auto"/>
              <w:right w:val="single" w:sz="12" w:space="0" w:color="auto"/>
            </w:tcBorders>
            <w:shd w:val="clear" w:color="auto" w:fill="auto"/>
            <w:vAlign w:val="center"/>
            <w:hideMark/>
          </w:tcPr>
          <w:p w:rsidR="00FC6A12" w:rsidRPr="00F12D8B" w:rsidRDefault="00FC6A12" w:rsidP="00FC6A12">
            <w:pPr>
              <w:spacing w:before="100" w:beforeAutospacing="1" w:after="100" w:afterAutospacing="1" w:line="240" w:lineRule="auto"/>
              <w:ind w:firstLine="0"/>
              <w:jc w:val="center"/>
              <w:rPr>
                <w:rFonts w:eastAsia="Times New Roman" w:cs="Times New Roman"/>
                <w:b/>
                <w:bCs/>
                <w:color w:val="000000"/>
                <w:vertAlign w:val="superscript"/>
                <w:lang w:eastAsia="zh-CN"/>
              </w:rPr>
            </w:pPr>
            <w:r w:rsidRPr="00B20E4B">
              <w:rPr>
                <w:rFonts w:eastAsia="Times New Roman" w:cs="Times New Roman"/>
                <w:b/>
                <w:bCs/>
                <w:color w:val="000000"/>
                <w:sz w:val="22"/>
                <w:lang w:eastAsia="zh-CN"/>
              </w:rPr>
              <w:t>AAR</w:t>
            </w:r>
            <w:r>
              <w:rPr>
                <w:rFonts w:eastAsia="Times New Roman" w:cs="Times New Roman"/>
                <w:b/>
                <w:bCs/>
                <w:color w:val="000000"/>
                <w:sz w:val="22"/>
                <w:vertAlign w:val="subscript"/>
                <w:lang w:eastAsia="zh-CN"/>
              </w:rPr>
              <w:t>DY</w:t>
            </w:r>
            <w:r>
              <w:rPr>
                <w:rFonts w:eastAsia="Times New Roman" w:cs="Times New Roman"/>
                <w:b/>
                <w:bCs/>
                <w:color w:val="000000"/>
                <w:sz w:val="22"/>
                <w:lang w:eastAsia="zh-CN"/>
              </w:rPr>
              <w:t>(t)</w:t>
            </w:r>
            <w:r>
              <w:rPr>
                <w:rFonts w:eastAsia="Times New Roman" w:cs="Times New Roman"/>
                <w:b/>
                <w:bCs/>
                <w:color w:val="000000"/>
                <w:sz w:val="22"/>
                <w:vertAlign w:val="superscript"/>
                <w:lang w:eastAsia="zh-CN"/>
              </w:rPr>
              <w:t>2</w:t>
            </w:r>
          </w:p>
        </w:tc>
        <w:tc>
          <w:tcPr>
            <w:tcW w:w="850" w:type="dxa"/>
            <w:tcBorders>
              <w:top w:val="nil"/>
              <w:left w:val="nil"/>
              <w:bottom w:val="single" w:sz="12" w:space="0" w:color="auto"/>
              <w:right w:val="single" w:sz="12" w:space="0" w:color="auto"/>
            </w:tcBorders>
            <w:shd w:val="clear" w:color="auto" w:fill="auto"/>
            <w:vAlign w:val="center"/>
            <w:hideMark/>
          </w:tcPr>
          <w:p w:rsidR="00FC6A12" w:rsidRPr="00F12D8B" w:rsidRDefault="00FC6A12" w:rsidP="00FC6A12">
            <w:pPr>
              <w:spacing w:before="100" w:beforeAutospacing="1" w:after="100" w:afterAutospacing="1" w:line="240" w:lineRule="auto"/>
              <w:ind w:firstLine="0"/>
              <w:jc w:val="center"/>
              <w:rPr>
                <w:rFonts w:ascii="Symbol" w:eastAsia="Times New Roman" w:hAnsi="Symbol" w:cs="Times New Roman"/>
                <w:b/>
                <w:bCs/>
                <w:color w:val="000000"/>
                <w:vertAlign w:val="superscript"/>
                <w:lang w:eastAsia="zh-CN"/>
              </w:rPr>
            </w:pPr>
            <w:r w:rsidRPr="00B20E4B">
              <w:rPr>
                <w:rFonts w:ascii="Symbol" w:eastAsia="Times New Roman" w:hAnsi="Symbol" w:cs="Times New Roman"/>
                <w:b/>
                <w:bCs/>
                <w:color w:val="000000"/>
                <w:sz w:val="22"/>
                <w:lang w:eastAsia="zh-CN"/>
              </w:rPr>
              <w:t></w:t>
            </w:r>
            <w:r>
              <w:rPr>
                <w:rFonts w:ascii="Symbol" w:eastAsia="Times New Roman" w:hAnsi="Symbol" w:cs="Times New Roman"/>
                <w:b/>
                <w:bCs/>
                <w:color w:val="000000"/>
                <w:sz w:val="22"/>
                <w:vertAlign w:val="superscript"/>
                <w:lang w:eastAsia="zh-CN"/>
              </w:rPr>
              <w:t></w:t>
            </w:r>
          </w:p>
        </w:tc>
        <w:tc>
          <w:tcPr>
            <w:tcW w:w="2410" w:type="dxa"/>
            <w:tcBorders>
              <w:top w:val="nil"/>
              <w:left w:val="nil"/>
              <w:bottom w:val="single" w:sz="12" w:space="0" w:color="auto"/>
              <w:right w:val="single" w:sz="12" w:space="0" w:color="auto"/>
            </w:tcBorders>
            <w:shd w:val="clear" w:color="auto" w:fill="auto"/>
            <w:vAlign w:val="center"/>
            <w:hideMark/>
          </w:tcPr>
          <w:p w:rsidR="00FC6A12" w:rsidRPr="00057E7E" w:rsidRDefault="00FC6A12" w:rsidP="00FC6A12">
            <w:pPr>
              <w:spacing w:before="100" w:beforeAutospacing="1" w:after="100" w:afterAutospacing="1" w:line="240" w:lineRule="auto"/>
              <w:ind w:firstLine="0"/>
              <w:jc w:val="center"/>
              <w:rPr>
                <w:rFonts w:eastAsia="Times New Roman" w:cs="Times New Roman"/>
                <w:b/>
                <w:bCs/>
                <w:color w:val="000000"/>
                <w:vertAlign w:val="superscript"/>
                <w:lang w:eastAsia="zh-CN"/>
              </w:rPr>
            </w:pPr>
            <w:r>
              <w:rPr>
                <w:rFonts w:eastAsia="Times New Roman" w:cs="Times New Roman"/>
                <w:b/>
                <w:bCs/>
                <w:color w:val="000000"/>
                <w:sz w:val="22"/>
                <w:lang w:eastAsia="zh-CN"/>
              </w:rPr>
              <w:t>AAR</w:t>
            </w:r>
            <w:r>
              <w:rPr>
                <w:rFonts w:eastAsia="Times New Roman" w:cs="Times New Roman"/>
                <w:b/>
                <w:bCs/>
                <w:color w:val="000000"/>
                <w:sz w:val="22"/>
                <w:vertAlign w:val="subscript"/>
                <w:lang w:eastAsia="zh-CN"/>
              </w:rPr>
              <w:t>DPS</w:t>
            </w:r>
            <w:r>
              <w:rPr>
                <w:rFonts w:eastAsia="Times New Roman" w:cs="Times New Roman"/>
                <w:b/>
                <w:bCs/>
                <w:color w:val="000000"/>
                <w:sz w:val="22"/>
                <w:lang w:eastAsia="zh-CN"/>
              </w:rPr>
              <w:t>(t) – AAR</w:t>
            </w:r>
            <w:r>
              <w:rPr>
                <w:rFonts w:eastAsia="Times New Roman" w:cs="Times New Roman"/>
                <w:b/>
                <w:bCs/>
                <w:color w:val="000000"/>
                <w:sz w:val="22"/>
                <w:vertAlign w:val="subscript"/>
                <w:lang w:eastAsia="zh-CN"/>
              </w:rPr>
              <w:t>DY</w:t>
            </w:r>
            <w:r>
              <w:rPr>
                <w:rFonts w:eastAsia="Times New Roman" w:cs="Times New Roman"/>
                <w:b/>
                <w:bCs/>
                <w:color w:val="000000"/>
                <w:sz w:val="22"/>
                <w:lang w:eastAsia="zh-CN"/>
              </w:rPr>
              <w:t>(t</w:t>
            </w:r>
            <w:r w:rsidRPr="00B20E4B">
              <w:rPr>
                <w:rFonts w:eastAsia="Times New Roman" w:cs="Times New Roman"/>
                <w:b/>
                <w:bCs/>
                <w:color w:val="000000"/>
                <w:sz w:val="22"/>
                <w:lang w:eastAsia="zh-CN"/>
              </w:rPr>
              <w:t>)</w:t>
            </w:r>
            <w:r>
              <w:rPr>
                <w:rFonts w:eastAsia="Times New Roman" w:cs="Times New Roman"/>
                <w:b/>
                <w:bCs/>
                <w:color w:val="000000"/>
                <w:sz w:val="22"/>
                <w:vertAlign w:val="superscript"/>
                <w:lang w:eastAsia="zh-CN"/>
              </w:rPr>
              <w:t>4</w:t>
            </w:r>
          </w:p>
        </w:tc>
        <w:tc>
          <w:tcPr>
            <w:tcW w:w="1337" w:type="dxa"/>
            <w:tcBorders>
              <w:top w:val="nil"/>
              <w:left w:val="nil"/>
              <w:bottom w:val="single" w:sz="12" w:space="0" w:color="auto"/>
              <w:right w:val="single" w:sz="12" w:space="0" w:color="auto"/>
            </w:tcBorders>
            <w:shd w:val="clear" w:color="auto" w:fill="auto"/>
            <w:vAlign w:val="center"/>
            <w:hideMark/>
          </w:tcPr>
          <w:p w:rsidR="00FC6A12" w:rsidRPr="00F12D8B" w:rsidRDefault="00FC6A12" w:rsidP="00FC6A12">
            <w:pPr>
              <w:spacing w:before="100" w:beforeAutospacing="1" w:after="100" w:afterAutospacing="1" w:line="240" w:lineRule="auto"/>
              <w:ind w:firstLine="0"/>
              <w:jc w:val="center"/>
              <w:rPr>
                <w:rFonts w:eastAsia="Times New Roman" w:cs="Times New Roman"/>
                <w:b/>
                <w:bCs/>
                <w:vertAlign w:val="superscript"/>
                <w:lang w:eastAsia="zh-CN"/>
              </w:rPr>
            </w:pPr>
            <w:r w:rsidRPr="00B20E4B">
              <w:rPr>
                <w:rFonts w:eastAsia="Times New Roman" w:cs="Times New Roman"/>
                <w:b/>
                <w:bCs/>
                <w:sz w:val="22"/>
                <w:lang w:eastAsia="zh-CN"/>
              </w:rPr>
              <w:t>AAR</w:t>
            </w:r>
            <w:r>
              <w:rPr>
                <w:rFonts w:eastAsia="Times New Roman" w:cs="Times New Roman"/>
                <w:b/>
                <w:bCs/>
                <w:sz w:val="22"/>
                <w:vertAlign w:val="subscript"/>
                <w:lang w:eastAsia="zh-CN"/>
              </w:rPr>
              <w:t>DY</w:t>
            </w:r>
            <w:r>
              <w:rPr>
                <w:rFonts w:eastAsia="Times New Roman" w:cs="Times New Roman"/>
                <w:b/>
                <w:bCs/>
                <w:sz w:val="22"/>
                <w:lang w:eastAsia="zh-CN"/>
              </w:rPr>
              <w:t>(t)</w:t>
            </w:r>
          </w:p>
        </w:tc>
        <w:tc>
          <w:tcPr>
            <w:tcW w:w="789" w:type="dxa"/>
            <w:tcBorders>
              <w:top w:val="nil"/>
              <w:left w:val="nil"/>
              <w:bottom w:val="single" w:sz="12" w:space="0" w:color="auto"/>
              <w:right w:val="single" w:sz="12" w:space="0" w:color="auto"/>
            </w:tcBorders>
            <w:shd w:val="clear" w:color="auto" w:fill="auto"/>
            <w:vAlign w:val="center"/>
            <w:hideMark/>
          </w:tcPr>
          <w:p w:rsidR="00FC6A12" w:rsidRPr="00B40CA6" w:rsidRDefault="00FC6A12" w:rsidP="00FC6A12">
            <w:pPr>
              <w:spacing w:before="100" w:beforeAutospacing="1" w:after="100" w:afterAutospacing="1" w:line="240" w:lineRule="auto"/>
              <w:ind w:firstLine="0"/>
              <w:jc w:val="center"/>
              <w:rPr>
                <w:rFonts w:ascii="Symbol" w:eastAsia="Times New Roman" w:hAnsi="Symbol" w:cs="Times New Roman"/>
                <w:b/>
                <w:bCs/>
                <w:vertAlign w:val="superscript"/>
                <w:lang w:eastAsia="zh-CN"/>
              </w:rPr>
            </w:pPr>
            <w:r w:rsidRPr="00B20E4B">
              <w:rPr>
                <w:rFonts w:ascii="Symbol" w:eastAsia="Times New Roman" w:hAnsi="Symbol" w:cs="Times New Roman"/>
                <w:b/>
                <w:bCs/>
                <w:sz w:val="22"/>
                <w:lang w:eastAsia="zh-CN"/>
              </w:rPr>
              <w:t></w:t>
            </w:r>
          </w:p>
        </w:tc>
        <w:tc>
          <w:tcPr>
            <w:tcW w:w="2410" w:type="dxa"/>
            <w:tcBorders>
              <w:top w:val="nil"/>
              <w:left w:val="nil"/>
              <w:bottom w:val="single" w:sz="12" w:space="0" w:color="auto"/>
              <w:right w:val="single" w:sz="12" w:space="0" w:color="auto"/>
            </w:tcBorders>
            <w:shd w:val="clear" w:color="auto" w:fill="auto"/>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lang w:eastAsia="zh-CN"/>
              </w:rPr>
            </w:pPr>
            <w:r>
              <w:rPr>
                <w:rFonts w:eastAsia="Times New Roman" w:cs="Times New Roman"/>
                <w:b/>
                <w:bCs/>
                <w:sz w:val="22"/>
                <w:lang w:eastAsia="zh-CN"/>
              </w:rPr>
              <w:t>AAR</w:t>
            </w:r>
            <w:r>
              <w:rPr>
                <w:rFonts w:eastAsia="Times New Roman" w:cs="Times New Roman"/>
                <w:b/>
                <w:bCs/>
                <w:sz w:val="22"/>
                <w:vertAlign w:val="subscript"/>
                <w:lang w:eastAsia="zh-CN"/>
              </w:rPr>
              <w:t>DPS</w:t>
            </w:r>
            <w:r>
              <w:rPr>
                <w:rFonts w:eastAsia="Times New Roman" w:cs="Times New Roman"/>
                <w:b/>
                <w:bCs/>
                <w:sz w:val="22"/>
                <w:lang w:eastAsia="zh-CN"/>
              </w:rPr>
              <w:t>(t) – AAR</w:t>
            </w:r>
            <w:r>
              <w:rPr>
                <w:rFonts w:eastAsia="Times New Roman" w:cs="Times New Roman"/>
                <w:b/>
                <w:bCs/>
                <w:sz w:val="22"/>
                <w:vertAlign w:val="subscript"/>
                <w:lang w:eastAsia="zh-CN"/>
              </w:rPr>
              <w:t>DY</w:t>
            </w:r>
            <w:r>
              <w:rPr>
                <w:rFonts w:eastAsia="Times New Roman" w:cs="Times New Roman"/>
                <w:b/>
                <w:bCs/>
                <w:sz w:val="22"/>
                <w:lang w:eastAsia="zh-CN"/>
              </w:rPr>
              <w:t>(t</w:t>
            </w:r>
            <w:r w:rsidRPr="00B20E4B">
              <w:rPr>
                <w:rFonts w:eastAsia="Times New Roman" w:cs="Times New Roman"/>
                <w:b/>
                <w:bCs/>
                <w:sz w:val="22"/>
                <w:lang w:eastAsia="zh-CN"/>
              </w:rPr>
              <w:t>)</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-5</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0,48%</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0,021</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-0,54%</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0,31%</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0,019</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0,47%</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-4</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-0,51%</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0,023</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-0,01%</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0,18%</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0,014</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-0,15%</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-3</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0,13%</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0,015</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0,32%</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0,015</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-2</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0,26%</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0,016</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0,57%</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-0,27%</w:t>
            </w:r>
            <w:r>
              <w:rPr>
                <w:rFonts w:eastAsia="Times New Roman" w:cs="Times New Roman"/>
                <w:b/>
                <w:bCs/>
                <w:szCs w:val="24"/>
                <w:lang w:eastAsia="zh-CN"/>
              </w:rPr>
              <w:t>*</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0,011</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-0,25%</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-1</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0,22%</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0,017</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0,31%</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-0,15%</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0,014</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-0,16%</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0,13%</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0,023</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-1,12%</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1,86%</w:t>
            </w:r>
            <w:r>
              <w:rPr>
                <w:rFonts w:eastAsia="Times New Roman" w:cs="Times New Roman"/>
                <w:b/>
                <w:bCs/>
                <w:szCs w:val="24"/>
                <w:lang w:eastAsia="zh-CN"/>
              </w:rPr>
              <w:t>***</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0,031</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0,47%</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1</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262997" w:rsidRDefault="00FC6A12" w:rsidP="00FC6A12">
            <w:pPr>
              <w:spacing w:before="100" w:beforeAutospacing="1" w:after="100" w:afterAutospacing="1" w:line="240" w:lineRule="auto"/>
              <w:ind w:firstLine="0"/>
              <w:jc w:val="center"/>
              <w:rPr>
                <w:rFonts w:eastAsia="Times New Roman" w:cs="Times New Roman"/>
                <w:b/>
                <w:bCs/>
                <w:color w:val="000000"/>
                <w:szCs w:val="24"/>
                <w:lang w:val="en-US" w:eastAsia="zh-CN"/>
              </w:rPr>
            </w:pPr>
            <w:r w:rsidRPr="00262997">
              <w:rPr>
                <w:rFonts w:eastAsia="Times New Roman" w:cs="Times New Roman"/>
                <w:b/>
                <w:bCs/>
                <w:color w:val="000000"/>
                <w:szCs w:val="24"/>
                <w:lang w:eastAsia="zh-CN"/>
              </w:rPr>
              <w:t>-0,41%*</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0,011</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-0,51%</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szCs w:val="24"/>
                <w:lang w:eastAsia="zh-CN"/>
              </w:rPr>
            </w:pPr>
            <w:r w:rsidRPr="00B20E4B">
              <w:rPr>
                <w:rFonts w:eastAsia="Times New Roman" w:cs="Times New Roman"/>
                <w:b/>
                <w:szCs w:val="24"/>
                <w:lang w:eastAsia="zh-CN"/>
              </w:rPr>
              <w:t>0,59%</w:t>
            </w:r>
            <w:r>
              <w:rPr>
                <w:rFonts w:eastAsia="Times New Roman" w:cs="Times New Roman"/>
                <w:b/>
                <w:szCs w:val="24"/>
                <w:lang w:eastAsia="zh-CN"/>
              </w:rPr>
              <w:t>*</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0,025</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0,07%</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2</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262997"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262997">
              <w:rPr>
                <w:rFonts w:eastAsia="Times New Roman" w:cs="Times New Roman"/>
                <w:b/>
                <w:bCs/>
                <w:color w:val="000000"/>
                <w:szCs w:val="24"/>
                <w:lang w:eastAsia="zh-CN"/>
              </w:rPr>
              <w:t>-1,13%*</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0,030</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-0,73%</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0,18%</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0,024</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-0,05%</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3</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0,28%</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0,029</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0,78%</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-0,10%</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0,015</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-0,44%</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4</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-0,20%</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0,020</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0,00%</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-0,13%</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0,016</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0,05%</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5</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lang w:eastAsia="zh-CN"/>
              </w:rPr>
            </w:pPr>
            <w:r w:rsidRPr="00B20E4B">
              <w:rPr>
                <w:rFonts w:eastAsia="Times New Roman" w:cs="Times New Roman"/>
                <w:b/>
                <w:bCs/>
                <w:color w:val="000000"/>
                <w:sz w:val="22"/>
                <w:lang w:eastAsia="zh-CN"/>
              </w:rPr>
              <w:t>-0,83%**</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color w:val="000000"/>
                <w:szCs w:val="24"/>
                <w:lang w:eastAsia="zh-CN"/>
              </w:rPr>
            </w:pPr>
            <w:r w:rsidRPr="00B20E4B">
              <w:rPr>
                <w:rFonts w:eastAsia="Times New Roman" w:cs="Times New Roman"/>
                <w:b/>
                <w:bCs/>
                <w:color w:val="000000"/>
                <w:szCs w:val="24"/>
                <w:lang w:eastAsia="zh-CN"/>
              </w:rPr>
              <w:t>0,018</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color w:val="000000"/>
                <w:szCs w:val="24"/>
                <w:lang w:eastAsia="zh-CN"/>
              </w:rPr>
            </w:pPr>
            <w:r w:rsidRPr="00B20E4B">
              <w:rPr>
                <w:rFonts w:eastAsia="Times New Roman" w:cs="Times New Roman"/>
                <w:color w:val="000000"/>
                <w:szCs w:val="24"/>
                <w:lang w:eastAsia="zh-CN"/>
              </w:rPr>
              <w:t>-0,01%</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-0,60%</w:t>
            </w:r>
            <w:r>
              <w:rPr>
                <w:rFonts w:eastAsia="Times New Roman" w:cs="Times New Roman"/>
                <w:b/>
                <w:bCs/>
                <w:szCs w:val="24"/>
                <w:lang w:eastAsia="zh-CN"/>
              </w:rPr>
              <w:t>*</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b/>
                <w:bCs/>
                <w:szCs w:val="24"/>
                <w:lang w:eastAsia="zh-CN"/>
              </w:rPr>
            </w:pPr>
            <w:r w:rsidRPr="00B20E4B">
              <w:rPr>
                <w:rFonts w:eastAsia="Times New Roman" w:cs="Times New Roman"/>
                <w:b/>
                <w:bCs/>
                <w:szCs w:val="24"/>
                <w:lang w:eastAsia="zh-CN"/>
              </w:rPr>
              <w:t>0,024</w:t>
            </w: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szCs w:val="24"/>
                <w:lang w:eastAsia="zh-CN"/>
              </w:rPr>
            </w:pPr>
            <w:r w:rsidRPr="00B20E4B">
              <w:rPr>
                <w:rFonts w:eastAsia="Times New Roman" w:cs="Times New Roman"/>
                <w:szCs w:val="24"/>
                <w:lang w:eastAsia="zh-CN"/>
              </w:rPr>
              <w:t>-0,01%</w:t>
            </w:r>
          </w:p>
        </w:tc>
      </w:tr>
      <w:tr w:rsidR="00FC6A12" w:rsidRPr="00B20E4B" w:rsidTr="00FC6A12">
        <w:trPr>
          <w:trHeight w:val="345"/>
        </w:trPr>
        <w:tc>
          <w:tcPr>
            <w:tcW w:w="85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color w:val="000000"/>
                <w:sz w:val="20"/>
                <w:szCs w:val="20"/>
                <w:lang w:eastAsia="zh-CN"/>
              </w:rPr>
            </w:pPr>
            <w:r>
              <w:rPr>
                <w:rFonts w:eastAsia="Times New Roman" w:cs="Times New Roman"/>
                <w:i/>
                <w:iCs/>
                <w:color w:val="000000"/>
                <w:sz w:val="20"/>
                <w:szCs w:val="20"/>
                <w:lang w:eastAsia="zh-CN"/>
              </w:rPr>
              <w:t xml:space="preserve">CAAR </w:t>
            </w:r>
            <w:r w:rsidR="005A3365">
              <w:rPr>
                <w:rFonts w:eastAsia="Times New Roman" w:cs="Times New Roman"/>
                <w:i/>
                <w:iCs/>
                <w:color w:val="000000"/>
                <w:sz w:val="20"/>
                <w:szCs w:val="20"/>
                <w:lang w:eastAsia="zh-CN"/>
              </w:rPr>
              <w:t xml:space="preserve"> </w:t>
            </w:r>
            <w:r w:rsidRPr="00B20E4B">
              <w:rPr>
                <w:rFonts w:eastAsia="Times New Roman" w:cs="Times New Roman"/>
                <w:i/>
                <w:iCs/>
                <w:color w:val="000000"/>
                <w:sz w:val="20"/>
                <w:szCs w:val="20"/>
                <w:lang w:eastAsia="zh-CN"/>
              </w:rPr>
              <w:t>[-5 ; 5]</w:t>
            </w:r>
          </w:p>
        </w:tc>
        <w:tc>
          <w:tcPr>
            <w:tcW w:w="1286"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color w:val="000000"/>
                <w:szCs w:val="24"/>
                <w:lang w:eastAsia="zh-CN"/>
              </w:rPr>
            </w:pPr>
            <w:r w:rsidRPr="00B20E4B">
              <w:rPr>
                <w:rFonts w:eastAsia="Times New Roman" w:cs="Times New Roman"/>
                <w:i/>
                <w:iCs/>
                <w:color w:val="000000"/>
                <w:szCs w:val="24"/>
                <w:lang w:eastAsia="zh-CN"/>
              </w:rPr>
              <w:t>-1,58%</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color w:val="000000"/>
                <w:szCs w:val="24"/>
                <w:lang w:eastAsia="zh-CN"/>
              </w:rPr>
            </w:pP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color w:val="000000"/>
                <w:szCs w:val="24"/>
                <w:lang w:eastAsia="zh-CN"/>
              </w:rPr>
            </w:pPr>
            <w:r w:rsidRPr="00B20E4B">
              <w:rPr>
                <w:rFonts w:eastAsia="Times New Roman" w:cs="Times New Roman"/>
                <w:i/>
                <w:iCs/>
                <w:color w:val="000000"/>
                <w:szCs w:val="24"/>
                <w:lang w:eastAsia="zh-CN"/>
              </w:rPr>
              <w:t>-1,25%</w:t>
            </w:r>
          </w:p>
        </w:tc>
        <w:tc>
          <w:tcPr>
            <w:tcW w:w="1337"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szCs w:val="24"/>
                <w:lang w:eastAsia="zh-CN"/>
              </w:rPr>
            </w:pPr>
            <w:r w:rsidRPr="00B20E4B">
              <w:rPr>
                <w:rFonts w:eastAsia="Times New Roman" w:cs="Times New Roman"/>
                <w:i/>
                <w:iCs/>
                <w:szCs w:val="24"/>
                <w:lang w:eastAsia="zh-CN"/>
              </w:rPr>
              <w:t>2,20%</w:t>
            </w:r>
          </w:p>
        </w:tc>
        <w:tc>
          <w:tcPr>
            <w:tcW w:w="789"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szCs w:val="24"/>
                <w:lang w:eastAsia="zh-CN"/>
              </w:rPr>
            </w:pPr>
          </w:p>
        </w:tc>
        <w:tc>
          <w:tcPr>
            <w:tcW w:w="2410" w:type="dxa"/>
            <w:tcBorders>
              <w:top w:val="nil"/>
              <w:left w:val="nil"/>
              <w:bottom w:val="single" w:sz="12" w:space="0" w:color="auto"/>
              <w:right w:val="single" w:sz="12" w:space="0" w:color="auto"/>
            </w:tcBorders>
            <w:shd w:val="clear" w:color="auto" w:fill="auto"/>
            <w:noWrap/>
            <w:vAlign w:val="center"/>
            <w:hideMark/>
          </w:tcPr>
          <w:p w:rsidR="00FC6A12" w:rsidRPr="00B20E4B" w:rsidRDefault="00FC6A12" w:rsidP="00FC6A12">
            <w:pPr>
              <w:spacing w:before="100" w:beforeAutospacing="1" w:after="100" w:afterAutospacing="1" w:line="240" w:lineRule="auto"/>
              <w:ind w:firstLine="0"/>
              <w:jc w:val="center"/>
              <w:rPr>
                <w:rFonts w:eastAsia="Times New Roman" w:cs="Times New Roman"/>
                <w:i/>
                <w:iCs/>
                <w:szCs w:val="24"/>
                <w:lang w:eastAsia="zh-CN"/>
              </w:rPr>
            </w:pPr>
            <w:r w:rsidRPr="00B20E4B">
              <w:rPr>
                <w:rFonts w:eastAsia="Times New Roman" w:cs="Times New Roman"/>
                <w:i/>
                <w:iCs/>
                <w:szCs w:val="24"/>
                <w:lang w:eastAsia="zh-CN"/>
              </w:rPr>
              <w:t>-0,02%</w:t>
            </w:r>
          </w:p>
        </w:tc>
      </w:tr>
    </w:tbl>
    <w:p w:rsidR="00FC6A12" w:rsidRDefault="00FC6A12" w:rsidP="00FC6A12">
      <w:pPr>
        <w:spacing w:before="0" w:line="240" w:lineRule="auto"/>
        <w:rPr>
          <w:sz w:val="20"/>
          <w:szCs w:val="20"/>
        </w:rPr>
      </w:pPr>
      <w:r w:rsidRPr="001A1564">
        <w:rPr>
          <w:sz w:val="20"/>
          <w:szCs w:val="20"/>
        </w:rPr>
        <w:t xml:space="preserve">Čia: </w:t>
      </w:r>
      <w:r>
        <w:rPr>
          <w:sz w:val="20"/>
          <w:szCs w:val="20"/>
        </w:rPr>
        <w:tab/>
      </w:r>
      <w:r w:rsidRPr="00F12D8B">
        <w:rPr>
          <w:b/>
          <w:sz w:val="20"/>
          <w:szCs w:val="20"/>
          <w:vertAlign w:val="superscript"/>
        </w:rPr>
        <w:t>1</w:t>
      </w:r>
      <w:r w:rsidRPr="00F12D8B">
        <w:rPr>
          <w:b/>
          <w:sz w:val="20"/>
          <w:szCs w:val="20"/>
        </w:rPr>
        <w:t>DY:</w:t>
      </w:r>
      <w:r>
        <w:rPr>
          <w:sz w:val="20"/>
          <w:szCs w:val="20"/>
        </w:rPr>
        <w:t xml:space="preserve"> dividendinio pajamingumo rodiklis, kur </w:t>
      </w:r>
      <w:r w:rsidRPr="00F12D8B">
        <w:rPr>
          <w:b/>
          <w:sz w:val="20"/>
          <w:szCs w:val="20"/>
          <w:vertAlign w:val="superscript"/>
        </w:rPr>
        <w:t>2</w:t>
      </w:r>
      <w:r w:rsidRPr="00F12D8B">
        <w:rPr>
          <w:b/>
          <w:sz w:val="20"/>
          <w:szCs w:val="20"/>
        </w:rPr>
        <w:t>AAR</w:t>
      </w:r>
      <w:r>
        <w:rPr>
          <w:b/>
          <w:sz w:val="20"/>
          <w:szCs w:val="20"/>
          <w:vertAlign w:val="subscript"/>
        </w:rPr>
        <w:t>DY</w:t>
      </w:r>
      <w:r w:rsidRPr="00F12D8B">
        <w:rPr>
          <w:b/>
          <w:sz w:val="20"/>
          <w:szCs w:val="20"/>
        </w:rPr>
        <w:t>(</w:t>
      </w:r>
      <w:r>
        <w:rPr>
          <w:b/>
          <w:sz w:val="20"/>
          <w:szCs w:val="20"/>
        </w:rPr>
        <w:t>t</w:t>
      </w:r>
      <w:r w:rsidRPr="00F12D8B">
        <w:rPr>
          <w:b/>
          <w:sz w:val="20"/>
          <w:szCs w:val="20"/>
        </w:rPr>
        <w:t>)</w:t>
      </w:r>
      <w:r>
        <w:rPr>
          <w:sz w:val="20"/>
          <w:szCs w:val="20"/>
        </w:rPr>
        <w:t xml:space="preserve">: vidutinis akcijų pelningumas laiko momentu </w:t>
      </w:r>
      <w:r w:rsidRPr="00062607">
        <w:rPr>
          <w:i/>
          <w:sz w:val="20"/>
          <w:szCs w:val="20"/>
        </w:rPr>
        <w:t>t</w:t>
      </w:r>
      <w:r>
        <w:rPr>
          <w:i/>
          <w:sz w:val="20"/>
          <w:szCs w:val="20"/>
        </w:rPr>
        <w:t>;</w:t>
      </w:r>
    </w:p>
    <w:p w:rsidR="00FC6A12" w:rsidRPr="002E4F11" w:rsidRDefault="00FC6A12" w:rsidP="00FC6A12">
      <w:pPr>
        <w:spacing w:before="0" w:line="240" w:lineRule="auto"/>
        <w:ind w:firstLine="1276"/>
        <w:rPr>
          <w:rFonts w:cs="Times New Roman"/>
          <w:sz w:val="20"/>
          <w:szCs w:val="20"/>
        </w:rPr>
      </w:pPr>
      <w:r>
        <w:rPr>
          <w:rFonts w:ascii="Symbol" w:eastAsia="Times New Roman" w:hAnsi="Symbol" w:cs="Times New Roman"/>
          <w:b/>
          <w:bCs/>
          <w:color w:val="000000"/>
          <w:sz w:val="20"/>
          <w:szCs w:val="20"/>
          <w:vertAlign w:val="superscript"/>
          <w:lang w:eastAsia="zh-CN"/>
        </w:rPr>
        <w:t></w:t>
      </w:r>
      <w:r w:rsidRPr="00F12D8B">
        <w:rPr>
          <w:rFonts w:ascii="Symbol" w:eastAsia="Times New Roman" w:hAnsi="Symbol" w:cs="Times New Roman"/>
          <w:b/>
          <w:bCs/>
          <w:color w:val="000000"/>
          <w:sz w:val="20"/>
          <w:szCs w:val="20"/>
          <w:lang w:eastAsia="zh-CN"/>
        </w:rPr>
        <w:t></w:t>
      </w:r>
      <w:r w:rsidRPr="00F12D8B">
        <w:rPr>
          <w:rFonts w:ascii="Symbol" w:eastAsia="Times New Roman" w:hAnsi="Symbol" w:cs="Times New Roman"/>
          <w:b/>
          <w:bCs/>
          <w:color w:val="000000"/>
          <w:sz w:val="20"/>
          <w:szCs w:val="20"/>
          <w:lang w:eastAsia="zh-CN"/>
        </w:rPr>
        <w:t></w:t>
      </w:r>
      <w:r w:rsidRPr="002E4F11">
        <w:rPr>
          <w:rFonts w:ascii="Symbol" w:eastAsia="Times New Roman" w:hAnsi="Symbol" w:cs="Times New Roman"/>
          <w:b/>
          <w:bCs/>
          <w:color w:val="000000"/>
          <w:sz w:val="20"/>
          <w:szCs w:val="20"/>
          <w:lang w:eastAsia="zh-CN"/>
        </w:rPr>
        <w:t></w:t>
      </w:r>
      <w:r w:rsidRPr="002E4F11">
        <w:rPr>
          <w:rFonts w:eastAsia="Times New Roman" w:cs="Times New Roman"/>
          <w:bCs/>
          <w:color w:val="000000"/>
          <w:sz w:val="20"/>
          <w:szCs w:val="20"/>
          <w:lang w:eastAsia="zh-CN"/>
        </w:rPr>
        <w:t>akcijų pelningumo standartinis nuokrypis;</w:t>
      </w:r>
    </w:p>
    <w:p w:rsidR="00FC6A12" w:rsidRPr="00062607" w:rsidRDefault="00FC6A12" w:rsidP="00FC6A12">
      <w:pPr>
        <w:spacing w:before="0" w:line="240" w:lineRule="auto"/>
        <w:ind w:firstLine="1276"/>
        <w:rPr>
          <w:b/>
          <w:sz w:val="20"/>
          <w:szCs w:val="20"/>
        </w:rPr>
      </w:pPr>
      <w:r>
        <w:rPr>
          <w:b/>
          <w:sz w:val="20"/>
          <w:szCs w:val="20"/>
          <w:vertAlign w:val="superscript"/>
        </w:rPr>
        <w:t>4</w:t>
      </w:r>
      <w:r w:rsidRPr="00062607">
        <w:rPr>
          <w:b/>
          <w:sz w:val="20"/>
          <w:szCs w:val="20"/>
        </w:rPr>
        <w:t>AAR</w:t>
      </w:r>
      <w:r>
        <w:rPr>
          <w:b/>
          <w:sz w:val="20"/>
          <w:szCs w:val="20"/>
          <w:vertAlign w:val="subscript"/>
        </w:rPr>
        <w:t>DY</w:t>
      </w:r>
      <w:r>
        <w:rPr>
          <w:b/>
          <w:sz w:val="20"/>
          <w:szCs w:val="20"/>
        </w:rPr>
        <w:t>(t)-AAR</w:t>
      </w:r>
      <w:r>
        <w:rPr>
          <w:b/>
          <w:sz w:val="20"/>
          <w:szCs w:val="20"/>
          <w:vertAlign w:val="subscript"/>
        </w:rPr>
        <w:t>DPS</w:t>
      </w:r>
      <w:r>
        <w:rPr>
          <w:b/>
          <w:sz w:val="20"/>
          <w:szCs w:val="20"/>
        </w:rPr>
        <w:t xml:space="preserve">(t): </w:t>
      </w:r>
      <w:r w:rsidRPr="00062607">
        <w:rPr>
          <w:sz w:val="20"/>
          <w:szCs w:val="20"/>
        </w:rPr>
        <w:t>Skirtumas tarp akcijų pelningumų laiko momentu</w:t>
      </w:r>
      <w:r>
        <w:rPr>
          <w:b/>
          <w:sz w:val="20"/>
          <w:szCs w:val="20"/>
        </w:rPr>
        <w:t xml:space="preserve"> </w:t>
      </w:r>
      <w:r w:rsidRPr="00062607">
        <w:rPr>
          <w:i/>
          <w:sz w:val="20"/>
          <w:szCs w:val="20"/>
        </w:rPr>
        <w:t>t</w:t>
      </w:r>
      <w:r>
        <w:rPr>
          <w:sz w:val="20"/>
          <w:szCs w:val="20"/>
        </w:rPr>
        <w:t>,</w:t>
      </w:r>
      <w:r w:rsidRPr="00062607">
        <w:rPr>
          <w:sz w:val="20"/>
          <w:szCs w:val="20"/>
        </w:rPr>
        <w:t xml:space="preserve"> vertinant</w:t>
      </w:r>
      <w:r>
        <w:rPr>
          <w:sz w:val="20"/>
          <w:szCs w:val="20"/>
        </w:rPr>
        <w:t xml:space="preserve"> pagal</w:t>
      </w:r>
      <w:r w:rsidRPr="00062607">
        <w:rPr>
          <w:sz w:val="20"/>
          <w:szCs w:val="20"/>
        </w:rPr>
        <w:t xml:space="preserve"> du kriterijus</w:t>
      </w:r>
      <w:r>
        <w:rPr>
          <w:i/>
          <w:sz w:val="20"/>
          <w:szCs w:val="20"/>
        </w:rPr>
        <w:t>;</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sidRPr="001A1564">
        <w:rPr>
          <w:sz w:val="20"/>
          <w:szCs w:val="20"/>
        </w:rPr>
        <w:t xml:space="preserve">pelningumų vidurkis statistiškai reikšmingai skiriasi nuo </w:t>
      </w:r>
      <w:r>
        <w:rPr>
          <w:sz w:val="20"/>
          <w:szCs w:val="20"/>
        </w:rPr>
        <w:t>R</w:t>
      </w:r>
      <w:r>
        <w:rPr>
          <w:sz w:val="20"/>
          <w:szCs w:val="20"/>
          <w:lang w:val="en-US"/>
        </w:rPr>
        <w:t>=</w:t>
      </w:r>
      <w:r w:rsidRPr="001A1564">
        <w:rPr>
          <w:sz w:val="20"/>
          <w:szCs w:val="20"/>
        </w:rPr>
        <w:t>0</w:t>
      </w:r>
      <w:r>
        <w:rPr>
          <w:sz w:val="20"/>
          <w:szCs w:val="20"/>
        </w:rPr>
        <w:t xml:space="preserve"> su 99% </w:t>
      </w:r>
      <w:r w:rsidRPr="00355357">
        <w:rPr>
          <w:sz w:val="20"/>
          <w:szCs w:val="20"/>
        </w:rPr>
        <w:t xml:space="preserve"> </w:t>
      </w:r>
      <w:r>
        <w:rPr>
          <w:sz w:val="20"/>
          <w:szCs w:val="20"/>
        </w:rPr>
        <w:t>tikimybe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w:t>
      </w:r>
      <w:r w:rsidRPr="001A1564">
        <w:rPr>
          <w:sz w:val="20"/>
          <w:szCs w:val="20"/>
        </w:rPr>
        <w:t xml:space="preserve">pelningumų vidurkis statistiškai reikšmingai skiriasi nuo </w:t>
      </w:r>
      <w:r>
        <w:rPr>
          <w:sz w:val="20"/>
          <w:szCs w:val="20"/>
        </w:rPr>
        <w:t>R=</w:t>
      </w:r>
      <w:r w:rsidRPr="001A1564">
        <w:rPr>
          <w:sz w:val="20"/>
          <w:szCs w:val="20"/>
        </w:rPr>
        <w:t>0</w:t>
      </w:r>
      <w:r>
        <w:rPr>
          <w:sz w:val="20"/>
          <w:szCs w:val="20"/>
        </w:rPr>
        <w:t xml:space="preserve"> su </w:t>
      </w:r>
      <w:r w:rsidRPr="001A1564">
        <w:rPr>
          <w:sz w:val="20"/>
          <w:szCs w:val="20"/>
        </w:rPr>
        <w:t>95%</w:t>
      </w:r>
      <w:r>
        <w:rPr>
          <w:sz w:val="20"/>
          <w:szCs w:val="20"/>
        </w:rPr>
        <w:t xml:space="preserve"> tikimybe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pelningumų vidurkis statistiškai reikšmingai sk</w:t>
      </w:r>
      <w:r>
        <w:rPr>
          <w:sz w:val="20"/>
          <w:szCs w:val="20"/>
        </w:rPr>
        <w:t>iriasi nuo R=0 su 90% tikimybe (p</w:t>
      </w:r>
      <w:r w:rsidRPr="001A1564">
        <w:rPr>
          <w:sz w:val="20"/>
          <w:szCs w:val="20"/>
        </w:rPr>
        <w:t xml:space="preserve"> &lt; 0</w:t>
      </w:r>
      <w:r>
        <w:rPr>
          <w:sz w:val="20"/>
          <w:szCs w:val="20"/>
        </w:rPr>
        <w:t>,</w:t>
      </w:r>
      <w:r w:rsidRPr="001A1564">
        <w:rPr>
          <w:sz w:val="20"/>
          <w:szCs w:val="20"/>
        </w:rPr>
        <w:t>10).</w:t>
      </w:r>
    </w:p>
    <w:p w:rsidR="00FC6A12" w:rsidRDefault="00FC6A12" w:rsidP="00FC6A12">
      <w:r w:rsidRPr="009F7C2D">
        <w:lastRenderedPageBreak/>
        <w:t xml:space="preserve">Palyginus vidutinio akcijų pelningumo nuokrypį nuo R=0 analizuojamomis prekybos dienomis, nustatyta, jog neigiamas dividendų pajamingumo </w:t>
      </w:r>
      <w:r>
        <w:t>(</w:t>
      </w:r>
      <w:r w:rsidRPr="009F7C2D">
        <w:t>DY</w:t>
      </w:r>
      <w:r>
        <w:t>)</w:t>
      </w:r>
      <w:r w:rsidRPr="009F7C2D">
        <w:t xml:space="preserve"> pokytis lėmė vidutinį akcijų pelningumo smukimą pirmą (t=1) ir antrą (t=2) prekybos dienomis (su 90% tikimybe). Antrą prekybos dieną smukimas sudarė -1,13% (standartinis nuokrypis 0,03) Teigiamas dividendų pajamingumo </w:t>
      </w:r>
      <w:r>
        <w:t>(</w:t>
      </w:r>
      <w:r w:rsidRPr="009F7C2D">
        <w:t>DY</w:t>
      </w:r>
      <w:r>
        <w:t>)</w:t>
      </w:r>
      <w:r w:rsidRPr="009F7C2D">
        <w:t xml:space="preserve"> pokytis lėmė statistiškai reikšmingą (99% tikimybė) pelningumo augimą dividendų paskelbimo (t=0) dieną, kuris sudarė 1,86% (standartinis nuokrypis 0,031), ir pirmą dieną (t=1) po paskelbimo, t.y. 0,59% (90% tikimybė). Abiem atvejais fiksuotas statistiškai mažai reikšmingas pokytis penktą prekybos dieną (t=5) po naujienų paskelbimo. Antru atveju tokį nuosmukį ga</w:t>
      </w:r>
      <w:r>
        <w:t>l</w:t>
      </w:r>
      <w:r w:rsidRPr="009F7C2D">
        <w:t>ima traktuoti, kaip natūralią akcijų kainos korekciją.</w:t>
      </w:r>
    </w:p>
    <w:p w:rsidR="00FC6A12" w:rsidRDefault="00FC6A12" w:rsidP="00FC6A12">
      <w:r>
        <w:t>Kiekvienai analizuojamai prekybos dienai apskaičiuotas akcijų pelningumų skirtumas AAR</w:t>
      </w:r>
      <w:r>
        <w:rPr>
          <w:vertAlign w:val="subscript"/>
        </w:rPr>
        <w:t>DY</w:t>
      </w:r>
      <w:r>
        <w:t>(t) – AAR</w:t>
      </w:r>
      <w:r>
        <w:rPr>
          <w:vertAlign w:val="subscript"/>
        </w:rPr>
        <w:t>DPS</w:t>
      </w:r>
      <w:r>
        <w:t xml:space="preserve">(t), apibūdinantis skirtingą rinkos reakciją, kuomet investuotojai įvertina dividendų pajamingumo (DY) ir dividendų išmokėjimo (DPS) informacijos svarbą. Rezultatas parodė, jog teigiamas dividendų pajamingumo ir dividendų dydžio pokytis generuoja daugmaž panašią sudėtinę grąžą per visas 11 prekybos dienų. Kitu atveju, rinka kur kas pesimistiškiau vertina dividendų pajamingumo pokytį, negu prieš tai nagrinėtą dividendų dydžio sumažėjimo informaciją. Iš esmės galima laikytis prielaidos, jog DPS rodiklio sumažėjimo atveju suveikia </w:t>
      </w:r>
      <w:r w:rsidRPr="00FC2094">
        <w:rPr>
          <w:b/>
          <w:i/>
        </w:rPr>
        <w:t>psichologinis faktorius</w:t>
      </w:r>
      <w:r>
        <w:t xml:space="preserve">, kuomet investuotojai netraktuoja tokios informacijos kaip neigiamos, o DY rodiklio dydis, investuotojai suvokia kaip pakankamai racionalų ir pagrįstą, lyginant su esama rinkos kaina. </w:t>
      </w:r>
    </w:p>
    <w:p w:rsidR="00FC6A12" w:rsidRDefault="00FC6A12" w:rsidP="00FC6A12">
      <w:r>
        <w:t xml:space="preserve">Akivaizdu, jog pastarieji rezultatai kur kas geriau charakterizuoja rinkos reakciją į teigiamas ir neigiamas dividendų naujienas ir leidžia kur kas labiau sustiprinti teiginį, jog realus dividendų pokytis (DY), turi stiprų empirinį pagrindą, nagrinėjant </w:t>
      </w:r>
      <w:r w:rsidRPr="00FC2094">
        <w:rPr>
          <w:b/>
          <w:i/>
        </w:rPr>
        <w:t>dividendų signalizavimo teorijas</w:t>
      </w:r>
      <w:r>
        <w:rPr>
          <w:i/>
        </w:rPr>
        <w:t xml:space="preserve"> </w:t>
      </w:r>
      <w:r>
        <w:t>Baltijos šalių dividendinių akcijų atveju.</w:t>
      </w:r>
    </w:p>
    <w:p w:rsidR="00FC6A12" w:rsidRDefault="00FC6A12" w:rsidP="00FC6A12">
      <w:r>
        <w:t xml:space="preserve">Tam, kad aiškiau apibrėžti dividendų naujienų įtaką akcijų kainoms, pateikiamas apibendrintas vidutinis akcijų pelningumo kitimas grafiniu pavidalu (žr. </w:t>
      </w:r>
      <w:r w:rsidR="00EC7800">
        <w:fldChar w:fldCharType="begin"/>
      </w:r>
      <w:r w:rsidR="008E7E02">
        <w:instrText xml:space="preserve"> REF _Ref342414499 \r \h </w:instrText>
      </w:r>
      <w:r w:rsidR="00EC7800">
        <w:fldChar w:fldCharType="separate"/>
      </w:r>
      <w:r w:rsidR="0009577F">
        <w:t>8 pav</w:t>
      </w:r>
      <w:r w:rsidR="00EC7800">
        <w:fldChar w:fldCharType="end"/>
      </w:r>
      <w:r w:rsidR="008E7E02">
        <w:t>.</w:t>
      </w:r>
      <w:r>
        <w:t>). Iš pateikto grafiko 1 dalies (</w:t>
      </w:r>
      <w:r w:rsidRPr="00284A72">
        <w:rPr>
          <w:i/>
        </w:rPr>
        <w:t>Vidutinis pelningumas AAR</w:t>
      </w:r>
      <w:r>
        <w:t xml:space="preserve">) matyti, kaip dividendų paskelbimo momentu rinka reaguoja į pasirodžiusias naujienas, esant skirtingam naujienų kontekstui. Dividendų paskelbimą apibūdinanti kreivė yra daugmaž identiškos formos kaip ir teorinėje darbo dalyje nagrinėtų Anderson (2009) tyrimų rezultatų atveju. </w:t>
      </w:r>
      <w:r w:rsidRPr="00284A72">
        <w:rPr>
          <w:i/>
        </w:rPr>
        <w:t>Sudėtinio pelningumo (CAAR)</w:t>
      </w:r>
      <w:r>
        <w:t xml:space="preserve"> grafikas rodo, kaip rinka analizuojamu periodu reaguoja į dividendų informacinį kontekstą, kuomet skaičiuojama kiekvienos prekybos dienos sudėtinė grąža. Dividendų pajamingumo sumažėjimas po naujienų paskelbimo dienos gana pastebimai smunka, lyginant su kitų naujienų kontekstu.</w:t>
      </w:r>
    </w:p>
    <w:p w:rsidR="00FC6A12" w:rsidRDefault="00FC6A12" w:rsidP="00FC6A12">
      <w:pPr>
        <w:pStyle w:val="Subtitle"/>
      </w:pPr>
      <w:bookmarkStart w:id="106" w:name="_Ref342414499"/>
      <w:r>
        <w:rPr>
          <w:noProof/>
          <w:lang w:eastAsia="lt-LT"/>
        </w:rPr>
        <w:lastRenderedPageBreak/>
        <w:drawing>
          <wp:anchor distT="0" distB="0" distL="114300" distR="114300" simplePos="0" relativeHeight="251676672" behindDoc="0" locked="0" layoutInCell="1" allowOverlap="1">
            <wp:simplePos x="0" y="0"/>
            <wp:positionH relativeFrom="column">
              <wp:posOffset>3328670</wp:posOffset>
            </wp:positionH>
            <wp:positionV relativeFrom="paragraph">
              <wp:posOffset>51435</wp:posOffset>
            </wp:positionV>
            <wp:extent cx="2962275" cy="2581275"/>
            <wp:effectExtent l="0" t="0" r="0" b="0"/>
            <wp:wrapSquare wrapText="bothSides"/>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3C3714">
        <w:rPr>
          <w:noProof/>
          <w:lang w:eastAsia="lt-LT"/>
        </w:rPr>
        <w:drawing>
          <wp:anchor distT="0" distB="0" distL="114300" distR="114300" simplePos="0" relativeHeight="251677696" behindDoc="1" locked="0" layoutInCell="1" allowOverlap="1">
            <wp:simplePos x="0" y="0"/>
            <wp:positionH relativeFrom="column">
              <wp:posOffset>356870</wp:posOffset>
            </wp:positionH>
            <wp:positionV relativeFrom="paragraph">
              <wp:posOffset>3810</wp:posOffset>
            </wp:positionV>
            <wp:extent cx="3371850" cy="3409950"/>
            <wp:effectExtent l="0" t="0" r="0" b="0"/>
            <wp:wrapTopAndBottom/>
            <wp:docPr id="8"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3C3714">
        <w:rPr>
          <w:noProof/>
          <w:lang w:eastAsia="zh-CN"/>
        </w:rPr>
        <w:t xml:space="preserve"> </w:t>
      </w:r>
      <w:bookmarkStart w:id="107" w:name="_Toc343677851"/>
      <w:r>
        <w:rPr>
          <w:noProof/>
          <w:lang w:eastAsia="zh-CN"/>
        </w:rPr>
        <w:t>Vidutinis ir sudėtinis dividendinių akcijų pelningumas dividendų naujienų paskelbimo dienomis</w:t>
      </w:r>
      <w:bookmarkEnd w:id="106"/>
      <w:bookmarkEnd w:id="107"/>
    </w:p>
    <w:p w:rsidR="00FC6A12" w:rsidRDefault="00FC6A12" w:rsidP="00FC6A12">
      <w:r>
        <w:t xml:space="preserve">Kadangi skirtingais nagrinėtais atvejais akcijų pelningumas buvo reikšmingas, bet tik tam tikromis prekybos dienomis, o pelningumo kitimo kreivės gana ryškiai išsiskyrė nuo vidurkio, tikslinga apskaičiuoti akcijų pelningumus, apibrėžiant platesnius intervalus tam, kad vėliau būtų galima pamatuoti kuriuose analizuojamuose intervaluose pasireiškia stipriausi skirtumai, o kuriuose mažiau stiprūs, lyginant rezultatus tarp skirtingų dividendų naujienų grupių. </w:t>
      </w:r>
    </w:p>
    <w:p w:rsidR="00FC6A12" w:rsidRDefault="00FC6A12" w:rsidP="00B64EEA">
      <w:pPr>
        <w:pStyle w:val="Heading3"/>
        <w:numPr>
          <w:ilvl w:val="0"/>
          <w:numId w:val="28"/>
        </w:numPr>
      </w:pPr>
      <w:bookmarkStart w:id="108" w:name="_Toc343677761"/>
      <w:r>
        <w:t>Dividendų pajamingumo pokyčio įtaka akcijų pelningumui prekybos intervaluose</w:t>
      </w:r>
      <w:bookmarkEnd w:id="108"/>
    </w:p>
    <w:p w:rsidR="00FC6A12" w:rsidRDefault="00FC6A12" w:rsidP="00FC6A12">
      <w:r>
        <w:t>Analizuojamos prekybos dienos padalintos į 17 skirtingų intervalų ir priklausomai nuo dividendinių naujienų tipo toliau buvo skaičiuojamos vidutinės sudėtinio akcijų pelningumų reikšmės – CAAR.</w:t>
      </w:r>
    </w:p>
    <w:p w:rsidR="00FC6A12" w:rsidRDefault="007F7304" w:rsidP="007F7304">
      <w:r>
        <w:t xml:space="preserve">Lentelėje </w:t>
      </w:r>
      <w:r w:rsidR="008E7E02">
        <w:t>(žr.</w:t>
      </w:r>
      <w:r>
        <w:t xml:space="preserve"> </w:t>
      </w:r>
      <w:r w:rsidR="00707DF4">
        <w:t>18 lent.</w:t>
      </w:r>
      <w:r w:rsidR="008E7E02">
        <w:t>)</w:t>
      </w:r>
      <w:r w:rsidR="00FC6A12">
        <w:t xml:space="preserve"> pateikiama dividendų paskelbimo informacijos įtaka akcijų pelningumams tam tikrais prekybos intervalais, nagrinėjamų prekybos dienų periodu. Atsižvelgiant į tai, jog naujienos buvo dvejopo pobūdžio, kaip ir prieš tai nagrinėtais atvejais, sprendimas neišmokėti dividendų ir dividendų pajamingumo (DY) sumažėjimas vertinti kaip neigiamos naujienos, o DY rodiklio padidėjimas ir dividendų inicijavimas vertinti kaip teigiamos naujienos akcijų rinkoje.</w:t>
      </w:r>
    </w:p>
    <w:p w:rsidR="00FC6A12" w:rsidRDefault="00FC6A12" w:rsidP="00FC6A12">
      <w:r>
        <w:t>Nustatyta, jog dividendų paskelbimas, nepriklausomai nuo naujienų konteksto, turėjo teigiamos reikšmingos įtakos vidutiniam akcijų pelningumui daugeliu nagrinėjamų periodų, kuomet akcijų pelningumas viršijo 1,36</w:t>
      </w:r>
      <w:r w:rsidRPr="00E5519D">
        <w:t>%</w:t>
      </w:r>
      <w:r>
        <w:t xml:space="preserve"> pelningumo ribas, tuo tarpu kitais periodais pelningumas vidutiniškai sudarė nuo -0,57</w:t>
      </w:r>
      <w:r w:rsidRPr="00A45664">
        <w:t>%</w:t>
      </w:r>
      <w:r>
        <w:t xml:space="preserve"> iki 0,86%, ir nebuvo reikšmingai nutolęs nuo R</w:t>
      </w:r>
      <w:r w:rsidR="008E7E02">
        <w:t xml:space="preserve"> </w:t>
      </w:r>
      <w:r w:rsidRPr="00A45664">
        <w:t>=</w:t>
      </w:r>
      <w:r w:rsidR="008E7E02">
        <w:t xml:space="preserve"> </w:t>
      </w:r>
      <w:r w:rsidRPr="00A45664">
        <w:t>0.</w:t>
      </w:r>
    </w:p>
    <w:p w:rsidR="00FC6A12" w:rsidRPr="00E5519D" w:rsidRDefault="00FC6A12" w:rsidP="00FC6A12"/>
    <w:p w:rsidR="00FC6A12" w:rsidRDefault="00FC6A12" w:rsidP="00FC6A12">
      <w:pPr>
        <w:pStyle w:val="Caption"/>
      </w:pPr>
      <w:r>
        <w:lastRenderedPageBreak/>
        <w:t xml:space="preserve"> </w:t>
      </w:r>
      <w:bookmarkStart w:id="109" w:name="_Ref342403518"/>
      <w:bookmarkStart w:id="110" w:name="_Toc343677836"/>
      <w:r>
        <w:t>Dividendų pajamingumo pokyčio įtaka akcijų pelningumui skirtingais prekybos intervalais</w:t>
      </w:r>
      <w:bookmarkEnd w:id="109"/>
      <w:bookmarkEnd w:id="110"/>
    </w:p>
    <w:tbl>
      <w:tblPr>
        <w:tblW w:w="9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1008"/>
        <w:gridCol w:w="850"/>
        <w:gridCol w:w="567"/>
        <w:gridCol w:w="1134"/>
        <w:gridCol w:w="567"/>
        <w:gridCol w:w="851"/>
        <w:gridCol w:w="425"/>
        <w:gridCol w:w="567"/>
        <w:gridCol w:w="850"/>
        <w:gridCol w:w="567"/>
        <w:gridCol w:w="567"/>
        <w:gridCol w:w="851"/>
        <w:gridCol w:w="567"/>
        <w:gridCol w:w="567"/>
      </w:tblGrid>
      <w:tr w:rsidR="00FC6A12" w:rsidTr="00FC6A12">
        <w:trPr>
          <w:trHeight w:val="300"/>
        </w:trPr>
        <w:tc>
          <w:tcPr>
            <w:tcW w:w="1008" w:type="dxa"/>
            <w:vMerge w:val="restart"/>
            <w:shd w:val="clear" w:color="auto" w:fill="auto"/>
            <w:noWrap/>
            <w:tcMar>
              <w:top w:w="15" w:type="dxa"/>
              <w:left w:w="15" w:type="dxa"/>
              <w:bottom w:w="0" w:type="dxa"/>
              <w:right w:w="15" w:type="dxa"/>
            </w:tcMar>
            <w:textDirection w:val="btLr"/>
            <w:vAlign w:val="center"/>
            <w:hideMark/>
          </w:tcPr>
          <w:p w:rsidR="00FC6A12" w:rsidRDefault="00FC6A12" w:rsidP="00FC6A12">
            <w:pPr>
              <w:ind w:firstLine="0"/>
              <w:jc w:val="center"/>
              <w:rPr>
                <w:b/>
                <w:bCs/>
              </w:rPr>
            </w:pPr>
            <w:r>
              <w:rPr>
                <w:b/>
                <w:bCs/>
                <w:sz w:val="22"/>
              </w:rPr>
              <w:t>Periodas</w:t>
            </w:r>
          </w:p>
        </w:tc>
        <w:tc>
          <w:tcPr>
            <w:tcW w:w="1417" w:type="dxa"/>
            <w:gridSpan w:val="2"/>
            <w:vMerge w:val="restart"/>
            <w:shd w:val="clear" w:color="auto" w:fill="auto"/>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Dividendų paskelbimas</w:t>
            </w:r>
          </w:p>
        </w:tc>
        <w:tc>
          <w:tcPr>
            <w:tcW w:w="3544" w:type="dxa"/>
            <w:gridSpan w:val="5"/>
            <w:shd w:val="clear" w:color="auto" w:fill="auto"/>
            <w:noWrap/>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Neigiamos naujienos</w:t>
            </w:r>
          </w:p>
        </w:tc>
        <w:tc>
          <w:tcPr>
            <w:tcW w:w="3969" w:type="dxa"/>
            <w:gridSpan w:val="6"/>
            <w:shd w:val="clear" w:color="auto" w:fill="auto"/>
            <w:noWrap/>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Teigiamos naujienos</w:t>
            </w:r>
          </w:p>
        </w:tc>
      </w:tr>
      <w:tr w:rsidR="00FC6A12" w:rsidTr="00FC6A12">
        <w:trPr>
          <w:trHeight w:val="645"/>
        </w:trPr>
        <w:tc>
          <w:tcPr>
            <w:tcW w:w="1008" w:type="dxa"/>
            <w:vMerge/>
            <w:vAlign w:val="center"/>
            <w:hideMark/>
          </w:tcPr>
          <w:p w:rsidR="00FC6A12" w:rsidRDefault="00FC6A12" w:rsidP="00FC6A12">
            <w:pPr>
              <w:ind w:firstLine="0"/>
              <w:jc w:val="center"/>
              <w:rPr>
                <w:b/>
                <w:bCs/>
              </w:rPr>
            </w:pPr>
          </w:p>
        </w:tc>
        <w:tc>
          <w:tcPr>
            <w:tcW w:w="1417" w:type="dxa"/>
            <w:gridSpan w:val="2"/>
            <w:vMerge/>
            <w:vAlign w:val="center"/>
            <w:hideMark/>
          </w:tcPr>
          <w:p w:rsidR="00FC6A12" w:rsidRDefault="00FC6A12" w:rsidP="00FC6A12">
            <w:pPr>
              <w:spacing w:before="0" w:line="240" w:lineRule="auto"/>
              <w:ind w:firstLine="0"/>
              <w:jc w:val="center"/>
              <w:rPr>
                <w:b/>
                <w:bCs/>
              </w:rPr>
            </w:pPr>
          </w:p>
        </w:tc>
        <w:tc>
          <w:tcPr>
            <w:tcW w:w="1701" w:type="dxa"/>
            <w:gridSpan w:val="2"/>
            <w:shd w:val="clear" w:color="auto" w:fill="auto"/>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Dividendai neišmokami</w:t>
            </w:r>
          </w:p>
        </w:tc>
        <w:tc>
          <w:tcPr>
            <w:tcW w:w="1843" w:type="dxa"/>
            <w:gridSpan w:val="3"/>
            <w:shd w:val="clear" w:color="auto" w:fill="auto"/>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DY sumažėjimas</w:t>
            </w:r>
          </w:p>
        </w:tc>
        <w:tc>
          <w:tcPr>
            <w:tcW w:w="1984" w:type="dxa"/>
            <w:gridSpan w:val="3"/>
            <w:shd w:val="clear" w:color="auto" w:fill="auto"/>
            <w:tcMar>
              <w:top w:w="15" w:type="dxa"/>
              <w:left w:w="15" w:type="dxa"/>
              <w:bottom w:w="0" w:type="dxa"/>
              <w:right w:w="15" w:type="dxa"/>
            </w:tcMar>
            <w:vAlign w:val="center"/>
            <w:hideMark/>
          </w:tcPr>
          <w:p w:rsidR="00FC6A12" w:rsidRDefault="00FC6A12" w:rsidP="00FC6A12">
            <w:pPr>
              <w:spacing w:before="0" w:line="240" w:lineRule="auto"/>
              <w:ind w:firstLine="0"/>
              <w:jc w:val="center"/>
              <w:rPr>
                <w:b/>
                <w:bCs/>
              </w:rPr>
            </w:pPr>
            <w:r>
              <w:rPr>
                <w:b/>
                <w:bCs/>
                <w:sz w:val="22"/>
              </w:rPr>
              <w:t>DY padidėjimas</w:t>
            </w:r>
          </w:p>
        </w:tc>
        <w:tc>
          <w:tcPr>
            <w:tcW w:w="1985" w:type="dxa"/>
            <w:gridSpan w:val="3"/>
            <w:shd w:val="clear" w:color="auto" w:fill="auto"/>
            <w:tcMar>
              <w:top w:w="15" w:type="dxa"/>
              <w:left w:w="15" w:type="dxa"/>
              <w:bottom w:w="0" w:type="dxa"/>
              <w:right w:w="15" w:type="dxa"/>
            </w:tcMar>
            <w:vAlign w:val="center"/>
            <w:hideMark/>
          </w:tcPr>
          <w:p w:rsidR="00FC6A12" w:rsidRDefault="00FC6A12" w:rsidP="00FC6A12">
            <w:pPr>
              <w:spacing w:before="0" w:line="240" w:lineRule="auto"/>
              <w:ind w:firstLine="0"/>
              <w:jc w:val="center"/>
              <w:rPr>
                <w:b/>
                <w:bCs/>
                <w:color w:val="000000"/>
              </w:rPr>
            </w:pPr>
            <w:r>
              <w:rPr>
                <w:b/>
                <w:bCs/>
                <w:color w:val="000000"/>
                <w:sz w:val="22"/>
              </w:rPr>
              <w:t>Dividendų inicijavimas</w:t>
            </w:r>
          </w:p>
        </w:tc>
      </w:tr>
      <w:tr w:rsidR="00FC6A12" w:rsidTr="00FC6A12">
        <w:trPr>
          <w:trHeight w:val="540"/>
        </w:trPr>
        <w:tc>
          <w:tcPr>
            <w:tcW w:w="1008" w:type="dxa"/>
            <w:vMerge/>
            <w:vAlign w:val="center"/>
            <w:hideMark/>
          </w:tcPr>
          <w:p w:rsidR="00FC6A12" w:rsidRDefault="00FC6A12" w:rsidP="00FC6A12">
            <w:pPr>
              <w:ind w:firstLine="0"/>
              <w:jc w:val="center"/>
              <w:rPr>
                <w:b/>
                <w:bCs/>
              </w:rPr>
            </w:pPr>
          </w:p>
        </w:tc>
        <w:tc>
          <w:tcPr>
            <w:tcW w:w="850" w:type="dxa"/>
            <w:shd w:val="clear" w:color="auto" w:fill="auto"/>
            <w:tcMar>
              <w:top w:w="15" w:type="dxa"/>
              <w:left w:w="15" w:type="dxa"/>
              <w:bottom w:w="0" w:type="dxa"/>
              <w:right w:w="15" w:type="dxa"/>
            </w:tcMar>
            <w:vAlign w:val="center"/>
            <w:hideMark/>
          </w:tcPr>
          <w:p w:rsidR="00FC6A12" w:rsidRPr="00057E7E" w:rsidRDefault="00FC6A12" w:rsidP="00FC6A12">
            <w:pPr>
              <w:spacing w:before="100" w:beforeAutospacing="1" w:after="100" w:afterAutospacing="1" w:line="240" w:lineRule="auto"/>
              <w:ind w:firstLine="0"/>
              <w:jc w:val="center"/>
              <w:rPr>
                <w:b/>
                <w:bCs/>
                <w:vertAlign w:val="superscript"/>
              </w:rPr>
            </w:pPr>
            <w:r>
              <w:rPr>
                <w:b/>
                <w:bCs/>
                <w:sz w:val="22"/>
              </w:rPr>
              <w:t>CAAR</w:t>
            </w:r>
            <w:r>
              <w:rPr>
                <w:b/>
                <w:bCs/>
                <w:sz w:val="22"/>
                <w:vertAlign w:val="superscript"/>
              </w:rPr>
              <w:t>1</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vertAlign w:val="superscript"/>
              </w:rPr>
            </w:pPr>
            <w:r>
              <w:rPr>
                <w:b/>
                <w:bCs/>
                <w:sz w:val="22"/>
              </w:rPr>
              <w:t>t</w:t>
            </w:r>
            <w:r>
              <w:rPr>
                <w:b/>
                <w:bCs/>
                <w:sz w:val="22"/>
                <w:vertAlign w:val="superscript"/>
              </w:rPr>
              <w:t>2</w:t>
            </w:r>
          </w:p>
        </w:tc>
        <w:tc>
          <w:tcPr>
            <w:tcW w:w="1134" w:type="dxa"/>
            <w:shd w:val="clear" w:color="auto" w:fill="auto"/>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r>
              <w:rPr>
                <w:b/>
                <w:bCs/>
                <w:sz w:val="22"/>
              </w:rPr>
              <w:t>CAAR</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sz w:val="20"/>
                <w:szCs w:val="20"/>
                <w:vertAlign w:val="superscript"/>
              </w:rPr>
            </w:pPr>
            <w:r>
              <w:rPr>
                <w:b/>
                <w:bCs/>
                <w:sz w:val="20"/>
                <w:szCs w:val="20"/>
              </w:rPr>
              <w:t>z</w:t>
            </w:r>
            <w:r>
              <w:rPr>
                <w:b/>
                <w:bCs/>
                <w:sz w:val="20"/>
                <w:szCs w:val="20"/>
                <w:vertAlign w:val="superscript"/>
              </w:rPr>
              <w:t>3</w:t>
            </w:r>
          </w:p>
        </w:tc>
        <w:tc>
          <w:tcPr>
            <w:tcW w:w="851" w:type="dxa"/>
            <w:shd w:val="clear" w:color="auto" w:fill="auto"/>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r>
              <w:rPr>
                <w:b/>
                <w:bCs/>
                <w:sz w:val="22"/>
              </w:rPr>
              <w:t>CAAR</w:t>
            </w:r>
          </w:p>
        </w:tc>
        <w:tc>
          <w:tcPr>
            <w:tcW w:w="425"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vertAlign w:val="superscript"/>
              </w:rPr>
            </w:pPr>
            <w:r>
              <w:rPr>
                <w:b/>
                <w:bCs/>
                <w:sz w:val="22"/>
              </w:rPr>
              <w:t>t</w:t>
            </w:r>
            <w:r>
              <w:rPr>
                <w:b/>
                <w:bCs/>
                <w:sz w:val="22"/>
                <w:vertAlign w:val="superscript"/>
              </w:rPr>
              <w:t>1</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sz w:val="20"/>
                <w:szCs w:val="20"/>
                <w:vertAlign w:val="superscript"/>
              </w:rPr>
            </w:pPr>
            <w:r>
              <w:rPr>
                <w:b/>
                <w:bCs/>
                <w:sz w:val="20"/>
                <w:szCs w:val="20"/>
              </w:rPr>
              <w:t>z</w:t>
            </w:r>
            <w:r>
              <w:rPr>
                <w:b/>
                <w:bCs/>
                <w:sz w:val="20"/>
                <w:szCs w:val="20"/>
                <w:vertAlign w:val="superscript"/>
              </w:rPr>
              <w:t>2</w:t>
            </w:r>
          </w:p>
        </w:tc>
        <w:tc>
          <w:tcPr>
            <w:tcW w:w="850" w:type="dxa"/>
            <w:shd w:val="clear" w:color="auto" w:fill="auto"/>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r>
              <w:rPr>
                <w:b/>
                <w:bCs/>
                <w:sz w:val="22"/>
              </w:rPr>
              <w:t>CAAR</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vertAlign w:val="superscript"/>
              </w:rPr>
            </w:pPr>
            <w:r>
              <w:rPr>
                <w:b/>
                <w:bCs/>
                <w:sz w:val="22"/>
              </w:rPr>
              <w:t>t</w:t>
            </w:r>
            <w:r>
              <w:rPr>
                <w:b/>
                <w:bCs/>
                <w:sz w:val="22"/>
                <w:vertAlign w:val="superscript"/>
              </w:rPr>
              <w:t>1</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sz w:val="20"/>
                <w:szCs w:val="20"/>
                <w:vertAlign w:val="superscript"/>
              </w:rPr>
            </w:pPr>
            <w:r>
              <w:rPr>
                <w:b/>
                <w:bCs/>
                <w:sz w:val="20"/>
                <w:szCs w:val="20"/>
              </w:rPr>
              <w:t>z</w:t>
            </w:r>
            <w:r>
              <w:rPr>
                <w:b/>
                <w:bCs/>
                <w:sz w:val="20"/>
                <w:szCs w:val="20"/>
                <w:vertAlign w:val="superscript"/>
              </w:rPr>
              <w:t>2</w:t>
            </w:r>
          </w:p>
        </w:tc>
        <w:tc>
          <w:tcPr>
            <w:tcW w:w="851" w:type="dxa"/>
            <w:shd w:val="clear" w:color="auto" w:fill="auto"/>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r>
              <w:rPr>
                <w:b/>
                <w:bCs/>
                <w:sz w:val="22"/>
              </w:rPr>
              <w:t>CAAR</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vertAlign w:val="superscript"/>
              </w:rPr>
            </w:pPr>
            <w:r>
              <w:rPr>
                <w:b/>
                <w:bCs/>
                <w:sz w:val="22"/>
              </w:rPr>
              <w:t>t</w:t>
            </w:r>
            <w:r>
              <w:rPr>
                <w:b/>
                <w:bCs/>
                <w:sz w:val="22"/>
                <w:vertAlign w:val="superscript"/>
              </w:rPr>
              <w:t>1</w:t>
            </w:r>
          </w:p>
        </w:tc>
        <w:tc>
          <w:tcPr>
            <w:tcW w:w="567" w:type="dxa"/>
            <w:shd w:val="clear" w:color="auto" w:fill="auto"/>
            <w:tcMar>
              <w:top w:w="15" w:type="dxa"/>
              <w:left w:w="15" w:type="dxa"/>
              <w:bottom w:w="0" w:type="dxa"/>
              <w:right w:w="15" w:type="dxa"/>
            </w:tcMar>
            <w:vAlign w:val="center"/>
            <w:hideMark/>
          </w:tcPr>
          <w:p w:rsidR="00FC6A12" w:rsidRPr="00B40CA6" w:rsidRDefault="00FC6A12" w:rsidP="00FC6A12">
            <w:pPr>
              <w:ind w:firstLine="0"/>
              <w:jc w:val="center"/>
              <w:rPr>
                <w:b/>
                <w:bCs/>
                <w:sz w:val="20"/>
                <w:szCs w:val="20"/>
                <w:vertAlign w:val="superscript"/>
              </w:rPr>
            </w:pPr>
            <w:r>
              <w:rPr>
                <w:b/>
                <w:bCs/>
                <w:sz w:val="20"/>
                <w:szCs w:val="20"/>
              </w:rPr>
              <w:t>z</w:t>
            </w:r>
            <w:r>
              <w:rPr>
                <w:b/>
                <w:bCs/>
                <w:sz w:val="20"/>
                <w:szCs w:val="20"/>
                <w:vertAlign w:val="superscript"/>
              </w:rPr>
              <w:t>2</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[-5;5]</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1,38%</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1,33%</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-1,56%</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2,21%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5,10%</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[-5;-1]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0,53%</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1,73%</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0,59%</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0,40%</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0,14%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[-5;0]</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1,96%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0,63%</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0,72%</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2,27%</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4,55%</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4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[-5;1]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2,27%</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0,12%</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0,32%</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2,86%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5,92%</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[-3;-1]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-0,56%</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0,61%</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-0,11%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-0,57%</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[-3;0]</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1,44%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-1,64%</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0,74%</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1,76%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3,85%</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[-3;1]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1,74%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-2,14%</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r>
              <w:rPr>
                <w:sz w:val="20"/>
                <w:szCs w:val="20"/>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0,33%</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2,35%</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5,20%</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[-1;0]</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1,43%</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-0,68%</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0,37%</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1,71%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4,26%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1,74%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-1,19%</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-0,05%</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2,31%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5,63%</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[-2;2]</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1,48%</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-0,05%</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-0,92%</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2,21%</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5,30%</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[0;1]</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1,73%</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-1,58%</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-0,28%</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2,45%</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5,76%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[-1;3]</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1,36%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-0,39%</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-0,90%</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2,39%</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3,74%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1,36%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-0,78%</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-1,13%</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2,54%</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3,88%</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[1;3]</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-0,07%</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0,31%</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-1,26%</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0,67%</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-0,52%</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[-1;5]</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0,86%</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-0,03%</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-1,93%</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1,66%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4,83%</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15"/>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0,86%</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-0,41%</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-2,15%</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1,82%</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4,96%</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r>
      <w:tr w:rsidR="00FC6A12" w:rsidTr="00FC6A12">
        <w:trPr>
          <w:trHeight w:val="330"/>
        </w:trPr>
        <w:tc>
          <w:tcPr>
            <w:tcW w:w="1008"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[1;5]</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-0,57%</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rPr>
            </w:pPr>
          </w:p>
        </w:tc>
        <w:tc>
          <w:tcPr>
            <w:tcW w:w="1134"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0,68%</w:t>
            </w:r>
          </w:p>
        </w:tc>
        <w:tc>
          <w:tcPr>
            <w:tcW w:w="567"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 w:val="20"/>
                <w:szCs w:val="20"/>
              </w:rPr>
            </w:pP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b/>
                <w:bCs/>
                <w:szCs w:val="24"/>
              </w:rPr>
            </w:pPr>
            <w:r>
              <w:rPr>
                <w:b/>
                <w:bCs/>
              </w:rPr>
              <w:t>-2,29%</w:t>
            </w:r>
          </w:p>
        </w:tc>
        <w:tc>
          <w:tcPr>
            <w:tcW w:w="425"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r>
              <w:rPr>
                <w:b/>
                <w:bCs/>
                <w:sz w:val="20"/>
                <w:szCs w:val="20"/>
              </w:rPr>
              <w:t>***</w:t>
            </w:r>
          </w:p>
        </w:tc>
        <w:tc>
          <w:tcPr>
            <w:tcW w:w="850"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-0,05%</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Cs w:val="24"/>
              </w:rPr>
            </w:pPr>
            <w:r>
              <w:rPr>
                <w:b/>
                <w:bCs/>
              </w:rPr>
              <w:t>**</w:t>
            </w:r>
          </w:p>
        </w:tc>
        <w:tc>
          <w:tcPr>
            <w:tcW w:w="851" w:type="dxa"/>
            <w:shd w:val="clear" w:color="auto" w:fill="auto"/>
            <w:noWrap/>
            <w:tcMar>
              <w:top w:w="15" w:type="dxa"/>
              <w:left w:w="15" w:type="dxa"/>
              <w:bottom w:w="0" w:type="dxa"/>
              <w:right w:w="15" w:type="dxa"/>
            </w:tcMar>
            <w:vAlign w:val="center"/>
            <w:hideMark/>
          </w:tcPr>
          <w:p w:rsidR="00FC6A12" w:rsidRDefault="00FC6A12" w:rsidP="00FC6A12">
            <w:pPr>
              <w:spacing w:before="100" w:beforeAutospacing="1" w:after="100" w:afterAutospacing="1" w:line="240" w:lineRule="auto"/>
              <w:ind w:firstLine="0"/>
              <w:jc w:val="center"/>
              <w:rPr>
                <w:szCs w:val="24"/>
              </w:rPr>
            </w:pPr>
            <w:r>
              <w:t>0,58%</w:t>
            </w: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c>
          <w:tcPr>
            <w:tcW w:w="567" w:type="dxa"/>
            <w:shd w:val="clear" w:color="auto" w:fill="auto"/>
            <w:noWrap/>
            <w:tcMar>
              <w:top w:w="15" w:type="dxa"/>
              <w:left w:w="15" w:type="dxa"/>
              <w:bottom w:w="0" w:type="dxa"/>
              <w:right w:w="15" w:type="dxa"/>
            </w:tcMar>
            <w:hideMark/>
          </w:tcPr>
          <w:p w:rsidR="00FC6A12" w:rsidRDefault="00FC6A12" w:rsidP="00FC6A12">
            <w:pPr>
              <w:spacing w:before="100" w:beforeAutospacing="1" w:after="100" w:afterAutospacing="1" w:line="240" w:lineRule="auto"/>
              <w:ind w:firstLine="0"/>
              <w:jc w:val="center"/>
              <w:rPr>
                <w:b/>
                <w:bCs/>
                <w:sz w:val="20"/>
                <w:szCs w:val="20"/>
              </w:rPr>
            </w:pPr>
          </w:p>
        </w:tc>
      </w:tr>
    </w:tbl>
    <w:p w:rsidR="00FC6A12" w:rsidRPr="00057E7E" w:rsidRDefault="00FC6A12" w:rsidP="00FC6A12">
      <w:pPr>
        <w:spacing w:line="240" w:lineRule="auto"/>
        <w:rPr>
          <w:sz w:val="20"/>
          <w:szCs w:val="20"/>
        </w:rPr>
      </w:pPr>
      <w:r w:rsidRPr="007A36A7">
        <w:rPr>
          <w:color w:val="000000" w:themeColor="text1"/>
        </w:rPr>
        <w:t xml:space="preserve"> </w:t>
      </w:r>
      <w:r w:rsidRPr="001A1564">
        <w:rPr>
          <w:sz w:val="20"/>
          <w:szCs w:val="20"/>
        </w:rPr>
        <w:t xml:space="preserve">Čia: </w:t>
      </w:r>
      <w:r>
        <w:rPr>
          <w:sz w:val="20"/>
          <w:szCs w:val="20"/>
        </w:rPr>
        <w:tab/>
      </w:r>
      <w:r w:rsidRPr="00057E7E">
        <w:rPr>
          <w:b/>
          <w:sz w:val="20"/>
          <w:szCs w:val="20"/>
          <w:vertAlign w:val="superscript"/>
        </w:rPr>
        <w:t>1</w:t>
      </w:r>
      <w:r w:rsidRPr="00057E7E">
        <w:rPr>
          <w:b/>
          <w:sz w:val="20"/>
          <w:szCs w:val="20"/>
        </w:rPr>
        <w:t>CAAR:</w:t>
      </w:r>
      <w:r>
        <w:rPr>
          <w:sz w:val="20"/>
          <w:szCs w:val="20"/>
        </w:rPr>
        <w:t xml:space="preserve"> Sudėtinis pelningumas prekybos intervalais, kai intervalo ilgis = T;</w:t>
      </w:r>
    </w:p>
    <w:p w:rsidR="00FC6A12" w:rsidRDefault="00FC6A12" w:rsidP="00FC6A12">
      <w:pPr>
        <w:spacing w:before="0" w:line="240" w:lineRule="auto"/>
        <w:ind w:firstLine="1276"/>
        <w:rPr>
          <w:rFonts w:eastAsia="Times New Roman" w:cs="Times New Roman"/>
          <w:bCs/>
          <w:color w:val="000000"/>
          <w:sz w:val="20"/>
          <w:szCs w:val="20"/>
          <w:lang w:eastAsia="zh-CN"/>
        </w:rPr>
      </w:pPr>
      <w:r>
        <w:rPr>
          <w:b/>
          <w:sz w:val="20"/>
          <w:szCs w:val="20"/>
          <w:vertAlign w:val="superscript"/>
        </w:rPr>
        <w:t>2</w:t>
      </w:r>
      <w:r w:rsidRPr="00B40CA6">
        <w:rPr>
          <w:rFonts w:eastAsia="Times New Roman" w:cs="Times New Roman"/>
          <w:b/>
          <w:bCs/>
          <w:color w:val="000000"/>
          <w:sz w:val="20"/>
          <w:szCs w:val="20"/>
          <w:lang w:eastAsia="zh-CN"/>
        </w:rPr>
        <w:t>t</w:t>
      </w:r>
      <w:r>
        <w:rPr>
          <w:rFonts w:eastAsia="Times New Roman" w:cs="Times New Roman"/>
          <w:bCs/>
          <w:color w:val="000000"/>
          <w:sz w:val="20"/>
          <w:szCs w:val="20"/>
          <w:lang w:eastAsia="zh-CN"/>
        </w:rPr>
        <w:t>:</w:t>
      </w:r>
      <w:r w:rsidRPr="002E4F11">
        <w:rPr>
          <w:rFonts w:ascii="Symbol" w:eastAsia="Times New Roman" w:hAnsi="Symbol" w:cs="Times New Roman"/>
          <w:b/>
          <w:bCs/>
          <w:color w:val="000000"/>
          <w:sz w:val="20"/>
          <w:szCs w:val="20"/>
          <w:lang w:eastAsia="zh-CN"/>
        </w:rPr>
        <w:t></w:t>
      </w:r>
      <w:r>
        <w:rPr>
          <w:rFonts w:eastAsia="Times New Roman" w:cs="Times New Roman"/>
          <w:bCs/>
          <w:color w:val="000000"/>
          <w:sz w:val="20"/>
          <w:szCs w:val="20"/>
          <w:lang w:eastAsia="zh-CN"/>
        </w:rPr>
        <w:t>statistinio reikšmingumo kriterijus vienai imčiai</w:t>
      </w:r>
      <w:r w:rsidRPr="002E4F11">
        <w:rPr>
          <w:rFonts w:eastAsia="Times New Roman" w:cs="Times New Roman"/>
          <w:bCs/>
          <w:color w:val="000000"/>
          <w:sz w:val="20"/>
          <w:szCs w:val="20"/>
          <w:lang w:eastAsia="zh-CN"/>
        </w:rPr>
        <w:t>;</w:t>
      </w:r>
    </w:p>
    <w:p w:rsidR="00FC6A12" w:rsidRPr="002E4F11" w:rsidRDefault="00FC6A12" w:rsidP="00FC6A12">
      <w:pPr>
        <w:spacing w:before="0" w:line="240" w:lineRule="auto"/>
        <w:ind w:firstLine="1276"/>
        <w:rPr>
          <w:rFonts w:cs="Times New Roman"/>
          <w:sz w:val="20"/>
          <w:szCs w:val="20"/>
        </w:rPr>
      </w:pPr>
      <w:r>
        <w:rPr>
          <w:rFonts w:eastAsia="Times New Roman" w:cs="Times New Roman"/>
          <w:b/>
          <w:bCs/>
          <w:color w:val="000000"/>
          <w:sz w:val="20"/>
          <w:szCs w:val="20"/>
          <w:vertAlign w:val="superscript"/>
          <w:lang w:eastAsia="zh-CN"/>
        </w:rPr>
        <w:t>3</w:t>
      </w:r>
      <w:r w:rsidRPr="00B40CA6">
        <w:rPr>
          <w:rFonts w:eastAsia="Times New Roman" w:cs="Times New Roman"/>
          <w:b/>
          <w:bCs/>
          <w:color w:val="000000"/>
          <w:sz w:val="20"/>
          <w:szCs w:val="20"/>
          <w:lang w:eastAsia="zh-CN"/>
        </w:rPr>
        <w:t>z</w:t>
      </w:r>
      <w:r>
        <w:rPr>
          <w:rFonts w:eastAsia="Times New Roman" w:cs="Times New Roman"/>
          <w:bCs/>
          <w:color w:val="000000"/>
          <w:sz w:val="20"/>
          <w:szCs w:val="20"/>
          <w:lang w:eastAsia="zh-CN"/>
        </w:rPr>
        <w:t xml:space="preserve">: neparametrinis </w:t>
      </w:r>
      <w:r w:rsidRPr="00C303FD">
        <w:rPr>
          <w:rFonts w:eastAsia="Times New Roman" w:cs="Times New Roman"/>
          <w:bCs/>
          <w:i/>
          <w:color w:val="000000"/>
          <w:sz w:val="20"/>
          <w:szCs w:val="20"/>
          <w:lang w:eastAsia="zh-CN"/>
        </w:rPr>
        <w:t>Mann Whitney</w:t>
      </w:r>
      <w:r>
        <w:rPr>
          <w:rFonts w:eastAsia="Times New Roman" w:cs="Times New Roman"/>
          <w:bCs/>
          <w:color w:val="000000"/>
          <w:sz w:val="20"/>
          <w:szCs w:val="20"/>
          <w:lang w:eastAsia="zh-CN"/>
        </w:rPr>
        <w:t xml:space="preserve"> statistinio reikšmingumo kriterijus skirtumams tarp grupių nustatyti;</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sidRPr="001A1564">
        <w:rPr>
          <w:sz w:val="20"/>
          <w:szCs w:val="20"/>
        </w:rPr>
        <w:t>pelningumų vidurkis statistiškai reikšmingai skiriasi</w:t>
      </w:r>
      <w:r>
        <w:rPr>
          <w:sz w:val="20"/>
          <w:szCs w:val="20"/>
        </w:rPr>
        <w:t>,</w:t>
      </w:r>
      <w:r w:rsidRPr="001A1564">
        <w:rPr>
          <w:sz w:val="20"/>
          <w:szCs w:val="20"/>
        </w:rPr>
        <w:t xml:space="preserve"> </w:t>
      </w:r>
      <w:r>
        <w:rPr>
          <w:sz w:val="20"/>
          <w:szCs w:val="20"/>
        </w:rPr>
        <w:t xml:space="preserve">99% </w:t>
      </w:r>
      <w:r w:rsidRPr="00355357">
        <w:rPr>
          <w:sz w:val="20"/>
          <w:szCs w:val="20"/>
        </w:rPr>
        <w:t xml:space="preserve"> </w:t>
      </w:r>
      <w:r>
        <w:rPr>
          <w:sz w:val="20"/>
          <w:szCs w:val="20"/>
        </w:rPr>
        <w:t>tikimybė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w:t>
      </w:r>
      <w:r w:rsidRPr="001A1564">
        <w:rPr>
          <w:sz w:val="20"/>
          <w:szCs w:val="20"/>
        </w:rPr>
        <w:t>pelningumų vidurkis statistiškai reikšmingai skiriasi</w:t>
      </w:r>
      <w:r>
        <w:rPr>
          <w:sz w:val="20"/>
          <w:szCs w:val="20"/>
        </w:rPr>
        <w:t>,</w:t>
      </w:r>
      <w:r w:rsidRPr="001A1564">
        <w:rPr>
          <w:sz w:val="20"/>
          <w:szCs w:val="20"/>
        </w:rPr>
        <w:t xml:space="preserve"> 95%</w:t>
      </w:r>
      <w:r>
        <w:rPr>
          <w:sz w:val="20"/>
          <w:szCs w:val="20"/>
        </w:rPr>
        <w:t xml:space="preserve"> tikimybė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pelningumų vidurkis statistiškai reikšmingai sk</w:t>
      </w:r>
      <w:r>
        <w:rPr>
          <w:sz w:val="20"/>
          <w:szCs w:val="20"/>
        </w:rPr>
        <w:t>iriasi, 90% tikimybė (p</w:t>
      </w:r>
      <w:r w:rsidRPr="001A1564">
        <w:rPr>
          <w:sz w:val="20"/>
          <w:szCs w:val="20"/>
        </w:rPr>
        <w:t xml:space="preserve"> &lt; 0</w:t>
      </w:r>
      <w:r>
        <w:rPr>
          <w:sz w:val="20"/>
          <w:szCs w:val="20"/>
        </w:rPr>
        <w:t>,</w:t>
      </w:r>
      <w:r w:rsidRPr="001A1564">
        <w:rPr>
          <w:sz w:val="20"/>
          <w:szCs w:val="20"/>
        </w:rPr>
        <w:t>10).</w:t>
      </w:r>
    </w:p>
    <w:p w:rsidR="00FC6A12" w:rsidRDefault="00FC6A12" w:rsidP="00FC6A12">
      <w:r>
        <w:t>Informacija apie tai, jog įmonė neplanuoja mokėti dividendų (nors praeitais metais išmokėjo), neturėjo reikšmingos įtakos (su 95</w:t>
      </w:r>
      <w:r w:rsidRPr="00E5519D">
        <w:t xml:space="preserve">% </w:t>
      </w:r>
      <w:r>
        <w:t>tikimybe) nei vienu nagrinėjamu periodu. Taip pat reiktų pastebėti, jog akcijų pelningumas prekybos periodais prieš naujienų paskelbimą daugeliu atveju, o ypač intervale [-5;1] buvo teigiamas (1,73</w:t>
      </w:r>
      <w:r w:rsidRPr="00131B4B">
        <w:t>%</w:t>
      </w:r>
      <w:r>
        <w:t>), kas rodo, jog investuotojai neturėjo informacijos apie neigiamas naujienas prieš joms paskelbiant. Šis teiginys galioja ir kitos neigiamos naujienos atveju: informacija apie dividendų pajamingumo sumažėjimą nebuvo žinoma iš anksto, o investuotojai tikėjosi reikšmingesnio dividendų dydžio nei ankstesniais metais, kas lėmė teigiamus kainų prieaugius nuo 0,3% iki 0,62</w:t>
      </w:r>
      <w:r w:rsidRPr="00112A41">
        <w:t>%</w:t>
      </w:r>
      <w:r>
        <w:t xml:space="preserve"> skirtingais laiko intervalais prieš dividendų paskelbimą. Šis pastebėjimas atitinka ir kitų autorių tyrimuose (Yucee, Taneem, 2010) gautus rezultatus. Neigiamas DY rodiklio pokytis pasireiškė neigiamomis pelningumo reikšmėmis tik laikotarpiais po naujienų paskelbimo dienos,  kas rodo, jog investuotojams įvertinus turimą informaciją, neigiamas DY rodiklio pokytis neatitiko jų </w:t>
      </w:r>
      <w:r>
        <w:lastRenderedPageBreak/>
        <w:t>lūkesčių – t.y. dividendų, tenkančių vienai akcijai, ir esamos akcijos rinkos kainos santykis buvo nepriimtinas investuotojams.</w:t>
      </w:r>
    </w:p>
    <w:p w:rsidR="00FC6A12" w:rsidRDefault="00FC6A12" w:rsidP="00FC6A12">
      <w:r>
        <w:t>Šiuo atveju teigiami akcijų pelningumai po naujienų apie išmokamus dividendus turėjo statistiškai reikšmingų skirtumų nuo 0, kurie pasireiškė ilgesniuose laiko intervaluose, ypač [1;5], kuriame vidutinis nuosmukis sudarė -2,29</w:t>
      </w:r>
      <w:r w:rsidRPr="00155FD0">
        <w:t>%</w:t>
      </w:r>
      <w:r>
        <w:t xml:space="preserve">. Tam, kad nustatyti skirtumus tarp šios neigiamos naujienos ir likusių naujienų grupių atliktas </w:t>
      </w:r>
      <w:r w:rsidRPr="00131B4B">
        <w:rPr>
          <w:i/>
        </w:rPr>
        <w:t>Mann Whitney</w:t>
      </w:r>
      <w:r>
        <w:t xml:space="preserve"> testas, kuris parodė, jog vertinant akcijų pelningumą laiko intervaluose, apimančiuose informacijos paskelbimo dieną ir prekybos dienas po naujienų paskelbimo, pasireiškė statistiškai reikšmingi skirtumai tarp grupių. Taigi, galima prieiti išvados, jog šiam atvejui buvo kur kas labiau būdingas neigiamas akcijų pelningumas po naujienų paskelbimo, jei lygintume su kitomis naujienų grupėmis.</w:t>
      </w:r>
    </w:p>
    <w:p w:rsidR="00FC6A12" w:rsidRPr="00A45664" w:rsidRDefault="00FC6A12" w:rsidP="00FC6A12">
      <w:r>
        <w:t xml:space="preserve">DY rodiklio padidėjimo atveju prieš naujienų paskelbimą (intervalai: [-5;-1], [-3;-1]), nepasireiškė ryškesni pelningumai nei efektyvios rinkos sąlygomis (AR=0). Kaip ir bendru atveju, bei neigiamų naujienų atvejais, taip ir šiuo atveju investuotojai laukė naujienų paskelbimo momento iš anksto neturėdami svaresnės informacijos apie realų planuojamų mokėti dividendų dydį. Svaresnis pelningumų šuolis buvo visais analizuojamais periodais, kuomet į analizuojamų prekybos dienų intervalą patekdavo ir dividendų paskelbimo diena, tokiu atveju </w:t>
      </w:r>
      <w:r w:rsidRPr="000855DE">
        <w:rPr>
          <w:i/>
        </w:rPr>
        <w:t>t reikšmės</w:t>
      </w:r>
      <w:r>
        <w:rPr>
          <w:i/>
        </w:rPr>
        <w:t xml:space="preserve"> </w:t>
      </w:r>
      <w:r w:rsidRPr="000855DE">
        <w:t>intervaluose</w:t>
      </w:r>
      <w:r>
        <w:t xml:space="preserve"> [-5;0], [-5;1], [-3;0], [-3;1], [-1;0] įgydavo ne mažesnį kaip 3,47 dydį ir pelningumai statistiškai reikšmingai skirdavosi nuo 0. Trijų ir penkių prekybos dienų intervaluose, į abi puses vienodai nutolusiuose nuo dividendų paskelbimo momento, t.y. [-1;1] ir [-2;2], taip pat užfiksuotas teigiamas ir statistiškai reikšmingas pelningumas, tačiau didžiausio teigiamo pelningumo, DY rodiklio padidėjimo atveju, buvo galima tikėtis periode nuo 0 (t=0) iki 1 (t=1) – 2,45%, ir perioduose, į kuriuos patenka naujienų paskelbimo diena ir trys dienos po naujienų paskelbimo: nuo -1 iki 3 pelningumas - 2,39</w:t>
      </w:r>
      <w:r w:rsidRPr="00A45664">
        <w:t xml:space="preserve">%, </w:t>
      </w:r>
      <w:r w:rsidRPr="007B49B4">
        <w:t>nuo 0 iki 3 dienos – 2,54%.</w:t>
      </w:r>
      <w:r>
        <w:t xml:space="preserve"> Tai rodo, jog šiuose intervaluose DY padidėjimo atveju yra juntamas stipriausias dividendų signalizavimo poveikis, statistiškai reikšmingos z kriterijaus reikšmės taip pat rodo, jog DY padidėjimas šiuose laiko intervaluose statistiškai reikšmingai skiriasi nuo kitų naujienų grupių atitinkamuose laiko intervaluose. Jei prie intervalo paskutinės dienos pridėtume 4 (t=4) ir 5 (t=5) dienas, pelningumai šiek tiek koreguojasi ir yra jau mažiau statistiškai reikšmingi, ką parodė ir prieš tai nagrinėti atvejai atskiromis dienomis. </w:t>
      </w:r>
    </w:p>
    <w:p w:rsidR="00FC6A12" w:rsidRPr="00A45664" w:rsidRDefault="00FC6A12" w:rsidP="00FC6A12">
      <w:r>
        <w:t xml:space="preserve">Dividendų inicijavimo atveju, kaip ir kitais atvejais, perioduose prieš naujienų paskelbimą nebuvo </w:t>
      </w:r>
      <w:r w:rsidRPr="00E4109B">
        <w:t xml:space="preserve">pastebimesnių pelningumo reikšmių, o arčiau dividendų paskelbimo dienos, periode nuo – 3 iki -1, generuotas neigiamas pelningumas. Perioduose, kurių centre buvo dividendų paskelbimo diena, fiksuoti teigiami ir statistiškai reikšmingi pelningumai nuo 5,3% iki 5,63%, didesnė pelningumo reikšmė pasireiškė tik dvi prekybos dienas apimančiame periode: nuo dividendų paskelbimo dienos iki pirmos dienos po dividendų paskelbimo – 5,76%. Perioduose, kur paskutinė diena intervale – 3 diena </w:t>
      </w:r>
      <w:r>
        <w:lastRenderedPageBreak/>
        <w:t xml:space="preserve">(t=3) </w:t>
      </w:r>
      <w:r w:rsidRPr="00E4109B">
        <w:t>po naujienų paskelbimo, pelningumo reikšmės buvo šiek tiek mažesnės dėl korekcijos, kuri užfiksuota</w:t>
      </w:r>
      <w:r>
        <w:t xml:space="preserve"> prieš tai -</w:t>
      </w:r>
      <w:r w:rsidRPr="00E4109B">
        <w:t xml:space="preserve"> atskirų dienų nagrinėjimo atveju</w:t>
      </w:r>
      <w:r w:rsidRPr="00A45664">
        <w:t>.</w:t>
      </w:r>
    </w:p>
    <w:p w:rsidR="00FC6A12" w:rsidRDefault="00FC6A12" w:rsidP="00FC6A12">
      <w:r w:rsidRPr="008A34FF">
        <w:t>Teigiamų naujienų atveju prekybos dienoms nuo t=1 iki t=5 pelningumas buvo artimas 0, todėl tikėtina, jog investuotojas neuždirbtų papildomo pelno iš dividendų naujienų paskelbimo, jei akciją įsigytų vėliau nei dividendų paskelbimo dieną – t.y.</w:t>
      </w:r>
      <w:r>
        <w:t xml:space="preserve"> jau tik</w:t>
      </w:r>
      <w:r w:rsidRPr="008A34FF">
        <w:t xml:space="preserve"> sekančiomis dienomis po naujienų paskelbimo.</w:t>
      </w:r>
    </w:p>
    <w:p w:rsidR="00FC6A12" w:rsidRDefault="00FC6A12" w:rsidP="00FC6A12">
      <w:r>
        <w:t xml:space="preserve">Tam, kad nustatyti ar egzistuoja skirtumai tarp konkrečių naujienų grupių (dividendai neišmokami – dividendai inicijuojami, DY rodiklis sumažėjęs – DY rodiklis padidėjęs) pelningumų tam tikrais intervalais buvo atliktas </w:t>
      </w:r>
      <w:r>
        <w:rPr>
          <w:i/>
        </w:rPr>
        <w:t xml:space="preserve">Wilcoxon </w:t>
      </w:r>
      <w:r>
        <w:t>testas. Duomenys pateikiami</w:t>
      </w:r>
      <w:r w:rsidR="007F7304">
        <w:t xml:space="preserve"> lentelė</w:t>
      </w:r>
      <w:r>
        <w:t>je</w:t>
      </w:r>
      <w:r w:rsidR="00BC05AE">
        <w:t xml:space="preserve"> (žr. </w:t>
      </w:r>
      <w:r w:rsidR="00707DF4">
        <w:t>19 lent.</w:t>
      </w:r>
      <w:r w:rsidR="00BC05AE">
        <w:t>)</w:t>
      </w:r>
      <w:r>
        <w:t>. Rezultatai parodė, jog tarp dviejų naujienų grupių (DY sumažėjimas – DY padidėjimas)</w:t>
      </w:r>
      <w:r w:rsidRPr="00764604">
        <w:t xml:space="preserve"> </w:t>
      </w:r>
      <w:r>
        <w:t>daugumoje analizuojamų prekybos intervalų pasireiškia statistiškai reikšmingi skirtumai (kai Z &lt; -2,28), tuo tarpu tarp grupių Dividendai neišmokami – Dividendų inicijavimas skirtumai pasireiškia prekybos dienomis apie dividendų paskelbimo dieną (kai Z &lt; -2,01).</w:t>
      </w:r>
    </w:p>
    <w:p w:rsidR="00FC6A12" w:rsidRPr="008A34FF" w:rsidRDefault="00FC6A12" w:rsidP="006F517F">
      <w:pPr>
        <w:pStyle w:val="Caption"/>
        <w:ind w:left="1276" w:hanging="1134"/>
      </w:pPr>
      <w:r>
        <w:t xml:space="preserve"> </w:t>
      </w:r>
      <w:bookmarkStart w:id="111" w:name="_Ref342560798"/>
      <w:bookmarkStart w:id="112" w:name="_Toc343677837"/>
      <w:r>
        <w:t>Sudėtinių pel</w:t>
      </w:r>
      <w:r w:rsidR="006F517F">
        <w:t xml:space="preserve">ningumų skirtumai tarp priešingos informacijos </w:t>
      </w:r>
      <w:r>
        <w:t>naujienų grupių</w:t>
      </w:r>
      <w:bookmarkEnd w:id="111"/>
      <w:bookmarkEnd w:id="112"/>
      <w:r>
        <w:t xml:space="preserve"> </w:t>
      </w:r>
    </w:p>
    <w:tbl>
      <w:tblPr>
        <w:tblW w:w="9961" w:type="dxa"/>
        <w:tblInd w:w="93" w:type="dxa"/>
        <w:tblLook w:val="04A0"/>
      </w:tblPr>
      <w:tblGrid>
        <w:gridCol w:w="2425"/>
        <w:gridCol w:w="567"/>
        <w:gridCol w:w="851"/>
        <w:gridCol w:w="850"/>
        <w:gridCol w:w="851"/>
        <w:gridCol w:w="992"/>
        <w:gridCol w:w="850"/>
        <w:gridCol w:w="851"/>
        <w:gridCol w:w="894"/>
        <w:gridCol w:w="830"/>
      </w:tblGrid>
      <w:tr w:rsidR="00FC6A12" w:rsidRPr="008A34FF" w:rsidTr="00FC6A12">
        <w:trPr>
          <w:trHeight w:val="647"/>
        </w:trPr>
        <w:tc>
          <w:tcPr>
            <w:tcW w:w="2992"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lang w:eastAsia="lt-LT"/>
              </w:rPr>
            </w:pPr>
            <w:r w:rsidRPr="008A34FF">
              <w:rPr>
                <w:rFonts w:eastAsia="Times New Roman" w:cs="Times New Roman"/>
                <w:b/>
                <w:bCs/>
                <w:sz w:val="22"/>
                <w:lang w:eastAsia="lt-LT"/>
              </w:rPr>
              <w:t>Periodas</w:t>
            </w:r>
          </w:p>
        </w:tc>
        <w:tc>
          <w:tcPr>
            <w:tcW w:w="851"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[-5;5]</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[-5;-1]</w:t>
            </w:r>
          </w:p>
        </w:tc>
        <w:tc>
          <w:tcPr>
            <w:tcW w:w="851"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[-5;0]</w:t>
            </w:r>
          </w:p>
        </w:tc>
        <w:tc>
          <w:tcPr>
            <w:tcW w:w="992"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[-5;1]</w:t>
            </w:r>
          </w:p>
        </w:tc>
        <w:tc>
          <w:tcPr>
            <w:tcW w:w="850"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[3;-1]</w:t>
            </w:r>
          </w:p>
        </w:tc>
        <w:tc>
          <w:tcPr>
            <w:tcW w:w="851"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[-3;0]</w:t>
            </w:r>
          </w:p>
        </w:tc>
        <w:tc>
          <w:tcPr>
            <w:tcW w:w="894"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[-3;1]</w:t>
            </w:r>
          </w:p>
        </w:tc>
        <w:tc>
          <w:tcPr>
            <w:tcW w:w="830" w:type="dxa"/>
            <w:tcBorders>
              <w:top w:val="single" w:sz="12" w:space="0" w:color="auto"/>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[-1;0]</w:t>
            </w:r>
          </w:p>
        </w:tc>
      </w:tr>
      <w:tr w:rsidR="00FC6A12" w:rsidRPr="008A34FF" w:rsidTr="00FC6A12">
        <w:trPr>
          <w:trHeight w:val="542"/>
        </w:trPr>
        <w:tc>
          <w:tcPr>
            <w:tcW w:w="2425" w:type="dxa"/>
            <w:tcBorders>
              <w:top w:val="single" w:sz="12" w:space="0" w:color="auto"/>
              <w:left w:val="single" w:sz="12" w:space="0" w:color="auto"/>
              <w:bottom w:val="nil"/>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Dividendai neišmokami</w:t>
            </w:r>
          </w:p>
        </w:tc>
        <w:tc>
          <w:tcPr>
            <w:tcW w:w="567" w:type="dxa"/>
            <w:tcBorders>
              <w:top w:val="nil"/>
              <w:left w:val="nil"/>
              <w:bottom w:val="nil"/>
              <w:right w:val="single" w:sz="12" w:space="0" w:color="auto"/>
            </w:tcBorders>
            <w:shd w:val="clear" w:color="auto" w:fill="auto"/>
            <w:noWrap/>
            <w:vAlign w:val="center"/>
            <w:hideMark/>
          </w:tcPr>
          <w:p w:rsidR="00FC6A12" w:rsidRPr="00B40CA6" w:rsidRDefault="00FC6A12" w:rsidP="00FC6A12">
            <w:pPr>
              <w:spacing w:before="0" w:line="240" w:lineRule="auto"/>
              <w:ind w:firstLine="0"/>
              <w:jc w:val="center"/>
              <w:rPr>
                <w:rFonts w:eastAsia="Times New Roman" w:cs="Times New Roman"/>
                <w:color w:val="000000"/>
                <w:vertAlign w:val="superscript"/>
                <w:lang w:eastAsia="lt-LT"/>
              </w:rPr>
            </w:pPr>
            <w:r w:rsidRPr="00F12D8B">
              <w:rPr>
                <w:rFonts w:eastAsia="Times New Roman" w:cs="Times New Roman"/>
                <w:color w:val="000000"/>
                <w:sz w:val="22"/>
                <w:lang w:eastAsia="lt-LT"/>
              </w:rPr>
              <w:t>z</w:t>
            </w:r>
            <w:r>
              <w:rPr>
                <w:rFonts w:eastAsia="Times New Roman" w:cs="Times New Roman"/>
                <w:color w:val="000000"/>
                <w:sz w:val="22"/>
                <w:vertAlign w:val="superscript"/>
                <w:lang w:eastAsia="lt-LT"/>
              </w:rPr>
              <w:t>1</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-0,46</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-0,23</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-0,77</w:t>
            </w:r>
          </w:p>
        </w:tc>
        <w:tc>
          <w:tcPr>
            <w:tcW w:w="992"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-1,08</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-0,42</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-1,39</w:t>
            </w:r>
          </w:p>
        </w:tc>
        <w:tc>
          <w:tcPr>
            <w:tcW w:w="894"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-2,01</w:t>
            </w:r>
          </w:p>
        </w:tc>
        <w:tc>
          <w:tcPr>
            <w:tcW w:w="83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-2,05</w:t>
            </w:r>
          </w:p>
        </w:tc>
      </w:tr>
      <w:tr w:rsidR="00FC6A12" w:rsidRPr="008A34FF" w:rsidTr="00FC6A12">
        <w:trPr>
          <w:trHeight w:val="331"/>
        </w:trPr>
        <w:tc>
          <w:tcPr>
            <w:tcW w:w="2425" w:type="dxa"/>
            <w:tcBorders>
              <w:top w:val="nil"/>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Dividendų inicijavimas</w:t>
            </w:r>
          </w:p>
        </w:tc>
        <w:tc>
          <w:tcPr>
            <w:tcW w:w="567"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992"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94"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w:t>
            </w:r>
          </w:p>
        </w:tc>
        <w:tc>
          <w:tcPr>
            <w:tcW w:w="83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w:t>
            </w:r>
          </w:p>
        </w:tc>
      </w:tr>
      <w:tr w:rsidR="00FC6A12" w:rsidRPr="008A34FF" w:rsidTr="00FC6A12">
        <w:trPr>
          <w:trHeight w:val="331"/>
        </w:trPr>
        <w:tc>
          <w:tcPr>
            <w:tcW w:w="2425" w:type="dxa"/>
            <w:tcBorders>
              <w:top w:val="single" w:sz="12" w:space="0" w:color="auto"/>
              <w:left w:val="single" w:sz="12" w:space="0" w:color="auto"/>
              <w:bottom w:val="nil"/>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DY sumažėjimas</w:t>
            </w:r>
          </w:p>
        </w:tc>
        <w:tc>
          <w:tcPr>
            <w:tcW w:w="567" w:type="dxa"/>
            <w:tcBorders>
              <w:top w:val="nil"/>
              <w:left w:val="nil"/>
              <w:bottom w:val="nil"/>
              <w:right w:val="single" w:sz="12" w:space="0" w:color="auto"/>
            </w:tcBorders>
            <w:shd w:val="clear" w:color="auto" w:fill="auto"/>
            <w:noWrap/>
            <w:vAlign w:val="center"/>
            <w:hideMark/>
          </w:tcPr>
          <w:p w:rsidR="00FC6A12" w:rsidRPr="00B40CA6" w:rsidRDefault="00FC6A12" w:rsidP="00FC6A12">
            <w:pPr>
              <w:spacing w:before="0" w:line="240" w:lineRule="auto"/>
              <w:ind w:firstLine="0"/>
              <w:jc w:val="center"/>
              <w:rPr>
                <w:rFonts w:eastAsia="Times New Roman" w:cs="Times New Roman"/>
                <w:color w:val="000000"/>
                <w:vertAlign w:val="superscript"/>
                <w:lang w:eastAsia="lt-LT"/>
              </w:rPr>
            </w:pPr>
            <w:r>
              <w:rPr>
                <w:rFonts w:eastAsia="Times New Roman" w:cs="Times New Roman"/>
                <w:color w:val="000000"/>
                <w:sz w:val="22"/>
                <w:lang w:eastAsia="lt-LT"/>
              </w:rPr>
              <w:t>z</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-2,78</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-0,01</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-1,26</w:t>
            </w:r>
          </w:p>
        </w:tc>
        <w:tc>
          <w:tcPr>
            <w:tcW w:w="992"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-2,28</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-1,20</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-1,54</w:t>
            </w:r>
          </w:p>
        </w:tc>
        <w:tc>
          <w:tcPr>
            <w:tcW w:w="894"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-2,58</w:t>
            </w:r>
          </w:p>
        </w:tc>
        <w:tc>
          <w:tcPr>
            <w:tcW w:w="83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-1,16</w:t>
            </w:r>
          </w:p>
        </w:tc>
      </w:tr>
      <w:tr w:rsidR="00FC6A12" w:rsidRPr="008A34FF" w:rsidTr="00FC6A12">
        <w:trPr>
          <w:trHeight w:val="331"/>
        </w:trPr>
        <w:tc>
          <w:tcPr>
            <w:tcW w:w="2425" w:type="dxa"/>
            <w:tcBorders>
              <w:top w:val="nil"/>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DY padidėjimas</w:t>
            </w:r>
          </w:p>
        </w:tc>
        <w:tc>
          <w:tcPr>
            <w:tcW w:w="567"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c>
          <w:tcPr>
            <w:tcW w:w="992"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c>
          <w:tcPr>
            <w:tcW w:w="894"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3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r>
      <w:tr w:rsidR="00FC6A12" w:rsidRPr="008A34FF" w:rsidTr="00FC6A12">
        <w:trPr>
          <w:trHeight w:val="346"/>
        </w:trPr>
        <w:tc>
          <w:tcPr>
            <w:tcW w:w="2992"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lang w:eastAsia="lt-LT"/>
              </w:rPr>
            </w:pPr>
            <w:r w:rsidRPr="008A34FF">
              <w:rPr>
                <w:rFonts w:eastAsia="Times New Roman" w:cs="Times New Roman"/>
                <w:b/>
                <w:bCs/>
                <w:sz w:val="22"/>
                <w:lang w:eastAsia="lt-LT"/>
              </w:rPr>
              <w:t>Periodas</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[-2;2]</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[0;1]</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[-1;3]</w:t>
            </w:r>
          </w:p>
        </w:tc>
        <w:tc>
          <w:tcPr>
            <w:tcW w:w="992"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[0;3]</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[1;3]</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[-1;5]</w:t>
            </w:r>
          </w:p>
        </w:tc>
        <w:tc>
          <w:tcPr>
            <w:tcW w:w="894"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[0;5]</w:t>
            </w:r>
          </w:p>
        </w:tc>
        <w:tc>
          <w:tcPr>
            <w:tcW w:w="83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szCs w:val="24"/>
                <w:lang w:eastAsia="lt-LT"/>
              </w:rPr>
            </w:pPr>
            <w:r w:rsidRPr="008A34FF">
              <w:rPr>
                <w:rFonts w:eastAsia="Times New Roman" w:cs="Times New Roman"/>
                <w:szCs w:val="24"/>
                <w:lang w:eastAsia="lt-LT"/>
              </w:rPr>
              <w:t>[1;5]</w:t>
            </w:r>
          </w:p>
        </w:tc>
      </w:tr>
      <w:tr w:rsidR="00FC6A12" w:rsidRPr="008A34FF" w:rsidTr="00FC6A12">
        <w:trPr>
          <w:trHeight w:val="331"/>
        </w:trPr>
        <w:tc>
          <w:tcPr>
            <w:tcW w:w="2425" w:type="dxa"/>
            <w:tcBorders>
              <w:top w:val="single" w:sz="12" w:space="0" w:color="auto"/>
              <w:left w:val="single" w:sz="12" w:space="0" w:color="auto"/>
              <w:bottom w:val="nil"/>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Dividendai neišmokami</w:t>
            </w:r>
          </w:p>
        </w:tc>
        <w:tc>
          <w:tcPr>
            <w:tcW w:w="567" w:type="dxa"/>
            <w:tcBorders>
              <w:top w:val="nil"/>
              <w:left w:val="nil"/>
              <w:bottom w:val="nil"/>
              <w:right w:val="single" w:sz="12" w:space="0" w:color="auto"/>
            </w:tcBorders>
            <w:shd w:val="clear" w:color="auto" w:fill="auto"/>
            <w:noWrap/>
            <w:vAlign w:val="center"/>
            <w:hideMark/>
          </w:tcPr>
          <w:p w:rsidR="00FC6A12" w:rsidRPr="00B40CA6" w:rsidRDefault="00FC6A12" w:rsidP="00FC6A12">
            <w:pPr>
              <w:spacing w:before="0" w:line="240" w:lineRule="auto"/>
              <w:ind w:firstLine="0"/>
              <w:jc w:val="center"/>
              <w:rPr>
                <w:rFonts w:eastAsia="Times New Roman" w:cs="Times New Roman"/>
                <w:color w:val="000000"/>
                <w:vertAlign w:val="superscript"/>
                <w:lang w:eastAsia="lt-LT"/>
              </w:rPr>
            </w:pPr>
            <w:r>
              <w:rPr>
                <w:rFonts w:eastAsia="Times New Roman" w:cs="Times New Roman"/>
                <w:color w:val="000000"/>
                <w:sz w:val="22"/>
                <w:lang w:eastAsia="lt-LT"/>
              </w:rPr>
              <w:t>z</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-2,20</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-2,74</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-1,39</w:t>
            </w:r>
          </w:p>
        </w:tc>
        <w:tc>
          <w:tcPr>
            <w:tcW w:w="992"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-1,85</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-0,39</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-1,04</w:t>
            </w:r>
          </w:p>
        </w:tc>
        <w:tc>
          <w:tcPr>
            <w:tcW w:w="894"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-1,70</w:t>
            </w:r>
          </w:p>
        </w:tc>
        <w:tc>
          <w:tcPr>
            <w:tcW w:w="83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-0,15</w:t>
            </w:r>
          </w:p>
        </w:tc>
      </w:tr>
      <w:tr w:rsidR="00FC6A12" w:rsidRPr="008A34FF" w:rsidTr="00FC6A12">
        <w:trPr>
          <w:trHeight w:val="331"/>
        </w:trPr>
        <w:tc>
          <w:tcPr>
            <w:tcW w:w="2425" w:type="dxa"/>
            <w:tcBorders>
              <w:top w:val="nil"/>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Dividendų inicijavimas</w:t>
            </w:r>
          </w:p>
        </w:tc>
        <w:tc>
          <w:tcPr>
            <w:tcW w:w="567"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 </w:t>
            </w:r>
          </w:p>
        </w:tc>
        <w:tc>
          <w:tcPr>
            <w:tcW w:w="992"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bCs/>
                <w:color w:val="000000"/>
                <w:lang w:eastAsia="lt-LT"/>
              </w:rPr>
            </w:pPr>
            <w:r w:rsidRPr="008A34FF">
              <w:rPr>
                <w:rFonts w:eastAsia="Times New Roman" w:cs="Times New Roman"/>
                <w:b/>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94"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c>
          <w:tcPr>
            <w:tcW w:w="83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 </w:t>
            </w:r>
          </w:p>
        </w:tc>
      </w:tr>
      <w:tr w:rsidR="00FC6A12" w:rsidRPr="008A34FF" w:rsidTr="00FC6A12">
        <w:trPr>
          <w:trHeight w:val="331"/>
        </w:trPr>
        <w:tc>
          <w:tcPr>
            <w:tcW w:w="2425" w:type="dxa"/>
            <w:tcBorders>
              <w:top w:val="single" w:sz="12" w:space="0" w:color="auto"/>
              <w:left w:val="single" w:sz="12" w:space="0" w:color="auto"/>
              <w:bottom w:val="nil"/>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DY sumažėjimas</w:t>
            </w:r>
          </w:p>
        </w:tc>
        <w:tc>
          <w:tcPr>
            <w:tcW w:w="567" w:type="dxa"/>
            <w:tcBorders>
              <w:top w:val="nil"/>
              <w:left w:val="nil"/>
              <w:bottom w:val="nil"/>
              <w:right w:val="single" w:sz="12" w:space="0" w:color="auto"/>
            </w:tcBorders>
            <w:shd w:val="clear" w:color="auto" w:fill="auto"/>
            <w:noWrap/>
            <w:vAlign w:val="center"/>
            <w:hideMark/>
          </w:tcPr>
          <w:p w:rsidR="00FC6A12" w:rsidRPr="00B40CA6" w:rsidRDefault="00FC6A12" w:rsidP="00FC6A12">
            <w:pPr>
              <w:spacing w:before="0" w:line="240" w:lineRule="auto"/>
              <w:ind w:firstLine="0"/>
              <w:jc w:val="center"/>
              <w:rPr>
                <w:rFonts w:eastAsia="Times New Roman" w:cs="Times New Roman"/>
                <w:color w:val="000000"/>
                <w:vertAlign w:val="superscript"/>
                <w:lang w:eastAsia="lt-LT"/>
              </w:rPr>
            </w:pPr>
            <w:r>
              <w:rPr>
                <w:rFonts w:eastAsia="Times New Roman" w:cs="Times New Roman"/>
                <w:color w:val="000000"/>
                <w:sz w:val="22"/>
                <w:lang w:eastAsia="lt-LT"/>
              </w:rPr>
              <w:t>z</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-2,88</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-3,59</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-2,59</w:t>
            </w:r>
          </w:p>
        </w:tc>
        <w:tc>
          <w:tcPr>
            <w:tcW w:w="992"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-3,70</w:t>
            </w:r>
          </w:p>
        </w:tc>
        <w:tc>
          <w:tcPr>
            <w:tcW w:w="85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-2,59</w:t>
            </w:r>
          </w:p>
        </w:tc>
        <w:tc>
          <w:tcPr>
            <w:tcW w:w="851"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-2,81</w:t>
            </w:r>
          </w:p>
        </w:tc>
        <w:tc>
          <w:tcPr>
            <w:tcW w:w="894"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-3,72</w:t>
            </w:r>
          </w:p>
        </w:tc>
        <w:tc>
          <w:tcPr>
            <w:tcW w:w="830" w:type="dxa"/>
            <w:tcBorders>
              <w:top w:val="nil"/>
              <w:left w:val="nil"/>
              <w:bottom w:val="nil"/>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
                <w:color w:val="000000"/>
                <w:lang w:eastAsia="lt-LT"/>
              </w:rPr>
            </w:pPr>
            <w:r w:rsidRPr="008A34FF">
              <w:rPr>
                <w:rFonts w:eastAsia="Times New Roman" w:cs="Times New Roman"/>
                <w:b/>
                <w:color w:val="000000"/>
                <w:sz w:val="22"/>
                <w:lang w:eastAsia="lt-LT"/>
              </w:rPr>
              <w:t>-3,07</w:t>
            </w:r>
          </w:p>
        </w:tc>
      </w:tr>
      <w:tr w:rsidR="00FC6A12" w:rsidRPr="008A34FF" w:rsidTr="00FC6A12">
        <w:trPr>
          <w:trHeight w:val="331"/>
        </w:trPr>
        <w:tc>
          <w:tcPr>
            <w:tcW w:w="2425" w:type="dxa"/>
            <w:tcBorders>
              <w:top w:val="nil"/>
              <w:left w:val="single" w:sz="12" w:space="0" w:color="auto"/>
              <w:bottom w:val="single" w:sz="12" w:space="0" w:color="auto"/>
              <w:right w:val="single" w:sz="12" w:space="0" w:color="000000"/>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r w:rsidRPr="008A34FF">
              <w:rPr>
                <w:rFonts w:eastAsia="Times New Roman" w:cs="Times New Roman"/>
                <w:color w:val="000000"/>
                <w:sz w:val="22"/>
                <w:lang w:eastAsia="lt-LT"/>
              </w:rPr>
              <w:t>DY padidėjimas</w:t>
            </w:r>
          </w:p>
        </w:tc>
        <w:tc>
          <w:tcPr>
            <w:tcW w:w="567"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color w:val="000000"/>
                <w:lang w:eastAsia="lt-LT"/>
              </w:rPr>
            </w:pP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992"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51"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94"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c>
          <w:tcPr>
            <w:tcW w:w="830" w:type="dxa"/>
            <w:tcBorders>
              <w:top w:val="nil"/>
              <w:left w:val="nil"/>
              <w:bottom w:val="single" w:sz="12" w:space="0" w:color="auto"/>
              <w:right w:val="single" w:sz="12" w:space="0" w:color="auto"/>
            </w:tcBorders>
            <w:shd w:val="clear" w:color="auto" w:fill="auto"/>
            <w:noWrap/>
            <w:vAlign w:val="center"/>
            <w:hideMark/>
          </w:tcPr>
          <w:p w:rsidR="00FC6A12" w:rsidRPr="008A34FF" w:rsidRDefault="00FC6A12" w:rsidP="00FC6A12">
            <w:pPr>
              <w:spacing w:before="0" w:line="240" w:lineRule="auto"/>
              <w:ind w:firstLine="0"/>
              <w:jc w:val="center"/>
              <w:rPr>
                <w:rFonts w:eastAsia="Times New Roman" w:cs="Times New Roman"/>
                <w:bCs/>
                <w:color w:val="000000"/>
                <w:lang w:eastAsia="lt-LT"/>
              </w:rPr>
            </w:pPr>
            <w:r w:rsidRPr="008A34FF">
              <w:rPr>
                <w:rFonts w:eastAsia="Times New Roman" w:cs="Times New Roman"/>
                <w:bCs/>
                <w:color w:val="000000"/>
                <w:sz w:val="22"/>
                <w:lang w:eastAsia="lt-LT"/>
              </w:rPr>
              <w:t>***</w:t>
            </w:r>
          </w:p>
        </w:tc>
      </w:tr>
    </w:tbl>
    <w:p w:rsidR="00FC6A12" w:rsidRPr="002E4F11" w:rsidRDefault="00FC6A12" w:rsidP="00FC6A12">
      <w:pPr>
        <w:spacing w:line="240" w:lineRule="auto"/>
        <w:rPr>
          <w:rFonts w:cs="Times New Roman"/>
          <w:sz w:val="20"/>
          <w:szCs w:val="20"/>
        </w:rPr>
      </w:pPr>
      <w:r w:rsidRPr="001A1564">
        <w:rPr>
          <w:sz w:val="20"/>
          <w:szCs w:val="20"/>
        </w:rPr>
        <w:t xml:space="preserve">Čia: </w:t>
      </w:r>
      <w:r>
        <w:rPr>
          <w:sz w:val="20"/>
          <w:szCs w:val="20"/>
        </w:rPr>
        <w:tab/>
      </w:r>
      <w:r w:rsidRPr="00F12D8B">
        <w:rPr>
          <w:rFonts w:eastAsia="Times New Roman" w:cs="Times New Roman"/>
          <w:b/>
          <w:bCs/>
          <w:color w:val="000000"/>
          <w:sz w:val="20"/>
          <w:szCs w:val="20"/>
          <w:vertAlign w:val="superscript"/>
          <w:lang w:eastAsia="zh-CN"/>
        </w:rPr>
        <w:t>1</w:t>
      </w:r>
      <w:r w:rsidRPr="00F12D8B">
        <w:rPr>
          <w:rFonts w:eastAsia="Times New Roman" w:cs="Times New Roman"/>
          <w:b/>
          <w:bCs/>
          <w:color w:val="000000"/>
          <w:sz w:val="20"/>
          <w:szCs w:val="20"/>
          <w:lang w:eastAsia="zh-CN"/>
        </w:rPr>
        <w:t>z:</w:t>
      </w:r>
      <w:r>
        <w:rPr>
          <w:rFonts w:eastAsia="Times New Roman" w:cs="Times New Roman"/>
          <w:bCs/>
          <w:color w:val="000000"/>
          <w:sz w:val="20"/>
          <w:szCs w:val="20"/>
          <w:lang w:eastAsia="zh-CN"/>
        </w:rPr>
        <w:t xml:space="preserve"> neparametrinis </w:t>
      </w:r>
      <w:r>
        <w:rPr>
          <w:rFonts w:eastAsia="Times New Roman" w:cs="Times New Roman"/>
          <w:bCs/>
          <w:i/>
          <w:color w:val="000000"/>
          <w:sz w:val="20"/>
          <w:szCs w:val="20"/>
          <w:lang w:eastAsia="zh-CN"/>
        </w:rPr>
        <w:t>Wilcoxon</w:t>
      </w:r>
      <w:r>
        <w:rPr>
          <w:rFonts w:eastAsia="Times New Roman" w:cs="Times New Roman"/>
          <w:bCs/>
          <w:color w:val="000000"/>
          <w:sz w:val="20"/>
          <w:szCs w:val="20"/>
          <w:lang w:eastAsia="zh-CN"/>
        </w:rPr>
        <w:t xml:space="preserve"> statistinio reikšmingumo kriterijus skirtumams tarp porinių imčių nustatyti;</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sidRPr="001A1564">
        <w:rPr>
          <w:sz w:val="20"/>
          <w:szCs w:val="20"/>
        </w:rPr>
        <w:t>pelningumų vidurkis</w:t>
      </w:r>
      <w:r>
        <w:rPr>
          <w:sz w:val="20"/>
          <w:szCs w:val="20"/>
        </w:rPr>
        <w:t xml:space="preserve"> tarp dviejų grupių</w:t>
      </w:r>
      <w:r w:rsidRPr="001A1564">
        <w:rPr>
          <w:sz w:val="20"/>
          <w:szCs w:val="20"/>
        </w:rPr>
        <w:t xml:space="preserve"> statistiškai reikšmingai skiriasi</w:t>
      </w:r>
      <w:r>
        <w:rPr>
          <w:sz w:val="20"/>
          <w:szCs w:val="20"/>
        </w:rPr>
        <w:t>,</w:t>
      </w:r>
      <w:r w:rsidRPr="001A1564">
        <w:rPr>
          <w:sz w:val="20"/>
          <w:szCs w:val="20"/>
        </w:rPr>
        <w:t xml:space="preserve"> </w:t>
      </w:r>
      <w:r>
        <w:rPr>
          <w:sz w:val="20"/>
          <w:szCs w:val="20"/>
        </w:rPr>
        <w:t xml:space="preserve">99% </w:t>
      </w:r>
      <w:r w:rsidRPr="00355357">
        <w:rPr>
          <w:sz w:val="20"/>
          <w:szCs w:val="20"/>
        </w:rPr>
        <w:t xml:space="preserve"> </w:t>
      </w:r>
      <w:r>
        <w:rPr>
          <w:sz w:val="20"/>
          <w:szCs w:val="20"/>
        </w:rPr>
        <w:t>tikimybė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w:t>
      </w:r>
      <w:r w:rsidRPr="001A1564">
        <w:rPr>
          <w:sz w:val="20"/>
          <w:szCs w:val="20"/>
        </w:rPr>
        <w:t xml:space="preserve">pelningumų vidurkis </w:t>
      </w:r>
      <w:r>
        <w:rPr>
          <w:sz w:val="20"/>
          <w:szCs w:val="20"/>
        </w:rPr>
        <w:t>tarp dviejų grupių</w:t>
      </w:r>
      <w:r w:rsidRPr="001A1564">
        <w:rPr>
          <w:sz w:val="20"/>
          <w:szCs w:val="20"/>
        </w:rPr>
        <w:t xml:space="preserve"> statistiškai reikšmingai skiriasi</w:t>
      </w:r>
      <w:r>
        <w:rPr>
          <w:sz w:val="20"/>
          <w:szCs w:val="20"/>
        </w:rPr>
        <w:t>,</w:t>
      </w:r>
      <w:r w:rsidRPr="001A1564">
        <w:rPr>
          <w:sz w:val="20"/>
          <w:szCs w:val="20"/>
        </w:rPr>
        <w:t xml:space="preserve"> 95%</w:t>
      </w:r>
      <w:r>
        <w:rPr>
          <w:sz w:val="20"/>
          <w:szCs w:val="20"/>
        </w:rPr>
        <w:t xml:space="preserve"> tikimybė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pelningumų vidurkis </w:t>
      </w:r>
      <w:r>
        <w:rPr>
          <w:sz w:val="20"/>
          <w:szCs w:val="20"/>
        </w:rPr>
        <w:t>tarp dviejų grupių</w:t>
      </w:r>
      <w:r w:rsidRPr="001A1564">
        <w:rPr>
          <w:sz w:val="20"/>
          <w:szCs w:val="20"/>
        </w:rPr>
        <w:t xml:space="preserve"> statistiškai reikšmingai sk</w:t>
      </w:r>
      <w:r>
        <w:rPr>
          <w:sz w:val="20"/>
          <w:szCs w:val="20"/>
        </w:rPr>
        <w:t>iriasi, 90% tikimybė (p</w:t>
      </w:r>
      <w:r w:rsidRPr="001A1564">
        <w:rPr>
          <w:sz w:val="20"/>
          <w:szCs w:val="20"/>
        </w:rPr>
        <w:t xml:space="preserve"> &lt; 0</w:t>
      </w:r>
      <w:r>
        <w:rPr>
          <w:sz w:val="20"/>
          <w:szCs w:val="20"/>
        </w:rPr>
        <w:t>,</w:t>
      </w:r>
      <w:r w:rsidRPr="001A1564">
        <w:rPr>
          <w:sz w:val="20"/>
          <w:szCs w:val="20"/>
        </w:rPr>
        <w:t>10).</w:t>
      </w:r>
    </w:p>
    <w:p w:rsidR="00FC6A12" w:rsidRDefault="00FC6A12" w:rsidP="00FC6A12">
      <w:r>
        <w:t>Kadangi nėra visiškai aišku, kuriais laiko intervalais bendru atveju, kai nėra paisoma ar naujienos bus teigiamos ar ne, investuotojai gali tikėtis didesnių ar mažesnių pelningumų nei visu nagrinėjamu intervalu (nuo t</w:t>
      </w:r>
      <w:r w:rsidRPr="00A45664">
        <w:t xml:space="preserve">=-5 iki t=5), </w:t>
      </w:r>
      <w:r w:rsidRPr="006A3D78">
        <w:t xml:space="preserve">atliktas </w:t>
      </w:r>
      <w:r w:rsidRPr="006A3D78">
        <w:rPr>
          <w:i/>
        </w:rPr>
        <w:t>Wilcoxon testas</w:t>
      </w:r>
      <w:r w:rsidRPr="006A3D78">
        <w:t xml:space="preserve"> porinėms</w:t>
      </w:r>
      <w:r>
        <w:t xml:space="preserve"> ir</w:t>
      </w:r>
      <w:r w:rsidRPr="006A3D78">
        <w:t xml:space="preserve"> susijusioms duomenų imtims palyginti</w:t>
      </w:r>
      <w:r>
        <w:t xml:space="preserve">. Testo rezultatai </w:t>
      </w:r>
      <w:r w:rsidRPr="00E329DE">
        <w:t xml:space="preserve">(žr. </w:t>
      </w:r>
      <w:r w:rsidR="00E329DE" w:rsidRPr="00E329DE">
        <w:t>9 priedą</w:t>
      </w:r>
      <w:r w:rsidRPr="00E329DE">
        <w:t xml:space="preserve">) </w:t>
      </w:r>
      <w:r>
        <w:t>parodė, jog tik intervalais [-5;0] ir [-5;1] galima tikėtis didesnio sudėtinio pelningumo nei per visas 11 prekybos dienų, tuo tarpu investavus intervalais [-3;-1], [1;3] ir [1;5] negalima tikėtis didesnio pelno nei per visą nagrinėjamą laiko tarpą.</w:t>
      </w:r>
    </w:p>
    <w:p w:rsidR="00FC6A12" w:rsidRDefault="00FC6A12" w:rsidP="00FC6A12">
      <w:r>
        <w:t xml:space="preserve">Visgi, norint nustatyti, kuriais intervalais galima uždirbti daugiau, prisiimant kuo mažesnę riziką, papildomai apskaičiuotos </w:t>
      </w:r>
      <w:r w:rsidRPr="000140D2">
        <w:rPr>
          <w:i/>
        </w:rPr>
        <w:t>Sharpe rodiklio</w:t>
      </w:r>
      <w:r>
        <w:t xml:space="preserve"> reikšmės </w:t>
      </w:r>
      <w:r w:rsidRPr="00E329DE">
        <w:t xml:space="preserve">(žr. </w:t>
      </w:r>
      <w:r w:rsidR="00E329DE" w:rsidRPr="00E329DE">
        <w:t>10 priedą</w:t>
      </w:r>
      <w:r w:rsidRPr="00E329DE">
        <w:t>).</w:t>
      </w:r>
      <w:r>
        <w:t xml:space="preserve"> Kadangi laikomasi prielaidos, jog </w:t>
      </w:r>
      <w:r>
        <w:lastRenderedPageBreak/>
        <w:t>investuotoją dominančios akcijos yra būtent dividendinės, kiekvienam naujienų tipui apskaičiuoti vidutiniai pelningumai ir standartiniai nuokrypiai, kur akcijos pelningumas atimamas iš vidutinio pelningumo (neišskiriant naujienų konteksto), bet ne pelningumo, atspindinčio nerizikingą investicijos (t.y. vyriausybės vertybinių popierių)</w:t>
      </w:r>
      <w:r w:rsidRPr="00FE3768">
        <w:t xml:space="preserve"> </w:t>
      </w:r>
      <w:r>
        <w:t xml:space="preserve">grąžą. Gauta reikšmė toliau padalinama iš nagrinėjamos naujienos sugeneruoto pelningumo standartinio nuokrypio atitinkamiems laikotarpiams. </w:t>
      </w:r>
    </w:p>
    <w:p w:rsidR="00FC6A12" w:rsidRDefault="00FC6A12" w:rsidP="00FC6A12">
      <w:r>
        <w:t>Gautos reikšmės parodė, jog ne vien tik [5;0] ir [-5;1] prekybiniuose intervaluose, bet ir [-1;1], [-2;2], prekybos dienomis galima uždirbti didesnį pelną patiriant mažesnę riziką, nei kitais laiko intervalais. Visgi didžiausia grąža su minimalia rizika turėtų būti patiriama prekybos dienomis [-3;1] ir [-3;0]. Toks teiginys galioja tik tuomet, jei iš anksto nežinomas naujienų kontekstas, o kiekvienos naujienos tikimybė yra vienoda – 25</w:t>
      </w:r>
      <w:r w:rsidRPr="00A45664">
        <w:t xml:space="preserve">%. </w:t>
      </w:r>
      <w:r w:rsidRPr="00BF4CCE">
        <w:t xml:space="preserve">Kuomet tikimybės, jog rinkai bus pateiktos teigiamos naujienos ir DY padidės, yra lygi 50,5% (atsižvelgiant </w:t>
      </w:r>
      <w:r>
        <w:t>į naujienų konteksto santykį per pastaruosius 5 metus), kad bus pateiktos neigiamos naujienos ir DY sumažės – 29,29</w:t>
      </w:r>
      <w:r w:rsidRPr="00A45664">
        <w:t xml:space="preserve">%, </w:t>
      </w:r>
      <w:r>
        <w:t xml:space="preserve"> kad dividendai tam tikrais metais bus inicijuojami arba nebeišmokami – 20,2%, tuomet intervaluose [-3;1] ir [-3;0] galima tikėtis didžiausio pelningumo ir kiek mažesnio - [-1;1] ir [0;1].</w:t>
      </w:r>
    </w:p>
    <w:p w:rsidR="00FC6A12" w:rsidRPr="00A76E12" w:rsidRDefault="005A3365" w:rsidP="005A3365">
      <w:pPr>
        <w:spacing w:before="240"/>
      </w:pPr>
      <w:r>
        <w:t>Autoriaus nuomone d</w:t>
      </w:r>
      <w:r w:rsidR="00FC6A12">
        <w:t xml:space="preserve">ividendų pajamingumo (DY) rodiklis laikytinas patikimesniu realų dividendų pokytį apibūdinančiu rodikliu ir </w:t>
      </w:r>
      <w:r w:rsidR="00FC6A12" w:rsidRPr="00807983">
        <w:rPr>
          <w:b/>
          <w:i/>
        </w:rPr>
        <w:t>patvirtina dividendų</w:t>
      </w:r>
      <w:r w:rsidR="00FC6A12" w:rsidRPr="00BF4CCE">
        <w:rPr>
          <w:i/>
        </w:rPr>
        <w:t xml:space="preserve"> </w:t>
      </w:r>
      <w:r w:rsidR="00FC6A12" w:rsidRPr="00807983">
        <w:rPr>
          <w:b/>
          <w:i/>
        </w:rPr>
        <w:t>signalizavimo hipotezę</w:t>
      </w:r>
      <w:r w:rsidR="00FC6A12">
        <w:t>, kuomet DY sumažėjimo atveju pastebimas statistiškai reikšmingas neigiamas, o didėjimo atveju – teigiamas</w:t>
      </w:r>
      <w:r w:rsidR="00FC6A12" w:rsidRPr="00914E04">
        <w:t xml:space="preserve"> </w:t>
      </w:r>
      <w:r w:rsidR="00FC6A12">
        <w:t xml:space="preserve">pelningumų pokytis. Inicijavimą mokėti dividendus investuotojai vertina palankiau nei kitas naujienas, tokių naujienų paskelbimo atveju teigiami kainų pokyčiai yra didžiausi. </w:t>
      </w:r>
      <w:r>
        <w:t>Tyrimo metu pastebėta</w:t>
      </w:r>
      <w:r w:rsidR="00FC6A12">
        <w:t xml:space="preserve">, jog rinka iš anksto neturi informacijos apie dividendų naujienas, todėl </w:t>
      </w:r>
      <w:r>
        <w:rPr>
          <w:b/>
          <w:i/>
        </w:rPr>
        <w:t>informacijos asimetrijos principas</w:t>
      </w:r>
      <w:r w:rsidR="00FC6A12">
        <w:t xml:space="preserve"> Baltijos šalių dividendinių įmonių atveju</w:t>
      </w:r>
      <w:r>
        <w:t xml:space="preserve"> pagrindo neturi</w:t>
      </w:r>
      <w:r w:rsidR="00FC6A12">
        <w:t xml:space="preserve">. Nustatyta, jog nepriklausomai nuo naujienų tipo, mažiausi akcijų pelningumo svyravimai susidaro intervaluose, kur dividendų naujienų paskelbimo diena yra priešpaskutinė arba paskutinė diena intervale. </w:t>
      </w:r>
    </w:p>
    <w:p w:rsidR="00FC6A12" w:rsidRPr="006857BF" w:rsidRDefault="00FC6A12" w:rsidP="00FC6A12">
      <w:r>
        <w:t xml:space="preserve">Hipotezė </w:t>
      </w:r>
      <w:r w:rsidRPr="006857BF">
        <w:rPr>
          <w:i/>
        </w:rPr>
        <w:t>H</w:t>
      </w:r>
      <w:r w:rsidRPr="006857BF">
        <w:rPr>
          <w:i/>
          <w:vertAlign w:val="subscript"/>
        </w:rPr>
        <w:t>0</w:t>
      </w:r>
      <w:r w:rsidRPr="006857BF">
        <w:rPr>
          <w:i/>
        </w:rPr>
        <w:t>: Baltijos šalių įmonių dividendų politika neturi statistiškai reikšmingos įtakos akcijų kainoms dividendų paskelbimo dienomis</w:t>
      </w:r>
      <w:r w:rsidRPr="006857BF">
        <w:t>, remiantis š</w:t>
      </w:r>
      <w:r>
        <w:t>iame</w:t>
      </w:r>
      <w:r w:rsidRPr="006857BF">
        <w:t xml:space="preserve"> poskyr</w:t>
      </w:r>
      <w:r>
        <w:t>yje gautais</w:t>
      </w:r>
      <w:r w:rsidRPr="006857BF">
        <w:t xml:space="preserve"> rezultatais,</w:t>
      </w:r>
      <w:r>
        <w:t xml:space="preserve"> yra</w:t>
      </w:r>
      <w:r>
        <w:rPr>
          <w:i/>
        </w:rPr>
        <w:t xml:space="preserve"> </w:t>
      </w:r>
      <w:r>
        <w:t>atmetama.</w:t>
      </w:r>
    </w:p>
    <w:p w:rsidR="00FC6A12" w:rsidRDefault="00FC6A12" w:rsidP="00B64EEA">
      <w:pPr>
        <w:pStyle w:val="Heading2"/>
        <w:numPr>
          <w:ilvl w:val="0"/>
          <w:numId w:val="25"/>
        </w:numPr>
      </w:pPr>
      <w:bookmarkStart w:id="113" w:name="_Toc343677762"/>
      <w:r>
        <w:t>Dividendinio investavimo modelio empirinis vertinimas</w:t>
      </w:r>
      <w:bookmarkEnd w:id="113"/>
    </w:p>
    <w:p w:rsidR="00FC6A12" w:rsidRDefault="00FC6A12" w:rsidP="00FC6A12">
      <w:r w:rsidRPr="00A53B61">
        <w:t xml:space="preserve">Paskutinėje empirinio tyrimo dalyje analizuojamos ir vertinamos šio darbo metodologinėse nuostatose pateikto dividendinės strategijos modelio praktinės pritaikymo galimybės </w:t>
      </w:r>
      <w:r w:rsidRPr="00A53B61">
        <w:rPr>
          <w:i/>
        </w:rPr>
        <w:t>Nasdaq OMX Baltic</w:t>
      </w:r>
      <w:r w:rsidRPr="00A53B61">
        <w:t xml:space="preserve"> akcijų biržoje, atsižvelgiant į rezultatus, gautus šio</w:t>
      </w:r>
      <w:r>
        <w:t xml:space="preserve"> skyriaus</w:t>
      </w:r>
      <w:r w:rsidRPr="00A53B61">
        <w:t xml:space="preserve"> </w:t>
      </w:r>
      <w:r w:rsidR="00EC7800" w:rsidRPr="00A53B61">
        <w:fldChar w:fldCharType="begin"/>
      </w:r>
      <w:r w:rsidRPr="00A53B61">
        <w:instrText xml:space="preserve"> REF _Ref342642134 \r \h </w:instrText>
      </w:r>
      <w:r w:rsidR="00EC7800" w:rsidRPr="00A53B61">
        <w:fldChar w:fldCharType="separate"/>
      </w:r>
      <w:r w:rsidR="0009577F">
        <w:t>3.2</w:t>
      </w:r>
      <w:r w:rsidR="00EC7800" w:rsidRPr="00A53B61">
        <w:fldChar w:fldCharType="end"/>
      </w:r>
      <w:r w:rsidRPr="00A53B61">
        <w:t xml:space="preserve"> </w:t>
      </w:r>
      <w:r>
        <w:t>dalyje.</w:t>
      </w:r>
    </w:p>
    <w:p w:rsidR="00FC6A12" w:rsidRDefault="00FC6A12" w:rsidP="00FC6A12">
      <w:pPr>
        <w:rPr>
          <w:color w:val="FF0000"/>
        </w:rPr>
      </w:pPr>
      <w:r>
        <w:t xml:space="preserve">Visų pirma, tam, kad apskaičiuoti tyrimui parinktus rodiklius, buvo surinkti fundamentiniai įmonių </w:t>
      </w:r>
      <w:r w:rsidRPr="00E329DE">
        <w:t xml:space="preserve">duomenys (žr. </w:t>
      </w:r>
      <w:r w:rsidR="00E329DE" w:rsidRPr="00E329DE">
        <w:t>11 priedą</w:t>
      </w:r>
      <w:r w:rsidRPr="00E329DE">
        <w:t>).</w:t>
      </w:r>
      <w:r w:rsidRPr="00A53B61">
        <w:t xml:space="preserve"> </w:t>
      </w:r>
      <w:r>
        <w:t xml:space="preserve">Pateikiami aprašomosios statistikos duomenys (žr. </w:t>
      </w:r>
      <w:r w:rsidR="00707DF4">
        <w:t>20 lent.</w:t>
      </w:r>
      <w:r>
        <w:t xml:space="preserve">) atspindi </w:t>
      </w:r>
      <w:r>
        <w:lastRenderedPageBreak/>
        <w:t>analizuojamų rodiklių minimalias ir maksimalias reikšmes, vidurkį, standartinį nuokrypį, taip pat asimetrijos bei eksceso koeficientus.</w:t>
      </w:r>
    </w:p>
    <w:p w:rsidR="00FC6A12" w:rsidRPr="00A53B61" w:rsidRDefault="00BC05AE" w:rsidP="00BC05AE">
      <w:pPr>
        <w:pStyle w:val="Caption"/>
        <w:ind w:left="993" w:hanging="993"/>
      </w:pPr>
      <w:bookmarkStart w:id="114" w:name="_Ref342642478"/>
      <w:r>
        <w:t xml:space="preserve"> </w:t>
      </w:r>
      <w:bookmarkStart w:id="115" w:name="_Toc343677838"/>
      <w:r w:rsidR="00FC6A12">
        <w:t>Apskaičiuotų dividendinio modelio rodiklių aprašomoji statistika</w:t>
      </w:r>
      <w:bookmarkEnd w:id="114"/>
      <w:bookmarkEnd w:id="115"/>
    </w:p>
    <w:tbl>
      <w:tblPr>
        <w:tblW w:w="993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000"/>
        <w:gridCol w:w="1276"/>
        <w:gridCol w:w="992"/>
        <w:gridCol w:w="1134"/>
        <w:gridCol w:w="1134"/>
        <w:gridCol w:w="1417"/>
        <w:gridCol w:w="993"/>
        <w:gridCol w:w="992"/>
      </w:tblGrid>
      <w:tr w:rsidR="00FC6A12" w:rsidRPr="003067E9" w:rsidTr="00FC6A12">
        <w:trPr>
          <w:trHeight w:val="633"/>
        </w:trPr>
        <w:tc>
          <w:tcPr>
            <w:tcW w:w="2000" w:type="dxa"/>
            <w:vAlign w:val="center"/>
          </w:tcPr>
          <w:p w:rsidR="00FC6A12" w:rsidRPr="003067E9"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Kintamasis</w:t>
            </w:r>
          </w:p>
        </w:tc>
        <w:tc>
          <w:tcPr>
            <w:tcW w:w="1276" w:type="dxa"/>
            <w:shd w:val="clear" w:color="auto" w:fill="auto"/>
            <w:noWrap/>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Trumpinys</w:t>
            </w:r>
          </w:p>
        </w:tc>
        <w:tc>
          <w:tcPr>
            <w:tcW w:w="992" w:type="dxa"/>
            <w:shd w:val="clear" w:color="auto" w:fill="auto"/>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sidRPr="003067E9">
              <w:rPr>
                <w:rFonts w:eastAsia="Times New Roman" w:cs="Times New Roman"/>
                <w:b/>
                <w:bCs/>
                <w:color w:val="000000"/>
                <w:sz w:val="22"/>
                <w:lang w:eastAsia="lt-LT"/>
              </w:rPr>
              <w:t>Min. reikšmė</w:t>
            </w:r>
          </w:p>
        </w:tc>
        <w:tc>
          <w:tcPr>
            <w:tcW w:w="1134" w:type="dxa"/>
            <w:shd w:val="clear" w:color="auto" w:fill="auto"/>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sidRPr="003067E9">
              <w:rPr>
                <w:rFonts w:eastAsia="Times New Roman" w:cs="Times New Roman"/>
                <w:b/>
                <w:bCs/>
                <w:color w:val="000000"/>
                <w:sz w:val="22"/>
                <w:lang w:eastAsia="lt-LT"/>
              </w:rPr>
              <w:t>Maks. Reikšmė</w:t>
            </w:r>
          </w:p>
        </w:tc>
        <w:tc>
          <w:tcPr>
            <w:tcW w:w="1134" w:type="dxa"/>
            <w:shd w:val="clear" w:color="auto" w:fill="auto"/>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sidRPr="003067E9">
              <w:rPr>
                <w:rFonts w:eastAsia="Times New Roman" w:cs="Times New Roman"/>
                <w:b/>
                <w:bCs/>
                <w:color w:val="000000"/>
                <w:sz w:val="22"/>
                <w:lang w:eastAsia="lt-LT"/>
              </w:rPr>
              <w:t>Vidurkis</w:t>
            </w:r>
          </w:p>
        </w:tc>
        <w:tc>
          <w:tcPr>
            <w:tcW w:w="1417" w:type="dxa"/>
            <w:shd w:val="clear" w:color="auto" w:fill="auto"/>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sidRPr="003067E9">
              <w:rPr>
                <w:rFonts w:eastAsia="Times New Roman" w:cs="Times New Roman"/>
                <w:b/>
                <w:bCs/>
                <w:color w:val="000000"/>
                <w:sz w:val="22"/>
                <w:lang w:eastAsia="lt-LT"/>
              </w:rPr>
              <w:t>Standartinis nuokrypis</w:t>
            </w:r>
          </w:p>
        </w:tc>
        <w:tc>
          <w:tcPr>
            <w:tcW w:w="993" w:type="dxa"/>
            <w:shd w:val="clear" w:color="auto" w:fill="auto"/>
            <w:vAlign w:val="center"/>
            <w:hideMark/>
          </w:tcPr>
          <w:p w:rsidR="00FC6A12" w:rsidRPr="00B40CA6" w:rsidRDefault="00FC6A12" w:rsidP="00FC6A12">
            <w:pPr>
              <w:spacing w:before="0" w:line="240" w:lineRule="auto"/>
              <w:ind w:firstLine="0"/>
              <w:jc w:val="center"/>
              <w:rPr>
                <w:rFonts w:eastAsia="Times New Roman" w:cs="Times New Roman"/>
                <w:b/>
                <w:bCs/>
                <w:color w:val="000000"/>
                <w:vertAlign w:val="superscript"/>
                <w:lang w:eastAsia="lt-LT"/>
              </w:rPr>
            </w:pPr>
            <w:r>
              <w:rPr>
                <w:rFonts w:eastAsia="Times New Roman" w:cs="Times New Roman"/>
                <w:b/>
                <w:bCs/>
                <w:color w:val="000000"/>
                <w:sz w:val="22"/>
                <w:lang w:eastAsia="lt-LT"/>
              </w:rPr>
              <w:t>Asim.</w:t>
            </w:r>
            <w:r>
              <w:rPr>
                <w:rFonts w:eastAsia="Times New Roman" w:cs="Times New Roman"/>
                <w:b/>
                <w:bCs/>
                <w:color w:val="000000"/>
                <w:sz w:val="22"/>
                <w:vertAlign w:val="superscript"/>
                <w:lang w:eastAsia="lt-LT"/>
              </w:rPr>
              <w:t>1</w:t>
            </w:r>
          </w:p>
        </w:tc>
        <w:tc>
          <w:tcPr>
            <w:tcW w:w="992" w:type="dxa"/>
            <w:shd w:val="clear" w:color="auto" w:fill="auto"/>
            <w:vAlign w:val="center"/>
            <w:hideMark/>
          </w:tcPr>
          <w:p w:rsidR="00FC6A12" w:rsidRPr="003067E9" w:rsidRDefault="00FC6A12" w:rsidP="00FC6A12">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Eksc.</w:t>
            </w:r>
            <w:r>
              <w:rPr>
                <w:rFonts w:eastAsia="Times New Roman" w:cs="Times New Roman"/>
                <w:b/>
                <w:bCs/>
                <w:color w:val="000000"/>
                <w:sz w:val="22"/>
                <w:vertAlign w:val="superscript"/>
                <w:lang w:eastAsia="lt-LT"/>
              </w:rPr>
              <w:t>2</w:t>
            </w:r>
          </w:p>
        </w:tc>
      </w:tr>
      <w:tr w:rsidR="00FC6A12" w:rsidRPr="003067E9" w:rsidTr="00FC6A12">
        <w:trPr>
          <w:trHeight w:val="316"/>
        </w:trPr>
        <w:tc>
          <w:tcPr>
            <w:tcW w:w="2000" w:type="dxa"/>
            <w:vAlign w:val="center"/>
          </w:tcPr>
          <w:p w:rsidR="00FC6A12" w:rsidRPr="003067E9" w:rsidRDefault="00FC6A12" w:rsidP="00FC6A12">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Dividendų pajamingumas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DY</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0,400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0,055</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0,054</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3,157</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16,713</w:t>
            </w:r>
          </w:p>
        </w:tc>
      </w:tr>
      <w:tr w:rsidR="00FC6A12" w:rsidRPr="003067E9" w:rsidTr="00FC6A12">
        <w:trPr>
          <w:trHeight w:val="316"/>
        </w:trPr>
        <w:tc>
          <w:tcPr>
            <w:tcW w:w="2000" w:type="dxa"/>
            <w:vAlign w:val="center"/>
          </w:tcPr>
          <w:p w:rsidR="00FC6A12" w:rsidRPr="003067E9" w:rsidRDefault="00FC6A12" w:rsidP="00FC6A12">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Dividendų išmokėjimo rodiklis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DP</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-3,120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3,100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0,420</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0,679</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-1,039</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9,292</w:t>
            </w:r>
          </w:p>
        </w:tc>
      </w:tr>
      <w:tr w:rsidR="00FC6A12" w:rsidRPr="003067E9" w:rsidTr="00FC6A12">
        <w:trPr>
          <w:trHeight w:val="316"/>
        </w:trPr>
        <w:tc>
          <w:tcPr>
            <w:tcW w:w="2000" w:type="dxa"/>
            <w:vAlign w:val="center"/>
          </w:tcPr>
          <w:p w:rsidR="00FC6A12" w:rsidRDefault="00FC6A12"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Įmonės dydžio rodiklis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Pr>
                <w:rFonts w:eastAsia="Times New Roman" w:cs="Times New Roman"/>
                <w:i/>
                <w:color w:val="000000"/>
                <w:szCs w:val="24"/>
                <w:lang w:eastAsia="lt-LT"/>
              </w:rPr>
              <w:t>lnTUR</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0,210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7,380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4,277</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1,670</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-0,964</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0,901</w:t>
            </w:r>
          </w:p>
        </w:tc>
      </w:tr>
      <w:tr w:rsidR="00FC6A12" w:rsidRPr="003067E9" w:rsidTr="00FC6A12">
        <w:trPr>
          <w:trHeight w:val="316"/>
        </w:trPr>
        <w:tc>
          <w:tcPr>
            <w:tcW w:w="2000" w:type="dxa"/>
            <w:vAlign w:val="center"/>
          </w:tcPr>
          <w:p w:rsidR="00FC6A12" w:rsidRDefault="00FC6A12"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Nepaskirstyto p</w:t>
            </w:r>
            <w:r w:rsidR="005A3365">
              <w:rPr>
                <w:rFonts w:eastAsia="Times New Roman" w:cs="Times New Roman"/>
                <w:color w:val="000000"/>
                <w:szCs w:val="24"/>
                <w:lang w:eastAsia="lt-LT"/>
              </w:rPr>
              <w:t>elno – akcinio kapitalo santykis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RETE</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0,900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0,333</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0,214</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0,670</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0,275</w:t>
            </w:r>
          </w:p>
        </w:tc>
      </w:tr>
      <w:tr w:rsidR="00FC6A12" w:rsidRPr="003067E9" w:rsidTr="00FC6A12">
        <w:trPr>
          <w:trHeight w:val="316"/>
        </w:trPr>
        <w:tc>
          <w:tcPr>
            <w:tcW w:w="2000" w:type="dxa"/>
            <w:vAlign w:val="center"/>
          </w:tcPr>
          <w:p w:rsidR="00FC6A12" w:rsidRPr="008E3CF0" w:rsidRDefault="00FC6A12" w:rsidP="005A3365">
            <w:pPr>
              <w:spacing w:before="0" w:line="240" w:lineRule="auto"/>
              <w:ind w:firstLine="0"/>
              <w:jc w:val="center"/>
              <w:rPr>
                <w:rFonts w:eastAsia="Times New Roman" w:cs="Times New Roman"/>
                <w:szCs w:val="24"/>
                <w:lang w:eastAsia="lt-LT"/>
              </w:rPr>
            </w:pPr>
            <w:r w:rsidRPr="008E3CF0">
              <w:rPr>
                <w:rFonts w:eastAsia="Times New Roman" w:cs="Times New Roman"/>
                <w:szCs w:val="24"/>
                <w:lang w:eastAsia="lt-LT"/>
              </w:rPr>
              <w:t xml:space="preserve">Nepaskirstyto pelno </w:t>
            </w:r>
            <w:r w:rsidR="005A3365">
              <w:rPr>
                <w:rFonts w:eastAsia="Times New Roman" w:cs="Times New Roman"/>
                <w:szCs w:val="24"/>
                <w:lang w:eastAsia="lt-LT"/>
              </w:rPr>
              <w:t>rodiklis</w:t>
            </w:r>
          </w:p>
        </w:tc>
        <w:tc>
          <w:tcPr>
            <w:tcW w:w="1276" w:type="dxa"/>
            <w:shd w:val="clear" w:color="auto" w:fill="auto"/>
            <w:noWrap/>
            <w:vAlign w:val="center"/>
            <w:hideMark/>
          </w:tcPr>
          <w:p w:rsidR="00FC6A12" w:rsidRPr="008E3CF0" w:rsidRDefault="00FC6A12" w:rsidP="00FC6A12">
            <w:pPr>
              <w:spacing w:before="0" w:line="240" w:lineRule="auto"/>
              <w:ind w:firstLine="0"/>
              <w:jc w:val="center"/>
              <w:rPr>
                <w:rFonts w:eastAsia="Times New Roman" w:cs="Times New Roman"/>
                <w:i/>
                <w:szCs w:val="24"/>
                <w:lang w:eastAsia="lt-LT"/>
              </w:rPr>
            </w:pPr>
            <w:r w:rsidRPr="008E3CF0">
              <w:rPr>
                <w:rFonts w:eastAsia="Times New Roman" w:cs="Times New Roman"/>
                <w:i/>
                <w:szCs w:val="24"/>
                <w:lang w:eastAsia="lt-LT"/>
              </w:rPr>
              <w:t>RR</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1,000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0,439</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0,354</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0,042</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-1,528</w:t>
            </w:r>
          </w:p>
        </w:tc>
      </w:tr>
      <w:tr w:rsidR="00FC6A12" w:rsidRPr="003067E9" w:rsidTr="00FC6A12">
        <w:trPr>
          <w:trHeight w:val="619"/>
        </w:trPr>
        <w:tc>
          <w:tcPr>
            <w:tcW w:w="2000" w:type="dxa"/>
            <w:vAlign w:val="center"/>
          </w:tcPr>
          <w:p w:rsidR="00FC6A12" w:rsidRPr="003067E9" w:rsidRDefault="00BC05AE"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EBI</w:t>
            </w:r>
            <w:r w:rsidR="00FC6A12" w:rsidRPr="003067E9">
              <w:rPr>
                <w:rFonts w:eastAsia="Times New Roman" w:cs="Times New Roman"/>
                <w:color w:val="000000"/>
                <w:szCs w:val="24"/>
                <w:lang w:eastAsia="lt-LT"/>
              </w:rPr>
              <w:t>T</w:t>
            </w:r>
            <w:r>
              <w:rPr>
                <w:rFonts w:eastAsia="Times New Roman" w:cs="Times New Roman"/>
                <w:color w:val="000000"/>
                <w:szCs w:val="24"/>
                <w:lang w:eastAsia="lt-LT"/>
              </w:rPr>
              <w:t>D</w:t>
            </w:r>
            <w:r w:rsidR="00FC6A12" w:rsidRPr="003067E9">
              <w:rPr>
                <w:rFonts w:eastAsia="Times New Roman" w:cs="Times New Roman"/>
                <w:color w:val="000000"/>
                <w:szCs w:val="24"/>
                <w:lang w:eastAsia="lt-LT"/>
              </w:rPr>
              <w:t>A pokytis</w:t>
            </w:r>
          </w:p>
        </w:tc>
        <w:tc>
          <w:tcPr>
            <w:tcW w:w="1276" w:type="dxa"/>
            <w:shd w:val="clear" w:color="auto" w:fill="auto"/>
            <w:noWrap/>
            <w:vAlign w:val="center"/>
            <w:hideMark/>
          </w:tcPr>
          <w:p w:rsidR="00FC6A12" w:rsidRPr="003A618C" w:rsidRDefault="00BC05AE" w:rsidP="00FC6A12">
            <w:pPr>
              <w:spacing w:before="0" w:line="240" w:lineRule="auto"/>
              <w:ind w:firstLine="0"/>
              <w:jc w:val="center"/>
              <w:rPr>
                <w:rFonts w:eastAsia="Times New Roman" w:cs="Times New Roman"/>
                <w:i/>
                <w:color w:val="000000"/>
                <w:szCs w:val="24"/>
                <w:lang w:eastAsia="lt-LT"/>
              </w:rPr>
            </w:pPr>
            <w:r>
              <w:rPr>
                <w:rFonts w:eastAsia="Times New Roman" w:cs="Times New Roman"/>
                <w:i/>
                <w:color w:val="000000"/>
                <w:szCs w:val="24"/>
                <w:lang w:eastAsia="lt-LT"/>
              </w:rPr>
              <w:t>∆EBI</w:t>
            </w:r>
            <w:r w:rsidR="00FC6A12" w:rsidRPr="003A618C">
              <w:rPr>
                <w:rFonts w:eastAsia="Times New Roman" w:cs="Times New Roman"/>
                <w:i/>
                <w:color w:val="000000"/>
                <w:szCs w:val="24"/>
                <w:lang w:eastAsia="lt-LT"/>
              </w:rPr>
              <w:t>T</w:t>
            </w:r>
            <w:r>
              <w:rPr>
                <w:rFonts w:eastAsia="Times New Roman" w:cs="Times New Roman"/>
                <w:i/>
                <w:color w:val="000000"/>
                <w:szCs w:val="24"/>
                <w:lang w:eastAsia="lt-LT"/>
              </w:rPr>
              <w:t>D</w:t>
            </w:r>
            <w:r w:rsidR="00FC6A12" w:rsidRPr="003A618C">
              <w:rPr>
                <w:rFonts w:eastAsia="Times New Roman" w:cs="Times New Roman"/>
                <w:i/>
                <w:color w:val="000000"/>
                <w:szCs w:val="24"/>
                <w:lang w:eastAsia="lt-LT"/>
              </w:rPr>
              <w:t>A</w:t>
            </w:r>
          </w:p>
        </w:tc>
        <w:tc>
          <w:tcPr>
            <w:tcW w:w="992"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-5,024</w:t>
            </w:r>
          </w:p>
        </w:tc>
        <w:tc>
          <w:tcPr>
            <w:tcW w:w="1134"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16,176</w:t>
            </w:r>
          </w:p>
        </w:tc>
        <w:tc>
          <w:tcPr>
            <w:tcW w:w="1134"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0,450</w:t>
            </w:r>
          </w:p>
        </w:tc>
        <w:tc>
          <w:tcPr>
            <w:tcW w:w="1417"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2,214</w:t>
            </w:r>
          </w:p>
        </w:tc>
        <w:tc>
          <w:tcPr>
            <w:tcW w:w="993"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4,328</w:t>
            </w:r>
          </w:p>
        </w:tc>
        <w:tc>
          <w:tcPr>
            <w:tcW w:w="992" w:type="dxa"/>
            <w:shd w:val="clear" w:color="auto" w:fill="auto"/>
            <w:vAlign w:val="bottom"/>
            <w:hideMark/>
          </w:tcPr>
          <w:p w:rsidR="00FC6A12" w:rsidRPr="007B12AC" w:rsidRDefault="00FC6A12" w:rsidP="00FC6A12">
            <w:pPr>
              <w:ind w:firstLine="0"/>
              <w:jc w:val="center"/>
              <w:rPr>
                <w:rFonts w:cs="Times New Roman"/>
                <w:color w:val="000000"/>
                <w:szCs w:val="24"/>
              </w:rPr>
            </w:pPr>
            <w:r w:rsidRPr="007B12AC">
              <w:rPr>
                <w:rFonts w:cs="Times New Roman"/>
                <w:color w:val="000000"/>
                <w:szCs w:val="24"/>
              </w:rPr>
              <w:t>28,028</w:t>
            </w:r>
          </w:p>
        </w:tc>
      </w:tr>
      <w:tr w:rsidR="00FC6A12" w:rsidRPr="003067E9" w:rsidTr="00FC6A12">
        <w:trPr>
          <w:trHeight w:val="316"/>
        </w:trPr>
        <w:tc>
          <w:tcPr>
            <w:tcW w:w="2000" w:type="dxa"/>
            <w:vAlign w:val="center"/>
          </w:tcPr>
          <w:p w:rsidR="00FC6A12" w:rsidRDefault="00FC6A12"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Nuosavo kapitalo grąža</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ROE</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-0,374</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0,412</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0,108</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0,122</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-0,489</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2,340</w:t>
            </w:r>
          </w:p>
        </w:tc>
      </w:tr>
      <w:tr w:rsidR="00FC6A12" w:rsidRPr="003067E9" w:rsidTr="00FC6A12">
        <w:trPr>
          <w:trHeight w:val="316"/>
        </w:trPr>
        <w:tc>
          <w:tcPr>
            <w:tcW w:w="2000" w:type="dxa"/>
            <w:vAlign w:val="center"/>
          </w:tcPr>
          <w:p w:rsidR="00FC6A12" w:rsidRPr="003067E9" w:rsidRDefault="00FC6A12" w:rsidP="00FC6A12">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Bendrasis likvidumo koeficientas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CR</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0,530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12,190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2,835</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2,607</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1,817</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2,704</w:t>
            </w:r>
          </w:p>
        </w:tc>
      </w:tr>
      <w:tr w:rsidR="00FC6A12" w:rsidRPr="003067E9" w:rsidTr="00FC6A12">
        <w:trPr>
          <w:trHeight w:val="521"/>
        </w:trPr>
        <w:tc>
          <w:tcPr>
            <w:tcW w:w="2000" w:type="dxa"/>
            <w:vAlign w:val="center"/>
          </w:tcPr>
          <w:p w:rsidR="00FC6A12" w:rsidRPr="003067E9" w:rsidRDefault="005A3365"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Skolos -nuosavybės santykis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D/E</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0,040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3,330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0,737</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0,659</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1,531</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3,247</w:t>
            </w:r>
          </w:p>
        </w:tc>
      </w:tr>
      <w:tr w:rsidR="00FC6A12" w:rsidRPr="003067E9" w:rsidTr="00FC6A12">
        <w:trPr>
          <w:trHeight w:val="316"/>
        </w:trPr>
        <w:tc>
          <w:tcPr>
            <w:tcW w:w="2000" w:type="dxa"/>
            <w:vAlign w:val="center"/>
          </w:tcPr>
          <w:p w:rsidR="00FC6A12" w:rsidRPr="003067E9" w:rsidRDefault="00FC6A12" w:rsidP="00FC6A12">
            <w:pPr>
              <w:spacing w:before="0" w:line="240" w:lineRule="auto"/>
              <w:ind w:firstLine="0"/>
              <w:jc w:val="center"/>
              <w:rPr>
                <w:rFonts w:eastAsia="Times New Roman" w:cs="Times New Roman"/>
                <w:color w:val="000000"/>
                <w:szCs w:val="24"/>
                <w:lang w:eastAsia="lt-LT"/>
              </w:rPr>
            </w:pPr>
            <w:r w:rsidRPr="003067E9">
              <w:rPr>
                <w:rFonts w:eastAsia="Times New Roman" w:cs="Times New Roman"/>
                <w:color w:val="000000"/>
                <w:szCs w:val="24"/>
                <w:lang w:eastAsia="lt-LT"/>
              </w:rPr>
              <w:t>Tikrosios vertės koeficientas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M/B</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0,200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5,780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1,266</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0,934</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2,020</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6,169</w:t>
            </w:r>
          </w:p>
        </w:tc>
      </w:tr>
      <w:tr w:rsidR="00FC6A12" w:rsidRPr="003067E9" w:rsidTr="00FC6A12">
        <w:trPr>
          <w:trHeight w:val="316"/>
        </w:trPr>
        <w:tc>
          <w:tcPr>
            <w:tcW w:w="2000" w:type="dxa"/>
            <w:vAlign w:val="center"/>
          </w:tcPr>
          <w:p w:rsidR="00FC6A12" w:rsidRDefault="00FC6A12" w:rsidP="00FC6A12">
            <w:pPr>
              <w:spacing w:before="0" w:line="240" w:lineRule="auto"/>
              <w:ind w:firstLine="0"/>
              <w:jc w:val="center"/>
              <w:rPr>
                <w:rFonts w:eastAsia="Times New Roman" w:cs="Times New Roman"/>
                <w:color w:val="000000"/>
                <w:szCs w:val="24"/>
                <w:lang w:eastAsia="lt-LT"/>
              </w:rPr>
            </w:pPr>
            <w:r>
              <w:rPr>
                <w:rFonts w:eastAsia="Times New Roman" w:cs="Times New Roman"/>
                <w:color w:val="000000"/>
                <w:szCs w:val="24"/>
                <w:lang w:eastAsia="lt-LT"/>
              </w:rPr>
              <w:t>Apyvartumo rodiklis</w:t>
            </w:r>
          </w:p>
        </w:tc>
        <w:tc>
          <w:tcPr>
            <w:tcW w:w="1276" w:type="dxa"/>
            <w:shd w:val="clear" w:color="auto" w:fill="auto"/>
            <w:noWrap/>
            <w:vAlign w:val="center"/>
            <w:hideMark/>
          </w:tcPr>
          <w:p w:rsidR="00FC6A12" w:rsidRPr="003A618C" w:rsidRDefault="00FC6A12" w:rsidP="00FC6A12">
            <w:pPr>
              <w:spacing w:before="0" w:line="240" w:lineRule="auto"/>
              <w:ind w:firstLine="0"/>
              <w:jc w:val="center"/>
              <w:rPr>
                <w:rFonts w:eastAsia="Times New Roman" w:cs="Times New Roman"/>
                <w:i/>
                <w:color w:val="000000"/>
                <w:szCs w:val="24"/>
                <w:lang w:eastAsia="lt-LT"/>
              </w:rPr>
            </w:pPr>
            <w:r w:rsidRPr="003A618C">
              <w:rPr>
                <w:rFonts w:eastAsia="Times New Roman" w:cs="Times New Roman"/>
                <w:i/>
                <w:color w:val="000000"/>
                <w:szCs w:val="24"/>
                <w:lang w:eastAsia="lt-LT"/>
              </w:rPr>
              <w:t>lnAPYV</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-4,720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4,980</w:t>
            </w:r>
          </w:p>
        </w:tc>
        <w:tc>
          <w:tcPr>
            <w:tcW w:w="1134"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1,439</w:t>
            </w:r>
          </w:p>
        </w:tc>
        <w:tc>
          <w:tcPr>
            <w:tcW w:w="1417"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2,193</w:t>
            </w:r>
          </w:p>
        </w:tc>
        <w:tc>
          <w:tcPr>
            <w:tcW w:w="993"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-0,919</w:t>
            </w:r>
          </w:p>
        </w:tc>
        <w:tc>
          <w:tcPr>
            <w:tcW w:w="992" w:type="dxa"/>
            <w:shd w:val="clear" w:color="auto" w:fill="auto"/>
            <w:vAlign w:val="center"/>
            <w:hideMark/>
          </w:tcPr>
          <w:p w:rsidR="00FC6A12" w:rsidRPr="008E3CF0" w:rsidRDefault="00FC6A12" w:rsidP="00FC6A12">
            <w:pPr>
              <w:spacing w:before="100" w:beforeAutospacing="1" w:after="100" w:afterAutospacing="1" w:line="240" w:lineRule="auto"/>
              <w:ind w:firstLine="0"/>
              <w:jc w:val="center"/>
              <w:rPr>
                <w:rFonts w:cs="Times New Roman"/>
                <w:color w:val="000000"/>
                <w:szCs w:val="24"/>
              </w:rPr>
            </w:pPr>
            <w:r w:rsidRPr="008E3CF0">
              <w:rPr>
                <w:rFonts w:cs="Times New Roman"/>
                <w:color w:val="000000"/>
                <w:szCs w:val="24"/>
              </w:rPr>
              <w:t>0,739</w:t>
            </w:r>
          </w:p>
        </w:tc>
      </w:tr>
    </w:tbl>
    <w:p w:rsidR="00FC6A12" w:rsidRPr="00AB6D9B" w:rsidRDefault="00FC6A12" w:rsidP="00FC6A12">
      <w:pPr>
        <w:spacing w:line="240" w:lineRule="auto"/>
        <w:rPr>
          <w:sz w:val="20"/>
          <w:szCs w:val="20"/>
        </w:rPr>
      </w:pPr>
      <w:r w:rsidRPr="00AB6D9B">
        <w:rPr>
          <w:sz w:val="20"/>
          <w:szCs w:val="20"/>
        </w:rPr>
        <w:t xml:space="preserve">Čia: </w:t>
      </w:r>
      <w:r>
        <w:rPr>
          <w:sz w:val="20"/>
          <w:szCs w:val="20"/>
        </w:rPr>
        <w:tab/>
      </w:r>
      <w:r>
        <w:rPr>
          <w:sz w:val="20"/>
          <w:szCs w:val="20"/>
          <w:vertAlign w:val="superscript"/>
        </w:rPr>
        <w:t>1</w:t>
      </w:r>
      <w:r>
        <w:rPr>
          <w:sz w:val="20"/>
          <w:szCs w:val="20"/>
        </w:rPr>
        <w:t>Asim</w:t>
      </w:r>
      <w:r w:rsidRPr="00AB6D9B">
        <w:rPr>
          <w:sz w:val="20"/>
          <w:szCs w:val="20"/>
        </w:rPr>
        <w:t>. – asimetri</w:t>
      </w:r>
      <w:r>
        <w:rPr>
          <w:sz w:val="20"/>
          <w:szCs w:val="20"/>
        </w:rPr>
        <w:t>jos koeficientas</w:t>
      </w:r>
      <w:r w:rsidRPr="00AB6D9B">
        <w:rPr>
          <w:sz w:val="20"/>
          <w:szCs w:val="20"/>
        </w:rPr>
        <w:t xml:space="preserve"> (angl. skewness)</w:t>
      </w:r>
    </w:p>
    <w:p w:rsidR="00FC6A12" w:rsidRPr="00AB6D9B" w:rsidRDefault="00FC6A12" w:rsidP="00FC6A12">
      <w:pPr>
        <w:spacing w:before="0" w:line="240" w:lineRule="auto"/>
        <w:rPr>
          <w:sz w:val="20"/>
          <w:szCs w:val="20"/>
        </w:rPr>
      </w:pPr>
      <w:r w:rsidRPr="00AB6D9B">
        <w:rPr>
          <w:sz w:val="20"/>
          <w:szCs w:val="20"/>
        </w:rPr>
        <w:tab/>
      </w:r>
      <w:r>
        <w:rPr>
          <w:sz w:val="20"/>
          <w:szCs w:val="20"/>
          <w:vertAlign w:val="superscript"/>
        </w:rPr>
        <w:t>2</w:t>
      </w:r>
      <w:r w:rsidRPr="00AB6D9B">
        <w:rPr>
          <w:sz w:val="20"/>
          <w:szCs w:val="20"/>
        </w:rPr>
        <w:t>Eksc. – eksces</w:t>
      </w:r>
      <w:r>
        <w:rPr>
          <w:sz w:val="20"/>
          <w:szCs w:val="20"/>
        </w:rPr>
        <w:t>o koeficientas</w:t>
      </w:r>
      <w:r w:rsidRPr="00AB6D9B">
        <w:rPr>
          <w:sz w:val="20"/>
          <w:szCs w:val="20"/>
        </w:rPr>
        <w:t xml:space="preserve"> (angl. kurtosis)</w:t>
      </w:r>
    </w:p>
    <w:p w:rsidR="00FC6A12" w:rsidRDefault="00FC6A12" w:rsidP="00FC6A12">
      <w:r>
        <w:t>Dividendų pajamingumo (DY) reikšmės svyravo nuo 0  iki 40</w:t>
      </w:r>
      <w:r w:rsidRPr="00A45664">
        <w:t xml:space="preserve">%, </w:t>
      </w:r>
      <w:r w:rsidRPr="008E3CF0">
        <w:t xml:space="preserve">kuomet </w:t>
      </w:r>
      <w:r>
        <w:t>dividendų lyginant su akcijos kaina vidutinis santykis analizuojamu periodu</w:t>
      </w:r>
      <w:r w:rsidRPr="008E3CF0">
        <w:t xml:space="preserve"> sudarė 5,5%.</w:t>
      </w:r>
      <w:r>
        <w:t xml:space="preserve"> Dividendų išmokėjimo rodiklio (DP) reikšmės svyravo tarp -312</w:t>
      </w:r>
      <w:r w:rsidRPr="00A45664">
        <w:t>%</w:t>
      </w:r>
      <w:r>
        <w:t xml:space="preserve"> ir 310%. Neigiamos reikšmės susidarė tuo atveju, jei įmonė dividendus mokėjo, nors praėjusiais metais finansiniais buvo patyrusi nuostolius. Šiuo atveju didelė neigiama -312% reikšmė susidarė </w:t>
      </w:r>
      <w:r w:rsidRPr="00D045B7">
        <w:rPr>
          <w:i/>
        </w:rPr>
        <w:t>LESTO AB</w:t>
      </w:r>
      <w:r>
        <w:t xml:space="preserve"> atveju, 2012 metais. Didelės teigiamos reikšmės susidarydavo tuo atveju, jei įmonė išmokėdavo dividendus, viršijančius uždirbto pelno dydį. Vidutinė reikšmė sudarė 42%, kas reiškia jog dividendinės įmonės analizuojamu periodu vidutiniškai išmokėdavo dividendais mažiau nei pusę savo</w:t>
      </w:r>
      <w:r w:rsidRPr="00A45664">
        <w:t xml:space="preserve"> </w:t>
      </w:r>
      <w:r w:rsidRPr="00C15D50">
        <w:t>uždirbto pelno</w:t>
      </w:r>
      <w:r w:rsidRPr="00A45664">
        <w:t>.</w:t>
      </w:r>
      <w:r>
        <w:t xml:space="preserve"> 0 reikšmė tiek dividendų pajamingumo, tiek dividendų išmokėjimo rodiklio atvejais susidarė dėl tos priežasties, jog įmonės tam tikrais metais (</w:t>
      </w:r>
      <w:r w:rsidRPr="00D045B7">
        <w:rPr>
          <w:i/>
        </w:rPr>
        <w:t>t</w:t>
      </w:r>
      <w:r>
        <w:rPr>
          <w:i/>
        </w:rPr>
        <w:t xml:space="preserve">) </w:t>
      </w:r>
      <w:r w:rsidRPr="00D045B7">
        <w:t xml:space="preserve">nuspręsdavo dividendų nemokėti, nors analizuojamu periodu  </w:t>
      </w:r>
      <w:r>
        <w:rPr>
          <w:i/>
        </w:rPr>
        <w:t xml:space="preserve">(t&lt;0) </w:t>
      </w:r>
      <w:r w:rsidRPr="00D045B7">
        <w:t>dividendus buvo mokėjusios.</w:t>
      </w:r>
    </w:p>
    <w:p w:rsidR="00FC6A12" w:rsidRDefault="00FC6A12" w:rsidP="00FC6A12">
      <w:r>
        <w:lastRenderedPageBreak/>
        <w:t>Įmonės dydžio (viso turto) logaritminės reikšmės (lnTURT) buvo didesnės nei 0, o tai reiškia imtyje nebuvo įmonių, kurių turtas sudarė mažiau nei 1 mln. Eur., tačiau buvo įmonių (</w:t>
      </w:r>
      <w:r w:rsidRPr="00C15D50">
        <w:rPr>
          <w:i/>
        </w:rPr>
        <w:t>Kurzmes CMAS</w:t>
      </w:r>
      <w:r>
        <w:t>) kurios buvo arti tokios reikšmės. Vidutinio dydžio įmone tarp dividendus mokančių bendrovių Baltijos šalyse laikoma įmonė, kurios dydis atitinka logaritminę išraišką 4,277.</w:t>
      </w:r>
    </w:p>
    <w:p w:rsidR="00FC6A12" w:rsidRDefault="00FC6A12" w:rsidP="00FC6A12">
      <w:r>
        <w:t>Nepaskirstyto pelno ir akcinio kapitalo santykis (RETE) vidutiniškai sudarė 33,3</w:t>
      </w:r>
      <w:r>
        <w:rPr>
          <w:lang w:val="en-US"/>
        </w:rPr>
        <w:t xml:space="preserve">%. </w:t>
      </w:r>
      <w:r w:rsidRPr="00807983">
        <w:t>Didžiausia</w:t>
      </w:r>
      <w:r>
        <w:t xml:space="preserve"> reikšmė (90%) pasireiškė Estijos įmonės </w:t>
      </w:r>
      <w:r w:rsidRPr="00C15D50">
        <w:rPr>
          <w:i/>
        </w:rPr>
        <w:t>Merko Ehitus</w:t>
      </w:r>
      <w:r>
        <w:rPr>
          <w:i/>
        </w:rPr>
        <w:t xml:space="preserve"> </w:t>
      </w:r>
      <w:r w:rsidRPr="00E622C8">
        <w:t>atveju, kuomet įmonė per visą analizuojamą 5 metų laikotarpį kasmet turėjo artimą maksimaliai reikšmei nepaskirstyto pelno, tenkančio akciniam kapitalui, dydį.</w:t>
      </w:r>
      <w:r>
        <w:t xml:space="preserve"> Tuo tarpu nepaskirstytojo pelno koeficientas (RR) svyravo tarpe 0 iki 1. Laikyta, jog jei išmokami dividendai yra mažesni už gautą pelną, arba jei pelnas yra neigiamas o įmonė dividendus išmoka – iš gauto metinio pelno nėra atidedama suma nepaskirstytinam pelnui. Kuomet rodiklis buvo lygus 1 – įmonė dividendų nemokėdavo ir visą gautą pelną priskirdavo nepaskirstytinam pelnui. Vidutiniškai Baltijos šalių įmonės atidėdavo 43,9</w:t>
      </w:r>
      <w:r w:rsidRPr="00A45664">
        <w:t>%</w:t>
      </w:r>
      <w:r>
        <w:t xml:space="preserve"> savo pelno. Akivaizdu, jog ši reikšmė yra labai artima dividendų išmokėjimo rodiklio reikšmei (42</w:t>
      </w:r>
      <w:r w:rsidRPr="00A45664">
        <w:t xml:space="preserve">%), </w:t>
      </w:r>
      <w:r w:rsidRPr="00E622C8">
        <w:t>todėl</w:t>
      </w:r>
      <w:r>
        <w:t xml:space="preserve"> galima teigti, jog įmonės iš sukauptų rezervų dividendams išmokėti skirdavo vidutiniškai 14,1%.</w:t>
      </w:r>
    </w:p>
    <w:p w:rsidR="00FC6A12" w:rsidRPr="00A45664" w:rsidRDefault="00FC6A12" w:rsidP="00FC6A12">
      <w:r>
        <w:t>Pelno prieš apmokestinimą, nu</w:t>
      </w:r>
      <w:r w:rsidR="00BC05AE">
        <w:t>sidėvėjimą ir amortizaciją (EBI</w:t>
      </w:r>
      <w:r>
        <w:t>T</w:t>
      </w:r>
      <w:r w:rsidR="00BC05AE">
        <w:t>D</w:t>
      </w:r>
      <w:r>
        <w:t>A) pokyčio rodiklis, rodo jog dividendinės įmonės vidutiniškai kasmet uždirbdavo teigiamą pelną prieš atskaitymus, lyginant su ankstesniais metais, ir vidutinis pokytis sudarė 45%. Tačiau buvo ir t</w:t>
      </w:r>
      <w:r w:rsidR="00BC05AE">
        <w:t xml:space="preserve">okių metų, kuomet kai kurių </w:t>
      </w:r>
      <w:r w:rsidR="00451C4A">
        <w:t xml:space="preserve">įmonių </w:t>
      </w:r>
      <w:r w:rsidR="00BC05AE">
        <w:t>EBI</w:t>
      </w:r>
      <w:r>
        <w:t>T</w:t>
      </w:r>
      <w:r w:rsidR="00BC05AE">
        <w:t>D</w:t>
      </w:r>
      <w:r>
        <w:t>A sumažėdavo beveik 5 kartus (</w:t>
      </w:r>
      <w:r>
        <w:rPr>
          <w:i/>
        </w:rPr>
        <w:t>SAF Tehnika</w:t>
      </w:r>
      <w:r>
        <w:t xml:space="preserve"> atvejis 2009 metais), lyginant su ankstesniais metais, arba padidėdavo net 16 kartų (</w:t>
      </w:r>
      <w:r w:rsidRPr="00A612A2">
        <w:rPr>
          <w:i/>
        </w:rPr>
        <w:t>Tallinna Kaubamaja</w:t>
      </w:r>
      <w:r>
        <w:t xml:space="preserve"> atvejis 2010 metais). Šiuo atveju, vienos įmonės rezultatas buvo nepalyginamai blogesnis, lyginant su ankstesniais metais, kitos – rezultatai, lyginant su ankstesniais metais, buvo labai geri.</w:t>
      </w:r>
    </w:p>
    <w:p w:rsidR="00FC6A12" w:rsidRDefault="00FC6A12" w:rsidP="00FC6A12">
      <w:r>
        <w:t>Nuosavo kapitalo grąžos rodiklio (ROE) vidutinė reikšmė rodo, jog dividendinių įmonių pelnas vidutiniškai sudarydavo 12,2</w:t>
      </w:r>
      <w:r w:rsidRPr="00A45664">
        <w:t xml:space="preserve">% </w:t>
      </w:r>
      <w:r w:rsidRPr="00C85B35">
        <w:t>nuosavo kapitalo, tai rodo, jog kiekvienas investuotas Euras į dividendinės įmonės akcijas generuoja 12,2% grąžą.</w:t>
      </w:r>
    </w:p>
    <w:p w:rsidR="00FC6A12" w:rsidRDefault="00FC6A12" w:rsidP="00FC6A12">
      <w:r>
        <w:t>Bendrojo likvidumo koeficiento (CR) reikšmė rodo, jog dividendinių įmonių tarpe vienas trumpalaikių įsipareigojimų Euras dengiamas trumpalaikiu turtu</w:t>
      </w:r>
      <w:r w:rsidRPr="00962841">
        <w:t xml:space="preserve"> </w:t>
      </w:r>
      <w:r>
        <w:t>vidutiniškai 2,84 karto, tačiau standartinis nuokrypis (2,61)  yra labai artimas vidurkiui, kas rodo jog vyrauja pakankamai dideli šios reikšmės svyravimai.</w:t>
      </w:r>
    </w:p>
    <w:p w:rsidR="00FC6A12" w:rsidRDefault="00FC6A12" w:rsidP="00FC6A12">
      <w:r>
        <w:t xml:space="preserve">  </w:t>
      </w:r>
    </w:p>
    <w:p w:rsidR="00FC6A12" w:rsidRPr="00962841" w:rsidRDefault="00FC6A12" w:rsidP="00FC6A12">
      <w:r>
        <w:t xml:space="preserve"> Vidutinė sverto rodiklio (D/E) reikšmė rodo, kad 74</w:t>
      </w:r>
      <w:r w:rsidRPr="00A45664">
        <w:t xml:space="preserve">% </w:t>
      </w:r>
      <w:r>
        <w:t>įmonės įsiskolinimų dengiami įmonės savininkų nuosavybe, nors pasitaikė ir tokių atvejų kuomet, šis rodiklis viršijo 300</w:t>
      </w:r>
      <w:r w:rsidRPr="00A45664">
        <w:t>% reik</w:t>
      </w:r>
      <w:r>
        <w:t xml:space="preserve">šmę: būdinga </w:t>
      </w:r>
      <w:r>
        <w:rPr>
          <w:i/>
        </w:rPr>
        <w:t>Vilkyškių pien</w:t>
      </w:r>
      <w:r w:rsidRPr="00EA2535">
        <w:rPr>
          <w:i/>
        </w:rPr>
        <w:t>o</w:t>
      </w:r>
      <w:r>
        <w:t xml:space="preserve"> atvejui 2008 ir 2009 metais, taip pat įmonės D/E rodiklis nors sekančiais metais mažėjo, reikšmė 2012 metais dar viršijo 1.</w:t>
      </w:r>
    </w:p>
    <w:p w:rsidR="00FC6A12" w:rsidRDefault="00FC6A12" w:rsidP="00FC6A12">
      <w:r>
        <w:lastRenderedPageBreak/>
        <w:t>Tikrosios vertės (M/B) koeficientas rodo, jog vidutiniškai 1,27 karto dividendinių įmonių vertė rinkoje viršija buhalterinę įmonės vertė.</w:t>
      </w:r>
    </w:p>
    <w:p w:rsidR="00FC6A12" w:rsidRDefault="00FC6A12" w:rsidP="00FC6A12">
      <w:r>
        <w:t>Įmonių apyvartumo logaritminė išraiška (lnAPYV), atspindi kokio dydžio metines prekybos rinkoje apyvartas generuoja dividendinės įmonės, rezultatuose atsispindi ir pakankamai aukšta neigiama minimali reikšmė, kuri būdinga Latvijos bendrovėms, kurių akcijų prekybos apyvarta sudaro mažiau nei 1 mln.Eur per metus. Latvijos įmonių apyvartumas įtakoja ir pakankamai žemą vidutinę logaritminę apyvartumo reikšmę (1,44).</w:t>
      </w:r>
    </w:p>
    <w:p w:rsidR="00FC6A12" w:rsidRDefault="00FC6A12" w:rsidP="00FC6A12">
      <w:r>
        <w:t>Asimetrijos ir eksceso koeficientai rodo, jog daugumos rodiklių distribucija nėra normalioji, kadangi koeficientai pakankamai reikšmingai nutolę nuo 0.</w:t>
      </w:r>
    </w:p>
    <w:p w:rsidR="00FC6A12" w:rsidRPr="008E3CF0" w:rsidRDefault="00FC6A12" w:rsidP="00B64EEA">
      <w:pPr>
        <w:pStyle w:val="Heading3"/>
        <w:numPr>
          <w:ilvl w:val="0"/>
          <w:numId w:val="29"/>
        </w:numPr>
        <w:rPr>
          <w:lang w:val="en-US"/>
        </w:rPr>
      </w:pPr>
      <w:bookmarkStart w:id="116" w:name="_Toc343677763"/>
      <w:r>
        <w:rPr>
          <w:lang w:val="en-US"/>
        </w:rPr>
        <w:t>Daugiakriterinio modelio kintamųjų koreliacinė analizė</w:t>
      </w:r>
      <w:bookmarkEnd w:id="116"/>
    </w:p>
    <w:p w:rsidR="00FC6A12" w:rsidRDefault="00FC6A12" w:rsidP="00FC6A12">
      <w:r w:rsidRPr="00EA60A5">
        <w:t xml:space="preserve">Remiantis dividendinės informacijos įtakos akcijų pelningumui analize ir gautais rezultatais </w:t>
      </w:r>
      <w:r w:rsidR="00EC7800" w:rsidRPr="00EA60A5">
        <w:fldChar w:fldCharType="begin"/>
      </w:r>
      <w:r w:rsidRPr="00EA60A5">
        <w:instrText xml:space="preserve"> REF _Ref342642134 \r \h </w:instrText>
      </w:r>
      <w:r w:rsidR="00EC7800" w:rsidRPr="00EA60A5">
        <w:fldChar w:fldCharType="separate"/>
      </w:r>
      <w:r w:rsidR="0009577F">
        <w:t>3.2</w:t>
      </w:r>
      <w:r w:rsidR="00EC7800" w:rsidRPr="00EA60A5">
        <w:fldChar w:fldCharType="end"/>
      </w:r>
      <w:r w:rsidRPr="00EA60A5">
        <w:t xml:space="preserve"> darbo dalyje, daugiakriterinis modelis bus testuojamas priklausomais kintamaisiais atrinkus tris skirtingą tyrimo prasmę turinčius laiko intervalus.</w:t>
      </w:r>
      <w:r>
        <w:t xml:space="preserve"> </w:t>
      </w:r>
      <w:r w:rsidRPr="00EA60A5">
        <w:t xml:space="preserve">Atsižvelgiant į tai, jog prekybos dienomis nuo t=-3 iki t=1, galima tikėtis racionaliai pagrįsto pelningumo, patiriant mažesnę riziką nei kitais intervalais, neatsitiktinai tolimesnei analizei parinktas priklausomas kintamasis CAAR[-3;1]. </w:t>
      </w:r>
    </w:p>
    <w:p w:rsidR="00FC6A12" w:rsidRDefault="00FC6A12" w:rsidP="00FC6A12">
      <w:r w:rsidRPr="00EA60A5">
        <w:t>Kuomet investuotojas tikisi teigiamų</w:t>
      </w:r>
      <w:r>
        <w:t xml:space="preserve"> dividendų naujienų ir tikslas yra uždirbti maksimalų pelną, neatsižvelgiant į tai, jog yra galimybė patirti santykinai didesnius nuostolius blogų naujienų atveju, tokiam atvejui nagrinėti parinktas priklausomas kintamasis CAAR[0;5]. </w:t>
      </w:r>
    </w:p>
    <w:p w:rsidR="00FC6A12" w:rsidRDefault="00FC6A12" w:rsidP="00FC6A12">
      <w:r>
        <w:t>Kadangi dividendų paskelbimo įvykis yra tas momentas, kurio investuotojai laukia turėdami tam tikrų lūkesčių apie įmonės perspektyvas, natūralu, jog susilaukia itin didelio investuotojų susidomėjimo, ypač teigiamų naujienų atveju. Tokiu atveju  tiek įmonių vadovybę, tiek ir investuotojus domina momentinis informacinio pobūdžio efektas ir signalas kurį norima perteikti rinkai. Momentinės informacijos analizei priklausomu kintamuoju parinktas AAR(0).</w:t>
      </w:r>
    </w:p>
    <w:p w:rsidR="00FC6A12" w:rsidRPr="00E300A1" w:rsidRDefault="00FC6A12" w:rsidP="00FC6A12">
      <w:pPr>
        <w:rPr>
          <w:rFonts w:cs="Times New Roman"/>
        </w:rPr>
      </w:pPr>
      <w:r>
        <w:t>Siekiant nustatyti koreliacinius ryšius tarp dviejų nepriklausomų tyrimo kintamųjų (DP ir DY) ir trijų analizuojamų priklausomų kintamųjų, sudaryta kintamųjų ryšį apibūdinanti koreliacinė matrica (žr</w:t>
      </w:r>
      <w:r w:rsidR="00707DF4">
        <w:t>. 21 lent.</w:t>
      </w:r>
      <w:r>
        <w:t xml:space="preserve">).  Nustatyta, kad tarp nepriklausomų kintamųjų egzistuoja silpnas tarpusavio ryšys, kas leidžia šiuos dividendų politikos kintamuosius naudoti viename modelyje, išvengiant potencialių skaičiavimo klaidų dėl kartotinės regresijos (Nishat, Irfan, </w:t>
      </w:r>
      <w:r w:rsidRPr="00807983">
        <w:t>2001</w:t>
      </w:r>
      <w:r>
        <w:t>). Dividendų pajamingumas (DY)</w:t>
      </w:r>
      <w:r w:rsidRPr="00057E7E">
        <w:t xml:space="preserve"> </w:t>
      </w:r>
      <w:r>
        <w:t xml:space="preserve">ir akcijų pelningumo dividendų paskelbimo dieną rodiklis AAR(0) pasižymi statistiškai reikšminga vidutinio stiprumo tarpusavio priklausomybe (0,52). Šis rezultatas daugmaž atitinka Asghar et al. (2011) gautą DY ir kainų kintamumo mato (PV) tarpusavio priklausomybės reikšmę (0,51). Kitais </w:t>
      </w:r>
      <w:r>
        <w:lastRenderedPageBreak/>
        <w:t xml:space="preserve">prekybos intervalais tarp šių dviejų kintamųjų užfiksuotas taip statistiškai patikimas, bet mažesnis </w:t>
      </w:r>
      <w:r w:rsidRPr="00E300A1">
        <w:rPr>
          <w:rFonts w:cs="Times New Roman"/>
        </w:rPr>
        <w:t>priklausomybės ryšys.</w:t>
      </w:r>
    </w:p>
    <w:p w:rsidR="00FC6A12" w:rsidRDefault="00BC05AE" w:rsidP="00BC05AE">
      <w:pPr>
        <w:pStyle w:val="Caption"/>
        <w:ind w:left="993" w:hanging="993"/>
      </w:pPr>
      <w:bookmarkStart w:id="117" w:name="_Ref342662088"/>
      <w:r>
        <w:t xml:space="preserve"> </w:t>
      </w:r>
      <w:bookmarkStart w:id="118" w:name="_Toc343677839"/>
      <w:r w:rsidR="00FC6A12">
        <w:t>Pagrindinių tyrimo kintamųjų koreliacinė matrica ir numatomas tyrimo pagrindas</w:t>
      </w:r>
      <w:bookmarkEnd w:id="117"/>
      <w:bookmarkEnd w:id="118"/>
    </w:p>
    <w:tbl>
      <w:tblPr>
        <w:tblW w:w="9972" w:type="dxa"/>
        <w:tblInd w:w="93" w:type="dxa"/>
        <w:tblBorders>
          <w:top w:val="single" w:sz="12" w:space="0" w:color="auto"/>
          <w:left w:val="single" w:sz="12" w:space="0" w:color="auto"/>
          <w:bottom w:val="single" w:sz="12" w:space="0" w:color="auto"/>
          <w:right w:val="single" w:sz="12" w:space="0" w:color="auto"/>
        </w:tblBorders>
        <w:tblLayout w:type="fixed"/>
        <w:tblLook w:val="04A0"/>
      </w:tblPr>
      <w:tblGrid>
        <w:gridCol w:w="1633"/>
        <w:gridCol w:w="1852"/>
        <w:gridCol w:w="236"/>
        <w:gridCol w:w="1737"/>
        <w:gridCol w:w="2637"/>
        <w:gridCol w:w="1134"/>
        <w:gridCol w:w="743"/>
      </w:tblGrid>
      <w:tr w:rsidR="00FC6A12" w:rsidRPr="005430F1" w:rsidTr="00620201">
        <w:trPr>
          <w:trHeight w:val="321"/>
        </w:trPr>
        <w:tc>
          <w:tcPr>
            <w:tcW w:w="1633" w:type="dxa"/>
            <w:tcBorders>
              <w:top w:val="single" w:sz="12" w:space="0" w:color="auto"/>
              <w:bottom w:val="single" w:sz="12" w:space="0" w:color="auto"/>
              <w:right w:val="single" w:sz="12" w:space="0" w:color="auto"/>
            </w:tcBorders>
            <w:shd w:val="clear" w:color="auto" w:fill="auto"/>
            <w:noWrap/>
            <w:vAlign w:val="center"/>
            <w:hideMark/>
          </w:tcPr>
          <w:p w:rsidR="00FC6A12" w:rsidRPr="006C3F5E" w:rsidRDefault="00FC6A12" w:rsidP="00FC6A12">
            <w:pPr>
              <w:spacing w:before="0" w:line="240" w:lineRule="auto"/>
              <w:ind w:firstLine="0"/>
              <w:jc w:val="center"/>
              <w:rPr>
                <w:rFonts w:eastAsia="Times New Roman" w:cs="Times New Roman"/>
                <w:b/>
                <w:color w:val="000000"/>
                <w:lang w:eastAsia="lt-LT"/>
              </w:rPr>
            </w:pPr>
            <w:r w:rsidRPr="006C3F5E">
              <w:rPr>
                <w:rFonts w:eastAsia="Times New Roman" w:cs="Times New Roman"/>
                <w:b/>
                <w:color w:val="000000"/>
                <w:sz w:val="22"/>
                <w:lang w:eastAsia="lt-LT"/>
              </w:rPr>
              <w:t>Kintamasis</w:t>
            </w:r>
          </w:p>
        </w:tc>
        <w:tc>
          <w:tcPr>
            <w:tcW w:w="1852" w:type="dxa"/>
            <w:tcBorders>
              <w:top w:val="single" w:sz="12" w:space="0" w:color="auto"/>
              <w:bottom w:val="single" w:sz="12" w:space="0" w:color="auto"/>
            </w:tcBorders>
            <w:vAlign w:val="center"/>
          </w:tcPr>
          <w:p w:rsidR="00FC6A12" w:rsidRPr="006C3F5E" w:rsidRDefault="00FC6A12" w:rsidP="00FC6A12">
            <w:pPr>
              <w:spacing w:before="0" w:line="240" w:lineRule="auto"/>
              <w:ind w:firstLine="0"/>
              <w:jc w:val="center"/>
              <w:rPr>
                <w:rFonts w:eastAsia="Times New Roman" w:cs="Times New Roman"/>
                <w:b/>
                <w:bCs/>
                <w:color w:val="000000"/>
                <w:lang w:eastAsia="lt-LT"/>
              </w:rPr>
            </w:pPr>
            <w:r w:rsidRPr="006C3F5E">
              <w:rPr>
                <w:rFonts w:eastAsia="Times New Roman" w:cs="Times New Roman"/>
                <w:b/>
                <w:bCs/>
                <w:color w:val="000000"/>
                <w:sz w:val="22"/>
                <w:lang w:eastAsia="lt-LT"/>
              </w:rPr>
              <w:t>CAAR[-3;1]</w:t>
            </w:r>
          </w:p>
        </w:tc>
        <w:tc>
          <w:tcPr>
            <w:tcW w:w="236" w:type="dxa"/>
            <w:tcBorders>
              <w:top w:val="single" w:sz="12" w:space="0" w:color="auto"/>
              <w:bottom w:val="single" w:sz="12" w:space="0" w:color="auto"/>
              <w:right w:val="nil"/>
            </w:tcBorders>
          </w:tcPr>
          <w:p w:rsidR="00FC6A12" w:rsidRPr="006C3F5E" w:rsidRDefault="00FC6A12" w:rsidP="00FC6A12">
            <w:pPr>
              <w:spacing w:before="0" w:line="240" w:lineRule="auto"/>
              <w:ind w:firstLine="0"/>
              <w:jc w:val="center"/>
              <w:rPr>
                <w:rFonts w:eastAsia="Times New Roman" w:cs="Times New Roman"/>
                <w:b/>
                <w:bCs/>
                <w:color w:val="000000"/>
                <w:lang w:eastAsia="lt-LT"/>
              </w:rPr>
            </w:pPr>
          </w:p>
        </w:tc>
        <w:tc>
          <w:tcPr>
            <w:tcW w:w="1737" w:type="dxa"/>
            <w:tcBorders>
              <w:top w:val="single" w:sz="12" w:space="0" w:color="auto"/>
              <w:left w:val="nil"/>
              <w:bottom w:val="single" w:sz="12" w:space="0" w:color="auto"/>
            </w:tcBorders>
            <w:shd w:val="clear" w:color="auto" w:fill="auto"/>
            <w:noWrap/>
            <w:vAlign w:val="center"/>
            <w:hideMark/>
          </w:tcPr>
          <w:p w:rsidR="00FC6A12" w:rsidRPr="006C3F5E" w:rsidRDefault="00FC6A12" w:rsidP="00FC6A12">
            <w:pPr>
              <w:spacing w:before="0" w:line="240" w:lineRule="auto"/>
              <w:ind w:firstLine="0"/>
              <w:jc w:val="center"/>
              <w:rPr>
                <w:rFonts w:eastAsia="Times New Roman" w:cs="Times New Roman"/>
                <w:b/>
                <w:bCs/>
                <w:color w:val="000000"/>
                <w:lang w:eastAsia="lt-LT"/>
              </w:rPr>
            </w:pPr>
            <w:r w:rsidRPr="006C3F5E">
              <w:rPr>
                <w:rFonts w:eastAsia="Times New Roman" w:cs="Times New Roman"/>
                <w:b/>
                <w:bCs/>
                <w:color w:val="000000"/>
                <w:sz w:val="22"/>
                <w:lang w:eastAsia="lt-LT"/>
              </w:rPr>
              <w:t>AAR(0)</w:t>
            </w:r>
          </w:p>
        </w:tc>
        <w:tc>
          <w:tcPr>
            <w:tcW w:w="2637" w:type="dxa"/>
            <w:tcBorders>
              <w:top w:val="single" w:sz="12" w:space="0" w:color="auto"/>
              <w:bottom w:val="single" w:sz="12" w:space="0" w:color="auto"/>
              <w:right w:val="single" w:sz="12" w:space="0" w:color="auto"/>
            </w:tcBorders>
            <w:shd w:val="clear" w:color="auto" w:fill="auto"/>
            <w:noWrap/>
            <w:vAlign w:val="center"/>
            <w:hideMark/>
          </w:tcPr>
          <w:p w:rsidR="00FC6A12" w:rsidRPr="006C3F5E" w:rsidRDefault="00FC6A12" w:rsidP="00FC6A12">
            <w:pPr>
              <w:spacing w:before="0" w:line="240" w:lineRule="auto"/>
              <w:ind w:firstLine="0"/>
              <w:jc w:val="center"/>
              <w:rPr>
                <w:rFonts w:eastAsia="Times New Roman" w:cs="Times New Roman"/>
                <w:b/>
                <w:bCs/>
                <w:color w:val="000000"/>
                <w:lang w:eastAsia="lt-LT"/>
              </w:rPr>
            </w:pPr>
            <w:r w:rsidRPr="006C3F5E">
              <w:rPr>
                <w:rFonts w:eastAsia="Times New Roman" w:cs="Times New Roman"/>
                <w:b/>
                <w:bCs/>
                <w:color w:val="000000"/>
                <w:sz w:val="22"/>
                <w:lang w:eastAsia="lt-LT"/>
              </w:rPr>
              <w:t>CAAR[0;5]</w:t>
            </w:r>
          </w:p>
        </w:tc>
        <w:tc>
          <w:tcPr>
            <w:tcW w:w="1134" w:type="dxa"/>
            <w:tcBorders>
              <w:top w:val="single" w:sz="12" w:space="0" w:color="auto"/>
              <w:left w:val="single" w:sz="12" w:space="0" w:color="auto"/>
              <w:bottom w:val="single" w:sz="12" w:space="0" w:color="auto"/>
            </w:tcBorders>
            <w:shd w:val="clear" w:color="auto" w:fill="auto"/>
            <w:noWrap/>
            <w:vAlign w:val="center"/>
            <w:hideMark/>
          </w:tcPr>
          <w:p w:rsidR="00FC6A12" w:rsidRPr="006C3F5E" w:rsidRDefault="00FC6A12" w:rsidP="00FC6A12">
            <w:pPr>
              <w:spacing w:before="0" w:line="240" w:lineRule="auto"/>
              <w:ind w:firstLine="0"/>
              <w:jc w:val="center"/>
              <w:rPr>
                <w:rFonts w:eastAsia="Times New Roman" w:cs="Times New Roman"/>
                <w:b/>
                <w:bCs/>
                <w:color w:val="000000"/>
                <w:lang w:eastAsia="lt-LT"/>
              </w:rPr>
            </w:pPr>
            <w:r w:rsidRPr="006C3F5E">
              <w:rPr>
                <w:rFonts w:eastAsia="Times New Roman" w:cs="Times New Roman"/>
                <w:b/>
                <w:bCs/>
                <w:color w:val="000000"/>
                <w:sz w:val="22"/>
                <w:lang w:eastAsia="lt-LT"/>
              </w:rPr>
              <w:t>DP</w:t>
            </w:r>
          </w:p>
        </w:tc>
        <w:tc>
          <w:tcPr>
            <w:tcW w:w="743" w:type="dxa"/>
            <w:tcBorders>
              <w:top w:val="single" w:sz="12" w:space="0" w:color="auto"/>
              <w:bottom w:val="single" w:sz="12" w:space="0" w:color="auto"/>
            </w:tcBorders>
            <w:shd w:val="clear" w:color="auto" w:fill="auto"/>
            <w:noWrap/>
            <w:vAlign w:val="center"/>
            <w:hideMark/>
          </w:tcPr>
          <w:p w:rsidR="00FC6A12" w:rsidRPr="006C3F5E" w:rsidRDefault="00FC6A12" w:rsidP="00FC6A12">
            <w:pPr>
              <w:spacing w:before="0" w:line="240" w:lineRule="auto"/>
              <w:ind w:firstLine="0"/>
              <w:jc w:val="center"/>
              <w:rPr>
                <w:rFonts w:eastAsia="Times New Roman" w:cs="Times New Roman"/>
                <w:b/>
                <w:bCs/>
                <w:color w:val="000000"/>
                <w:lang w:eastAsia="lt-LT"/>
              </w:rPr>
            </w:pPr>
            <w:r w:rsidRPr="006C3F5E">
              <w:rPr>
                <w:rFonts w:eastAsia="Times New Roman" w:cs="Times New Roman"/>
                <w:b/>
                <w:bCs/>
                <w:color w:val="000000"/>
                <w:sz w:val="22"/>
                <w:lang w:eastAsia="lt-LT"/>
              </w:rPr>
              <w:t>DY</w:t>
            </w:r>
          </w:p>
        </w:tc>
      </w:tr>
      <w:tr w:rsidR="00FC6A12" w:rsidRPr="005430F1" w:rsidTr="00620201">
        <w:trPr>
          <w:trHeight w:val="336"/>
        </w:trPr>
        <w:tc>
          <w:tcPr>
            <w:tcW w:w="1633" w:type="dxa"/>
            <w:tcBorders>
              <w:top w:val="single" w:sz="12" w:space="0" w:color="auto"/>
              <w:bottom w:val="nil"/>
              <w:righ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b/>
                <w:bCs/>
                <w:color w:val="000000"/>
                <w:szCs w:val="24"/>
                <w:lang w:eastAsia="lt-LT"/>
              </w:rPr>
            </w:pPr>
            <w:r w:rsidRPr="006C3F5E">
              <w:rPr>
                <w:rFonts w:eastAsia="Times New Roman" w:cs="Times New Roman"/>
                <w:b/>
                <w:bCs/>
                <w:color w:val="000000"/>
                <w:szCs w:val="24"/>
                <w:lang w:eastAsia="lt-LT"/>
              </w:rPr>
              <w:t>DY</w:t>
            </w:r>
          </w:p>
        </w:tc>
        <w:tc>
          <w:tcPr>
            <w:tcW w:w="1852" w:type="dxa"/>
            <w:tcBorders>
              <w:top w:val="single" w:sz="12" w:space="0" w:color="auto"/>
            </w:tcBorders>
            <w:vAlign w:val="center"/>
          </w:tcPr>
          <w:p w:rsidR="00FC6A12" w:rsidRPr="006C3F5E" w:rsidRDefault="00FC6A12" w:rsidP="00FC6A12">
            <w:pPr>
              <w:spacing w:before="0" w:line="240" w:lineRule="auto"/>
              <w:ind w:firstLine="0"/>
              <w:jc w:val="center"/>
              <w:rPr>
                <w:rFonts w:eastAsia="Times New Roman" w:cs="Times New Roman"/>
                <w:b/>
                <w:bCs/>
                <w:color w:val="000000"/>
                <w:szCs w:val="24"/>
                <w:lang w:eastAsia="lt-LT"/>
              </w:rPr>
            </w:pPr>
            <w:r w:rsidRPr="006C3F5E">
              <w:rPr>
                <w:rFonts w:eastAsia="Times New Roman" w:cs="Times New Roman"/>
                <w:b/>
                <w:bCs/>
                <w:color w:val="000000"/>
                <w:szCs w:val="24"/>
                <w:lang w:eastAsia="lt-LT"/>
              </w:rPr>
              <w:t>0,25**</w:t>
            </w:r>
          </w:p>
        </w:tc>
        <w:tc>
          <w:tcPr>
            <w:tcW w:w="236" w:type="dxa"/>
            <w:tcBorders>
              <w:top w:val="single" w:sz="12" w:space="0" w:color="auto"/>
              <w:right w:val="nil"/>
            </w:tcBorders>
          </w:tcPr>
          <w:p w:rsidR="00FC6A12" w:rsidRPr="006C3F5E" w:rsidRDefault="00FC6A12" w:rsidP="00FC6A12">
            <w:pPr>
              <w:spacing w:before="0" w:line="240" w:lineRule="auto"/>
              <w:ind w:firstLine="0"/>
              <w:jc w:val="center"/>
              <w:rPr>
                <w:rFonts w:eastAsia="Times New Roman" w:cs="Times New Roman"/>
                <w:b/>
                <w:bCs/>
                <w:color w:val="000000"/>
                <w:szCs w:val="24"/>
                <w:lang w:eastAsia="lt-LT"/>
              </w:rPr>
            </w:pPr>
          </w:p>
        </w:tc>
        <w:tc>
          <w:tcPr>
            <w:tcW w:w="1737" w:type="dxa"/>
            <w:tcBorders>
              <w:top w:val="single" w:sz="12" w:space="0" w:color="auto"/>
              <w:left w:val="nil"/>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b/>
                <w:bCs/>
                <w:color w:val="000000"/>
                <w:szCs w:val="24"/>
                <w:lang w:val="en-US" w:eastAsia="lt-LT"/>
              </w:rPr>
            </w:pPr>
            <w:r w:rsidRPr="006C3F5E">
              <w:rPr>
                <w:rFonts w:eastAsia="Times New Roman" w:cs="Times New Roman"/>
                <w:b/>
                <w:bCs/>
                <w:color w:val="000000"/>
                <w:szCs w:val="24"/>
                <w:lang w:eastAsia="lt-LT"/>
              </w:rPr>
              <w:t>0,52</w:t>
            </w:r>
            <w:r w:rsidRPr="006C3F5E">
              <w:rPr>
                <w:rFonts w:eastAsia="Times New Roman" w:cs="Times New Roman"/>
                <w:b/>
                <w:bCs/>
                <w:color w:val="000000"/>
                <w:szCs w:val="24"/>
                <w:lang w:val="en-US" w:eastAsia="lt-LT"/>
              </w:rPr>
              <w:t>***</w:t>
            </w:r>
          </w:p>
        </w:tc>
        <w:tc>
          <w:tcPr>
            <w:tcW w:w="2637" w:type="dxa"/>
            <w:tcBorders>
              <w:top w:val="single" w:sz="12" w:space="0" w:color="auto"/>
              <w:righ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b/>
                <w:bCs/>
                <w:color w:val="000000"/>
                <w:szCs w:val="24"/>
                <w:lang w:eastAsia="lt-LT"/>
              </w:rPr>
            </w:pPr>
            <w:r w:rsidRPr="006C3F5E">
              <w:rPr>
                <w:rFonts w:eastAsia="Times New Roman" w:cs="Times New Roman"/>
                <w:b/>
                <w:bCs/>
                <w:color w:val="000000"/>
                <w:szCs w:val="24"/>
                <w:lang w:eastAsia="lt-LT"/>
              </w:rPr>
              <w:t>0,29***</w:t>
            </w:r>
          </w:p>
        </w:tc>
        <w:tc>
          <w:tcPr>
            <w:tcW w:w="1134" w:type="dxa"/>
            <w:tcBorders>
              <w:top w:val="single" w:sz="12" w:space="0" w:color="auto"/>
              <w:lef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0,09</w:t>
            </w:r>
          </w:p>
        </w:tc>
        <w:tc>
          <w:tcPr>
            <w:tcW w:w="743" w:type="dxa"/>
            <w:tcBorders>
              <w:top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1</w:t>
            </w:r>
          </w:p>
        </w:tc>
      </w:tr>
      <w:tr w:rsidR="00FC6A12" w:rsidRPr="005430F1" w:rsidTr="00620201">
        <w:trPr>
          <w:trHeight w:val="336"/>
        </w:trPr>
        <w:tc>
          <w:tcPr>
            <w:tcW w:w="1633" w:type="dxa"/>
            <w:tcBorders>
              <w:top w:val="nil"/>
              <w:bottom w:val="nil"/>
              <w:righ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b/>
                <w:bCs/>
                <w:color w:val="000000"/>
                <w:szCs w:val="24"/>
                <w:lang w:eastAsia="lt-LT"/>
              </w:rPr>
            </w:pPr>
            <w:r w:rsidRPr="006C3F5E">
              <w:rPr>
                <w:rFonts w:eastAsia="Times New Roman" w:cs="Times New Roman"/>
                <w:b/>
                <w:bCs/>
                <w:color w:val="000000"/>
                <w:szCs w:val="24"/>
                <w:lang w:eastAsia="lt-LT"/>
              </w:rPr>
              <w:t>DP</w:t>
            </w:r>
          </w:p>
        </w:tc>
        <w:tc>
          <w:tcPr>
            <w:tcW w:w="1852" w:type="dxa"/>
            <w:vAlign w:val="center"/>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-0,03</w:t>
            </w:r>
          </w:p>
        </w:tc>
        <w:tc>
          <w:tcPr>
            <w:tcW w:w="236" w:type="dxa"/>
            <w:tcBorders>
              <w:right w:val="nil"/>
            </w:tcBorders>
          </w:tcPr>
          <w:p w:rsidR="00FC6A12" w:rsidRPr="006C3F5E" w:rsidRDefault="00FC6A12" w:rsidP="00FC6A12">
            <w:pPr>
              <w:spacing w:before="0" w:line="240" w:lineRule="auto"/>
              <w:ind w:firstLine="0"/>
              <w:jc w:val="center"/>
              <w:rPr>
                <w:rFonts w:eastAsia="Times New Roman" w:cs="Times New Roman"/>
                <w:color w:val="000000"/>
                <w:szCs w:val="24"/>
                <w:lang w:eastAsia="lt-LT"/>
              </w:rPr>
            </w:pPr>
          </w:p>
        </w:tc>
        <w:tc>
          <w:tcPr>
            <w:tcW w:w="1737" w:type="dxa"/>
            <w:tcBorders>
              <w:left w:val="nil"/>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-0,06</w:t>
            </w:r>
          </w:p>
        </w:tc>
        <w:tc>
          <w:tcPr>
            <w:tcW w:w="2637" w:type="dxa"/>
            <w:tcBorders>
              <w:righ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0,03</w:t>
            </w:r>
          </w:p>
        </w:tc>
        <w:tc>
          <w:tcPr>
            <w:tcW w:w="1134" w:type="dxa"/>
            <w:tcBorders>
              <w:left w:val="single" w:sz="12" w:space="0" w:color="auto"/>
            </w:tcBorders>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r w:rsidRPr="006C3F5E">
              <w:rPr>
                <w:rFonts w:eastAsia="Times New Roman" w:cs="Times New Roman"/>
                <w:color w:val="000000"/>
                <w:szCs w:val="24"/>
                <w:lang w:eastAsia="lt-LT"/>
              </w:rPr>
              <w:t>1</w:t>
            </w:r>
          </w:p>
        </w:tc>
        <w:tc>
          <w:tcPr>
            <w:tcW w:w="743" w:type="dxa"/>
            <w:shd w:val="clear"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szCs w:val="24"/>
                <w:lang w:eastAsia="lt-LT"/>
              </w:rPr>
            </w:pPr>
          </w:p>
        </w:tc>
      </w:tr>
      <w:tr w:rsidR="00FC6A12" w:rsidRPr="005430F1" w:rsidTr="00620201">
        <w:trPr>
          <w:trHeight w:val="503"/>
        </w:trPr>
        <w:tc>
          <w:tcPr>
            <w:tcW w:w="1633" w:type="dxa"/>
            <w:tcBorders>
              <w:top w:val="single" w:sz="12" w:space="0" w:color="auto"/>
              <w:bottom w:val="single" w:sz="12" w:space="0" w:color="auto"/>
              <w:right w:val="single" w:sz="12" w:space="0" w:color="auto"/>
            </w:tcBorders>
            <w:shd w:val="pct5" w:color="auto" w:fill="auto"/>
            <w:vAlign w:val="center"/>
            <w:hideMark/>
          </w:tcPr>
          <w:p w:rsidR="00FC6A12" w:rsidRPr="00DA0665" w:rsidRDefault="00FC6A12" w:rsidP="00FC6A12">
            <w:pPr>
              <w:spacing w:before="0" w:line="240" w:lineRule="auto"/>
              <w:ind w:firstLine="0"/>
              <w:jc w:val="center"/>
              <w:rPr>
                <w:rFonts w:eastAsia="Times New Roman" w:cs="Times New Roman"/>
                <w:b/>
                <w:bCs/>
                <w:color w:val="000000"/>
                <w:sz w:val="20"/>
                <w:szCs w:val="20"/>
                <w:lang w:eastAsia="lt-LT"/>
              </w:rPr>
            </w:pPr>
            <w:r w:rsidRPr="00DA0665">
              <w:rPr>
                <w:rFonts w:eastAsia="Times New Roman" w:cs="Times New Roman"/>
                <w:b/>
                <w:bCs/>
                <w:color w:val="000000"/>
                <w:sz w:val="20"/>
                <w:szCs w:val="20"/>
                <w:lang w:eastAsia="lt-LT"/>
              </w:rPr>
              <w:t>Tyrimo pagrindas</w:t>
            </w:r>
          </w:p>
        </w:tc>
        <w:tc>
          <w:tcPr>
            <w:tcW w:w="1852" w:type="dxa"/>
            <w:tcBorders>
              <w:top w:val="single" w:sz="12" w:space="0" w:color="auto"/>
              <w:bottom w:val="single" w:sz="12" w:space="0" w:color="auto"/>
            </w:tcBorders>
            <w:shd w:val="pct5" w:color="auto" w:fill="auto"/>
            <w:vAlign w:val="center"/>
          </w:tcPr>
          <w:p w:rsidR="00FC6A12" w:rsidRPr="00DA0665" w:rsidRDefault="00FC6A12" w:rsidP="00FC6A12">
            <w:pPr>
              <w:spacing w:before="0" w:line="240" w:lineRule="auto"/>
              <w:ind w:firstLine="0"/>
              <w:jc w:val="center"/>
              <w:rPr>
                <w:rFonts w:eastAsia="Times New Roman" w:cs="Times New Roman"/>
                <w:b/>
                <w:bCs/>
                <w:color w:val="000000"/>
                <w:sz w:val="20"/>
                <w:szCs w:val="20"/>
                <w:lang w:eastAsia="lt-LT"/>
              </w:rPr>
            </w:pPr>
            <w:r w:rsidRPr="00DA0665">
              <w:rPr>
                <w:rFonts w:eastAsia="Times New Roman" w:cs="Times New Roman"/>
                <w:b/>
                <w:bCs/>
                <w:color w:val="000000"/>
                <w:sz w:val="20"/>
                <w:szCs w:val="20"/>
                <w:lang w:eastAsia="lt-LT"/>
              </w:rPr>
              <w:t>Racionalūs lūkesčiai</w:t>
            </w:r>
          </w:p>
        </w:tc>
        <w:tc>
          <w:tcPr>
            <w:tcW w:w="236" w:type="dxa"/>
            <w:tcBorders>
              <w:top w:val="single" w:sz="12" w:space="0" w:color="auto"/>
              <w:bottom w:val="single" w:sz="12" w:space="0" w:color="auto"/>
              <w:right w:val="nil"/>
            </w:tcBorders>
            <w:shd w:val="pct5" w:color="auto" w:fill="auto"/>
          </w:tcPr>
          <w:p w:rsidR="00FC6A12" w:rsidRPr="00DA0665" w:rsidRDefault="00FC6A12" w:rsidP="00FC6A12">
            <w:pPr>
              <w:spacing w:before="0" w:line="240" w:lineRule="auto"/>
              <w:ind w:firstLine="0"/>
              <w:jc w:val="center"/>
              <w:rPr>
                <w:rFonts w:eastAsia="Times New Roman" w:cs="Times New Roman"/>
                <w:b/>
                <w:bCs/>
                <w:color w:val="000000"/>
                <w:sz w:val="20"/>
                <w:szCs w:val="20"/>
                <w:lang w:eastAsia="lt-LT"/>
              </w:rPr>
            </w:pPr>
          </w:p>
        </w:tc>
        <w:tc>
          <w:tcPr>
            <w:tcW w:w="1737" w:type="dxa"/>
            <w:tcBorders>
              <w:top w:val="single" w:sz="12" w:space="0" w:color="auto"/>
              <w:left w:val="nil"/>
              <w:bottom w:val="single" w:sz="12" w:space="0" w:color="auto"/>
            </w:tcBorders>
            <w:shd w:val="pct5" w:color="auto" w:fill="auto"/>
            <w:vAlign w:val="center"/>
            <w:hideMark/>
          </w:tcPr>
          <w:p w:rsidR="00FC6A12" w:rsidRPr="00DA0665" w:rsidRDefault="00FC6A12" w:rsidP="00FC6A12">
            <w:pPr>
              <w:spacing w:before="0" w:line="240" w:lineRule="auto"/>
              <w:ind w:firstLine="0"/>
              <w:jc w:val="center"/>
              <w:rPr>
                <w:rFonts w:eastAsia="Times New Roman" w:cs="Times New Roman"/>
                <w:b/>
                <w:bCs/>
                <w:color w:val="000000"/>
                <w:sz w:val="20"/>
                <w:szCs w:val="20"/>
                <w:lang w:eastAsia="lt-LT"/>
              </w:rPr>
            </w:pPr>
            <w:r w:rsidRPr="00DA0665">
              <w:rPr>
                <w:rFonts w:eastAsia="Times New Roman" w:cs="Times New Roman"/>
                <w:b/>
                <w:bCs/>
                <w:color w:val="000000"/>
                <w:sz w:val="20"/>
                <w:szCs w:val="20"/>
                <w:lang w:eastAsia="lt-LT"/>
              </w:rPr>
              <w:t>Momentinis signalas</w:t>
            </w:r>
          </w:p>
        </w:tc>
        <w:tc>
          <w:tcPr>
            <w:tcW w:w="2637" w:type="dxa"/>
            <w:tcBorders>
              <w:top w:val="single" w:sz="12" w:space="0" w:color="auto"/>
              <w:bottom w:val="single" w:sz="12" w:space="0" w:color="auto"/>
              <w:right w:val="single" w:sz="12" w:space="0" w:color="auto"/>
            </w:tcBorders>
            <w:shd w:val="pct5" w:color="auto" w:fill="auto"/>
            <w:vAlign w:val="center"/>
            <w:hideMark/>
          </w:tcPr>
          <w:p w:rsidR="00FC6A12" w:rsidRPr="00DA0665" w:rsidRDefault="00FC6A12" w:rsidP="00FC6A12">
            <w:pPr>
              <w:spacing w:before="0" w:line="240" w:lineRule="auto"/>
              <w:ind w:firstLine="0"/>
              <w:jc w:val="center"/>
              <w:rPr>
                <w:rFonts w:eastAsia="Times New Roman" w:cs="Times New Roman"/>
                <w:b/>
                <w:bCs/>
                <w:color w:val="000000"/>
                <w:sz w:val="20"/>
                <w:szCs w:val="20"/>
                <w:lang w:eastAsia="lt-LT"/>
              </w:rPr>
            </w:pPr>
            <w:r w:rsidRPr="00DA0665">
              <w:rPr>
                <w:rFonts w:eastAsia="Times New Roman" w:cs="Times New Roman"/>
                <w:b/>
                <w:bCs/>
                <w:color w:val="000000"/>
                <w:sz w:val="20"/>
                <w:szCs w:val="20"/>
                <w:lang w:eastAsia="lt-LT"/>
              </w:rPr>
              <w:t>Iracionalūs lūkesčiai</w:t>
            </w:r>
          </w:p>
        </w:tc>
        <w:tc>
          <w:tcPr>
            <w:tcW w:w="1134" w:type="dxa"/>
            <w:tcBorders>
              <w:top w:val="single" w:sz="12" w:space="0" w:color="auto"/>
              <w:left w:val="single" w:sz="12" w:space="0" w:color="auto"/>
              <w:bottom w:val="single" w:sz="12" w:space="0" w:color="auto"/>
            </w:tcBorders>
            <w:shd w:val="pct5"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lang w:eastAsia="lt-LT"/>
              </w:rPr>
            </w:pPr>
            <w:r w:rsidRPr="006C3F5E">
              <w:rPr>
                <w:rFonts w:eastAsia="Times New Roman" w:cs="Times New Roman"/>
                <w:color w:val="000000"/>
                <w:sz w:val="22"/>
                <w:lang w:eastAsia="lt-LT"/>
              </w:rPr>
              <w:t>-</w:t>
            </w:r>
          </w:p>
        </w:tc>
        <w:tc>
          <w:tcPr>
            <w:tcW w:w="743" w:type="dxa"/>
            <w:tcBorders>
              <w:top w:val="single" w:sz="12" w:space="0" w:color="auto"/>
              <w:bottom w:val="single" w:sz="12" w:space="0" w:color="auto"/>
            </w:tcBorders>
            <w:shd w:val="pct5" w:color="auto" w:fill="auto"/>
            <w:vAlign w:val="center"/>
            <w:hideMark/>
          </w:tcPr>
          <w:p w:rsidR="00FC6A12" w:rsidRPr="006C3F5E" w:rsidRDefault="00FC6A12" w:rsidP="00FC6A12">
            <w:pPr>
              <w:spacing w:before="0" w:line="240" w:lineRule="auto"/>
              <w:ind w:firstLine="0"/>
              <w:jc w:val="center"/>
              <w:rPr>
                <w:rFonts w:eastAsia="Times New Roman" w:cs="Times New Roman"/>
                <w:color w:val="000000"/>
                <w:lang w:eastAsia="lt-LT"/>
              </w:rPr>
            </w:pPr>
            <w:r w:rsidRPr="006C3F5E">
              <w:rPr>
                <w:rFonts w:eastAsia="Times New Roman" w:cs="Times New Roman"/>
                <w:color w:val="000000"/>
                <w:sz w:val="22"/>
                <w:lang w:eastAsia="lt-LT"/>
              </w:rPr>
              <w:t>-</w:t>
            </w:r>
          </w:p>
        </w:tc>
      </w:tr>
    </w:tbl>
    <w:p w:rsidR="00FC6A12" w:rsidRPr="001A1564" w:rsidRDefault="00FC6A12" w:rsidP="00FC6A12">
      <w:pPr>
        <w:spacing w:line="240" w:lineRule="auto"/>
        <w:rPr>
          <w:sz w:val="20"/>
          <w:szCs w:val="20"/>
        </w:rPr>
      </w:pPr>
      <w:r>
        <w:rPr>
          <w:sz w:val="20"/>
          <w:szCs w:val="20"/>
        </w:rPr>
        <w:t>Čia:</w:t>
      </w:r>
      <w:r>
        <w:rPr>
          <w:sz w:val="20"/>
          <w:szCs w:val="20"/>
        </w:rPr>
        <w:tab/>
      </w:r>
      <w:r w:rsidRPr="001A1564">
        <w:rPr>
          <w:b/>
          <w:sz w:val="20"/>
          <w:szCs w:val="20"/>
        </w:rPr>
        <w:t>*</w:t>
      </w:r>
      <w:r w:rsidRPr="007E6BD1">
        <w:rPr>
          <w:b/>
          <w:sz w:val="20"/>
          <w:szCs w:val="20"/>
        </w:rPr>
        <w:t>**</w:t>
      </w:r>
      <w:r>
        <w:rPr>
          <w:b/>
          <w:sz w:val="20"/>
          <w:szCs w:val="20"/>
        </w:rPr>
        <w:t xml:space="preserve"> </w:t>
      </w:r>
      <w:r>
        <w:rPr>
          <w:sz w:val="20"/>
          <w:szCs w:val="20"/>
        </w:rPr>
        <w:t>statistiškai reikšmingas koreliacinis ryšys su</w:t>
      </w:r>
      <w:r w:rsidRPr="001A1564">
        <w:rPr>
          <w:sz w:val="20"/>
          <w:szCs w:val="20"/>
        </w:rPr>
        <w:t xml:space="preserve"> </w:t>
      </w:r>
      <w:r>
        <w:rPr>
          <w:sz w:val="20"/>
          <w:szCs w:val="20"/>
        </w:rPr>
        <w:t xml:space="preserve">99% </w:t>
      </w:r>
      <w:r w:rsidRPr="00355357">
        <w:rPr>
          <w:sz w:val="20"/>
          <w:szCs w:val="20"/>
        </w:rPr>
        <w:t xml:space="preserve"> </w:t>
      </w:r>
      <w:r>
        <w:rPr>
          <w:sz w:val="20"/>
          <w:szCs w:val="20"/>
        </w:rPr>
        <w:t>tikimybe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statistiškai reikšmingas koreliacinis ryšys su</w:t>
      </w:r>
      <w:r w:rsidRPr="001A1564">
        <w:rPr>
          <w:sz w:val="20"/>
          <w:szCs w:val="20"/>
        </w:rPr>
        <w:t xml:space="preserve"> 95%</w:t>
      </w:r>
      <w:r>
        <w:rPr>
          <w:sz w:val="20"/>
          <w:szCs w:val="20"/>
        </w:rPr>
        <w:t xml:space="preserve"> tikimybe (p &lt; 0,05).</w:t>
      </w:r>
    </w:p>
    <w:p w:rsidR="00FC6A12" w:rsidRDefault="00FC6A12" w:rsidP="00FC6A12">
      <w:r>
        <w:t>Atlikta koreliacinė analizė tarp priklausomų ir nepriklausomų tyrimo kintamųjų rodo, jog statistiškai reikšmingi ryšiai egzistuoja tik tarp dividendų pajamingumo mato ir akcijų pelningumų analizuojamais intervalais. Dividendų išmokėjimo koeficientas neturi stipraus koreliacinio ryšio su akcijų pelningumu analizuojamais intervalais, o dvejais atvejais įgyja ir neigiamas reikšmes.</w:t>
      </w:r>
    </w:p>
    <w:p w:rsidR="00FC6A12" w:rsidRDefault="00FC6A12" w:rsidP="00FC6A12">
      <w:r>
        <w:t>Tam, kad nustatyti koreliacinius ryšius tarp visų tyrimo kintamųjų, buvo sudaryta platesnė koreliacinė matrica (žr</w:t>
      </w:r>
      <w:r w:rsidR="00707DF4">
        <w:t>. 22 lent.</w:t>
      </w:r>
      <w:r>
        <w:t xml:space="preserve">), apimanti viso 14 kintamųjų. </w:t>
      </w:r>
    </w:p>
    <w:p w:rsidR="00FC6A12" w:rsidRPr="00057E7E" w:rsidRDefault="00BC05AE" w:rsidP="00BC05AE">
      <w:pPr>
        <w:pStyle w:val="Caption"/>
        <w:ind w:left="1134"/>
      </w:pPr>
      <w:bookmarkStart w:id="119" w:name="_Ref342668802"/>
      <w:r>
        <w:t xml:space="preserve"> </w:t>
      </w:r>
      <w:bookmarkStart w:id="120" w:name="_Ref343346986"/>
      <w:bookmarkStart w:id="121" w:name="_Toc343677840"/>
      <w:r w:rsidR="00FC6A12">
        <w:t>Nepriklausomų ir priklausomų tyrimo kintamųjų koreliacinė matrica</w:t>
      </w:r>
      <w:bookmarkEnd w:id="119"/>
      <w:bookmarkEnd w:id="120"/>
      <w:bookmarkEnd w:id="121"/>
    </w:p>
    <w:tbl>
      <w:tblPr>
        <w:tblW w:w="10080" w:type="dxa"/>
        <w:tblInd w:w="93" w:type="dxa"/>
        <w:tblBorders>
          <w:top w:val="single" w:sz="12" w:space="0" w:color="auto"/>
          <w:left w:val="single" w:sz="12" w:space="0" w:color="auto"/>
          <w:bottom w:val="single" w:sz="12" w:space="0" w:color="auto"/>
          <w:right w:val="single" w:sz="12" w:space="0" w:color="auto"/>
        </w:tblBorders>
        <w:tblLayout w:type="fixed"/>
        <w:tblLook w:val="04A0"/>
      </w:tblPr>
      <w:tblGrid>
        <w:gridCol w:w="1291"/>
        <w:gridCol w:w="992"/>
        <w:gridCol w:w="993"/>
        <w:gridCol w:w="992"/>
        <w:gridCol w:w="992"/>
        <w:gridCol w:w="992"/>
        <w:gridCol w:w="1134"/>
        <w:gridCol w:w="993"/>
        <w:gridCol w:w="850"/>
        <w:gridCol w:w="851"/>
      </w:tblGrid>
      <w:tr w:rsidR="00FC6A12" w:rsidRPr="00E300A1" w:rsidTr="00FC6A12">
        <w:trPr>
          <w:trHeight w:val="472"/>
        </w:trPr>
        <w:tc>
          <w:tcPr>
            <w:tcW w:w="1291" w:type="dxa"/>
            <w:tcBorders>
              <w:top w:val="single" w:sz="12" w:space="0" w:color="auto"/>
              <w:bottom w:val="single" w:sz="12" w:space="0" w:color="auto"/>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color w:val="000000"/>
                <w:sz w:val="20"/>
                <w:szCs w:val="20"/>
                <w:lang w:eastAsia="lt-LT"/>
              </w:rPr>
            </w:pPr>
            <w:r w:rsidRPr="006C3F5E">
              <w:rPr>
                <w:rFonts w:eastAsia="Times New Roman" w:cs="Times New Roman"/>
                <w:b/>
                <w:color w:val="000000"/>
                <w:sz w:val="20"/>
                <w:szCs w:val="20"/>
                <w:lang w:eastAsia="lt-LT"/>
              </w:rPr>
              <w:t>Kintamasis</w:t>
            </w:r>
          </w:p>
        </w:tc>
        <w:tc>
          <w:tcPr>
            <w:tcW w:w="992" w:type="dxa"/>
            <w:tcBorders>
              <w:top w:val="single" w:sz="12" w:space="0" w:color="auto"/>
              <w:left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lnAPYV</w:t>
            </w:r>
          </w:p>
        </w:tc>
        <w:tc>
          <w:tcPr>
            <w:tcW w:w="993"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M/B</w:t>
            </w:r>
          </w:p>
        </w:tc>
        <w:tc>
          <w:tcPr>
            <w:tcW w:w="992"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D/E</w:t>
            </w:r>
          </w:p>
        </w:tc>
        <w:tc>
          <w:tcPr>
            <w:tcW w:w="992"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CR</w:t>
            </w:r>
          </w:p>
        </w:tc>
        <w:tc>
          <w:tcPr>
            <w:tcW w:w="992"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ROE</w:t>
            </w:r>
          </w:p>
        </w:tc>
        <w:tc>
          <w:tcPr>
            <w:tcW w:w="1134"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w:t>
            </w:r>
            <w:r w:rsidR="002513C3">
              <w:rPr>
                <w:rFonts w:eastAsia="Times New Roman" w:cs="Times New Roman"/>
                <w:b/>
                <w:bCs/>
                <w:color w:val="000000"/>
                <w:sz w:val="20"/>
                <w:szCs w:val="20"/>
                <w:lang w:eastAsia="lt-LT"/>
              </w:rPr>
              <w:t>EBITDA</w:t>
            </w:r>
          </w:p>
        </w:tc>
        <w:tc>
          <w:tcPr>
            <w:tcW w:w="993"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RR</w:t>
            </w:r>
          </w:p>
        </w:tc>
        <w:tc>
          <w:tcPr>
            <w:tcW w:w="850"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RETE</w:t>
            </w:r>
          </w:p>
        </w:tc>
        <w:tc>
          <w:tcPr>
            <w:tcW w:w="851" w:type="dxa"/>
            <w:tcBorders>
              <w:top w:val="single" w:sz="12" w:space="0" w:color="auto"/>
              <w:bottom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lnTUR</w:t>
            </w:r>
          </w:p>
        </w:tc>
      </w:tr>
      <w:tr w:rsidR="00FC6A12" w:rsidRPr="00E300A1" w:rsidTr="00FC6A12">
        <w:trPr>
          <w:trHeight w:val="350"/>
        </w:trPr>
        <w:tc>
          <w:tcPr>
            <w:tcW w:w="1291" w:type="dxa"/>
            <w:tcBorders>
              <w:top w:val="single" w:sz="12" w:space="0" w:color="auto"/>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AAR(0)</w:t>
            </w:r>
          </w:p>
        </w:tc>
        <w:tc>
          <w:tcPr>
            <w:tcW w:w="992" w:type="dxa"/>
            <w:tcBorders>
              <w:top w:val="single" w:sz="12" w:space="0" w:color="auto"/>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0,08</w:t>
            </w:r>
          </w:p>
        </w:tc>
        <w:tc>
          <w:tcPr>
            <w:tcW w:w="993"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-0,06</w:t>
            </w:r>
          </w:p>
        </w:tc>
        <w:tc>
          <w:tcPr>
            <w:tcW w:w="992"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-0,08</w:t>
            </w:r>
          </w:p>
        </w:tc>
        <w:tc>
          <w:tcPr>
            <w:tcW w:w="992"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2"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1134"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-0,06</w:t>
            </w:r>
          </w:p>
        </w:tc>
        <w:tc>
          <w:tcPr>
            <w:tcW w:w="993"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-0,28***</w:t>
            </w:r>
          </w:p>
        </w:tc>
        <w:tc>
          <w:tcPr>
            <w:tcW w:w="850"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-0,08</w:t>
            </w:r>
          </w:p>
        </w:tc>
        <w:tc>
          <w:tcPr>
            <w:tcW w:w="851" w:type="dxa"/>
            <w:tcBorders>
              <w:top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r>
      <w:tr w:rsidR="00FC6A12" w:rsidRPr="00E300A1" w:rsidTr="00FC6A12">
        <w:trPr>
          <w:trHeight w:val="396"/>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CAAR[-3;1]</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-0,04</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0,04</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0,02</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-0,22**</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851"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0,07</w:t>
            </w:r>
          </w:p>
        </w:tc>
      </w:tr>
      <w:tr w:rsidR="00FC6A12" w:rsidRPr="00E300A1" w:rsidTr="00FC6A12">
        <w:trPr>
          <w:trHeight w:val="441"/>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CAAR[0;5]</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0,05</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-0,12</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0,00</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-0,06</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-0,22**</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0,07</w:t>
            </w:r>
          </w:p>
        </w:tc>
        <w:tc>
          <w:tcPr>
            <w:tcW w:w="851"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r>
      <w:tr w:rsidR="00FC6A12" w:rsidRPr="00E300A1" w:rsidTr="00FC6A12">
        <w:trPr>
          <w:trHeight w:val="335"/>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DY</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-0,10</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-0,29***</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0,25**</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0,10</w:t>
            </w:r>
          </w:p>
        </w:tc>
        <w:tc>
          <w:tcPr>
            <w:tcW w:w="1134" w:type="dxa"/>
            <w:shd w:val="clear" w:color="auto" w:fill="auto"/>
            <w:vAlign w:val="center"/>
            <w:hideMark/>
          </w:tcPr>
          <w:p w:rsidR="00FC6A12" w:rsidRPr="00B452F4" w:rsidRDefault="00FC6A12" w:rsidP="00FC6A12">
            <w:pPr>
              <w:spacing w:before="100" w:beforeAutospacing="1" w:after="100" w:afterAutospacing="1" w:line="240" w:lineRule="auto"/>
              <w:ind w:firstLine="0"/>
              <w:jc w:val="center"/>
              <w:rPr>
                <w:rFonts w:eastAsia="Times New Roman" w:cs="Times New Roman"/>
                <w:b/>
                <w:sz w:val="21"/>
                <w:szCs w:val="21"/>
                <w:lang w:val="en-US" w:eastAsia="lt-LT"/>
              </w:rPr>
            </w:pPr>
            <w:r w:rsidRPr="00B452F4">
              <w:rPr>
                <w:rFonts w:eastAsia="Times New Roman" w:cs="Times New Roman"/>
                <w:b/>
                <w:sz w:val="21"/>
                <w:szCs w:val="21"/>
                <w:lang w:eastAsia="lt-LT"/>
              </w:rPr>
              <w:t>-0,21</w:t>
            </w:r>
            <w:r>
              <w:rPr>
                <w:rFonts w:eastAsia="Times New Roman" w:cs="Times New Roman"/>
                <w:b/>
                <w:sz w:val="21"/>
                <w:szCs w:val="21"/>
                <w:lang w:val="en-US" w:eastAsia="lt-LT"/>
              </w:rPr>
              <w:t>**</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-0,44***</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-0,05</w:t>
            </w:r>
          </w:p>
        </w:tc>
        <w:tc>
          <w:tcPr>
            <w:tcW w:w="851"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0,10</w:t>
            </w: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DP</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0,05</w:t>
            </w:r>
          </w:p>
        </w:tc>
        <w:tc>
          <w:tcPr>
            <w:tcW w:w="993" w:type="dxa"/>
            <w:shd w:val="clear" w:color="auto" w:fill="auto"/>
            <w:vAlign w:val="center"/>
            <w:hideMark/>
          </w:tcPr>
          <w:p w:rsidR="00FC6A12" w:rsidRPr="00E66B0E" w:rsidRDefault="00FC6A12" w:rsidP="00FC6A12">
            <w:pPr>
              <w:spacing w:before="100" w:beforeAutospacing="1" w:after="100" w:afterAutospacing="1" w:line="240" w:lineRule="auto"/>
              <w:ind w:firstLine="0"/>
              <w:jc w:val="center"/>
              <w:rPr>
                <w:rFonts w:eastAsia="Times New Roman" w:cs="Times New Roman"/>
                <w:b/>
                <w:color w:val="000000"/>
                <w:sz w:val="21"/>
                <w:szCs w:val="21"/>
                <w:lang w:eastAsia="lt-LT"/>
              </w:rPr>
            </w:pPr>
            <w:r w:rsidRPr="00E66B0E">
              <w:rPr>
                <w:rFonts w:eastAsia="Times New Roman" w:cs="Times New Roman"/>
                <w:b/>
                <w:color w:val="000000"/>
                <w:sz w:val="21"/>
                <w:szCs w:val="21"/>
                <w:lang w:eastAsia="lt-LT"/>
              </w:rPr>
              <w:t>0,18</w:t>
            </w:r>
            <w:r>
              <w:rPr>
                <w:rFonts w:eastAsia="Times New Roman" w:cs="Times New Roman"/>
                <w:b/>
                <w:color w:val="000000"/>
                <w:sz w:val="21"/>
                <w:szCs w:val="21"/>
                <w:lang w:eastAsia="lt-LT"/>
              </w:rPr>
              <w:t>*</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-0,20**</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0,13</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0,29***</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0,04</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-0,26**</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0,07</w:t>
            </w:r>
          </w:p>
        </w:tc>
        <w:tc>
          <w:tcPr>
            <w:tcW w:w="851"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0,04</w:t>
            </w: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lnTUR</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val="en-US" w:eastAsia="lt-LT"/>
              </w:rPr>
            </w:pPr>
            <w:r w:rsidRPr="006C3F5E">
              <w:rPr>
                <w:rFonts w:eastAsia="Times New Roman" w:cs="Times New Roman"/>
                <w:b/>
                <w:bCs/>
                <w:color w:val="000000"/>
                <w:sz w:val="21"/>
                <w:szCs w:val="21"/>
                <w:lang w:eastAsia="lt-LT"/>
              </w:rPr>
              <w:t>0,69</w:t>
            </w:r>
            <w:r w:rsidRPr="006C3F5E">
              <w:rPr>
                <w:rFonts w:eastAsia="Times New Roman" w:cs="Times New Roman"/>
                <w:b/>
                <w:bCs/>
                <w:color w:val="000000"/>
                <w:sz w:val="21"/>
                <w:szCs w:val="21"/>
                <w:lang w:val="en-US" w:eastAsia="lt-LT"/>
              </w:rPr>
              <w:t>***</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-0,04</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-0,62***</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0,02</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-0,29***</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-0,14</w:t>
            </w:r>
          </w:p>
        </w:tc>
        <w:tc>
          <w:tcPr>
            <w:tcW w:w="851"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RETE</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0,13</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0,13</w:t>
            </w:r>
          </w:p>
        </w:tc>
        <w:tc>
          <w:tcPr>
            <w:tcW w:w="992" w:type="dxa"/>
            <w:shd w:val="clear" w:color="auto" w:fill="auto"/>
            <w:vAlign w:val="center"/>
            <w:hideMark/>
          </w:tcPr>
          <w:p w:rsidR="00FC6A12" w:rsidRPr="00E66B0E" w:rsidRDefault="00FC6A12" w:rsidP="00FC6A12">
            <w:pPr>
              <w:spacing w:before="100" w:beforeAutospacing="1" w:after="100" w:afterAutospacing="1" w:line="240" w:lineRule="auto"/>
              <w:ind w:firstLine="0"/>
              <w:jc w:val="center"/>
              <w:rPr>
                <w:rFonts w:eastAsia="Times New Roman" w:cs="Times New Roman"/>
                <w:b/>
                <w:color w:val="000000"/>
                <w:sz w:val="21"/>
                <w:szCs w:val="21"/>
                <w:lang w:val="en-US" w:eastAsia="lt-LT"/>
              </w:rPr>
            </w:pPr>
            <w:r w:rsidRPr="00E66B0E">
              <w:rPr>
                <w:rFonts w:eastAsia="Times New Roman" w:cs="Times New Roman"/>
                <w:b/>
                <w:color w:val="000000"/>
                <w:sz w:val="21"/>
                <w:szCs w:val="21"/>
                <w:lang w:eastAsia="lt-LT"/>
              </w:rPr>
              <w:t>0,17</w:t>
            </w:r>
            <w:r w:rsidRPr="00E66B0E">
              <w:rPr>
                <w:rFonts w:eastAsia="Times New Roman" w:cs="Times New Roman"/>
                <w:b/>
                <w:color w:val="000000"/>
                <w:sz w:val="21"/>
                <w:szCs w:val="21"/>
                <w:lang w:val="en-US" w:eastAsia="lt-LT"/>
              </w:rPr>
              <w:t>*</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0,23**</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0,05</w:t>
            </w:r>
          </w:p>
        </w:tc>
        <w:tc>
          <w:tcPr>
            <w:tcW w:w="850"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RR</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-0,16</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0,09</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0,35***</w:t>
            </w:r>
          </w:p>
        </w:tc>
        <w:tc>
          <w:tcPr>
            <w:tcW w:w="1134" w:type="dxa"/>
            <w:shd w:val="clear" w:color="auto" w:fill="auto"/>
            <w:vAlign w:val="center"/>
            <w:hideMark/>
          </w:tcPr>
          <w:p w:rsidR="00FC6A12" w:rsidRPr="00E66B0E" w:rsidRDefault="00FC6A12" w:rsidP="00FC6A12">
            <w:pPr>
              <w:spacing w:before="100" w:beforeAutospacing="1" w:after="100" w:afterAutospacing="1" w:line="240" w:lineRule="auto"/>
              <w:ind w:firstLine="0"/>
              <w:jc w:val="center"/>
              <w:rPr>
                <w:rFonts w:eastAsia="Times New Roman" w:cs="Times New Roman"/>
                <w:b/>
                <w:color w:val="000000"/>
                <w:sz w:val="21"/>
                <w:szCs w:val="21"/>
                <w:lang w:eastAsia="lt-LT"/>
              </w:rPr>
            </w:pPr>
            <w:r w:rsidRPr="00E66B0E">
              <w:rPr>
                <w:rFonts w:eastAsia="Times New Roman" w:cs="Times New Roman"/>
                <w:b/>
                <w:color w:val="000000"/>
                <w:sz w:val="21"/>
                <w:szCs w:val="21"/>
                <w:lang w:eastAsia="lt-LT"/>
              </w:rPr>
              <w:t>0,17</w:t>
            </w:r>
            <w:r>
              <w:rPr>
                <w:rFonts w:eastAsia="Times New Roman" w:cs="Times New Roman"/>
                <w:b/>
                <w:color w:val="000000"/>
                <w:sz w:val="21"/>
                <w:szCs w:val="21"/>
                <w:lang w:eastAsia="lt-LT"/>
              </w:rPr>
              <w:t>*</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w:t>
            </w:r>
            <w:r w:rsidR="002513C3">
              <w:rPr>
                <w:rFonts w:eastAsia="Times New Roman" w:cs="Times New Roman"/>
                <w:b/>
                <w:bCs/>
                <w:color w:val="000000"/>
                <w:sz w:val="20"/>
                <w:szCs w:val="20"/>
                <w:lang w:eastAsia="lt-LT"/>
              </w:rPr>
              <w:t>EBITDA</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0,07</w:t>
            </w:r>
            <w:r>
              <w:rPr>
                <w:rFonts w:eastAsia="Times New Roman" w:cs="Times New Roman"/>
                <w:color w:val="000000"/>
                <w:sz w:val="21"/>
                <w:szCs w:val="21"/>
                <w:lang w:eastAsia="lt-LT"/>
              </w:rPr>
              <w:t xml:space="preserve"> </w:t>
            </w:r>
          </w:p>
        </w:tc>
        <w:tc>
          <w:tcPr>
            <w:tcW w:w="993" w:type="dxa"/>
            <w:shd w:val="clear" w:color="auto" w:fill="auto"/>
            <w:vAlign w:val="center"/>
            <w:hideMark/>
          </w:tcPr>
          <w:p w:rsidR="00FC6A12" w:rsidRPr="00E66B0E" w:rsidRDefault="00FC6A12" w:rsidP="00FC6A12">
            <w:pPr>
              <w:spacing w:before="100" w:beforeAutospacing="1" w:after="100" w:afterAutospacing="1" w:line="240" w:lineRule="auto"/>
              <w:ind w:firstLine="0"/>
              <w:jc w:val="center"/>
              <w:rPr>
                <w:rFonts w:eastAsia="Times New Roman" w:cs="Times New Roman"/>
                <w:b/>
                <w:color w:val="000000"/>
                <w:sz w:val="21"/>
                <w:szCs w:val="21"/>
                <w:lang w:eastAsia="lt-LT"/>
              </w:rPr>
            </w:pPr>
            <w:r w:rsidRPr="00E66B0E">
              <w:rPr>
                <w:rFonts w:eastAsia="Times New Roman" w:cs="Times New Roman"/>
                <w:b/>
                <w:color w:val="000000"/>
                <w:sz w:val="21"/>
                <w:szCs w:val="21"/>
                <w:lang w:eastAsia="lt-LT"/>
              </w:rPr>
              <w:t>0,17</w:t>
            </w:r>
            <w:r>
              <w:rPr>
                <w:rFonts w:eastAsia="Times New Roman" w:cs="Times New Roman"/>
                <w:b/>
                <w:color w:val="000000"/>
                <w:sz w:val="21"/>
                <w:szCs w:val="21"/>
                <w:lang w:eastAsia="lt-LT"/>
              </w:rPr>
              <w:t>*</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0,06</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-0,09</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0,25**</w:t>
            </w:r>
          </w:p>
        </w:tc>
        <w:tc>
          <w:tcPr>
            <w:tcW w:w="1134"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ROE</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0,21**</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0,58***</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0,03</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0,01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1134"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CR</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-0,57***</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-0,11</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-0,53***</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1134"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D/E</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0,27***</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0,16</w:t>
            </w:r>
          </w:p>
        </w:tc>
        <w:tc>
          <w:tcPr>
            <w:tcW w:w="992"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1134"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20"/>
        </w:trPr>
        <w:tc>
          <w:tcPr>
            <w:tcW w:w="1291" w:type="dxa"/>
            <w:tcBorders>
              <w:top w:val="nil"/>
              <w:bottom w:val="nil"/>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M/B</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1"/>
                <w:szCs w:val="21"/>
                <w:lang w:eastAsia="lt-LT"/>
              </w:rPr>
            </w:pPr>
            <w:r w:rsidRPr="006C3F5E">
              <w:rPr>
                <w:rFonts w:eastAsia="Times New Roman" w:cs="Times New Roman"/>
                <w:b/>
                <w:bCs/>
                <w:color w:val="000000"/>
                <w:sz w:val="21"/>
                <w:szCs w:val="21"/>
                <w:lang w:eastAsia="lt-LT"/>
              </w:rPr>
              <w:t>0,37***</w:t>
            </w:r>
          </w:p>
        </w:tc>
        <w:tc>
          <w:tcPr>
            <w:tcW w:w="993" w:type="dxa"/>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1134"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r w:rsidR="00FC6A12" w:rsidRPr="00E300A1" w:rsidTr="00FC6A12">
        <w:trPr>
          <w:trHeight w:val="335"/>
        </w:trPr>
        <w:tc>
          <w:tcPr>
            <w:tcW w:w="1291" w:type="dxa"/>
            <w:tcBorders>
              <w:top w:val="nil"/>
              <w:bottom w:val="single" w:sz="12" w:space="0" w:color="auto"/>
              <w:right w:val="single" w:sz="12" w:space="0" w:color="auto"/>
            </w:tcBorders>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b/>
                <w:bCs/>
                <w:color w:val="000000"/>
                <w:sz w:val="20"/>
                <w:szCs w:val="20"/>
                <w:lang w:eastAsia="lt-LT"/>
              </w:rPr>
            </w:pPr>
            <w:r w:rsidRPr="006C3F5E">
              <w:rPr>
                <w:rFonts w:eastAsia="Times New Roman" w:cs="Times New Roman"/>
                <w:b/>
                <w:bCs/>
                <w:color w:val="000000"/>
                <w:sz w:val="20"/>
                <w:szCs w:val="20"/>
                <w:lang w:eastAsia="lt-LT"/>
              </w:rPr>
              <w:t>lnAPYV</w:t>
            </w:r>
          </w:p>
        </w:tc>
        <w:tc>
          <w:tcPr>
            <w:tcW w:w="992" w:type="dxa"/>
            <w:tcBorders>
              <w:left w:val="single" w:sz="12" w:space="0" w:color="auto"/>
            </w:tcBorders>
            <w:shd w:val="clear" w:color="auto" w:fill="auto"/>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r w:rsidRPr="006C3F5E">
              <w:rPr>
                <w:rFonts w:eastAsia="Times New Roman" w:cs="Times New Roman"/>
                <w:color w:val="000000"/>
                <w:sz w:val="21"/>
                <w:szCs w:val="21"/>
                <w:lang w:eastAsia="lt-LT"/>
              </w:rPr>
              <w:t>1</w:t>
            </w: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2"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1134"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993"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0"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c>
          <w:tcPr>
            <w:tcW w:w="851" w:type="dxa"/>
            <w:shd w:val="clear" w:color="auto" w:fill="auto"/>
            <w:noWrap/>
            <w:vAlign w:val="center"/>
            <w:hideMark/>
          </w:tcPr>
          <w:p w:rsidR="00FC6A12" w:rsidRPr="006C3F5E" w:rsidRDefault="00FC6A12" w:rsidP="00FC6A12">
            <w:pPr>
              <w:spacing w:before="100" w:beforeAutospacing="1" w:after="100" w:afterAutospacing="1" w:line="240" w:lineRule="auto"/>
              <w:ind w:firstLine="0"/>
              <w:jc w:val="center"/>
              <w:rPr>
                <w:rFonts w:eastAsia="Times New Roman" w:cs="Times New Roman"/>
                <w:color w:val="000000"/>
                <w:sz w:val="21"/>
                <w:szCs w:val="21"/>
                <w:lang w:eastAsia="lt-LT"/>
              </w:rPr>
            </w:pPr>
          </w:p>
        </w:tc>
      </w:tr>
    </w:tbl>
    <w:p w:rsidR="00FC6A12" w:rsidRPr="001A1564" w:rsidRDefault="00FC6A12" w:rsidP="00FC6A12">
      <w:pPr>
        <w:spacing w:line="240" w:lineRule="auto"/>
        <w:rPr>
          <w:sz w:val="20"/>
          <w:szCs w:val="20"/>
        </w:rPr>
      </w:pPr>
      <w:r>
        <w:rPr>
          <w:sz w:val="20"/>
          <w:szCs w:val="20"/>
        </w:rPr>
        <w:t>Čia:</w:t>
      </w:r>
      <w:r>
        <w:rPr>
          <w:sz w:val="20"/>
          <w:szCs w:val="20"/>
        </w:rPr>
        <w:tab/>
      </w:r>
      <w:r w:rsidRPr="001A1564">
        <w:rPr>
          <w:b/>
          <w:sz w:val="20"/>
          <w:szCs w:val="20"/>
        </w:rPr>
        <w:t>*</w:t>
      </w:r>
      <w:r w:rsidRPr="007E6BD1">
        <w:rPr>
          <w:b/>
          <w:sz w:val="20"/>
          <w:szCs w:val="20"/>
        </w:rPr>
        <w:t>**</w:t>
      </w:r>
      <w:r>
        <w:rPr>
          <w:b/>
          <w:sz w:val="20"/>
          <w:szCs w:val="20"/>
        </w:rPr>
        <w:t xml:space="preserve"> </w:t>
      </w:r>
      <w:r>
        <w:rPr>
          <w:sz w:val="20"/>
          <w:szCs w:val="20"/>
        </w:rPr>
        <w:t>statistiškai reikšmingas koreliacinis ryšys su</w:t>
      </w:r>
      <w:r w:rsidRPr="001A1564">
        <w:rPr>
          <w:sz w:val="20"/>
          <w:szCs w:val="20"/>
        </w:rPr>
        <w:t xml:space="preserve"> </w:t>
      </w:r>
      <w:r>
        <w:rPr>
          <w:sz w:val="20"/>
          <w:szCs w:val="20"/>
        </w:rPr>
        <w:t xml:space="preserve">99% </w:t>
      </w:r>
      <w:r w:rsidRPr="00355357">
        <w:rPr>
          <w:sz w:val="20"/>
          <w:szCs w:val="20"/>
        </w:rPr>
        <w:t xml:space="preserve"> </w:t>
      </w:r>
      <w:r>
        <w:rPr>
          <w:sz w:val="20"/>
          <w:szCs w:val="20"/>
        </w:rPr>
        <w:t>tikimybe (p</w:t>
      </w:r>
      <w:r w:rsidRPr="001A1564">
        <w:rPr>
          <w:sz w:val="20"/>
          <w:szCs w:val="20"/>
        </w:rPr>
        <w:t xml:space="preserve"> &lt; 0,01);</w:t>
      </w:r>
    </w:p>
    <w:p w:rsidR="00FC6A12" w:rsidRDefault="00FC6A12" w:rsidP="00FC6A12">
      <w:pPr>
        <w:spacing w:before="0" w:line="240" w:lineRule="auto"/>
        <w:ind w:firstLine="1296"/>
        <w:rPr>
          <w:sz w:val="20"/>
          <w:szCs w:val="20"/>
        </w:rPr>
      </w:pPr>
      <w:r w:rsidRPr="007E6BD1">
        <w:rPr>
          <w:b/>
          <w:sz w:val="20"/>
          <w:szCs w:val="20"/>
        </w:rPr>
        <w:t>**</w:t>
      </w:r>
      <w:r>
        <w:rPr>
          <w:sz w:val="20"/>
          <w:szCs w:val="20"/>
        </w:rPr>
        <w:t xml:space="preserve"> statistiškai reikšmingas koreliacinis ryšys su</w:t>
      </w:r>
      <w:r w:rsidRPr="001A1564">
        <w:rPr>
          <w:sz w:val="20"/>
          <w:szCs w:val="20"/>
        </w:rPr>
        <w:t xml:space="preserve"> 95%</w:t>
      </w:r>
      <w:r>
        <w:rPr>
          <w:sz w:val="20"/>
          <w:szCs w:val="20"/>
        </w:rPr>
        <w:t xml:space="preserve"> tikimybe (p</w:t>
      </w:r>
      <w:r w:rsidRPr="001A1564">
        <w:rPr>
          <w:sz w:val="20"/>
          <w:szCs w:val="20"/>
        </w:rPr>
        <w:t xml:space="preserve"> &lt; 0,05);</w:t>
      </w:r>
    </w:p>
    <w:p w:rsidR="00FC6A12" w:rsidRPr="00E66B0E" w:rsidRDefault="00FC6A12" w:rsidP="00FC6A12">
      <w:pPr>
        <w:spacing w:before="0" w:line="240" w:lineRule="auto"/>
        <w:ind w:firstLine="1296"/>
        <w:rPr>
          <w:sz w:val="20"/>
          <w:szCs w:val="20"/>
          <w:lang w:val="en-US"/>
        </w:rPr>
      </w:pPr>
      <w:r w:rsidRPr="00E66B0E">
        <w:rPr>
          <w:b/>
          <w:sz w:val="20"/>
          <w:szCs w:val="20"/>
        </w:rPr>
        <w:t xml:space="preserve">* </w:t>
      </w:r>
      <w:r w:rsidRPr="00E66B0E">
        <w:rPr>
          <w:sz w:val="20"/>
          <w:szCs w:val="20"/>
        </w:rPr>
        <w:t xml:space="preserve">statistiškai reikšmingas koreliacinis ryšys su </w:t>
      </w:r>
      <w:r w:rsidRPr="00E66B0E">
        <w:rPr>
          <w:sz w:val="20"/>
          <w:szCs w:val="20"/>
          <w:lang w:val="en-US"/>
        </w:rPr>
        <w:t>90% tikimybe (p &lt; 0,10).</w:t>
      </w:r>
    </w:p>
    <w:p w:rsidR="00FC6A12" w:rsidRPr="00E346DC" w:rsidRDefault="00FC6A12" w:rsidP="00FC6A12">
      <w:r>
        <w:br w:type="page"/>
      </w:r>
      <w:r>
        <w:lastRenderedPageBreak/>
        <w:t xml:space="preserve">Gauti rezultatai rodo, jog stiprios, arba labai stiprios kintamųjų tarpusavio priklausomybės nenustatyta. Taip pat kontrolinių nepriklausomų kintamųjų, išskyrus nepaskirstyto pelno rodiklio (RR), reikšmės nekoreliuoja su akcijų pelningumais dividendų paskelbimo dienomis. Vidutinės tarpusavio priklausomybės ryšiai tarp nepriklausomų kintamųjų pasireiškia </w:t>
      </w:r>
      <w:r w:rsidRPr="00E346DC">
        <w:t>5</w:t>
      </w:r>
      <w:r>
        <w:t xml:space="preserve"> atvejais.</w:t>
      </w:r>
    </w:p>
    <w:p w:rsidR="00FC6A12" w:rsidRDefault="00FC6A12" w:rsidP="00FC6A12">
      <w:r>
        <w:t xml:space="preserve">Logaritiminė apyvartumo išraiška (lnAPYV) koreliuoja su logaritmine viso turto (lnTUR) išraiška. Iš dalies koreliacinis ryšys gali egzistuoti dėl apskaičiuotų logaritminių reikšmių, tačiau neatmetama, jog kuo didesnė yra įmonė, tuo jos akcijomis aktyviau prekiaujama akcijų biržoje. Silpna teigiama priklausomybė tarp Apyvartumo ir ROE rodiklio rodo, jog kuo didesnė dividendinės įmonės kapitalo grąža, tuo įmonės akcijos patrauklesnės rinkoje. Panašaus stiprumo teigiama priklausomybė tarp šio rodiklio ir sverto (D/E) bei tikrosios vertės (M/B) rodiklių rodo, jog kuo didesnis įmonės įsiskolinimų ir savininkų nuosavybės santykis, ir kuo labiau įmonės rinkos kaina viršija jos buhalterinę vertę, tuo akcijų prekybos apyvarta didesnė. Vidutinio stiprumo neigiama priklausomybė tarp likvidumo koeficiento (CR) ir apyvartumo rodo, jog įmonės, efektyviau valdančios trumpalaikius įsipareigojimus negeneruoja didesnių apyvartų akcijų rinkoje nei priešingu atveju. </w:t>
      </w:r>
    </w:p>
    <w:p w:rsidR="00FC6A12" w:rsidRDefault="00FC6A12" w:rsidP="00FC6A12">
      <w:r>
        <w:t>Vidutinio stiprumo teigiamas tarpusavio priklausomybės ryšys tarp įmonės tikrosios vertės (M/B) rodiklio ir nuosavo kapitalo grąžos (ROE) rodo, jog kuo didesnė įmonės nuosavo kapitalo grąža, tuo labiau jos akcijos kaina rinkoje viršija jog buhalterinę vertę.</w:t>
      </w:r>
    </w:p>
    <w:p w:rsidR="00FC6A12" w:rsidRDefault="00FC6A12" w:rsidP="00FC6A12">
      <w:r>
        <w:t>Neigiamas ir silpnas tarpusavio priklausomybės ryšys tarp įmonės sverto (D/E) ir dividendų pelningumo (DY), dividendų išmokėjimo lygio (DP) rodiklių, rodo jog kuo labiau įmonė įsiskolinusi, tuo labiau tikėtina, jog įmonės dividendų politikos rodikliai keisis į neigiamą pusę ir tuo didesnė tikimybė, jog įmonė apskritai nuspręs dividendų akcininkams neišmokėti. Teigiamas ir silpnas tarpusavio priklausomybės ryšys tarp įmonės sverto rodiklio ir nepaskirstyto pelno (RR) rodiklio, rodo, jog įmonė turėdama skolų bus labiau linkusi didesnę dalį per metus uždirbto pelno atidėti nepaskirstytam pelnui. Neigiamas ir vidutinio stiprumo ryšys tarp sverto rodiklio ir likvidumo koeficiento (CR) rodo, jog kuo įmonė efektyviau turtu padengia trumpalaikius įsipareigojimus, tuo mažesnė yra ir įmonės skola, lyginant su akciniu kapitalu.</w:t>
      </w:r>
    </w:p>
    <w:p w:rsidR="00FC6A12" w:rsidRDefault="00FC6A12" w:rsidP="00FC6A12">
      <w:r>
        <w:t>Teigiamas ir silpnas tarpusavio priklausomybės ryšys tarp įmonės likvidumo koeficiento (CR) ir dividendų pajamingumo (DY), rodo, jog kuo įmonė efektyviau valdo trumpalaikius įsipareigojimus, tuo palankesnis yra santykis tarp išmokamų dividendų ir akcijos kainos. Tuo tarpu, neigiamas ir vidutinio stiprumo tarpusavio priklausomybės ryšys tarp  įmonės likvidumo koeficiento ir logaritminės viso turto išraiškos (lnTUR) rodo, jog kuo įmonė turi mažiau ilgalaikio turto, tuo efektyviau valdo trumpalaikius įsipareigojimus.</w:t>
      </w:r>
    </w:p>
    <w:p w:rsidR="00FC6A12" w:rsidRPr="005A5B22" w:rsidRDefault="00FC6A12" w:rsidP="00FC6A12">
      <w:r>
        <w:lastRenderedPageBreak/>
        <w:t>Teigiamas, tačiau silpnas tarpusavio priklausomybės ryšys tarp nuosavo kapitalo grąžos ir dividendų išmokėjimo rodiklio (DP) rodo, jog kuo įmonė generuoja didesnę grąžą akcijų savininkams, tuo, tikėtina, bus didesnė pelno dalis išmokama akcininkams dividendais. Nissim ir Ziv (</w:t>
      </w:r>
      <w:r w:rsidRPr="008C6A81">
        <w:t>2001) taip pat pastebi, jog dividend</w:t>
      </w:r>
      <w:r>
        <w:t>ų pokytis turi teigiamą koreliacinį ryšį su praėjusių fiskalinių metų ROE rodikliu, ką iš dalies įtakoja grynojo pelno reikšmė, kuri naudojama apskaičiuojant abu rodiklius. Visgi ROE rodiklis taip pat turi tarpusavio priklausomybės ryšį su nepaskirstyto pelno rodikliais (RETE ir RR), kas rodo, jog įmonė uždirbdama didesnį pelną, tenkantį akciniam kapitalui, bus labiau linkusi ne vien tik išmokėti dividendus, bet ir atidėti tam tikrą sumą pinigų kaip nepaskirstytą pelną, t.y. įmonės nėra linkę viso gauto pelno išmokėti akcininkams dividendų pavidalu. Khan (</w:t>
      </w:r>
      <w:r w:rsidRPr="005A5B22">
        <w:t>2</w:t>
      </w:r>
      <w:r>
        <w:t>012) taip pat nustatė reikšmingą koreliacinį ryšį tarp ROE ir nepaskirstytojo pelno (RR) rodiklio.</w:t>
      </w:r>
    </w:p>
    <w:p w:rsidR="00FC6A12" w:rsidRDefault="00FC6A12" w:rsidP="00FC6A12">
      <w:r>
        <w:t xml:space="preserve">Neigiamas, silpnas koreliacinis ryšys tarp EBITDA pokyčio ir dividendų pajamingumo (DY), ir teigiamas, silpnas ryšys tarp EBITDA ir nepaskirstyto pelno rodiklio (RR) tarp  rodo, jog įmonės uždirbdamos didesnį pelną prieš </w:t>
      </w:r>
      <w:r w:rsidR="00C8244D">
        <w:t>palūkanas, mokesčius, nuvertėjimą ir amortizaciją</w:t>
      </w:r>
      <w:r>
        <w:t xml:space="preserve">, lyginant su ankstesnių metų rezultatu, yra linkę labiau pelną priskirti nepaskirstytam pelnui. Tuo tarpu pelningumo augimas, daugeliu atveju nereiškia atitinkamai didesnio dividendinio pajamingumo, kas gali būti paaiškinama išaugusiomis akcijų rinkos kainomis dėl geresnių rezultatų. </w:t>
      </w:r>
    </w:p>
    <w:p w:rsidR="00FC6A12" w:rsidRDefault="00FC6A12" w:rsidP="00FC6A12">
      <w:r>
        <w:t>Einamųjų metų nepaskirstyto pelno rodiklio (RR) reikšmė dėl skaičiavimo metodikos natūraliai neigiamai koreliuoja dividendų išmokėjimo (DP) reikšme. Taip pat didesnis nepaskirstyto pelno lygis turi vidutiniškai silpną ryšį su dividendiniu pajamingumu (DY). Taigi, kuo didesnę dalį pelno įmonė linkusi atidėti, tuo, tikėtina, bus mažesnis ir akcijos dividendų pajamingumas. Taip pat kuo didesnis įmonės turtas, tuo įmonė bus mažiau linkusi kaupti nepaskirstytą pelną. Nepaskirstyto pelno rodiklis (RR), skirtingai nei kitais atvejais, turėjo statistiškai reikšmingą neigiamą ryšį su akcijų pelningumu dividendų paskelbimo atveju.</w:t>
      </w:r>
    </w:p>
    <w:p w:rsidR="00FC6A12" w:rsidRPr="008C6A81" w:rsidRDefault="00FC6A12" w:rsidP="00FC6A12">
      <w:r>
        <w:t>Koreliacinės analizės rezultatai rodo, jog dividendinis pajamingumas koreliuoja su akcijų pelningumais analizuojamais periodais, ką parodė ir prieš tai atlikta dividendų politikos rodiklių įtakos akcijų pelningumui analizė. Fundamentinių kriterijų įtaka akcijų kainoms dividendų paskelbimo dienomis nepasireiškia reikšmingomis tarpusavio koreliacijomis, nors dividendų politikos rodikliai tarpusavyje koreliuoja su daugeliu fundamentinių rodiklių.</w:t>
      </w:r>
    </w:p>
    <w:p w:rsidR="00FC6A12" w:rsidRDefault="00FC6A12" w:rsidP="00B64EEA">
      <w:pPr>
        <w:pStyle w:val="Heading3"/>
        <w:numPr>
          <w:ilvl w:val="0"/>
          <w:numId w:val="29"/>
        </w:numPr>
        <w:rPr>
          <w:rFonts w:eastAsiaTheme="majorEastAsia"/>
        </w:rPr>
      </w:pPr>
      <w:bookmarkStart w:id="122" w:name="_Toc343677764"/>
      <w:r>
        <w:rPr>
          <w:rFonts w:eastAsiaTheme="majorEastAsia"/>
        </w:rPr>
        <w:t>Daugiakriterinis fundamentinių rodiklių įtakos akcijų pelningumui vertinimas</w:t>
      </w:r>
      <w:bookmarkEnd w:id="122"/>
    </w:p>
    <w:p w:rsidR="00FC6A12" w:rsidRDefault="00FC6A12" w:rsidP="00FC6A12">
      <w:r>
        <w:t xml:space="preserve">Paskutinės tyrimo dalies tikslas yra įvertinti šio darbo metodologinėje dalyje iškeltos hipotezės mokslinę naudą, įvertinant ar daugiakriteriniai modeliai gali paaiškinti </w:t>
      </w:r>
      <w:r w:rsidRPr="00C8244D">
        <w:rPr>
          <w:i/>
        </w:rPr>
        <w:t>OMX Baltic</w:t>
      </w:r>
      <w:r>
        <w:t xml:space="preserve"> dividendinių akcijų pelningumą skirtingais laiko momentais dividendų paskelbimo dienomis, kuomet pagrindiniai </w:t>
      </w:r>
      <w:r>
        <w:lastRenderedPageBreak/>
        <w:t>nepriklausomi kintamieji yra dividendų politikos rodikliai: dividendinis pajamingumas (DY) ir dividendų išmokėjimo koeficientas (DP).</w:t>
      </w:r>
    </w:p>
    <w:p w:rsidR="00FC6A12" w:rsidRDefault="00FC6A12" w:rsidP="00FC6A12">
      <w:r>
        <w:t xml:space="preserve">Tam, kad nustatyti tyrimo nepriklausomų kintamųjų (dividendų politikos rodiklių ir kontrolinių rodiklių) įtaką akcijų kainoms, panaudoti dviejų efektų modeliai: fiksuoto efekto, atsitiktinio efekto. Žyminiais kriterijais parinkti dividendų pajamingumo sumažėjimo (DY_D) ir padidėjimo informacija (DY_I), darant prielaidą, jog ši informacija yra labiausiai aktuali investuotojams ir įmonių vadovybei. </w:t>
      </w:r>
    </w:p>
    <w:p w:rsidR="00FC6A12" w:rsidRDefault="00FC6A12" w:rsidP="00FC6A12">
      <w:r w:rsidRPr="00081304">
        <w:rPr>
          <w:b/>
        </w:rPr>
        <w:t>Racionalūs lūkesčiai.</w:t>
      </w:r>
      <w:r>
        <w:t xml:space="preserve"> Kuomet planuojama tam tikras akcijas įsigyti (stebėti) trys dienos prieš dividendų paskelbimą ir viso išlaikant jas keturias dienas, tikimasi</w:t>
      </w:r>
      <w:r w:rsidRPr="00AA1AD2">
        <w:t xml:space="preserve"> </w:t>
      </w:r>
      <w:r>
        <w:t xml:space="preserve">racionaliais lūkesčiais pagrįsto akcijų pelningumo CAAR[-3;1]. Kai CAAR[-3;1] laikomas priklausomu kintamuoju, tuomet apskaičiuojami nepriklausomų kintamųjų </w:t>
      </w:r>
      <w:r w:rsidRPr="00AA1AD2">
        <w:rPr>
          <w:i/>
        </w:rPr>
        <w:t>beta</w:t>
      </w:r>
      <w:r>
        <w:t xml:space="preserve"> koeficientai, ir įvertinami skirtingo efekto modeliai (žr. </w:t>
      </w:r>
      <w:r w:rsidR="00707DF4">
        <w:t>23 lent.</w:t>
      </w:r>
      <w:r>
        <w:t>).</w:t>
      </w:r>
    </w:p>
    <w:p w:rsidR="00FC6A12" w:rsidRDefault="00BC05AE" w:rsidP="006F517F">
      <w:pPr>
        <w:pStyle w:val="Caption"/>
        <w:ind w:left="1134" w:hanging="1134"/>
      </w:pPr>
      <w:bookmarkStart w:id="123" w:name="_Ref342822834"/>
      <w:bookmarkStart w:id="124" w:name="_Ref343347021"/>
      <w:r>
        <w:t xml:space="preserve"> </w:t>
      </w:r>
      <w:bookmarkStart w:id="125" w:name="_Toc343677841"/>
      <w:r w:rsidR="006F517F">
        <w:t>CAAR[-3;1] kriterijaus f</w:t>
      </w:r>
      <w:r w:rsidR="00FC6A12">
        <w:t>iksuoto ir atsitiktinio efekto modelių charakteristikos</w:t>
      </w:r>
      <w:bookmarkEnd w:id="123"/>
      <w:bookmarkEnd w:id="125"/>
      <w:r w:rsidR="00FC6A12" w:rsidRPr="00807983">
        <w:t xml:space="preserve"> </w:t>
      </w:r>
      <w:bookmarkEnd w:id="124"/>
    </w:p>
    <w:tbl>
      <w:tblPr>
        <w:tblW w:w="9938"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60"/>
        <w:gridCol w:w="2908"/>
        <w:gridCol w:w="1289"/>
        <w:gridCol w:w="1032"/>
        <w:gridCol w:w="774"/>
        <w:gridCol w:w="646"/>
        <w:gridCol w:w="1128"/>
        <w:gridCol w:w="992"/>
        <w:gridCol w:w="709"/>
      </w:tblGrid>
      <w:tr w:rsidR="00FC6A12" w:rsidRPr="00D6112D" w:rsidTr="00FC6A12">
        <w:trPr>
          <w:trHeight w:val="341"/>
        </w:trPr>
        <w:tc>
          <w:tcPr>
            <w:tcW w:w="4657" w:type="dxa"/>
            <w:gridSpan w:val="3"/>
            <w:vMerge w:val="restart"/>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lang w:eastAsia="zh-CN"/>
              </w:rPr>
            </w:pPr>
            <w:r w:rsidRPr="00D6112D">
              <w:rPr>
                <w:rFonts w:eastAsia="Times New Roman" w:cs="Times New Roman"/>
                <w:b/>
                <w:bCs/>
                <w:color w:val="000000"/>
                <w:sz w:val="22"/>
                <w:lang w:eastAsia="zh-CN"/>
              </w:rPr>
              <w:t>Nepriklausomi kintamieji</w:t>
            </w:r>
          </w:p>
        </w:tc>
        <w:tc>
          <w:tcPr>
            <w:tcW w:w="2452" w:type="dxa"/>
            <w:gridSpan w:val="3"/>
            <w:tcBorders>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lang w:eastAsia="zh-CN"/>
              </w:rPr>
            </w:pPr>
            <w:r w:rsidRPr="00D6112D">
              <w:rPr>
                <w:rFonts w:eastAsia="Times New Roman" w:cs="Times New Roman"/>
                <w:b/>
                <w:bCs/>
                <w:color w:val="000000"/>
                <w:sz w:val="22"/>
                <w:lang w:eastAsia="zh-CN"/>
              </w:rPr>
              <w:t xml:space="preserve">Fiksuotas </w:t>
            </w:r>
            <w:r>
              <w:rPr>
                <w:rFonts w:eastAsia="Times New Roman" w:cs="Times New Roman"/>
                <w:b/>
                <w:bCs/>
                <w:color w:val="000000"/>
                <w:sz w:val="22"/>
                <w:lang w:eastAsia="zh-CN"/>
              </w:rPr>
              <w:t>efektas</w:t>
            </w:r>
          </w:p>
        </w:tc>
        <w:tc>
          <w:tcPr>
            <w:tcW w:w="2829" w:type="dxa"/>
            <w:gridSpan w:val="3"/>
            <w:tcBorders>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lang w:eastAsia="zh-CN"/>
              </w:rPr>
            </w:pPr>
            <w:r w:rsidRPr="00D6112D">
              <w:rPr>
                <w:rFonts w:eastAsia="Times New Roman" w:cs="Times New Roman"/>
                <w:b/>
                <w:bCs/>
                <w:color w:val="000000"/>
                <w:sz w:val="22"/>
                <w:lang w:eastAsia="zh-CN"/>
              </w:rPr>
              <w:t xml:space="preserve">Atsitiktinis </w:t>
            </w:r>
            <w:r>
              <w:rPr>
                <w:rFonts w:eastAsia="Times New Roman" w:cs="Times New Roman"/>
                <w:b/>
                <w:bCs/>
                <w:color w:val="000000"/>
                <w:sz w:val="22"/>
                <w:lang w:eastAsia="zh-CN"/>
              </w:rPr>
              <w:t>efektas</w:t>
            </w:r>
          </w:p>
        </w:tc>
      </w:tr>
      <w:tr w:rsidR="00FC6A12" w:rsidRPr="00D6112D" w:rsidTr="00FC6A12">
        <w:trPr>
          <w:trHeight w:val="341"/>
        </w:trPr>
        <w:tc>
          <w:tcPr>
            <w:tcW w:w="4657" w:type="dxa"/>
            <w:gridSpan w:val="3"/>
            <w:vMerge/>
            <w:tcBorders>
              <w:bottom w:val="single" w:sz="12" w:space="0" w:color="auto"/>
            </w:tcBorders>
            <w:vAlign w:val="center"/>
            <w:hideMark/>
          </w:tcPr>
          <w:p w:rsidR="00FC6A12" w:rsidRPr="00D6112D" w:rsidRDefault="00FC6A12" w:rsidP="00FC6A12">
            <w:pPr>
              <w:spacing w:before="0" w:line="240" w:lineRule="auto"/>
              <w:ind w:firstLine="0"/>
              <w:jc w:val="left"/>
              <w:rPr>
                <w:rFonts w:eastAsia="Times New Roman" w:cs="Times New Roman"/>
                <w:b/>
                <w:bCs/>
                <w:color w:val="000000"/>
                <w:lang w:eastAsia="zh-CN"/>
              </w:rPr>
            </w:pPr>
          </w:p>
        </w:tc>
        <w:tc>
          <w:tcPr>
            <w:tcW w:w="1032" w:type="dxa"/>
            <w:tcBorders>
              <w:bottom w:val="single" w:sz="12" w:space="0" w:color="auto"/>
              <w:right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vertAlign w:val="superscript"/>
                <w:lang w:eastAsia="zh-CN"/>
              </w:rPr>
            </w:pPr>
            <w:r w:rsidRPr="00D6112D">
              <w:rPr>
                <w:rFonts w:eastAsia="Times New Roman" w:cs="Times New Roman"/>
                <w:b/>
                <w:bCs/>
                <w:color w:val="000000"/>
                <w:sz w:val="22"/>
                <w:lang w:eastAsia="zh-CN"/>
              </w:rPr>
              <w:t>Koef.</w:t>
            </w:r>
            <w:r>
              <w:rPr>
                <w:rFonts w:eastAsia="Times New Roman" w:cs="Times New Roman"/>
                <w:b/>
                <w:bCs/>
                <w:color w:val="000000"/>
                <w:sz w:val="22"/>
                <w:vertAlign w:val="superscript"/>
                <w:lang w:eastAsia="zh-CN"/>
              </w:rPr>
              <w:t>1</w:t>
            </w:r>
          </w:p>
        </w:tc>
        <w:tc>
          <w:tcPr>
            <w:tcW w:w="1420" w:type="dxa"/>
            <w:gridSpan w:val="2"/>
            <w:tcBorders>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vertAlign w:val="superscript"/>
                <w:lang w:eastAsia="zh-CN"/>
              </w:rPr>
            </w:pPr>
            <w:r>
              <w:rPr>
                <w:rFonts w:eastAsia="Times New Roman" w:cs="Times New Roman"/>
                <w:b/>
                <w:bCs/>
                <w:color w:val="000000"/>
                <w:sz w:val="22"/>
                <w:lang w:eastAsia="zh-CN"/>
              </w:rPr>
              <w:t>t</w:t>
            </w:r>
            <w:r>
              <w:rPr>
                <w:rFonts w:eastAsia="Times New Roman" w:cs="Times New Roman"/>
                <w:b/>
                <w:bCs/>
                <w:color w:val="000000"/>
                <w:sz w:val="22"/>
                <w:vertAlign w:val="superscript"/>
                <w:lang w:eastAsia="zh-CN"/>
              </w:rPr>
              <w:t>2</w:t>
            </w:r>
          </w:p>
        </w:tc>
        <w:tc>
          <w:tcPr>
            <w:tcW w:w="1128" w:type="dxa"/>
            <w:tcBorders>
              <w:bottom w:val="single" w:sz="12" w:space="0" w:color="auto"/>
              <w:right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lang w:eastAsia="zh-CN"/>
              </w:rPr>
            </w:pPr>
            <w:r w:rsidRPr="00D6112D">
              <w:rPr>
                <w:rFonts w:eastAsia="Times New Roman" w:cs="Times New Roman"/>
                <w:b/>
                <w:bCs/>
                <w:color w:val="000000"/>
                <w:sz w:val="22"/>
                <w:lang w:eastAsia="zh-CN"/>
              </w:rPr>
              <w:t>Koef.</w:t>
            </w:r>
          </w:p>
        </w:tc>
        <w:tc>
          <w:tcPr>
            <w:tcW w:w="1701" w:type="dxa"/>
            <w:gridSpan w:val="2"/>
            <w:tcBorders>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b/>
                <w:bCs/>
                <w:color w:val="000000"/>
                <w:lang w:eastAsia="zh-CN"/>
              </w:rPr>
            </w:pPr>
            <w:r w:rsidRPr="00D6112D">
              <w:rPr>
                <w:rFonts w:eastAsia="Times New Roman" w:cs="Times New Roman"/>
                <w:b/>
                <w:bCs/>
                <w:color w:val="000000"/>
                <w:sz w:val="22"/>
                <w:lang w:eastAsia="zh-CN"/>
              </w:rPr>
              <w:t>t</w:t>
            </w:r>
          </w:p>
        </w:tc>
      </w:tr>
      <w:tr w:rsidR="00FC6A12" w:rsidRPr="00D6112D" w:rsidTr="00FC6A12">
        <w:trPr>
          <w:trHeight w:val="341"/>
        </w:trPr>
        <w:tc>
          <w:tcPr>
            <w:tcW w:w="3368" w:type="dxa"/>
            <w:gridSpan w:val="2"/>
            <w:tcBorders>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i/>
                <w:iCs/>
                <w:color w:val="000000"/>
                <w:lang w:eastAsia="zh-CN"/>
              </w:rPr>
            </w:pPr>
            <w:r w:rsidRPr="00D6112D">
              <w:rPr>
                <w:rFonts w:eastAsia="Times New Roman" w:cs="Times New Roman"/>
                <w:i/>
                <w:iCs/>
                <w:color w:val="000000"/>
                <w:sz w:val="22"/>
                <w:lang w:eastAsia="zh-CN"/>
              </w:rPr>
              <w:t>konstanta</w:t>
            </w:r>
          </w:p>
        </w:tc>
        <w:tc>
          <w:tcPr>
            <w:tcW w:w="1289" w:type="dxa"/>
            <w:tcBorders>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i/>
                <w:iCs/>
                <w:color w:val="000000"/>
                <w:lang w:eastAsia="zh-CN"/>
              </w:rPr>
            </w:pPr>
            <w:r w:rsidRPr="00D6112D">
              <w:rPr>
                <w:rFonts w:eastAsia="Times New Roman" w:cs="Times New Roman"/>
                <w:i/>
                <w:iCs/>
                <w:color w:val="000000"/>
                <w:sz w:val="22"/>
                <w:lang w:eastAsia="zh-CN"/>
              </w:rPr>
              <w:t>β0</w:t>
            </w:r>
          </w:p>
        </w:tc>
        <w:tc>
          <w:tcPr>
            <w:tcW w:w="1032" w:type="dxa"/>
            <w:tcBorders>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0,116</w:t>
            </w:r>
          </w:p>
        </w:tc>
        <w:tc>
          <w:tcPr>
            <w:tcW w:w="774" w:type="dxa"/>
            <w:tcBorders>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1,35</w:t>
            </w:r>
          </w:p>
        </w:tc>
        <w:tc>
          <w:tcPr>
            <w:tcW w:w="646" w:type="dxa"/>
            <w:tcBorders>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0,043</w:t>
            </w:r>
          </w:p>
        </w:tc>
        <w:tc>
          <w:tcPr>
            <w:tcW w:w="992" w:type="dxa"/>
            <w:tcBorders>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0,96</w:t>
            </w:r>
          </w:p>
        </w:tc>
        <w:tc>
          <w:tcPr>
            <w:tcW w:w="709" w:type="dxa"/>
            <w:tcBorders>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3368" w:type="dxa"/>
            <w:gridSpan w:val="2"/>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Dividendų pajamingumas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DY</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-0,053</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-0,34</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0,010</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0,08</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3368" w:type="dxa"/>
            <w:gridSpan w:val="2"/>
            <w:tcBorders>
              <w:top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Dividendų išmokėjimo rodiklis</w:t>
            </w:r>
          </w:p>
        </w:tc>
        <w:tc>
          <w:tcPr>
            <w:tcW w:w="1289" w:type="dxa"/>
            <w:tcBorders>
              <w:top w:val="nil"/>
              <w:bottom w:val="single" w:sz="12" w:space="0" w:color="auto"/>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DP</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-0,032</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-4,49</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-0,013</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-1,53</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restart"/>
            <w:shd w:val="clear" w:color="auto" w:fill="auto"/>
            <w:noWrap/>
            <w:textDirection w:val="btLr"/>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Kontroliniai kintamieji</w:t>
            </w:r>
          </w:p>
        </w:tc>
        <w:tc>
          <w:tcPr>
            <w:tcW w:w="2908" w:type="dxa"/>
            <w:tcBorders>
              <w:top w:val="single" w:sz="12" w:space="0" w:color="auto"/>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Imonės dydis</w:t>
            </w:r>
          </w:p>
        </w:tc>
        <w:tc>
          <w:tcPr>
            <w:tcW w:w="1289" w:type="dxa"/>
            <w:tcBorders>
              <w:top w:val="single" w:sz="12" w:space="0" w:color="auto"/>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lnTURT</w:t>
            </w:r>
          </w:p>
        </w:tc>
        <w:tc>
          <w:tcPr>
            <w:tcW w:w="1032" w:type="dxa"/>
            <w:tcBorders>
              <w:top w:val="single" w:sz="12" w:space="0" w:color="auto"/>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-0,010</w:t>
            </w:r>
          </w:p>
        </w:tc>
        <w:tc>
          <w:tcPr>
            <w:tcW w:w="774" w:type="dxa"/>
            <w:tcBorders>
              <w:top w:val="single" w:sz="12" w:space="0" w:color="auto"/>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-0,49</w:t>
            </w:r>
          </w:p>
        </w:tc>
        <w:tc>
          <w:tcPr>
            <w:tcW w:w="646" w:type="dxa"/>
            <w:tcBorders>
              <w:top w:val="single" w:sz="12" w:space="0" w:color="auto"/>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single" w:sz="12" w:space="0" w:color="auto"/>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0,002</w:t>
            </w:r>
          </w:p>
        </w:tc>
        <w:tc>
          <w:tcPr>
            <w:tcW w:w="992" w:type="dxa"/>
            <w:tcBorders>
              <w:top w:val="single" w:sz="12" w:space="0" w:color="auto"/>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0,27</w:t>
            </w:r>
          </w:p>
        </w:tc>
        <w:tc>
          <w:tcPr>
            <w:tcW w:w="709" w:type="dxa"/>
            <w:tcBorders>
              <w:top w:val="single" w:sz="12" w:space="0" w:color="auto"/>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Nepaskirstytas pelnas/akcinis kapitalas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RETE</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-0,084</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-1,12</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-0,011</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-0,41</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Nepaskirstyto pelno koeficientas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RR</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-0,070</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-2,40</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-0,052</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-2,33</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2513C3" w:rsidP="00FC6A12">
            <w:pPr>
              <w:spacing w:before="0" w:line="240" w:lineRule="auto"/>
              <w:ind w:firstLine="0"/>
              <w:jc w:val="center"/>
              <w:rPr>
                <w:rFonts w:eastAsia="Times New Roman" w:cs="Times New Roman"/>
                <w:color w:val="000000"/>
                <w:lang w:eastAsia="zh-CN"/>
              </w:rPr>
            </w:pPr>
            <w:r>
              <w:rPr>
                <w:rFonts w:eastAsia="Times New Roman" w:cs="Times New Roman"/>
                <w:color w:val="000000"/>
                <w:sz w:val="22"/>
                <w:lang w:eastAsia="zh-CN"/>
              </w:rPr>
              <w:t>EBITDA</w:t>
            </w:r>
            <w:r w:rsidR="00FC6A12" w:rsidRPr="00D6112D">
              <w:rPr>
                <w:rFonts w:eastAsia="Times New Roman" w:cs="Times New Roman"/>
                <w:color w:val="000000"/>
                <w:sz w:val="22"/>
                <w:lang w:eastAsia="zh-CN"/>
              </w:rPr>
              <w:t xml:space="preserve"> pokytis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w:t>
            </w:r>
            <w:r w:rsidR="002513C3">
              <w:rPr>
                <w:rFonts w:eastAsia="Times New Roman" w:cs="Times New Roman"/>
                <w:color w:val="000000"/>
                <w:sz w:val="22"/>
                <w:lang w:eastAsia="zh-CN"/>
              </w:rPr>
              <w:t>EBITDA</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0,002</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1,40</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0,001</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0,55</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Nuosavo kapitalo grąža</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ROE</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0,201</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1,88</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0,135</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1,78</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Bendrasis likvidumo koeficientas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CR</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0,006</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1,40</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0,003</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0,94</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C8244D" w:rsidP="00FC6A12">
            <w:pPr>
              <w:spacing w:before="0" w:line="240" w:lineRule="auto"/>
              <w:ind w:firstLine="0"/>
              <w:jc w:val="center"/>
              <w:rPr>
                <w:rFonts w:eastAsia="Times New Roman" w:cs="Times New Roman"/>
                <w:color w:val="000000"/>
                <w:lang w:eastAsia="zh-CN"/>
              </w:rPr>
            </w:pPr>
            <w:r>
              <w:rPr>
                <w:rFonts w:eastAsia="Times New Roman" w:cs="Times New Roman"/>
                <w:color w:val="000000"/>
                <w:sz w:val="22"/>
                <w:lang w:eastAsia="zh-CN"/>
              </w:rPr>
              <w:t>Skolos ir nuosavybės santykis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D/E</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0,002</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0,14</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0,001</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0,09</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Tikrosios vertės koeficientas</w:t>
            </w:r>
          </w:p>
        </w:tc>
        <w:tc>
          <w:tcPr>
            <w:tcW w:w="1289" w:type="dxa"/>
            <w:tcBorders>
              <w:top w:val="nil"/>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M/B</w:t>
            </w:r>
          </w:p>
        </w:tc>
        <w:tc>
          <w:tcPr>
            <w:tcW w:w="1032"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-0,003</w:t>
            </w:r>
          </w:p>
        </w:tc>
        <w:tc>
          <w:tcPr>
            <w:tcW w:w="774"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-0,29</w:t>
            </w:r>
          </w:p>
        </w:tc>
        <w:tc>
          <w:tcPr>
            <w:tcW w:w="646"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-0,008</w:t>
            </w:r>
          </w:p>
        </w:tc>
        <w:tc>
          <w:tcPr>
            <w:tcW w:w="992" w:type="dxa"/>
            <w:tcBorders>
              <w:top w:val="nil"/>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-1,00</w:t>
            </w:r>
          </w:p>
        </w:tc>
        <w:tc>
          <w:tcPr>
            <w:tcW w:w="709" w:type="dxa"/>
            <w:tcBorders>
              <w:top w:val="nil"/>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single" w:sz="12" w:space="0" w:color="auto"/>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Apyvartumas</w:t>
            </w:r>
          </w:p>
        </w:tc>
        <w:tc>
          <w:tcPr>
            <w:tcW w:w="1289" w:type="dxa"/>
            <w:tcBorders>
              <w:top w:val="nil"/>
              <w:bottom w:val="single" w:sz="12" w:space="0" w:color="auto"/>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lnAPYV</w:t>
            </w:r>
          </w:p>
        </w:tc>
        <w:tc>
          <w:tcPr>
            <w:tcW w:w="1032" w:type="dxa"/>
            <w:tcBorders>
              <w:top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-0,010</w:t>
            </w:r>
          </w:p>
        </w:tc>
        <w:tc>
          <w:tcPr>
            <w:tcW w:w="774" w:type="dxa"/>
            <w:tcBorders>
              <w:top w:val="nil"/>
              <w:left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-1,12</w:t>
            </w:r>
          </w:p>
        </w:tc>
        <w:tc>
          <w:tcPr>
            <w:tcW w:w="646" w:type="dxa"/>
            <w:tcBorders>
              <w:top w:val="nil"/>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0,000</w:t>
            </w:r>
          </w:p>
        </w:tc>
        <w:tc>
          <w:tcPr>
            <w:tcW w:w="992" w:type="dxa"/>
            <w:tcBorders>
              <w:top w:val="nil"/>
              <w:left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-0,09</w:t>
            </w:r>
          </w:p>
        </w:tc>
        <w:tc>
          <w:tcPr>
            <w:tcW w:w="709" w:type="dxa"/>
            <w:tcBorders>
              <w:top w:val="nil"/>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341"/>
        </w:trPr>
        <w:tc>
          <w:tcPr>
            <w:tcW w:w="460" w:type="dxa"/>
            <w:vMerge w:val="restart"/>
            <w:shd w:val="clear" w:color="auto" w:fill="auto"/>
            <w:noWrap/>
            <w:textDirection w:val="btLr"/>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Žymės</w:t>
            </w:r>
          </w:p>
        </w:tc>
        <w:tc>
          <w:tcPr>
            <w:tcW w:w="2908" w:type="dxa"/>
            <w:tcBorders>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DY padidėjimas</w:t>
            </w:r>
          </w:p>
        </w:tc>
        <w:tc>
          <w:tcPr>
            <w:tcW w:w="1289" w:type="dxa"/>
            <w:tcBorders>
              <w:bottom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vertAlign w:val="superscript"/>
                <w:lang w:eastAsia="zh-CN"/>
              </w:rPr>
            </w:pPr>
            <w:r w:rsidRPr="00D6112D">
              <w:rPr>
                <w:rFonts w:eastAsia="Times New Roman" w:cs="Times New Roman"/>
                <w:color w:val="000000"/>
                <w:sz w:val="22"/>
                <w:lang w:eastAsia="zh-CN"/>
              </w:rPr>
              <w:t>DY</w:t>
            </w:r>
            <w:r>
              <w:rPr>
                <w:rFonts w:eastAsia="Times New Roman" w:cs="Times New Roman"/>
                <w:color w:val="000000"/>
                <w:sz w:val="22"/>
                <w:lang w:eastAsia="zh-CN"/>
              </w:rPr>
              <w:t>_</w:t>
            </w:r>
            <w:r w:rsidRPr="00D6112D">
              <w:rPr>
                <w:rFonts w:eastAsia="Times New Roman" w:cs="Times New Roman"/>
                <w:color w:val="000000"/>
                <w:sz w:val="22"/>
                <w:lang w:eastAsia="zh-CN"/>
              </w:rPr>
              <w:t>I</w:t>
            </w:r>
            <w:r>
              <w:rPr>
                <w:rFonts w:eastAsia="Times New Roman" w:cs="Times New Roman"/>
                <w:color w:val="000000"/>
                <w:sz w:val="22"/>
                <w:vertAlign w:val="superscript"/>
                <w:lang w:eastAsia="zh-CN"/>
              </w:rPr>
              <w:t>3</w:t>
            </w:r>
          </w:p>
        </w:tc>
        <w:tc>
          <w:tcPr>
            <w:tcW w:w="1032" w:type="dxa"/>
            <w:tcBorders>
              <w:top w:val="single" w:sz="12" w:space="0" w:color="auto"/>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0,005</w:t>
            </w:r>
          </w:p>
        </w:tc>
        <w:tc>
          <w:tcPr>
            <w:tcW w:w="774" w:type="dxa"/>
            <w:tcBorders>
              <w:top w:val="single" w:sz="12" w:space="0" w:color="auto"/>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0,19</w:t>
            </w:r>
          </w:p>
        </w:tc>
        <w:tc>
          <w:tcPr>
            <w:tcW w:w="646" w:type="dxa"/>
            <w:tcBorders>
              <w:top w:val="single" w:sz="12" w:space="0" w:color="auto"/>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single" w:sz="12" w:space="0" w:color="auto"/>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-0,011</w:t>
            </w:r>
          </w:p>
        </w:tc>
        <w:tc>
          <w:tcPr>
            <w:tcW w:w="992" w:type="dxa"/>
            <w:tcBorders>
              <w:top w:val="single" w:sz="12" w:space="0" w:color="auto"/>
              <w:left w:val="nil"/>
              <w:bottom w:val="nil"/>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-0,75</w:t>
            </w:r>
          </w:p>
        </w:tc>
        <w:tc>
          <w:tcPr>
            <w:tcW w:w="709" w:type="dxa"/>
            <w:tcBorders>
              <w:top w:val="single" w:sz="12" w:space="0" w:color="auto"/>
              <w:left w:val="nil"/>
              <w:bottom w:val="nil"/>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 </w:t>
            </w:r>
          </w:p>
        </w:tc>
      </w:tr>
      <w:tr w:rsidR="00FC6A12" w:rsidRPr="00D6112D" w:rsidTr="00FC6A12">
        <w:trPr>
          <w:trHeight w:val="449"/>
        </w:trPr>
        <w:tc>
          <w:tcPr>
            <w:tcW w:w="460" w:type="dxa"/>
            <w:vMerge/>
            <w:tcBorders>
              <w:bottom w:val="single" w:sz="12" w:space="0" w:color="auto"/>
            </w:tcBorders>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2908" w:type="dxa"/>
            <w:tcBorders>
              <w:top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Pr>
                <w:rFonts w:eastAsia="Times New Roman" w:cs="Times New Roman"/>
                <w:color w:val="000000"/>
                <w:sz w:val="22"/>
                <w:lang w:eastAsia="zh-CN"/>
              </w:rPr>
              <w:t>DY sumažėjimas</w:t>
            </w:r>
          </w:p>
        </w:tc>
        <w:tc>
          <w:tcPr>
            <w:tcW w:w="1289" w:type="dxa"/>
            <w:tcBorders>
              <w:top w:val="nil"/>
              <w:bottom w:val="single" w:sz="12" w:space="0" w:color="auto"/>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vertAlign w:val="superscript"/>
                <w:lang w:eastAsia="zh-CN"/>
              </w:rPr>
            </w:pPr>
            <w:r>
              <w:rPr>
                <w:rFonts w:eastAsia="Times New Roman" w:cs="Times New Roman"/>
                <w:color w:val="000000"/>
                <w:sz w:val="22"/>
                <w:lang w:eastAsia="zh-CN"/>
              </w:rPr>
              <w:t>DY_</w:t>
            </w:r>
            <w:r w:rsidRPr="00D6112D">
              <w:rPr>
                <w:rFonts w:eastAsia="Times New Roman" w:cs="Times New Roman"/>
                <w:color w:val="000000"/>
                <w:sz w:val="22"/>
                <w:lang w:eastAsia="zh-CN"/>
              </w:rPr>
              <w:t>D</w:t>
            </w:r>
            <w:r>
              <w:rPr>
                <w:rFonts w:eastAsia="Times New Roman" w:cs="Times New Roman"/>
                <w:color w:val="000000"/>
                <w:sz w:val="22"/>
                <w:vertAlign w:val="superscript"/>
                <w:lang w:eastAsia="zh-CN"/>
              </w:rPr>
              <w:t>4</w:t>
            </w:r>
          </w:p>
        </w:tc>
        <w:tc>
          <w:tcPr>
            <w:tcW w:w="1032" w:type="dxa"/>
            <w:tcBorders>
              <w:top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-0,014</w:t>
            </w:r>
          </w:p>
        </w:tc>
        <w:tc>
          <w:tcPr>
            <w:tcW w:w="774" w:type="dxa"/>
            <w:tcBorders>
              <w:top w:val="nil"/>
              <w:left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-0,56</w:t>
            </w:r>
          </w:p>
        </w:tc>
        <w:tc>
          <w:tcPr>
            <w:tcW w:w="646" w:type="dxa"/>
            <w:tcBorders>
              <w:top w:val="nil"/>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p>
        </w:tc>
        <w:tc>
          <w:tcPr>
            <w:tcW w:w="1128" w:type="dxa"/>
            <w:tcBorders>
              <w:top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-0,029</w:t>
            </w:r>
          </w:p>
        </w:tc>
        <w:tc>
          <w:tcPr>
            <w:tcW w:w="992" w:type="dxa"/>
            <w:tcBorders>
              <w:top w:val="nil"/>
              <w:left w:val="nil"/>
              <w:bottom w:val="single" w:sz="12" w:space="0" w:color="auto"/>
              <w:right w:val="nil"/>
            </w:tcBorders>
            <w:shd w:val="clear"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color w:val="000000"/>
                <w:szCs w:val="24"/>
                <w:lang w:eastAsia="zh-CN"/>
              </w:rPr>
            </w:pPr>
            <w:r w:rsidRPr="00D6112D">
              <w:rPr>
                <w:rFonts w:eastAsia="Times New Roman" w:cs="Times New Roman"/>
                <w:b/>
                <w:bCs/>
                <w:color w:val="000000"/>
                <w:szCs w:val="24"/>
                <w:lang w:eastAsia="zh-CN"/>
              </w:rPr>
              <w:t>-1,86</w:t>
            </w:r>
          </w:p>
        </w:tc>
        <w:tc>
          <w:tcPr>
            <w:tcW w:w="709" w:type="dxa"/>
            <w:tcBorders>
              <w:top w:val="nil"/>
              <w:left w:val="nil"/>
              <w:bottom w:val="single" w:sz="12" w:space="0" w:color="auto"/>
            </w:tcBorders>
            <w:shd w:val="clear" w:color="auto" w:fill="auto"/>
            <w:vAlign w:val="center"/>
            <w:hideMark/>
          </w:tcPr>
          <w:p w:rsidR="00FC6A12" w:rsidRPr="00D6112D" w:rsidRDefault="00FC6A12" w:rsidP="00FC6A12">
            <w:pPr>
              <w:spacing w:before="0" w:line="240" w:lineRule="auto"/>
              <w:ind w:firstLine="0"/>
              <w:jc w:val="center"/>
              <w:rPr>
                <w:rFonts w:eastAsia="Times New Roman" w:cs="Times New Roman"/>
                <w:color w:val="000000"/>
                <w:szCs w:val="24"/>
                <w:lang w:eastAsia="zh-CN"/>
              </w:rPr>
            </w:pPr>
            <w:r w:rsidRPr="00D6112D">
              <w:rPr>
                <w:rFonts w:eastAsia="Times New Roman" w:cs="Times New Roman"/>
                <w:color w:val="000000"/>
                <w:szCs w:val="24"/>
                <w:lang w:eastAsia="zh-CN"/>
              </w:rPr>
              <w:t>*</w:t>
            </w:r>
          </w:p>
        </w:tc>
      </w:tr>
      <w:tr w:rsidR="00FC6A12" w:rsidRPr="00D6112D" w:rsidTr="00FC6A12">
        <w:trPr>
          <w:trHeight w:val="329"/>
        </w:trPr>
        <w:tc>
          <w:tcPr>
            <w:tcW w:w="460" w:type="dxa"/>
            <w:vMerge w:val="restart"/>
            <w:shd w:val="pct5" w:color="auto" w:fill="auto"/>
            <w:noWrap/>
            <w:textDirection w:val="btLr"/>
            <w:vAlign w:val="center"/>
            <w:hideMark/>
          </w:tcPr>
          <w:p w:rsidR="00FC6A12" w:rsidRPr="00D6112D" w:rsidRDefault="00FC6A12" w:rsidP="00FC6A12">
            <w:pPr>
              <w:spacing w:before="0" w:line="240" w:lineRule="auto"/>
              <w:ind w:firstLine="0"/>
              <w:jc w:val="center"/>
              <w:rPr>
                <w:rFonts w:eastAsia="Times New Roman" w:cs="Times New Roman"/>
                <w:color w:val="000000"/>
                <w:lang w:eastAsia="zh-CN"/>
              </w:rPr>
            </w:pPr>
            <w:r w:rsidRPr="00D6112D">
              <w:rPr>
                <w:rFonts w:eastAsia="Times New Roman" w:cs="Times New Roman"/>
                <w:color w:val="000000"/>
                <w:sz w:val="22"/>
                <w:lang w:eastAsia="zh-CN"/>
              </w:rPr>
              <w:t>Modelis</w:t>
            </w:r>
          </w:p>
        </w:tc>
        <w:tc>
          <w:tcPr>
            <w:tcW w:w="4197" w:type="dxa"/>
            <w:gridSpan w:val="2"/>
            <w:tcBorders>
              <w:bottom w:val="nil"/>
            </w:tcBorders>
            <w:shd w:val="pct5" w:color="auto" w:fill="auto"/>
            <w:vAlign w:val="center"/>
            <w:hideMark/>
          </w:tcPr>
          <w:p w:rsidR="00FC6A12" w:rsidRPr="00D6112D" w:rsidRDefault="00FC6A12" w:rsidP="00FC6A12">
            <w:pPr>
              <w:spacing w:before="0" w:line="240" w:lineRule="auto"/>
              <w:ind w:firstLine="0"/>
              <w:jc w:val="center"/>
              <w:rPr>
                <w:rFonts w:eastAsia="Times New Roman" w:cs="Times New Roman"/>
                <w:i/>
                <w:color w:val="000000"/>
                <w:vertAlign w:val="superscript"/>
                <w:lang w:eastAsia="zh-CN"/>
              </w:rPr>
            </w:pPr>
            <w:r w:rsidRPr="00D6112D">
              <w:rPr>
                <w:rFonts w:eastAsia="Times New Roman" w:cs="Times New Roman"/>
                <w:i/>
                <w:color w:val="000000"/>
                <w:sz w:val="22"/>
                <w:lang w:eastAsia="zh-CN"/>
              </w:rPr>
              <w:t xml:space="preserve">Determinacijos koeficientas </w:t>
            </w:r>
            <w:r>
              <w:rPr>
                <w:rFonts w:eastAsia="Times New Roman" w:cs="Times New Roman"/>
                <w:i/>
                <w:color w:val="000000"/>
                <w:sz w:val="22"/>
                <w:lang w:eastAsia="zh-CN"/>
              </w:rPr>
              <w:t>(</w:t>
            </w:r>
            <w:r w:rsidRPr="00D6112D">
              <w:rPr>
                <w:rFonts w:eastAsia="Times New Roman" w:cs="Times New Roman"/>
                <w:i/>
                <w:color w:val="000000"/>
                <w:sz w:val="22"/>
                <w:lang w:eastAsia="zh-CN"/>
              </w:rPr>
              <w:t>R</w:t>
            </w:r>
            <w:r w:rsidRPr="00F72958">
              <w:rPr>
                <w:rFonts w:eastAsia="Times New Roman" w:cs="Times New Roman"/>
                <w:i/>
                <w:color w:val="000000"/>
                <w:sz w:val="22"/>
                <w:vertAlign w:val="superscript"/>
                <w:lang w:eastAsia="zh-CN"/>
              </w:rPr>
              <w:t>2</w:t>
            </w:r>
            <w:r w:rsidRPr="00F72958">
              <w:rPr>
                <w:rFonts w:eastAsia="Times New Roman" w:cs="Times New Roman"/>
                <w:i/>
                <w:color w:val="000000"/>
                <w:sz w:val="22"/>
                <w:lang w:eastAsia="zh-CN"/>
              </w:rPr>
              <w:t>)</w:t>
            </w:r>
            <w:r>
              <w:rPr>
                <w:rFonts w:eastAsia="Times New Roman" w:cs="Times New Roman"/>
                <w:i/>
                <w:color w:val="000000"/>
                <w:sz w:val="22"/>
                <w:vertAlign w:val="superscript"/>
                <w:lang w:eastAsia="zh-CN"/>
              </w:rPr>
              <w:t>5</w:t>
            </w:r>
          </w:p>
        </w:tc>
        <w:tc>
          <w:tcPr>
            <w:tcW w:w="2452" w:type="dxa"/>
            <w:gridSpan w:val="3"/>
            <w:tcBorders>
              <w:top w:val="single" w:sz="12" w:space="0" w:color="auto"/>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i/>
                <w:color w:val="000000"/>
                <w:szCs w:val="24"/>
                <w:lang w:eastAsia="zh-CN"/>
              </w:rPr>
            </w:pPr>
            <w:r w:rsidRPr="00D6112D">
              <w:rPr>
                <w:rFonts w:eastAsia="Times New Roman" w:cs="Times New Roman"/>
                <w:b/>
                <w:bCs/>
                <w:i/>
                <w:color w:val="000000"/>
                <w:szCs w:val="24"/>
                <w:lang w:eastAsia="zh-CN"/>
              </w:rPr>
              <w:t>0,383</w:t>
            </w:r>
          </w:p>
        </w:tc>
        <w:tc>
          <w:tcPr>
            <w:tcW w:w="2829" w:type="dxa"/>
            <w:gridSpan w:val="3"/>
            <w:tcBorders>
              <w:top w:val="single" w:sz="12" w:space="0" w:color="auto"/>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D6112D" w:rsidTr="00FC6A12">
        <w:trPr>
          <w:trHeight w:val="341"/>
        </w:trPr>
        <w:tc>
          <w:tcPr>
            <w:tcW w:w="460" w:type="dxa"/>
            <w:vMerge/>
            <w:shd w:val="pct5" w:color="auto" w:fill="auto"/>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4197" w:type="dxa"/>
            <w:gridSpan w:val="2"/>
            <w:tcBorders>
              <w:top w:val="nil"/>
              <w:bottom w:val="nil"/>
            </w:tcBorders>
            <w:shd w:val="pct5" w:color="auto" w:fill="auto"/>
            <w:vAlign w:val="center"/>
            <w:hideMark/>
          </w:tcPr>
          <w:p w:rsidR="00FC6A12" w:rsidRPr="00D6112D" w:rsidRDefault="00FC6A12" w:rsidP="00FC6A12">
            <w:pPr>
              <w:spacing w:before="0" w:line="240" w:lineRule="auto"/>
              <w:ind w:firstLine="0"/>
              <w:jc w:val="center"/>
              <w:rPr>
                <w:rFonts w:eastAsia="Times New Roman" w:cs="Times New Roman"/>
                <w:i/>
                <w:color w:val="000000"/>
                <w:vertAlign w:val="superscript"/>
                <w:lang w:eastAsia="zh-CN"/>
              </w:rPr>
            </w:pPr>
            <w:r w:rsidRPr="00D6112D">
              <w:rPr>
                <w:rFonts w:eastAsia="Times New Roman" w:cs="Times New Roman"/>
                <w:i/>
                <w:color w:val="000000"/>
                <w:sz w:val="22"/>
                <w:lang w:eastAsia="zh-CN"/>
              </w:rPr>
              <w:t xml:space="preserve">Koreguotas determinacijos koeficientas </w:t>
            </w:r>
            <w:r>
              <w:rPr>
                <w:rFonts w:eastAsia="Times New Roman" w:cs="Times New Roman"/>
                <w:i/>
                <w:color w:val="000000"/>
                <w:sz w:val="22"/>
                <w:lang w:eastAsia="zh-CN"/>
              </w:rPr>
              <w:t>(</w:t>
            </w:r>
            <w:r w:rsidRPr="00D6112D">
              <w:rPr>
                <w:rFonts w:eastAsia="Times New Roman" w:cs="Times New Roman"/>
                <w:i/>
                <w:color w:val="000000"/>
                <w:sz w:val="22"/>
                <w:lang w:eastAsia="zh-CN"/>
              </w:rPr>
              <w:t>R</w:t>
            </w:r>
            <w:r>
              <w:rPr>
                <w:rFonts w:eastAsia="Times New Roman" w:cs="Times New Roman"/>
                <w:i/>
                <w:color w:val="000000"/>
                <w:sz w:val="22"/>
                <w:vertAlign w:val="superscript"/>
                <w:lang w:eastAsia="zh-CN"/>
              </w:rPr>
              <w:t>2</w:t>
            </w:r>
            <w:r>
              <w:rPr>
                <w:rFonts w:eastAsia="Times New Roman" w:cs="Times New Roman"/>
                <w:i/>
                <w:color w:val="000000"/>
                <w:sz w:val="22"/>
                <w:lang w:eastAsia="zh-CN"/>
              </w:rPr>
              <w:t>)</w:t>
            </w:r>
            <w:r>
              <w:rPr>
                <w:rFonts w:eastAsia="Times New Roman" w:cs="Times New Roman"/>
                <w:i/>
                <w:color w:val="000000"/>
                <w:sz w:val="22"/>
                <w:vertAlign w:val="superscript"/>
                <w:lang w:eastAsia="zh-CN"/>
              </w:rPr>
              <w:t>6</w:t>
            </w:r>
          </w:p>
        </w:tc>
        <w:tc>
          <w:tcPr>
            <w:tcW w:w="2452" w:type="dxa"/>
            <w:gridSpan w:val="3"/>
            <w:tcBorders>
              <w:top w:val="nil"/>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i/>
                <w:color w:val="000000"/>
                <w:szCs w:val="24"/>
                <w:lang w:eastAsia="zh-CN"/>
              </w:rPr>
            </w:pPr>
            <w:r w:rsidRPr="00D6112D">
              <w:rPr>
                <w:rFonts w:eastAsia="Times New Roman" w:cs="Times New Roman"/>
                <w:b/>
                <w:bCs/>
                <w:i/>
                <w:color w:val="000000"/>
                <w:szCs w:val="24"/>
                <w:lang w:eastAsia="zh-CN"/>
              </w:rPr>
              <w:t>0,040</w:t>
            </w:r>
          </w:p>
        </w:tc>
        <w:tc>
          <w:tcPr>
            <w:tcW w:w="2829" w:type="dxa"/>
            <w:gridSpan w:val="3"/>
            <w:tcBorders>
              <w:top w:val="nil"/>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D6112D" w:rsidTr="00FC6A12">
        <w:trPr>
          <w:trHeight w:val="341"/>
        </w:trPr>
        <w:tc>
          <w:tcPr>
            <w:tcW w:w="460" w:type="dxa"/>
            <w:vMerge/>
            <w:shd w:val="pct5" w:color="auto" w:fill="auto"/>
            <w:vAlign w:val="center"/>
            <w:hideMark/>
          </w:tcPr>
          <w:p w:rsidR="00FC6A12" w:rsidRPr="00D6112D" w:rsidRDefault="00FC6A12" w:rsidP="00FC6A12">
            <w:pPr>
              <w:spacing w:before="0" w:line="240" w:lineRule="auto"/>
              <w:ind w:firstLine="0"/>
              <w:jc w:val="left"/>
              <w:rPr>
                <w:rFonts w:eastAsia="Times New Roman" w:cs="Times New Roman"/>
                <w:color w:val="000000"/>
                <w:lang w:eastAsia="zh-CN"/>
              </w:rPr>
            </w:pPr>
          </w:p>
        </w:tc>
        <w:tc>
          <w:tcPr>
            <w:tcW w:w="4197" w:type="dxa"/>
            <w:gridSpan w:val="2"/>
            <w:tcBorders>
              <w:top w:val="nil"/>
              <w:bottom w:val="nil"/>
            </w:tcBorders>
            <w:shd w:val="pct5" w:color="auto" w:fill="auto"/>
            <w:vAlign w:val="center"/>
            <w:hideMark/>
          </w:tcPr>
          <w:p w:rsidR="00FC6A12" w:rsidRPr="00D6112D" w:rsidRDefault="00FC6A12" w:rsidP="00FC6A12">
            <w:pPr>
              <w:spacing w:before="0" w:line="240" w:lineRule="auto"/>
              <w:ind w:firstLine="0"/>
              <w:jc w:val="center"/>
              <w:rPr>
                <w:rFonts w:eastAsia="Times New Roman" w:cs="Times New Roman"/>
                <w:i/>
                <w:color w:val="000000"/>
                <w:lang w:eastAsia="zh-CN"/>
              </w:rPr>
            </w:pPr>
            <w:r w:rsidRPr="00D6112D">
              <w:rPr>
                <w:rFonts w:eastAsia="Times New Roman" w:cs="Times New Roman"/>
                <w:i/>
                <w:color w:val="000000"/>
                <w:sz w:val="22"/>
                <w:lang w:eastAsia="zh-CN"/>
              </w:rPr>
              <w:t xml:space="preserve">Fisher statistinio reikšmingumo </w:t>
            </w:r>
            <w:r w:rsidRPr="00970F7D">
              <w:rPr>
                <w:rFonts w:eastAsia="Times New Roman" w:cs="Times New Roman"/>
                <w:i/>
                <w:iCs/>
                <w:color w:val="000000"/>
                <w:sz w:val="22"/>
                <w:lang w:eastAsia="zh-CN"/>
              </w:rPr>
              <w:t>p-</w:t>
            </w:r>
            <w:r w:rsidRPr="00D6112D">
              <w:rPr>
                <w:rFonts w:eastAsia="Times New Roman" w:cs="Times New Roman"/>
                <w:i/>
                <w:iCs/>
                <w:color w:val="000000"/>
                <w:sz w:val="22"/>
                <w:lang w:eastAsia="zh-CN"/>
              </w:rPr>
              <w:t>testas</w:t>
            </w:r>
            <w:r>
              <w:rPr>
                <w:rFonts w:eastAsia="Times New Roman" w:cs="Times New Roman"/>
                <w:i/>
                <w:iCs/>
                <w:color w:val="000000"/>
                <w:sz w:val="22"/>
                <w:vertAlign w:val="superscript"/>
                <w:lang w:eastAsia="zh-CN"/>
              </w:rPr>
              <w:t>7</w:t>
            </w:r>
            <w:r w:rsidRPr="00D6112D">
              <w:rPr>
                <w:rFonts w:eastAsia="Times New Roman" w:cs="Times New Roman"/>
                <w:i/>
                <w:iCs/>
                <w:color w:val="000000"/>
                <w:sz w:val="22"/>
                <w:lang w:eastAsia="zh-CN"/>
              </w:rPr>
              <w:t xml:space="preserve"> </w:t>
            </w:r>
          </w:p>
        </w:tc>
        <w:tc>
          <w:tcPr>
            <w:tcW w:w="2452" w:type="dxa"/>
            <w:gridSpan w:val="3"/>
            <w:tcBorders>
              <w:top w:val="nil"/>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i/>
                <w:color w:val="000000"/>
                <w:szCs w:val="24"/>
                <w:lang w:eastAsia="zh-CN"/>
              </w:rPr>
            </w:pPr>
            <w:r w:rsidRPr="00D6112D">
              <w:rPr>
                <w:rFonts w:eastAsia="Times New Roman" w:cs="Times New Roman"/>
                <w:b/>
                <w:bCs/>
                <w:i/>
                <w:color w:val="000000"/>
                <w:szCs w:val="24"/>
                <w:lang w:eastAsia="zh-CN"/>
              </w:rPr>
              <w:t>0,346</w:t>
            </w:r>
          </w:p>
        </w:tc>
        <w:tc>
          <w:tcPr>
            <w:tcW w:w="2829" w:type="dxa"/>
            <w:gridSpan w:val="3"/>
            <w:tcBorders>
              <w:top w:val="nil"/>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D6112D" w:rsidTr="00FC6A12">
        <w:trPr>
          <w:trHeight w:val="329"/>
        </w:trPr>
        <w:tc>
          <w:tcPr>
            <w:tcW w:w="460" w:type="dxa"/>
            <w:vMerge/>
            <w:shd w:val="pct5" w:color="auto" w:fill="auto"/>
            <w:vAlign w:val="center"/>
            <w:hideMark/>
          </w:tcPr>
          <w:p w:rsidR="00FC6A12" w:rsidRPr="00D6112D" w:rsidRDefault="00FC6A12" w:rsidP="00FC6A12">
            <w:pPr>
              <w:spacing w:before="0" w:line="240" w:lineRule="auto"/>
              <w:ind w:firstLine="0"/>
              <w:jc w:val="left"/>
              <w:rPr>
                <w:rFonts w:eastAsia="Times New Roman" w:cs="Times New Roman"/>
                <w:color w:val="000000"/>
                <w:szCs w:val="24"/>
                <w:lang w:eastAsia="zh-CN"/>
              </w:rPr>
            </w:pPr>
          </w:p>
        </w:tc>
        <w:tc>
          <w:tcPr>
            <w:tcW w:w="4197" w:type="dxa"/>
            <w:gridSpan w:val="2"/>
            <w:tcBorders>
              <w:top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vertAlign w:val="superscript"/>
                <w:lang w:eastAsia="zh-CN"/>
              </w:rPr>
            </w:pPr>
            <w:r w:rsidRPr="00D6112D">
              <w:rPr>
                <w:rFonts w:eastAsia="Times New Roman" w:cs="Times New Roman"/>
                <w:i/>
                <w:color w:val="000000"/>
                <w:szCs w:val="24"/>
                <w:lang w:eastAsia="zh-CN"/>
              </w:rPr>
              <w:t xml:space="preserve">Hausman </w:t>
            </w:r>
            <w:r w:rsidRPr="00970F7D">
              <w:rPr>
                <w:rFonts w:eastAsia="Times New Roman" w:cs="Times New Roman"/>
                <w:i/>
                <w:iCs/>
                <w:color w:val="000000"/>
                <w:szCs w:val="24"/>
                <w:lang w:eastAsia="zh-CN"/>
              </w:rPr>
              <w:t>p-</w:t>
            </w:r>
            <w:r w:rsidRPr="00D6112D">
              <w:rPr>
                <w:rFonts w:eastAsia="Times New Roman" w:cs="Times New Roman"/>
                <w:i/>
                <w:iCs/>
                <w:color w:val="000000"/>
                <w:szCs w:val="24"/>
                <w:lang w:eastAsia="zh-CN"/>
              </w:rPr>
              <w:t>testas</w:t>
            </w:r>
            <w:r>
              <w:rPr>
                <w:rFonts w:eastAsia="Times New Roman" w:cs="Times New Roman"/>
                <w:i/>
                <w:iCs/>
                <w:color w:val="000000"/>
                <w:szCs w:val="24"/>
                <w:vertAlign w:val="superscript"/>
                <w:lang w:eastAsia="zh-CN"/>
              </w:rPr>
              <w:t>8</w:t>
            </w:r>
          </w:p>
        </w:tc>
        <w:tc>
          <w:tcPr>
            <w:tcW w:w="2452" w:type="dxa"/>
            <w:gridSpan w:val="3"/>
            <w:tcBorders>
              <w:top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r w:rsidRPr="00D6112D">
              <w:rPr>
                <w:rFonts w:eastAsia="Times New Roman" w:cs="Times New Roman"/>
                <w:i/>
                <w:color w:val="000000"/>
                <w:szCs w:val="24"/>
                <w:lang w:eastAsia="zh-CN"/>
              </w:rPr>
              <w:t> </w:t>
            </w:r>
          </w:p>
        </w:tc>
        <w:tc>
          <w:tcPr>
            <w:tcW w:w="2829" w:type="dxa"/>
            <w:gridSpan w:val="3"/>
            <w:tcBorders>
              <w:top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b/>
                <w:bCs/>
                <w:i/>
                <w:color w:val="000000"/>
                <w:szCs w:val="24"/>
                <w:lang w:eastAsia="zh-CN"/>
              </w:rPr>
            </w:pPr>
            <w:r w:rsidRPr="00D6112D">
              <w:rPr>
                <w:rFonts w:eastAsia="Times New Roman" w:cs="Times New Roman"/>
                <w:b/>
                <w:bCs/>
                <w:i/>
                <w:color w:val="000000"/>
                <w:szCs w:val="24"/>
                <w:lang w:eastAsia="zh-CN"/>
              </w:rPr>
              <w:t>0,245</w:t>
            </w:r>
          </w:p>
        </w:tc>
      </w:tr>
    </w:tbl>
    <w:p w:rsidR="00FC6A12" w:rsidRDefault="00FC6A12" w:rsidP="00FC6A12">
      <w:pPr>
        <w:spacing w:line="240" w:lineRule="auto"/>
        <w:rPr>
          <w:sz w:val="20"/>
          <w:szCs w:val="20"/>
        </w:rPr>
      </w:pPr>
      <w:r w:rsidRPr="004342BF">
        <w:rPr>
          <w:sz w:val="20"/>
          <w:szCs w:val="20"/>
        </w:rPr>
        <w:t>Čia:</w:t>
      </w:r>
      <w:r>
        <w:rPr>
          <w:sz w:val="20"/>
          <w:szCs w:val="20"/>
        </w:rPr>
        <w:tab/>
        <w:t xml:space="preserve"> </w:t>
      </w:r>
      <w:r w:rsidRPr="00725527">
        <w:rPr>
          <w:b/>
          <w:sz w:val="20"/>
          <w:szCs w:val="20"/>
          <w:vertAlign w:val="superscript"/>
        </w:rPr>
        <w:t>1</w:t>
      </w:r>
      <w:r w:rsidRPr="00725527">
        <w:rPr>
          <w:b/>
          <w:sz w:val="20"/>
          <w:szCs w:val="20"/>
        </w:rPr>
        <w:t>Koef.:</w:t>
      </w:r>
      <w:r>
        <w:rPr>
          <w:sz w:val="20"/>
          <w:szCs w:val="20"/>
        </w:rPr>
        <w:t xml:space="preserve"> regresinės lygties </w:t>
      </w:r>
      <w:r w:rsidRPr="00513B29">
        <w:rPr>
          <w:i/>
          <w:sz w:val="20"/>
          <w:szCs w:val="20"/>
        </w:rPr>
        <w:t>beta</w:t>
      </w:r>
      <w:r>
        <w:rPr>
          <w:sz w:val="20"/>
          <w:szCs w:val="20"/>
        </w:rPr>
        <w:t xml:space="preserve"> (standartizuotas) koeficientas;</w:t>
      </w:r>
    </w:p>
    <w:p w:rsidR="00FC6A12" w:rsidRDefault="00FC6A12" w:rsidP="00FC6A12">
      <w:pPr>
        <w:spacing w:before="0" w:line="240" w:lineRule="auto"/>
        <w:rPr>
          <w:sz w:val="20"/>
          <w:szCs w:val="20"/>
        </w:rPr>
      </w:pPr>
      <w:r>
        <w:rPr>
          <w:sz w:val="20"/>
          <w:szCs w:val="20"/>
        </w:rPr>
        <w:tab/>
      </w:r>
      <w:r w:rsidRPr="00725527">
        <w:rPr>
          <w:b/>
          <w:sz w:val="20"/>
          <w:szCs w:val="20"/>
          <w:vertAlign w:val="superscript"/>
        </w:rPr>
        <w:t>2</w:t>
      </w:r>
      <w:r w:rsidRPr="00725527">
        <w:rPr>
          <w:b/>
          <w:sz w:val="20"/>
          <w:szCs w:val="20"/>
        </w:rPr>
        <w:t>t:</w:t>
      </w:r>
      <w:r>
        <w:rPr>
          <w:sz w:val="20"/>
          <w:szCs w:val="20"/>
        </w:rPr>
        <w:t xml:space="preserve"> </w:t>
      </w:r>
      <w:r w:rsidRPr="00513B29">
        <w:rPr>
          <w:i/>
          <w:sz w:val="20"/>
          <w:szCs w:val="20"/>
        </w:rPr>
        <w:t>beta</w:t>
      </w:r>
      <w:r>
        <w:rPr>
          <w:sz w:val="20"/>
          <w:szCs w:val="20"/>
        </w:rPr>
        <w:t xml:space="preserve"> (standartizuoto) koeficiento statistinio reikšmingumo kriterijus;</w:t>
      </w:r>
    </w:p>
    <w:p w:rsidR="00FC6A12" w:rsidRPr="00513B29" w:rsidRDefault="00FC6A12" w:rsidP="00FC6A12">
      <w:pPr>
        <w:spacing w:before="0" w:line="240" w:lineRule="auto"/>
        <w:rPr>
          <w:sz w:val="20"/>
          <w:szCs w:val="20"/>
          <w:lang w:val="en-US"/>
        </w:rPr>
      </w:pPr>
      <w:r>
        <w:rPr>
          <w:sz w:val="20"/>
          <w:szCs w:val="20"/>
          <w:vertAlign w:val="superscript"/>
        </w:rPr>
        <w:tab/>
      </w:r>
      <w:r w:rsidRPr="00EE5D30">
        <w:rPr>
          <w:b/>
          <w:sz w:val="20"/>
          <w:szCs w:val="20"/>
          <w:vertAlign w:val="superscript"/>
        </w:rPr>
        <w:t>3</w:t>
      </w:r>
      <w:r>
        <w:rPr>
          <w:b/>
          <w:sz w:val="20"/>
          <w:szCs w:val="20"/>
        </w:rPr>
        <w:t>DY_I</w:t>
      </w:r>
      <w:r w:rsidRPr="00EE5D30">
        <w:rPr>
          <w:b/>
          <w:sz w:val="20"/>
          <w:szCs w:val="20"/>
        </w:rPr>
        <w:t>:</w:t>
      </w:r>
      <w:r>
        <w:rPr>
          <w:b/>
          <w:sz w:val="20"/>
          <w:szCs w:val="20"/>
        </w:rPr>
        <w:t xml:space="preserve"> </w:t>
      </w:r>
      <w:r w:rsidRPr="00513B29">
        <w:rPr>
          <w:sz w:val="20"/>
          <w:szCs w:val="20"/>
        </w:rPr>
        <w:t xml:space="preserve">dividendinio pajamingumo padidėjimo žyminis kintamasis, </w:t>
      </w:r>
      <w:r>
        <w:rPr>
          <w:sz w:val="20"/>
          <w:szCs w:val="20"/>
        </w:rPr>
        <w:t>kai DY</w:t>
      </w:r>
      <w:r w:rsidRPr="00513B29">
        <w:rPr>
          <w:sz w:val="20"/>
          <w:szCs w:val="20"/>
          <w:vertAlign w:val="subscript"/>
        </w:rPr>
        <w:t>t</w:t>
      </w:r>
      <w:r>
        <w:rPr>
          <w:sz w:val="20"/>
          <w:szCs w:val="20"/>
          <w:vertAlign w:val="subscript"/>
        </w:rPr>
        <w:t xml:space="preserve"> </w:t>
      </w:r>
      <w:r>
        <w:rPr>
          <w:sz w:val="20"/>
          <w:szCs w:val="20"/>
        </w:rPr>
        <w:t>&gt; DY</w:t>
      </w:r>
      <w:r w:rsidRPr="00513B29">
        <w:rPr>
          <w:sz w:val="20"/>
          <w:szCs w:val="20"/>
          <w:vertAlign w:val="subscript"/>
        </w:rPr>
        <w:t>t-1</w:t>
      </w:r>
      <w:r>
        <w:rPr>
          <w:sz w:val="20"/>
          <w:szCs w:val="20"/>
        </w:rPr>
        <w:t xml:space="preserve">, tai DY_I </w:t>
      </w:r>
      <w:r>
        <w:rPr>
          <w:sz w:val="20"/>
          <w:szCs w:val="20"/>
          <w:lang w:val="en-US"/>
        </w:rPr>
        <w:t>= 1 (0);</w:t>
      </w:r>
    </w:p>
    <w:p w:rsidR="00FC6A12" w:rsidRPr="00513B29" w:rsidRDefault="00FC6A12" w:rsidP="00FC6A12">
      <w:pPr>
        <w:spacing w:before="0" w:line="240" w:lineRule="auto"/>
        <w:rPr>
          <w:sz w:val="20"/>
          <w:szCs w:val="20"/>
          <w:lang w:val="en-US"/>
        </w:rPr>
      </w:pPr>
      <w:r>
        <w:rPr>
          <w:sz w:val="20"/>
          <w:szCs w:val="20"/>
          <w:vertAlign w:val="superscript"/>
        </w:rPr>
        <w:tab/>
      </w:r>
      <w:r w:rsidRPr="00970F7D">
        <w:rPr>
          <w:b/>
          <w:sz w:val="20"/>
          <w:szCs w:val="20"/>
          <w:vertAlign w:val="superscript"/>
        </w:rPr>
        <w:t>4</w:t>
      </w:r>
      <w:r>
        <w:rPr>
          <w:b/>
          <w:sz w:val="20"/>
          <w:szCs w:val="20"/>
        </w:rPr>
        <w:t>DY_</w:t>
      </w:r>
      <w:r w:rsidRPr="00970F7D">
        <w:rPr>
          <w:b/>
          <w:sz w:val="20"/>
          <w:szCs w:val="20"/>
        </w:rPr>
        <w:t>D:</w:t>
      </w:r>
      <w:r>
        <w:rPr>
          <w:b/>
          <w:sz w:val="20"/>
          <w:szCs w:val="20"/>
        </w:rPr>
        <w:t xml:space="preserve"> </w:t>
      </w:r>
      <w:r w:rsidRPr="00513B29">
        <w:rPr>
          <w:sz w:val="20"/>
          <w:szCs w:val="20"/>
        </w:rPr>
        <w:t xml:space="preserve">dividendinio pajamingumo padidėjimo žyminis kintamasis, </w:t>
      </w:r>
      <w:r>
        <w:rPr>
          <w:sz w:val="20"/>
          <w:szCs w:val="20"/>
        </w:rPr>
        <w:t>kai DY</w:t>
      </w:r>
      <w:r w:rsidRPr="00513B29">
        <w:rPr>
          <w:sz w:val="20"/>
          <w:szCs w:val="20"/>
          <w:vertAlign w:val="subscript"/>
        </w:rPr>
        <w:t>t</w:t>
      </w:r>
      <w:r>
        <w:rPr>
          <w:sz w:val="20"/>
          <w:szCs w:val="20"/>
          <w:vertAlign w:val="subscript"/>
        </w:rPr>
        <w:t xml:space="preserve"> </w:t>
      </w:r>
      <w:r>
        <w:rPr>
          <w:sz w:val="20"/>
          <w:szCs w:val="20"/>
        </w:rPr>
        <w:t>&lt; DY</w:t>
      </w:r>
      <w:r w:rsidRPr="00513B29">
        <w:rPr>
          <w:sz w:val="20"/>
          <w:szCs w:val="20"/>
          <w:vertAlign w:val="subscript"/>
        </w:rPr>
        <w:t>t-1</w:t>
      </w:r>
      <w:r>
        <w:rPr>
          <w:sz w:val="20"/>
          <w:szCs w:val="20"/>
        </w:rPr>
        <w:t xml:space="preserve">, tai DY_D </w:t>
      </w:r>
      <w:r>
        <w:rPr>
          <w:sz w:val="20"/>
          <w:szCs w:val="20"/>
          <w:lang w:val="en-US"/>
        </w:rPr>
        <w:t>= 1 (0);</w:t>
      </w:r>
    </w:p>
    <w:p w:rsidR="00FC6A12" w:rsidRPr="0042249B" w:rsidRDefault="00FC6A12" w:rsidP="00FC6A12">
      <w:pPr>
        <w:spacing w:before="0" w:line="240" w:lineRule="auto"/>
        <w:rPr>
          <w:sz w:val="20"/>
          <w:szCs w:val="20"/>
        </w:rPr>
      </w:pPr>
      <w:r>
        <w:rPr>
          <w:sz w:val="20"/>
          <w:szCs w:val="20"/>
          <w:vertAlign w:val="superscript"/>
        </w:rPr>
        <w:lastRenderedPageBreak/>
        <w:tab/>
      </w:r>
      <w:r>
        <w:rPr>
          <w:b/>
          <w:sz w:val="20"/>
          <w:szCs w:val="20"/>
          <w:vertAlign w:val="superscript"/>
        </w:rPr>
        <w:t>5</w:t>
      </w:r>
      <w:r w:rsidRPr="00725527">
        <w:rPr>
          <w:b/>
          <w:sz w:val="20"/>
          <w:szCs w:val="20"/>
        </w:rPr>
        <w:t>Determinacijos koeficientas R:</w:t>
      </w:r>
      <w:r>
        <w:rPr>
          <w:sz w:val="20"/>
          <w:szCs w:val="20"/>
        </w:rPr>
        <w:t xml:space="preserve"> parodo, kiek </w:t>
      </w:r>
      <w:r>
        <w:rPr>
          <w:sz w:val="20"/>
          <w:szCs w:val="20"/>
          <w:lang w:val="en-US"/>
        </w:rPr>
        <w:t>%</w:t>
      </w:r>
      <w:r>
        <w:rPr>
          <w:sz w:val="20"/>
          <w:szCs w:val="20"/>
        </w:rPr>
        <w:t xml:space="preserve"> priklausomo kintamojo variacijų paaiškina nepriklausomi kintamieji</w:t>
      </w:r>
      <w:r w:rsidRPr="0042249B">
        <w:rPr>
          <w:sz w:val="20"/>
          <w:szCs w:val="20"/>
        </w:rPr>
        <w:t>;</w:t>
      </w:r>
    </w:p>
    <w:p w:rsidR="00FC6A12" w:rsidRDefault="00FC6A12" w:rsidP="00FC6A12">
      <w:pPr>
        <w:spacing w:before="0" w:line="240" w:lineRule="auto"/>
        <w:rPr>
          <w:sz w:val="20"/>
          <w:szCs w:val="20"/>
        </w:rPr>
      </w:pPr>
      <w:r w:rsidRPr="0042249B">
        <w:rPr>
          <w:sz w:val="20"/>
          <w:szCs w:val="20"/>
        </w:rPr>
        <w:tab/>
      </w:r>
      <w:r>
        <w:rPr>
          <w:b/>
          <w:sz w:val="20"/>
          <w:szCs w:val="20"/>
          <w:vertAlign w:val="superscript"/>
        </w:rPr>
        <w:t>6</w:t>
      </w:r>
      <w:r w:rsidRPr="00725527">
        <w:rPr>
          <w:b/>
          <w:sz w:val="20"/>
          <w:szCs w:val="20"/>
        </w:rPr>
        <w:t>Koreguotas determinacijos koeficientas R:</w:t>
      </w:r>
      <w:r>
        <w:rPr>
          <w:sz w:val="20"/>
          <w:szCs w:val="20"/>
        </w:rPr>
        <w:t xml:space="preserve"> parodo, kiek % priklausomo kintamojo variacijų paaiškina nepriklausomi kintamieji, įvertinus nepriklausomų kintamųjų skaičių modelyje;</w:t>
      </w:r>
    </w:p>
    <w:p w:rsidR="00FC6A12" w:rsidRDefault="00FC6A12" w:rsidP="00FC6A12">
      <w:pPr>
        <w:spacing w:before="0" w:line="240" w:lineRule="auto"/>
        <w:ind w:firstLine="1296"/>
        <w:rPr>
          <w:sz w:val="20"/>
          <w:szCs w:val="20"/>
        </w:rPr>
      </w:pPr>
      <w:r>
        <w:rPr>
          <w:b/>
          <w:sz w:val="20"/>
          <w:szCs w:val="20"/>
          <w:vertAlign w:val="superscript"/>
        </w:rPr>
        <w:t>7</w:t>
      </w:r>
      <w:r w:rsidRPr="00725527">
        <w:rPr>
          <w:b/>
          <w:sz w:val="20"/>
          <w:szCs w:val="20"/>
        </w:rPr>
        <w:t>Fisher p-testas:</w:t>
      </w:r>
      <w:r>
        <w:rPr>
          <w:sz w:val="20"/>
          <w:szCs w:val="20"/>
        </w:rPr>
        <w:t xml:space="preserve"> parodo modelio statistinį patikimumą, susumavus individualių efektų likutines reikšmes;</w:t>
      </w:r>
    </w:p>
    <w:p w:rsidR="00FC6A12" w:rsidRDefault="00FC6A12" w:rsidP="00FC6A12">
      <w:pPr>
        <w:spacing w:before="0" w:line="240" w:lineRule="auto"/>
        <w:ind w:firstLine="1296"/>
        <w:rPr>
          <w:sz w:val="20"/>
          <w:szCs w:val="20"/>
        </w:rPr>
      </w:pPr>
      <w:r>
        <w:rPr>
          <w:b/>
          <w:sz w:val="20"/>
          <w:szCs w:val="20"/>
          <w:vertAlign w:val="superscript"/>
        </w:rPr>
        <w:t>8</w:t>
      </w:r>
      <w:r w:rsidRPr="00725527">
        <w:rPr>
          <w:b/>
          <w:sz w:val="20"/>
          <w:szCs w:val="20"/>
        </w:rPr>
        <w:t>Hausman p-testas:</w:t>
      </w:r>
      <w:r>
        <w:rPr>
          <w:sz w:val="20"/>
          <w:szCs w:val="20"/>
        </w:rPr>
        <w:t xml:space="preserve"> parodo ar  individualūs modelio efektai yra atsitiktiniai;</w:t>
      </w:r>
    </w:p>
    <w:p w:rsidR="00FC6A12" w:rsidRPr="001A1564" w:rsidRDefault="00FC6A12" w:rsidP="00FC6A12">
      <w:pPr>
        <w:spacing w:before="0" w:line="240" w:lineRule="auto"/>
        <w:ind w:firstLine="1276"/>
        <w:rPr>
          <w:sz w:val="20"/>
          <w:szCs w:val="20"/>
        </w:rPr>
      </w:pPr>
      <w:r w:rsidRPr="001A1564">
        <w:rPr>
          <w:b/>
          <w:sz w:val="20"/>
          <w:szCs w:val="20"/>
        </w:rPr>
        <w:t>*</w:t>
      </w:r>
      <w:r w:rsidRPr="007E6BD1">
        <w:rPr>
          <w:b/>
          <w:sz w:val="20"/>
          <w:szCs w:val="20"/>
        </w:rPr>
        <w:t>**</w:t>
      </w:r>
      <w:r>
        <w:rPr>
          <w:b/>
          <w:sz w:val="20"/>
          <w:szCs w:val="20"/>
        </w:rPr>
        <w:t xml:space="preserve"> </w:t>
      </w:r>
      <w:r>
        <w:rPr>
          <w:sz w:val="20"/>
          <w:szCs w:val="20"/>
        </w:rPr>
        <w:t>statistinio reikšmingumo lygmuo esant</w:t>
      </w:r>
      <w:r w:rsidRPr="001A1564">
        <w:rPr>
          <w:sz w:val="20"/>
          <w:szCs w:val="20"/>
        </w:rPr>
        <w:t xml:space="preserve"> </w:t>
      </w:r>
      <w:r>
        <w:rPr>
          <w:sz w:val="20"/>
          <w:szCs w:val="20"/>
        </w:rPr>
        <w:t xml:space="preserve">99% </w:t>
      </w:r>
      <w:r w:rsidRPr="00355357">
        <w:rPr>
          <w:sz w:val="20"/>
          <w:szCs w:val="20"/>
        </w:rPr>
        <w:t xml:space="preserve"> </w:t>
      </w:r>
      <w:r>
        <w:rPr>
          <w:sz w:val="20"/>
          <w:szCs w:val="20"/>
        </w:rPr>
        <w:t>tikimybei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statistinio reikšmingumo lygmuo esant</w:t>
      </w:r>
      <w:r w:rsidRPr="001A1564">
        <w:rPr>
          <w:sz w:val="20"/>
          <w:szCs w:val="20"/>
        </w:rPr>
        <w:t xml:space="preserve"> 95%</w:t>
      </w:r>
      <w:r>
        <w:rPr>
          <w:sz w:val="20"/>
          <w:szCs w:val="20"/>
        </w:rPr>
        <w:t xml:space="preserve"> tikimybei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w:t>
      </w:r>
      <w:r>
        <w:rPr>
          <w:sz w:val="20"/>
          <w:szCs w:val="20"/>
        </w:rPr>
        <w:t>statistinio reikšmingumo lygmuo esant</w:t>
      </w:r>
      <w:r w:rsidRPr="001A1564">
        <w:rPr>
          <w:sz w:val="20"/>
          <w:szCs w:val="20"/>
        </w:rPr>
        <w:t xml:space="preserve"> </w:t>
      </w:r>
      <w:r>
        <w:rPr>
          <w:sz w:val="20"/>
          <w:szCs w:val="20"/>
        </w:rPr>
        <w:t>90% tikimybei (p</w:t>
      </w:r>
      <w:r w:rsidRPr="001A1564">
        <w:rPr>
          <w:sz w:val="20"/>
          <w:szCs w:val="20"/>
        </w:rPr>
        <w:t xml:space="preserve"> &lt; 0</w:t>
      </w:r>
      <w:r>
        <w:rPr>
          <w:sz w:val="20"/>
          <w:szCs w:val="20"/>
        </w:rPr>
        <w:t>,</w:t>
      </w:r>
      <w:r w:rsidRPr="001A1564">
        <w:rPr>
          <w:sz w:val="20"/>
          <w:szCs w:val="20"/>
        </w:rPr>
        <w:t>10).</w:t>
      </w:r>
    </w:p>
    <w:p w:rsidR="00FC6A12" w:rsidRDefault="00FC6A12" w:rsidP="00FC6A12">
      <w:r>
        <w:t xml:space="preserve">Gauti rezultatai rodo, jog tiek dividendinis pajamingumas (DY), tiek dividendų išmokėjimo rodiklis (DP) įgyja neigiamas reikšmes </w:t>
      </w:r>
      <w:r w:rsidRPr="00091BEB">
        <w:rPr>
          <w:i/>
        </w:rPr>
        <w:t>fiksuoto</w:t>
      </w:r>
      <w:r>
        <w:rPr>
          <w:i/>
        </w:rPr>
        <w:t xml:space="preserve"> poveikio</w:t>
      </w:r>
      <w:r w:rsidRPr="00091BEB">
        <w:rPr>
          <w:i/>
        </w:rPr>
        <w:t xml:space="preserve"> efekto atveju</w:t>
      </w:r>
      <w:r>
        <w:t>, tačiau iš šių dviejų, vienintelis DP rodiklis turi statistiškai reikšmingą įtaką (su 99</w:t>
      </w:r>
      <w:r w:rsidRPr="00EE5D30">
        <w:t>%</w:t>
      </w:r>
      <w:r>
        <w:t xml:space="preserve"> tikimybe) akcijų pelningumui, intervale: 3 dienos prieš naujienų paskelbimą ir 1 diena po naujienų paskelbimo. Toks rezultatas gali reikšti, jog šiame laiko intervale dividendiniai rodikliai neturi teigiamo poveikio, kadangi 3 dienas prieš dividendų paskelbimą akcijų kainas labiau veikia kiti fundamentiniai veiksniai, o įmonės darbuotojai nenutekina informacijos apie dividendus, taip pat akcijų pelningumo pokyčiai per 2 dienas po dividendų paskelbimo ne visais atvejais reikšmingai įtakoja akcijų pelningumą per visą analizuojamą 5 dienų periodą. Taip pat neatmetama ir tokia galimybė, jog rinka pakankamai palankiai vertina įmonių žingsnį išmokėti dividendus, kuomet dividendų išmokėjimo koeficientas yra neigiamas (įmonė moka dividendus iš rezervinių lėšų). </w:t>
      </w:r>
    </w:p>
    <w:p w:rsidR="00FC6A12" w:rsidRDefault="00FC6A12" w:rsidP="00FC6A12">
      <w:r>
        <w:t xml:space="preserve">Neigiama, nors ir mažiau statistiškai reikšminga, nepaskirstyto pelno rodiklio (RR) reikšmė rodo, jog atidėto pelno lygmuo neigiamai įtakoja akcijų kainas analizuojamu periodu. Nuosavo kapitalo grąža (ROE) teigiamai įtakoja akcijų pelningumą nagrinėjamame periode. Šis rezultatas atitinka (Khan, et al. 2011) rezultatus. Teigiama ROE rodiklio įtaka akcijų kainai rodo, jog įmonės vadovybė efektyviai panaudoja akcininkų lėšas, kas didina ir akcijos investicinę grąžą, tuo tarpu neigiamas RR rodiklio ir akcijų pelningumo ryšys rodo, jog akcininkai tikisi, jog įmonės mokės dividendus, kuomet įmonė atideda tam tikrą dalį pelno dėl vidinių įmonės poreikių, tai neigiamai veikia akcijų kainas (Khan, et al. 2011). </w:t>
      </w:r>
    </w:p>
    <w:p w:rsidR="00FC6A12" w:rsidRDefault="00FC6A12" w:rsidP="00FC6A12">
      <w:pPr>
        <w:rPr>
          <w:rFonts w:eastAsia="Times New Roman" w:cs="Times New Roman"/>
          <w:i/>
          <w:iCs/>
          <w:color w:val="000000"/>
          <w:sz w:val="22"/>
          <w:lang w:eastAsia="zh-CN"/>
        </w:rPr>
      </w:pPr>
      <w:r w:rsidRPr="00091BEB">
        <w:rPr>
          <w:i/>
        </w:rPr>
        <w:t>Atsitiktinio poveikio efekto</w:t>
      </w:r>
      <w:r>
        <w:rPr>
          <w:i/>
        </w:rPr>
        <w:t xml:space="preserve"> </w:t>
      </w:r>
      <w:r>
        <w:t xml:space="preserve">atveju dividendų politikos rodiklių įtaka akcijų pelningumui nėra reikšminga, nors dividendinio pajamingumo rodiklis, priešingai nei fiksuoto efekto atveju, įgyja teigiamą reikšmę. ROE ir RR rodikliai išlieka reikšmingi su atitinkamai tokiu pat reikšmingumo lygmeniu ir turi, atitinkamai, teigiamą ir neigiamą poveikį akcijų kainoms kaip ir palyginamuoju atveju. Neigiama RR ir teigiama ROE rodiklių įtaka akcijų kainoms atitinka Khan </w:t>
      </w:r>
      <w:r w:rsidRPr="0030087A">
        <w:t>(</w:t>
      </w:r>
      <w:r>
        <w:t>2012) rezultatus. Reiktų pastebėti, jog žymuo DY-D (dividendų pajamingumo sumažėjimas) turi statistiškai reikšmingą neigiamą įtaką akcijų pelningumui</w:t>
      </w:r>
      <w:r w:rsidRPr="006C47AB">
        <w:rPr>
          <w:rFonts w:eastAsia="Times New Roman" w:cs="Times New Roman"/>
          <w:i/>
          <w:iCs/>
          <w:color w:val="000000"/>
          <w:sz w:val="22"/>
          <w:lang w:eastAsia="zh-CN"/>
        </w:rPr>
        <w:t xml:space="preserve"> </w:t>
      </w:r>
      <w:r>
        <w:rPr>
          <w:rFonts w:eastAsia="Times New Roman" w:cs="Times New Roman"/>
          <w:i/>
          <w:iCs/>
          <w:color w:val="000000"/>
          <w:sz w:val="22"/>
          <w:lang w:eastAsia="zh-CN"/>
        </w:rPr>
        <w:t>(</w:t>
      </w:r>
      <w:r w:rsidRPr="00D6112D">
        <w:rPr>
          <w:rFonts w:eastAsia="Times New Roman" w:cs="Times New Roman"/>
          <w:i/>
          <w:iCs/>
          <w:color w:val="000000"/>
          <w:sz w:val="22"/>
          <w:lang w:eastAsia="zh-CN"/>
        </w:rPr>
        <w:t>β</w:t>
      </w:r>
      <w:r>
        <w:rPr>
          <w:rFonts w:eastAsia="Times New Roman" w:cs="Times New Roman"/>
          <w:i/>
          <w:iCs/>
          <w:color w:val="000000"/>
          <w:sz w:val="22"/>
          <w:lang w:eastAsia="zh-CN"/>
        </w:rPr>
        <w:t>=-0,029).</w:t>
      </w:r>
      <w:r>
        <w:t xml:space="preserve"> Kai tikimasi dividendinio pajamingumo sumažėjimo (DY_D </w:t>
      </w:r>
      <w:r w:rsidRPr="006C47AB">
        <w:t>=</w:t>
      </w:r>
      <w:r>
        <w:t xml:space="preserve"> 1), tuomet </w:t>
      </w:r>
      <w:r w:rsidRPr="00D6112D">
        <w:rPr>
          <w:rFonts w:eastAsia="Times New Roman" w:cs="Times New Roman"/>
          <w:i/>
          <w:iCs/>
          <w:color w:val="000000"/>
          <w:sz w:val="22"/>
          <w:lang w:eastAsia="zh-CN"/>
        </w:rPr>
        <w:t>β</w:t>
      </w:r>
      <w:r>
        <w:rPr>
          <w:rFonts w:eastAsia="Times New Roman" w:cs="Times New Roman"/>
          <w:i/>
          <w:iCs/>
          <w:color w:val="000000"/>
          <w:sz w:val="22"/>
          <w:lang w:eastAsia="zh-CN"/>
        </w:rPr>
        <w:t>*1</w:t>
      </w:r>
      <w:r w:rsidRPr="006C47AB">
        <w:rPr>
          <w:rFonts w:eastAsia="Times New Roman" w:cs="Times New Roman"/>
          <w:i/>
          <w:iCs/>
          <w:color w:val="000000"/>
          <w:sz w:val="22"/>
          <w:lang w:eastAsia="zh-CN"/>
        </w:rPr>
        <w:t>=</w:t>
      </w:r>
      <w:r>
        <w:rPr>
          <w:rFonts w:eastAsia="Times New Roman" w:cs="Times New Roman"/>
          <w:i/>
          <w:iCs/>
          <w:color w:val="000000"/>
          <w:sz w:val="22"/>
          <w:lang w:eastAsia="zh-CN"/>
        </w:rPr>
        <w:t>-0,029</w:t>
      </w:r>
      <w:r>
        <w:t xml:space="preserve">. Kai pajamingumas nesumažėja (DY_D </w:t>
      </w:r>
      <w:r w:rsidRPr="006C47AB">
        <w:t>=</w:t>
      </w:r>
      <w:r>
        <w:t xml:space="preserve"> 0), </w:t>
      </w:r>
      <w:r w:rsidRPr="00D6112D">
        <w:rPr>
          <w:rFonts w:eastAsia="Times New Roman" w:cs="Times New Roman"/>
          <w:i/>
          <w:iCs/>
          <w:color w:val="000000"/>
          <w:sz w:val="22"/>
          <w:lang w:eastAsia="zh-CN"/>
        </w:rPr>
        <w:t>β</w:t>
      </w:r>
      <w:r>
        <w:rPr>
          <w:rFonts w:eastAsia="Times New Roman" w:cs="Times New Roman"/>
          <w:i/>
          <w:iCs/>
          <w:color w:val="000000"/>
          <w:sz w:val="22"/>
          <w:lang w:eastAsia="zh-CN"/>
        </w:rPr>
        <w:t>*0=0.</w:t>
      </w:r>
    </w:p>
    <w:p w:rsidR="00FC6A12" w:rsidRDefault="00FC6A12" w:rsidP="00FC6A12">
      <w:pPr>
        <w:rPr>
          <w:lang w:eastAsia="zh-CN"/>
        </w:rPr>
      </w:pPr>
      <w:r w:rsidRPr="006C47AB">
        <w:rPr>
          <w:i/>
          <w:lang w:eastAsia="zh-CN"/>
        </w:rPr>
        <w:t>Fiksuoto efekto</w:t>
      </w:r>
      <w:r w:rsidRPr="006C47AB">
        <w:rPr>
          <w:lang w:eastAsia="zh-CN"/>
        </w:rPr>
        <w:t xml:space="preserve"> modelio atveju</w:t>
      </w:r>
      <w:r>
        <w:rPr>
          <w:lang w:eastAsia="zh-CN"/>
        </w:rPr>
        <w:t xml:space="preserve">, determinacijos koeficientas rodo, jog modelis paaiškina 38,3% priklausomojo kintamojo CAAR[-3;1] variacijų, tačiau jei atsižvelgtume į variacijas paaiškinančių </w:t>
      </w:r>
      <w:r>
        <w:rPr>
          <w:lang w:eastAsia="zh-CN"/>
        </w:rPr>
        <w:lastRenderedPageBreak/>
        <w:t xml:space="preserve">kintamųjų skaičių, koreguota determinacijos reikšmė bus lygi tik 4%. </w:t>
      </w:r>
      <w:r w:rsidRPr="00653062">
        <w:rPr>
          <w:i/>
          <w:lang w:eastAsia="zh-CN"/>
        </w:rPr>
        <w:t>Fiksuoto efekto</w:t>
      </w:r>
      <w:r>
        <w:rPr>
          <w:lang w:eastAsia="zh-CN"/>
        </w:rPr>
        <w:t xml:space="preserve"> modelis šiuo atveju nepritaikytinas dėl didelės p reikšmės (p &gt; 0,05)  </w:t>
      </w:r>
    </w:p>
    <w:p w:rsidR="00FC6A12" w:rsidRDefault="00FC6A12" w:rsidP="00FC6A12">
      <w:pPr>
        <w:rPr>
          <w:lang w:eastAsia="zh-CN"/>
        </w:rPr>
      </w:pPr>
      <w:r>
        <w:rPr>
          <w:lang w:eastAsia="zh-CN"/>
        </w:rPr>
        <w:t xml:space="preserve">Tam, kad nustatyti ar individualūs efektai yra labiau atsitiktiniai (nėra tarpusavio koreliacijos tarp individualių efektų ir variacijas paaiškinančių kintamųjų) ar fiksuoti, atliktas </w:t>
      </w:r>
      <w:r w:rsidRPr="001B0E7E">
        <w:rPr>
          <w:i/>
          <w:lang w:eastAsia="zh-CN"/>
        </w:rPr>
        <w:t>Hausman</w:t>
      </w:r>
      <w:r>
        <w:rPr>
          <w:lang w:eastAsia="zh-CN"/>
        </w:rPr>
        <w:t xml:space="preserve"> testas. Nustatyta, jog p reikšmė &gt; 0,05, todėl individualūs efektai turėtų būti laikomi atsitiktiniais. </w:t>
      </w:r>
      <w:r w:rsidRPr="001B0E7E">
        <w:rPr>
          <w:i/>
          <w:lang w:eastAsia="zh-CN"/>
        </w:rPr>
        <w:t>Hausman</w:t>
      </w:r>
      <w:r>
        <w:rPr>
          <w:lang w:eastAsia="zh-CN"/>
        </w:rPr>
        <w:t xml:space="preserve"> testas patvirtina, jog atsitiktinių efektų modelis yra tikslesnis, o tai reiškia, jog nei vienas iš dividendų politikos rodiklių neturi didesnės įtakos sudėtiniam akcijų pelningumui analizuojamu periodu. </w:t>
      </w:r>
    </w:p>
    <w:p w:rsidR="00FC6A12" w:rsidRDefault="00FC6A12" w:rsidP="00FC6A12">
      <w:r>
        <w:rPr>
          <w:lang w:eastAsia="zh-CN"/>
        </w:rPr>
        <w:t>Norint tinkamai įvertinti dividendinių akcijų investicinę grąžą prekybos dienomis nuo t</w:t>
      </w:r>
      <w:r w:rsidRPr="00207E9B">
        <w:rPr>
          <w:lang w:eastAsia="zh-CN"/>
        </w:rPr>
        <w:t>=</w:t>
      </w:r>
      <w:r>
        <w:rPr>
          <w:lang w:eastAsia="zh-CN"/>
        </w:rPr>
        <w:t>-3 iki t=1, reikia analizuoti akcijų pelningumą įtakojančius faktorius. Investuotojas gali kur kas tiksliau prognozuoti neigiamus kainų pokyčius, turėdamas informacijos arba įvertinęs dividendų pajamingumo sumažėjimo galimybę po naujienų paskelbimo. Teigiami kainų pokyčiai gali būti prognozuojami įvertinus praėjusių</w:t>
      </w:r>
      <w:r w:rsidRPr="00207E9B">
        <w:rPr>
          <w:lang w:eastAsia="zh-CN"/>
        </w:rPr>
        <w:t xml:space="preserve"> </w:t>
      </w:r>
      <w:r>
        <w:rPr>
          <w:lang w:eastAsia="zh-CN"/>
        </w:rPr>
        <w:t>metų įmonės finansinius rezultatus, o tiksliau nuosavo kapitalo grąžos (ROE) rodiklį.</w:t>
      </w:r>
      <w:r>
        <w:t xml:space="preserve"> Akcijų pelningumas CAAR[-3;1] gali būti išreikštas gauta regresijos lygtimi (žr. (2</w:t>
      </w:r>
      <w:r w:rsidR="00BC05AE">
        <w:t>8</w:t>
      </w:r>
      <w:r>
        <w:t xml:space="preserve">) formulę), remiantis </w:t>
      </w:r>
      <w:r w:rsidRPr="00CE641E">
        <w:rPr>
          <w:i/>
        </w:rPr>
        <w:t>atsitiktinio efekto</w:t>
      </w:r>
      <w:r>
        <w:t xml:space="preserve"> modeliu:</w:t>
      </w:r>
    </w:p>
    <w:p w:rsidR="00FC6A12" w:rsidRPr="00053724" w:rsidRDefault="00FC6A12" w:rsidP="009D0BB8">
      <w:pPr>
        <w:ind w:firstLine="0"/>
        <w:jc w:val="center"/>
        <w:rPr>
          <w:szCs w:val="24"/>
          <w:lang w:val="en-US"/>
        </w:rPr>
      </w:pPr>
      <w:r w:rsidRPr="00CE641E">
        <w:rPr>
          <w:i/>
          <w:szCs w:val="24"/>
        </w:rPr>
        <w:t xml:space="preserve">CAAR[-3;1] </w:t>
      </w:r>
      <w:r w:rsidRPr="00CE641E">
        <w:rPr>
          <w:i/>
          <w:szCs w:val="24"/>
          <w:lang w:val="en-US"/>
        </w:rPr>
        <w:t>= 0,43 + 0,1DY - 0,01DP – 0,002lnTURT – 0,01RETE – 0,05RR + 0,001</w:t>
      </w:r>
      <w:r w:rsidRPr="00CE641E">
        <w:rPr>
          <w:rFonts w:eastAsia="Times New Roman" w:cs="Times New Roman"/>
          <w:i/>
          <w:color w:val="000000"/>
          <w:szCs w:val="24"/>
          <w:lang w:eastAsia="zh-CN"/>
        </w:rPr>
        <w:t>∆</w:t>
      </w:r>
      <w:r w:rsidR="002513C3">
        <w:rPr>
          <w:rFonts w:eastAsia="Times New Roman" w:cs="Times New Roman"/>
          <w:i/>
          <w:color w:val="000000"/>
          <w:szCs w:val="24"/>
          <w:lang w:eastAsia="zh-CN"/>
        </w:rPr>
        <w:t>EBITDA</w:t>
      </w:r>
      <w:r w:rsidRPr="00CE641E">
        <w:rPr>
          <w:rFonts w:eastAsia="Times New Roman" w:cs="Times New Roman"/>
          <w:i/>
          <w:color w:val="000000"/>
          <w:szCs w:val="24"/>
          <w:lang w:eastAsia="zh-CN"/>
        </w:rPr>
        <w:t xml:space="preserve"> + 0,135ROE + 0,003CR + 0,001(D/E)  - 0,01(M/B) + 0,0001lnAPYV – 0,01DY_I -0,03DY_D</w:t>
      </w:r>
      <w:r>
        <w:rPr>
          <w:i/>
          <w:szCs w:val="24"/>
          <w:lang w:val="en-US"/>
        </w:rPr>
        <w:t xml:space="preserve"> </w:t>
      </w:r>
      <w:r w:rsidRPr="00CE641E">
        <w:rPr>
          <w:i/>
          <w:szCs w:val="24"/>
          <w:lang w:val="en-US"/>
        </w:rPr>
        <w:t xml:space="preserve">+ </w:t>
      </w:r>
      <w:r>
        <w:rPr>
          <w:i/>
          <w:szCs w:val="24"/>
          <w:lang w:val="en-US"/>
        </w:rPr>
        <w:t>v</w:t>
      </w:r>
      <w:r w:rsidRPr="00CE641E">
        <w:rPr>
          <w:i/>
          <w:szCs w:val="24"/>
          <w:vertAlign w:val="subscript"/>
          <w:lang w:val="en-US"/>
        </w:rPr>
        <w:t>j</w:t>
      </w:r>
      <w:r>
        <w:rPr>
          <w:szCs w:val="24"/>
          <w:lang w:val="en-US"/>
        </w:rPr>
        <w:t xml:space="preserve">    </w:t>
      </w:r>
      <w:r w:rsidRPr="00053724">
        <w:rPr>
          <w:szCs w:val="24"/>
          <w:lang w:val="en-US"/>
        </w:rPr>
        <w:t>(2</w:t>
      </w:r>
      <w:r w:rsidR="00BC05AE">
        <w:rPr>
          <w:szCs w:val="24"/>
          <w:lang w:val="en-US"/>
        </w:rPr>
        <w:t>8</w:t>
      </w:r>
      <w:r w:rsidRPr="00053724">
        <w:rPr>
          <w:szCs w:val="24"/>
          <w:lang w:val="en-US"/>
        </w:rPr>
        <w:t>)</w:t>
      </w:r>
    </w:p>
    <w:p w:rsidR="00FC6A12" w:rsidRDefault="00FC6A12" w:rsidP="00FC6A12">
      <w:pPr>
        <w:rPr>
          <w:lang w:val="en-US"/>
        </w:rPr>
      </w:pPr>
      <w:r w:rsidRPr="00081304">
        <w:rPr>
          <w:b/>
        </w:rPr>
        <w:t xml:space="preserve">Momentinis signalas. </w:t>
      </w:r>
      <w:r>
        <w:t xml:space="preserve">Kuomet dividendų paskelbimo dieną analizuojamas dividendinės įmonės rinkai siunčiamas momentinis signalas, tam tikros akcijos stebimos, tikintis atitinkamo akcijų pelningumo pokyčio AAR(0). Šiuo atveju AAR(0) laikomas priklausomu kintamuoju, tuomet apskaičiuojami nepriklausomų kintamųjų </w:t>
      </w:r>
      <w:r w:rsidRPr="00AA1AD2">
        <w:rPr>
          <w:i/>
        </w:rPr>
        <w:t>beta</w:t>
      </w:r>
      <w:r>
        <w:t xml:space="preserve"> koeficientai ir įvertinami skirtingo efekto modelių charakteristikos (žr. </w:t>
      </w:r>
      <w:r w:rsidR="00707DF4">
        <w:t>24 lent.</w:t>
      </w:r>
      <w:r>
        <w:t xml:space="preserve">). Akivaizdu, jog skirtingai nei prieš tai buvusiu atveju, dividendų politikos rodiklis DY turi nepalyginimai didesnę akcijų pelningumui būtent dividendų paskelbimo dieną. Tiek </w:t>
      </w:r>
      <w:r w:rsidRPr="00566A11">
        <w:rPr>
          <w:i/>
        </w:rPr>
        <w:t>fiksuoto</w:t>
      </w:r>
      <w:r>
        <w:t xml:space="preserve"> tiek </w:t>
      </w:r>
      <w:r w:rsidRPr="00566A11">
        <w:rPr>
          <w:i/>
        </w:rPr>
        <w:t>atsitiktinio efekto</w:t>
      </w:r>
      <w:r>
        <w:t xml:space="preserve"> modelių atveju, dividendų pajamingumas yra statistiškai reikšmingas (su 99</w:t>
      </w:r>
      <w:r>
        <w:rPr>
          <w:lang w:val="en-US"/>
        </w:rPr>
        <w:t>% tikimybe).</w:t>
      </w:r>
    </w:p>
    <w:p w:rsidR="00FC6A12" w:rsidRPr="007F276C" w:rsidRDefault="00FC6A12" w:rsidP="00FC6A12">
      <w:r>
        <w:rPr>
          <w:lang w:val="en-US"/>
        </w:rPr>
        <w:t xml:space="preserve">Nishat, Irfan (2001), Khan et al. (2011) </w:t>
      </w:r>
      <w:r w:rsidRPr="007F276C">
        <w:t>taip</w:t>
      </w:r>
      <w:r w:rsidR="00BC05AE">
        <w:t xml:space="preserve"> pat</w:t>
      </w:r>
      <w:r w:rsidRPr="007F276C">
        <w:t xml:space="preserve"> nustatė statistiškai reikšmingą ryšį tarp akcijų pelningumo ir dividend</w:t>
      </w:r>
      <w:r>
        <w:t>ų</w:t>
      </w:r>
      <w:r w:rsidRPr="007F276C">
        <w:t xml:space="preserve"> pajamingumo rodiklio. Šis rezultatas </w:t>
      </w:r>
      <w:r>
        <w:t>patvirtina teiginį</w:t>
      </w:r>
      <w:r w:rsidRPr="007F276C">
        <w:t>, jog investuotojai palankiai vertina dividendus, kur</w:t>
      </w:r>
      <w:r>
        <w:t>ių paskelbimo faktas</w:t>
      </w:r>
      <w:r w:rsidRPr="007F276C">
        <w:t xml:space="preserve"> </w:t>
      </w:r>
      <w:r>
        <w:t>su</w:t>
      </w:r>
      <w:r w:rsidRPr="007F276C">
        <w:t>veikia kaip informacinis signalas apie įmonės pelningumo perspektyvas.</w:t>
      </w:r>
      <w:r>
        <w:t xml:space="preserve"> Kurniasih et al. (2011) pastebi, jog dividendinis pajamingumas ir jų atlikto tyrimo metu turėjo statistiškai reikšmingą įtaką abiem efekto modelių atvejais. Tuo tarpu, Fracassi (2008) pažymi - kuo didesnis dividendų (dividendų pajamingumo) padidėjimas, tuo efektyvesnis ir rinkai siaučiamas signalas </w:t>
      </w:r>
    </w:p>
    <w:p w:rsidR="00FC6A12" w:rsidRDefault="00FC6A12" w:rsidP="00FC6A12">
      <w:r w:rsidRPr="00566A11">
        <w:rPr>
          <w:i/>
        </w:rPr>
        <w:t>Fiksuoto efekto</w:t>
      </w:r>
      <w:r>
        <w:rPr>
          <w:i/>
        </w:rPr>
        <w:t xml:space="preserve"> </w:t>
      </w:r>
      <w:r>
        <w:t xml:space="preserve">atveju, akcijų pelningumui turi statistiškai neigiamą reikšmę Nepaskirstyto pelno ir akcinio kapitalo santykio rodiklis (RETE). Panašaus rezultato tikėjosi, o vėliau jį patvirtino ir </w:t>
      </w:r>
      <w:r>
        <w:lastRenderedPageBreak/>
        <w:t xml:space="preserve">Fracassi (2008), kuomet RETE tiek dividendų didėjimo, tiek mažėjimo atvejais įgijo neigiamas reikšmes akcijų pelningumo atžvilgiu, kurios buvo tik silpnai statistiškai reikšmingos. Galima teigti, jo rinka palankiai vertina įmonių naujienas apie dividendų padidinimą, kai RETE yra santykinai žemas, o nepalankiai kai RETE yra pakankamai aukštas. Kadangi tiek RETE, tiek dividendų išmokėjimo rodiklis yra neigiami, tačiau mažai statistiškai reikšmingi, negalima teigti, jog Baltijos rinkos dividendinių įmonių atveju </w:t>
      </w:r>
      <w:r w:rsidRPr="00807983">
        <w:rPr>
          <w:b/>
          <w:i/>
        </w:rPr>
        <w:t>brandos stadijos hipotezė</w:t>
      </w:r>
      <w:r>
        <w:rPr>
          <w:b/>
          <w:i/>
        </w:rPr>
        <w:t xml:space="preserve"> </w:t>
      </w:r>
      <w:r w:rsidRPr="00CE4683">
        <w:t>turi stiprų empirinį pagrindą</w:t>
      </w:r>
      <w:r>
        <w:t>.</w:t>
      </w:r>
    </w:p>
    <w:p w:rsidR="00FC6A12" w:rsidRPr="00F80D50" w:rsidRDefault="00BC05AE" w:rsidP="006F517F">
      <w:pPr>
        <w:pStyle w:val="Caption"/>
        <w:ind w:left="1560" w:hanging="1134"/>
      </w:pPr>
      <w:bookmarkStart w:id="126" w:name="_Ref342899286"/>
      <w:r>
        <w:t xml:space="preserve"> </w:t>
      </w:r>
      <w:bookmarkStart w:id="127" w:name="_Toc343677842"/>
      <w:r w:rsidR="00FC6A12">
        <w:t>AAR(0)</w:t>
      </w:r>
      <w:r w:rsidR="006F517F">
        <w:t xml:space="preserve"> kriterijaus</w:t>
      </w:r>
      <w:r w:rsidR="00FC6A12">
        <w:t xml:space="preserve"> fiksuoto ir atsitiktinio efekto modelių charakteristikos</w:t>
      </w:r>
      <w:bookmarkEnd w:id="126"/>
      <w:bookmarkEnd w:id="127"/>
    </w:p>
    <w:tbl>
      <w:tblPr>
        <w:tblW w:w="9938" w:type="dxa"/>
        <w:tblInd w:w="93" w:type="dxa"/>
        <w:tblBorders>
          <w:top w:val="single" w:sz="12" w:space="0" w:color="auto"/>
          <w:left w:val="single" w:sz="12" w:space="0" w:color="auto"/>
          <w:bottom w:val="single" w:sz="12" w:space="0" w:color="auto"/>
          <w:right w:val="single" w:sz="12" w:space="0" w:color="auto"/>
        </w:tblBorders>
        <w:tblLayout w:type="fixed"/>
        <w:tblLook w:val="04A0"/>
      </w:tblPr>
      <w:tblGrid>
        <w:gridCol w:w="436"/>
        <w:gridCol w:w="2981"/>
        <w:gridCol w:w="1276"/>
        <w:gridCol w:w="851"/>
        <w:gridCol w:w="850"/>
        <w:gridCol w:w="709"/>
        <w:gridCol w:w="1134"/>
        <w:gridCol w:w="992"/>
        <w:gridCol w:w="709"/>
      </w:tblGrid>
      <w:tr w:rsidR="00FC6A12" w:rsidRPr="00FE651A" w:rsidTr="00FC6A12">
        <w:trPr>
          <w:trHeight w:val="649"/>
        </w:trPr>
        <w:tc>
          <w:tcPr>
            <w:tcW w:w="4693" w:type="dxa"/>
            <w:gridSpan w:val="3"/>
            <w:vMerge w:val="restart"/>
            <w:tcBorders>
              <w:top w:val="single" w:sz="12" w:space="0" w:color="auto"/>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Nepriklausomi kintamieji</w:t>
            </w:r>
          </w:p>
        </w:tc>
        <w:tc>
          <w:tcPr>
            <w:tcW w:w="2410"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 xml:space="preserve">Fiksuotas </w:t>
            </w:r>
            <w:r>
              <w:rPr>
                <w:rFonts w:eastAsia="Times New Roman" w:cs="Times New Roman"/>
                <w:b/>
                <w:bCs/>
                <w:color w:val="000000"/>
                <w:sz w:val="22"/>
                <w:lang w:eastAsia="zh-CN"/>
              </w:rPr>
              <w:t>efektas</w:t>
            </w:r>
          </w:p>
        </w:tc>
        <w:tc>
          <w:tcPr>
            <w:tcW w:w="2835" w:type="dxa"/>
            <w:gridSpan w:val="3"/>
            <w:tcBorders>
              <w:top w:val="single" w:sz="12" w:space="0" w:color="auto"/>
              <w:left w:val="single" w:sz="12" w:space="0" w:color="auto"/>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 xml:space="preserve">Atsitiktinis </w:t>
            </w:r>
            <w:r>
              <w:rPr>
                <w:rFonts w:eastAsia="Times New Roman" w:cs="Times New Roman"/>
                <w:b/>
                <w:bCs/>
                <w:color w:val="000000"/>
                <w:sz w:val="22"/>
                <w:lang w:eastAsia="zh-CN"/>
              </w:rPr>
              <w:t>efektas</w:t>
            </w:r>
          </w:p>
        </w:tc>
      </w:tr>
      <w:tr w:rsidR="00FC6A12" w:rsidRPr="00FE651A" w:rsidTr="00FC6A12">
        <w:trPr>
          <w:trHeight w:val="362"/>
        </w:trPr>
        <w:tc>
          <w:tcPr>
            <w:tcW w:w="4693" w:type="dxa"/>
            <w:gridSpan w:val="3"/>
            <w:vMerge/>
            <w:tcBorders>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b/>
                <w:bCs/>
                <w:color w:val="000000"/>
                <w:lang w:eastAsia="zh-CN"/>
              </w:rPr>
            </w:pPr>
          </w:p>
        </w:tc>
        <w:tc>
          <w:tcPr>
            <w:tcW w:w="851" w:type="dxa"/>
            <w:tcBorders>
              <w:top w:val="single" w:sz="12" w:space="0" w:color="auto"/>
              <w:left w:val="single" w:sz="12" w:space="0" w:color="auto"/>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Koef.</w:t>
            </w:r>
          </w:p>
        </w:tc>
        <w:tc>
          <w:tcPr>
            <w:tcW w:w="1559" w:type="dxa"/>
            <w:gridSpan w:val="2"/>
            <w:tcBorders>
              <w:top w:val="single" w:sz="12" w:space="0" w:color="auto"/>
              <w:bottom w:val="single" w:sz="12" w:space="0" w:color="auto"/>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t</w:t>
            </w:r>
          </w:p>
        </w:tc>
        <w:tc>
          <w:tcPr>
            <w:tcW w:w="1134" w:type="dxa"/>
            <w:tcBorders>
              <w:top w:val="single" w:sz="12" w:space="0" w:color="auto"/>
              <w:left w:val="single" w:sz="12" w:space="0" w:color="auto"/>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Koef.</w:t>
            </w:r>
          </w:p>
        </w:tc>
        <w:tc>
          <w:tcPr>
            <w:tcW w:w="1701" w:type="dxa"/>
            <w:gridSpan w:val="2"/>
            <w:tcBorders>
              <w:top w:val="single" w:sz="12" w:space="0" w:color="auto"/>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b/>
                <w:bCs/>
                <w:color w:val="000000"/>
                <w:lang w:eastAsia="zh-CN"/>
              </w:rPr>
            </w:pPr>
            <w:r w:rsidRPr="00FE651A">
              <w:rPr>
                <w:rFonts w:eastAsia="Times New Roman" w:cs="Times New Roman"/>
                <w:b/>
                <w:bCs/>
                <w:color w:val="000000"/>
                <w:sz w:val="22"/>
                <w:lang w:eastAsia="zh-CN"/>
              </w:rPr>
              <w:t>t</w:t>
            </w:r>
          </w:p>
        </w:tc>
      </w:tr>
      <w:tr w:rsidR="00FC6A12" w:rsidRPr="00FE651A" w:rsidTr="00FC6A12">
        <w:trPr>
          <w:trHeight w:val="317"/>
        </w:trPr>
        <w:tc>
          <w:tcPr>
            <w:tcW w:w="3417" w:type="dxa"/>
            <w:gridSpan w:val="2"/>
            <w:tcBorders>
              <w:top w:val="single" w:sz="12" w:space="0" w:color="auto"/>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i/>
                <w:iCs/>
                <w:color w:val="000000"/>
                <w:lang w:eastAsia="zh-CN"/>
              </w:rPr>
            </w:pPr>
            <w:r w:rsidRPr="00FE651A">
              <w:rPr>
                <w:rFonts w:eastAsia="Times New Roman" w:cs="Times New Roman"/>
                <w:i/>
                <w:iCs/>
                <w:color w:val="000000"/>
                <w:sz w:val="22"/>
                <w:lang w:eastAsia="zh-CN"/>
              </w:rPr>
              <w:t>konstanta</w:t>
            </w:r>
          </w:p>
        </w:tc>
        <w:tc>
          <w:tcPr>
            <w:tcW w:w="1276"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i/>
                <w:iCs/>
                <w:color w:val="000000"/>
                <w:lang w:eastAsia="zh-CN"/>
              </w:rPr>
            </w:pPr>
            <w:r w:rsidRPr="00FE651A">
              <w:rPr>
                <w:rFonts w:eastAsia="Times New Roman" w:cs="Times New Roman"/>
                <w:i/>
                <w:iCs/>
                <w:color w:val="000000"/>
                <w:sz w:val="22"/>
                <w:lang w:eastAsia="zh-CN"/>
              </w:rPr>
              <w:t>β0</w:t>
            </w:r>
          </w:p>
        </w:tc>
        <w:tc>
          <w:tcPr>
            <w:tcW w:w="851" w:type="dxa"/>
            <w:tcBorders>
              <w:top w:val="single" w:sz="12" w:space="0" w:color="auto"/>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0,058</w:t>
            </w:r>
          </w:p>
        </w:tc>
        <w:tc>
          <w:tcPr>
            <w:tcW w:w="850" w:type="dxa"/>
            <w:tcBorders>
              <w:top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1,38</w:t>
            </w:r>
          </w:p>
        </w:tc>
        <w:tc>
          <w:tcPr>
            <w:tcW w:w="709" w:type="dxa"/>
            <w:tcBorders>
              <w:top w:val="single" w:sz="12" w:space="0" w:color="auto"/>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single" w:sz="12" w:space="0" w:color="auto"/>
              <w:lef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0,037</w:t>
            </w:r>
          </w:p>
        </w:tc>
        <w:tc>
          <w:tcPr>
            <w:tcW w:w="992" w:type="dxa"/>
            <w:tcBorders>
              <w:top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1,41</w:t>
            </w:r>
          </w:p>
        </w:tc>
        <w:tc>
          <w:tcPr>
            <w:tcW w:w="709" w:type="dxa"/>
            <w:tcBorders>
              <w:top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3417" w:type="dxa"/>
            <w:gridSpan w:val="2"/>
            <w:tcBorders>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Dividendų pajamingumas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DY</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0,408</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6,46</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c>
          <w:tcPr>
            <w:tcW w:w="1134" w:type="dxa"/>
            <w:tcBorders>
              <w:lef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0,312</w:t>
            </w:r>
          </w:p>
        </w:tc>
        <w:tc>
          <w:tcPr>
            <w:tcW w:w="992" w:type="dxa"/>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4,24</w:t>
            </w:r>
          </w:p>
        </w:tc>
        <w:tc>
          <w:tcPr>
            <w:tcW w:w="709" w:type="dxa"/>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r>
      <w:tr w:rsidR="00FC6A12" w:rsidRPr="00FE651A" w:rsidTr="00FC6A12">
        <w:trPr>
          <w:trHeight w:val="317"/>
        </w:trPr>
        <w:tc>
          <w:tcPr>
            <w:tcW w:w="3417" w:type="dxa"/>
            <w:gridSpan w:val="2"/>
            <w:tcBorders>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Dividendų išmokėjimo rodiklis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DP</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-0,014</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-1,35</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lef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-0,005</w:t>
            </w:r>
          </w:p>
        </w:tc>
        <w:tc>
          <w:tcPr>
            <w:tcW w:w="992" w:type="dxa"/>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-0,97</w:t>
            </w:r>
          </w:p>
        </w:tc>
        <w:tc>
          <w:tcPr>
            <w:tcW w:w="709" w:type="dxa"/>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val="restart"/>
            <w:tcBorders>
              <w:top w:val="single" w:sz="12" w:space="0" w:color="auto"/>
              <w:bottom w:val="single" w:sz="12" w:space="0" w:color="auto"/>
              <w:right w:val="single" w:sz="12" w:space="0" w:color="auto"/>
            </w:tcBorders>
            <w:shd w:val="clear" w:color="auto" w:fill="auto"/>
            <w:noWrap/>
            <w:textDirection w:val="btLr"/>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Kontroliniai kintamieji</w:t>
            </w:r>
          </w:p>
        </w:tc>
        <w:tc>
          <w:tcPr>
            <w:tcW w:w="2981"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Įmonės dydis</w:t>
            </w:r>
          </w:p>
        </w:tc>
        <w:tc>
          <w:tcPr>
            <w:tcW w:w="1276"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lnTURT</w:t>
            </w:r>
          </w:p>
        </w:tc>
        <w:tc>
          <w:tcPr>
            <w:tcW w:w="851" w:type="dxa"/>
            <w:tcBorders>
              <w:top w:val="single" w:sz="12" w:space="0" w:color="auto"/>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-0,006</w:t>
            </w:r>
          </w:p>
        </w:tc>
        <w:tc>
          <w:tcPr>
            <w:tcW w:w="850" w:type="dxa"/>
            <w:tcBorders>
              <w:top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-0,65</w:t>
            </w:r>
          </w:p>
        </w:tc>
        <w:tc>
          <w:tcPr>
            <w:tcW w:w="709" w:type="dxa"/>
            <w:tcBorders>
              <w:top w:val="single" w:sz="12" w:space="0" w:color="auto"/>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single" w:sz="12" w:space="0" w:color="auto"/>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-0,003</w:t>
            </w:r>
          </w:p>
        </w:tc>
        <w:tc>
          <w:tcPr>
            <w:tcW w:w="992" w:type="dxa"/>
            <w:tcBorders>
              <w:top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-0,80</w:t>
            </w:r>
          </w:p>
        </w:tc>
        <w:tc>
          <w:tcPr>
            <w:tcW w:w="709" w:type="dxa"/>
            <w:tcBorders>
              <w:top w:val="single" w:sz="12" w:space="0" w:color="auto"/>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Nepaskirstytas pelnas/akcinis kapitalas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RETE</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-0,058</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-1,79</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-0,013</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-0,81</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Nepaskirstyto pelno koeficientas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RR</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-0,032</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-1,67</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-0,014</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-1,09</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2513C3" w:rsidP="00FC6A12">
            <w:pPr>
              <w:spacing w:before="0" w:line="240" w:lineRule="auto"/>
              <w:ind w:firstLine="0"/>
              <w:jc w:val="center"/>
              <w:rPr>
                <w:rFonts w:eastAsia="Times New Roman" w:cs="Times New Roman"/>
                <w:color w:val="000000"/>
                <w:lang w:eastAsia="zh-CN"/>
              </w:rPr>
            </w:pPr>
            <w:r>
              <w:rPr>
                <w:rFonts w:eastAsia="Times New Roman" w:cs="Times New Roman"/>
                <w:color w:val="000000"/>
                <w:sz w:val="22"/>
                <w:lang w:eastAsia="zh-CN"/>
              </w:rPr>
              <w:t>EBITDA</w:t>
            </w:r>
            <w:r w:rsidR="00FC6A12" w:rsidRPr="00FE651A">
              <w:rPr>
                <w:rFonts w:eastAsia="Times New Roman" w:cs="Times New Roman"/>
                <w:color w:val="000000"/>
                <w:sz w:val="22"/>
                <w:lang w:eastAsia="zh-CN"/>
              </w:rPr>
              <w:t xml:space="preserve"> pokytis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w:t>
            </w:r>
            <w:r w:rsidR="002513C3">
              <w:rPr>
                <w:rFonts w:eastAsia="Times New Roman" w:cs="Times New Roman"/>
                <w:color w:val="000000"/>
                <w:sz w:val="22"/>
                <w:lang w:eastAsia="zh-CN"/>
              </w:rPr>
              <w:t>EBITDA</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0,002</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1,77</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0,001</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0,74</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Nuosavo kapitalo grąža</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ROE</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0,081</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1,89</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0,021</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0,47</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Bendrasis likvidumo koeficientas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CR</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-0,002</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-1,33</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-0,002</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-0,93</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C8244D" w:rsidP="00FC6A12">
            <w:pPr>
              <w:spacing w:before="0" w:line="240" w:lineRule="auto"/>
              <w:ind w:firstLine="0"/>
              <w:jc w:val="center"/>
              <w:rPr>
                <w:rFonts w:eastAsia="Times New Roman" w:cs="Times New Roman"/>
                <w:color w:val="000000"/>
                <w:lang w:eastAsia="zh-CN"/>
              </w:rPr>
            </w:pPr>
            <w:r>
              <w:rPr>
                <w:rFonts w:eastAsia="Times New Roman" w:cs="Times New Roman"/>
                <w:color w:val="000000"/>
                <w:sz w:val="22"/>
                <w:lang w:eastAsia="zh-CN"/>
              </w:rPr>
              <w:t>Skolos ir nuosavybės santykis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D/E</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0,007</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0,90</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0,000</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-0,06</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Tikrosios vertės koeficientas</w:t>
            </w:r>
          </w:p>
        </w:tc>
        <w:tc>
          <w:tcPr>
            <w:tcW w:w="1276" w:type="dxa"/>
            <w:tcBorders>
              <w:top w:val="nil"/>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M/B</w:t>
            </w:r>
          </w:p>
        </w:tc>
        <w:tc>
          <w:tcPr>
            <w:tcW w:w="851"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-0,002</w:t>
            </w:r>
          </w:p>
        </w:tc>
        <w:tc>
          <w:tcPr>
            <w:tcW w:w="850"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-0,38</w:t>
            </w:r>
          </w:p>
        </w:tc>
        <w:tc>
          <w:tcPr>
            <w:tcW w:w="709" w:type="dxa"/>
            <w:tcBorders>
              <w:top w:val="nil"/>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-0,002</w:t>
            </w:r>
          </w:p>
        </w:tc>
        <w:tc>
          <w:tcPr>
            <w:tcW w:w="992" w:type="dxa"/>
            <w:tcBorders>
              <w:top w:val="nil"/>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-0,50</w:t>
            </w:r>
          </w:p>
        </w:tc>
        <w:tc>
          <w:tcPr>
            <w:tcW w:w="709" w:type="dxa"/>
            <w:tcBorders>
              <w:top w:val="nil"/>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Apyvartumas</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lnAPYV</w:t>
            </w:r>
          </w:p>
        </w:tc>
        <w:tc>
          <w:tcPr>
            <w:tcW w:w="851" w:type="dxa"/>
            <w:tcBorders>
              <w:top w:val="nil"/>
              <w:left w:val="single" w:sz="12" w:space="0" w:color="auto"/>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0,001</w:t>
            </w:r>
          </w:p>
        </w:tc>
        <w:tc>
          <w:tcPr>
            <w:tcW w:w="850" w:type="dxa"/>
            <w:tcBorders>
              <w:top w:val="nil"/>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0,30</w:t>
            </w:r>
          </w:p>
        </w:tc>
        <w:tc>
          <w:tcPr>
            <w:tcW w:w="709" w:type="dxa"/>
            <w:tcBorders>
              <w:top w:val="nil"/>
              <w:bottom w:val="single" w:sz="12" w:space="0" w:color="auto"/>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0,001</w:t>
            </w:r>
          </w:p>
        </w:tc>
        <w:tc>
          <w:tcPr>
            <w:tcW w:w="992" w:type="dxa"/>
            <w:tcBorders>
              <w:top w:val="nil"/>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0,49</w:t>
            </w:r>
          </w:p>
        </w:tc>
        <w:tc>
          <w:tcPr>
            <w:tcW w:w="709" w:type="dxa"/>
            <w:tcBorders>
              <w:top w:val="nil"/>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val="restart"/>
            <w:tcBorders>
              <w:top w:val="nil"/>
              <w:bottom w:val="single" w:sz="12" w:space="0" w:color="auto"/>
              <w:right w:val="single" w:sz="12" w:space="0" w:color="auto"/>
            </w:tcBorders>
            <w:shd w:val="clear" w:color="auto" w:fill="auto"/>
            <w:noWrap/>
            <w:textDirection w:val="btLr"/>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Žymės</w:t>
            </w:r>
          </w:p>
        </w:tc>
        <w:tc>
          <w:tcPr>
            <w:tcW w:w="2981" w:type="dxa"/>
            <w:tcBorders>
              <w:top w:val="single" w:sz="12" w:space="0" w:color="auto"/>
              <w:left w:val="single" w:sz="12" w:space="0" w:color="auto"/>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DY padidėjimas</w:t>
            </w:r>
          </w:p>
        </w:tc>
        <w:tc>
          <w:tcPr>
            <w:tcW w:w="1276" w:type="dxa"/>
            <w:tcBorders>
              <w:top w:val="single" w:sz="12" w:space="0" w:color="auto"/>
              <w:left w:val="single" w:sz="12" w:space="0" w:color="auto"/>
              <w:bottom w:val="nil"/>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DY-I</w:t>
            </w:r>
          </w:p>
        </w:tc>
        <w:tc>
          <w:tcPr>
            <w:tcW w:w="851" w:type="dxa"/>
            <w:tcBorders>
              <w:top w:val="single" w:sz="12" w:space="0" w:color="auto"/>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-0,010</w:t>
            </w:r>
          </w:p>
        </w:tc>
        <w:tc>
          <w:tcPr>
            <w:tcW w:w="850" w:type="dxa"/>
            <w:tcBorders>
              <w:top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-0,91</w:t>
            </w:r>
          </w:p>
        </w:tc>
        <w:tc>
          <w:tcPr>
            <w:tcW w:w="709" w:type="dxa"/>
            <w:tcBorders>
              <w:top w:val="single" w:sz="12" w:space="0" w:color="auto"/>
              <w:bottom w:val="nil"/>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single" w:sz="12" w:space="0" w:color="auto"/>
              <w:left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-0,012</w:t>
            </w:r>
          </w:p>
        </w:tc>
        <w:tc>
          <w:tcPr>
            <w:tcW w:w="992" w:type="dxa"/>
            <w:tcBorders>
              <w:top w:val="single" w:sz="12" w:space="0" w:color="auto"/>
              <w:bottom w:val="nil"/>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-1,33</w:t>
            </w:r>
          </w:p>
        </w:tc>
        <w:tc>
          <w:tcPr>
            <w:tcW w:w="709" w:type="dxa"/>
            <w:tcBorders>
              <w:top w:val="single" w:sz="12" w:space="0" w:color="auto"/>
              <w:bottom w:val="nil"/>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 </w:t>
            </w:r>
          </w:p>
        </w:tc>
      </w:tr>
      <w:tr w:rsidR="00FC6A12" w:rsidRPr="00FE651A" w:rsidTr="00FC6A12">
        <w:trPr>
          <w:trHeight w:val="317"/>
        </w:trPr>
        <w:tc>
          <w:tcPr>
            <w:tcW w:w="436" w:type="dxa"/>
            <w:vMerge/>
            <w:tcBorders>
              <w:top w:val="nil"/>
              <w:bottom w:val="single" w:sz="12" w:space="0" w:color="auto"/>
              <w:right w:val="single" w:sz="12" w:space="0" w:color="auto"/>
            </w:tcBorders>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2981" w:type="dxa"/>
            <w:tcBorders>
              <w:top w:val="nil"/>
              <w:left w:val="single" w:sz="12" w:space="0" w:color="auto"/>
              <w:bottom w:val="single" w:sz="12" w:space="0" w:color="auto"/>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DY sumažėjimas</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DY-D</w:t>
            </w:r>
          </w:p>
        </w:tc>
        <w:tc>
          <w:tcPr>
            <w:tcW w:w="851" w:type="dxa"/>
            <w:tcBorders>
              <w:top w:val="nil"/>
              <w:left w:val="single" w:sz="12" w:space="0" w:color="auto"/>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-0,014</w:t>
            </w:r>
          </w:p>
        </w:tc>
        <w:tc>
          <w:tcPr>
            <w:tcW w:w="850" w:type="dxa"/>
            <w:tcBorders>
              <w:top w:val="nil"/>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-1,28</w:t>
            </w:r>
          </w:p>
        </w:tc>
        <w:tc>
          <w:tcPr>
            <w:tcW w:w="709" w:type="dxa"/>
            <w:tcBorders>
              <w:top w:val="nil"/>
              <w:bottom w:val="single" w:sz="12" w:space="0" w:color="auto"/>
              <w:right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p>
        </w:tc>
        <w:tc>
          <w:tcPr>
            <w:tcW w:w="1134" w:type="dxa"/>
            <w:tcBorders>
              <w:top w:val="nil"/>
              <w:left w:val="single" w:sz="12" w:space="0" w:color="auto"/>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-0,020</w:t>
            </w:r>
          </w:p>
        </w:tc>
        <w:tc>
          <w:tcPr>
            <w:tcW w:w="992" w:type="dxa"/>
            <w:tcBorders>
              <w:top w:val="nil"/>
              <w:bottom w:val="single" w:sz="12" w:space="0" w:color="auto"/>
            </w:tcBorders>
            <w:shd w:val="clear"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color w:val="000000"/>
                <w:szCs w:val="24"/>
                <w:lang w:eastAsia="zh-CN"/>
              </w:rPr>
            </w:pPr>
            <w:r w:rsidRPr="00FE651A">
              <w:rPr>
                <w:rFonts w:eastAsia="Times New Roman" w:cs="Times New Roman"/>
                <w:b/>
                <w:bCs/>
                <w:color w:val="000000"/>
                <w:szCs w:val="24"/>
                <w:lang w:eastAsia="zh-CN"/>
              </w:rPr>
              <w:t>-2,20</w:t>
            </w:r>
          </w:p>
        </w:tc>
        <w:tc>
          <w:tcPr>
            <w:tcW w:w="709" w:type="dxa"/>
            <w:tcBorders>
              <w:top w:val="nil"/>
              <w:bottom w:val="single" w:sz="12" w:space="0" w:color="auto"/>
            </w:tcBorders>
            <w:shd w:val="clear" w:color="auto" w:fill="auto"/>
            <w:vAlign w:val="center"/>
            <w:hideMark/>
          </w:tcPr>
          <w:p w:rsidR="00FC6A12" w:rsidRPr="00FE651A" w:rsidRDefault="00FC6A12" w:rsidP="00FC6A12">
            <w:pPr>
              <w:spacing w:before="0" w:line="240" w:lineRule="auto"/>
              <w:ind w:firstLine="0"/>
              <w:jc w:val="center"/>
              <w:rPr>
                <w:rFonts w:eastAsia="Times New Roman" w:cs="Times New Roman"/>
                <w:color w:val="000000"/>
                <w:szCs w:val="24"/>
                <w:lang w:eastAsia="zh-CN"/>
              </w:rPr>
            </w:pPr>
            <w:r w:rsidRPr="00FE651A">
              <w:rPr>
                <w:rFonts w:eastAsia="Times New Roman" w:cs="Times New Roman"/>
                <w:color w:val="000000"/>
                <w:szCs w:val="24"/>
                <w:lang w:eastAsia="zh-CN"/>
              </w:rPr>
              <w:t>**</w:t>
            </w:r>
          </w:p>
        </w:tc>
      </w:tr>
      <w:tr w:rsidR="00FC6A12" w:rsidRPr="00FE651A" w:rsidTr="00FC6A12">
        <w:trPr>
          <w:trHeight w:val="316"/>
        </w:trPr>
        <w:tc>
          <w:tcPr>
            <w:tcW w:w="436" w:type="dxa"/>
            <w:vMerge w:val="restart"/>
            <w:tcBorders>
              <w:top w:val="nil"/>
              <w:bottom w:val="single" w:sz="12" w:space="0" w:color="auto"/>
              <w:right w:val="single" w:sz="12" w:space="0" w:color="auto"/>
            </w:tcBorders>
            <w:shd w:val="pct5" w:color="auto" w:fill="auto"/>
            <w:noWrap/>
            <w:textDirection w:val="btLr"/>
            <w:vAlign w:val="center"/>
            <w:hideMark/>
          </w:tcPr>
          <w:p w:rsidR="00FC6A12" w:rsidRPr="00FE651A" w:rsidRDefault="00FC6A12" w:rsidP="00FC6A12">
            <w:pPr>
              <w:spacing w:before="0" w:line="240" w:lineRule="auto"/>
              <w:ind w:firstLine="0"/>
              <w:jc w:val="center"/>
              <w:rPr>
                <w:rFonts w:eastAsia="Times New Roman" w:cs="Times New Roman"/>
                <w:color w:val="000000"/>
                <w:lang w:eastAsia="zh-CN"/>
              </w:rPr>
            </w:pPr>
            <w:r w:rsidRPr="00FE651A">
              <w:rPr>
                <w:rFonts w:eastAsia="Times New Roman" w:cs="Times New Roman"/>
                <w:color w:val="000000"/>
                <w:sz w:val="22"/>
                <w:lang w:eastAsia="zh-CN"/>
              </w:rPr>
              <w:t>Modelis</w:t>
            </w:r>
          </w:p>
        </w:tc>
        <w:tc>
          <w:tcPr>
            <w:tcW w:w="4257" w:type="dxa"/>
            <w:gridSpan w:val="2"/>
            <w:tcBorders>
              <w:top w:val="single" w:sz="12" w:space="0" w:color="auto"/>
              <w:left w:val="single" w:sz="12" w:space="0" w:color="auto"/>
              <w:bottom w:val="nil"/>
              <w:right w:val="single" w:sz="12" w:space="0" w:color="auto"/>
            </w:tcBorders>
            <w:shd w:val="pct5" w:color="auto" w:fill="auto"/>
            <w:vAlign w:val="center"/>
            <w:hideMark/>
          </w:tcPr>
          <w:p w:rsidR="00FC6A12" w:rsidRPr="00F72958" w:rsidRDefault="00FC6A12" w:rsidP="00FC6A12">
            <w:pPr>
              <w:spacing w:before="0" w:line="240" w:lineRule="auto"/>
              <w:ind w:firstLine="0"/>
              <w:jc w:val="center"/>
              <w:rPr>
                <w:rFonts w:eastAsia="Times New Roman" w:cs="Times New Roman"/>
                <w:i/>
                <w:color w:val="000000"/>
                <w:vertAlign w:val="superscript"/>
                <w:lang w:eastAsia="zh-CN"/>
              </w:rPr>
            </w:pPr>
            <w:r w:rsidRPr="00FE651A">
              <w:rPr>
                <w:rFonts w:eastAsia="Times New Roman" w:cs="Times New Roman"/>
                <w:i/>
                <w:color w:val="000000"/>
                <w:sz w:val="22"/>
                <w:lang w:eastAsia="zh-CN"/>
              </w:rPr>
              <w:t>Determinacijos koeficientas R</w:t>
            </w:r>
            <w:r>
              <w:rPr>
                <w:rFonts w:eastAsia="Times New Roman" w:cs="Times New Roman"/>
                <w:i/>
                <w:color w:val="000000"/>
                <w:sz w:val="22"/>
                <w:vertAlign w:val="superscript"/>
                <w:lang w:eastAsia="zh-CN"/>
              </w:rPr>
              <w:t>2</w:t>
            </w:r>
          </w:p>
        </w:tc>
        <w:tc>
          <w:tcPr>
            <w:tcW w:w="2410" w:type="dxa"/>
            <w:gridSpan w:val="3"/>
            <w:tcBorders>
              <w:top w:val="single" w:sz="12" w:space="0" w:color="auto"/>
              <w:left w:val="single" w:sz="12" w:space="0" w:color="auto"/>
              <w:bottom w:val="nil"/>
              <w:right w:val="single" w:sz="12" w:space="0" w:color="auto"/>
            </w:tcBorders>
            <w:shd w:val="pct5"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i/>
                <w:color w:val="000000"/>
                <w:szCs w:val="24"/>
                <w:lang w:eastAsia="zh-CN"/>
              </w:rPr>
            </w:pPr>
            <w:r w:rsidRPr="00FE651A">
              <w:rPr>
                <w:rFonts w:eastAsia="Times New Roman" w:cs="Times New Roman"/>
                <w:b/>
                <w:bCs/>
                <w:i/>
                <w:color w:val="000000"/>
                <w:szCs w:val="24"/>
                <w:lang w:eastAsia="zh-CN"/>
              </w:rPr>
              <w:t>0,556</w:t>
            </w:r>
          </w:p>
        </w:tc>
        <w:tc>
          <w:tcPr>
            <w:tcW w:w="2835" w:type="dxa"/>
            <w:gridSpan w:val="3"/>
            <w:tcBorders>
              <w:top w:val="single" w:sz="12" w:space="0" w:color="auto"/>
              <w:left w:val="single" w:sz="12" w:space="0" w:color="auto"/>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FE651A" w:rsidTr="00FC6A12">
        <w:trPr>
          <w:trHeight w:val="421"/>
        </w:trPr>
        <w:tc>
          <w:tcPr>
            <w:tcW w:w="436" w:type="dxa"/>
            <w:vMerge/>
            <w:tcBorders>
              <w:top w:val="nil"/>
              <w:bottom w:val="single" w:sz="12" w:space="0" w:color="auto"/>
              <w:right w:val="single" w:sz="12" w:space="0" w:color="auto"/>
            </w:tcBorders>
            <w:shd w:val="pct5" w:color="auto" w:fill="auto"/>
            <w:vAlign w:val="center"/>
            <w:hideMark/>
          </w:tcPr>
          <w:p w:rsidR="00FC6A12" w:rsidRPr="00FE651A" w:rsidRDefault="00FC6A12" w:rsidP="00FC6A12">
            <w:pPr>
              <w:spacing w:before="0" w:line="240" w:lineRule="auto"/>
              <w:ind w:firstLine="0"/>
              <w:jc w:val="left"/>
              <w:rPr>
                <w:rFonts w:eastAsia="Times New Roman" w:cs="Times New Roman"/>
                <w:color w:val="000000"/>
                <w:lang w:eastAsia="zh-CN"/>
              </w:rPr>
            </w:pPr>
          </w:p>
        </w:tc>
        <w:tc>
          <w:tcPr>
            <w:tcW w:w="4257" w:type="dxa"/>
            <w:gridSpan w:val="2"/>
            <w:tcBorders>
              <w:top w:val="nil"/>
              <w:left w:val="single" w:sz="12" w:space="0" w:color="auto"/>
              <w:bottom w:val="nil"/>
              <w:right w:val="single" w:sz="12" w:space="0" w:color="auto"/>
            </w:tcBorders>
            <w:shd w:val="pct5" w:color="auto" w:fill="auto"/>
            <w:vAlign w:val="center"/>
            <w:hideMark/>
          </w:tcPr>
          <w:p w:rsidR="00FC6A12" w:rsidRPr="00F72958" w:rsidRDefault="00FC6A12" w:rsidP="00FC6A12">
            <w:pPr>
              <w:spacing w:before="0" w:line="240" w:lineRule="auto"/>
              <w:ind w:firstLine="0"/>
              <w:jc w:val="center"/>
              <w:rPr>
                <w:rFonts w:eastAsia="Times New Roman" w:cs="Times New Roman"/>
                <w:i/>
                <w:color w:val="000000"/>
                <w:vertAlign w:val="superscript"/>
                <w:lang w:eastAsia="zh-CN"/>
              </w:rPr>
            </w:pPr>
            <w:r w:rsidRPr="00FE651A">
              <w:rPr>
                <w:rFonts w:eastAsia="Times New Roman" w:cs="Times New Roman"/>
                <w:i/>
                <w:color w:val="000000"/>
                <w:sz w:val="22"/>
                <w:lang w:eastAsia="zh-CN"/>
              </w:rPr>
              <w:t>Koreguotas determinacijos koeficientas R</w:t>
            </w:r>
            <w:r>
              <w:rPr>
                <w:rFonts w:eastAsia="Times New Roman" w:cs="Times New Roman"/>
                <w:i/>
                <w:color w:val="000000"/>
                <w:sz w:val="22"/>
                <w:vertAlign w:val="superscript"/>
                <w:lang w:eastAsia="zh-CN"/>
              </w:rPr>
              <w:t>2</w:t>
            </w:r>
          </w:p>
        </w:tc>
        <w:tc>
          <w:tcPr>
            <w:tcW w:w="2410" w:type="dxa"/>
            <w:gridSpan w:val="3"/>
            <w:tcBorders>
              <w:top w:val="nil"/>
              <w:left w:val="single" w:sz="12" w:space="0" w:color="auto"/>
              <w:bottom w:val="nil"/>
              <w:right w:val="single" w:sz="12" w:space="0" w:color="auto"/>
            </w:tcBorders>
            <w:shd w:val="pct5"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i/>
                <w:color w:val="000000"/>
                <w:szCs w:val="24"/>
                <w:lang w:eastAsia="zh-CN"/>
              </w:rPr>
            </w:pPr>
            <w:r w:rsidRPr="00FE651A">
              <w:rPr>
                <w:rFonts w:eastAsia="Times New Roman" w:cs="Times New Roman"/>
                <w:b/>
                <w:bCs/>
                <w:i/>
                <w:color w:val="000000"/>
                <w:szCs w:val="24"/>
                <w:lang w:eastAsia="zh-CN"/>
              </w:rPr>
              <w:t>0,310</w:t>
            </w:r>
          </w:p>
        </w:tc>
        <w:tc>
          <w:tcPr>
            <w:tcW w:w="2835" w:type="dxa"/>
            <w:gridSpan w:val="3"/>
            <w:tcBorders>
              <w:top w:val="nil"/>
              <w:left w:val="single" w:sz="12" w:space="0" w:color="auto"/>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FE651A" w:rsidTr="00FC6A12">
        <w:trPr>
          <w:trHeight w:val="427"/>
        </w:trPr>
        <w:tc>
          <w:tcPr>
            <w:tcW w:w="436" w:type="dxa"/>
            <w:vMerge/>
            <w:tcBorders>
              <w:top w:val="nil"/>
              <w:bottom w:val="single" w:sz="12" w:space="0" w:color="auto"/>
              <w:right w:val="single" w:sz="12" w:space="0" w:color="auto"/>
            </w:tcBorders>
            <w:shd w:val="pct5" w:color="auto" w:fill="auto"/>
            <w:vAlign w:val="center"/>
            <w:hideMark/>
          </w:tcPr>
          <w:p w:rsidR="00FC6A12" w:rsidRPr="00FE651A" w:rsidRDefault="00FC6A12" w:rsidP="00FC6A12">
            <w:pPr>
              <w:spacing w:before="0" w:line="240" w:lineRule="auto"/>
              <w:ind w:firstLine="0"/>
              <w:jc w:val="left"/>
              <w:rPr>
                <w:rFonts w:eastAsia="Times New Roman" w:cs="Times New Roman"/>
                <w:color w:val="000000"/>
                <w:szCs w:val="24"/>
                <w:lang w:eastAsia="zh-CN"/>
              </w:rPr>
            </w:pPr>
          </w:p>
        </w:tc>
        <w:tc>
          <w:tcPr>
            <w:tcW w:w="4257" w:type="dxa"/>
            <w:gridSpan w:val="2"/>
            <w:tcBorders>
              <w:top w:val="nil"/>
              <w:left w:val="single" w:sz="12" w:space="0" w:color="auto"/>
              <w:bottom w:val="nil"/>
              <w:right w:val="single" w:sz="12" w:space="0" w:color="auto"/>
            </w:tcBorders>
            <w:shd w:val="pct5" w:color="auto" w:fill="auto"/>
            <w:vAlign w:val="center"/>
            <w:hideMark/>
          </w:tcPr>
          <w:p w:rsidR="00FC6A12" w:rsidRPr="00FE651A" w:rsidRDefault="00FC6A12" w:rsidP="00FC6A12">
            <w:pPr>
              <w:spacing w:before="0" w:line="240" w:lineRule="auto"/>
              <w:ind w:firstLine="0"/>
              <w:jc w:val="center"/>
              <w:rPr>
                <w:rFonts w:eastAsia="Times New Roman" w:cs="Times New Roman"/>
                <w:i/>
                <w:color w:val="000000"/>
                <w:szCs w:val="24"/>
                <w:lang w:eastAsia="zh-CN"/>
              </w:rPr>
            </w:pPr>
            <w:r w:rsidRPr="00FE651A">
              <w:rPr>
                <w:rFonts w:eastAsia="Times New Roman" w:cs="Times New Roman"/>
                <w:i/>
                <w:color w:val="000000"/>
                <w:szCs w:val="24"/>
                <w:lang w:eastAsia="zh-CN"/>
              </w:rPr>
              <w:t xml:space="preserve">Fisher statistinio reikšmingumo </w:t>
            </w:r>
            <w:r w:rsidRPr="00FE651A">
              <w:rPr>
                <w:rFonts w:eastAsia="Times New Roman" w:cs="Times New Roman"/>
                <w:i/>
                <w:iCs/>
                <w:color w:val="000000"/>
                <w:szCs w:val="24"/>
                <w:lang w:eastAsia="zh-CN"/>
              </w:rPr>
              <w:t xml:space="preserve">p-testas </w:t>
            </w:r>
          </w:p>
        </w:tc>
        <w:tc>
          <w:tcPr>
            <w:tcW w:w="2410" w:type="dxa"/>
            <w:gridSpan w:val="3"/>
            <w:tcBorders>
              <w:top w:val="nil"/>
              <w:left w:val="single" w:sz="12" w:space="0" w:color="auto"/>
              <w:bottom w:val="nil"/>
              <w:right w:val="single" w:sz="12" w:space="0" w:color="auto"/>
            </w:tcBorders>
            <w:shd w:val="pct5" w:color="auto" w:fill="auto"/>
            <w:noWrap/>
            <w:vAlign w:val="center"/>
            <w:hideMark/>
          </w:tcPr>
          <w:p w:rsidR="00FC6A12" w:rsidRPr="00FE651A" w:rsidRDefault="00FC6A12" w:rsidP="00FC6A12">
            <w:pPr>
              <w:spacing w:before="0" w:line="240" w:lineRule="auto"/>
              <w:ind w:firstLine="0"/>
              <w:jc w:val="center"/>
              <w:rPr>
                <w:rFonts w:eastAsia="Times New Roman" w:cs="Times New Roman"/>
                <w:b/>
                <w:bCs/>
                <w:i/>
                <w:color w:val="000000"/>
                <w:szCs w:val="24"/>
                <w:lang w:val="en-US" w:eastAsia="zh-CN"/>
              </w:rPr>
            </w:pPr>
            <w:r w:rsidRPr="00FE651A">
              <w:rPr>
                <w:rFonts w:eastAsia="Times New Roman" w:cs="Times New Roman"/>
                <w:b/>
                <w:bCs/>
                <w:i/>
                <w:color w:val="000000"/>
                <w:szCs w:val="24"/>
                <w:lang w:eastAsia="zh-CN"/>
              </w:rPr>
              <w:t>0,002</w:t>
            </w:r>
            <w:r>
              <w:rPr>
                <w:rFonts w:eastAsia="Times New Roman" w:cs="Times New Roman"/>
                <w:b/>
                <w:bCs/>
                <w:i/>
                <w:color w:val="000000"/>
                <w:szCs w:val="24"/>
                <w:lang w:val="en-US" w:eastAsia="zh-CN"/>
              </w:rPr>
              <w:t>***</w:t>
            </w:r>
          </w:p>
        </w:tc>
        <w:tc>
          <w:tcPr>
            <w:tcW w:w="2835" w:type="dxa"/>
            <w:gridSpan w:val="3"/>
            <w:tcBorders>
              <w:top w:val="nil"/>
              <w:left w:val="single" w:sz="12" w:space="0" w:color="auto"/>
              <w:bottom w:val="nil"/>
            </w:tcBorders>
            <w:shd w:val="pct5" w:color="auto" w:fill="auto"/>
            <w:noWrap/>
            <w:vAlign w:val="center"/>
            <w:hideMark/>
          </w:tcPr>
          <w:p w:rsidR="00FC6A12" w:rsidRPr="00D6112D"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p>
        </w:tc>
      </w:tr>
      <w:tr w:rsidR="00FC6A12" w:rsidRPr="00FE651A" w:rsidTr="00FC6A12">
        <w:trPr>
          <w:trHeight w:val="317"/>
        </w:trPr>
        <w:tc>
          <w:tcPr>
            <w:tcW w:w="436" w:type="dxa"/>
            <w:vMerge/>
            <w:tcBorders>
              <w:top w:val="nil"/>
              <w:bottom w:val="single" w:sz="12" w:space="0" w:color="auto"/>
              <w:right w:val="single" w:sz="12" w:space="0" w:color="auto"/>
            </w:tcBorders>
            <w:shd w:val="pct5" w:color="auto" w:fill="auto"/>
            <w:vAlign w:val="center"/>
            <w:hideMark/>
          </w:tcPr>
          <w:p w:rsidR="00FC6A12" w:rsidRPr="00FE651A" w:rsidRDefault="00FC6A12" w:rsidP="00FC6A12">
            <w:pPr>
              <w:spacing w:before="0" w:line="240" w:lineRule="auto"/>
              <w:ind w:firstLine="0"/>
              <w:jc w:val="left"/>
              <w:rPr>
                <w:rFonts w:eastAsia="Times New Roman" w:cs="Times New Roman"/>
                <w:color w:val="000000"/>
                <w:szCs w:val="24"/>
                <w:lang w:eastAsia="zh-CN"/>
              </w:rPr>
            </w:pPr>
          </w:p>
        </w:tc>
        <w:tc>
          <w:tcPr>
            <w:tcW w:w="4257" w:type="dxa"/>
            <w:gridSpan w:val="2"/>
            <w:tcBorders>
              <w:top w:val="nil"/>
              <w:left w:val="single" w:sz="12" w:space="0" w:color="auto"/>
              <w:bottom w:val="single" w:sz="12" w:space="0" w:color="auto"/>
              <w:right w:val="single" w:sz="12" w:space="0" w:color="auto"/>
            </w:tcBorders>
            <w:shd w:val="pct5" w:color="auto" w:fill="auto"/>
            <w:noWrap/>
            <w:vAlign w:val="center"/>
            <w:hideMark/>
          </w:tcPr>
          <w:p w:rsidR="00FC6A12" w:rsidRPr="00FE651A" w:rsidRDefault="00FC6A12" w:rsidP="00FC6A12">
            <w:pPr>
              <w:spacing w:before="0" w:line="240" w:lineRule="auto"/>
              <w:ind w:firstLine="0"/>
              <w:jc w:val="center"/>
              <w:rPr>
                <w:rFonts w:eastAsia="Times New Roman" w:cs="Times New Roman"/>
                <w:i/>
                <w:color w:val="000000"/>
                <w:szCs w:val="24"/>
                <w:lang w:eastAsia="zh-CN"/>
              </w:rPr>
            </w:pPr>
            <w:r w:rsidRPr="00FE651A">
              <w:rPr>
                <w:rFonts w:eastAsia="Times New Roman" w:cs="Times New Roman"/>
                <w:i/>
                <w:color w:val="000000"/>
                <w:szCs w:val="24"/>
                <w:lang w:eastAsia="zh-CN"/>
              </w:rPr>
              <w:t xml:space="preserve">Hausman </w:t>
            </w:r>
            <w:r w:rsidRPr="00FE651A">
              <w:rPr>
                <w:rFonts w:eastAsia="Times New Roman" w:cs="Times New Roman"/>
                <w:i/>
                <w:iCs/>
                <w:color w:val="000000"/>
                <w:szCs w:val="24"/>
                <w:lang w:eastAsia="zh-CN"/>
              </w:rPr>
              <w:t>p-testas</w:t>
            </w:r>
          </w:p>
        </w:tc>
        <w:tc>
          <w:tcPr>
            <w:tcW w:w="2410" w:type="dxa"/>
            <w:gridSpan w:val="3"/>
            <w:tcBorders>
              <w:top w:val="nil"/>
              <w:left w:val="single" w:sz="12" w:space="0" w:color="auto"/>
              <w:bottom w:val="single" w:sz="12" w:space="0" w:color="auto"/>
              <w:right w:val="single" w:sz="12" w:space="0" w:color="auto"/>
            </w:tcBorders>
            <w:shd w:val="pct5" w:color="auto" w:fill="auto"/>
            <w:noWrap/>
            <w:vAlign w:val="center"/>
            <w:hideMark/>
          </w:tcPr>
          <w:p w:rsidR="00FC6A12" w:rsidRPr="00FE651A" w:rsidRDefault="00FC6A12" w:rsidP="00FC6A12">
            <w:pPr>
              <w:spacing w:before="0" w:line="240" w:lineRule="auto"/>
              <w:ind w:firstLine="0"/>
              <w:jc w:val="center"/>
              <w:rPr>
                <w:rFonts w:eastAsia="Times New Roman" w:cs="Times New Roman"/>
                <w:i/>
                <w:color w:val="000000"/>
                <w:szCs w:val="24"/>
                <w:lang w:eastAsia="zh-CN"/>
              </w:rPr>
            </w:pPr>
            <w:r>
              <w:rPr>
                <w:rFonts w:eastAsia="Times New Roman" w:cs="Times New Roman"/>
                <w:i/>
                <w:color w:val="000000"/>
                <w:szCs w:val="24"/>
                <w:lang w:eastAsia="zh-CN"/>
              </w:rPr>
              <w:t>-</w:t>
            </w:r>
            <w:r w:rsidRPr="00FE651A">
              <w:rPr>
                <w:rFonts w:eastAsia="Times New Roman" w:cs="Times New Roman"/>
                <w:i/>
                <w:color w:val="000000"/>
                <w:szCs w:val="24"/>
                <w:lang w:eastAsia="zh-CN"/>
              </w:rPr>
              <w:t> </w:t>
            </w:r>
          </w:p>
        </w:tc>
        <w:tc>
          <w:tcPr>
            <w:tcW w:w="2835" w:type="dxa"/>
            <w:gridSpan w:val="3"/>
            <w:tcBorders>
              <w:top w:val="nil"/>
              <w:left w:val="single" w:sz="12" w:space="0" w:color="auto"/>
              <w:bottom w:val="single" w:sz="12" w:space="0" w:color="auto"/>
            </w:tcBorders>
            <w:shd w:val="pct5" w:color="auto" w:fill="auto"/>
            <w:noWrap/>
            <w:vAlign w:val="center"/>
            <w:hideMark/>
          </w:tcPr>
          <w:p w:rsidR="00FC6A12" w:rsidRPr="005E5430" w:rsidRDefault="00FC6A12" w:rsidP="00FC6A12">
            <w:pPr>
              <w:spacing w:before="0" w:line="240" w:lineRule="auto"/>
              <w:ind w:firstLine="0"/>
              <w:jc w:val="center"/>
              <w:rPr>
                <w:rFonts w:eastAsia="Times New Roman" w:cs="Times New Roman"/>
                <w:b/>
                <w:bCs/>
                <w:i/>
                <w:color w:val="000000"/>
                <w:szCs w:val="24"/>
                <w:lang w:val="en-US" w:eastAsia="zh-CN"/>
              </w:rPr>
            </w:pPr>
            <w:r w:rsidRPr="00FE651A">
              <w:rPr>
                <w:rFonts w:eastAsia="Times New Roman" w:cs="Times New Roman"/>
                <w:b/>
                <w:bCs/>
                <w:i/>
                <w:color w:val="000000"/>
                <w:szCs w:val="24"/>
                <w:lang w:eastAsia="zh-CN"/>
              </w:rPr>
              <w:t>0,064</w:t>
            </w:r>
            <w:r>
              <w:rPr>
                <w:rFonts w:eastAsia="Times New Roman" w:cs="Times New Roman"/>
                <w:b/>
                <w:bCs/>
                <w:i/>
                <w:color w:val="000000"/>
                <w:szCs w:val="24"/>
                <w:lang w:val="en-US" w:eastAsia="zh-CN"/>
              </w:rPr>
              <w:t>*</w:t>
            </w:r>
          </w:p>
        </w:tc>
      </w:tr>
    </w:tbl>
    <w:p w:rsidR="00FC6A12" w:rsidRPr="001A1564" w:rsidRDefault="00FC6A12" w:rsidP="00FC6A12">
      <w:pPr>
        <w:spacing w:line="240" w:lineRule="auto"/>
        <w:rPr>
          <w:sz w:val="20"/>
          <w:szCs w:val="20"/>
        </w:rPr>
      </w:pPr>
      <w:r>
        <w:rPr>
          <w:b/>
          <w:sz w:val="20"/>
          <w:szCs w:val="20"/>
        </w:rPr>
        <w:t>Čia:</w:t>
      </w:r>
      <w:r>
        <w:rPr>
          <w:b/>
          <w:sz w:val="20"/>
          <w:szCs w:val="20"/>
        </w:rPr>
        <w:tab/>
        <w:t xml:space="preserve"> </w:t>
      </w:r>
      <w:r w:rsidRPr="001A1564">
        <w:rPr>
          <w:b/>
          <w:sz w:val="20"/>
          <w:szCs w:val="20"/>
        </w:rPr>
        <w:t>*</w:t>
      </w:r>
      <w:r w:rsidRPr="007E6BD1">
        <w:rPr>
          <w:b/>
          <w:sz w:val="20"/>
          <w:szCs w:val="20"/>
        </w:rPr>
        <w:t>**</w:t>
      </w:r>
      <w:r>
        <w:rPr>
          <w:b/>
          <w:sz w:val="20"/>
          <w:szCs w:val="20"/>
        </w:rPr>
        <w:t xml:space="preserve"> </w:t>
      </w:r>
      <w:r>
        <w:rPr>
          <w:sz w:val="20"/>
          <w:szCs w:val="20"/>
        </w:rPr>
        <w:t>statistinio reikšmingumo lygmuo esant</w:t>
      </w:r>
      <w:r w:rsidRPr="001A1564">
        <w:rPr>
          <w:sz w:val="20"/>
          <w:szCs w:val="20"/>
        </w:rPr>
        <w:t xml:space="preserve"> </w:t>
      </w:r>
      <w:r>
        <w:rPr>
          <w:sz w:val="20"/>
          <w:szCs w:val="20"/>
        </w:rPr>
        <w:t xml:space="preserve">99% </w:t>
      </w:r>
      <w:r w:rsidRPr="00355357">
        <w:rPr>
          <w:sz w:val="20"/>
          <w:szCs w:val="20"/>
        </w:rPr>
        <w:t xml:space="preserve"> </w:t>
      </w:r>
      <w:r>
        <w:rPr>
          <w:sz w:val="20"/>
          <w:szCs w:val="20"/>
        </w:rPr>
        <w:t>tikimybei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statistinio reikšmingumo lygmuo esant</w:t>
      </w:r>
      <w:r w:rsidRPr="001A1564">
        <w:rPr>
          <w:sz w:val="20"/>
          <w:szCs w:val="20"/>
        </w:rPr>
        <w:t xml:space="preserve"> 95%</w:t>
      </w:r>
      <w:r>
        <w:rPr>
          <w:sz w:val="20"/>
          <w:szCs w:val="20"/>
        </w:rPr>
        <w:t xml:space="preserve"> tikimybei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w:t>
      </w:r>
      <w:r>
        <w:rPr>
          <w:sz w:val="20"/>
          <w:szCs w:val="20"/>
        </w:rPr>
        <w:t>statistinio reikšmingumo lygmuo esant</w:t>
      </w:r>
      <w:r w:rsidRPr="001A1564">
        <w:rPr>
          <w:sz w:val="20"/>
          <w:szCs w:val="20"/>
        </w:rPr>
        <w:t xml:space="preserve"> </w:t>
      </w:r>
      <w:r>
        <w:rPr>
          <w:sz w:val="20"/>
          <w:szCs w:val="20"/>
        </w:rPr>
        <w:t>90% tikimybei (p</w:t>
      </w:r>
      <w:r w:rsidRPr="001A1564">
        <w:rPr>
          <w:sz w:val="20"/>
          <w:szCs w:val="20"/>
        </w:rPr>
        <w:t xml:space="preserve"> &lt; 0</w:t>
      </w:r>
      <w:r>
        <w:rPr>
          <w:sz w:val="20"/>
          <w:szCs w:val="20"/>
        </w:rPr>
        <w:t>,</w:t>
      </w:r>
      <w:r w:rsidRPr="001A1564">
        <w:rPr>
          <w:sz w:val="20"/>
          <w:szCs w:val="20"/>
        </w:rPr>
        <w:t>10).</w:t>
      </w:r>
    </w:p>
    <w:p w:rsidR="00FC6A12" w:rsidRDefault="00FC6A12" w:rsidP="00FC6A12">
      <w:r>
        <w:t xml:space="preserve">Teigiami </w:t>
      </w:r>
      <w:r w:rsidR="002513C3">
        <w:t>EBITDA</w:t>
      </w:r>
      <w:r>
        <w:t xml:space="preserve"> pokyčio ir ROE rodiklių koeficientai </w:t>
      </w:r>
      <w:r w:rsidRPr="00880255">
        <w:rPr>
          <w:i/>
        </w:rPr>
        <w:t>fiksuoto efekto</w:t>
      </w:r>
      <w:r>
        <w:t xml:space="preserve"> atveju taip pat yra santykinai mažai statistiškai reikšmingi, tačiau rodo, jog įmonės pelningumo kriterijai teigiamai veikia akcijų kainas, t.y. jei įmonė kasmet sėkmingai didina pelno prieš </w:t>
      </w:r>
      <w:r w:rsidR="00C8244D">
        <w:t>palūkanas, mokesčius, nuvertėjimą ir amortizaciją</w:t>
      </w:r>
      <w:r>
        <w:t xml:space="preserve"> dydį ir turi didesnę teigiamą nuosavo kapitalo grąžą investuotojams, dividendų paskelbimo momentu šie veiksniai teigiamai įtakos akcijų kainas, tačiau esant priešingam scenarijui, </w:t>
      </w:r>
      <w:r>
        <w:lastRenderedPageBreak/>
        <w:t>neigiamos rodiklių reikšmės neigiamai įtakos ir akcijų pelningumą, kadangi investuotojai tokias įmones vertins, kaip esančias blogesnėje finansinėje situacijoje.</w:t>
      </w:r>
    </w:p>
    <w:p w:rsidR="00FC6A12" w:rsidRDefault="00FC6A12" w:rsidP="00FC6A12">
      <w:r>
        <w:t xml:space="preserve">DY sumažėjimą žymintis faktorius </w:t>
      </w:r>
      <w:r w:rsidRPr="00F03075">
        <w:rPr>
          <w:i/>
        </w:rPr>
        <w:t>atsitiktinio efekto</w:t>
      </w:r>
      <w:r>
        <w:t xml:space="preserve"> atveju rodo, jog kaip ir prieš tai analizuotu periodu, taip ir dividendų paskelbimo dieną, jog neigiamos dividendų naujienos reikšmingai ir neigiamai įtakoja akcijų kainas. </w:t>
      </w:r>
    </w:p>
    <w:p w:rsidR="00FC6A12" w:rsidRDefault="00FC6A12" w:rsidP="00FC6A12">
      <w:pPr>
        <w:rPr>
          <w:lang w:eastAsia="zh-CN"/>
        </w:rPr>
      </w:pPr>
      <w:r>
        <w:t xml:space="preserve">Pasiūlytas strateginis dividendų politikos modelis dividendų paskelbimo dienos grąžai analizuoti </w:t>
      </w:r>
      <w:r w:rsidRPr="00F03075">
        <w:rPr>
          <w:i/>
        </w:rPr>
        <w:t>fiksuoto efekto</w:t>
      </w:r>
      <w:r>
        <w:t xml:space="preserve"> atveju yra kur kas patikimesnis nei analizuotas ankstesniu atveju, tą rodo aukštesnės determinacijos koeficientų reikšmės. Šis modelis paaiškina 55,6% akcijų pelningumo variacijų dividendų paskelbimo dienomis, o santykinai aukšta </w:t>
      </w:r>
      <w:r w:rsidRPr="00F03075">
        <w:rPr>
          <w:i/>
        </w:rPr>
        <w:t>Fisher</w:t>
      </w:r>
      <w:r>
        <w:t xml:space="preserve"> (F) kriterijaus reikšmė rodo, jog modelis yra statistiškai patikimas. Atliktas </w:t>
      </w:r>
      <w:r w:rsidRPr="00F03075">
        <w:rPr>
          <w:i/>
        </w:rPr>
        <w:t>Hausman</w:t>
      </w:r>
      <w:r>
        <w:rPr>
          <w:i/>
        </w:rPr>
        <w:t xml:space="preserve"> </w:t>
      </w:r>
      <w:r w:rsidRPr="00672C55">
        <w:t>testas</w:t>
      </w:r>
      <w:r>
        <w:t xml:space="preserve"> parodė, jog</w:t>
      </w:r>
      <w:r w:rsidRPr="00672C55">
        <w:t xml:space="preserve"> </w:t>
      </w:r>
      <w:r>
        <w:rPr>
          <w:lang w:eastAsia="zh-CN"/>
        </w:rPr>
        <w:t xml:space="preserve"> individualūs efektai turėtų būti laikomi atsitiktiniais (su 90</w:t>
      </w:r>
      <w:r>
        <w:rPr>
          <w:lang w:val="en-US" w:eastAsia="zh-CN"/>
        </w:rPr>
        <w:t>% tikimybe)</w:t>
      </w:r>
      <w:r>
        <w:rPr>
          <w:lang w:eastAsia="zh-CN"/>
        </w:rPr>
        <w:t xml:space="preserve">. </w:t>
      </w:r>
      <w:r w:rsidRPr="001B0E7E">
        <w:rPr>
          <w:i/>
          <w:lang w:eastAsia="zh-CN"/>
        </w:rPr>
        <w:t>Hausman</w:t>
      </w:r>
      <w:r>
        <w:rPr>
          <w:lang w:eastAsia="zh-CN"/>
        </w:rPr>
        <w:t xml:space="preserve"> testas patvirtina, jog ir šiuo atveju </w:t>
      </w:r>
      <w:r w:rsidRPr="00F72958">
        <w:rPr>
          <w:i/>
          <w:lang w:eastAsia="zh-CN"/>
        </w:rPr>
        <w:t>atsitiktinių efektų</w:t>
      </w:r>
      <w:r>
        <w:rPr>
          <w:lang w:eastAsia="zh-CN"/>
        </w:rPr>
        <w:t xml:space="preserve"> modelis laikytinas tikslesniu. </w:t>
      </w:r>
    </w:p>
    <w:p w:rsidR="00FC6A12" w:rsidRDefault="00FC6A12" w:rsidP="00FC6A12">
      <w:pPr>
        <w:rPr>
          <w:lang w:eastAsia="zh-CN"/>
        </w:rPr>
      </w:pPr>
      <w:r>
        <w:rPr>
          <w:lang w:eastAsia="zh-CN"/>
        </w:rPr>
        <w:t xml:space="preserve">Gautos regresijos kintamųjų reikšmės rodo, jog investuotojams reiktų atkreipti dėmesį, kaip į pagrindinį dividendų politikos kriterijų – dividendų pajamingumą (DY), tačiau jei kriterijų individualius efektus laikysime </w:t>
      </w:r>
      <w:r w:rsidRPr="00F72958">
        <w:rPr>
          <w:i/>
          <w:lang w:eastAsia="zh-CN"/>
        </w:rPr>
        <w:t>fiksuotais</w:t>
      </w:r>
      <w:r w:rsidRPr="00F72958">
        <w:rPr>
          <w:lang w:eastAsia="zh-CN"/>
        </w:rPr>
        <w:t>, tuomet</w:t>
      </w:r>
      <w:r>
        <w:rPr>
          <w:lang w:eastAsia="zh-CN"/>
        </w:rPr>
        <w:t xml:space="preserve"> dividendų naujienų paskelbimo dieną RETE rodiklio ir pelningumų rodiklių </w:t>
      </w:r>
      <w:r w:rsidRPr="00FE651A">
        <w:rPr>
          <w:rFonts w:eastAsia="Times New Roman" w:cs="Times New Roman"/>
          <w:color w:val="000000"/>
          <w:sz w:val="22"/>
          <w:lang w:eastAsia="zh-CN"/>
        </w:rPr>
        <w:t>∆</w:t>
      </w:r>
      <w:r w:rsidR="002513C3">
        <w:rPr>
          <w:rFonts w:eastAsia="Times New Roman" w:cs="Times New Roman"/>
          <w:color w:val="000000"/>
          <w:sz w:val="22"/>
          <w:lang w:eastAsia="zh-CN"/>
        </w:rPr>
        <w:t>EBITDA</w:t>
      </w:r>
      <w:r>
        <w:rPr>
          <w:lang w:eastAsia="zh-CN"/>
        </w:rPr>
        <w:t xml:space="preserve"> bei ROE reikšmės turi būti akcentuotinos ir laikytinos svarbiomis, kadangi pakankamai reikšmingai įtakoja dividendinių akcijų pelningumą naujienų paskelbimo metu.</w:t>
      </w:r>
    </w:p>
    <w:p w:rsidR="00FC6A12" w:rsidRDefault="00FC6A12" w:rsidP="00FC6A12">
      <w:pPr>
        <w:rPr>
          <w:lang w:eastAsia="zh-CN"/>
        </w:rPr>
      </w:pPr>
      <w:r>
        <w:rPr>
          <w:lang w:eastAsia="zh-CN"/>
        </w:rPr>
        <w:t>Akcijų pelningumas dividendų paskelbimo dieną AAR(0) gali būti išrei</w:t>
      </w:r>
      <w:r w:rsidR="00BC05AE">
        <w:rPr>
          <w:lang w:eastAsia="zh-CN"/>
        </w:rPr>
        <w:t>kštas regresine lygtimi (žr. (29</w:t>
      </w:r>
      <w:r>
        <w:rPr>
          <w:lang w:eastAsia="zh-CN"/>
        </w:rPr>
        <w:t xml:space="preserve">) formulę), remiantis </w:t>
      </w:r>
      <w:r w:rsidRPr="00CE641E">
        <w:rPr>
          <w:i/>
          <w:lang w:eastAsia="zh-CN"/>
        </w:rPr>
        <w:t>atsitiktinio efekto</w:t>
      </w:r>
      <w:r>
        <w:rPr>
          <w:lang w:eastAsia="zh-CN"/>
        </w:rPr>
        <w:t xml:space="preserve"> modeliu:</w:t>
      </w:r>
    </w:p>
    <w:p w:rsidR="00FC6A12" w:rsidRDefault="00FC6A12" w:rsidP="009D0BB8">
      <w:pPr>
        <w:ind w:firstLine="0"/>
        <w:jc w:val="center"/>
        <w:rPr>
          <w:szCs w:val="24"/>
          <w:vertAlign w:val="subscript"/>
          <w:lang w:val="en-US"/>
        </w:rPr>
      </w:pPr>
      <w:r w:rsidRPr="00CE641E">
        <w:rPr>
          <w:i/>
          <w:szCs w:val="24"/>
        </w:rPr>
        <w:t xml:space="preserve">AAR(0) </w:t>
      </w:r>
      <w:r w:rsidRPr="00CE641E">
        <w:rPr>
          <w:i/>
          <w:szCs w:val="24"/>
          <w:lang w:val="en-US"/>
        </w:rPr>
        <w:t>= 0,04 + 0,31DY - 0,01DP – 0,003lnTURT – 0,01RETE – 0,01RR + 0,001</w:t>
      </w:r>
      <w:r w:rsidRPr="00CE641E">
        <w:rPr>
          <w:rFonts w:eastAsia="Times New Roman" w:cs="Times New Roman"/>
          <w:i/>
          <w:color w:val="000000"/>
          <w:szCs w:val="24"/>
          <w:lang w:eastAsia="zh-CN"/>
        </w:rPr>
        <w:t>∆</w:t>
      </w:r>
      <w:r w:rsidR="002513C3">
        <w:rPr>
          <w:rFonts w:eastAsia="Times New Roman" w:cs="Times New Roman"/>
          <w:i/>
          <w:color w:val="000000"/>
          <w:szCs w:val="24"/>
          <w:lang w:eastAsia="zh-CN"/>
        </w:rPr>
        <w:t>EBITDA</w:t>
      </w:r>
      <w:r w:rsidRPr="00CE641E">
        <w:rPr>
          <w:rFonts w:eastAsia="Times New Roman" w:cs="Times New Roman"/>
          <w:i/>
          <w:color w:val="000000"/>
          <w:szCs w:val="24"/>
          <w:lang w:eastAsia="zh-CN"/>
        </w:rPr>
        <w:t xml:space="preserve"> + 0,021ROE + 0,002CR + 0,0001(D/E)  - 0,002(M/B) + 0,001lnAPYV – 0,01DY_I -0,02DY_D</w:t>
      </w:r>
      <w:r w:rsidRPr="00CE641E">
        <w:rPr>
          <w:i/>
          <w:szCs w:val="24"/>
          <w:lang w:val="en-US"/>
        </w:rPr>
        <w:t xml:space="preserve"> + </w:t>
      </w:r>
      <w:r>
        <w:rPr>
          <w:i/>
          <w:szCs w:val="24"/>
          <w:lang w:val="en-US"/>
        </w:rPr>
        <w:t>v</w:t>
      </w:r>
      <w:r w:rsidRPr="00CE641E">
        <w:rPr>
          <w:i/>
          <w:szCs w:val="24"/>
          <w:vertAlign w:val="subscript"/>
          <w:lang w:val="en-US"/>
        </w:rPr>
        <w:t xml:space="preserve">j </w:t>
      </w:r>
      <w:r>
        <w:rPr>
          <w:i/>
          <w:szCs w:val="24"/>
          <w:vertAlign w:val="subscript"/>
          <w:lang w:val="en-US"/>
        </w:rPr>
        <w:t xml:space="preserve">  </w:t>
      </w:r>
      <w:r w:rsidR="00BC05AE">
        <w:rPr>
          <w:szCs w:val="24"/>
          <w:lang w:val="en-US"/>
        </w:rPr>
        <w:t>(29</w:t>
      </w:r>
      <w:r w:rsidRPr="00F72958">
        <w:rPr>
          <w:szCs w:val="24"/>
          <w:lang w:val="en-US"/>
        </w:rPr>
        <w:t>)</w:t>
      </w:r>
    </w:p>
    <w:p w:rsidR="00FC6A12" w:rsidRPr="00F72958" w:rsidRDefault="00FC6A12" w:rsidP="00FC6A12">
      <w:pPr>
        <w:rPr>
          <w:rFonts w:eastAsiaTheme="majorEastAsia" w:cstheme="majorBidi"/>
          <w:szCs w:val="24"/>
        </w:rPr>
      </w:pPr>
      <w:r w:rsidRPr="00F72958">
        <w:rPr>
          <w:szCs w:val="24"/>
        </w:rPr>
        <w:t xml:space="preserve">Regresijos parametrai, lyginant su ankstesniu atveju, pasikeitė nežymiai, išskyrus DY </w:t>
      </w:r>
      <w:r w:rsidRPr="00F72958">
        <w:rPr>
          <w:i/>
          <w:szCs w:val="24"/>
        </w:rPr>
        <w:t>beta</w:t>
      </w:r>
      <w:r w:rsidRPr="00F72958">
        <w:rPr>
          <w:szCs w:val="24"/>
        </w:rPr>
        <w:t xml:space="preserve"> reikšmę, kuri tapo teigiama ir padidėjo </w:t>
      </w:r>
      <w:r>
        <w:rPr>
          <w:szCs w:val="24"/>
        </w:rPr>
        <w:t>(</w:t>
      </w:r>
      <w:r w:rsidRPr="00F72958">
        <w:rPr>
          <w:szCs w:val="24"/>
        </w:rPr>
        <w:t>0,31</w:t>
      </w:r>
      <w:r>
        <w:rPr>
          <w:szCs w:val="24"/>
        </w:rPr>
        <w:t>)</w:t>
      </w:r>
      <w:r w:rsidRPr="00F72958">
        <w:rPr>
          <w:szCs w:val="24"/>
        </w:rPr>
        <w:t xml:space="preserve">, </w:t>
      </w:r>
      <w:r>
        <w:rPr>
          <w:szCs w:val="24"/>
        </w:rPr>
        <w:t xml:space="preserve">konstantos, </w:t>
      </w:r>
      <w:r w:rsidRPr="00F72958">
        <w:rPr>
          <w:szCs w:val="24"/>
        </w:rPr>
        <w:t xml:space="preserve">RR ir ROE beta reikšmės atitinkamai sumažėjo. </w:t>
      </w:r>
    </w:p>
    <w:p w:rsidR="00FC6A12" w:rsidRDefault="00FC6A12" w:rsidP="00FC6A12">
      <w:pPr>
        <w:rPr>
          <w:szCs w:val="24"/>
        </w:rPr>
      </w:pPr>
      <w:r>
        <w:rPr>
          <w:b/>
        </w:rPr>
        <w:t>Ir</w:t>
      </w:r>
      <w:r w:rsidRPr="00081304">
        <w:rPr>
          <w:b/>
        </w:rPr>
        <w:t>acionalūs lūkesčiai.</w:t>
      </w:r>
      <w:r>
        <w:t xml:space="preserve"> Jei investuotojas (stebėtojas) tikisi maksimalaus akcijų kainos prieaugio, nepaisant to, jog neigiamų naujienų atveju gali patirt tokio pat dydžio nuostolius, laikoma, jog akcijas įsigyjamos (pradedamos stebėti)  prieš dividendų naujienų paskelbimo informacijos laiką (t=0) ir viso išlaikant jas penkias dienas, tikimasi</w:t>
      </w:r>
      <w:r w:rsidRPr="00AA1AD2">
        <w:t xml:space="preserve"> </w:t>
      </w:r>
      <w:r>
        <w:t xml:space="preserve">mažiau racionaliais lūkesčiais pagrįstos maksimalios grąžos CAAR[0;5]. Kai CAAR[0;5] regresijos lygtyje laikomas priklausomu kintamuoju, tuomet apskaičiuojami nepriklausomų kintamųjų </w:t>
      </w:r>
      <w:r w:rsidRPr="00AA1AD2">
        <w:rPr>
          <w:i/>
        </w:rPr>
        <w:t>beta</w:t>
      </w:r>
      <w:r>
        <w:t xml:space="preserve"> koeficientai, ir įvertinami skirtingo efekto modeliai (žr. </w:t>
      </w:r>
      <w:r w:rsidR="00707DF4">
        <w:t>25 lent.</w:t>
      </w:r>
      <w:r>
        <w:t xml:space="preserve">). Nors dividendų pajamingumo išliko koeficientas teigiamas, kaip ir dividendų paskelbimo dieną, tačiau rodikli statistinis reikšmingumas šiuo atveju nepalyginamai silpnesnis. </w:t>
      </w:r>
      <w:r w:rsidRPr="005E5430">
        <w:rPr>
          <w:i/>
        </w:rPr>
        <w:t>Fiksuoto efekto</w:t>
      </w:r>
      <w:r>
        <w:t xml:space="preserve"> atveju, neigiama ir statistiškai reikšminga dividendų išmokėjimo rodiklio (DP) reikšmė, rodo jog šis </w:t>
      </w:r>
      <w:r>
        <w:lastRenderedPageBreak/>
        <w:t>dividendų rodiklis turi neigiamos įtakos akcijų kainoms (90</w:t>
      </w:r>
      <w:r>
        <w:rPr>
          <w:lang w:val="en-US"/>
        </w:rPr>
        <w:t>% tikimyb</w:t>
      </w:r>
      <w:r>
        <w:t>ė). Neigiama koeficiento reikšmę akcijų kainoms pasireiškė ir  Rashid,</w:t>
      </w:r>
      <w:r w:rsidRPr="004D0EC0">
        <w:t xml:space="preserve"> </w:t>
      </w:r>
      <w:r>
        <w:t>Rehman (2008) tyrimo rezultatuose, autoriai priėjo išvados jog vadovų veiksmai dividendų politikos atžvilgiu nesumažina įmonės sisteminės rizikos, taigi negalima teigti, jog didesnis dividendų išmokėjimo koeficientas (DP) reiškia, jog įmonė pasiekia brandos stadiją, kuomet įmonė susiduria su mažesne sistemine rizika (Fracassi, 2008).</w:t>
      </w:r>
      <w:r w:rsidRPr="00CE641E">
        <w:rPr>
          <w:szCs w:val="24"/>
        </w:rPr>
        <w:t xml:space="preserve"> </w:t>
      </w:r>
    </w:p>
    <w:p w:rsidR="00FC6A12" w:rsidRDefault="00BC05AE" w:rsidP="006F517F">
      <w:pPr>
        <w:pStyle w:val="Caption"/>
        <w:ind w:left="1134" w:hanging="1134"/>
      </w:pPr>
      <w:bookmarkStart w:id="128" w:name="_Ref343347214"/>
      <w:r>
        <w:t xml:space="preserve"> </w:t>
      </w:r>
      <w:bookmarkStart w:id="129" w:name="_Toc343677843"/>
      <w:r w:rsidR="00FC6A12">
        <w:t>CAAR[0;5]</w:t>
      </w:r>
      <w:r w:rsidR="006F517F">
        <w:t xml:space="preserve"> kriterijaus</w:t>
      </w:r>
      <w:r w:rsidR="00FC6A12">
        <w:t xml:space="preserve"> fiksuoto ir atsitiktinio efekto modelių charakteristikos</w:t>
      </w:r>
      <w:bookmarkEnd w:id="128"/>
      <w:bookmarkEnd w:id="129"/>
    </w:p>
    <w:tbl>
      <w:tblPr>
        <w:tblW w:w="9953" w:type="dxa"/>
        <w:tblLayout w:type="fixed"/>
        <w:tblCellMar>
          <w:left w:w="30" w:type="dxa"/>
          <w:right w:w="30" w:type="dxa"/>
        </w:tblCellMar>
        <w:tblLook w:val="0000"/>
      </w:tblPr>
      <w:tblGrid>
        <w:gridCol w:w="348"/>
        <w:gridCol w:w="2492"/>
        <w:gridCol w:w="433"/>
        <w:gridCol w:w="1010"/>
        <w:gridCol w:w="850"/>
        <w:gridCol w:w="284"/>
        <w:gridCol w:w="567"/>
        <w:gridCol w:w="992"/>
        <w:gridCol w:w="1418"/>
        <w:gridCol w:w="992"/>
        <w:gridCol w:w="567"/>
      </w:tblGrid>
      <w:tr w:rsidR="00FC6A12" w:rsidRPr="00672C55" w:rsidTr="00FC6A12">
        <w:trPr>
          <w:trHeight w:val="620"/>
        </w:trPr>
        <w:tc>
          <w:tcPr>
            <w:tcW w:w="4283" w:type="dxa"/>
            <w:gridSpan w:val="4"/>
            <w:vMerge w:val="restart"/>
            <w:tcBorders>
              <w:top w:val="single" w:sz="12" w:space="0" w:color="auto"/>
              <w:left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Pr>
                <w:lang w:eastAsia="zh-CN"/>
              </w:rPr>
              <w:br w:type="page"/>
            </w:r>
            <w:r w:rsidRPr="00672C55">
              <w:rPr>
                <w:rFonts w:cs="Times New Roman"/>
                <w:b/>
                <w:bCs/>
                <w:color w:val="000000"/>
                <w:sz w:val="22"/>
              </w:rPr>
              <w:t>Nepriklausomi kintamieji</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 xml:space="preserve">Fiksuotas </w:t>
            </w:r>
            <w:r>
              <w:rPr>
                <w:rFonts w:cs="Times New Roman"/>
                <w:b/>
                <w:bCs/>
                <w:color w:val="000000"/>
                <w:sz w:val="22"/>
              </w:rPr>
              <w:t>efektas</w:t>
            </w:r>
          </w:p>
        </w:tc>
        <w:tc>
          <w:tcPr>
            <w:tcW w:w="2977" w:type="dxa"/>
            <w:gridSpan w:val="3"/>
            <w:tcBorders>
              <w:top w:val="single" w:sz="12" w:space="0" w:color="auto"/>
              <w:left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 xml:space="preserve">Atsitiktinis </w:t>
            </w:r>
            <w:r>
              <w:rPr>
                <w:rFonts w:cs="Times New Roman"/>
                <w:b/>
                <w:bCs/>
                <w:color w:val="000000"/>
                <w:sz w:val="22"/>
              </w:rPr>
              <w:t>efektas</w:t>
            </w:r>
          </w:p>
        </w:tc>
      </w:tr>
      <w:tr w:rsidR="00FC6A12" w:rsidRPr="00672C55" w:rsidTr="00FC6A12">
        <w:trPr>
          <w:trHeight w:val="346"/>
        </w:trPr>
        <w:tc>
          <w:tcPr>
            <w:tcW w:w="4283" w:type="dxa"/>
            <w:gridSpan w:val="4"/>
            <w:vMerge/>
            <w:tcBorders>
              <w:top w:val="single" w:sz="12" w:space="0" w:color="auto"/>
              <w:left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p>
        </w:tc>
        <w:tc>
          <w:tcPr>
            <w:tcW w:w="1134" w:type="dxa"/>
            <w:gridSpan w:val="2"/>
            <w:tcBorders>
              <w:top w:val="single" w:sz="12" w:space="0" w:color="auto"/>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Koef.</w:t>
            </w:r>
          </w:p>
        </w:tc>
        <w:tc>
          <w:tcPr>
            <w:tcW w:w="567" w:type="dxa"/>
            <w:tcBorders>
              <w:top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t</w:t>
            </w:r>
          </w:p>
        </w:tc>
        <w:tc>
          <w:tcPr>
            <w:tcW w:w="992" w:type="dxa"/>
            <w:tcBorders>
              <w:top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p>
        </w:tc>
        <w:tc>
          <w:tcPr>
            <w:tcW w:w="1418" w:type="dxa"/>
            <w:tcBorders>
              <w:top w:val="single" w:sz="12" w:space="0" w:color="auto"/>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Koef.</w:t>
            </w:r>
          </w:p>
        </w:tc>
        <w:tc>
          <w:tcPr>
            <w:tcW w:w="992" w:type="dxa"/>
            <w:tcBorders>
              <w:top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r w:rsidRPr="00672C55">
              <w:rPr>
                <w:rFonts w:cs="Times New Roman"/>
                <w:b/>
                <w:bCs/>
                <w:color w:val="000000"/>
                <w:sz w:val="22"/>
              </w:rPr>
              <w:t>t</w:t>
            </w:r>
          </w:p>
        </w:tc>
        <w:tc>
          <w:tcPr>
            <w:tcW w:w="567" w:type="dxa"/>
            <w:tcBorders>
              <w:top w:val="single" w:sz="12" w:space="0" w:color="auto"/>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rPr>
            </w:pPr>
          </w:p>
        </w:tc>
      </w:tr>
      <w:tr w:rsidR="00FC6A12" w:rsidRPr="00672C55" w:rsidTr="00FC6A12">
        <w:trPr>
          <w:trHeight w:val="303"/>
        </w:trPr>
        <w:tc>
          <w:tcPr>
            <w:tcW w:w="2840" w:type="dxa"/>
            <w:gridSpan w:val="2"/>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ascii="Calibri" w:hAnsi="Calibri" w:cs="Calibri"/>
                <w:color w:val="000000"/>
              </w:rPr>
            </w:pPr>
            <w:r w:rsidRPr="00672C55">
              <w:rPr>
                <w:rFonts w:cs="Times New Roman"/>
                <w:i/>
                <w:iCs/>
                <w:color w:val="000000"/>
                <w:sz w:val="22"/>
              </w:rPr>
              <w:t>konstanta</w:t>
            </w:r>
          </w:p>
        </w:tc>
        <w:tc>
          <w:tcPr>
            <w:tcW w:w="1443" w:type="dxa"/>
            <w:gridSpan w:val="2"/>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i/>
                <w:iCs/>
                <w:color w:val="000000"/>
              </w:rPr>
            </w:pPr>
            <w:r w:rsidRPr="00672C55">
              <w:rPr>
                <w:rFonts w:cs="Times New Roman"/>
                <w:i/>
                <w:iCs/>
                <w:color w:val="000000"/>
                <w:sz w:val="22"/>
              </w:rPr>
              <w:t>β0</w:t>
            </w:r>
          </w:p>
        </w:tc>
        <w:tc>
          <w:tcPr>
            <w:tcW w:w="1134" w:type="dxa"/>
            <w:gridSpan w:val="2"/>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0,085</w:t>
            </w:r>
          </w:p>
        </w:tc>
        <w:tc>
          <w:tcPr>
            <w:tcW w:w="567"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1,03</w:t>
            </w:r>
          </w:p>
        </w:tc>
        <w:tc>
          <w:tcPr>
            <w:tcW w:w="992"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0,020</w:t>
            </w:r>
          </w:p>
        </w:tc>
        <w:tc>
          <w:tcPr>
            <w:tcW w:w="992"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0,42</w:t>
            </w:r>
          </w:p>
        </w:tc>
        <w:tc>
          <w:tcPr>
            <w:tcW w:w="567"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trHeight w:val="415"/>
        </w:trPr>
        <w:tc>
          <w:tcPr>
            <w:tcW w:w="2840"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Dividendų pajamingumas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DY</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0,194</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1,51</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0,207</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1,61</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trHeight w:val="420"/>
        </w:trPr>
        <w:tc>
          <w:tcPr>
            <w:tcW w:w="2840" w:type="dxa"/>
            <w:gridSpan w:val="2"/>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Dividendų išmokėjimo rodiklis</w:t>
            </w:r>
          </w:p>
        </w:tc>
        <w:tc>
          <w:tcPr>
            <w:tcW w:w="1443" w:type="dxa"/>
            <w:gridSpan w:val="2"/>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DP</w:t>
            </w:r>
          </w:p>
        </w:tc>
        <w:tc>
          <w:tcPr>
            <w:tcW w:w="1134" w:type="dxa"/>
            <w:gridSpan w:val="2"/>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-0,014</w:t>
            </w:r>
          </w:p>
        </w:tc>
        <w:tc>
          <w:tcPr>
            <w:tcW w:w="567" w:type="dxa"/>
            <w:tcBorders>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-1,97</w:t>
            </w:r>
          </w:p>
        </w:tc>
        <w:tc>
          <w:tcPr>
            <w:tcW w:w="992" w:type="dxa"/>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w:t>
            </w:r>
          </w:p>
        </w:tc>
        <w:tc>
          <w:tcPr>
            <w:tcW w:w="1418" w:type="dxa"/>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0,001</w:t>
            </w:r>
          </w:p>
        </w:tc>
        <w:tc>
          <w:tcPr>
            <w:tcW w:w="992" w:type="dxa"/>
            <w:tcBorders>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0,14</w:t>
            </w:r>
          </w:p>
        </w:tc>
        <w:tc>
          <w:tcPr>
            <w:tcW w:w="567" w:type="dxa"/>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298"/>
        </w:trPr>
        <w:tc>
          <w:tcPr>
            <w:tcW w:w="348"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r w:rsidRPr="00672C55">
              <w:rPr>
                <w:rFonts w:cs="Times New Roman"/>
                <w:color w:val="000000"/>
                <w:sz w:val="22"/>
              </w:rPr>
              <w:t>Kontroliniai kintamieji</w:t>
            </w:r>
          </w:p>
        </w:tc>
        <w:tc>
          <w:tcPr>
            <w:tcW w:w="2492" w:type="dxa"/>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Pr>
                <w:rFonts w:cs="Times New Roman"/>
                <w:color w:val="000000"/>
                <w:sz w:val="22"/>
              </w:rPr>
              <w:t>Į</w:t>
            </w:r>
            <w:r w:rsidRPr="00672C55">
              <w:rPr>
                <w:rFonts w:cs="Times New Roman"/>
                <w:color w:val="000000"/>
                <w:sz w:val="22"/>
              </w:rPr>
              <w:t>monės dydis</w:t>
            </w:r>
          </w:p>
        </w:tc>
        <w:tc>
          <w:tcPr>
            <w:tcW w:w="1443" w:type="dxa"/>
            <w:gridSpan w:val="2"/>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lnTURT</w:t>
            </w:r>
          </w:p>
        </w:tc>
        <w:tc>
          <w:tcPr>
            <w:tcW w:w="1134" w:type="dxa"/>
            <w:gridSpan w:val="2"/>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-0,028</w:t>
            </w:r>
          </w:p>
        </w:tc>
        <w:tc>
          <w:tcPr>
            <w:tcW w:w="567"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-1,58</w:t>
            </w:r>
          </w:p>
        </w:tc>
        <w:tc>
          <w:tcPr>
            <w:tcW w:w="992"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0,001</w:t>
            </w:r>
          </w:p>
        </w:tc>
        <w:tc>
          <w:tcPr>
            <w:tcW w:w="992"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0,11</w:t>
            </w:r>
          </w:p>
        </w:tc>
        <w:tc>
          <w:tcPr>
            <w:tcW w:w="567"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571"/>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Nepaskirstytas pelnas/akcinis kapitalas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RETE</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0,133</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1,38</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0,025</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0,88</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552"/>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Nepaskirstyto pelno koeficientas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RR</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-0,033</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-1,22</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-0,026</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-1,14</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276"/>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2513C3" w:rsidP="00FC6A12">
            <w:pPr>
              <w:autoSpaceDE w:val="0"/>
              <w:autoSpaceDN w:val="0"/>
              <w:adjustRightInd w:val="0"/>
              <w:spacing w:before="0" w:line="240" w:lineRule="auto"/>
              <w:ind w:firstLine="0"/>
              <w:jc w:val="center"/>
              <w:rPr>
                <w:rFonts w:cs="Times New Roman"/>
                <w:color w:val="000000"/>
              </w:rPr>
            </w:pPr>
            <w:r>
              <w:rPr>
                <w:rFonts w:cs="Times New Roman"/>
                <w:color w:val="000000"/>
                <w:sz w:val="22"/>
              </w:rPr>
              <w:t>EBITDA</w:t>
            </w:r>
            <w:r w:rsidR="00FC6A12" w:rsidRPr="00672C55">
              <w:rPr>
                <w:rFonts w:cs="Times New Roman"/>
                <w:color w:val="000000"/>
                <w:sz w:val="22"/>
              </w:rPr>
              <w:t xml:space="preserve"> pokytis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w:t>
            </w:r>
            <w:r w:rsidR="002513C3">
              <w:rPr>
                <w:rFonts w:cs="Times New Roman"/>
                <w:color w:val="000000"/>
                <w:sz w:val="22"/>
              </w:rPr>
              <w:t>EBITDA</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0,005</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2,71</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w:t>
            </w: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0,003</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1,32</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280"/>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Nuosavo kapitalo grąža</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ROE</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-0,045</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-0,62</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0,015</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0,19</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568"/>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Bendrasis likvidumo koeficientas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CR</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0,008</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1,58</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0,001</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0,37</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279"/>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C8244D" w:rsidP="00FC6A12">
            <w:pPr>
              <w:autoSpaceDE w:val="0"/>
              <w:autoSpaceDN w:val="0"/>
              <w:adjustRightInd w:val="0"/>
              <w:spacing w:before="0" w:line="240" w:lineRule="auto"/>
              <w:ind w:firstLine="0"/>
              <w:jc w:val="center"/>
              <w:rPr>
                <w:rFonts w:cs="Times New Roman"/>
                <w:color w:val="000000"/>
              </w:rPr>
            </w:pPr>
            <w:r>
              <w:rPr>
                <w:rFonts w:cs="Times New Roman"/>
                <w:color w:val="000000"/>
                <w:sz w:val="22"/>
              </w:rPr>
              <w:t>Skolos ir nuosavybės santykis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D/E</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0,013</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1,37</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0,008</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0,74</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552"/>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Tikrosios vertės koeficientas</w:t>
            </w:r>
          </w:p>
        </w:tc>
        <w:tc>
          <w:tcPr>
            <w:tcW w:w="1443" w:type="dxa"/>
            <w:gridSpan w:val="2"/>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M/B</w:t>
            </w:r>
          </w:p>
        </w:tc>
        <w:tc>
          <w:tcPr>
            <w:tcW w:w="1134" w:type="dxa"/>
            <w:gridSpan w:val="2"/>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-0,009</w:t>
            </w:r>
          </w:p>
        </w:tc>
        <w:tc>
          <w:tcPr>
            <w:tcW w:w="567"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-1,08</w:t>
            </w:r>
          </w:p>
        </w:tc>
        <w:tc>
          <w:tcPr>
            <w:tcW w:w="992"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-0,010</w:t>
            </w:r>
          </w:p>
        </w:tc>
        <w:tc>
          <w:tcPr>
            <w:tcW w:w="992" w:type="dxa"/>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-1,16</w:t>
            </w:r>
          </w:p>
        </w:tc>
        <w:tc>
          <w:tcPr>
            <w:tcW w:w="567" w:type="dxa"/>
            <w:tcBorders>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290"/>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Apyvartumas</w:t>
            </w:r>
          </w:p>
        </w:tc>
        <w:tc>
          <w:tcPr>
            <w:tcW w:w="1443" w:type="dxa"/>
            <w:gridSpan w:val="2"/>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lnAPYV</w:t>
            </w:r>
          </w:p>
        </w:tc>
        <w:tc>
          <w:tcPr>
            <w:tcW w:w="1134" w:type="dxa"/>
            <w:gridSpan w:val="2"/>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0,003</w:t>
            </w:r>
          </w:p>
        </w:tc>
        <w:tc>
          <w:tcPr>
            <w:tcW w:w="567" w:type="dxa"/>
            <w:tcBorders>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0,29</w:t>
            </w:r>
          </w:p>
        </w:tc>
        <w:tc>
          <w:tcPr>
            <w:tcW w:w="992" w:type="dxa"/>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0,000</w:t>
            </w:r>
          </w:p>
        </w:tc>
        <w:tc>
          <w:tcPr>
            <w:tcW w:w="992" w:type="dxa"/>
            <w:tcBorders>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0,07</w:t>
            </w:r>
          </w:p>
        </w:tc>
        <w:tc>
          <w:tcPr>
            <w:tcW w:w="567" w:type="dxa"/>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FC6A12">
        <w:trPr>
          <w:cantSplit/>
          <w:trHeight w:val="476"/>
        </w:trPr>
        <w:tc>
          <w:tcPr>
            <w:tcW w:w="348"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r w:rsidRPr="00672C55">
              <w:rPr>
                <w:rFonts w:cs="Times New Roman"/>
                <w:color w:val="000000"/>
                <w:sz w:val="22"/>
              </w:rPr>
              <w:t>Žymės</w:t>
            </w:r>
          </w:p>
        </w:tc>
        <w:tc>
          <w:tcPr>
            <w:tcW w:w="2492" w:type="dxa"/>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DY padidėjimas</w:t>
            </w:r>
          </w:p>
        </w:tc>
        <w:tc>
          <w:tcPr>
            <w:tcW w:w="1443" w:type="dxa"/>
            <w:gridSpan w:val="2"/>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DY-I</w:t>
            </w:r>
          </w:p>
        </w:tc>
        <w:tc>
          <w:tcPr>
            <w:tcW w:w="1134" w:type="dxa"/>
            <w:gridSpan w:val="2"/>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-0,003</w:t>
            </w:r>
          </w:p>
        </w:tc>
        <w:tc>
          <w:tcPr>
            <w:tcW w:w="567"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-0,17</w:t>
            </w:r>
          </w:p>
        </w:tc>
        <w:tc>
          <w:tcPr>
            <w:tcW w:w="992"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c>
          <w:tcPr>
            <w:tcW w:w="1418" w:type="dxa"/>
            <w:tcBorders>
              <w:top w:val="single" w:sz="12" w:space="0" w:color="auto"/>
              <w:lef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-0,016</w:t>
            </w:r>
          </w:p>
        </w:tc>
        <w:tc>
          <w:tcPr>
            <w:tcW w:w="992" w:type="dxa"/>
            <w:tcBorders>
              <w:top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-1,02</w:t>
            </w:r>
          </w:p>
        </w:tc>
        <w:tc>
          <w:tcPr>
            <w:tcW w:w="567" w:type="dxa"/>
            <w:tcBorders>
              <w:top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p>
        </w:tc>
      </w:tr>
      <w:tr w:rsidR="00FC6A12" w:rsidRPr="00672C55" w:rsidTr="00C8244D">
        <w:trPr>
          <w:cantSplit/>
          <w:trHeight w:val="382"/>
        </w:trPr>
        <w:tc>
          <w:tcPr>
            <w:tcW w:w="348" w:type="dxa"/>
            <w:vMerge/>
            <w:tcBorders>
              <w:top w:val="single" w:sz="12" w:space="0" w:color="auto"/>
              <w:left w:val="single" w:sz="12" w:space="0" w:color="auto"/>
              <w:bottom w:val="single" w:sz="12" w:space="0" w:color="auto"/>
              <w:right w:val="single" w:sz="12" w:space="0" w:color="auto"/>
            </w:tcBorders>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p>
        </w:tc>
        <w:tc>
          <w:tcPr>
            <w:tcW w:w="2492" w:type="dxa"/>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DY sumažėjimas</w:t>
            </w:r>
          </w:p>
        </w:tc>
        <w:tc>
          <w:tcPr>
            <w:tcW w:w="1443" w:type="dxa"/>
            <w:gridSpan w:val="2"/>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r w:rsidRPr="00672C55">
              <w:rPr>
                <w:rFonts w:cs="Times New Roman"/>
                <w:color w:val="000000"/>
                <w:sz w:val="22"/>
              </w:rPr>
              <w:t>DY-D</w:t>
            </w:r>
          </w:p>
        </w:tc>
        <w:tc>
          <w:tcPr>
            <w:tcW w:w="1134" w:type="dxa"/>
            <w:gridSpan w:val="2"/>
            <w:tcBorders>
              <w:left w:val="single" w:sz="12" w:space="0" w:color="auto"/>
              <w:bottom w:val="single" w:sz="12" w:space="0" w:color="auto"/>
            </w:tcBorders>
            <w:vAlign w:val="center"/>
          </w:tcPr>
          <w:p w:rsidR="00FC6A12" w:rsidRPr="00CE641E" w:rsidRDefault="00FC6A12" w:rsidP="00FC6A12">
            <w:pPr>
              <w:autoSpaceDE w:val="0"/>
              <w:autoSpaceDN w:val="0"/>
              <w:adjustRightInd w:val="0"/>
              <w:spacing w:before="0" w:line="240" w:lineRule="auto"/>
              <w:ind w:firstLine="0"/>
              <w:jc w:val="center"/>
              <w:rPr>
                <w:rFonts w:cs="Times New Roman"/>
                <w:b/>
                <w:color w:val="000000"/>
                <w:szCs w:val="24"/>
              </w:rPr>
            </w:pPr>
            <w:r w:rsidRPr="00CE641E">
              <w:rPr>
                <w:rFonts w:cs="Times New Roman"/>
                <w:b/>
                <w:color w:val="000000"/>
                <w:szCs w:val="24"/>
              </w:rPr>
              <w:t>-0,040</w:t>
            </w:r>
          </w:p>
        </w:tc>
        <w:tc>
          <w:tcPr>
            <w:tcW w:w="567" w:type="dxa"/>
            <w:tcBorders>
              <w:bottom w:val="single" w:sz="12" w:space="0" w:color="auto"/>
            </w:tcBorders>
            <w:vAlign w:val="center"/>
          </w:tcPr>
          <w:p w:rsidR="00FC6A12" w:rsidRPr="00CE641E" w:rsidRDefault="00FC6A12" w:rsidP="00FC6A12">
            <w:pPr>
              <w:autoSpaceDE w:val="0"/>
              <w:autoSpaceDN w:val="0"/>
              <w:adjustRightInd w:val="0"/>
              <w:spacing w:before="0" w:line="240" w:lineRule="auto"/>
              <w:ind w:firstLine="0"/>
              <w:jc w:val="center"/>
              <w:rPr>
                <w:rFonts w:cs="Times New Roman"/>
                <w:b/>
                <w:color w:val="000000"/>
                <w:szCs w:val="24"/>
              </w:rPr>
            </w:pPr>
            <w:r w:rsidRPr="00CE641E">
              <w:rPr>
                <w:rFonts w:cs="Times New Roman"/>
                <w:b/>
                <w:color w:val="000000"/>
                <w:szCs w:val="24"/>
              </w:rPr>
              <w:t>-2,31</w:t>
            </w:r>
          </w:p>
        </w:tc>
        <w:tc>
          <w:tcPr>
            <w:tcW w:w="992" w:type="dxa"/>
            <w:tcBorders>
              <w:bottom w:val="single" w:sz="12" w:space="0" w:color="auto"/>
              <w:right w:val="single" w:sz="12" w:space="0" w:color="auto"/>
            </w:tcBorders>
            <w:vAlign w:val="center"/>
          </w:tcPr>
          <w:p w:rsidR="00FC6A12" w:rsidRPr="00CE641E" w:rsidRDefault="00FC6A12" w:rsidP="00FC6A12">
            <w:pPr>
              <w:autoSpaceDE w:val="0"/>
              <w:autoSpaceDN w:val="0"/>
              <w:adjustRightInd w:val="0"/>
              <w:spacing w:before="0" w:line="240" w:lineRule="auto"/>
              <w:ind w:firstLine="0"/>
              <w:jc w:val="center"/>
              <w:rPr>
                <w:rFonts w:cs="Times New Roman"/>
                <w:b/>
                <w:color w:val="000000"/>
                <w:szCs w:val="24"/>
              </w:rPr>
            </w:pPr>
            <w:r w:rsidRPr="00CE641E">
              <w:rPr>
                <w:rFonts w:cs="Times New Roman"/>
                <w:b/>
                <w:color w:val="000000"/>
                <w:szCs w:val="24"/>
              </w:rPr>
              <w:t>**</w:t>
            </w:r>
          </w:p>
        </w:tc>
        <w:tc>
          <w:tcPr>
            <w:tcW w:w="1418" w:type="dxa"/>
            <w:tcBorders>
              <w:left w:val="single" w:sz="12" w:space="0" w:color="auto"/>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-0,052</w:t>
            </w:r>
          </w:p>
        </w:tc>
        <w:tc>
          <w:tcPr>
            <w:tcW w:w="992" w:type="dxa"/>
            <w:tcBorders>
              <w:bottom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b/>
                <w:bCs/>
                <w:color w:val="000000"/>
                <w:szCs w:val="24"/>
              </w:rPr>
            </w:pPr>
            <w:r w:rsidRPr="00672C55">
              <w:rPr>
                <w:rFonts w:cs="Times New Roman"/>
                <w:b/>
                <w:bCs/>
                <w:color w:val="000000"/>
                <w:szCs w:val="24"/>
              </w:rPr>
              <w:t>-3,28</w:t>
            </w:r>
          </w:p>
        </w:tc>
        <w:tc>
          <w:tcPr>
            <w:tcW w:w="567" w:type="dxa"/>
            <w:tcBorders>
              <w:bottom w:val="single" w:sz="12" w:space="0" w:color="auto"/>
              <w:right w:val="single" w:sz="12" w:space="0" w:color="auto"/>
            </w:tcBorders>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szCs w:val="24"/>
              </w:rPr>
            </w:pPr>
            <w:r w:rsidRPr="00672C55">
              <w:rPr>
                <w:rFonts w:cs="Times New Roman"/>
                <w:color w:val="000000"/>
                <w:szCs w:val="24"/>
              </w:rPr>
              <w:t>***</w:t>
            </w:r>
          </w:p>
        </w:tc>
      </w:tr>
      <w:tr w:rsidR="00FC6A12" w:rsidRPr="00672C55" w:rsidTr="00FC6A12">
        <w:trPr>
          <w:cantSplit/>
          <w:trHeight w:val="544"/>
        </w:trPr>
        <w:tc>
          <w:tcPr>
            <w:tcW w:w="348" w:type="dxa"/>
            <w:vMerge w:val="restart"/>
            <w:tcBorders>
              <w:top w:val="single" w:sz="12" w:space="0" w:color="auto"/>
              <w:left w:val="single" w:sz="12" w:space="0" w:color="auto"/>
              <w:bottom w:val="single" w:sz="12" w:space="0" w:color="auto"/>
              <w:right w:val="single" w:sz="12" w:space="0" w:color="auto"/>
            </w:tcBorders>
            <w:shd w:val="pct5" w:color="auto" w:fill="auto"/>
            <w:textDirection w:val="btLr"/>
            <w:vAlign w:val="center"/>
          </w:tcPr>
          <w:p w:rsidR="00FC6A12" w:rsidRPr="00672C55" w:rsidRDefault="00FC6A12" w:rsidP="00FC6A12">
            <w:pPr>
              <w:autoSpaceDE w:val="0"/>
              <w:autoSpaceDN w:val="0"/>
              <w:adjustRightInd w:val="0"/>
              <w:spacing w:before="0" w:line="240" w:lineRule="auto"/>
              <w:ind w:left="113" w:right="113" w:firstLine="0"/>
              <w:jc w:val="center"/>
              <w:rPr>
                <w:rFonts w:cs="Times New Roman"/>
                <w:color w:val="000000"/>
              </w:rPr>
            </w:pPr>
            <w:r w:rsidRPr="00672C55">
              <w:rPr>
                <w:rFonts w:cs="Times New Roman"/>
                <w:color w:val="000000"/>
                <w:sz w:val="22"/>
              </w:rPr>
              <w:t>Modelis</w:t>
            </w:r>
          </w:p>
        </w:tc>
        <w:tc>
          <w:tcPr>
            <w:tcW w:w="3935" w:type="dxa"/>
            <w:gridSpan w:val="3"/>
            <w:tcBorders>
              <w:top w:val="single" w:sz="12" w:space="0" w:color="auto"/>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ascii="Calibri" w:hAnsi="Calibri" w:cs="Calibri"/>
                <w:i/>
                <w:color w:val="000000"/>
                <w:vertAlign w:val="superscript"/>
              </w:rPr>
            </w:pPr>
            <w:r w:rsidRPr="00574119">
              <w:rPr>
                <w:rFonts w:cs="Times New Roman"/>
                <w:i/>
                <w:color w:val="000000"/>
                <w:sz w:val="22"/>
              </w:rPr>
              <w:t>Determinacijos koeficientas R</w:t>
            </w:r>
            <w:r>
              <w:rPr>
                <w:rFonts w:cs="Times New Roman"/>
                <w:i/>
                <w:color w:val="000000"/>
                <w:sz w:val="22"/>
                <w:vertAlign w:val="superscript"/>
              </w:rPr>
              <w:t>2</w:t>
            </w:r>
          </w:p>
        </w:tc>
        <w:tc>
          <w:tcPr>
            <w:tcW w:w="2693" w:type="dxa"/>
            <w:gridSpan w:val="4"/>
            <w:tcBorders>
              <w:top w:val="single" w:sz="12" w:space="0" w:color="auto"/>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r w:rsidRPr="00574119">
              <w:rPr>
                <w:rFonts w:cs="Times New Roman"/>
                <w:b/>
                <w:bCs/>
                <w:i/>
                <w:color w:val="000000"/>
                <w:szCs w:val="24"/>
              </w:rPr>
              <w:t>0,513</w:t>
            </w:r>
          </w:p>
        </w:tc>
        <w:tc>
          <w:tcPr>
            <w:tcW w:w="2977" w:type="dxa"/>
            <w:gridSpan w:val="3"/>
            <w:tcBorders>
              <w:top w:val="single" w:sz="12" w:space="0" w:color="auto"/>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r w:rsidRPr="00574119">
              <w:rPr>
                <w:rFonts w:cs="Times New Roman"/>
                <w:i/>
                <w:color w:val="000000"/>
                <w:szCs w:val="24"/>
              </w:rPr>
              <w:t>-</w:t>
            </w:r>
          </w:p>
        </w:tc>
      </w:tr>
      <w:tr w:rsidR="00FC6A12" w:rsidRPr="00672C55" w:rsidTr="00FC6A12">
        <w:trPr>
          <w:trHeight w:val="290"/>
        </w:trPr>
        <w:tc>
          <w:tcPr>
            <w:tcW w:w="348"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p>
        </w:tc>
        <w:tc>
          <w:tcPr>
            <w:tcW w:w="3935" w:type="dxa"/>
            <w:gridSpan w:val="3"/>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vertAlign w:val="superscript"/>
              </w:rPr>
            </w:pPr>
            <w:r w:rsidRPr="00574119">
              <w:rPr>
                <w:rFonts w:cs="Times New Roman"/>
                <w:i/>
                <w:color w:val="000000"/>
                <w:sz w:val="22"/>
              </w:rPr>
              <w:t>Koreguotas determinacijos koeficientas R</w:t>
            </w:r>
            <w:r>
              <w:rPr>
                <w:rFonts w:cs="Times New Roman"/>
                <w:i/>
                <w:color w:val="000000"/>
                <w:sz w:val="22"/>
                <w:vertAlign w:val="superscript"/>
              </w:rPr>
              <w:t>2</w:t>
            </w:r>
          </w:p>
        </w:tc>
        <w:tc>
          <w:tcPr>
            <w:tcW w:w="2693" w:type="dxa"/>
            <w:gridSpan w:val="4"/>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b/>
                <w:bCs/>
                <w:i/>
                <w:color w:val="000000"/>
                <w:szCs w:val="24"/>
              </w:rPr>
            </w:pPr>
            <w:r w:rsidRPr="00574119">
              <w:rPr>
                <w:rFonts w:cs="Times New Roman"/>
                <w:b/>
                <w:bCs/>
                <w:i/>
                <w:color w:val="000000"/>
                <w:szCs w:val="24"/>
              </w:rPr>
              <w:t>0,242</w:t>
            </w:r>
          </w:p>
        </w:tc>
        <w:tc>
          <w:tcPr>
            <w:tcW w:w="2977" w:type="dxa"/>
            <w:gridSpan w:val="3"/>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r w:rsidRPr="00574119">
              <w:rPr>
                <w:rFonts w:cs="Times New Roman"/>
                <w:i/>
                <w:color w:val="000000"/>
                <w:szCs w:val="24"/>
              </w:rPr>
              <w:t>-</w:t>
            </w:r>
          </w:p>
        </w:tc>
      </w:tr>
      <w:tr w:rsidR="00FC6A12" w:rsidRPr="00672C55" w:rsidTr="00FC6A12">
        <w:trPr>
          <w:trHeight w:val="445"/>
        </w:trPr>
        <w:tc>
          <w:tcPr>
            <w:tcW w:w="348"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p>
        </w:tc>
        <w:tc>
          <w:tcPr>
            <w:tcW w:w="3935" w:type="dxa"/>
            <w:gridSpan w:val="3"/>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ascii="Calibri" w:hAnsi="Calibri" w:cs="Calibri"/>
                <w:i/>
                <w:color w:val="000000"/>
              </w:rPr>
            </w:pPr>
            <w:r w:rsidRPr="00574119">
              <w:rPr>
                <w:rFonts w:cs="Times New Roman"/>
                <w:i/>
                <w:color w:val="000000"/>
                <w:sz w:val="22"/>
              </w:rPr>
              <w:t xml:space="preserve">Fisher statistinio reikšmingumo </w:t>
            </w:r>
            <w:r w:rsidRPr="00574119">
              <w:rPr>
                <w:rFonts w:cs="Times New Roman"/>
                <w:i/>
                <w:iCs/>
                <w:color w:val="000000"/>
                <w:sz w:val="22"/>
              </w:rPr>
              <w:t>p-testas</w:t>
            </w:r>
          </w:p>
        </w:tc>
        <w:tc>
          <w:tcPr>
            <w:tcW w:w="2693" w:type="dxa"/>
            <w:gridSpan w:val="4"/>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b/>
                <w:bCs/>
                <w:i/>
                <w:color w:val="000000"/>
                <w:szCs w:val="24"/>
              </w:rPr>
            </w:pPr>
            <w:r w:rsidRPr="00574119">
              <w:rPr>
                <w:rFonts w:cs="Times New Roman"/>
                <w:b/>
                <w:bCs/>
                <w:i/>
                <w:color w:val="000000"/>
                <w:szCs w:val="24"/>
              </w:rPr>
              <w:t>0,014**</w:t>
            </w:r>
          </w:p>
        </w:tc>
        <w:tc>
          <w:tcPr>
            <w:tcW w:w="2977" w:type="dxa"/>
            <w:gridSpan w:val="3"/>
            <w:tcBorders>
              <w:left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r w:rsidRPr="00574119">
              <w:rPr>
                <w:rFonts w:cs="Times New Roman"/>
                <w:i/>
                <w:color w:val="000000"/>
                <w:szCs w:val="24"/>
              </w:rPr>
              <w:t>-</w:t>
            </w:r>
          </w:p>
        </w:tc>
      </w:tr>
      <w:tr w:rsidR="00FC6A12" w:rsidRPr="00672C55" w:rsidTr="00FC6A12">
        <w:trPr>
          <w:trHeight w:val="303"/>
        </w:trPr>
        <w:tc>
          <w:tcPr>
            <w:tcW w:w="348" w:type="dxa"/>
            <w:vMerge/>
            <w:tcBorders>
              <w:top w:val="single" w:sz="12" w:space="0" w:color="auto"/>
              <w:left w:val="single" w:sz="12" w:space="0" w:color="auto"/>
              <w:bottom w:val="single" w:sz="12" w:space="0" w:color="auto"/>
              <w:right w:val="single" w:sz="12" w:space="0" w:color="auto"/>
            </w:tcBorders>
            <w:shd w:val="pct5" w:color="auto" w:fill="auto"/>
            <w:vAlign w:val="center"/>
          </w:tcPr>
          <w:p w:rsidR="00FC6A12" w:rsidRPr="00672C55" w:rsidRDefault="00FC6A12" w:rsidP="00FC6A12">
            <w:pPr>
              <w:autoSpaceDE w:val="0"/>
              <w:autoSpaceDN w:val="0"/>
              <w:adjustRightInd w:val="0"/>
              <w:spacing w:before="0" w:line="240" w:lineRule="auto"/>
              <w:ind w:firstLine="0"/>
              <w:jc w:val="center"/>
              <w:rPr>
                <w:rFonts w:cs="Times New Roman"/>
                <w:color w:val="000000"/>
              </w:rPr>
            </w:pPr>
          </w:p>
        </w:tc>
        <w:tc>
          <w:tcPr>
            <w:tcW w:w="2925" w:type="dxa"/>
            <w:gridSpan w:val="2"/>
            <w:tcBorders>
              <w:left w:val="single" w:sz="12" w:space="0" w:color="auto"/>
              <w:bottom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iCs/>
                <w:color w:val="000000"/>
              </w:rPr>
            </w:pPr>
            <w:r w:rsidRPr="00574119">
              <w:rPr>
                <w:rFonts w:cs="Times New Roman"/>
                <w:i/>
                <w:color w:val="000000"/>
                <w:sz w:val="22"/>
              </w:rPr>
              <w:t xml:space="preserve">Hausman </w:t>
            </w:r>
            <w:r w:rsidRPr="00574119">
              <w:rPr>
                <w:rFonts w:cs="Times New Roman"/>
                <w:i/>
                <w:iCs/>
                <w:color w:val="000000"/>
                <w:sz w:val="22"/>
              </w:rPr>
              <w:t>p-testas</w:t>
            </w:r>
          </w:p>
        </w:tc>
        <w:tc>
          <w:tcPr>
            <w:tcW w:w="1010" w:type="dxa"/>
            <w:tcBorders>
              <w:bottom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ascii="Calibri" w:hAnsi="Calibri" w:cs="Calibri"/>
                <w:i/>
                <w:color w:val="000000"/>
              </w:rPr>
            </w:pPr>
          </w:p>
        </w:tc>
        <w:tc>
          <w:tcPr>
            <w:tcW w:w="850" w:type="dxa"/>
            <w:tcBorders>
              <w:left w:val="single" w:sz="12" w:space="0" w:color="auto"/>
              <w:bottom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p>
        </w:tc>
        <w:tc>
          <w:tcPr>
            <w:tcW w:w="851" w:type="dxa"/>
            <w:gridSpan w:val="2"/>
            <w:tcBorders>
              <w:bottom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r w:rsidRPr="00574119">
              <w:rPr>
                <w:rFonts w:cs="Times New Roman"/>
                <w:i/>
                <w:color w:val="000000"/>
                <w:szCs w:val="24"/>
              </w:rPr>
              <w:t>-</w:t>
            </w:r>
          </w:p>
        </w:tc>
        <w:tc>
          <w:tcPr>
            <w:tcW w:w="992" w:type="dxa"/>
            <w:tcBorders>
              <w:bottom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rPr>
            </w:pPr>
          </w:p>
        </w:tc>
        <w:tc>
          <w:tcPr>
            <w:tcW w:w="2977" w:type="dxa"/>
            <w:gridSpan w:val="3"/>
            <w:tcBorders>
              <w:left w:val="single" w:sz="12" w:space="0" w:color="auto"/>
              <w:bottom w:val="single" w:sz="12" w:space="0" w:color="auto"/>
              <w:right w:val="single" w:sz="12" w:space="0" w:color="auto"/>
            </w:tcBorders>
            <w:shd w:val="pct5" w:color="auto" w:fill="auto"/>
            <w:vAlign w:val="center"/>
          </w:tcPr>
          <w:p w:rsidR="00FC6A12" w:rsidRPr="00574119" w:rsidRDefault="00FC6A12" w:rsidP="00FC6A12">
            <w:pPr>
              <w:autoSpaceDE w:val="0"/>
              <w:autoSpaceDN w:val="0"/>
              <w:adjustRightInd w:val="0"/>
              <w:spacing w:before="0" w:line="240" w:lineRule="auto"/>
              <w:ind w:firstLine="0"/>
              <w:jc w:val="center"/>
              <w:rPr>
                <w:rFonts w:cs="Times New Roman"/>
                <w:i/>
                <w:color w:val="000000"/>
                <w:szCs w:val="24"/>
                <w:lang w:val="en-US"/>
              </w:rPr>
            </w:pPr>
            <w:r w:rsidRPr="00574119">
              <w:rPr>
                <w:rFonts w:cs="Times New Roman"/>
                <w:b/>
                <w:bCs/>
                <w:i/>
                <w:color w:val="000000"/>
                <w:szCs w:val="24"/>
              </w:rPr>
              <w:t>0,018</w:t>
            </w:r>
            <w:r w:rsidRPr="00574119">
              <w:rPr>
                <w:rFonts w:cs="Times New Roman"/>
                <w:b/>
                <w:bCs/>
                <w:i/>
                <w:color w:val="000000"/>
                <w:szCs w:val="24"/>
                <w:lang w:val="en-US"/>
              </w:rPr>
              <w:t>**</w:t>
            </w:r>
          </w:p>
        </w:tc>
      </w:tr>
    </w:tbl>
    <w:p w:rsidR="00FC6A12" w:rsidRPr="001A1564" w:rsidRDefault="00FC6A12" w:rsidP="00FC6A12">
      <w:pPr>
        <w:spacing w:line="240" w:lineRule="auto"/>
        <w:rPr>
          <w:sz w:val="20"/>
          <w:szCs w:val="20"/>
        </w:rPr>
      </w:pPr>
      <w:r>
        <w:rPr>
          <w:b/>
          <w:sz w:val="20"/>
          <w:szCs w:val="20"/>
        </w:rPr>
        <w:t>Čia:</w:t>
      </w:r>
      <w:r>
        <w:rPr>
          <w:b/>
          <w:sz w:val="20"/>
          <w:szCs w:val="20"/>
        </w:rPr>
        <w:tab/>
        <w:t xml:space="preserve"> </w:t>
      </w:r>
      <w:r w:rsidRPr="001A1564">
        <w:rPr>
          <w:b/>
          <w:sz w:val="20"/>
          <w:szCs w:val="20"/>
        </w:rPr>
        <w:t>*</w:t>
      </w:r>
      <w:r w:rsidRPr="007E6BD1">
        <w:rPr>
          <w:b/>
          <w:sz w:val="20"/>
          <w:szCs w:val="20"/>
        </w:rPr>
        <w:t>**</w:t>
      </w:r>
      <w:r>
        <w:rPr>
          <w:b/>
          <w:sz w:val="20"/>
          <w:szCs w:val="20"/>
        </w:rPr>
        <w:t xml:space="preserve"> </w:t>
      </w:r>
      <w:r>
        <w:rPr>
          <w:sz w:val="20"/>
          <w:szCs w:val="20"/>
        </w:rPr>
        <w:t>statistinio reikšmingumo lygmuo esant</w:t>
      </w:r>
      <w:r w:rsidRPr="001A1564">
        <w:rPr>
          <w:sz w:val="20"/>
          <w:szCs w:val="20"/>
        </w:rPr>
        <w:t xml:space="preserve"> </w:t>
      </w:r>
      <w:r>
        <w:rPr>
          <w:sz w:val="20"/>
          <w:szCs w:val="20"/>
        </w:rPr>
        <w:t xml:space="preserve">99% </w:t>
      </w:r>
      <w:r w:rsidRPr="00355357">
        <w:rPr>
          <w:sz w:val="20"/>
          <w:szCs w:val="20"/>
        </w:rPr>
        <w:t xml:space="preserve"> </w:t>
      </w:r>
      <w:r>
        <w:rPr>
          <w:sz w:val="20"/>
          <w:szCs w:val="20"/>
        </w:rPr>
        <w:t>tikimybei (p</w:t>
      </w:r>
      <w:r w:rsidRPr="001A1564">
        <w:rPr>
          <w:sz w:val="20"/>
          <w:szCs w:val="20"/>
        </w:rPr>
        <w:t xml:space="preserve"> &lt; 0,01);</w:t>
      </w:r>
    </w:p>
    <w:p w:rsidR="00FC6A12" w:rsidRPr="001A1564" w:rsidRDefault="00FC6A12" w:rsidP="00FC6A12">
      <w:pPr>
        <w:spacing w:before="0" w:line="240" w:lineRule="auto"/>
        <w:ind w:firstLine="1296"/>
        <w:rPr>
          <w:sz w:val="20"/>
          <w:szCs w:val="20"/>
        </w:rPr>
      </w:pPr>
      <w:r w:rsidRPr="007E6BD1">
        <w:rPr>
          <w:b/>
          <w:sz w:val="20"/>
          <w:szCs w:val="20"/>
        </w:rPr>
        <w:t>**</w:t>
      </w:r>
      <w:r>
        <w:rPr>
          <w:sz w:val="20"/>
          <w:szCs w:val="20"/>
        </w:rPr>
        <w:t xml:space="preserve"> statistinio reikšmingumo lygmuo esant</w:t>
      </w:r>
      <w:r w:rsidRPr="001A1564">
        <w:rPr>
          <w:sz w:val="20"/>
          <w:szCs w:val="20"/>
        </w:rPr>
        <w:t xml:space="preserve"> 95%</w:t>
      </w:r>
      <w:r>
        <w:rPr>
          <w:sz w:val="20"/>
          <w:szCs w:val="20"/>
        </w:rPr>
        <w:t xml:space="preserve"> tikimybei (p</w:t>
      </w:r>
      <w:r w:rsidRPr="001A1564">
        <w:rPr>
          <w:sz w:val="20"/>
          <w:szCs w:val="20"/>
        </w:rPr>
        <w:t xml:space="preserve"> &lt; 0,05);</w:t>
      </w:r>
    </w:p>
    <w:p w:rsidR="00FC6A12" w:rsidRPr="001A1564" w:rsidRDefault="00FC6A12" w:rsidP="00FC6A12">
      <w:pPr>
        <w:spacing w:before="0" w:line="240" w:lineRule="auto"/>
        <w:ind w:firstLine="1296"/>
        <w:rPr>
          <w:sz w:val="20"/>
          <w:szCs w:val="20"/>
        </w:rPr>
      </w:pPr>
      <w:r w:rsidRPr="007E6BD1">
        <w:rPr>
          <w:b/>
          <w:sz w:val="20"/>
          <w:szCs w:val="20"/>
        </w:rPr>
        <w:t>*</w:t>
      </w:r>
      <w:r w:rsidRPr="001A1564">
        <w:rPr>
          <w:sz w:val="20"/>
          <w:szCs w:val="20"/>
        </w:rPr>
        <w:t xml:space="preserve"> </w:t>
      </w:r>
      <w:r>
        <w:rPr>
          <w:sz w:val="20"/>
          <w:szCs w:val="20"/>
        </w:rPr>
        <w:t>statistinio reikšmingumo lygmuo esant</w:t>
      </w:r>
      <w:r w:rsidRPr="001A1564">
        <w:rPr>
          <w:sz w:val="20"/>
          <w:szCs w:val="20"/>
        </w:rPr>
        <w:t xml:space="preserve"> </w:t>
      </w:r>
      <w:r>
        <w:rPr>
          <w:sz w:val="20"/>
          <w:szCs w:val="20"/>
        </w:rPr>
        <w:t>90% tikimybei (p</w:t>
      </w:r>
      <w:r w:rsidRPr="001A1564">
        <w:rPr>
          <w:sz w:val="20"/>
          <w:szCs w:val="20"/>
        </w:rPr>
        <w:t xml:space="preserve"> &lt; 0</w:t>
      </w:r>
      <w:r>
        <w:rPr>
          <w:sz w:val="20"/>
          <w:szCs w:val="20"/>
        </w:rPr>
        <w:t>,</w:t>
      </w:r>
      <w:r w:rsidRPr="001A1564">
        <w:rPr>
          <w:sz w:val="20"/>
          <w:szCs w:val="20"/>
        </w:rPr>
        <w:t>10).</w:t>
      </w:r>
    </w:p>
    <w:p w:rsidR="00FC6A12" w:rsidRDefault="00FC6A12" w:rsidP="00FC6A12">
      <w:pPr>
        <w:rPr>
          <w:lang w:eastAsia="zh-CN"/>
        </w:rPr>
      </w:pPr>
      <w:r>
        <w:rPr>
          <w:lang w:eastAsia="zh-CN"/>
        </w:rPr>
        <w:t xml:space="preserve">Teigiama ir statistiškai reikšminga </w:t>
      </w:r>
      <w:r w:rsidR="002513C3">
        <w:rPr>
          <w:lang w:eastAsia="zh-CN"/>
        </w:rPr>
        <w:t>EBITDA</w:t>
      </w:r>
      <w:r>
        <w:rPr>
          <w:lang w:eastAsia="zh-CN"/>
        </w:rPr>
        <w:t xml:space="preserve"> koeficiento reikšmė rodo, jog kuomet rinkos kainos prisitaiko prie dividendų naujienų paskelbimo informacijos (laikotarpis nuo 0 iki 5 dienos po paskelbimo), teigiami įmonės pelningumo prieš atskaitymus pokyčiai teigiamai veikia dividendinių akcijų pelningumus. DY sumažėjimo žymė, kaip ir ankstesniais atvejais, turi statistiškai reikšmingą reikšmę, kuomet akcijų kainas įtakoja dividendų pajamingumo sumažėjimo (padidėjimo) informacija.</w:t>
      </w:r>
    </w:p>
    <w:p w:rsidR="00FC6A12" w:rsidRDefault="00FC6A12" w:rsidP="00FC6A12">
      <w:pPr>
        <w:rPr>
          <w:lang w:eastAsia="zh-CN"/>
        </w:rPr>
      </w:pPr>
      <w:r w:rsidRPr="00574119">
        <w:rPr>
          <w:i/>
          <w:lang w:eastAsia="zh-CN"/>
        </w:rPr>
        <w:lastRenderedPageBreak/>
        <w:t>Fiksuoto efekto</w:t>
      </w:r>
      <w:r>
        <w:rPr>
          <w:lang w:eastAsia="zh-CN"/>
        </w:rPr>
        <w:t xml:space="preserve"> modelis ilgesniu laikotarpiu po dividendų paskelbimo, tinkamesnis analizuojant daugiakriterinį modelį. Tą patvirtina statistiškai reikšminga </w:t>
      </w:r>
      <w:r w:rsidRPr="00574119">
        <w:rPr>
          <w:i/>
          <w:lang w:eastAsia="zh-CN"/>
        </w:rPr>
        <w:t>Fisher</w:t>
      </w:r>
      <w:r>
        <w:rPr>
          <w:lang w:eastAsia="zh-CN"/>
        </w:rPr>
        <w:t xml:space="preserve"> (F) kriterijaus reikšmė (p</w:t>
      </w:r>
      <w:r>
        <w:rPr>
          <w:lang w:val="en-US" w:eastAsia="zh-CN"/>
        </w:rPr>
        <w:t>=</w:t>
      </w:r>
      <w:r>
        <w:rPr>
          <w:lang w:eastAsia="zh-CN"/>
        </w:rPr>
        <w:t xml:space="preserve">0,014 &lt; p=0,05). </w:t>
      </w:r>
      <w:r w:rsidRPr="00574119">
        <w:rPr>
          <w:i/>
          <w:lang w:eastAsia="zh-CN"/>
        </w:rPr>
        <w:t>Hausman</w:t>
      </w:r>
      <w:r>
        <w:rPr>
          <w:lang w:eastAsia="zh-CN"/>
        </w:rPr>
        <w:t xml:space="preserve"> testo maža ir statistiškai reikšminga </w:t>
      </w:r>
      <w:r w:rsidRPr="00574119">
        <w:rPr>
          <w:i/>
          <w:lang w:eastAsia="zh-CN"/>
        </w:rPr>
        <w:t>p reikšmė</w:t>
      </w:r>
      <w:r>
        <w:rPr>
          <w:lang w:eastAsia="zh-CN"/>
        </w:rPr>
        <w:t xml:space="preserve"> patvirtina, jog individualūs kriterijai labiau laikytini fiksuotais. Fiksuoto modelio determinacijos koeficientas (R</w:t>
      </w:r>
      <w:r>
        <w:rPr>
          <w:vertAlign w:val="superscript"/>
          <w:lang w:eastAsia="zh-CN"/>
        </w:rPr>
        <w:t>2</w:t>
      </w:r>
      <w:r>
        <w:rPr>
          <w:lang w:eastAsia="zh-CN"/>
        </w:rPr>
        <w:t>) rodo, jog modelis paaiškina 51,3</w:t>
      </w:r>
      <w:r>
        <w:rPr>
          <w:lang w:val="en-US" w:eastAsia="zh-CN"/>
        </w:rPr>
        <w:t>% akcij</w:t>
      </w:r>
      <w:r>
        <w:rPr>
          <w:lang w:eastAsia="zh-CN"/>
        </w:rPr>
        <w:t>ų pelningumo variacijas, analizuojant 5 dienų pelningumą po dividendų paskelbimo momento.</w:t>
      </w:r>
    </w:p>
    <w:p w:rsidR="00FC6A12" w:rsidRDefault="00FC6A12" w:rsidP="00FC6A12">
      <w:pPr>
        <w:rPr>
          <w:lang w:eastAsia="zh-CN"/>
        </w:rPr>
      </w:pPr>
      <w:r>
        <w:rPr>
          <w:lang w:eastAsia="zh-CN"/>
        </w:rPr>
        <w:t xml:space="preserve">Gautos regresijos kintamųjų reikšmės rodo, jog investuotojams reiktų atkreipti dėmesį, kaip į pagrindinį dividendų politikos kriterijų – dividendų išmokėjimo rodiklį (DY), tačiau kartu įvertinant ir pelningumo rodiklio </w:t>
      </w:r>
      <w:r w:rsidRPr="00FE651A">
        <w:rPr>
          <w:rFonts w:eastAsia="Times New Roman" w:cs="Times New Roman"/>
          <w:color w:val="000000"/>
          <w:sz w:val="22"/>
          <w:lang w:eastAsia="zh-CN"/>
        </w:rPr>
        <w:t>∆</w:t>
      </w:r>
      <w:r w:rsidR="002513C3">
        <w:rPr>
          <w:rFonts w:eastAsia="Times New Roman" w:cs="Times New Roman"/>
          <w:color w:val="000000"/>
          <w:sz w:val="22"/>
          <w:lang w:eastAsia="zh-CN"/>
        </w:rPr>
        <w:t>EBITDA</w:t>
      </w:r>
      <w:r>
        <w:rPr>
          <w:rFonts w:eastAsia="Times New Roman" w:cs="Times New Roman"/>
          <w:color w:val="000000"/>
          <w:sz w:val="22"/>
          <w:lang w:eastAsia="zh-CN"/>
        </w:rPr>
        <w:t xml:space="preserve"> svarbą.</w:t>
      </w:r>
    </w:p>
    <w:p w:rsidR="00FC6A12" w:rsidRDefault="00FC6A12" w:rsidP="00FC6A12">
      <w:pPr>
        <w:rPr>
          <w:lang w:eastAsia="zh-CN"/>
        </w:rPr>
      </w:pPr>
      <w:r>
        <w:rPr>
          <w:lang w:eastAsia="zh-CN"/>
        </w:rPr>
        <w:t>Akcijų pelningumas dividendų paskelbimo dieną CAAR[0;5] gali būti išrei</w:t>
      </w:r>
      <w:r w:rsidR="00BC05AE">
        <w:rPr>
          <w:lang w:eastAsia="zh-CN"/>
        </w:rPr>
        <w:t>kštas regresine lygtimi (žr. (30</w:t>
      </w:r>
      <w:r>
        <w:rPr>
          <w:lang w:eastAsia="zh-CN"/>
        </w:rPr>
        <w:t xml:space="preserve">) formulę), remiantis </w:t>
      </w:r>
      <w:r w:rsidRPr="00CE641E">
        <w:rPr>
          <w:i/>
          <w:lang w:eastAsia="zh-CN"/>
        </w:rPr>
        <w:t>fiksuoto efekto</w:t>
      </w:r>
      <w:r>
        <w:rPr>
          <w:lang w:eastAsia="zh-CN"/>
        </w:rPr>
        <w:t xml:space="preserve"> modeliu:</w:t>
      </w:r>
    </w:p>
    <w:p w:rsidR="00FC6A12" w:rsidRPr="00CE641E" w:rsidRDefault="00FC6A12" w:rsidP="009D0BB8">
      <w:pPr>
        <w:ind w:firstLine="0"/>
        <w:jc w:val="center"/>
        <w:rPr>
          <w:i/>
          <w:szCs w:val="24"/>
          <w:vertAlign w:val="subscript"/>
          <w:lang w:val="en-US"/>
        </w:rPr>
      </w:pPr>
      <w:r w:rsidRPr="00CE641E">
        <w:rPr>
          <w:i/>
          <w:szCs w:val="24"/>
        </w:rPr>
        <w:t xml:space="preserve">CAAR[0;5] </w:t>
      </w:r>
      <w:r w:rsidRPr="00CE641E">
        <w:rPr>
          <w:i/>
          <w:szCs w:val="24"/>
          <w:lang w:val="en-US"/>
        </w:rPr>
        <w:t>= 0,09 + 0,19DY - 0,01DP – 0,03lnTURT + 0,13RETE – 0,03RR + 0,005</w:t>
      </w:r>
      <w:r w:rsidRPr="00CE641E">
        <w:rPr>
          <w:rFonts w:eastAsia="Times New Roman" w:cs="Times New Roman"/>
          <w:i/>
          <w:color w:val="000000"/>
          <w:szCs w:val="24"/>
          <w:lang w:eastAsia="zh-CN"/>
        </w:rPr>
        <w:t>∆</w:t>
      </w:r>
      <w:r w:rsidR="002513C3">
        <w:rPr>
          <w:rFonts w:eastAsia="Times New Roman" w:cs="Times New Roman"/>
          <w:i/>
          <w:color w:val="000000"/>
          <w:szCs w:val="24"/>
          <w:lang w:eastAsia="zh-CN"/>
        </w:rPr>
        <w:t>EBITDA</w:t>
      </w:r>
      <w:r w:rsidRPr="00CE641E">
        <w:rPr>
          <w:rFonts w:eastAsia="Times New Roman" w:cs="Times New Roman"/>
          <w:i/>
          <w:color w:val="000000"/>
          <w:szCs w:val="24"/>
          <w:lang w:eastAsia="zh-CN"/>
        </w:rPr>
        <w:t xml:space="preserve"> - 0,045ROE + 0,008CR + 0,013(D/E)  - 0,01(M/B) + 0,003lnAPYV – 0,003DY_I -0,04DY_D</w:t>
      </w:r>
      <w:r w:rsidRPr="00CE641E">
        <w:rPr>
          <w:i/>
          <w:szCs w:val="24"/>
          <w:lang w:val="en-US"/>
        </w:rPr>
        <w:t xml:space="preserve">  + </w:t>
      </w:r>
      <w:r>
        <w:rPr>
          <w:i/>
          <w:szCs w:val="24"/>
          <w:lang w:val="en-US"/>
        </w:rPr>
        <w:t>u</w:t>
      </w:r>
      <w:r w:rsidRPr="00CE641E">
        <w:rPr>
          <w:i/>
          <w:szCs w:val="24"/>
          <w:vertAlign w:val="subscript"/>
          <w:lang w:val="en-US"/>
        </w:rPr>
        <w:t xml:space="preserve">j   </w:t>
      </w:r>
      <w:r w:rsidR="00BC05AE">
        <w:rPr>
          <w:i/>
          <w:szCs w:val="24"/>
          <w:lang w:val="en-US"/>
        </w:rPr>
        <w:t>(30</w:t>
      </w:r>
      <w:r w:rsidRPr="00CE641E">
        <w:rPr>
          <w:i/>
          <w:szCs w:val="24"/>
          <w:lang w:val="en-US"/>
        </w:rPr>
        <w:t>)</w:t>
      </w:r>
    </w:p>
    <w:p w:rsidR="00FC6A12" w:rsidRPr="00574119" w:rsidRDefault="00FC6A12" w:rsidP="00FC6A12">
      <w:pPr>
        <w:rPr>
          <w:lang w:eastAsia="zh-CN"/>
        </w:rPr>
      </w:pPr>
      <w:r>
        <w:rPr>
          <w:lang w:eastAsia="zh-CN"/>
        </w:rPr>
        <w:t xml:space="preserve">Nagrinėjamu periodu parametro DY koeficientas įgyja mažesnę reikšmę (0,19), nei prieš tai buvusiu atveju, taip pat RETE koeficiento reikšmė tampa neigiama, </w:t>
      </w:r>
      <w:r w:rsidR="002513C3">
        <w:rPr>
          <w:lang w:eastAsia="zh-CN"/>
        </w:rPr>
        <w:t>EBITDA</w:t>
      </w:r>
      <w:r>
        <w:rPr>
          <w:lang w:eastAsia="zh-CN"/>
        </w:rPr>
        <w:t xml:space="preserve"> pokyčio koeficientas įgyja svaresnę įtaką regresijos rezultatams, kaip ir ROE koeficientas. Taip pat ilgesniu periodu dividendų pajamingumo sumažėjimo informacija (DY_D) turi mažiau reikšmingą įtaką akcijų pelningumui.</w:t>
      </w:r>
    </w:p>
    <w:p w:rsidR="00C8244D" w:rsidRDefault="00C8244D" w:rsidP="00C8244D">
      <w:pPr>
        <w:spacing w:before="240"/>
      </w:pPr>
      <w:r>
        <w:rPr>
          <w:i/>
        </w:rPr>
        <w:t>Gautų rezultatų p</w:t>
      </w:r>
      <w:r w:rsidRPr="00107005">
        <w:rPr>
          <w:i/>
        </w:rPr>
        <w:t>astaba:</w:t>
      </w:r>
      <w:r>
        <w:rPr>
          <w:i/>
        </w:rPr>
        <w:t xml:space="preserve"> </w:t>
      </w:r>
      <w:r>
        <w:t xml:space="preserve">siūlomas modelis prieš tai buvo patikrintas visiems analizuotiems laiko intervalams (CAAR) tam, kad įsitikinti ar modelis gali paaiškinti akcijų pelningumą kitais dividendų paskelbimo dienų periodais: nustatyta, jog teorinis modelis efektyvus tik nagrinėtais atvejais. </w:t>
      </w:r>
    </w:p>
    <w:p w:rsidR="00FC6A12" w:rsidRDefault="00FC6A12" w:rsidP="00C8244D">
      <w:pPr>
        <w:spacing w:before="240"/>
      </w:pPr>
      <w:r>
        <w:t xml:space="preserve">Šioje tyrimo dalyje nagrinėta hipotezė </w:t>
      </w:r>
      <w:r w:rsidRPr="006857BF">
        <w:rPr>
          <w:i/>
        </w:rPr>
        <w:t>H</w:t>
      </w:r>
      <w:r w:rsidRPr="006857BF">
        <w:rPr>
          <w:i/>
          <w:vertAlign w:val="subscript"/>
        </w:rPr>
        <w:t>0</w:t>
      </w:r>
      <w:r w:rsidRPr="006857BF">
        <w:rPr>
          <w:i/>
        </w:rPr>
        <w:t xml:space="preserve">: </w:t>
      </w:r>
      <w:r>
        <w:rPr>
          <w:i/>
        </w:rPr>
        <w:t>Daugiakriterinis dividendinio investavimo strategijos modelis nepaaiškina kainų svyravimų dividendų informacijos paskelbimo laikotarpiu,</w:t>
      </w:r>
      <w:r w:rsidRPr="006857BF">
        <w:rPr>
          <w:i/>
        </w:rPr>
        <w:t xml:space="preserve"> </w:t>
      </w:r>
      <w:r w:rsidRPr="006857BF">
        <w:t>remiantis š</w:t>
      </w:r>
      <w:r>
        <w:t>iame</w:t>
      </w:r>
      <w:r w:rsidRPr="006857BF">
        <w:t xml:space="preserve"> poskyr</w:t>
      </w:r>
      <w:r>
        <w:t xml:space="preserve">yje gautais rezultatais </w:t>
      </w:r>
      <w:r w:rsidR="00C8244D">
        <w:t>sąlyginai</w:t>
      </w:r>
      <w:r>
        <w:t xml:space="preserve"> negali būti patvirtinama. </w:t>
      </w:r>
      <w:r w:rsidR="00C8244D">
        <w:t>Strateginiai</w:t>
      </w:r>
      <w:r>
        <w:t xml:space="preserve"> modeliai, analizuojantys akcijų pelningumą po dividendų naujienų paskelbimo, paaiškina daugiau kaip 50</w:t>
      </w:r>
      <w:r>
        <w:rPr>
          <w:lang w:val="en-US"/>
        </w:rPr>
        <w:t>%</w:t>
      </w:r>
      <w:r>
        <w:t xml:space="preserve"> kainos pokyčio variacijų, o atskiri dividendų politikos rodikliai skirtingais atvejais reikšmingai įtakoja akcijų kainas (dividendų pajamingumas – teigiamai, dividendų išmokėjimo koeficientas – neigiamai). Dividendų politikos elementai turėtų būti vertinami išvien su fundamentiniais įmonių veiklos rodikliais, kadangi skirtingais atvejais fundamentiniai rodikliai, o ypač įmonės pelningumo rodikliai, reikšmingai įtakoja akcijų pelningumą dividendų paskelbimo dienomis. </w:t>
      </w:r>
    </w:p>
    <w:p w:rsidR="00FC6A12" w:rsidRDefault="00FC6A12" w:rsidP="00FC6A12"/>
    <w:p w:rsidR="00FC6A12" w:rsidRDefault="00FC6A12" w:rsidP="00FC6A12">
      <w:r>
        <w:lastRenderedPageBreak/>
        <w:t xml:space="preserve">Apibendrinant šios darbo dalies rezultatus, galima būtų teigti, jog investuotojai palankiai vertina įmones, mokančias dividendus, o dividendų pajamingumo pokytis dažnai suveikia kaip </w:t>
      </w:r>
      <w:r w:rsidRPr="00807983">
        <w:rPr>
          <w:b/>
          <w:i/>
        </w:rPr>
        <w:t>signalizavimo efektas</w:t>
      </w:r>
      <w:r>
        <w:t xml:space="preserve">, kuris ypač reikšmingai įtakoja akcijų kainas dividendų paskelbimo dieną. Tikėtina, kad dividendai signalizuoja </w:t>
      </w:r>
      <w:r w:rsidR="00C8244D">
        <w:t>apie stabilią įmonės finansinę padėtį ateityje</w:t>
      </w:r>
      <w:r>
        <w:t xml:space="preserve">, tačiau įmonės </w:t>
      </w:r>
      <w:r w:rsidRPr="00807983">
        <w:rPr>
          <w:b/>
          <w:i/>
        </w:rPr>
        <w:t>brandos stadijos hipotezė</w:t>
      </w:r>
      <w:r w:rsidRPr="00807983">
        <w:rPr>
          <w:b/>
        </w:rPr>
        <w:t xml:space="preserve"> </w:t>
      </w:r>
      <w:r>
        <w:t xml:space="preserve">neturi stipraus praktinio pagrindo, kadangi dividendų išmokėjimo koeficientas </w:t>
      </w:r>
      <w:r w:rsidR="00CC7439">
        <w:t>reikšmingai ir</w:t>
      </w:r>
      <w:r>
        <w:t xml:space="preserve"> neigiamai įtakoja akcijų kainas</w:t>
      </w:r>
      <w:r w:rsidR="00CC7439">
        <w:t xml:space="preserve"> (ypač po naujienų paskelbimo)</w:t>
      </w:r>
      <w:r>
        <w:t xml:space="preserve">, todėl negalima teigti, jog įmonės brandos stadija atitinkamai lemia ir mažesnę sisteminę riziką. Tuo tarpu, </w:t>
      </w:r>
      <w:r w:rsidRPr="00807983">
        <w:rPr>
          <w:b/>
          <w:i/>
        </w:rPr>
        <w:t>laisvo pinigų srauto hipotezė</w:t>
      </w:r>
      <w:r>
        <w:rPr>
          <w:i/>
        </w:rPr>
        <w:t xml:space="preserve"> </w:t>
      </w:r>
      <w:r w:rsidR="00CC7439">
        <w:t>turėtų išlikti</w:t>
      </w:r>
      <w:r>
        <w:rPr>
          <w:i/>
        </w:rPr>
        <w:t xml:space="preserve"> </w:t>
      </w:r>
      <w:r w:rsidR="00CC7439">
        <w:t>tolimesnių tyrimų centre</w:t>
      </w:r>
      <w:r>
        <w:t>, kadangi rinka atitinkamai ir gana reikšmingai reaguoja į dividendų naujienas, priklausomai nuo skelbiamo realaus dividendų dydžio. Reikšminga rinkos reakcija gali reikšti</w:t>
      </w:r>
      <w:r w:rsidR="00CC7439">
        <w:t xml:space="preserve"> ir</w:t>
      </w:r>
      <w:r>
        <w:t xml:space="preserve"> didesnį </w:t>
      </w:r>
      <w:r w:rsidRPr="00807983">
        <w:rPr>
          <w:b/>
          <w:i/>
        </w:rPr>
        <w:t>atstovavimo problematikos paplitimą</w:t>
      </w:r>
      <w:r>
        <w:t xml:space="preserve">. </w:t>
      </w:r>
      <w:r w:rsidR="00CC7439">
        <w:t>Į</w:t>
      </w:r>
      <w:r>
        <w:t xml:space="preserve">monės augimo perspektyvas ir įsiskolinimo lygį apibūdinantys </w:t>
      </w:r>
      <w:r w:rsidR="00CC7439">
        <w:t>kriterijai</w:t>
      </w:r>
      <w:r>
        <w:t xml:space="preserve"> neturi stipraus empirinio pagrindo Baltijos šalių rinkoje.</w:t>
      </w:r>
    </w:p>
    <w:p w:rsidR="00FC6A12" w:rsidRDefault="00CC7439" w:rsidP="00FC6A12">
      <w:r>
        <w:t>Autoriaus nuomone Baltijos šalių rinkoje gali būti pritaikytina i</w:t>
      </w:r>
      <w:r w:rsidR="00FC6A12">
        <w:t xml:space="preserve">nvestavimo strategija, kuria remiantis įvertinamas </w:t>
      </w:r>
      <w:r w:rsidR="00FC6A12" w:rsidRPr="00CC7439">
        <w:rPr>
          <w:b/>
          <w:i/>
        </w:rPr>
        <w:t xml:space="preserve">dividendų </w:t>
      </w:r>
      <w:r w:rsidR="00FC6A12" w:rsidRPr="00807983">
        <w:rPr>
          <w:b/>
          <w:i/>
        </w:rPr>
        <w:t>informacinis – signalizavimo efektas</w:t>
      </w:r>
      <w:r w:rsidR="00FC6A12">
        <w:t xml:space="preserve">. </w:t>
      </w:r>
      <w:r>
        <w:t>Tyrimo rezultatai parodė</w:t>
      </w:r>
      <w:r w:rsidR="00FC6A12">
        <w:t xml:space="preserve">, jog rinka yra silpnai efektyvi: įmonių akcijų kainose iš anksto nėra įskaičiuota informacija apie įmonės veiksmus dividendų politikos atžvilgiu, išskyrus tuos atvejus kai dividendų nusprendžiama nemokėti apskritai. Tokiu atveju, investavimo strategija, paremta dividendine informacija ir išreikšta atitinkamais dividendų rodikliais, galutiniame rezultate generuoja didesnius nei vidutinius rinkos pelningumus. </w:t>
      </w:r>
    </w:p>
    <w:p w:rsidR="00FC6A12" w:rsidRDefault="00FC6A12" w:rsidP="00FC6A12">
      <w:r>
        <w:t xml:space="preserve">Remiantis šio tyrimo rezultatais, tiek investuotojams, prieš priimant investavimo sprendimus, tiek įmonių vadovams, prieš priimant atitinkamus dividendų politikos sprendimus, tikslinga įvertinti kaip ir kokie dividendų politikos veiksniai, kartu su tokiais kontroliuojančiais kriterijais, kaip nepaskirstyto pelno koeficientas (RR), </w:t>
      </w:r>
      <w:r w:rsidR="002513C3">
        <w:t>EBITDA</w:t>
      </w:r>
      <w:r>
        <w:t xml:space="preserve"> pokytis, ROE, RETE, įtakoja akcijų kainas atitinkamais periodais. Šio darbo rezultatai sukuria pagrindą tolimesniems dividendų politikos ir investavimo sprendimų modeliavimo tyrimams Baltijos šalių akcijų rinkoje, kadangi </w:t>
      </w:r>
      <w:r w:rsidR="00CC7439">
        <w:t>naudojant</w:t>
      </w:r>
      <w:r>
        <w:t xml:space="preserve"> </w:t>
      </w:r>
      <w:r w:rsidR="00CC7439">
        <w:t>šiuolaikines daugiakriterines technikas</w:t>
      </w:r>
      <w:r>
        <w:t>, išanalizuoti ir identifikuoti tiek esminiai dividendų politikos kriterijai, tiek ir svarbiausi fundamentiniai kriterijai, įtakojantys akcijų kainas, kurie į analizę įtraukti remiantis įvairiomis augimo, rizikos, pelningumo teorijomis bei ankstesnių mokslinių tyrimų rezultatais.</w:t>
      </w:r>
    </w:p>
    <w:p w:rsidR="009D0BB8" w:rsidRDefault="009D0BB8" w:rsidP="00FC6A12"/>
    <w:p w:rsidR="009D0BB8" w:rsidRDefault="009D0BB8">
      <w:pPr>
        <w:spacing w:before="0" w:after="200" w:line="276" w:lineRule="auto"/>
        <w:ind w:firstLine="0"/>
        <w:jc w:val="left"/>
      </w:pPr>
      <w:r>
        <w:br w:type="page"/>
      </w:r>
    </w:p>
    <w:p w:rsidR="009D0BB8" w:rsidRDefault="009D0BB8" w:rsidP="009D0BB8">
      <w:pPr>
        <w:pStyle w:val="Heading1"/>
      </w:pPr>
      <w:bookmarkStart w:id="130" w:name="_Toc343677765"/>
      <w:r>
        <w:lastRenderedPageBreak/>
        <w:t>IŠVADOS IR SIŪLYMAI</w:t>
      </w:r>
      <w:bookmarkEnd w:id="130"/>
    </w:p>
    <w:p w:rsidR="006500BF" w:rsidRDefault="00620201" w:rsidP="006500BF">
      <w:pPr>
        <w:pStyle w:val="ListParagraph"/>
        <w:numPr>
          <w:ilvl w:val="0"/>
          <w:numId w:val="45"/>
        </w:numPr>
        <w:ind w:left="493" w:hanging="425"/>
      </w:pPr>
      <w:r>
        <w:t>D</w:t>
      </w:r>
      <w:r w:rsidR="006500BF">
        <w:t xml:space="preserve">ividendinio investavimo strategijos modeliavimo galimybių </w:t>
      </w:r>
      <w:r w:rsidR="00C13437">
        <w:t>temat</w:t>
      </w:r>
      <w:r w:rsidR="00805428">
        <w:t>ikos pasirinkimui didelę reikšmę turėjo racionalių dividendų politikos</w:t>
      </w:r>
      <w:r w:rsidR="00C13437">
        <w:t xml:space="preserve"> teorijų pagrindas. Pasaulinės ekonominės krizės padariniai Nasdaq OMX Baltic akcijų biržoje pasireiškė itin drastiškai, todėl dabartiniu metu, kai rinkos vis dar neramios ir jaučiama nežinomybė dėl ateities, ne vien tik investuotojų, bet ir analitikų akiratyje vis dažniau atsiduria dividendus mokančios bendrovės. Investavimas į dividendines akcijas turi savų pranašumų – mažesnė rizika ir </w:t>
      </w:r>
      <w:r w:rsidR="00F70FCC">
        <w:t xml:space="preserve">momentinė </w:t>
      </w:r>
      <w:r w:rsidR="00C13437">
        <w:t>investicinė grąža</w:t>
      </w:r>
      <w:r w:rsidR="00F70FCC">
        <w:t>, lyginant su laukiama ka</w:t>
      </w:r>
      <w:r w:rsidR="00707DF4">
        <w:t>pitalo prieaugio grąža ateityje;</w:t>
      </w:r>
    </w:p>
    <w:p w:rsidR="00F70FCC" w:rsidRDefault="00F70FCC" w:rsidP="006500BF">
      <w:pPr>
        <w:pStyle w:val="ListParagraph"/>
        <w:numPr>
          <w:ilvl w:val="0"/>
          <w:numId w:val="45"/>
        </w:numPr>
        <w:ind w:left="493" w:hanging="425"/>
      </w:pPr>
      <w:r>
        <w:t xml:space="preserve">Dividendų politikos teorijos korporacijų lygmenyje yra </w:t>
      </w:r>
      <w:r w:rsidR="00C30D97">
        <w:t>vis plačiau nagrinėjamos</w:t>
      </w:r>
      <w:r>
        <w:t>,</w:t>
      </w:r>
      <w:r w:rsidR="00C30D97">
        <w:t xml:space="preserve"> tuo tarpu mokslininkai</w:t>
      </w:r>
      <w:r>
        <w:t xml:space="preserve"> kelia</w:t>
      </w:r>
      <w:r w:rsidR="00805428">
        <w:t xml:space="preserve"> įvairius</w:t>
      </w:r>
      <w:r>
        <w:t xml:space="preserve"> klausimus – ar dividendų politik</w:t>
      </w:r>
      <w:r w:rsidR="00805428">
        <w:t>a turi signalizuojantį poveikį</w:t>
      </w:r>
      <w:r>
        <w:t>, ar įmonės vadovybė tinkamai atstovauja akcininkų interesus ar efektyviai panaudojami</w:t>
      </w:r>
      <w:r w:rsidR="00C30D97">
        <w:t xml:space="preserve"> įmonės</w:t>
      </w:r>
      <w:r>
        <w:t xml:space="preserve"> finansiniai resursai</w:t>
      </w:r>
      <w:r w:rsidR="00C30D97">
        <w:t xml:space="preserve">. Teorinėje darbo dalyje atliktos mokslinės literatūros analizės rezultatai sudarė pagrindą investavimo strategijos modeliavimui </w:t>
      </w:r>
      <w:r w:rsidR="00E8074E">
        <w:t>sparčiai</w:t>
      </w:r>
      <w:r w:rsidR="00620201">
        <w:t xml:space="preserve"> </w:t>
      </w:r>
      <w:r w:rsidR="00E8074E">
        <w:t>besivystančių</w:t>
      </w:r>
      <w:r w:rsidR="00620201">
        <w:t xml:space="preserve"> </w:t>
      </w:r>
      <w:r w:rsidR="00C30D97">
        <w:t>Baltijos šalių</w:t>
      </w:r>
      <w:r w:rsidR="00620201" w:rsidRPr="00620201">
        <w:t xml:space="preserve"> </w:t>
      </w:r>
      <w:r w:rsidR="00C30D97">
        <w:t xml:space="preserve">akcijų rinkoje, </w:t>
      </w:r>
      <w:r w:rsidR="00620201">
        <w:t xml:space="preserve">remiantis šiuolaikinėmis technikomis ir </w:t>
      </w:r>
      <w:r w:rsidR="00C30D97">
        <w:t xml:space="preserve">įvertinant esminius dividendų politikos kriterijus </w:t>
      </w:r>
      <w:r w:rsidR="00620201">
        <w:t>bei</w:t>
      </w:r>
      <w:r w:rsidR="00C30D97">
        <w:t xml:space="preserve"> fundamentinius įmonių rodiklius. K</w:t>
      </w:r>
      <w:r w:rsidR="005B00AC">
        <w:t>ontroliuojantys fundamentiniai k</w:t>
      </w:r>
      <w:r w:rsidR="00C30D97">
        <w:t xml:space="preserve">riterijai </w:t>
      </w:r>
      <w:r w:rsidR="005B00AC">
        <w:t xml:space="preserve">yra įmonės augimo perspektyvų, skolos ir rizikingumo bei pelningumo vertinimo matai. </w:t>
      </w:r>
      <w:r w:rsidR="00C30D97">
        <w:t>Šių kriterijų svoriai leidžia investuotojams ir įmonių vadovams prieiti tam tikrų išvadų apie atitinkamų dividendinių akcijų patrauklumą. Vertinant ne vien tik dividendinių faktorių svarbą investavimo strategijai, modelio formavimas tampa daugiakriterin</w:t>
      </w:r>
      <w:r w:rsidR="005B00AC">
        <w:t>e</w:t>
      </w:r>
      <w:r w:rsidR="00707DF4">
        <w:t xml:space="preserve"> problema;</w:t>
      </w:r>
    </w:p>
    <w:p w:rsidR="00C30D97" w:rsidRDefault="00DF4026" w:rsidP="006500BF">
      <w:pPr>
        <w:pStyle w:val="ListParagraph"/>
        <w:numPr>
          <w:ilvl w:val="0"/>
          <w:numId w:val="45"/>
        </w:numPr>
        <w:ind w:left="493" w:hanging="425"/>
      </w:pPr>
      <w:r>
        <w:t>Autoriaus nuomone f</w:t>
      </w:r>
      <w:r w:rsidR="00707DF4">
        <w:t xml:space="preserve">ormuojant strateginį modelį negalima </w:t>
      </w:r>
      <w:r>
        <w:t>ignoruoti</w:t>
      </w:r>
      <w:r w:rsidR="00707DF4">
        <w:t xml:space="preserve"> fakto, jog tiek investuotojus, tiek ir įmonių vadovus domina dividendų politikos</w:t>
      </w:r>
      <w:r>
        <w:t xml:space="preserve"> veiksmų</w:t>
      </w:r>
      <w:r w:rsidR="00707DF4">
        <w:t xml:space="preserve"> poveikis akcijų kainoms, tod</w:t>
      </w:r>
      <w:r w:rsidR="00805428">
        <w:t>ėl empirinio tyrimo metodologiją tikslinga formuoti</w:t>
      </w:r>
      <w:r w:rsidR="00707DF4">
        <w:t xml:space="preserve"> </w:t>
      </w:r>
      <w:r w:rsidR="00620201">
        <w:t xml:space="preserve">dvejais </w:t>
      </w:r>
      <w:r>
        <w:t>etapais. Pirmuoju etapu  - analizuojama dividendų konteksto įtaka Baltijos šalių akcijų pelningumui, tikrinami informacijos asimetrijos, signalinio efekto poveiki</w:t>
      </w:r>
      <w:r w:rsidR="00602C46">
        <w:t>ai bei rinkos efektyvumo laipsnis</w:t>
      </w:r>
      <w:r>
        <w:t>. Antruoju etapu – apibrėžiamos daugiakriterinio tyrimo ribos, sudaroma kriterijų aibė, nustatoma kriterijų reikšmių ir svorių įvertinimo metodika. Kadangi</w:t>
      </w:r>
      <w:r w:rsidR="00602C46">
        <w:t xml:space="preserve"> neišvengiami</w:t>
      </w:r>
      <w:r>
        <w:t xml:space="preserve"> individualūs stebėjimo </w:t>
      </w:r>
      <w:r w:rsidR="00602C46">
        <w:t>efektai, priimant strateginius investavimo sprendimus naudinga naudoti atitinkamas efekto technikas tam, kad nustatyti ar individualūs skirtumai yra labiau laikytini atsitiktiniais ar fiksuotais;</w:t>
      </w:r>
    </w:p>
    <w:p w:rsidR="00F16C06" w:rsidRDefault="00602C46" w:rsidP="006500BF">
      <w:pPr>
        <w:pStyle w:val="ListParagraph"/>
        <w:numPr>
          <w:ilvl w:val="0"/>
          <w:numId w:val="45"/>
        </w:numPr>
        <w:ind w:left="493" w:hanging="425"/>
      </w:pPr>
      <w:r w:rsidRPr="00602C46">
        <w:t xml:space="preserve">Analizuojamų dividendinių akcijų dalis tarp visų akcijų Baltijos šalių rinkoje siekia 49,4%. </w:t>
      </w:r>
      <w:r w:rsidR="00620201">
        <w:t>D</w:t>
      </w:r>
      <w:r w:rsidR="00620201" w:rsidRPr="00602C46">
        <w:t xml:space="preserve">ividendinių akcijų </w:t>
      </w:r>
      <w:r w:rsidR="00620201">
        <w:t>rinkos struktūra nėra būdinga</w:t>
      </w:r>
      <w:r w:rsidR="00620201" w:rsidRPr="00602C46">
        <w:t xml:space="preserve"> labiau išsivysči</w:t>
      </w:r>
      <w:r w:rsidR="00620201">
        <w:t>u</w:t>
      </w:r>
      <w:r w:rsidR="00620201" w:rsidRPr="00602C46">
        <w:t>sių pasaulio ekonomikų atžvilgiu</w:t>
      </w:r>
      <w:r w:rsidR="00620201">
        <w:t xml:space="preserve"> -</w:t>
      </w:r>
      <w:r w:rsidR="00620201" w:rsidRPr="00602C46">
        <w:t xml:space="preserve"> </w:t>
      </w:r>
      <w:r w:rsidR="00620201">
        <w:t>d</w:t>
      </w:r>
      <w:r w:rsidRPr="00602C46">
        <w:t>augiausiai dividendinių įmonių veikia plataus vartojimo prekių ir pram</w:t>
      </w:r>
      <w:r>
        <w:t>o</w:t>
      </w:r>
      <w:r w:rsidRPr="00602C46">
        <w:t>ninių gaminių, k</w:t>
      </w:r>
      <w:r w:rsidR="00620201">
        <w:t>omunalinių paslaugų sektoriuose</w:t>
      </w:r>
      <w:r w:rsidR="00F16C06">
        <w:t xml:space="preserve">. Maždaug trečdalis analizuojamų įmonių akcininkams nuo dešimtmečio pradžios moka dividendus 10 metų ir ilgiau, kas atspindi tam tikrų įmonių išsivystymo lygmenį ir brandos stadiją. Dividendų dydžio pokyčiai tiek trumpu, tiek ilgu </w:t>
      </w:r>
      <w:r w:rsidR="00F16C06">
        <w:lastRenderedPageBreak/>
        <w:t>laikot</w:t>
      </w:r>
      <w:r w:rsidR="00976498">
        <w:t>arpiu svyruoja pakankamai plačia</w:t>
      </w:r>
      <w:r w:rsidR="00F16C06">
        <w:t xml:space="preserve"> amplitude, todėl tikėtina, jog įmonės išmokamų dividendų dydis glaudžiai susijęs su finansiniais rezultatais ir</w:t>
      </w:r>
      <w:r w:rsidR="001855A1">
        <w:t xml:space="preserve"> esamomis</w:t>
      </w:r>
      <w:r w:rsidR="00F16C06">
        <w:t xml:space="preserve"> akcijų rinkos kainomis;</w:t>
      </w:r>
    </w:p>
    <w:p w:rsidR="00602C46" w:rsidRDefault="00783949" w:rsidP="006500BF">
      <w:pPr>
        <w:pStyle w:val="ListParagraph"/>
        <w:numPr>
          <w:ilvl w:val="0"/>
          <w:numId w:val="45"/>
        </w:numPr>
        <w:ind w:left="493" w:hanging="425"/>
      </w:pPr>
      <w:r>
        <w:t>Dividendų naujienų paskelbimas teigiamai įtakoja akcijų kainas</w:t>
      </w:r>
      <w:r w:rsidR="00E21F67">
        <w:t>, ypač</w:t>
      </w:r>
      <w:r>
        <w:t xml:space="preserve"> dividendų paskelbimo dieną. </w:t>
      </w:r>
      <w:r w:rsidR="00976498">
        <w:t>Realus dividendų pokytis reikšmingiau charakterizuoja vidutinius akcijų pelningumus nei</w:t>
      </w:r>
      <w:r w:rsidR="0035197E">
        <w:t xml:space="preserve"> nominalaus dividendų pokytis</w:t>
      </w:r>
      <w:r w:rsidR="00976498">
        <w:t>. D</w:t>
      </w:r>
      <w:r>
        <w:t>ividendinio pajamingumo pokytis veikia kaip informacinio-signalinio pobūdžio efektas ir</w:t>
      </w:r>
      <w:r w:rsidR="00E21F67">
        <w:t xml:space="preserve"> </w:t>
      </w:r>
      <w:r w:rsidR="00976498">
        <w:t>dėl informacinio naujienų pobūdžio akcijų pelningumus įtakoja atitinkama linkme</w:t>
      </w:r>
      <w:r>
        <w:t>. Analizuojant dividendų pajamingumo pokyčius, po naujienų paskelbimo dividendiniai pajamingumai vidutiniškai išauga 63</w:t>
      </w:r>
      <w:r>
        <w:rPr>
          <w:lang w:val="en-US"/>
        </w:rPr>
        <w:t>% atvej</w:t>
      </w:r>
      <w:r>
        <w:t>ų, kas rodo, jog įmonės dažniau yra linkę nemažinti realaus išmokamų dividendų dydžio. Dividendų inicijavim</w:t>
      </w:r>
      <w:r w:rsidR="00E21F67">
        <w:t>o teigiamas efektas ryškiausias, tuo tarpu dividendų neišmokėjimo sprendimai nepasireiškia neigiamais efektais, kas vienu atveju rodo, jog rinka susiduria su teigiama, bet netikėta informacija, kitu – įmonės veiklos rezultatai nesudaro prielaidų</w:t>
      </w:r>
      <w:r w:rsidR="00976498">
        <w:t xml:space="preserve"> investuotojams</w:t>
      </w:r>
      <w:r w:rsidR="00E21F67">
        <w:t xml:space="preserve"> tikėtis dividendų išmokėjimo;  </w:t>
      </w:r>
    </w:p>
    <w:p w:rsidR="00E21F67" w:rsidRDefault="002A2954" w:rsidP="006500BF">
      <w:pPr>
        <w:pStyle w:val="ListParagraph"/>
        <w:numPr>
          <w:ilvl w:val="0"/>
          <w:numId w:val="45"/>
        </w:numPr>
        <w:ind w:left="493" w:hanging="425"/>
      </w:pPr>
      <w:r>
        <w:t>Gauti sudėtinių pelningumų rezultatai leidžia laikytis prielaidos, jog Baltijos šalių dividendinių akcijų rinka yra</w:t>
      </w:r>
      <w:r w:rsidR="00E21F67">
        <w:t xml:space="preserve"> silpnai efektyvi</w:t>
      </w:r>
      <w:r>
        <w:t>, informacijos asimetrijos efektas prieš dividendų paskelbimo dienas nepasireiškia, o dividendų pajamingum</w:t>
      </w:r>
      <w:r w:rsidR="001855A1">
        <w:t>o pokytis</w:t>
      </w:r>
      <w:r>
        <w:t xml:space="preserve"> </w:t>
      </w:r>
      <w:r w:rsidR="001855A1">
        <w:t>su</w:t>
      </w:r>
      <w:r>
        <w:t>veikia kaip informacinis signalas ir atitinkama linkme įtakoja akcijų kainas laikotarpiuose po dividendų paskelbimo nauji</w:t>
      </w:r>
      <w:r w:rsidR="00942E38">
        <w:t>enų. Šiuo atveju dividendų irele</w:t>
      </w:r>
      <w:r>
        <w:t>vantiškumo hipotezė neturi stipraus empirinio pagrindo</w:t>
      </w:r>
      <w:r w:rsidR="00976498">
        <w:t xml:space="preserve">, todėl reiktų priimti alternatyviąją hipotezę dėl pastebimos dividendų naujienų </w:t>
      </w:r>
      <w:r w:rsidR="00942E38">
        <w:t>įtakos</w:t>
      </w:r>
      <w:r w:rsidR="00976498">
        <w:t xml:space="preserve"> akcijų </w:t>
      </w:r>
      <w:r w:rsidR="00942E38">
        <w:t>kainoms</w:t>
      </w:r>
      <w:r w:rsidR="0035197E">
        <w:t>;</w:t>
      </w:r>
    </w:p>
    <w:p w:rsidR="00D003BD" w:rsidRDefault="0035197E" w:rsidP="006500BF">
      <w:pPr>
        <w:pStyle w:val="ListParagraph"/>
        <w:numPr>
          <w:ilvl w:val="0"/>
          <w:numId w:val="45"/>
        </w:numPr>
        <w:ind w:left="493" w:hanging="425"/>
      </w:pPr>
      <w:r>
        <w:t>Nors dividendinio pajamingumo ir analizuojamų akcijų pelningumų reikšmių tarpusavio priklausomybė yra gana reikšminga, dividendinis pajamingumas reikšmingiausiai akcijų kainas įtakoja būtent dividendų paskelbimo dieną. Racionalių ir iracionalių lūkesčių atveju, akcijų kainų pokyčius kur kas reikšmingiau įtakoja neigiama dividendų išmokėjimo rodiklio reikšmė.</w:t>
      </w:r>
      <w:r w:rsidR="00D003BD">
        <w:t xml:space="preserve"> Neigiamos šio rodiklio reikšmės ir neigiama rodiklio reikšmė  momentinio signalo atveju, kuomet  individualūs efektai labiau laikytini fiksuotais, rodo</w:t>
      </w:r>
      <w:r w:rsidR="001855A1">
        <w:t>,</w:t>
      </w:r>
      <w:r w:rsidR="00D003BD">
        <w:t xml:space="preserve"> jog teorinė brandos stadijos hipotezė Baltijos šalių rinkoje neturi pagrindo, o išsivysčiusios</w:t>
      </w:r>
      <w:r w:rsidR="001855A1">
        <w:t xml:space="preserve"> įmonės</w:t>
      </w:r>
      <w:r w:rsidR="00D003BD">
        <w:t xml:space="preserve"> nepatiria mažesnės sisteminės rizikos;</w:t>
      </w:r>
    </w:p>
    <w:p w:rsidR="0035197E" w:rsidRDefault="00805428" w:rsidP="006500BF">
      <w:pPr>
        <w:pStyle w:val="ListParagraph"/>
        <w:numPr>
          <w:ilvl w:val="0"/>
          <w:numId w:val="45"/>
        </w:numPr>
        <w:ind w:left="493" w:hanging="425"/>
      </w:pPr>
      <w:r>
        <w:t>N</w:t>
      </w:r>
      <w:r w:rsidR="00D003BD">
        <w:t xml:space="preserve">epaskirstyto pelno rodiklis neigiamai veikia akcijų kainas,  tačiau gali būti reikšmingas tik iracionalių lūkesčių pagrindu, tuo tarpu nuosavo kapitalo grąža teigiamai įtakoja akcijų kainas momentinio signalo ir iracionalių lūkesčių atvejais. </w:t>
      </w:r>
      <w:r w:rsidR="00451C4A">
        <w:t>Teigiama ROE reikšmė</w:t>
      </w:r>
      <w:r w:rsidR="001855A1">
        <w:t xml:space="preserve"> regresijos lygtyje</w:t>
      </w:r>
      <w:r w:rsidR="00451C4A">
        <w:t xml:space="preserve"> rodo, jog įmonės vadovybė efektyviai panaudoja akcininkų lėšas, kas didina ir akcijos investicinę grąžą. </w:t>
      </w:r>
      <w:r w:rsidR="00D003BD">
        <w:t>Tuo tarpu EBITDA pokytis reikšmingai teigiamai veikia akcijų kainas racionalių lūkesčių atveju.</w:t>
      </w:r>
      <w:r w:rsidR="00451C4A">
        <w:t xml:space="preserve"> Teigiama EBITDA pokyčio reikšmė reiškia, teigiami apytikslių pinigų srautų pokyčiai, teigiamai įtakoją dividendinių akcijų pelningum</w:t>
      </w:r>
      <w:r w:rsidR="00942E38">
        <w:t>us</w:t>
      </w:r>
      <w:r w:rsidR="00451C4A">
        <w:t xml:space="preserve">. </w:t>
      </w:r>
      <w:r w:rsidR="00942E38">
        <w:t>Nustatyta, jog į</w:t>
      </w:r>
      <w:r w:rsidR="00451C4A">
        <w:t>monės dydžio ir rizikingumo (skolos) kriterijai regresijos lygtyje nepasižymi statistiškai reikšminga įtaka.</w:t>
      </w:r>
      <w:r w:rsidR="00942E38">
        <w:t xml:space="preserve"> Taip pat siūloma modeliuojant investicinius sprendimus atsižvelgti ir dividendų naujienų tipą – dividendinio pajamingumo sumažėjimo informacija reikšmingai neigiamai įtakoja akcijų pelningumus;</w:t>
      </w:r>
    </w:p>
    <w:p w:rsidR="002A2954" w:rsidRDefault="00942E38" w:rsidP="006500BF">
      <w:pPr>
        <w:pStyle w:val="ListParagraph"/>
        <w:numPr>
          <w:ilvl w:val="0"/>
          <w:numId w:val="45"/>
        </w:numPr>
        <w:ind w:left="493" w:hanging="425"/>
      </w:pPr>
      <w:r>
        <w:lastRenderedPageBreak/>
        <w:t>Siūlomi s</w:t>
      </w:r>
      <w:r w:rsidR="002A2954">
        <w:t xml:space="preserve">trateginiai dividendų modeliai pritaikytini </w:t>
      </w:r>
      <w:r w:rsidR="00D003BD">
        <w:t xml:space="preserve">tik </w:t>
      </w:r>
      <w:r w:rsidR="002A2954">
        <w:t>dividendų</w:t>
      </w:r>
      <w:r w:rsidR="00D003BD">
        <w:t xml:space="preserve"> </w:t>
      </w:r>
      <w:r w:rsidR="002A2954">
        <w:t>paskelbimo dieną ir 6 dienų intervalui nuo dividendų paskelbimo dienos, kuomet analizuojami kriterijai paaiškina daugiau kaip</w:t>
      </w:r>
      <w:r>
        <w:t xml:space="preserve"> pusę akcijų pelningumų pokyčių. Tokiu atveju</w:t>
      </w:r>
      <w:r w:rsidR="002A2954">
        <w:t xml:space="preserve"> </w:t>
      </w:r>
      <w:r>
        <w:t>galima tik</w:t>
      </w:r>
      <w:r w:rsidR="0035197E">
        <w:t xml:space="preserve"> </w:t>
      </w:r>
      <w:r w:rsidR="002A2954">
        <w:t xml:space="preserve">iš dalies </w:t>
      </w:r>
      <w:r>
        <w:t>priimti alternatyvią hipotezę</w:t>
      </w:r>
      <w:r w:rsidR="002A2954">
        <w:t xml:space="preserve"> dėl siūlomų strategijų pritaikomumo.</w:t>
      </w:r>
      <w:r w:rsidR="00976498">
        <w:t xml:space="preserve"> Investuotojams ir analitikams naudinga analizuoti strategines galimybes momentinio signalo ir iracionalių lūkesčių atvejais. Visgi</w:t>
      </w:r>
      <w:r w:rsidR="0035197E">
        <w:t>,</w:t>
      </w:r>
      <w:r w:rsidR="00976498">
        <w:t xml:space="preserve"> laikantis racionalios investavimo taktikos</w:t>
      </w:r>
      <w:r w:rsidR="0035197E">
        <w:t>,</w:t>
      </w:r>
      <w:r w:rsidR="00976498">
        <w:t xml:space="preserve"> </w:t>
      </w:r>
      <w:r w:rsidR="0035197E">
        <w:t>kuomet siekiama</w:t>
      </w:r>
      <w:r w:rsidR="00976498">
        <w:t xml:space="preserve"> nepatirti didesnių nuostolių dėl netikėtų neigiamų </w:t>
      </w:r>
      <w:r w:rsidR="0035197E">
        <w:t>naujienų bei atliekant investicinius sprendimus dar prieš dividendų paskelbimo dieną, siūlomas modelis nėra efektyvus. Kadangi trijų dienų prieš dividendų paskelbimą ir 1 dienos po dividendų paskelbimo intervale yra palygintinai mažesnė pelningumų svyravimų amplitudė, tikėtina, jog būtent dėl to</w:t>
      </w:r>
      <w:r>
        <w:t xml:space="preserve">  kriterijų reikšmės negali tinkamai interpretuoti</w:t>
      </w:r>
      <w:r w:rsidR="0035197E">
        <w:t xml:space="preserve"> mažai reikšmingų kainų pokyčių.</w:t>
      </w:r>
      <w:r>
        <w:t xml:space="preserve"> </w:t>
      </w:r>
      <w:r w:rsidR="001855A1">
        <w:t>P</w:t>
      </w:r>
      <w:r>
        <w:t>rieš imantis tam tikrų strateginių sprendimų, tikslinga atsižvelgti kaip ir kokie dividendų politikos veiksniai, kartu su kontroliuojančiais kriterijais, įtakoja akcijų kainas atitinkamais periodais, įvertinus a</w:t>
      </w:r>
      <w:r w:rsidR="001855A1">
        <w:t>r individualūs modelio efektai</w:t>
      </w:r>
      <w:r>
        <w:t xml:space="preserve"> laikytini atsitiktiniais ar fiksuotais.</w:t>
      </w:r>
    </w:p>
    <w:p w:rsidR="0067558C" w:rsidRPr="0067558C" w:rsidRDefault="0067558C" w:rsidP="00FC6A12">
      <w:pPr>
        <w:rPr>
          <w:i/>
        </w:rPr>
      </w:pPr>
      <w:r w:rsidRPr="0067558C">
        <w:rPr>
          <w:i/>
        </w:rPr>
        <w:t>Pagrindiniai siūlymai:</w:t>
      </w:r>
    </w:p>
    <w:p w:rsidR="00FC6A12" w:rsidRDefault="00942E38" w:rsidP="0067558C">
      <w:pPr>
        <w:pStyle w:val="ListParagraph"/>
        <w:numPr>
          <w:ilvl w:val="0"/>
          <w:numId w:val="43"/>
        </w:numPr>
        <w:ind w:left="567" w:hanging="501"/>
      </w:pPr>
      <w:r>
        <w:t>Autoriaus nuomone</w:t>
      </w:r>
      <w:r w:rsidR="00130044">
        <w:t xml:space="preserve"> tyrimo rezultatams tam tikros</w:t>
      </w:r>
      <w:r w:rsidR="005B00AC">
        <w:t xml:space="preserve"> </w:t>
      </w:r>
      <w:r w:rsidR="00130044">
        <w:t xml:space="preserve">įtakos turėjo dividendų neišmokėjimo ir inicijavimo informacija. </w:t>
      </w:r>
      <w:r w:rsidR="00FC6A12">
        <w:t>Tolimesnei analizei siūloma dar labiau s</w:t>
      </w:r>
      <w:r w:rsidR="00130044">
        <w:t>usiaurinti atrinktų įmonių imtį</w:t>
      </w:r>
      <w:r w:rsidR="00CC7439">
        <w:t>: apsiriboti</w:t>
      </w:r>
      <w:r w:rsidR="00FC6A12">
        <w:t xml:space="preserve"> ties tomis įmonėmis, kurios yra pastovesnės dividendų mokėtojos, tam, kad detaliau išanalizuoti dividendų pajamingumo pokyčių įtaką akcijų kainoms ir eliminuoti dividendų neišmokėjimo ir dividendų inicijavimo informacijos efektus, kurie ne visais atvejais pasire</w:t>
      </w:r>
      <w:r w:rsidR="005B00AC">
        <w:t>iškia adekvačiai bei yra sunkiau</w:t>
      </w:r>
      <w:r w:rsidR="00FC6A12">
        <w:t xml:space="preserve"> prognozuojami.</w:t>
      </w:r>
      <w:r w:rsidR="00130044" w:rsidRPr="00130044">
        <w:t xml:space="preserve"> </w:t>
      </w:r>
      <w:r w:rsidR="00130044">
        <w:t xml:space="preserve">Autoriaus nuomone, įmonės akcininkų struktūra </w:t>
      </w:r>
      <w:r w:rsidR="00B66FEE">
        <w:t xml:space="preserve">taip pat </w:t>
      </w:r>
      <w:r w:rsidR="00130044">
        <w:t xml:space="preserve">gali turėti reikšmingą įtaką įmonės dividendų politikai ir tuo pačiu </w:t>
      </w:r>
      <w:r w:rsidR="00B66FEE">
        <w:t>reikšmingai įtakoti</w:t>
      </w:r>
      <w:r w:rsidR="00130044">
        <w:t xml:space="preserve"> akcijų kain</w:t>
      </w:r>
      <w:r w:rsidR="00B66FEE">
        <w:t>as</w:t>
      </w:r>
      <w:r w:rsidR="00130044">
        <w:t xml:space="preserve"> dividendų paskelbimo dienomis.</w:t>
      </w:r>
    </w:p>
    <w:p w:rsidR="00B66FEE" w:rsidRDefault="00B66FEE" w:rsidP="0067558C">
      <w:pPr>
        <w:pStyle w:val="ListParagraph"/>
        <w:numPr>
          <w:ilvl w:val="0"/>
          <w:numId w:val="43"/>
        </w:numPr>
        <w:ind w:left="567" w:hanging="501"/>
      </w:pPr>
      <w:r>
        <w:t>Autorius siūlo tolimesniuose tyrimuose įvertinti ilgalaikės dividendinio investavimo strategijos galimybes, praplečiant tiriamo laikotarpio ribas</w:t>
      </w:r>
      <w:r w:rsidRPr="00130044">
        <w:t xml:space="preserve"> </w:t>
      </w:r>
      <w:r>
        <w:t>ir į analizę įtraukiant prekybos dienomis generuojamas apyva</w:t>
      </w:r>
      <w:r w:rsidR="006500BF">
        <w:t>r</w:t>
      </w:r>
      <w:r>
        <w:t>tas, bei patikrinti, kaip Baltijos šalių įmonių dividendų politika įtakoja jų akcijų kainas ilgesniu laikotarpiu (pvz. 61 prekybos dienos), kuomet į laikotarpį patenka ir dividendų išmokėjimo dienos.</w:t>
      </w:r>
    </w:p>
    <w:p w:rsidR="00FC6A12" w:rsidRDefault="00FC6A12" w:rsidP="00FC6A12">
      <w:pPr>
        <w:autoSpaceDE w:val="0"/>
        <w:autoSpaceDN w:val="0"/>
        <w:adjustRightInd w:val="0"/>
        <w:spacing w:before="0" w:line="240" w:lineRule="auto"/>
        <w:ind w:firstLine="0"/>
        <w:jc w:val="left"/>
        <w:rPr>
          <w:rFonts w:ascii="Times-Roman" w:hAnsi="Times-Roman" w:cs="Times-Roman"/>
          <w:szCs w:val="24"/>
        </w:rPr>
      </w:pPr>
    </w:p>
    <w:p w:rsidR="00E16CC4" w:rsidRPr="00942E38" w:rsidRDefault="00E16CC4" w:rsidP="00942E38">
      <w:pPr>
        <w:spacing w:before="0" w:after="200" w:line="276" w:lineRule="auto"/>
        <w:ind w:firstLine="0"/>
        <w:jc w:val="left"/>
        <w:rPr>
          <w:rFonts w:eastAsiaTheme="majorEastAsia" w:cstheme="majorBidi"/>
          <w:b/>
          <w:bCs/>
          <w:caps/>
          <w:sz w:val="28"/>
          <w:szCs w:val="28"/>
        </w:rPr>
      </w:pPr>
    </w:p>
    <w:p w:rsidR="00E16CC4" w:rsidRDefault="00E16CC4" w:rsidP="00E16CC4">
      <w:pPr>
        <w:rPr>
          <w:rFonts w:eastAsiaTheme="majorEastAsia" w:cstheme="majorBidi"/>
          <w:sz w:val="28"/>
          <w:szCs w:val="28"/>
        </w:rPr>
      </w:pPr>
      <w:r>
        <w:br w:type="page"/>
      </w:r>
    </w:p>
    <w:p w:rsidR="00FC6A12" w:rsidRDefault="00FC6A12" w:rsidP="00FC6A12">
      <w:pPr>
        <w:pStyle w:val="Heading1"/>
      </w:pPr>
      <w:bookmarkStart w:id="131" w:name="_Toc343677766"/>
      <w:r>
        <w:lastRenderedPageBreak/>
        <w:t>LITERATŪR</w:t>
      </w:r>
      <w:r w:rsidR="00E16CC4">
        <w:t>A</w:t>
      </w:r>
      <w:bookmarkEnd w:id="131"/>
    </w:p>
    <w:p w:rsidR="00F2356C" w:rsidRPr="00F2356C" w:rsidRDefault="00F2356C" w:rsidP="00F2356C">
      <w:pPr>
        <w:pStyle w:val="ListParagraph"/>
        <w:numPr>
          <w:ilvl w:val="0"/>
          <w:numId w:val="34"/>
        </w:numPr>
        <w:jc w:val="left"/>
        <w:rPr>
          <w:rFonts w:ascii="CMR10" w:hAnsi="CMR10" w:cs="CMR10"/>
          <w:sz w:val="22"/>
        </w:rPr>
      </w:pPr>
      <w:r w:rsidRPr="00F2356C">
        <w:rPr>
          <w:b/>
        </w:rPr>
        <w:t>Adkins L. C.</w:t>
      </w:r>
      <w:r>
        <w:t xml:space="preserve"> Using </w:t>
      </w:r>
      <w:r w:rsidRPr="00F2356C">
        <w:rPr>
          <w:rFonts w:ascii="CMBX12" w:hAnsi="CMBX12" w:cs="CMBX12"/>
        </w:rPr>
        <w:t xml:space="preserve">Gretl </w:t>
      </w:r>
      <w:r>
        <w:t xml:space="preserve">for Principles of Econometrics – Boston: </w:t>
      </w:r>
      <w:r w:rsidRPr="00F2356C">
        <w:rPr>
          <w:rFonts w:ascii="CMR10" w:hAnsi="CMR10" w:cs="CMR10"/>
          <w:sz w:val="22"/>
        </w:rPr>
        <w:t>Free Software Foundation,</w:t>
      </w:r>
      <w:r>
        <w:t xml:space="preserve"> 2012, vol. 4, No</w:t>
      </w:r>
      <w:r w:rsidRPr="00C9179B">
        <w:t xml:space="preserve"> 1</w:t>
      </w:r>
      <w:r>
        <w:t xml:space="preserve"> (</w:t>
      </w:r>
      <w:r w:rsidRPr="00C9179B">
        <w:t>3</w:t>
      </w:r>
      <w:r w:rsidRPr="00F2356C">
        <w:rPr>
          <w:rFonts w:ascii="CMR12" w:hAnsi="CMR12" w:cs="CMR12"/>
          <w:szCs w:val="24"/>
        </w:rPr>
        <w:t xml:space="preserve">)., p. 345-372 – URL: http://www.learneconometrics.com/gretl/using_gretl_for_POE4.pdf </w:t>
      </w:r>
    </w:p>
    <w:p w:rsidR="00F2356C" w:rsidRPr="00F2356C" w:rsidRDefault="00F2356C" w:rsidP="00F2356C">
      <w:pPr>
        <w:pStyle w:val="ListParagraph"/>
        <w:numPr>
          <w:ilvl w:val="0"/>
          <w:numId w:val="34"/>
        </w:numPr>
        <w:rPr>
          <w:b/>
        </w:rPr>
      </w:pPr>
      <w:r w:rsidRPr="00F2356C">
        <w:rPr>
          <w:b/>
        </w:rPr>
        <w:t xml:space="preserve">Aleknevičienė V. ir kt. </w:t>
      </w:r>
      <w:r w:rsidRPr="00EE3655">
        <w:t>The Research</w:t>
      </w:r>
      <w:r w:rsidRPr="00F2356C">
        <w:rPr>
          <w:b/>
        </w:rPr>
        <w:t xml:space="preserve"> </w:t>
      </w:r>
      <w:r>
        <w:t>of Dividend Signalling Effect o</w:t>
      </w:r>
      <w:r w:rsidRPr="00EE3655">
        <w:t>n Lithuanian Share Market</w:t>
      </w:r>
      <w:r>
        <w:t xml:space="preserve"> // Organizacijų vadyba: Sisteminiai tyrimai = </w:t>
      </w:r>
      <w:r w:rsidRPr="004E0002">
        <w:t>Management of Organizations: Systematic Resear</w:t>
      </w:r>
      <w:r>
        <w:t>ch – Kaunas: Vytauto Didžiojo universitetas, 2003, No. 28, p. 7-19 – ISSN: 1648-6234</w:t>
      </w:r>
    </w:p>
    <w:p w:rsidR="00F2356C" w:rsidRPr="00F2356C" w:rsidRDefault="00F2356C" w:rsidP="00F2356C">
      <w:pPr>
        <w:pStyle w:val="ListParagraph"/>
        <w:numPr>
          <w:ilvl w:val="0"/>
          <w:numId w:val="34"/>
        </w:numPr>
        <w:rPr>
          <w:szCs w:val="24"/>
        </w:rPr>
      </w:pPr>
      <w:r w:rsidRPr="00F2356C">
        <w:rPr>
          <w:b/>
          <w:szCs w:val="24"/>
        </w:rPr>
        <w:t>Allen D. E., Rachim, V. S.</w:t>
      </w:r>
      <w:r w:rsidRPr="00F2356C">
        <w:rPr>
          <w:szCs w:val="24"/>
        </w:rPr>
        <w:t xml:space="preserve"> Dividend Policy and Stock Price Volatility: Australian evidence // Applied Financial Economics – Oxfordshire: Routledge, 1996, vol. 6,  No. 2,  p. 175-188. - DOI:10.1080/096031096334402</w:t>
      </w:r>
    </w:p>
    <w:p w:rsidR="00F2356C" w:rsidRPr="00F2356C" w:rsidRDefault="00F2356C" w:rsidP="00F2356C">
      <w:pPr>
        <w:pStyle w:val="ListParagraph"/>
        <w:numPr>
          <w:ilvl w:val="0"/>
          <w:numId w:val="34"/>
        </w:numPr>
        <w:rPr>
          <w:lang w:val="en-US"/>
        </w:rPr>
      </w:pPr>
      <w:r w:rsidRPr="00F2356C">
        <w:rPr>
          <w:b/>
          <w:lang w:val="en-US"/>
        </w:rPr>
        <w:t xml:space="preserve">Amihud Y., Li K. </w:t>
      </w:r>
      <w:r w:rsidRPr="00F2356C">
        <w:rPr>
          <w:lang w:val="en-US"/>
        </w:rPr>
        <w:t>The Declining Information Content of Dividend Announcements and the Effects of Institutional Holdings</w:t>
      </w:r>
      <w:r w:rsidRPr="00F2356C">
        <w:rPr>
          <w:b/>
          <w:lang w:val="en-US"/>
        </w:rPr>
        <w:t xml:space="preserve"> //</w:t>
      </w:r>
      <w:r w:rsidRPr="00F2356C">
        <w:rPr>
          <w:lang w:val="en-US"/>
        </w:rPr>
        <w:t xml:space="preserve"> Journal of Financial &amp; Quantitative Analysis – Cambridge: Cambridge University Press, 2006, vol. 41, No. 3, p. 637-660. - ISSN: 00221090</w:t>
      </w:r>
    </w:p>
    <w:p w:rsidR="00F2356C" w:rsidRPr="00F2356C" w:rsidRDefault="00F2356C" w:rsidP="00F2356C">
      <w:pPr>
        <w:pStyle w:val="ListParagraph"/>
        <w:numPr>
          <w:ilvl w:val="0"/>
          <w:numId w:val="34"/>
        </w:numPr>
        <w:rPr>
          <w:lang w:val="en-US"/>
        </w:rPr>
      </w:pPr>
      <w:r w:rsidRPr="00F2356C">
        <w:rPr>
          <w:b/>
          <w:lang w:val="en-US"/>
        </w:rPr>
        <w:t xml:space="preserve">Anderson W. </w:t>
      </w:r>
      <w:r w:rsidRPr="00F2356C">
        <w:rPr>
          <w:lang w:val="en-US"/>
        </w:rPr>
        <w:t>Alternative Event Study Methodology for Detecting Dividend Signals in The Context of Joint Dividend and Earnings Announcements // Accounting &amp; Finance – Oxford:  Wiley-Blackwell, 2009, vol. 49, No. 2, p. 247-265. - DOI: 10.1111/j.1467-629X.2008.00289.x</w:t>
      </w:r>
    </w:p>
    <w:p w:rsidR="00F2356C" w:rsidRDefault="00F2356C" w:rsidP="00F2356C">
      <w:pPr>
        <w:pStyle w:val="ListParagraph"/>
        <w:numPr>
          <w:ilvl w:val="0"/>
          <w:numId w:val="34"/>
        </w:numPr>
      </w:pPr>
      <w:r w:rsidRPr="00F2356C">
        <w:rPr>
          <w:b/>
        </w:rPr>
        <w:t>Asghar M., et al.</w:t>
      </w:r>
      <w:r>
        <w:t xml:space="preserve"> Impact of Dividend Policy on Stock Price Risk: Empirical Evidence from Equity Market of Pakistan // Far East Journal of Psychology &amp; Business – Hong Kong: </w:t>
      </w:r>
      <w:r w:rsidRPr="00EC2D11">
        <w:t>Far East Research Centre</w:t>
      </w:r>
      <w:r>
        <w:t>, 2011, vol. 4, No. 1, p. 45-52. – ISSN: 22195440.</w:t>
      </w:r>
    </w:p>
    <w:p w:rsidR="00F2356C" w:rsidRPr="00F2356C" w:rsidRDefault="00F2356C" w:rsidP="00F2356C">
      <w:pPr>
        <w:pStyle w:val="ListParagraph"/>
        <w:numPr>
          <w:ilvl w:val="0"/>
          <w:numId w:val="34"/>
        </w:numPr>
        <w:rPr>
          <w:lang w:val="en-US"/>
        </w:rPr>
      </w:pPr>
      <w:r w:rsidRPr="00F2356C">
        <w:rPr>
          <w:b/>
          <w:szCs w:val="24"/>
        </w:rPr>
        <w:t xml:space="preserve">Baker H. K., Powell G. E. </w:t>
      </w:r>
      <w:r>
        <w:t xml:space="preserve">Determinants of </w:t>
      </w:r>
      <w:r w:rsidRPr="0088375E">
        <w:t>Corporate</w:t>
      </w:r>
      <w:r>
        <w:t xml:space="preserve"> </w:t>
      </w:r>
      <w:r w:rsidRPr="0088375E">
        <w:t>Dividend Policy: A Survey of</w:t>
      </w:r>
      <w:r>
        <w:t xml:space="preserve"> </w:t>
      </w:r>
      <w:r w:rsidRPr="0088375E">
        <w:t>NYSE Firms</w:t>
      </w:r>
      <w:r>
        <w:t xml:space="preserve"> // Financial Practice and E</w:t>
      </w:r>
      <w:r w:rsidRPr="0088375E">
        <w:t>ducation</w:t>
      </w:r>
      <w:r>
        <w:t xml:space="preserve"> – Tampa FL: </w:t>
      </w:r>
      <w:r w:rsidRPr="0081337B">
        <w:t>Financial Management Association</w:t>
      </w:r>
      <w:r>
        <w:t>, 2000,</w:t>
      </w:r>
      <w:r w:rsidRPr="0081337B">
        <w:t xml:space="preserve"> </w:t>
      </w:r>
      <w:r>
        <w:t>vol. 9, No. 1, p. 22-40. - ISSN: 10820698</w:t>
      </w:r>
    </w:p>
    <w:p w:rsidR="00F2356C" w:rsidRPr="00F2356C" w:rsidRDefault="00F2356C" w:rsidP="00F2356C">
      <w:pPr>
        <w:pStyle w:val="ListParagraph"/>
        <w:numPr>
          <w:ilvl w:val="0"/>
          <w:numId w:val="34"/>
        </w:numPr>
        <w:jc w:val="left"/>
        <w:rPr>
          <w:lang w:val="en-US"/>
        </w:rPr>
      </w:pPr>
      <w:r w:rsidRPr="00F2356C">
        <w:rPr>
          <w:b/>
          <w:lang w:val="en-US"/>
        </w:rPr>
        <w:t xml:space="preserve">Baker M., Wurgler J. </w:t>
      </w:r>
      <w:r w:rsidRPr="00F2356C">
        <w:rPr>
          <w:lang w:val="en-US"/>
        </w:rPr>
        <w:t>A Catering Theory of Dividends // Journal of Finance – Oxford: Wiley-Blackwell, 2004, vol. 59, No. 3, p. 1125-1165. – URL: http://pages.stern.nyu.edu/~jwurgler/papers/wurgler_baker_dividends.pdf</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Balestra P., Nerlove M. </w:t>
      </w:r>
      <w:r w:rsidRPr="00F2356C">
        <w:rPr>
          <w:rFonts w:cs="Times New Roman"/>
          <w:szCs w:val="24"/>
        </w:rPr>
        <w:t xml:space="preserve">Pooling Cross-Section and Time-Series Data in the Estimation of a Dynamic Model: The Demand for Natural Gas // </w:t>
      </w:r>
      <w:r w:rsidRPr="00F2356C">
        <w:rPr>
          <w:rFonts w:cs="Times New Roman"/>
          <w:iCs/>
          <w:szCs w:val="24"/>
        </w:rPr>
        <w:t xml:space="preserve">Econometrica – Oxford: Wiley-Blackwell, </w:t>
      </w:r>
      <w:r w:rsidRPr="00F2356C">
        <w:rPr>
          <w:rFonts w:cs="Times New Roman"/>
          <w:szCs w:val="24"/>
        </w:rPr>
        <w:t xml:space="preserve">1966, </w:t>
      </w:r>
      <w:r w:rsidRPr="00F2356C">
        <w:rPr>
          <w:rFonts w:cs="Times New Roman"/>
          <w:iCs/>
          <w:szCs w:val="24"/>
        </w:rPr>
        <w:t>vol.</w:t>
      </w:r>
      <w:r w:rsidRPr="00F2356C">
        <w:rPr>
          <w:rFonts w:cs="Times New Roman"/>
          <w:i/>
          <w:iCs/>
          <w:szCs w:val="24"/>
        </w:rPr>
        <w:t xml:space="preserve"> </w:t>
      </w:r>
      <w:r w:rsidRPr="00F2356C">
        <w:rPr>
          <w:rFonts w:cs="Times New Roman"/>
          <w:szCs w:val="24"/>
        </w:rPr>
        <w:t>34, No. 4, p. 585-612. - ISSN: 00129682</w:t>
      </w:r>
    </w:p>
    <w:p w:rsidR="00F2356C" w:rsidRPr="00F2356C" w:rsidRDefault="00F2356C" w:rsidP="00F2356C">
      <w:pPr>
        <w:pStyle w:val="ListParagraph"/>
        <w:numPr>
          <w:ilvl w:val="0"/>
          <w:numId w:val="34"/>
        </w:numPr>
        <w:rPr>
          <w:lang w:val="en-US"/>
        </w:rPr>
      </w:pPr>
      <w:r w:rsidRPr="00F2356C">
        <w:rPr>
          <w:b/>
        </w:rPr>
        <w:t xml:space="preserve">Banerjee S., et al. </w:t>
      </w:r>
      <w:r w:rsidRPr="00F2356C">
        <w:rPr>
          <w:lang w:val="en-US"/>
        </w:rPr>
        <w:t>Stock Market Liquidity and Firms Dividend Policy // Journal of Financial &amp; Quantitative Analysis – Cambridge: Cambridge University Press, 2007, vol. 42, No. 2, p. 369-397. - ISSN: 00221090</w:t>
      </w:r>
    </w:p>
    <w:p w:rsidR="00F2356C" w:rsidRPr="00F2356C" w:rsidRDefault="00F2356C" w:rsidP="00F2356C">
      <w:pPr>
        <w:pStyle w:val="ListParagraph"/>
        <w:numPr>
          <w:ilvl w:val="0"/>
          <w:numId w:val="34"/>
        </w:numPr>
        <w:rPr>
          <w:szCs w:val="24"/>
        </w:rPr>
      </w:pPr>
      <w:r w:rsidRPr="00F2356C">
        <w:rPr>
          <w:b/>
          <w:szCs w:val="24"/>
        </w:rPr>
        <w:lastRenderedPageBreak/>
        <w:t>Baskin J.</w:t>
      </w:r>
      <w:r w:rsidRPr="00F2356C">
        <w:rPr>
          <w:szCs w:val="24"/>
        </w:rPr>
        <w:t xml:space="preserve"> Dividend Policy and The Volatility of Common Stocks // Journal of Portfolio Management – London: Euromoney Institutional Investor PLC, 1989, vol. 15, No. 3, p. 19-25. - ISSN: 00954918</w:t>
      </w:r>
    </w:p>
    <w:p w:rsidR="00F2356C" w:rsidRPr="00F2356C" w:rsidRDefault="00F2356C" w:rsidP="00F2356C">
      <w:pPr>
        <w:pStyle w:val="ListParagraph"/>
        <w:numPr>
          <w:ilvl w:val="0"/>
          <w:numId w:val="34"/>
        </w:numPr>
        <w:rPr>
          <w:bCs/>
        </w:rPr>
      </w:pPr>
      <w:r w:rsidRPr="00F2356C">
        <w:rPr>
          <w:b/>
          <w:bCs/>
        </w:rPr>
        <w:t xml:space="preserve">Becker B., et al. </w:t>
      </w:r>
      <w:r w:rsidRPr="00F2356C">
        <w:rPr>
          <w:bCs/>
        </w:rPr>
        <w:t>Local Dividend Clienteles // Journal of Finance, 2011, vol. 66, No. 2, p. 655-683. - ISSN: 00221082</w:t>
      </w:r>
    </w:p>
    <w:p w:rsidR="00F2356C" w:rsidRPr="00F2356C" w:rsidRDefault="00F2356C" w:rsidP="00F2356C">
      <w:pPr>
        <w:pStyle w:val="ListParagraph"/>
        <w:numPr>
          <w:ilvl w:val="0"/>
          <w:numId w:val="34"/>
        </w:numPr>
        <w:rPr>
          <w:rFonts w:cs="Times New Roman"/>
        </w:rPr>
      </w:pPr>
      <w:r w:rsidRPr="00F2356C">
        <w:rPr>
          <w:rFonts w:cs="Times New Roman"/>
          <w:b/>
        </w:rPr>
        <w:t xml:space="preserve">Black F. </w:t>
      </w:r>
      <w:r w:rsidRPr="00F2356C">
        <w:rPr>
          <w:rFonts w:cs="Times New Roman"/>
        </w:rPr>
        <w:t>The Dividend Puzzle // Journal of Portfolio Management – London: Euromoney Institutional Investor PLC, 1976, vol. 2, No. 2, p. 5-8. - ISSN: 00954918</w:t>
      </w:r>
    </w:p>
    <w:p w:rsidR="00F2356C" w:rsidRPr="00F2356C" w:rsidRDefault="00F2356C" w:rsidP="00F2356C">
      <w:pPr>
        <w:pStyle w:val="ListParagraph"/>
        <w:numPr>
          <w:ilvl w:val="0"/>
          <w:numId w:val="34"/>
        </w:numPr>
        <w:rPr>
          <w:b/>
        </w:rPr>
      </w:pPr>
      <w:r w:rsidRPr="00F2356C">
        <w:rPr>
          <w:b/>
        </w:rPr>
        <w:t xml:space="preserve">Bougatef K. </w:t>
      </w:r>
      <w:r w:rsidRPr="008E5497">
        <w:t>How Do Dividend Payments Affect Stock Prices? The Case of Tunisian Firms</w:t>
      </w:r>
      <w:r>
        <w:t xml:space="preserve"> // The Journal of Commerce – Punjab: Hailey College of Commerce, University of Punjab, 2011, vol. 3, No. 2, p. 21-25. – ISSN: 2218-8118, 2220-6043</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Brzeszczyński J., Gajdka J.</w:t>
      </w:r>
      <w:r w:rsidRPr="00F2356C">
        <w:rPr>
          <w:rFonts w:cs="Times New Roman"/>
          <w:szCs w:val="24"/>
        </w:rPr>
        <w:t xml:space="preserve"> Dividend-Driven Trading Strategies: Evidence from the Warsaw Stock Exchange // International Advances in Economic Research – Dordrecht: Springer Science &amp; Business Media B.V., 2007 vol. 13, No. 3, p. 285-300. - ISSN: 10830898 - DOI 10.1007/s11294-007-9077-z</w:t>
      </w:r>
    </w:p>
    <w:p w:rsidR="00F2356C" w:rsidRPr="00F2356C" w:rsidRDefault="00F2356C" w:rsidP="00F2356C">
      <w:pPr>
        <w:pStyle w:val="ListParagraph"/>
        <w:numPr>
          <w:ilvl w:val="0"/>
          <w:numId w:val="34"/>
        </w:numPr>
        <w:rPr>
          <w:lang w:val="en-US"/>
        </w:rPr>
      </w:pPr>
      <w:r w:rsidRPr="00F2356C">
        <w:rPr>
          <w:b/>
          <w:lang w:val="en-US"/>
        </w:rPr>
        <w:t xml:space="preserve">Chahyadi C. S., Salas, J. M. </w:t>
      </w:r>
      <w:r w:rsidRPr="00F2356C">
        <w:rPr>
          <w:lang w:val="en-US"/>
        </w:rPr>
        <w:t xml:space="preserve">Not Paying Dividends? A Decomposition of the Decline in Dividend Payers // Journal of Economics and Finance – Dordrecht: Springer Science &amp; Business Media B.V., 2012, vol. 36, No. 2, p. 443-462. - ISSN: </w:t>
      </w:r>
      <w:r w:rsidRPr="00E62962">
        <w:t>10550925</w:t>
      </w:r>
      <w:r>
        <w:t xml:space="preserve"> -</w:t>
      </w:r>
      <w:r w:rsidRPr="00E62962">
        <w:t xml:space="preserve"> DOI</w:t>
      </w:r>
      <w:r>
        <w:t>:</w:t>
      </w:r>
      <w:r w:rsidRPr="00E62962">
        <w:t xml:space="preserve"> 10.1007/s12197-010-9132-0</w:t>
      </w:r>
    </w:p>
    <w:p w:rsidR="00F2356C" w:rsidRPr="00F2356C" w:rsidRDefault="00F2356C" w:rsidP="00F2356C">
      <w:pPr>
        <w:pStyle w:val="ListParagraph"/>
        <w:numPr>
          <w:ilvl w:val="0"/>
          <w:numId w:val="34"/>
        </w:numPr>
        <w:rPr>
          <w:b/>
          <w:lang w:val="en-US"/>
        </w:rPr>
      </w:pPr>
      <w:r w:rsidRPr="00F2356C">
        <w:rPr>
          <w:b/>
          <w:lang w:val="en-US"/>
        </w:rPr>
        <w:t xml:space="preserve">Chiang K., et al. </w:t>
      </w:r>
      <w:r w:rsidRPr="00F2356C">
        <w:rPr>
          <w:lang w:val="en-US"/>
        </w:rPr>
        <w:t>The Perception of Dividends by Professional Investors // Managerial Finance  – Bingley: Emerald Group Publishing Limited, 2006, vol. 32, No. 1, p. 60-81. - DOI 10.1108/03074350610641875</w:t>
      </w:r>
    </w:p>
    <w:p w:rsidR="00F2356C" w:rsidRPr="00F2356C" w:rsidRDefault="00F2356C" w:rsidP="00F2356C">
      <w:pPr>
        <w:pStyle w:val="ListParagraph"/>
        <w:numPr>
          <w:ilvl w:val="0"/>
          <w:numId w:val="34"/>
        </w:numPr>
        <w:rPr>
          <w:lang w:val="en-US"/>
        </w:rPr>
      </w:pPr>
      <w:r w:rsidRPr="00F2356C">
        <w:rPr>
          <w:b/>
          <w:lang w:val="en-US"/>
        </w:rPr>
        <w:t xml:space="preserve">Cohen G., Yagil J. </w:t>
      </w:r>
      <w:r w:rsidRPr="00F2356C">
        <w:rPr>
          <w:lang w:val="en-US"/>
        </w:rPr>
        <w:t>On the Catering Theory of Dividends and the Linkage between Investment // International Research Journal of Finance and Economics – Via Mesin: EuroJournals, Inc., 2008, No. 17, p. 33-39. - ISSN: 14502887</w:t>
      </w:r>
    </w:p>
    <w:p w:rsidR="00F2356C" w:rsidRPr="00F2356C" w:rsidRDefault="00F2356C" w:rsidP="00F2356C">
      <w:pPr>
        <w:pStyle w:val="ListParagraph"/>
        <w:numPr>
          <w:ilvl w:val="0"/>
          <w:numId w:val="34"/>
        </w:numPr>
        <w:rPr>
          <w:rFonts w:cs="Times New Roman"/>
          <w:szCs w:val="24"/>
          <w:lang w:val="en-US"/>
        </w:rPr>
      </w:pPr>
      <w:r w:rsidRPr="00F2356C">
        <w:rPr>
          <w:rFonts w:cs="Times New Roman"/>
          <w:b/>
          <w:szCs w:val="24"/>
          <w:lang w:val="en-US"/>
        </w:rPr>
        <w:t xml:space="preserve">Da Silva A. L. C. </w:t>
      </w:r>
      <w:r w:rsidRPr="00F2356C">
        <w:rPr>
          <w:rFonts w:cs="Times New Roman"/>
          <w:szCs w:val="24"/>
          <w:lang w:val="en-US"/>
        </w:rPr>
        <w:t>Empirical Tests of the Dogs of the Dow Strategy in Latin American Stock Markets // International Review of Financial Analysis – Oxford: Elsevier Science, 2001, vol. 10, No. 2, p. 187-199. - ISSN: 10575219</w:t>
      </w:r>
    </w:p>
    <w:p w:rsidR="00F2356C" w:rsidRPr="0056704D" w:rsidRDefault="00F2356C" w:rsidP="00F2356C">
      <w:pPr>
        <w:pStyle w:val="ListParagraph"/>
        <w:numPr>
          <w:ilvl w:val="0"/>
          <w:numId w:val="34"/>
        </w:numPr>
      </w:pPr>
      <w:r w:rsidRPr="00F2356C">
        <w:rPr>
          <w:b/>
        </w:rPr>
        <w:t>Darškuvienė V.</w:t>
      </w:r>
      <w:r>
        <w:t xml:space="preserve"> Įmonių finansinė analizė. Rodiklių skaičiavimo metodika (leidinys) – Vilnius: Vertybinių popierių birža Nasdaq OMX Vilnius, 2010. -</w:t>
      </w:r>
      <w:r w:rsidRPr="0056704D">
        <w:t xml:space="preserve"> </w:t>
      </w:r>
      <w:r>
        <w:t xml:space="preserve">URL: </w:t>
      </w:r>
      <w:r w:rsidRPr="0056704D">
        <w:t>http://www.nasdaqomxbaltic.com/files/vilnius/leidiniai/Rodikliu_skaiciavimo_metodika-final.pdf</w:t>
      </w:r>
      <w:r>
        <w:t xml:space="preserve"> [žiūrėta 2012.12.16] - </w:t>
      </w:r>
      <w:r w:rsidRPr="0056704D">
        <w:t>ISBN</w:t>
      </w:r>
      <w:r>
        <w:t>:</w:t>
      </w:r>
      <w:r w:rsidRPr="0056704D">
        <w:t xml:space="preserve"> 978-609-95195-0-0</w:t>
      </w:r>
    </w:p>
    <w:p w:rsidR="00F2356C" w:rsidRPr="00F2356C" w:rsidRDefault="00F2356C" w:rsidP="00F2356C">
      <w:pPr>
        <w:pStyle w:val="ListParagraph"/>
        <w:numPr>
          <w:ilvl w:val="0"/>
          <w:numId w:val="34"/>
        </w:numPr>
        <w:rPr>
          <w:lang w:val="en-US"/>
        </w:rPr>
      </w:pPr>
      <w:r w:rsidRPr="00F2356C">
        <w:rPr>
          <w:b/>
          <w:lang w:val="en-US"/>
        </w:rPr>
        <w:t xml:space="preserve">Daujotė D., Piniauskaitė R. </w:t>
      </w:r>
      <w:r w:rsidRPr="00F2356C">
        <w:rPr>
          <w:rFonts w:cs="Times New Roman"/>
          <w:bCs/>
          <w:szCs w:val="24"/>
        </w:rPr>
        <w:t>Fizinio asmens investicijų portfelio formavimo strategijos pasirinkimas ir rizikos</w:t>
      </w:r>
      <w:r w:rsidRPr="00F2356C">
        <w:rPr>
          <w:rFonts w:ascii="TimesNewRomanPS-BoldMT" w:hAnsi="TimesNewRomanPS-BoldMT" w:cs="TimesNewRomanPS-BoldMT"/>
          <w:b/>
          <w:bCs/>
          <w:sz w:val="32"/>
          <w:szCs w:val="32"/>
        </w:rPr>
        <w:t xml:space="preserve"> </w:t>
      </w:r>
      <w:r w:rsidRPr="00F2356C">
        <w:rPr>
          <w:rFonts w:cs="Times New Roman"/>
          <w:bCs/>
          <w:szCs w:val="24"/>
        </w:rPr>
        <w:t>valdymas:</w:t>
      </w:r>
      <w:r w:rsidRPr="00F2356C">
        <w:rPr>
          <w:b/>
          <w:lang w:val="en-US"/>
        </w:rPr>
        <w:t xml:space="preserve"> </w:t>
      </w:r>
      <w:r w:rsidRPr="00F2356C">
        <w:rPr>
          <w:lang w:val="en-US"/>
        </w:rPr>
        <w:t>magistro darbas: 04 S - Socialiniai mokslai, ekonomika – Šiauliai: Šiaulių universitetas, 2009 – 136 p. URL: http://vddb.library.lt/fedora/get/LT-eLABa-0001:E.02~2009~D_20090916_093508-61701/DS.005.0.01.ETD</w:t>
      </w:r>
    </w:p>
    <w:p w:rsidR="00F2356C" w:rsidRPr="00F2356C" w:rsidRDefault="00F2356C" w:rsidP="00F2356C">
      <w:pPr>
        <w:pStyle w:val="ListParagraph"/>
        <w:numPr>
          <w:ilvl w:val="0"/>
          <w:numId w:val="34"/>
        </w:numPr>
        <w:rPr>
          <w:lang w:val="en-US"/>
        </w:rPr>
      </w:pPr>
      <w:r w:rsidRPr="00F2356C">
        <w:rPr>
          <w:b/>
          <w:lang w:val="en-US"/>
        </w:rPr>
        <w:lastRenderedPageBreak/>
        <w:t>De Bondt W. F. M., Thaler R.</w:t>
      </w:r>
      <w:r w:rsidRPr="00F2356C">
        <w:rPr>
          <w:lang w:val="en-US"/>
        </w:rPr>
        <w:t xml:space="preserve"> Does the Stock Market Overreact? // Journal of Finance – Oxford: Wiley-Blackwell, 1985, vol. 40, No. 3, p. 793-805. - ISSN: 00221082</w:t>
      </w:r>
    </w:p>
    <w:p w:rsidR="00F2356C" w:rsidRPr="00F2356C" w:rsidRDefault="00F2356C" w:rsidP="00F2356C">
      <w:pPr>
        <w:pStyle w:val="ListParagraph"/>
        <w:numPr>
          <w:ilvl w:val="0"/>
          <w:numId w:val="34"/>
        </w:numPr>
        <w:rPr>
          <w:lang w:val="en-US"/>
        </w:rPr>
      </w:pPr>
      <w:r w:rsidRPr="00F2356C">
        <w:rPr>
          <w:b/>
          <w:lang w:val="en-US"/>
        </w:rPr>
        <w:t>DeAngelo H., DeAngelo L.</w:t>
      </w:r>
      <w:r w:rsidRPr="00F2356C">
        <w:rPr>
          <w:lang w:val="en-US"/>
        </w:rPr>
        <w:t xml:space="preserve"> The Irrelevance of the MM Dividend Irrelevance Theorem // Journal of Financial Economics – Oxford:</w:t>
      </w:r>
      <w:r w:rsidRPr="00100CE1">
        <w:t xml:space="preserve"> </w:t>
      </w:r>
      <w:r w:rsidRPr="00F2356C">
        <w:rPr>
          <w:lang w:val="en-US"/>
        </w:rPr>
        <w:t>Elsevier Science, 2006, vol. 79, No. 2, p. 293-315. - ISSN: 0304405</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DeAngelo H., et al. </w:t>
      </w:r>
      <w:r w:rsidRPr="00F2356C">
        <w:rPr>
          <w:rFonts w:cs="Times New Roman"/>
          <w:szCs w:val="24"/>
        </w:rPr>
        <w:t>Dividend Policy and The Earned/Contributed Capital Mix: A Test of Life-cycle Theory // Journal of Financial Economics – Oxford: Elsevier Science, 2006 No. 81, p. 227-254</w:t>
      </w:r>
    </w:p>
    <w:p w:rsidR="00F2356C" w:rsidRPr="00F2356C" w:rsidRDefault="00F2356C" w:rsidP="00F2356C">
      <w:pPr>
        <w:pStyle w:val="ListParagraph"/>
        <w:numPr>
          <w:ilvl w:val="0"/>
          <w:numId w:val="34"/>
        </w:numPr>
        <w:rPr>
          <w:lang w:val="en-US"/>
        </w:rPr>
      </w:pPr>
      <w:r w:rsidRPr="00F2356C">
        <w:rPr>
          <w:b/>
          <w:lang w:val="en-US"/>
        </w:rPr>
        <w:t xml:space="preserve">DeAngelo H., et al. </w:t>
      </w:r>
      <w:r w:rsidRPr="00F2356C">
        <w:rPr>
          <w:lang w:val="en-US"/>
        </w:rPr>
        <w:t>Special Dividends and The Evolution of Dividend Signaling // Journal of Financial Economics – Oxford: Elsevier Science, 2000, vol. 57, No. 3, p. 309-354 -</w:t>
      </w:r>
      <w:r w:rsidRPr="00296444">
        <w:t xml:space="preserve"> </w:t>
      </w:r>
      <w:r w:rsidRPr="00F2356C">
        <w:rPr>
          <w:lang w:val="en-US"/>
        </w:rPr>
        <w:t>ISSN: 0304405X</w:t>
      </w:r>
    </w:p>
    <w:p w:rsidR="00F2356C" w:rsidRPr="00F2356C" w:rsidRDefault="00F2356C" w:rsidP="00F2356C">
      <w:pPr>
        <w:pStyle w:val="ListParagraph"/>
        <w:numPr>
          <w:ilvl w:val="0"/>
          <w:numId w:val="34"/>
        </w:numPr>
        <w:rPr>
          <w:lang w:val="en-US"/>
        </w:rPr>
      </w:pPr>
      <w:r w:rsidRPr="00F2356C">
        <w:rPr>
          <w:b/>
          <w:lang w:val="en-US"/>
        </w:rPr>
        <w:t xml:space="preserve">Domian D. L., et al. </w:t>
      </w:r>
      <w:r w:rsidRPr="00F2356C">
        <w:rPr>
          <w:lang w:val="en-US"/>
        </w:rPr>
        <w:t>The Rise and Fall of the 'Dogs of the Dow' // Financial Services Review – Deland: Academy of Financial Services, 1998, vol. 7, No. 3, p. 145-159. - ISSN: 10570810</w:t>
      </w:r>
    </w:p>
    <w:p w:rsidR="00F2356C" w:rsidRPr="00F2356C" w:rsidRDefault="00F2356C" w:rsidP="00F2356C">
      <w:pPr>
        <w:pStyle w:val="ListParagraph"/>
        <w:numPr>
          <w:ilvl w:val="0"/>
          <w:numId w:val="34"/>
        </w:numPr>
        <w:rPr>
          <w:lang w:val="en-US"/>
        </w:rPr>
      </w:pPr>
      <w:r w:rsidRPr="00F2356C">
        <w:rPr>
          <w:b/>
          <w:lang w:val="en-US"/>
        </w:rPr>
        <w:t xml:space="preserve">Dunbar A., Veliotis S. </w:t>
      </w:r>
      <w:r w:rsidRPr="00F2356C">
        <w:rPr>
          <w:lang w:val="en-US"/>
        </w:rPr>
        <w:t>The Effect of Taxes on Conventional Preferred Stock: Evidence from the 2003 JGTRRA Dividend Tax Reduction // Journal of the American Taxation Association – Sarasota FL: American Accounting Association, 2012, vol. 34, No. 1, p. 87-111 - ISSN: 01989073 - DOI: 10.2308/atax-10151</w:t>
      </w:r>
    </w:p>
    <w:p w:rsidR="00F2356C" w:rsidRPr="00F2356C" w:rsidRDefault="00F2356C" w:rsidP="00F2356C">
      <w:pPr>
        <w:pStyle w:val="ListParagraph"/>
        <w:numPr>
          <w:ilvl w:val="0"/>
          <w:numId w:val="34"/>
        </w:numPr>
        <w:rPr>
          <w:lang w:val="en-US"/>
        </w:rPr>
      </w:pPr>
      <w:r w:rsidRPr="00F2356C">
        <w:rPr>
          <w:b/>
          <w:lang w:val="en-US"/>
        </w:rPr>
        <w:t xml:space="preserve">Fairchild, R. </w:t>
      </w:r>
      <w:r w:rsidRPr="00F2356C">
        <w:rPr>
          <w:lang w:val="en-US"/>
        </w:rPr>
        <w:t>Dividend Policy, Signalling and Free Cash Flow: An Integrated Approach Detail // Managerial Finance - Bingley: Emerald Group Publishing Limited, 2010, vol. 36, No. 5, p. 394-413. - ISSN: 03074358</w:t>
      </w:r>
    </w:p>
    <w:p w:rsidR="00F2356C" w:rsidRPr="00F2356C" w:rsidRDefault="00F2356C" w:rsidP="00F2356C">
      <w:pPr>
        <w:pStyle w:val="ListParagraph"/>
        <w:numPr>
          <w:ilvl w:val="0"/>
          <w:numId w:val="34"/>
        </w:numPr>
        <w:rPr>
          <w:rFonts w:cs="Times New Roman"/>
          <w:color w:val="FF0000"/>
          <w:szCs w:val="24"/>
        </w:rPr>
      </w:pPr>
      <w:r w:rsidRPr="00F2356C">
        <w:rPr>
          <w:rFonts w:cs="Times New Roman"/>
          <w:b/>
          <w:szCs w:val="24"/>
        </w:rPr>
        <w:t>Fama E. F., French K. R.</w:t>
      </w:r>
      <w:r w:rsidRPr="00F2356C">
        <w:rPr>
          <w:rFonts w:cs="Times New Roman"/>
          <w:szCs w:val="24"/>
        </w:rPr>
        <w:t xml:space="preserve"> Common Risk Factors in The Returns on Stocks and Bonds // </w:t>
      </w:r>
      <w:r w:rsidRPr="00F2356C">
        <w:rPr>
          <w:rFonts w:cs="Times New Roman"/>
          <w:iCs/>
          <w:szCs w:val="24"/>
        </w:rPr>
        <w:t>Journal of Financial Economics – Oxford:</w:t>
      </w:r>
      <w:r w:rsidRPr="00296444">
        <w:t xml:space="preserve"> </w:t>
      </w:r>
      <w:r w:rsidRPr="00F2356C">
        <w:rPr>
          <w:rFonts w:cs="Times New Roman"/>
          <w:iCs/>
          <w:szCs w:val="24"/>
        </w:rPr>
        <w:t xml:space="preserve">Elsevier Science, 1993 No. </w:t>
      </w:r>
      <w:r w:rsidRPr="00F2356C">
        <w:rPr>
          <w:rFonts w:cs="Times New Roman"/>
          <w:szCs w:val="24"/>
        </w:rPr>
        <w:t>33, p. 3-56. - ISSN: 0304405X</w:t>
      </w:r>
    </w:p>
    <w:p w:rsidR="00F2356C" w:rsidRPr="00AC4126" w:rsidRDefault="00F2356C" w:rsidP="00F2356C">
      <w:pPr>
        <w:pStyle w:val="ListParagraph"/>
        <w:numPr>
          <w:ilvl w:val="0"/>
          <w:numId w:val="34"/>
        </w:numPr>
      </w:pPr>
      <w:r w:rsidRPr="00F2356C">
        <w:rPr>
          <w:b/>
        </w:rPr>
        <w:t xml:space="preserve">Fama E., French K. </w:t>
      </w:r>
      <w:r>
        <w:t xml:space="preserve">Disappearing Dividends: Changing Firm Characteristics or Lower Propensity to Pay // </w:t>
      </w:r>
      <w:r w:rsidRPr="00AC4126">
        <w:t>Journal of Financial Economics</w:t>
      </w:r>
      <w:r>
        <w:t xml:space="preserve"> – Oxford: </w:t>
      </w:r>
      <w:r w:rsidRPr="00100CE1">
        <w:t>Elsevier Science</w:t>
      </w:r>
      <w:r w:rsidRPr="00AC4126">
        <w:t xml:space="preserve">, </w:t>
      </w:r>
      <w:r>
        <w:t>2001, vol. 60, No. 1, p</w:t>
      </w:r>
      <w:r w:rsidRPr="00AC4126">
        <w:t>. 3-43</w:t>
      </w:r>
      <w:r>
        <w:t>. - ISSN: 0304405X</w:t>
      </w:r>
    </w:p>
    <w:p w:rsidR="00F2356C" w:rsidRPr="00F2356C" w:rsidRDefault="00F2356C" w:rsidP="00F2356C">
      <w:pPr>
        <w:pStyle w:val="ListParagraph"/>
        <w:numPr>
          <w:ilvl w:val="0"/>
          <w:numId w:val="34"/>
        </w:numPr>
        <w:rPr>
          <w:rFonts w:cs="Times New Roman"/>
          <w:szCs w:val="24"/>
          <w:lang w:val="en-US"/>
        </w:rPr>
      </w:pPr>
      <w:r w:rsidRPr="00F2356C">
        <w:rPr>
          <w:rFonts w:cs="Times New Roman"/>
          <w:b/>
          <w:szCs w:val="24"/>
        </w:rPr>
        <w:t xml:space="preserve">Filbeck G., Visscher S., </w:t>
      </w:r>
      <w:r w:rsidRPr="00F2356C">
        <w:rPr>
          <w:rFonts w:cs="Times New Roman"/>
          <w:szCs w:val="24"/>
          <w:lang w:val="en-US"/>
        </w:rPr>
        <w:t>Dividend Yield Strategies in the British Stock Market // European Journal of Finance - 1997, vol. 3, No. 4, p. 277-289. - ISSN: 0015198X - DOI: 10.1080/135184797337372</w:t>
      </w:r>
    </w:p>
    <w:p w:rsidR="00F2356C" w:rsidRPr="0042414E" w:rsidRDefault="00F2356C" w:rsidP="00F2356C">
      <w:pPr>
        <w:pStyle w:val="ListParagraph"/>
        <w:numPr>
          <w:ilvl w:val="0"/>
          <w:numId w:val="34"/>
        </w:numPr>
      </w:pPr>
      <w:r w:rsidRPr="00F2356C">
        <w:rPr>
          <w:b/>
        </w:rPr>
        <w:t>Fracassi C.</w:t>
      </w:r>
      <w:r w:rsidRPr="0042414E">
        <w:t xml:space="preserve"> Stock Price Sensitivity to Dividend Changes (Working paper) – Los Angeles: UCLA Anderson School of Management, Department of Finance,  2008</w:t>
      </w:r>
      <w:r>
        <w:t>. -</w:t>
      </w:r>
      <w:r w:rsidRPr="0042414E">
        <w:t xml:space="preserve"> URL: http://personal.anderson.ucla.edu/cesare.fracassi/Price%20Sensitivity%20to%20Dividend%20Change%20-%20072808.pdf</w:t>
      </w:r>
    </w:p>
    <w:p w:rsidR="00F2356C" w:rsidRPr="00F2356C" w:rsidRDefault="00F2356C" w:rsidP="00F2356C">
      <w:pPr>
        <w:pStyle w:val="ListParagraph"/>
        <w:numPr>
          <w:ilvl w:val="0"/>
          <w:numId w:val="34"/>
        </w:numPr>
        <w:rPr>
          <w:b/>
        </w:rPr>
      </w:pPr>
      <w:r w:rsidRPr="00F2356C">
        <w:rPr>
          <w:b/>
        </w:rPr>
        <w:lastRenderedPageBreak/>
        <w:t xml:space="preserve">Gordon M. J. </w:t>
      </w:r>
      <w:r w:rsidRPr="002A2CB5">
        <w:t>Dividends, Earnings, and Stock Prices</w:t>
      </w:r>
      <w:r w:rsidRPr="00F2356C">
        <w:rPr>
          <w:b/>
        </w:rPr>
        <w:t xml:space="preserve"> // </w:t>
      </w:r>
      <w:r w:rsidRPr="002A2CB5">
        <w:t>The Review of Economics and Statistics</w:t>
      </w:r>
      <w:r w:rsidRPr="00F2356C">
        <w:rPr>
          <w:b/>
        </w:rPr>
        <w:t xml:space="preserve"> – </w:t>
      </w:r>
      <w:r w:rsidRPr="002A2CB5">
        <w:t>Cambridge: The MIT Press, 1959, vol. 41, No. 2 (1), p. 99-105. – URL:  http://www.jstor.org/stable/1927792</w:t>
      </w:r>
    </w:p>
    <w:p w:rsidR="00F2356C" w:rsidRPr="00F2356C" w:rsidRDefault="00F2356C" w:rsidP="00F2356C">
      <w:pPr>
        <w:pStyle w:val="ListParagraph"/>
        <w:numPr>
          <w:ilvl w:val="0"/>
          <w:numId w:val="34"/>
        </w:numPr>
        <w:rPr>
          <w:lang w:val="en-US"/>
        </w:rPr>
      </w:pPr>
      <w:r w:rsidRPr="00F2356C">
        <w:rPr>
          <w:b/>
          <w:lang w:val="en-US"/>
        </w:rPr>
        <w:t xml:space="preserve">Gordon M. J. </w:t>
      </w:r>
      <w:r w:rsidRPr="00F2356C">
        <w:rPr>
          <w:lang w:val="en-US"/>
        </w:rPr>
        <w:t>Optimal Investment and Financing Policy // The Journal of Finance - Oxford: Wiley-Blackwell, 1963, vol. 18, No. 2, p. 264-272. - ISSN: 00221082 - DOI: 10.1111/j.1540-6261.1963.tb00722.x</w:t>
      </w:r>
    </w:p>
    <w:p w:rsidR="00F2356C" w:rsidRPr="00F2356C" w:rsidRDefault="00F2356C" w:rsidP="00F2356C">
      <w:pPr>
        <w:pStyle w:val="ListParagraph"/>
        <w:numPr>
          <w:ilvl w:val="0"/>
          <w:numId w:val="34"/>
        </w:numPr>
        <w:rPr>
          <w:lang w:val="en-US"/>
        </w:rPr>
      </w:pPr>
      <w:r w:rsidRPr="00F2356C">
        <w:rPr>
          <w:b/>
          <w:lang w:val="en-US"/>
        </w:rPr>
        <w:t xml:space="preserve">Gordon M. J., Shapiro E. </w:t>
      </w:r>
      <w:r w:rsidRPr="00F2356C">
        <w:rPr>
          <w:lang w:val="en-US"/>
        </w:rPr>
        <w:t>Capital Equipment Analysis: the Required Rate of Profit // Management Science – Hanover: Institute for Operations Research, 1956, vol. 2, No. 1, p. 102-110 - ISSN: 00251909</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Gwilym O. A. P., et al. </w:t>
      </w:r>
      <w:r w:rsidRPr="00F2356C">
        <w:rPr>
          <w:rFonts w:cs="Times New Roman"/>
          <w:szCs w:val="24"/>
        </w:rPr>
        <w:t>Consistent Dividend Growth Investment Strategies // Journal of Wealth Management – London: Euromoney Institutional Investor PLC, 2009, vol. 12, No. 3, p. 113-124. - ISSN: 15347524</w:t>
      </w:r>
    </w:p>
    <w:p w:rsidR="00F2356C" w:rsidRPr="00F2356C" w:rsidRDefault="00F2356C" w:rsidP="00F2356C">
      <w:pPr>
        <w:pStyle w:val="ListParagraph"/>
        <w:numPr>
          <w:ilvl w:val="0"/>
          <w:numId w:val="34"/>
        </w:numPr>
        <w:rPr>
          <w:rFonts w:cs="Times New Roman"/>
          <w:color w:val="000000"/>
          <w:szCs w:val="24"/>
        </w:rPr>
      </w:pPr>
      <w:r w:rsidRPr="00F2356C">
        <w:rPr>
          <w:rFonts w:cs="Times New Roman"/>
          <w:b/>
          <w:color w:val="000000"/>
          <w:szCs w:val="24"/>
        </w:rPr>
        <w:t>Hussainey, K., et al.</w:t>
      </w:r>
      <w:r w:rsidRPr="00F2356C">
        <w:rPr>
          <w:rFonts w:cs="Times New Roman"/>
          <w:color w:val="000000"/>
          <w:szCs w:val="24"/>
        </w:rPr>
        <w:t xml:space="preserve"> Dividend Policy and Share Price Volatility: UK Evidence // Journal of Risk Finance – Bingley: Emerald Group Publishing Limited, 2011, vol. 12 No. 1, p. 57-68. – URL: http://www.ainshams-accounting.com/Download/8840.pdf - DOI: 10.1108/</w:t>
      </w:r>
      <w:r>
        <w:rPr>
          <w:rFonts w:cs="Times New Roman"/>
          <w:color w:val="000000"/>
          <w:szCs w:val="24"/>
        </w:rPr>
        <w:t xml:space="preserve"> </w:t>
      </w:r>
      <w:r w:rsidRPr="00F2356C">
        <w:rPr>
          <w:rFonts w:cs="Times New Roman"/>
          <w:color w:val="000000"/>
          <w:szCs w:val="24"/>
        </w:rPr>
        <w:t xml:space="preserve">15265941111100076. </w:t>
      </w:r>
    </w:p>
    <w:p w:rsidR="00F2356C" w:rsidRPr="008E5497" w:rsidRDefault="00F2356C" w:rsidP="00F2356C">
      <w:pPr>
        <w:pStyle w:val="ListParagraph"/>
        <w:numPr>
          <w:ilvl w:val="0"/>
          <w:numId w:val="34"/>
        </w:numPr>
      </w:pPr>
      <w:r w:rsidRPr="00F2356C">
        <w:rPr>
          <w:b/>
        </w:rPr>
        <w:t>Imran K.</w:t>
      </w:r>
      <w:r>
        <w:t xml:space="preserve"> Determinants o</w:t>
      </w:r>
      <w:r w:rsidRPr="008E5497">
        <w:t>f Dividend Payout Policy</w:t>
      </w:r>
      <w:r>
        <w:t>:</w:t>
      </w:r>
      <w:r w:rsidRPr="008E5497">
        <w:t xml:space="preserve"> A Case Of Pakistan Engineering</w:t>
      </w:r>
      <w:r>
        <w:t xml:space="preserve"> // The Romanian Economic Journal – Bucharest: </w:t>
      </w:r>
      <w:r w:rsidRPr="008E5497">
        <w:t xml:space="preserve"> Department of International Business and Economics from the Academy of Economic Studies Bucharest</w:t>
      </w:r>
      <w:r>
        <w:t xml:space="preserve">, 2011, vol. 14, No. 41, p. 47-60. – URL: </w:t>
      </w:r>
      <w:r w:rsidRPr="008E5497">
        <w:t>http://www.rejournal.eu/Portals/0/Arhiva/JE%2041/JE_41%20Imran.pdf</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Jensen M. C. </w:t>
      </w:r>
      <w:r w:rsidRPr="00F2356C">
        <w:rPr>
          <w:rFonts w:cs="Times New Roman"/>
          <w:szCs w:val="24"/>
        </w:rPr>
        <w:t>Agency Costs of Free Cash Flow, Corporate Finance, and Takeovers. / American Economic Review – Nashville: American Economic Association, 1986, vol. 76, No. 2, p. 323-329. - ISSN: 00028282</w:t>
      </w:r>
    </w:p>
    <w:p w:rsidR="00F2356C" w:rsidRPr="00F2356C" w:rsidRDefault="00F2356C" w:rsidP="00F2356C">
      <w:pPr>
        <w:pStyle w:val="ListParagraph"/>
        <w:numPr>
          <w:ilvl w:val="0"/>
          <w:numId w:val="34"/>
        </w:numPr>
        <w:jc w:val="left"/>
        <w:rPr>
          <w:b/>
        </w:rPr>
      </w:pPr>
      <w:r w:rsidRPr="00F2356C">
        <w:rPr>
          <w:b/>
        </w:rPr>
        <w:t xml:space="preserve">Kadioglu E. </w:t>
      </w:r>
      <w:r w:rsidRPr="004E0002">
        <w:t>The Announc</w:t>
      </w:r>
      <w:r>
        <w:t>e</w:t>
      </w:r>
      <w:r w:rsidRPr="004E0002">
        <w:t>ment Effect of Cash Dividend: Evidence from Turkish Capital Market</w:t>
      </w:r>
      <w:r>
        <w:t xml:space="preserve">: Dissertation – Leeds University Business School – Leeds: University of Leeds, 2008 – p. 24, 35. URL: </w:t>
      </w:r>
      <w:r w:rsidRPr="0018395B">
        <w:t>http://www.spk.gov.tr/displayfile.aspx?action=displayfile&amp;pageid=742&amp;fn=742.pdf</w:t>
      </w:r>
    </w:p>
    <w:p w:rsidR="00F2356C" w:rsidRPr="00F2356C" w:rsidRDefault="00F2356C" w:rsidP="00F2356C">
      <w:pPr>
        <w:pStyle w:val="ListParagraph"/>
        <w:numPr>
          <w:ilvl w:val="0"/>
          <w:numId w:val="34"/>
        </w:numPr>
        <w:jc w:val="left"/>
        <w:rPr>
          <w:b/>
        </w:rPr>
      </w:pPr>
      <w:r w:rsidRPr="00F2356C">
        <w:rPr>
          <w:b/>
        </w:rPr>
        <w:t xml:space="preserve">Khan K. I. </w:t>
      </w:r>
      <w:r w:rsidRPr="008E5497">
        <w:t>Effect of Dividends on Stock Prices – A Case of Chemical and Pharmaceutical Industry of Pakistan</w:t>
      </w:r>
      <w:r>
        <w:t xml:space="preserve"> // </w:t>
      </w:r>
      <w:r w:rsidRPr="008E5497">
        <w:t>Management</w:t>
      </w:r>
      <w:r>
        <w:t xml:space="preserve"> – Rosemead: Scientific </w:t>
      </w:r>
      <w:r w:rsidRPr="00F2356C">
        <w:rPr>
          <w:lang w:val="en-US"/>
        </w:rPr>
        <w:t>&amp;</w:t>
      </w:r>
      <w:r>
        <w:t xml:space="preserve"> Academic Publishing, 2012, v</w:t>
      </w:r>
      <w:r w:rsidRPr="008E5497">
        <w:t>ol. 2</w:t>
      </w:r>
      <w:r>
        <w:t xml:space="preserve">, No. 5, </w:t>
      </w:r>
      <w:r w:rsidRPr="008E5497">
        <w:t>p.</w:t>
      </w:r>
      <w:r>
        <w:t xml:space="preserve"> </w:t>
      </w:r>
      <w:r w:rsidRPr="008E5497">
        <w:t xml:space="preserve"> 141-148. </w:t>
      </w:r>
      <w:r>
        <w:t xml:space="preserve">- URL: </w:t>
      </w:r>
      <w:r w:rsidRPr="000A340E">
        <w:t>http://www.sapub.org/global/showpaperpdf.aspx?doi=10.5923/j.mm.20120205.02</w:t>
      </w:r>
      <w:r>
        <w:t xml:space="preserve"> - DOI</w:t>
      </w:r>
      <w:r w:rsidRPr="008E5497">
        <w:t>: 10.5923/j.mm.20120205.02</w:t>
      </w:r>
    </w:p>
    <w:p w:rsidR="00F2356C" w:rsidRPr="00F2356C" w:rsidRDefault="00F2356C" w:rsidP="00F2356C">
      <w:pPr>
        <w:pStyle w:val="ListParagraph"/>
        <w:numPr>
          <w:ilvl w:val="0"/>
          <w:numId w:val="34"/>
        </w:numPr>
        <w:rPr>
          <w:szCs w:val="24"/>
        </w:rPr>
      </w:pPr>
      <w:r w:rsidRPr="00F2356C">
        <w:rPr>
          <w:b/>
          <w:szCs w:val="24"/>
        </w:rPr>
        <w:t xml:space="preserve">Khan K. I., et al. </w:t>
      </w:r>
      <w:r w:rsidRPr="00F2356C">
        <w:rPr>
          <w:szCs w:val="24"/>
        </w:rPr>
        <w:t>Can Dividend Decisions Affect the Stock Prices: A Case of Dividend Paying Companies of KSE // International Research Journal of Finance &amp; Economics - Via Mersin:  EuroJournals, Inc., 2011, No. 76, p. 67-74. - ISSN: 14502887</w:t>
      </w:r>
    </w:p>
    <w:p w:rsidR="00F2356C" w:rsidRPr="00F2356C" w:rsidRDefault="00F2356C" w:rsidP="00F2356C">
      <w:pPr>
        <w:pStyle w:val="ListParagraph"/>
        <w:numPr>
          <w:ilvl w:val="0"/>
          <w:numId w:val="34"/>
        </w:numPr>
        <w:rPr>
          <w:lang w:val="en-US"/>
        </w:rPr>
      </w:pPr>
      <w:r w:rsidRPr="00F2356C">
        <w:rPr>
          <w:b/>
          <w:lang w:val="en-US"/>
        </w:rPr>
        <w:lastRenderedPageBreak/>
        <w:t xml:space="preserve">Kosedag A., Qian J. </w:t>
      </w:r>
      <w:r w:rsidRPr="00F2356C">
        <w:rPr>
          <w:lang w:val="en-US"/>
        </w:rPr>
        <w:t>Do Dividend Clienteles Explain Price Reactions to Dividend Changes? // International Journal of Business &amp; Finance Research (IJBFR) – Hilo HI: Institute for Business &amp; Finance Research, 2009, vol. 3, No. 1, p. 47-57. - ISSN: 19310269</w:t>
      </w:r>
    </w:p>
    <w:p w:rsidR="00F2356C" w:rsidRDefault="00F2356C" w:rsidP="00F2356C">
      <w:pPr>
        <w:pStyle w:val="ListParagraph"/>
        <w:numPr>
          <w:ilvl w:val="0"/>
          <w:numId w:val="34"/>
        </w:numPr>
      </w:pPr>
      <w:r w:rsidRPr="00F2356C">
        <w:rPr>
          <w:b/>
        </w:rPr>
        <w:t>Kurniasih A., et al.</w:t>
      </w:r>
      <w:r>
        <w:t xml:space="preserve"> Market Reaction to the Cash Dividend Announcement: An Empirical Study from the Indonesia Stock Exchange 2004 – 2009 // European Journal of Economics, Finance &amp; Administrative Sciences - Via Mesin: </w:t>
      </w:r>
      <w:r w:rsidRPr="00AC2EC6">
        <w:t>EuroJournals, Inc.</w:t>
      </w:r>
      <w:r>
        <w:t>, 2011, No. 40, p. 92-100 - ISSN: 14502275</w:t>
      </w:r>
    </w:p>
    <w:p w:rsidR="00F2356C" w:rsidRPr="00F2356C" w:rsidRDefault="00F2356C" w:rsidP="00F2356C">
      <w:pPr>
        <w:pStyle w:val="ListParagraph"/>
        <w:numPr>
          <w:ilvl w:val="0"/>
          <w:numId w:val="34"/>
        </w:numPr>
        <w:rPr>
          <w:lang w:val="en-US"/>
        </w:rPr>
      </w:pPr>
      <w:r w:rsidRPr="00F2356C">
        <w:rPr>
          <w:b/>
          <w:lang w:val="en-US"/>
        </w:rPr>
        <w:t>Kwan, C. C. Y.</w:t>
      </w:r>
      <w:r w:rsidRPr="00F2356C">
        <w:rPr>
          <w:lang w:val="en-US"/>
        </w:rPr>
        <w:t xml:space="preserve"> Efficient Market Tests of The Informational Content of Dividend Announcements: Critique and Extension // Journal of Financial &amp; Quantitative Analysis – Cambridge: Cambridge University Press, 1981, vol. 16, No. 2, p. 193-206. - ISSN: 00221090</w:t>
      </w:r>
    </w:p>
    <w:p w:rsidR="00F2356C" w:rsidRPr="00F2356C" w:rsidRDefault="00F2356C" w:rsidP="00F2356C">
      <w:pPr>
        <w:pStyle w:val="ListParagraph"/>
        <w:numPr>
          <w:ilvl w:val="0"/>
          <w:numId w:val="34"/>
        </w:numPr>
        <w:rPr>
          <w:lang w:val="en-US"/>
        </w:rPr>
      </w:pPr>
      <w:r w:rsidRPr="00F2356C">
        <w:rPr>
          <w:b/>
          <w:lang w:val="en-US"/>
        </w:rPr>
        <w:t xml:space="preserve">Li O. Zh. </w:t>
      </w:r>
      <w:r w:rsidRPr="00F2356C">
        <w:rPr>
          <w:lang w:val="en-US"/>
        </w:rPr>
        <w:t>Tax-Induced Dividend Capturing // Journal of Business Finance &amp; Accounting – Oxford: Wiley-Blackwell, 2010, vol. 37, No. 7 (8), p. 866-904. - ISSN: 0306686X - DOI: 10.1111/j.1468-5957.2010.02210.x.</w:t>
      </w:r>
    </w:p>
    <w:p w:rsidR="00F2356C" w:rsidRPr="00F2356C" w:rsidRDefault="00F2356C" w:rsidP="00F2356C">
      <w:pPr>
        <w:pStyle w:val="ListParagraph"/>
        <w:numPr>
          <w:ilvl w:val="0"/>
          <w:numId w:val="34"/>
        </w:numPr>
        <w:rPr>
          <w:lang w:val="en-US"/>
        </w:rPr>
      </w:pPr>
      <w:r w:rsidRPr="00F2356C">
        <w:rPr>
          <w:rFonts w:cs="Times New Roman"/>
          <w:b/>
          <w:szCs w:val="24"/>
        </w:rPr>
        <w:t xml:space="preserve">Lintner J. </w:t>
      </w:r>
      <w:r w:rsidRPr="00F2356C">
        <w:rPr>
          <w:rFonts w:cs="Times New Roman"/>
          <w:szCs w:val="24"/>
        </w:rPr>
        <w:t>Distribution of Incomes of Corporations among Dividends, Retained Earnings, and Taxes //  American Economic Review – Nashville: American Economic Association, 1956, vol. 46, No. 2, p. 97-113. - ISSN: 00028282</w:t>
      </w:r>
    </w:p>
    <w:p w:rsidR="00F2356C" w:rsidRPr="00F2356C" w:rsidRDefault="00F2356C" w:rsidP="00F2356C">
      <w:pPr>
        <w:pStyle w:val="ListParagraph"/>
        <w:numPr>
          <w:ilvl w:val="0"/>
          <w:numId w:val="34"/>
        </w:numPr>
        <w:rPr>
          <w:lang w:val="en-US"/>
        </w:rPr>
      </w:pPr>
      <w:r w:rsidRPr="00F2356C">
        <w:rPr>
          <w:b/>
          <w:lang w:val="en-US"/>
        </w:rPr>
        <w:t xml:space="preserve">Maddala G. S. 1987 </w:t>
      </w:r>
      <w:r w:rsidRPr="00F2356C">
        <w:rPr>
          <w:lang w:val="en-US"/>
        </w:rPr>
        <w:t>Limited Dependent Variable Models Using Panel Data / The Journal of Human Resources – Madison WI: University of Wisconsin Press, vol. 22, No. 3, p. 307-338. - ISSN: 0022166X</w:t>
      </w:r>
    </w:p>
    <w:p w:rsidR="00F2356C" w:rsidRPr="00F2356C" w:rsidRDefault="00F2356C" w:rsidP="00F2356C">
      <w:pPr>
        <w:pStyle w:val="ListParagraph"/>
        <w:numPr>
          <w:ilvl w:val="0"/>
          <w:numId w:val="34"/>
        </w:numPr>
        <w:rPr>
          <w:rFonts w:eastAsia="TT746o00"/>
          <w:b/>
        </w:rPr>
      </w:pPr>
      <w:r w:rsidRPr="00F2356C">
        <w:rPr>
          <w:rFonts w:eastAsia="TT746o00"/>
          <w:b/>
        </w:rPr>
        <w:t xml:space="preserve">Mahmood S., et al. </w:t>
      </w:r>
      <w:r w:rsidRPr="00F2356C">
        <w:rPr>
          <w:rFonts w:eastAsia="TT746o00"/>
        </w:rPr>
        <w:t>Dividend Announcements and Stock Returns: An Event S0tudy on Karachi Stock Exchange // Interdisciplinary Journal of Contemporary Research in Business – Centerbury, Kent, 2011, vol. 3, No. 8, p. 972-981. - ISSN: 20737122</w:t>
      </w:r>
    </w:p>
    <w:p w:rsidR="00F2356C" w:rsidRPr="00F2356C" w:rsidRDefault="00F2356C" w:rsidP="00F2356C">
      <w:pPr>
        <w:pStyle w:val="ListParagraph"/>
        <w:numPr>
          <w:ilvl w:val="0"/>
          <w:numId w:val="34"/>
        </w:numPr>
        <w:rPr>
          <w:lang w:val="en-US"/>
        </w:rPr>
      </w:pPr>
      <w:r w:rsidRPr="00F2356C">
        <w:rPr>
          <w:b/>
          <w:lang w:val="en-US"/>
        </w:rPr>
        <w:t xml:space="preserve">Manley, R., Mueller-Glissmann, Ch. </w:t>
      </w:r>
      <w:r w:rsidRPr="00F2356C">
        <w:rPr>
          <w:lang w:val="en-US"/>
        </w:rPr>
        <w:t>The Market for Dividends and Related Investment Strategies // Financial Analysts Journal – Charlottsville: CFA Institute, 2008, vol. 64, No. 3, p. 17-29. - ISSN: 0015198X</w:t>
      </w:r>
      <w:r w:rsidRPr="00F2356C">
        <w:rPr>
          <w:rFonts w:cs="Times New Roman"/>
          <w:b/>
          <w:szCs w:val="24"/>
        </w:rPr>
        <w:t xml:space="preserve"> </w:t>
      </w:r>
    </w:p>
    <w:p w:rsidR="00F2356C" w:rsidRPr="002A2CB5" w:rsidRDefault="00F2356C" w:rsidP="00F2356C">
      <w:pPr>
        <w:pStyle w:val="ListParagraph"/>
        <w:numPr>
          <w:ilvl w:val="0"/>
          <w:numId w:val="34"/>
        </w:numPr>
      </w:pPr>
      <w:r w:rsidRPr="00F2356C">
        <w:rPr>
          <w:b/>
        </w:rPr>
        <w:t xml:space="preserve">Matusevičius M. </w:t>
      </w:r>
      <w:r w:rsidRPr="00C9179B">
        <w:t>Grąžos akcininkams vertinimas Nasdaq OMX Baltic rinkoje</w:t>
      </w:r>
      <w:r>
        <w:t xml:space="preserve">: magistro baigiamasis darbas - </w:t>
      </w:r>
      <w:r w:rsidRPr="00C9179B">
        <w:t xml:space="preserve"> </w:t>
      </w:r>
      <w:r>
        <w:t xml:space="preserve"> </w:t>
      </w:r>
      <w:r w:rsidRPr="00F2356C">
        <w:rPr>
          <w:rFonts w:cs="Times New Roman"/>
          <w:color w:val="000000"/>
          <w:sz w:val="23"/>
          <w:szCs w:val="23"/>
        </w:rPr>
        <w:t>Fi</w:t>
      </w:r>
      <w:r w:rsidRPr="00F2356C">
        <w:rPr>
          <w:sz w:val="23"/>
          <w:szCs w:val="23"/>
        </w:rPr>
        <w:t xml:space="preserve">nansų ir bankininkystės studijų programa, Ekonomikos studijų kryptis – Kaunas: </w:t>
      </w:r>
      <w:r w:rsidRPr="00F2356C">
        <w:rPr>
          <w:rFonts w:cs="Times New Roman"/>
          <w:color w:val="000000"/>
          <w:szCs w:val="24"/>
        </w:rPr>
        <w:t>Vytauto Didžiojo universitetas</w:t>
      </w:r>
      <w:r w:rsidRPr="00F2356C">
        <w:rPr>
          <w:szCs w:val="24"/>
        </w:rPr>
        <w:t>, 2010 - p. 68-74. URL: http://vddb.laba.lt/fedora/get/LT-eLABa-0001:E.02~2010~D_20100619_133826-80324/DS.005.0.01.ETD</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McQueen G., Thorley S.</w:t>
      </w:r>
      <w:r w:rsidRPr="00F2356C">
        <w:rPr>
          <w:rFonts w:cs="Times New Roman"/>
          <w:szCs w:val="24"/>
        </w:rPr>
        <w:t xml:space="preserve"> Mining Fool's Gold // Financial Analysts Journal – Charlottsville: CFA Institute, 1999, vol. 55, No. 2, p. 61-72. - ISSN: 0015198X</w:t>
      </w:r>
    </w:p>
    <w:p w:rsidR="00F2356C" w:rsidRPr="00F2356C" w:rsidRDefault="00F2356C" w:rsidP="00F2356C">
      <w:pPr>
        <w:pStyle w:val="ListParagraph"/>
        <w:numPr>
          <w:ilvl w:val="0"/>
          <w:numId w:val="34"/>
        </w:numPr>
        <w:rPr>
          <w:rFonts w:cs="Times New Roman"/>
          <w:b/>
          <w:szCs w:val="24"/>
        </w:rPr>
      </w:pPr>
      <w:r w:rsidRPr="00F2356C">
        <w:rPr>
          <w:b/>
        </w:rPr>
        <w:t xml:space="preserve">Michaely R., et al. </w:t>
      </w:r>
      <w:r>
        <w:t xml:space="preserve">Price Reactions to Dividend Initiations and Omissions: Overreaction or Drift? // The Journal of Finance - Oxford: </w:t>
      </w:r>
      <w:r w:rsidRPr="00D91B02">
        <w:t>Wiley-Blackwell</w:t>
      </w:r>
      <w:r>
        <w:t>, 2005 – vol. 50, No. 2, p. 573-608 – ISSN 00221082.</w:t>
      </w:r>
      <w:r w:rsidRPr="00F2356C">
        <w:rPr>
          <w:rFonts w:cs="Times New Roman"/>
          <w:b/>
          <w:szCs w:val="24"/>
        </w:rPr>
        <w:t xml:space="preserve"> </w:t>
      </w:r>
    </w:p>
    <w:p w:rsidR="00F2356C" w:rsidRPr="00E62962" w:rsidRDefault="00F2356C" w:rsidP="00F2356C">
      <w:pPr>
        <w:pStyle w:val="ListParagraph"/>
        <w:numPr>
          <w:ilvl w:val="0"/>
          <w:numId w:val="34"/>
        </w:numPr>
      </w:pPr>
      <w:r w:rsidRPr="00F2356C">
        <w:rPr>
          <w:b/>
        </w:rPr>
        <w:lastRenderedPageBreak/>
        <w:t xml:space="preserve">Miller, M. H. Modigliani F. </w:t>
      </w:r>
      <w:r w:rsidRPr="00F2356C">
        <w:rPr>
          <w:bCs/>
        </w:rPr>
        <w:t>Dividend Policy, Growth, and the Valuation of Shares //</w:t>
      </w:r>
      <w:r w:rsidRPr="00F2356C">
        <w:rPr>
          <w:i/>
          <w:iCs/>
        </w:rPr>
        <w:t xml:space="preserve"> </w:t>
      </w:r>
      <w:r w:rsidRPr="00F2356C">
        <w:rPr>
          <w:iCs/>
        </w:rPr>
        <w:t>The Journal of Business</w:t>
      </w:r>
      <w:r>
        <w:t xml:space="preserve"> – Chicago: </w:t>
      </w:r>
      <w:r w:rsidRPr="0056704D">
        <w:t>The University of Chicago Press</w:t>
      </w:r>
      <w:r>
        <w:t>, 1961, vol. 34, No. 4</w:t>
      </w:r>
      <w:r w:rsidRPr="00D26C94">
        <w:t xml:space="preserve">, </w:t>
      </w:r>
      <w:r>
        <w:t>p. 411-433. - ISBN: 978-1-84720-838-5</w:t>
      </w:r>
    </w:p>
    <w:p w:rsidR="00F2356C" w:rsidRPr="00F2356C" w:rsidRDefault="00F2356C" w:rsidP="00F2356C">
      <w:pPr>
        <w:pStyle w:val="ListParagraph"/>
        <w:numPr>
          <w:ilvl w:val="0"/>
          <w:numId w:val="34"/>
        </w:numPr>
        <w:rPr>
          <w:rFonts w:cs="Times New Roman"/>
          <w:color w:val="FF0000"/>
          <w:szCs w:val="24"/>
        </w:rPr>
      </w:pPr>
      <w:r w:rsidRPr="00F2356C">
        <w:rPr>
          <w:rFonts w:cs="Times New Roman"/>
          <w:b/>
          <w:szCs w:val="24"/>
        </w:rPr>
        <w:t>Nishat M., Irfan C. M.</w:t>
      </w:r>
      <w:r w:rsidRPr="00F2356C">
        <w:rPr>
          <w:rFonts w:cs="Times New Roman"/>
          <w:szCs w:val="24"/>
        </w:rPr>
        <w:t xml:space="preserve"> Dividend Policy and Stock Price Volatility in Pakistan (Working paper): 19th Annual General Meeting and Conference –</w:t>
      </w:r>
      <w:r w:rsidRPr="0042414E">
        <w:t xml:space="preserve"> </w:t>
      </w:r>
      <w:r w:rsidRPr="00F2356C">
        <w:rPr>
          <w:rFonts w:cs="Times New Roman"/>
          <w:szCs w:val="24"/>
        </w:rPr>
        <w:t>Islamabad: Pakistan Society of Development Economists, Pakistan Institute of Development Economics, 2001. - URL: http://www.pide.org.pk/pdf/psde%2019AGM/DIVIDEND%20POLICY%20AND%20STOCK%20PRICE%20VOLATILITY.doc</w:t>
      </w:r>
    </w:p>
    <w:p w:rsidR="00F2356C" w:rsidRPr="00F2356C" w:rsidRDefault="00F2356C" w:rsidP="00F2356C">
      <w:pPr>
        <w:pStyle w:val="ListParagraph"/>
        <w:numPr>
          <w:ilvl w:val="0"/>
          <w:numId w:val="34"/>
        </w:numPr>
        <w:rPr>
          <w:rFonts w:cs="Times New Roman"/>
          <w:b/>
          <w:szCs w:val="24"/>
        </w:rPr>
      </w:pPr>
      <w:r w:rsidRPr="00F2356C">
        <w:rPr>
          <w:rFonts w:cs="Times New Roman"/>
          <w:b/>
          <w:szCs w:val="24"/>
        </w:rPr>
        <w:t>Nissim D., Ziv A.</w:t>
      </w:r>
      <w:r w:rsidRPr="00F2356C">
        <w:rPr>
          <w:rFonts w:cs="Times New Roman"/>
          <w:b/>
          <w:bCs/>
          <w:szCs w:val="24"/>
        </w:rPr>
        <w:t xml:space="preserve"> </w:t>
      </w:r>
      <w:r w:rsidRPr="00F2356C">
        <w:rPr>
          <w:rFonts w:cs="Times New Roman"/>
          <w:bCs/>
          <w:szCs w:val="24"/>
        </w:rPr>
        <w:t>Dividend Changes and Future Profitability</w:t>
      </w:r>
      <w:r w:rsidRPr="00F2356C">
        <w:rPr>
          <w:rFonts w:cs="Times New Roman"/>
          <w:szCs w:val="24"/>
        </w:rPr>
        <w:t xml:space="preserve"> // The Journal of Finance – Oxford: The American Finance Association, 2001, vol. 56, No. 6 – ISSN: 00221082. - URL: http://www.columbia.edu/~dn75/dividend_changes_and_future_profitability.pdf</w:t>
      </w:r>
    </w:p>
    <w:p w:rsidR="00F2356C" w:rsidRPr="00C619D8" w:rsidRDefault="00F2356C" w:rsidP="00F2356C">
      <w:pPr>
        <w:pStyle w:val="ListParagraph"/>
        <w:numPr>
          <w:ilvl w:val="0"/>
          <w:numId w:val="34"/>
        </w:numPr>
      </w:pPr>
      <w:r w:rsidRPr="00F2356C">
        <w:rPr>
          <w:b/>
        </w:rPr>
        <w:t>Patel P. N, Yao S., Carlson R.</w:t>
      </w:r>
      <w:r>
        <w:t xml:space="preserve"> Global Dividend Strategy: Global Equity Research – Quantitative Analysis (Research report) – New York: Credit Suisse Securities (USA) LLC, 2009. - URL: </w:t>
      </w:r>
      <w:r w:rsidRPr="00E8411E">
        <w:t>http://mhinvest.com/files/pdf/NF_GlobalDivStrategy_2009_Patel.pdf</w:t>
      </w:r>
      <w:r>
        <w:t xml:space="preserve"> [žiūrėta 2012.12.16]</w:t>
      </w:r>
    </w:p>
    <w:p w:rsidR="00F2356C" w:rsidRPr="00F6135A" w:rsidRDefault="00F2356C" w:rsidP="00F2356C">
      <w:pPr>
        <w:pStyle w:val="ListParagraph"/>
        <w:numPr>
          <w:ilvl w:val="0"/>
          <w:numId w:val="34"/>
        </w:numPr>
      </w:pPr>
      <w:r w:rsidRPr="00F2356C">
        <w:rPr>
          <w:b/>
          <w:szCs w:val="24"/>
        </w:rPr>
        <w:t>Portniaguina E., Uysal V.</w:t>
      </w:r>
      <w:r w:rsidRPr="00F6135A">
        <w:t xml:space="preserve"> </w:t>
      </w:r>
      <w:r>
        <w:t xml:space="preserve"> </w:t>
      </w:r>
      <w:r w:rsidRPr="00F6135A">
        <w:t xml:space="preserve">Seeking </w:t>
      </w:r>
      <w:r>
        <w:t>Safety I</w:t>
      </w:r>
      <w:r w:rsidRPr="00F6135A">
        <w:t xml:space="preserve">n Bad Times: Dividend </w:t>
      </w:r>
      <w:r>
        <w:t>Initiation Returns a</w:t>
      </w:r>
      <w:r w:rsidRPr="00F6135A">
        <w:t>nd The Economy</w:t>
      </w:r>
      <w:r>
        <w:t xml:space="preserve"> (Research Paper) –</w:t>
      </w:r>
      <w:r w:rsidRPr="00F2356C">
        <w:rPr>
          <w:szCs w:val="24"/>
        </w:rPr>
        <w:t xml:space="preserve"> </w:t>
      </w:r>
      <w:r>
        <w:t>Athens: European Financial Management Association, 2008</w:t>
      </w:r>
      <w:r w:rsidRPr="00F2356C">
        <w:rPr>
          <w:szCs w:val="24"/>
        </w:rPr>
        <w:t xml:space="preserve"> </w:t>
      </w:r>
      <w:r w:rsidR="001620CE">
        <w:t>- URL:</w:t>
      </w:r>
      <w:r w:rsidRPr="0046261F">
        <w:t>http://www.efmaefm.org/0EFMAMEETINGS/EFMA%20ANNUAL%20MEETINGS/2008-athens/Uysal.pdf</w:t>
      </w:r>
    </w:p>
    <w:p w:rsidR="00F2356C" w:rsidRPr="003B76B8" w:rsidRDefault="00F2356C" w:rsidP="00F2356C">
      <w:pPr>
        <w:pStyle w:val="ListParagraph"/>
        <w:numPr>
          <w:ilvl w:val="0"/>
          <w:numId w:val="34"/>
        </w:numPr>
      </w:pPr>
      <w:r w:rsidRPr="00F2356C">
        <w:rPr>
          <w:rFonts w:ascii="Times-Roman" w:hAnsi="Times-Roman" w:cs="Times-Roman"/>
          <w:b/>
          <w:szCs w:val="24"/>
        </w:rPr>
        <w:t xml:space="preserve">Rashid A., Rehman A. </w:t>
      </w:r>
      <w:r w:rsidRPr="00F2356C">
        <w:rPr>
          <w:rFonts w:ascii="Times-Roman" w:hAnsi="Times-Roman" w:cs="Times-Roman"/>
          <w:szCs w:val="24"/>
        </w:rPr>
        <w:t xml:space="preserve"> Dividend Policy and Stock Price Volatility: Evidence from Bangladesh // </w:t>
      </w:r>
      <w:r w:rsidRPr="00F2356C">
        <w:rPr>
          <w:rFonts w:ascii="Times-Italic" w:hAnsi="Times-Italic" w:cs="Times-Italic"/>
          <w:iCs/>
          <w:szCs w:val="24"/>
        </w:rPr>
        <w:t xml:space="preserve">Journal of Applied Business and Economics – Burnaby, 2008, vol. 8 No. 4, p. </w:t>
      </w:r>
      <w:r w:rsidR="001620CE">
        <w:rPr>
          <w:rFonts w:ascii="Times-Roman" w:hAnsi="Times-Roman" w:cs="Times-Roman"/>
          <w:szCs w:val="24"/>
        </w:rPr>
        <w:t xml:space="preserve">71-80. - URL: </w:t>
      </w:r>
      <w:r w:rsidRPr="00F2356C">
        <w:rPr>
          <w:rFonts w:ascii="Times-Roman" w:hAnsi="Times-Roman" w:cs="Times-Roman"/>
          <w:szCs w:val="24"/>
        </w:rPr>
        <w:t>http://works.bepress.com/cgi/viewcontent.cgi?article=1002&amp;context=afzalur_rashid</w:t>
      </w:r>
    </w:p>
    <w:p w:rsidR="00F2356C" w:rsidRPr="00F2356C" w:rsidRDefault="00F2356C" w:rsidP="00F2356C">
      <w:pPr>
        <w:pStyle w:val="ListParagraph"/>
        <w:numPr>
          <w:ilvl w:val="0"/>
          <w:numId w:val="34"/>
        </w:numPr>
        <w:rPr>
          <w:lang w:val="en-US"/>
        </w:rPr>
      </w:pPr>
      <w:r w:rsidRPr="00F2356C">
        <w:rPr>
          <w:b/>
          <w:lang w:val="en-US"/>
        </w:rPr>
        <w:t xml:space="preserve">Sharma R. </w:t>
      </w:r>
      <w:r w:rsidRPr="00F2356C">
        <w:rPr>
          <w:lang w:val="en-US"/>
        </w:rPr>
        <w:t>Stock Price Behaviour Around Dividend Announcements: An Event Study Methodology // The XIMB Journal of Management – Bhubaneswar: Xavier Institute of Management, 2011, vol. 8, No. 2, p. 23-32. - ISSN: 09731954</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Shefrin H. M., Statman M. </w:t>
      </w:r>
      <w:r w:rsidRPr="00F2356C">
        <w:rPr>
          <w:rFonts w:cs="Times New Roman"/>
          <w:szCs w:val="24"/>
        </w:rPr>
        <w:t>Explaining Investor Preference for Cash Dividends // Journal of Financial Economics – Oxford: Elsevier Science, 1984, vol. 13, Issue 2, p. 253-282. - ISSN: 0304405X</w:t>
      </w:r>
    </w:p>
    <w:p w:rsidR="00F2356C" w:rsidRPr="00F2356C" w:rsidRDefault="00F2356C" w:rsidP="00F2356C">
      <w:pPr>
        <w:pStyle w:val="ListParagraph"/>
        <w:numPr>
          <w:ilvl w:val="0"/>
          <w:numId w:val="34"/>
        </w:numPr>
        <w:rPr>
          <w:lang w:val="en-US"/>
        </w:rPr>
      </w:pPr>
      <w:r w:rsidRPr="00F2356C">
        <w:rPr>
          <w:b/>
          <w:lang w:val="en-US"/>
        </w:rPr>
        <w:t xml:space="preserve">Steen T. </w:t>
      </w:r>
      <w:r w:rsidRPr="00F2356C">
        <w:rPr>
          <w:lang w:val="en-US"/>
        </w:rPr>
        <w:t>Conflicts of Interest or Aligned Incentives? Blockholder Ownership, Dividends and Firm Value in the US and the EU // European Business Organization Law Review - The Hague: T.M.C. Asser Instituut, 2005, vol. 6, No. 2, p. 201-225. - DOI: 10.1017/S1566752905002016</w:t>
      </w:r>
    </w:p>
    <w:p w:rsidR="00F2356C" w:rsidRPr="00F2356C" w:rsidRDefault="00F2356C" w:rsidP="00F2356C">
      <w:pPr>
        <w:pStyle w:val="ListParagraph"/>
        <w:numPr>
          <w:ilvl w:val="0"/>
          <w:numId w:val="34"/>
        </w:numPr>
        <w:rPr>
          <w:lang w:val="en-US"/>
        </w:rPr>
      </w:pPr>
      <w:r w:rsidRPr="00F2356C">
        <w:rPr>
          <w:b/>
          <w:lang w:val="en-US"/>
        </w:rPr>
        <w:lastRenderedPageBreak/>
        <w:t xml:space="preserve">Taneem S., Yuce A. </w:t>
      </w:r>
      <w:r w:rsidRPr="00F2356C">
        <w:rPr>
          <w:lang w:val="en-US"/>
        </w:rPr>
        <w:t>Information Content of Dividend Announcements: An Investigation of The Indian Stock Market // International Business &amp; Economics Research Journal – Littleton: Clute Institute, 2011, vol. 10, No. 5, p. 49-57. - ISSN: 15350754</w:t>
      </w:r>
    </w:p>
    <w:p w:rsidR="00F2356C" w:rsidRPr="00F2356C" w:rsidRDefault="00F2356C" w:rsidP="00F2356C">
      <w:pPr>
        <w:pStyle w:val="ListParagraph"/>
        <w:numPr>
          <w:ilvl w:val="0"/>
          <w:numId w:val="34"/>
        </w:numPr>
        <w:rPr>
          <w:rFonts w:cs="Times New Roman"/>
          <w:szCs w:val="24"/>
        </w:rPr>
      </w:pPr>
      <w:r w:rsidRPr="00F2356C">
        <w:rPr>
          <w:rFonts w:cs="Times New Roman"/>
          <w:b/>
          <w:szCs w:val="24"/>
        </w:rPr>
        <w:t xml:space="preserve">Visscher S., Filbeck G. </w:t>
      </w:r>
      <w:r w:rsidRPr="00F2356C">
        <w:rPr>
          <w:rFonts w:cs="Times New Roman"/>
          <w:szCs w:val="24"/>
        </w:rPr>
        <w:t>Dividend-yield Strategies in the Canadian Stock Market // Financial Analysts</w:t>
      </w:r>
      <w:r w:rsidRPr="00F2356C">
        <w:rPr>
          <w:rFonts w:cs="Times New Roman"/>
          <w:szCs w:val="24"/>
          <w:lang w:val="en-US"/>
        </w:rPr>
        <w:t xml:space="preserve"> </w:t>
      </w:r>
      <w:r w:rsidRPr="00F2356C">
        <w:rPr>
          <w:rFonts w:cs="Times New Roman"/>
          <w:szCs w:val="24"/>
        </w:rPr>
        <w:t>Journal – Oxfordshire: Routledge, 2003, vol. 59, No. 1, p. 99-106. - ISSN: 0015198X</w:t>
      </w:r>
    </w:p>
    <w:p w:rsidR="00F2356C" w:rsidRPr="00F2356C" w:rsidRDefault="00F2356C" w:rsidP="00F2356C">
      <w:pPr>
        <w:pStyle w:val="ListParagraph"/>
        <w:numPr>
          <w:ilvl w:val="0"/>
          <w:numId w:val="34"/>
        </w:numPr>
        <w:rPr>
          <w:b/>
          <w:bCs/>
        </w:rPr>
      </w:pPr>
      <w:r w:rsidRPr="00F2356C">
        <w:rPr>
          <w:b/>
          <w:bCs/>
        </w:rPr>
        <w:t xml:space="preserve">Walter, J. E. </w:t>
      </w:r>
      <w:r w:rsidRPr="00F2356C">
        <w:rPr>
          <w:bCs/>
        </w:rPr>
        <w:t>Dividend Policies and Common Stock Prices // Journal of Finance – Oxford: Wiley-Blackwell, 1956, vol. 11, No. 1, p. 29-41. -</w:t>
      </w:r>
      <w:r w:rsidRPr="00E62962">
        <w:t xml:space="preserve"> </w:t>
      </w:r>
      <w:r>
        <w:t>ISSN: 00221082</w:t>
      </w:r>
    </w:p>
    <w:p w:rsidR="00F2356C" w:rsidRPr="00F2356C" w:rsidRDefault="00F2356C" w:rsidP="00F2356C">
      <w:pPr>
        <w:pStyle w:val="ListParagraph"/>
        <w:numPr>
          <w:ilvl w:val="0"/>
          <w:numId w:val="34"/>
        </w:numPr>
        <w:rPr>
          <w:rFonts w:cs="Times New Roman"/>
          <w:szCs w:val="24"/>
        </w:rPr>
      </w:pPr>
      <w:r w:rsidRPr="00F2356C">
        <w:rPr>
          <w:b/>
        </w:rPr>
        <w:t>Yeh C. T., et al</w:t>
      </w:r>
      <w:r>
        <w:t xml:space="preserve">. The Information Content of Dividend Change at the Annual Shareholders Meeting: Evidence in Taiwan’s Stock Market // </w:t>
      </w:r>
      <w:r w:rsidRPr="00F2356C">
        <w:rPr>
          <w:rFonts w:cs="Times New Roman"/>
          <w:szCs w:val="24"/>
        </w:rPr>
        <w:t xml:space="preserve">International Research Journal of Finance and Economics: EuroJournals Publishing, 2011, No. 70, p. 68-80. – ISSN: 1450-2887 </w:t>
      </w:r>
    </w:p>
    <w:p w:rsidR="00F2356C" w:rsidRPr="00F2356C" w:rsidRDefault="00F2356C" w:rsidP="00F2356C">
      <w:pPr>
        <w:pStyle w:val="ListParagraph"/>
        <w:numPr>
          <w:ilvl w:val="0"/>
          <w:numId w:val="34"/>
        </w:numPr>
        <w:rPr>
          <w:rFonts w:cs="Times New Roman"/>
          <w:szCs w:val="24"/>
        </w:rPr>
      </w:pPr>
      <w:r w:rsidRPr="00F2356C">
        <w:rPr>
          <w:b/>
          <w:lang w:val="en-US"/>
        </w:rPr>
        <w:t>Žilinskij G., Rutkauskas A. V.</w:t>
      </w:r>
      <w:r w:rsidRPr="00F2356C">
        <w:rPr>
          <w:lang w:val="en-US"/>
        </w:rPr>
        <w:t xml:space="preserve"> Akcijų investiciniu patrauklumu paremtas investicinio portfelio sudarymo modelis / Business: Theory &amp; Practice – Vilnius: Vilniaus Gedimino Technikos universitetas, 2012, vol. 13, No. 3, p. 242-252. - DOI: </w:t>
      </w:r>
      <w:r w:rsidRPr="00F2356C">
        <w:rPr>
          <w:rFonts w:cs="Times New Roman"/>
          <w:szCs w:val="24"/>
          <w:lang w:val="en-US"/>
        </w:rPr>
        <w:t>10.3846/btp.2012.26.</w:t>
      </w:r>
    </w:p>
    <w:p w:rsidR="003B76B8" w:rsidRPr="00F2356C" w:rsidRDefault="003B76B8" w:rsidP="00F2356C">
      <w:pPr>
        <w:rPr>
          <w:b/>
          <w:szCs w:val="24"/>
        </w:rPr>
      </w:pPr>
      <w:r w:rsidRPr="00F2356C">
        <w:rPr>
          <w:b/>
          <w:szCs w:val="24"/>
        </w:rPr>
        <w:t>Neperiodinė literatūra</w:t>
      </w:r>
      <w:r w:rsidR="00F2356C">
        <w:rPr>
          <w:b/>
          <w:szCs w:val="24"/>
        </w:rPr>
        <w:t>:</w:t>
      </w:r>
    </w:p>
    <w:p w:rsidR="003B76B8" w:rsidRPr="007F7304" w:rsidRDefault="003B76B8" w:rsidP="007F7304">
      <w:pPr>
        <w:pStyle w:val="ListParagraph"/>
        <w:numPr>
          <w:ilvl w:val="0"/>
          <w:numId w:val="44"/>
        </w:numPr>
        <w:ind w:left="709" w:hanging="283"/>
        <w:jc w:val="left"/>
        <w:rPr>
          <w:szCs w:val="24"/>
        </w:rPr>
      </w:pPr>
      <w:r w:rsidRPr="007F7304">
        <w:rPr>
          <w:b/>
          <w:szCs w:val="24"/>
        </w:rPr>
        <w:t>Dow Jones Industrial best dividend stocks.</w:t>
      </w:r>
      <w:r w:rsidRPr="007F7304">
        <w:rPr>
          <w:szCs w:val="24"/>
        </w:rPr>
        <w:t xml:space="preserve"> http://www.topyields.nl/Top-dividend-yields-of-DJIA.php [žiūrėta </w:t>
      </w:r>
      <w:r w:rsidRPr="007F7304">
        <w:rPr>
          <w:szCs w:val="24"/>
          <w:lang w:val="en-US"/>
        </w:rPr>
        <w:t>2011.09.13]</w:t>
      </w:r>
    </w:p>
    <w:p w:rsidR="00126394" w:rsidRPr="00D73B40" w:rsidRDefault="00126394" w:rsidP="007F7304">
      <w:pPr>
        <w:pStyle w:val="ListParagraph"/>
        <w:numPr>
          <w:ilvl w:val="0"/>
          <w:numId w:val="44"/>
        </w:numPr>
        <w:ind w:left="709" w:hanging="283"/>
        <w:jc w:val="left"/>
      </w:pPr>
      <w:r w:rsidRPr="007F7304">
        <w:rPr>
          <w:b/>
        </w:rPr>
        <w:t xml:space="preserve">Nasdaq OMX Baltic ICB klasifikacija  </w:t>
      </w:r>
      <w:r w:rsidR="004D1B53" w:rsidRPr="007F7304">
        <w:rPr>
          <w:b/>
        </w:rPr>
        <w:t>(Baltijos Reguliuojama rinka)</w:t>
      </w:r>
      <w:r w:rsidRPr="007F7304">
        <w:rPr>
          <w:b/>
        </w:rPr>
        <w:t xml:space="preserve"> </w:t>
      </w:r>
      <w:r w:rsidRPr="00D73B40">
        <w:t>http://www.nasdaqomxbaltic.com/market/?pg=industry&amp;lang=lt</w:t>
      </w:r>
      <w:r w:rsidR="004D1B53">
        <w:t xml:space="preserve"> [žiūrėta 2012.11.17]</w:t>
      </w:r>
    </w:p>
    <w:p w:rsidR="00126394" w:rsidRDefault="00126394" w:rsidP="007F7304">
      <w:pPr>
        <w:pStyle w:val="ListParagraph"/>
        <w:numPr>
          <w:ilvl w:val="0"/>
          <w:numId w:val="44"/>
        </w:numPr>
        <w:ind w:left="709" w:hanging="283"/>
        <w:jc w:val="left"/>
      </w:pPr>
      <w:r w:rsidRPr="007F7304">
        <w:rPr>
          <w:b/>
        </w:rPr>
        <w:t>Standard &amp; Poor's Financial Services LLC</w:t>
      </w:r>
      <w:r w:rsidR="004D1B53" w:rsidRPr="007F7304">
        <w:rPr>
          <w:b/>
        </w:rPr>
        <w:t xml:space="preserve"> S&amp;P 500 GICS Sector:</w:t>
      </w:r>
      <w:r w:rsidRPr="007F7304">
        <w:rPr>
          <w:b/>
        </w:rPr>
        <w:t xml:space="preserve"> S&amp;P 500 Dividends and Payers</w:t>
      </w:r>
      <w:r w:rsidR="004D1B53">
        <w:t xml:space="preserve">. </w:t>
      </w:r>
      <w:r w:rsidRPr="00A45664">
        <w:t>http://www.standardandpoors.com/indices/articles/en/us/?articleType=XLS&amp;assetID=1245189923142</w:t>
      </w:r>
      <w:r w:rsidR="00174D42">
        <w:t xml:space="preserve"> [žiūrėta 2012.11.11]</w:t>
      </w:r>
    </w:p>
    <w:p w:rsidR="00126394" w:rsidRPr="007F7304" w:rsidRDefault="00126394" w:rsidP="007F7304">
      <w:pPr>
        <w:pStyle w:val="ListParagraph"/>
        <w:numPr>
          <w:ilvl w:val="0"/>
          <w:numId w:val="44"/>
        </w:numPr>
        <w:ind w:left="709" w:hanging="283"/>
        <w:jc w:val="left"/>
        <w:rPr>
          <w:b/>
        </w:rPr>
      </w:pPr>
      <w:r w:rsidRPr="007F7304">
        <w:rPr>
          <w:b/>
        </w:rPr>
        <w:t xml:space="preserve">Nasdaq OMX Baltic Rinkos kapitalizacija </w:t>
      </w:r>
      <w:r w:rsidR="00174D42" w:rsidRPr="007F7304">
        <w:rPr>
          <w:b/>
        </w:rPr>
        <w:t>(</w:t>
      </w:r>
      <w:r w:rsidRPr="007F7304">
        <w:rPr>
          <w:b/>
        </w:rPr>
        <w:t>29.12.2011 - 30.12.2011</w:t>
      </w:r>
      <w:r w:rsidR="004D1B53" w:rsidRPr="007F7304">
        <w:rPr>
          <w:b/>
        </w:rPr>
        <w:t>,</w:t>
      </w:r>
      <w:r w:rsidRPr="007F7304">
        <w:rPr>
          <w:b/>
        </w:rPr>
        <w:t xml:space="preserve">  Baltijos Reguliuojama rinka</w:t>
      </w:r>
      <w:r w:rsidR="00174D42" w:rsidRPr="007F7304">
        <w:rPr>
          <w:b/>
        </w:rPr>
        <w:t xml:space="preserve">) </w:t>
      </w:r>
      <w:r w:rsidRPr="00D73B40">
        <w:t>http://www.nasdaqomxbaltic.com/market/?pg=capital&amp;list%5B%5D=BAMT&amp;list%5B%5D=BAIT&amp;list%5B%5D=BAFN&amp;market=&amp;period=other&amp;start_d=30&amp;start_m=12&amp;start_y=2011&amp;end_d=30&amp;end_m=12&amp;end_y=2011</w:t>
      </w:r>
      <w:r w:rsidR="00174D42">
        <w:t xml:space="preserve"> [žiūrėta 2012.11.17]</w:t>
      </w:r>
    </w:p>
    <w:p w:rsidR="00126394" w:rsidRDefault="00126394" w:rsidP="00126394">
      <w:pPr>
        <w:autoSpaceDE w:val="0"/>
        <w:autoSpaceDN w:val="0"/>
        <w:adjustRightInd w:val="0"/>
        <w:spacing w:before="0" w:line="240" w:lineRule="auto"/>
        <w:ind w:firstLine="0"/>
        <w:jc w:val="left"/>
        <w:rPr>
          <w:rFonts w:ascii="NewCenturySchlbk-Bold" w:hAnsi="NewCenturySchlbk-Bold" w:cs="NewCenturySchlbk-Bold"/>
          <w:b/>
          <w:bCs/>
          <w:sz w:val="28"/>
          <w:szCs w:val="28"/>
        </w:rPr>
      </w:pPr>
    </w:p>
    <w:p w:rsidR="00FC6A12" w:rsidRDefault="00FC6A12" w:rsidP="00FC6A12">
      <w:pPr>
        <w:pStyle w:val="ListParagraph"/>
        <w:ind w:left="786" w:firstLine="0"/>
        <w:rPr>
          <w:rFonts w:eastAsia="TT746o00"/>
          <w:b/>
        </w:rPr>
      </w:pPr>
    </w:p>
    <w:p w:rsidR="00C16315" w:rsidRDefault="00FC6A12" w:rsidP="00FC6A12">
      <w:pPr>
        <w:spacing w:before="0" w:after="200" w:line="276" w:lineRule="auto"/>
        <w:ind w:firstLine="0"/>
        <w:jc w:val="left"/>
        <w:rPr>
          <w:rFonts w:eastAsia="TT746o00"/>
          <w:b/>
        </w:rPr>
      </w:pPr>
      <w:r>
        <w:rPr>
          <w:rFonts w:eastAsia="TT746o00"/>
          <w:b/>
        </w:rPr>
        <w:br w:type="page"/>
      </w:r>
    </w:p>
    <w:p w:rsidR="001B34E3" w:rsidRPr="001B34E3" w:rsidRDefault="001B34E3" w:rsidP="001B34E3">
      <w:r w:rsidRPr="00095EF4">
        <w:rPr>
          <w:rFonts w:eastAsia="TT746o00"/>
          <w:b/>
        </w:rPr>
        <w:lastRenderedPageBreak/>
        <w:t>Tamošiūnas V.</w:t>
      </w:r>
      <w:r w:rsidR="00DC1B8B">
        <w:rPr>
          <w:rFonts w:eastAsia="TT746o00"/>
        </w:rPr>
        <w:t xml:space="preserve"> Dividendinio</w:t>
      </w:r>
      <w:r>
        <w:rPr>
          <w:rFonts w:eastAsia="TT746o00"/>
        </w:rPr>
        <w:t xml:space="preserve"> investavimo strategijos modeliavimas / Finansų rinkų magistro baigiamasis darbas. Vadov</w:t>
      </w:r>
      <w:r w:rsidR="00095EF4">
        <w:rPr>
          <w:rFonts w:eastAsia="TT746o00"/>
        </w:rPr>
        <w:t>ė</w:t>
      </w:r>
      <w:r>
        <w:rPr>
          <w:rFonts w:eastAsia="TT746o00"/>
        </w:rPr>
        <w:t xml:space="preserve"> doc. dr. D. Teresienė. – Vilnius: Mykolo Romerio Universitetas, Ekonomikos ir finansų valdymo fakultetas, Bankininkystės ir investicijų katedra</w:t>
      </w:r>
      <w:r w:rsidR="00095EF4">
        <w:rPr>
          <w:rFonts w:eastAsia="TT746o00"/>
        </w:rPr>
        <w:t xml:space="preserve">, </w:t>
      </w:r>
      <w:r>
        <w:rPr>
          <w:rFonts w:eastAsia="TT746o00"/>
        </w:rPr>
        <w:t xml:space="preserve"> 2012</w:t>
      </w:r>
      <w:r w:rsidR="002A2954">
        <w:rPr>
          <w:rFonts w:eastAsia="TT746o00"/>
        </w:rPr>
        <w:t xml:space="preserve"> – 120</w:t>
      </w:r>
      <w:r w:rsidR="00095EF4">
        <w:rPr>
          <w:rFonts w:eastAsia="TT746o00"/>
        </w:rPr>
        <w:t xml:space="preserve"> p.</w:t>
      </w:r>
    </w:p>
    <w:p w:rsidR="00095EF4" w:rsidRDefault="00095EF4" w:rsidP="00095EF4">
      <w:pPr>
        <w:pStyle w:val="Heading1"/>
        <w:rPr>
          <w:rFonts w:eastAsia="TT747o00"/>
        </w:rPr>
      </w:pPr>
      <w:bookmarkStart w:id="132" w:name="_Toc343677767"/>
      <w:r>
        <w:rPr>
          <w:rFonts w:eastAsia="TT747o00"/>
        </w:rPr>
        <w:t>ANOTACIJA</w:t>
      </w:r>
      <w:bookmarkEnd w:id="132"/>
    </w:p>
    <w:p w:rsidR="0070235E" w:rsidRPr="00FD417D" w:rsidRDefault="0070235E" w:rsidP="00095EF4">
      <w:r>
        <w:t>Magistro baigiamajame darbe atlikta</w:t>
      </w:r>
      <w:r w:rsidR="00B56E82">
        <w:t>s</w:t>
      </w:r>
      <w:r>
        <w:t xml:space="preserve"> </w:t>
      </w:r>
      <w:r w:rsidR="006F489A">
        <w:t>Baltijos šalių akcijų rinkos divi</w:t>
      </w:r>
      <w:r w:rsidR="00C751CE">
        <w:t>dendinio investavimo strategijų</w:t>
      </w:r>
      <w:r w:rsidR="006F489A">
        <w:t xml:space="preserve"> </w:t>
      </w:r>
      <w:r w:rsidR="009E1712">
        <w:t>modeliavimo</w:t>
      </w:r>
      <w:r w:rsidR="00DC1B8B">
        <w:t xml:space="preserve"> galimybių vertinimas trumpame laikotarpyje</w:t>
      </w:r>
      <w:r w:rsidR="00B56E82">
        <w:t xml:space="preserve">. Atsižvelgiant į ribotą mokslinių dividendų politikos tyrimų skaičių Baltijos šalyse, autoriaus nuomone šio tyrimo metu gauti rezultatai </w:t>
      </w:r>
      <w:r w:rsidR="00F8183D">
        <w:t>suteikia</w:t>
      </w:r>
      <w:r w:rsidR="00B56E82">
        <w:t xml:space="preserve"> pakankamai </w:t>
      </w:r>
      <w:r w:rsidR="00F8183D">
        <w:t>pagrįstą</w:t>
      </w:r>
      <w:r w:rsidR="00B56E82">
        <w:t xml:space="preserve"> pagrindą</w:t>
      </w:r>
      <w:r w:rsidR="00DE524B">
        <w:t xml:space="preserve"> tolimesniam</w:t>
      </w:r>
      <w:r w:rsidR="00B56E82">
        <w:t xml:space="preserve"> investavimo strategijų taikymo ir dividendų politikos formavimo galimybių vertinimui tiek investuotojų, tiek įmonės vadovų, tiek ir finansų analitikų tarpe. </w:t>
      </w:r>
      <w:r w:rsidR="006F489A">
        <w:t>Pirmoje darbo dalyje išanalizuotos įmonės dividendų politikos teorijos ir dividendų politikos kriterijų įtaka akcijų pelningumams dividendų paskelbimo dienomis bei apžvelgti pagrindiniai teoriniai dividendų politikos</w:t>
      </w:r>
      <w:r w:rsidR="00D2382A">
        <w:t xml:space="preserve"> kriterijų</w:t>
      </w:r>
      <w:r w:rsidR="006F489A">
        <w:t xml:space="preserve"> analizės modeliai. Antroje dalyje iškeltos hipotezės atliekamam tyrimui, suformuoti dividendinių įmonių atrankos kriterijai, dividendų naujienų konteksto vertinimo metodai ir pristatytos daugiakriterinio dividendinio investavimo modelio gairės. Trečioje tyrimo dalyje atliktas empirinis siūlomų daugiakriterinių modelių vertinimas dividendų paskelbimo dienomis, prieš tai išanalizavus Baltijos šalių dividendinių įmonių rinką ir akcijų pelningumus esant skirtingam dividendų naujienų kontekstui. Darbo pabaigoje pateiktos baigiamojo darbo išvados ir siūlymai.</w:t>
      </w:r>
      <w:r w:rsidR="00FD417D">
        <w:t xml:space="preserve"> Atsižvelgiant į šio tyrimo rezultatus, autorius siūlo ir toliau plėtoti Baltijos šalių</w:t>
      </w:r>
      <w:r w:rsidR="00DC1B8B">
        <w:t xml:space="preserve"> įmonių</w:t>
      </w:r>
      <w:r w:rsidR="00FD417D">
        <w:t xml:space="preserve"> dividendų politikos tyrimus. </w:t>
      </w:r>
    </w:p>
    <w:p w:rsidR="00095EF4" w:rsidRDefault="00095EF4" w:rsidP="0070235E">
      <w:r>
        <w:rPr>
          <w:b/>
        </w:rPr>
        <w:t>Pagrindiniai žodžiai</w:t>
      </w:r>
      <w:r w:rsidR="0070235E">
        <w:rPr>
          <w:b/>
        </w:rPr>
        <w:t xml:space="preserve">: </w:t>
      </w:r>
      <w:r w:rsidR="0070235E" w:rsidRPr="0070235E">
        <w:t>įmonės dividendų politika, dividendų naujienų paskelbimo įvyki</w:t>
      </w:r>
      <w:r w:rsidR="0070235E">
        <w:t>ai</w:t>
      </w:r>
      <w:r w:rsidR="0070235E" w:rsidRPr="0070235E">
        <w:t>, dividendų pajamingumas</w:t>
      </w:r>
      <w:r w:rsidR="0070235E">
        <w:t>, dividendų išmokėjimo koeficientas</w:t>
      </w:r>
      <w:r w:rsidR="0070235E" w:rsidRPr="0070235E">
        <w:t xml:space="preserve">, </w:t>
      </w:r>
      <w:r w:rsidR="0070235E">
        <w:t>sudėtiniai</w:t>
      </w:r>
      <w:r w:rsidR="0070235E" w:rsidRPr="0070235E">
        <w:t xml:space="preserve"> akcijų pelninguma</w:t>
      </w:r>
      <w:r w:rsidR="0070235E">
        <w:t>i</w:t>
      </w:r>
      <w:r w:rsidR="0070235E" w:rsidRPr="0070235E">
        <w:t>, daugiakriterinis dividendin</w:t>
      </w:r>
      <w:r w:rsidR="0070235E">
        <w:t>ės</w:t>
      </w:r>
      <w:r w:rsidR="0070235E" w:rsidRPr="0070235E">
        <w:t xml:space="preserve"> investavimo</w:t>
      </w:r>
      <w:r w:rsidR="0070235E">
        <w:t xml:space="preserve"> strategijos</w:t>
      </w:r>
      <w:r w:rsidR="0070235E" w:rsidRPr="0070235E">
        <w:t xml:space="preserve"> modelis</w:t>
      </w:r>
      <w:r w:rsidR="0070235E">
        <w:t>.</w:t>
      </w:r>
    </w:p>
    <w:p w:rsidR="00095EF4" w:rsidRDefault="00095EF4">
      <w:pPr>
        <w:spacing w:before="0" w:after="200" w:line="276" w:lineRule="auto"/>
        <w:ind w:firstLine="0"/>
        <w:jc w:val="left"/>
        <w:rPr>
          <w:rFonts w:eastAsia="TT746o00"/>
          <w:b/>
        </w:rPr>
      </w:pPr>
      <w:r>
        <w:rPr>
          <w:rFonts w:eastAsia="TT746o00"/>
          <w:b/>
        </w:rPr>
        <w:br w:type="page"/>
      </w:r>
    </w:p>
    <w:p w:rsidR="00095EF4" w:rsidRPr="001B34E3" w:rsidRDefault="00095EF4" w:rsidP="00095EF4">
      <w:r w:rsidRPr="001F6759">
        <w:rPr>
          <w:rFonts w:eastAsia="TT746o00"/>
          <w:b/>
          <w:lang w:val="en-US"/>
        </w:rPr>
        <w:lastRenderedPageBreak/>
        <w:t>Tamošiūnas V.</w:t>
      </w:r>
      <w:r w:rsidR="00DC1B8B">
        <w:rPr>
          <w:rFonts w:eastAsia="TT746o00"/>
          <w:lang w:val="en-US"/>
        </w:rPr>
        <w:t xml:space="preserve"> Mode</w:t>
      </w:r>
      <w:r w:rsidRPr="001F6759">
        <w:rPr>
          <w:rFonts w:eastAsia="TT746o00"/>
          <w:lang w:val="en-US"/>
        </w:rPr>
        <w:t>ling of Dividend Invest</w:t>
      </w:r>
      <w:r w:rsidR="001F6759" w:rsidRPr="001F6759">
        <w:rPr>
          <w:rFonts w:eastAsia="TT746o00"/>
          <w:lang w:val="en-US"/>
        </w:rPr>
        <w:t>ment</w:t>
      </w:r>
      <w:r w:rsidRPr="001F6759">
        <w:rPr>
          <w:rFonts w:eastAsia="TT746o00"/>
          <w:lang w:val="en-US"/>
        </w:rPr>
        <w:t xml:space="preserve"> Strategy / Master Thesis of Financial Markets. </w:t>
      </w:r>
      <w:r w:rsidR="001F6759" w:rsidRPr="001F6759">
        <w:rPr>
          <w:rFonts w:eastAsia="TT746o00"/>
          <w:lang w:val="en-US"/>
        </w:rPr>
        <w:t>Supervisor</w:t>
      </w:r>
      <w:r w:rsidRPr="001F6759">
        <w:rPr>
          <w:rFonts w:eastAsia="TT746o00"/>
          <w:lang w:val="en-US"/>
        </w:rPr>
        <w:t xml:space="preserve"> assoc. prof. D. Teresienė. – Vilnius: Mykolas Romeris University, Faculty of Economics and Finance Management, Depa</w:t>
      </w:r>
      <w:r w:rsidR="001F6759" w:rsidRPr="001F6759">
        <w:rPr>
          <w:rFonts w:eastAsia="TT746o00"/>
          <w:lang w:val="en-US"/>
        </w:rPr>
        <w:t>r</w:t>
      </w:r>
      <w:r w:rsidRPr="001F6759">
        <w:rPr>
          <w:rFonts w:eastAsia="TT746o00"/>
          <w:lang w:val="en-US"/>
        </w:rPr>
        <w:t>tment of Banking and Investments,</w:t>
      </w:r>
      <w:r w:rsidR="002A2954">
        <w:rPr>
          <w:rFonts w:eastAsia="TT746o00"/>
        </w:rPr>
        <w:t xml:space="preserve">  2012 – 120</w:t>
      </w:r>
      <w:r>
        <w:rPr>
          <w:rFonts w:eastAsia="TT746o00"/>
        </w:rPr>
        <w:t xml:space="preserve"> p.</w:t>
      </w:r>
    </w:p>
    <w:p w:rsidR="00095EF4" w:rsidRDefault="00095EF4" w:rsidP="00095EF4">
      <w:pPr>
        <w:pStyle w:val="Heading1"/>
        <w:rPr>
          <w:rFonts w:eastAsia="TT747o00"/>
        </w:rPr>
      </w:pPr>
      <w:bookmarkStart w:id="133" w:name="_Toc343677768"/>
      <w:r>
        <w:rPr>
          <w:rFonts w:eastAsia="TT747o00"/>
        </w:rPr>
        <w:t>ANOTATION</w:t>
      </w:r>
      <w:bookmarkEnd w:id="133"/>
    </w:p>
    <w:p w:rsidR="00DC1B8B" w:rsidRPr="00DC1B8B" w:rsidRDefault="00DC1B8B" w:rsidP="00DC1B8B">
      <w:pPr>
        <w:rPr>
          <w:lang w:val="en-US"/>
        </w:rPr>
      </w:pPr>
      <w:r w:rsidRPr="00DC1B8B">
        <w:rPr>
          <w:lang w:val="en-US"/>
        </w:rPr>
        <w:t>In the following Master Thesis possibilities of modeling of dividend investing strategy</w:t>
      </w:r>
      <w:r>
        <w:rPr>
          <w:lang w:val="en-US"/>
        </w:rPr>
        <w:t xml:space="preserve"> in Baltic equity list</w:t>
      </w:r>
      <w:r w:rsidRPr="00DC1B8B">
        <w:rPr>
          <w:lang w:val="en-US"/>
        </w:rPr>
        <w:t xml:space="preserve"> were analyzed.</w:t>
      </w:r>
      <w:r>
        <w:rPr>
          <w:lang w:val="en-US"/>
        </w:rPr>
        <w:t xml:space="preserve"> Taking into consideration limited number of researches made on dividend politic in a Baltic countries</w:t>
      </w:r>
      <w:r w:rsidR="00DE524B">
        <w:rPr>
          <w:lang w:val="en-US"/>
        </w:rPr>
        <w:t>, author is making assumption that those research results, which</w:t>
      </w:r>
      <w:r w:rsidR="00F8183D">
        <w:rPr>
          <w:lang w:val="en-US"/>
        </w:rPr>
        <w:t xml:space="preserve"> were collected during Thesis, established</w:t>
      </w:r>
      <w:r w:rsidR="00DE524B">
        <w:rPr>
          <w:lang w:val="en-US"/>
        </w:rPr>
        <w:t xml:space="preserve"> a meaningful background for further em</w:t>
      </w:r>
      <w:r w:rsidR="00F8183D">
        <w:rPr>
          <w:lang w:val="en-US"/>
        </w:rPr>
        <w:t>ploying investing strategies or formation of soundly dividend policies</w:t>
      </w:r>
      <w:r w:rsidR="00DE524B">
        <w:rPr>
          <w:lang w:val="en-US"/>
        </w:rPr>
        <w:t xml:space="preserve"> depending on individual objectives: </w:t>
      </w:r>
      <w:r w:rsidR="00D2382A">
        <w:rPr>
          <w:lang w:val="en-US"/>
        </w:rPr>
        <w:t>whether you are investor, corporate manager or financial analytic. In the first part of work theoretical dividend policies were analyzed on corporate level, also dividend policies criterion</w:t>
      </w:r>
      <w:r w:rsidR="00163569">
        <w:rPr>
          <w:lang w:val="en-US"/>
        </w:rPr>
        <w:t>s</w:t>
      </w:r>
      <w:r w:rsidR="00D2382A">
        <w:rPr>
          <w:lang w:val="en-US"/>
        </w:rPr>
        <w:t xml:space="preserve"> effects for abnormal returns on dividend announcement events were studied, similarly main theoretical multi-criterion dividend policy models were reviewed. In the second part of work</w:t>
      </w:r>
      <w:r w:rsidR="00163569">
        <w:rPr>
          <w:lang w:val="en-US"/>
        </w:rPr>
        <w:t xml:space="preserve"> empirical</w:t>
      </w:r>
      <w:r w:rsidR="00D2382A">
        <w:rPr>
          <w:lang w:val="en-US"/>
        </w:rPr>
        <w:t xml:space="preserve"> </w:t>
      </w:r>
      <w:r w:rsidR="00163569">
        <w:rPr>
          <w:lang w:val="en-US"/>
        </w:rPr>
        <w:t xml:space="preserve">hypotheses, sampling criterions were formulated, afterwards estimation methods depending on dividend announcement context were defined and multi-criterion guidelines for dividend investment strategy research were determined. In the third part of work empirical investigation of suggested multi-criterion models on dividend announcement event days </w:t>
      </w:r>
      <w:r w:rsidR="00C751CE">
        <w:rPr>
          <w:lang w:val="en-US"/>
        </w:rPr>
        <w:t xml:space="preserve">were accomplished </w:t>
      </w:r>
      <w:r w:rsidR="00163569">
        <w:rPr>
          <w:lang w:val="en-US"/>
        </w:rPr>
        <w:t>by previously</w:t>
      </w:r>
      <w:r w:rsidR="00C751CE">
        <w:rPr>
          <w:lang w:val="en-US"/>
        </w:rPr>
        <w:t xml:space="preserve"> studying out </w:t>
      </w:r>
      <w:r w:rsidR="00163569">
        <w:rPr>
          <w:lang w:val="en-US"/>
        </w:rPr>
        <w:t xml:space="preserve">dividend payers market in Baltic countries and </w:t>
      </w:r>
      <w:r w:rsidR="00C751CE">
        <w:rPr>
          <w:lang w:val="en-US"/>
        </w:rPr>
        <w:t xml:space="preserve">analyzing </w:t>
      </w:r>
      <w:r w:rsidR="00163569">
        <w:rPr>
          <w:lang w:val="en-US"/>
        </w:rPr>
        <w:t xml:space="preserve">abnormal returns on </w:t>
      </w:r>
      <w:r w:rsidR="00C751CE">
        <w:rPr>
          <w:lang w:val="en-US"/>
        </w:rPr>
        <w:t>some erratic</w:t>
      </w:r>
      <w:r w:rsidR="00163569">
        <w:rPr>
          <w:lang w:val="en-US"/>
        </w:rPr>
        <w:t xml:space="preserve"> dividend news context.</w:t>
      </w:r>
      <w:r w:rsidR="00C751CE">
        <w:rPr>
          <w:lang w:val="en-US"/>
        </w:rPr>
        <w:t xml:space="preserve"> At the end of Thesis, conclusions and proposals for further studies are given. Depending on research results, author suggests further develop</w:t>
      </w:r>
      <w:r w:rsidR="00F8183D">
        <w:rPr>
          <w:lang w:val="en-US"/>
        </w:rPr>
        <w:t>ing</w:t>
      </w:r>
      <w:r w:rsidR="00C751CE">
        <w:rPr>
          <w:lang w:val="en-US"/>
        </w:rPr>
        <w:t xml:space="preserve"> broader dividend policy investigations on Baltic equities list.</w:t>
      </w:r>
    </w:p>
    <w:p w:rsidR="0070235E" w:rsidRPr="00F8183D" w:rsidRDefault="0070235E" w:rsidP="0070235E">
      <w:pPr>
        <w:rPr>
          <w:b/>
          <w:lang w:val="en-US"/>
        </w:rPr>
      </w:pPr>
      <w:r w:rsidRPr="00F8183D">
        <w:rPr>
          <w:b/>
          <w:lang w:val="en-US"/>
        </w:rPr>
        <w:t>Key words:</w:t>
      </w:r>
      <w:r w:rsidRPr="00F8183D">
        <w:rPr>
          <w:lang w:val="en-US"/>
        </w:rPr>
        <w:t xml:space="preserve"> corporate dividend payout policy, dividend announcement events, dividend yield, dividend payout</w:t>
      </w:r>
      <w:r w:rsidR="00F8183D">
        <w:rPr>
          <w:lang w:val="en-US"/>
        </w:rPr>
        <w:t>, cu</w:t>
      </w:r>
      <w:r w:rsidRPr="00F8183D">
        <w:rPr>
          <w:lang w:val="en-US"/>
        </w:rPr>
        <w:t>mulative abnormal returns, the model of multi</w:t>
      </w:r>
      <w:r w:rsidR="00F8183D">
        <w:rPr>
          <w:lang w:val="en-US"/>
        </w:rPr>
        <w:t>-criterion</w:t>
      </w:r>
      <w:r w:rsidRPr="00F8183D">
        <w:rPr>
          <w:lang w:val="en-US"/>
        </w:rPr>
        <w:t xml:space="preserve"> dividend investing strategy.</w:t>
      </w:r>
    </w:p>
    <w:p w:rsidR="0070235E" w:rsidRPr="0070235E" w:rsidRDefault="0070235E" w:rsidP="0070235E"/>
    <w:p w:rsidR="001F6759" w:rsidRDefault="001F6759" w:rsidP="0070235E">
      <w:pPr>
        <w:rPr>
          <w:rFonts w:cstheme="majorBidi"/>
          <w:sz w:val="28"/>
          <w:szCs w:val="28"/>
        </w:rPr>
      </w:pPr>
      <w:r>
        <w:br w:type="page"/>
      </w:r>
    </w:p>
    <w:p w:rsidR="001F6759" w:rsidRPr="001B34E3" w:rsidRDefault="001F6759" w:rsidP="001F6759">
      <w:r w:rsidRPr="00095EF4">
        <w:rPr>
          <w:rFonts w:eastAsia="TT746o00"/>
          <w:b/>
        </w:rPr>
        <w:lastRenderedPageBreak/>
        <w:t>Tamošiūnas V.</w:t>
      </w:r>
      <w:r w:rsidR="00DC1B8B">
        <w:rPr>
          <w:rFonts w:eastAsia="TT746o00"/>
        </w:rPr>
        <w:t xml:space="preserve"> Dividendinio</w:t>
      </w:r>
      <w:r>
        <w:rPr>
          <w:rFonts w:eastAsia="TT746o00"/>
        </w:rPr>
        <w:t xml:space="preserve"> investavimo strategijos modeliavimas / Finansų rinkų magistro baigiamasis darbas. Vadovė doc. dr. D. Teresienė. – Vilnius: Mykolo Romerio Universitetas, Ekonomikos ir finansų valdymo fakultetas, Bankininkystės ir </w:t>
      </w:r>
      <w:r w:rsidR="002A2954">
        <w:rPr>
          <w:rFonts w:eastAsia="TT746o00"/>
        </w:rPr>
        <w:t>investicijų katedra,  2012 – 120</w:t>
      </w:r>
      <w:r>
        <w:rPr>
          <w:rFonts w:eastAsia="TT746o00"/>
        </w:rPr>
        <w:t xml:space="preserve"> p.</w:t>
      </w:r>
    </w:p>
    <w:p w:rsidR="001F6759" w:rsidRDefault="001F6759" w:rsidP="001F6759">
      <w:pPr>
        <w:pStyle w:val="Heading1"/>
      </w:pPr>
      <w:bookmarkStart w:id="134" w:name="_Toc343677769"/>
      <w:r>
        <w:t>SANTRAUKA</w:t>
      </w:r>
      <w:bookmarkEnd w:id="134"/>
    </w:p>
    <w:p w:rsidR="004E610A" w:rsidRDefault="004E610A" w:rsidP="004E610A">
      <w:r>
        <w:t>Remiantis Black (1976), galima teigti, jog dividendų politika yra tarsi neišspręstas finansų teorijų uždavinys. Kuomet Baltijos šalių akcijų indeksas ekonominio nuosmukio metais smuko daugiau kaip 70</w:t>
      </w:r>
      <w:r>
        <w:rPr>
          <w:lang w:val="en-US"/>
        </w:rPr>
        <w:t xml:space="preserve">%, </w:t>
      </w:r>
      <w:r w:rsidRPr="0083640C">
        <w:t>natūralu, kad investuotojams tapo svarbu užtikrinti finansinių aktyvų palaikymą ir saugesnę investicinę grąžą.</w:t>
      </w:r>
      <w:r w:rsidRPr="00B70E3E">
        <w:t xml:space="preserve"> </w:t>
      </w:r>
      <w:r>
        <w:t>Ankstesnių Baltijos šalyse atl</w:t>
      </w:r>
      <w:r w:rsidR="00B676A0">
        <w:t>iktų dividendų politikos tyrimų</w:t>
      </w:r>
      <w:r>
        <w:t xml:space="preserve"> praktinės pritaikymo galimybės yra ribotos ir neatskleidžia tiek investuotojams, tiek ir įmonių vadovams svarbių su įmonės dividendų politika ir fundamentiniais rodikliais susijusių</w:t>
      </w:r>
      <w:r w:rsidR="00B676A0">
        <w:t xml:space="preserve"> šiuolaikinių</w:t>
      </w:r>
      <w:r>
        <w:t xml:space="preserve"> modeliavimo sprendimų.</w:t>
      </w:r>
      <w:r>
        <w:rPr>
          <w:b/>
        </w:rPr>
        <w:t xml:space="preserve"> </w:t>
      </w:r>
      <w:r>
        <w:t xml:space="preserve">Moksliniame darbe iškeltas </w:t>
      </w:r>
      <w:r w:rsidRPr="00B70E3E">
        <w:rPr>
          <w:b/>
        </w:rPr>
        <w:t>t</w:t>
      </w:r>
      <w:r>
        <w:rPr>
          <w:b/>
        </w:rPr>
        <w:t>yrimo t</w:t>
      </w:r>
      <w:r w:rsidRPr="001907B7">
        <w:rPr>
          <w:b/>
        </w:rPr>
        <w:t>ikslas</w:t>
      </w:r>
      <w:r>
        <w:t xml:space="preserve">: įvertinti dividendinių investavimo strategijų </w:t>
      </w:r>
      <w:r w:rsidRPr="003E38D3">
        <w:rPr>
          <w:i/>
        </w:rPr>
        <w:t>Nasdaq OMX Baltic</w:t>
      </w:r>
      <w:r>
        <w:t xml:space="preserve"> akcijų biržoje modeliavimo galimybes dividendų paskelbimo dienomis ir pateikti galimus daugiakriterinius investavimo modelius.</w:t>
      </w:r>
      <w:r w:rsidRPr="007A5319">
        <w:t xml:space="preserve"> </w:t>
      </w:r>
    </w:p>
    <w:p w:rsidR="004E610A" w:rsidRDefault="004E610A" w:rsidP="004E610A">
      <w:r>
        <w:t xml:space="preserve">Tyrimo tikslas įgyvendinamas sekančia tvarka: analizuojant dividendų politikos teorijas ir teorinius dividendų politikos vertinimo modelius, apibrėžiant akcijų pelningumo analizę dividendų paskelbimo dienomis ir suformuojant strateginį investavimo modelį, atliekant dividendų politikos rodiklių įtakos akcijų pelningumui vertinimą ir pateikiant daugiakriterinius investavimo ir dividendų politikos modeliavimo sprendimus. Pagrindiniai </w:t>
      </w:r>
      <w:r w:rsidRPr="003B3B1E">
        <w:rPr>
          <w:b/>
        </w:rPr>
        <w:t>modeliavimo metodai</w:t>
      </w:r>
      <w:r>
        <w:t xml:space="preserve">: dividendų paskelbimo įvykių analizė, daugiakriterinė dividendų politikos ir fundamentinių veiksnių įtakos akcijų pelningumui analizė </w:t>
      </w:r>
      <w:r w:rsidRPr="00374996">
        <w:rPr>
          <w:i/>
        </w:rPr>
        <w:t xml:space="preserve">fiksuoto </w:t>
      </w:r>
      <w:r w:rsidRPr="00374996">
        <w:t>ir</w:t>
      </w:r>
      <w:r w:rsidRPr="00374996">
        <w:rPr>
          <w:i/>
        </w:rPr>
        <w:t xml:space="preserve"> atsitiktinio efekto</w:t>
      </w:r>
      <w:r>
        <w:t xml:space="preserve"> metodais.</w:t>
      </w:r>
    </w:p>
    <w:p w:rsidR="004E610A" w:rsidRPr="00C80C4F" w:rsidRDefault="004E610A" w:rsidP="004E610A">
      <w:r>
        <w:t xml:space="preserve">Pirmoje darbo dalyje atlikta mokslinės literatūros analizės dividendų politikos tematika ir išanalizuotas daugiakriterinių dividendų politikos tyrimo technikų teorinis pagrindas. Antroje dalyje suformuluotos hipotezės ir duomenų atrankos kriterijai, apibrėžtas analizuojamas intervalas ir pelningumo apskaičiavimo metodai, suformuluota strateginio modelio metodika. Trečioje dalyje atliktas dividendinių strategijų taikymo empirinis pagrindimas. </w:t>
      </w:r>
    </w:p>
    <w:p w:rsidR="004E610A" w:rsidRDefault="004E610A" w:rsidP="004E610A">
      <w:r w:rsidRPr="00855909">
        <w:rPr>
          <w:b/>
        </w:rPr>
        <w:t>Svarbiausi rezultatai ir išvados</w:t>
      </w:r>
      <w:r>
        <w:t>: Baltijos šalyse nominalus dividendų pokytis pasireiškia ribotais akcijų pelningumo efektais, tuo tarpu dividendų pajamingumo pokytis pasižymi informaciniu-signalizavimo efektu esant skirtingam naujienų kontekstui (atmetama pirmoji tyrimo hipotezė), informacijos asimetrijos efektas neturi praktinio pagrindo. Tyrimo metu nustatytas skirtingai pasireiškiantis dividendų politikos rodiklių reikšmingumas. Gautos reikšmingos nepaskirstyto pelno (RR), EBITDA pokyčio, ROE, RETE rodiklių reikšmės atitinkamų modelių kontekste. Strateginiai modeliai gali būti reikšmingai prataikyti dividendų paskelbimo dieną ir 6 dienų laikotarpiui po naujienų paskelbimo dienos (antroji tyrimo hipotezė negali būti kategoriškai atmetama).</w:t>
      </w:r>
    </w:p>
    <w:p w:rsidR="001F6759" w:rsidRPr="001F6759" w:rsidRDefault="001F6759" w:rsidP="001F6759">
      <w:pPr>
        <w:rPr>
          <w:lang w:val="en-US"/>
        </w:rPr>
      </w:pPr>
      <w:r w:rsidRPr="001F6759">
        <w:rPr>
          <w:rFonts w:eastAsia="TT746o00"/>
          <w:b/>
          <w:lang w:val="en-US"/>
        </w:rPr>
        <w:lastRenderedPageBreak/>
        <w:t>Tamošiūnas V.</w:t>
      </w:r>
      <w:r w:rsidR="00DC1B8B">
        <w:rPr>
          <w:rFonts w:eastAsia="TT746o00"/>
          <w:lang w:val="en-US"/>
        </w:rPr>
        <w:t xml:space="preserve"> Mode</w:t>
      </w:r>
      <w:r w:rsidRPr="001F6759">
        <w:rPr>
          <w:rFonts w:eastAsia="TT746o00"/>
          <w:lang w:val="en-US"/>
        </w:rPr>
        <w:t xml:space="preserve">ling of Dividend Investment Strategy / Master Thesis of Financial Markets. </w:t>
      </w:r>
      <w:r>
        <w:rPr>
          <w:rFonts w:eastAsia="TT746o00"/>
          <w:lang w:val="en-US"/>
        </w:rPr>
        <w:t>Supervisor</w:t>
      </w:r>
      <w:r w:rsidRPr="001F6759">
        <w:rPr>
          <w:rFonts w:eastAsia="TT746o00"/>
          <w:lang w:val="en-US"/>
        </w:rPr>
        <w:t xml:space="preserve"> assoc. prof. D. Teresienė. – Vilnius: Mykolas Romeris University, Faculty of Economics and Finance Management, Depa</w:t>
      </w:r>
      <w:r>
        <w:rPr>
          <w:rFonts w:eastAsia="TT746o00"/>
          <w:lang w:val="en-US"/>
        </w:rPr>
        <w:t>r</w:t>
      </w:r>
      <w:r w:rsidRPr="001F6759">
        <w:rPr>
          <w:rFonts w:eastAsia="TT746o00"/>
          <w:lang w:val="en-US"/>
        </w:rPr>
        <w:t>tment of Bank</w:t>
      </w:r>
      <w:r w:rsidR="006500BF">
        <w:rPr>
          <w:rFonts w:eastAsia="TT746o00"/>
          <w:lang w:val="en-US"/>
        </w:rPr>
        <w:t>ing and Investments,  2012 – 1</w:t>
      </w:r>
      <w:r w:rsidR="002A2954">
        <w:rPr>
          <w:rFonts w:eastAsia="TT746o00"/>
          <w:lang w:val="en-US"/>
        </w:rPr>
        <w:t>20</w:t>
      </w:r>
      <w:r w:rsidRPr="001F6759">
        <w:rPr>
          <w:rFonts w:eastAsia="TT746o00"/>
          <w:lang w:val="en-US"/>
        </w:rPr>
        <w:t xml:space="preserve"> p.</w:t>
      </w:r>
    </w:p>
    <w:p w:rsidR="001F6759" w:rsidRPr="001F6759" w:rsidRDefault="001F6759" w:rsidP="00A139DB">
      <w:pPr>
        <w:pStyle w:val="Heading1"/>
        <w:spacing w:after="120" w:line="240" w:lineRule="auto"/>
        <w:rPr>
          <w:rFonts w:eastAsia="TT747o00"/>
          <w:lang w:val="en-US"/>
        </w:rPr>
      </w:pPr>
      <w:bookmarkStart w:id="135" w:name="_Toc343677770"/>
      <w:r w:rsidRPr="001F6759">
        <w:rPr>
          <w:rFonts w:eastAsia="TT747o00"/>
          <w:lang w:val="en-US"/>
        </w:rPr>
        <w:t>SUMMARY</w:t>
      </w:r>
      <w:bookmarkEnd w:id="135"/>
    </w:p>
    <w:p w:rsidR="00AE37D6" w:rsidRPr="00AE37D6" w:rsidRDefault="00AE37D6" w:rsidP="00A139DB">
      <w:pPr>
        <w:spacing w:before="0"/>
        <w:rPr>
          <w:lang w:val="en-US"/>
        </w:rPr>
      </w:pPr>
      <w:r w:rsidRPr="00AE37D6">
        <w:rPr>
          <w:lang w:val="en-US"/>
        </w:rPr>
        <w:t>In reference to Black (1976) proposition, it might be stated that dividend policy is still a puzzle, which ha</w:t>
      </w:r>
      <w:r>
        <w:rPr>
          <w:lang w:val="en-US"/>
        </w:rPr>
        <w:t>sn</w:t>
      </w:r>
      <w:r w:rsidRPr="00AE37D6">
        <w:rPr>
          <w:lang w:val="en-US"/>
        </w:rPr>
        <w:t>‘t been solved.</w:t>
      </w:r>
      <w:r w:rsidR="00B676A0">
        <w:rPr>
          <w:lang w:val="en-US"/>
        </w:rPr>
        <w:t xml:space="preserve"> When in economics downturn, Baltic equity index dropped down 70% and above, it’s was matter-of-course for investors to maintain their financial assets and ensure secure returns from investment activities. Researches made before in Baltic countries focusing on dividend policy have limited possibilities for practical implementation of their results. Investors and corporate managers still are  unfamiliar with contemporary modeling decisions of </w:t>
      </w:r>
      <w:r w:rsidR="004071A6">
        <w:rPr>
          <w:lang w:val="en-US"/>
        </w:rPr>
        <w:t xml:space="preserve">corporations </w:t>
      </w:r>
      <w:r w:rsidR="00B676A0">
        <w:rPr>
          <w:lang w:val="en-US"/>
        </w:rPr>
        <w:t>d</w:t>
      </w:r>
      <w:r w:rsidR="004071A6">
        <w:rPr>
          <w:lang w:val="en-US"/>
        </w:rPr>
        <w:t xml:space="preserve">ividend policies and fundamental material all together. In this Master Thesis </w:t>
      </w:r>
      <w:r w:rsidR="004071A6" w:rsidRPr="004071A6">
        <w:rPr>
          <w:b/>
          <w:lang w:val="en-US"/>
        </w:rPr>
        <w:t>research purpose</w:t>
      </w:r>
      <w:r w:rsidR="004071A6">
        <w:rPr>
          <w:lang w:val="en-US"/>
        </w:rPr>
        <w:t xml:space="preserve"> was developed: to evaluate empirical modeling possibilities of dividend investment strategies in Nasdaq OMX Baltic equity list on dividend announcement events and propose applicable dividend investment models.</w:t>
      </w:r>
    </w:p>
    <w:p w:rsidR="003B3B1E" w:rsidRPr="004071A6" w:rsidRDefault="004071A6" w:rsidP="0067558C">
      <w:pPr>
        <w:rPr>
          <w:lang w:val="en-US"/>
        </w:rPr>
      </w:pPr>
      <w:r w:rsidRPr="004071A6">
        <w:rPr>
          <w:lang w:val="en-US"/>
        </w:rPr>
        <w:t xml:space="preserve">Research purpose is being </w:t>
      </w:r>
      <w:r>
        <w:rPr>
          <w:lang w:val="en-US"/>
        </w:rPr>
        <w:t>implemented</w:t>
      </w:r>
      <w:r w:rsidRPr="004071A6">
        <w:rPr>
          <w:lang w:val="en-US"/>
        </w:rPr>
        <w:t xml:space="preserve"> in course of tasks: by analyzing theories of corporate dividend policy and dividend policy impact (effect) models, subsequently</w:t>
      </w:r>
      <w:r w:rsidR="0083640C">
        <w:rPr>
          <w:lang w:val="en-US"/>
        </w:rPr>
        <w:t xml:space="preserve"> by</w:t>
      </w:r>
      <w:r w:rsidRPr="004071A6">
        <w:rPr>
          <w:lang w:val="en-US"/>
        </w:rPr>
        <w:t xml:space="preserve"> </w:t>
      </w:r>
      <w:r>
        <w:rPr>
          <w:lang w:val="en-US"/>
        </w:rPr>
        <w:t xml:space="preserve">determining analysis guidelines </w:t>
      </w:r>
      <w:r w:rsidR="0083640C">
        <w:rPr>
          <w:lang w:val="en-US"/>
        </w:rPr>
        <w:t>for</w:t>
      </w:r>
      <w:r>
        <w:rPr>
          <w:lang w:val="en-US"/>
        </w:rPr>
        <w:t xml:space="preserve"> stock abnormal returns</w:t>
      </w:r>
      <w:r w:rsidR="0083640C">
        <w:rPr>
          <w:lang w:val="en-US"/>
        </w:rPr>
        <w:t xml:space="preserve"> on dividend announcements, then by defining strategic investment model, which has ability to evaluate criterions performance of dividend policy in analysis, and eventually by proposing multi-criterion dividend investment and dividend policy modeling solutions. Main </w:t>
      </w:r>
      <w:r w:rsidR="0083640C" w:rsidRPr="0083640C">
        <w:rPr>
          <w:b/>
          <w:lang w:val="en-US"/>
        </w:rPr>
        <w:t>methods for modeling</w:t>
      </w:r>
      <w:r w:rsidR="0083640C">
        <w:rPr>
          <w:lang w:val="en-US"/>
        </w:rPr>
        <w:t xml:space="preserve">: analysis of dividend announcement events, multi-criterion analysis of dividend policy and fundamental variables influences to abnormal returns, which is made by testing out </w:t>
      </w:r>
      <w:r w:rsidR="0083640C" w:rsidRPr="0083640C">
        <w:rPr>
          <w:i/>
          <w:lang w:val="en-US"/>
        </w:rPr>
        <w:t>fixed</w:t>
      </w:r>
      <w:r w:rsidR="0083640C">
        <w:rPr>
          <w:lang w:val="en-US"/>
        </w:rPr>
        <w:t xml:space="preserve"> and </w:t>
      </w:r>
      <w:r w:rsidR="0083640C" w:rsidRPr="0083640C">
        <w:rPr>
          <w:i/>
          <w:lang w:val="en-US"/>
        </w:rPr>
        <w:t>random effects</w:t>
      </w:r>
      <w:r w:rsidR="0083640C">
        <w:rPr>
          <w:lang w:val="en-US"/>
        </w:rPr>
        <w:t xml:space="preserve"> models.</w:t>
      </w:r>
    </w:p>
    <w:p w:rsidR="00E7613C" w:rsidRPr="00B90B7D" w:rsidRDefault="0083640C" w:rsidP="00E7613C">
      <w:pPr>
        <w:rPr>
          <w:b/>
        </w:rPr>
      </w:pPr>
      <w:r w:rsidRPr="00E7613C">
        <w:rPr>
          <w:lang w:val="en-US"/>
        </w:rPr>
        <w:t xml:space="preserve">In the first part of work systemic analysis of dividend policy researches </w:t>
      </w:r>
      <w:r w:rsidR="00E7613C" w:rsidRPr="00E7613C">
        <w:rPr>
          <w:lang w:val="en-US"/>
        </w:rPr>
        <w:t xml:space="preserve">was made </w:t>
      </w:r>
      <w:r w:rsidRPr="00E7613C">
        <w:rPr>
          <w:lang w:val="en-US"/>
        </w:rPr>
        <w:t xml:space="preserve">and </w:t>
      </w:r>
      <w:r w:rsidR="00E7613C" w:rsidRPr="00E7613C">
        <w:rPr>
          <w:lang w:val="en-US"/>
        </w:rPr>
        <w:t>theor</w:t>
      </w:r>
      <w:r w:rsidR="00E7613C">
        <w:rPr>
          <w:lang w:val="en-US"/>
        </w:rPr>
        <w:t>e</w:t>
      </w:r>
      <w:r w:rsidR="00E7613C" w:rsidRPr="00E7613C">
        <w:rPr>
          <w:lang w:val="en-US"/>
        </w:rPr>
        <w:t xml:space="preserve">tical background for </w:t>
      </w:r>
      <w:r w:rsidRPr="00E7613C">
        <w:rPr>
          <w:lang w:val="en-US"/>
        </w:rPr>
        <w:t>multi-criterion dividend policies investigation techniques</w:t>
      </w:r>
      <w:r w:rsidR="00E7613C" w:rsidRPr="00E7613C">
        <w:rPr>
          <w:lang w:val="en-US"/>
        </w:rPr>
        <w:t xml:space="preserve"> was discovered</w:t>
      </w:r>
      <w:r w:rsidRPr="00E7613C">
        <w:rPr>
          <w:lang w:val="en-US"/>
        </w:rPr>
        <w:t>.</w:t>
      </w:r>
      <w:r w:rsidR="00E7613C">
        <w:rPr>
          <w:lang w:val="en-US"/>
        </w:rPr>
        <w:t xml:space="preserve"> In the second part of work empirical hypotheses and criterions for data collection were formulated, also period of analysis was outlined and methods for evaluating abnormal returns and methodic of strategic model. In the third part </w:t>
      </w:r>
      <w:r w:rsidR="00B90B7D" w:rsidRPr="00B90B7D">
        <w:rPr>
          <w:lang w:val="en-US"/>
        </w:rPr>
        <w:t xml:space="preserve">empirical application </w:t>
      </w:r>
      <w:r w:rsidR="00E7613C">
        <w:rPr>
          <w:lang w:val="en-US"/>
        </w:rPr>
        <w:t xml:space="preserve">of </w:t>
      </w:r>
      <w:r w:rsidR="00E7613C" w:rsidRPr="00B90B7D">
        <w:rPr>
          <w:lang w:val="en-US"/>
        </w:rPr>
        <w:t>work dividend strategies were reasoned.</w:t>
      </w:r>
      <w:r w:rsidR="00E7613C" w:rsidRPr="00B90B7D">
        <w:rPr>
          <w:b/>
          <w:lang w:val="en-US"/>
        </w:rPr>
        <w:t xml:space="preserve"> </w:t>
      </w:r>
    </w:p>
    <w:p w:rsidR="0083640C" w:rsidRPr="00E7613C" w:rsidRDefault="00E7613C" w:rsidP="003B3B1E">
      <w:pPr>
        <w:rPr>
          <w:lang w:val="en-US"/>
        </w:rPr>
      </w:pPr>
      <w:r w:rsidRPr="00B90B7D">
        <w:rPr>
          <w:b/>
          <w:lang w:val="en-US"/>
        </w:rPr>
        <w:t>Main</w:t>
      </w:r>
      <w:r>
        <w:rPr>
          <w:lang w:val="en-US"/>
        </w:rPr>
        <w:t xml:space="preserve"> </w:t>
      </w:r>
      <w:r w:rsidRPr="00B90B7D">
        <w:rPr>
          <w:b/>
          <w:lang w:val="en-US"/>
        </w:rPr>
        <w:t>results and conclusions:</w:t>
      </w:r>
      <w:r>
        <w:rPr>
          <w:lang w:val="en-US"/>
        </w:rPr>
        <w:t xml:space="preserve"> </w:t>
      </w:r>
      <w:r w:rsidR="00B1572A">
        <w:rPr>
          <w:lang w:val="en-US"/>
        </w:rPr>
        <w:t>Changes in n</w:t>
      </w:r>
      <w:r>
        <w:rPr>
          <w:lang w:val="en-US"/>
        </w:rPr>
        <w:t xml:space="preserve">ominal dividend level in Baltic countries has limited evidence on abnormal returns effects, whereas change in dividend yield </w:t>
      </w:r>
      <w:r w:rsidR="00B90B7D">
        <w:rPr>
          <w:lang w:val="en-US"/>
        </w:rPr>
        <w:t>distinguish by its informational-signaling effect when context of news differs (first hypothesis was rejected), also effect of informational asymmetry does not have empirical background.</w:t>
      </w:r>
      <w:r w:rsidR="00B1572A">
        <w:rPr>
          <w:lang w:val="en-US"/>
        </w:rPr>
        <w:t xml:space="preserve"> Dividend policy variables appeared to be differently significant on specific duration</w:t>
      </w:r>
      <w:r w:rsidR="00A139DB">
        <w:rPr>
          <w:lang w:val="en-US"/>
        </w:rPr>
        <w:t>s</w:t>
      </w:r>
      <w:r w:rsidR="00B1572A" w:rsidRPr="00B1572A">
        <w:rPr>
          <w:lang w:val="en-US"/>
        </w:rPr>
        <w:t xml:space="preserve"> </w:t>
      </w:r>
      <w:r w:rsidR="00A139DB">
        <w:rPr>
          <w:lang w:val="en-US"/>
        </w:rPr>
        <w:t>during research</w:t>
      </w:r>
      <w:r w:rsidR="00B1572A">
        <w:rPr>
          <w:lang w:val="en-US"/>
        </w:rPr>
        <w:t>.</w:t>
      </w:r>
      <w:r w:rsidR="00A139DB">
        <w:rPr>
          <w:lang w:val="en-US"/>
        </w:rPr>
        <w:t xml:space="preserve"> Retention ratio (RR), change in EBITDA, ROE, RETE variables were significant corresponding to specific models. Strategic models may be meaningfully applied on dividend announcement day and for 6 days duration period after announcement (second hypothesis </w:t>
      </w:r>
      <w:r w:rsidR="00805428">
        <w:rPr>
          <w:lang w:val="en-US"/>
        </w:rPr>
        <w:t>can’t be categorically</w:t>
      </w:r>
      <w:r w:rsidR="00A139DB">
        <w:rPr>
          <w:lang w:val="en-US"/>
        </w:rPr>
        <w:t xml:space="preserve"> rejected).</w:t>
      </w:r>
    </w:p>
    <w:p w:rsidR="001B34E3" w:rsidRPr="001B34E3" w:rsidRDefault="001B34E3" w:rsidP="00095EF4">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p>
    <w:p w:rsidR="00C16315" w:rsidRDefault="00C16315" w:rsidP="00C16315">
      <w:pPr>
        <w:pStyle w:val="Heading1"/>
        <w:rPr>
          <w:rFonts w:eastAsia="TT746o00"/>
        </w:rPr>
      </w:pPr>
      <w:bookmarkStart w:id="136" w:name="_Toc343677771"/>
      <w:r>
        <w:rPr>
          <w:rFonts w:eastAsia="TT746o00"/>
        </w:rPr>
        <w:t>PRIEDAI</w:t>
      </w:r>
      <w:bookmarkEnd w:id="136"/>
    </w:p>
    <w:p w:rsidR="00C16315" w:rsidRDefault="00C16315">
      <w:pPr>
        <w:spacing w:before="0" w:after="200" w:line="276" w:lineRule="auto"/>
        <w:ind w:firstLine="0"/>
        <w:jc w:val="left"/>
        <w:rPr>
          <w:rFonts w:eastAsia="TT746o00"/>
          <w:b/>
        </w:rPr>
      </w:pPr>
      <w:r>
        <w:rPr>
          <w:rFonts w:eastAsia="TT746o00"/>
          <w:b/>
        </w:rPr>
        <w:br w:type="page"/>
      </w:r>
    </w:p>
    <w:tbl>
      <w:tblPr>
        <w:tblW w:w="0" w:type="auto"/>
        <w:tblInd w:w="-142" w:type="dxa"/>
        <w:tblLook w:val="04A0"/>
      </w:tblPr>
      <w:tblGrid>
        <w:gridCol w:w="250"/>
        <w:gridCol w:w="53"/>
        <w:gridCol w:w="1503"/>
        <w:gridCol w:w="180"/>
        <w:gridCol w:w="850"/>
        <w:gridCol w:w="757"/>
        <w:gridCol w:w="1150"/>
        <w:gridCol w:w="203"/>
        <w:gridCol w:w="1150"/>
        <w:gridCol w:w="254"/>
        <w:gridCol w:w="1150"/>
        <w:gridCol w:w="407"/>
        <w:gridCol w:w="1150"/>
        <w:gridCol w:w="50"/>
        <w:gridCol w:w="1030"/>
        <w:gridCol w:w="70"/>
        <w:gridCol w:w="20"/>
        <w:gridCol w:w="30"/>
      </w:tblGrid>
      <w:tr w:rsidR="00751CB5" w:rsidTr="006C013D">
        <w:trPr>
          <w:gridBefore w:val="1"/>
          <w:gridAfter w:val="1"/>
          <w:wBefore w:w="250" w:type="dxa"/>
          <w:wAfter w:w="30" w:type="dxa"/>
        </w:trPr>
        <w:tc>
          <w:tcPr>
            <w:tcW w:w="9977" w:type="dxa"/>
            <w:gridSpan w:val="16"/>
            <w:tcBorders>
              <w:top w:val="nil"/>
              <w:left w:val="nil"/>
              <w:bottom w:val="nil"/>
              <w:right w:val="nil"/>
            </w:tcBorders>
          </w:tcPr>
          <w:p w:rsidR="001B6184" w:rsidRPr="001B6184" w:rsidRDefault="00751CB5" w:rsidP="001B6184">
            <w:pPr>
              <w:pStyle w:val="Priedai"/>
              <w:spacing w:after="0"/>
              <w:ind w:left="34" w:right="-198" w:firstLine="8505"/>
              <w:jc w:val="center"/>
            </w:pPr>
            <w:bookmarkStart w:id="137" w:name="_Ref343520678"/>
            <w:bookmarkStart w:id="138" w:name="_Toc343677776"/>
            <w:bookmarkStart w:id="139" w:name="_Ref341949493"/>
            <w:r>
              <w:lastRenderedPageBreak/>
              <w:t>d</w:t>
            </w:r>
            <w:r w:rsidR="001B6184">
              <w:t>Kitos literatūroje nagrinėjamos dividendinių modelių metodinės koncepcijos ir tyrimo kriterijai</w:t>
            </w:r>
            <w:bookmarkEnd w:id="137"/>
            <w:bookmarkEnd w:id="138"/>
          </w:p>
        </w:tc>
      </w:tr>
      <w:bookmarkEnd w:id="139"/>
      <w:tr w:rsidR="00751CB5" w:rsidRPr="000244C8"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restart"/>
            <w:vAlign w:val="center"/>
          </w:tcPr>
          <w:p w:rsidR="00751CB5" w:rsidRPr="008235BD" w:rsidRDefault="00751CB5" w:rsidP="001D192E">
            <w:pPr>
              <w:spacing w:line="240" w:lineRule="auto"/>
              <w:ind w:firstLine="0"/>
              <w:jc w:val="center"/>
              <w:rPr>
                <w:rFonts w:cs="Times New Roman"/>
                <w:szCs w:val="24"/>
              </w:rPr>
            </w:pPr>
            <w:r w:rsidRPr="008235BD">
              <w:rPr>
                <w:rFonts w:cs="Times New Roman"/>
                <w:szCs w:val="24"/>
              </w:rPr>
              <w:t>Asghar, Shah, Hamid, Suleman (2011)</w:t>
            </w:r>
          </w:p>
        </w:tc>
        <w:tc>
          <w:tcPr>
            <w:tcW w:w="8421" w:type="dxa"/>
            <w:gridSpan w:val="14"/>
            <w:tcBorders>
              <w:bottom w:val="nil"/>
            </w:tcBorders>
            <w:vAlign w:val="center"/>
          </w:tcPr>
          <w:p w:rsidR="00751CB5" w:rsidRPr="000244C8" w:rsidRDefault="00751CB5" w:rsidP="001D192E">
            <w:pPr>
              <w:spacing w:before="0" w:line="240" w:lineRule="auto"/>
              <w:ind w:firstLine="0"/>
              <w:jc w:val="center"/>
              <w:rPr>
                <w:rFonts w:cs="Times New Roman"/>
                <w:szCs w:val="24"/>
              </w:rPr>
            </w:pPr>
            <w:r>
              <w:rPr>
                <w:rFonts w:cs="Times New Roman"/>
                <w:b/>
              </w:rPr>
              <w:t>Siūlomas</w:t>
            </w:r>
            <w:r w:rsidRPr="008235BD">
              <w:rPr>
                <w:rFonts w:cs="Times New Roman"/>
                <w:b/>
              </w:rPr>
              <w:t xml:space="preserve"> modelis (regresijos lygtis)</w:t>
            </w:r>
          </w:p>
        </w:tc>
      </w:tr>
      <w:tr w:rsidR="00751CB5" w:rsidRPr="000862E2"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ign w:val="center"/>
          </w:tcPr>
          <w:p w:rsidR="00751CB5" w:rsidRPr="008235BD" w:rsidRDefault="00751CB5" w:rsidP="001D192E">
            <w:pPr>
              <w:spacing w:line="240" w:lineRule="auto"/>
              <w:jc w:val="center"/>
              <w:rPr>
                <w:rFonts w:cs="Times New Roman"/>
                <w:szCs w:val="24"/>
              </w:rPr>
            </w:pPr>
          </w:p>
        </w:tc>
        <w:tc>
          <w:tcPr>
            <w:tcW w:w="8421" w:type="dxa"/>
            <w:gridSpan w:val="14"/>
            <w:tcBorders>
              <w:top w:val="nil"/>
            </w:tcBorders>
            <w:vAlign w:val="center"/>
          </w:tcPr>
          <w:p w:rsidR="00751CB5" w:rsidRPr="000862E2" w:rsidRDefault="00751CB5" w:rsidP="001D192E">
            <w:pPr>
              <w:spacing w:before="0" w:line="240" w:lineRule="auto"/>
              <w:ind w:firstLine="0"/>
              <w:jc w:val="center"/>
              <w:rPr>
                <w:rFonts w:cs="Times New Roman"/>
                <w:i/>
                <w:szCs w:val="24"/>
              </w:rPr>
            </w:pPr>
            <w:r w:rsidRPr="008235BD">
              <w:rPr>
                <w:rFonts w:cs="Times New Roman"/>
                <w:i/>
                <w:szCs w:val="24"/>
              </w:rPr>
              <w:t>PV</w:t>
            </w:r>
            <w:r w:rsidRPr="008235BD">
              <w:rPr>
                <w:rFonts w:cs="Times New Roman"/>
                <w:i/>
                <w:szCs w:val="24"/>
                <w:vertAlign w:val="subscript"/>
              </w:rPr>
              <w:t>j</w:t>
            </w:r>
            <w:r>
              <w:rPr>
                <w:rFonts w:cs="Times New Roman"/>
                <w:i/>
                <w:szCs w:val="24"/>
                <w:vertAlign w:val="subscript"/>
              </w:rPr>
              <w:t xml:space="preserve"> </w:t>
            </w:r>
            <w:r w:rsidRPr="008235BD">
              <w:rPr>
                <w:rFonts w:cs="Times New Roman"/>
                <w:i/>
                <w:szCs w:val="24"/>
              </w:rPr>
              <w:t>=</w:t>
            </w:r>
            <w:r>
              <w:rPr>
                <w:rFonts w:cs="Times New Roman"/>
                <w:i/>
                <w:szCs w:val="24"/>
              </w:rPr>
              <w:t xml:space="preserve"> </w:t>
            </w:r>
            <w:r w:rsidRPr="008235BD">
              <w:rPr>
                <w:rFonts w:cs="Times New Roman"/>
                <w:i/>
                <w:szCs w:val="24"/>
              </w:rPr>
              <w:t>α</w:t>
            </w:r>
            <w:r>
              <w:rPr>
                <w:rFonts w:cs="Times New Roman"/>
                <w:i/>
                <w:szCs w:val="24"/>
              </w:rPr>
              <w:t xml:space="preserve"> </w:t>
            </w:r>
            <w:r w:rsidRPr="008235BD">
              <w:rPr>
                <w:rFonts w:cs="Times New Roman"/>
                <w:i/>
                <w:szCs w:val="24"/>
              </w:rPr>
              <w:t>+ α</w:t>
            </w:r>
            <w:r w:rsidRPr="008235BD">
              <w:rPr>
                <w:rFonts w:cs="Times New Roman"/>
                <w:i/>
                <w:szCs w:val="24"/>
                <w:vertAlign w:val="subscript"/>
              </w:rPr>
              <w:t>1</w:t>
            </w:r>
            <w:r w:rsidRPr="008235BD">
              <w:rPr>
                <w:rFonts w:cs="Times New Roman"/>
                <w:i/>
                <w:szCs w:val="24"/>
              </w:rPr>
              <w:t>DY</w:t>
            </w:r>
            <w:r w:rsidRPr="008235BD">
              <w:rPr>
                <w:rFonts w:cs="Times New Roman"/>
                <w:i/>
                <w:szCs w:val="24"/>
                <w:vertAlign w:val="subscript"/>
              </w:rPr>
              <w:t>j</w:t>
            </w:r>
            <w:r>
              <w:rPr>
                <w:rFonts w:cs="Times New Roman"/>
                <w:i/>
                <w:szCs w:val="24"/>
                <w:vertAlign w:val="subscript"/>
              </w:rPr>
              <w:t xml:space="preserve"> </w:t>
            </w:r>
            <w:r w:rsidRPr="008235BD">
              <w:rPr>
                <w:rFonts w:cs="Times New Roman"/>
                <w:i/>
                <w:szCs w:val="24"/>
              </w:rPr>
              <w:t>+</w:t>
            </w:r>
            <w:r>
              <w:rPr>
                <w:rFonts w:cs="Times New Roman"/>
                <w:i/>
                <w:szCs w:val="24"/>
              </w:rPr>
              <w:t xml:space="preserve"> </w:t>
            </w:r>
            <w:r w:rsidRPr="008235BD">
              <w:rPr>
                <w:rFonts w:cs="Times New Roman"/>
                <w:i/>
                <w:szCs w:val="24"/>
              </w:rPr>
              <w:t>α</w:t>
            </w:r>
            <w:r>
              <w:rPr>
                <w:rFonts w:cs="Times New Roman"/>
                <w:i/>
                <w:szCs w:val="24"/>
                <w:vertAlign w:val="subscript"/>
              </w:rPr>
              <w:t>2</w:t>
            </w:r>
            <w:r w:rsidRPr="008235BD">
              <w:rPr>
                <w:rFonts w:cs="Times New Roman"/>
                <w:i/>
                <w:szCs w:val="24"/>
              </w:rPr>
              <w:t>DP</w:t>
            </w:r>
            <w:r w:rsidRPr="008235BD">
              <w:rPr>
                <w:rFonts w:cs="Times New Roman"/>
                <w:i/>
                <w:szCs w:val="24"/>
                <w:vertAlign w:val="subscript"/>
              </w:rPr>
              <w:t>j</w:t>
            </w:r>
            <w:r>
              <w:rPr>
                <w:rFonts w:cs="Times New Roman"/>
                <w:i/>
                <w:szCs w:val="24"/>
                <w:vertAlign w:val="subscript"/>
              </w:rPr>
              <w:t xml:space="preserve"> </w:t>
            </w:r>
            <w:r w:rsidRPr="008235BD">
              <w:rPr>
                <w:rFonts w:cs="Times New Roman"/>
                <w:i/>
                <w:szCs w:val="24"/>
              </w:rPr>
              <w:t>+</w:t>
            </w:r>
            <w:r>
              <w:rPr>
                <w:rFonts w:cs="Times New Roman"/>
                <w:i/>
                <w:szCs w:val="24"/>
              </w:rPr>
              <w:t xml:space="preserve"> </w:t>
            </w:r>
            <w:r w:rsidRPr="008235BD">
              <w:rPr>
                <w:rFonts w:cs="Times New Roman"/>
                <w:i/>
                <w:szCs w:val="24"/>
              </w:rPr>
              <w:t>α</w:t>
            </w:r>
            <w:r>
              <w:rPr>
                <w:rFonts w:cs="Times New Roman"/>
                <w:i/>
                <w:szCs w:val="24"/>
                <w:vertAlign w:val="subscript"/>
              </w:rPr>
              <w:t>3</w:t>
            </w:r>
            <w:r w:rsidRPr="008235BD">
              <w:rPr>
                <w:rFonts w:cs="Times New Roman"/>
                <w:i/>
                <w:szCs w:val="24"/>
              </w:rPr>
              <w:t>EV</w:t>
            </w:r>
            <w:r w:rsidRPr="008235BD">
              <w:rPr>
                <w:rFonts w:cs="Times New Roman"/>
                <w:i/>
                <w:szCs w:val="24"/>
                <w:vertAlign w:val="subscript"/>
              </w:rPr>
              <w:t>j</w:t>
            </w:r>
            <w:r>
              <w:rPr>
                <w:rFonts w:cs="Times New Roman"/>
                <w:i/>
                <w:szCs w:val="24"/>
                <w:vertAlign w:val="subscript"/>
              </w:rPr>
              <w:t xml:space="preserve"> </w:t>
            </w:r>
            <w:r w:rsidRPr="008235BD">
              <w:rPr>
                <w:rFonts w:cs="Times New Roman"/>
                <w:i/>
                <w:szCs w:val="24"/>
              </w:rPr>
              <w:t>+</w:t>
            </w:r>
            <w:r>
              <w:rPr>
                <w:rFonts w:cs="Times New Roman"/>
                <w:i/>
                <w:szCs w:val="24"/>
              </w:rPr>
              <w:t xml:space="preserve"> </w:t>
            </w:r>
            <w:r w:rsidRPr="008235BD">
              <w:rPr>
                <w:rFonts w:cs="Times New Roman"/>
                <w:i/>
                <w:szCs w:val="24"/>
              </w:rPr>
              <w:t>α</w:t>
            </w:r>
            <w:r>
              <w:rPr>
                <w:rFonts w:cs="Times New Roman"/>
                <w:i/>
                <w:szCs w:val="24"/>
                <w:vertAlign w:val="subscript"/>
              </w:rPr>
              <w:t>4</w:t>
            </w:r>
            <w:r w:rsidRPr="008235BD">
              <w:rPr>
                <w:rFonts w:cs="Times New Roman"/>
                <w:i/>
                <w:szCs w:val="24"/>
              </w:rPr>
              <w:t>GA</w:t>
            </w:r>
            <w:r w:rsidRPr="008235BD">
              <w:rPr>
                <w:rFonts w:cs="Times New Roman"/>
                <w:i/>
                <w:szCs w:val="24"/>
                <w:vertAlign w:val="subscript"/>
              </w:rPr>
              <w:t>j</w:t>
            </w:r>
            <w:r>
              <w:rPr>
                <w:rFonts w:cs="Times New Roman"/>
                <w:i/>
                <w:szCs w:val="24"/>
                <w:vertAlign w:val="subscript"/>
              </w:rPr>
              <w:t xml:space="preserve"> </w:t>
            </w:r>
            <w:r w:rsidRPr="008235BD">
              <w:rPr>
                <w:rFonts w:cs="Times New Roman"/>
                <w:szCs w:val="24"/>
              </w:rPr>
              <w:t xml:space="preserve">; </w:t>
            </w:r>
            <w:r>
              <w:rPr>
                <w:rFonts w:cs="Times New Roman"/>
                <w:szCs w:val="24"/>
              </w:rPr>
              <w:t xml:space="preserve">      (4</w:t>
            </w:r>
            <w:r w:rsidRPr="008235BD">
              <w:rPr>
                <w:rFonts w:cs="Times New Roman"/>
                <w:szCs w:val="24"/>
              </w:rPr>
              <w:t>)</w:t>
            </w:r>
          </w:p>
        </w:tc>
      </w:tr>
      <w:tr w:rsidR="00751CB5" w:rsidRPr="008235BD"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ign w:val="center"/>
          </w:tcPr>
          <w:p w:rsidR="00751CB5" w:rsidRPr="008235BD" w:rsidRDefault="00751CB5" w:rsidP="001D192E">
            <w:pPr>
              <w:spacing w:before="0" w:line="240" w:lineRule="auto"/>
              <w:ind w:firstLine="0"/>
              <w:jc w:val="center"/>
              <w:rPr>
                <w:rFonts w:cs="Times New Roman"/>
                <w:szCs w:val="24"/>
              </w:rPr>
            </w:pPr>
          </w:p>
        </w:tc>
        <w:tc>
          <w:tcPr>
            <w:tcW w:w="8421" w:type="dxa"/>
            <w:gridSpan w:val="14"/>
            <w:tcBorders>
              <w:bottom w:val="single" w:sz="12" w:space="0" w:color="auto"/>
            </w:tcBorders>
            <w:vAlign w:val="center"/>
          </w:tcPr>
          <w:p w:rsidR="00751CB5" w:rsidRPr="008235BD" w:rsidRDefault="00751CB5" w:rsidP="001D192E">
            <w:pPr>
              <w:spacing w:before="0" w:line="240" w:lineRule="auto"/>
              <w:ind w:firstLine="0"/>
              <w:jc w:val="center"/>
              <w:rPr>
                <w:rFonts w:cs="Times New Roman"/>
                <w:szCs w:val="24"/>
              </w:rPr>
            </w:pPr>
            <w:r w:rsidRPr="006D5025">
              <w:rPr>
                <w:rFonts w:cs="Times New Roman"/>
                <w:b/>
                <w:szCs w:val="24"/>
              </w:rPr>
              <w:t>Čia:</w:t>
            </w:r>
            <w:r>
              <w:rPr>
                <w:rFonts w:cs="Times New Roman"/>
                <w:i/>
                <w:szCs w:val="24"/>
              </w:rPr>
              <w:t xml:space="preserve"> </w:t>
            </w:r>
            <w:r w:rsidRPr="008235BD">
              <w:rPr>
                <w:rFonts w:cs="Times New Roman"/>
                <w:i/>
                <w:szCs w:val="24"/>
              </w:rPr>
              <w:t>PV</w:t>
            </w:r>
            <w:r>
              <w:rPr>
                <w:rFonts w:cs="Times New Roman"/>
                <w:szCs w:val="24"/>
              </w:rPr>
              <w:t xml:space="preserve"> – kainos jautrumo matas;</w:t>
            </w:r>
            <w:r w:rsidRPr="008235BD">
              <w:rPr>
                <w:rFonts w:cs="Times New Roman"/>
                <w:szCs w:val="24"/>
              </w:rPr>
              <w:t xml:space="preserve"> </w:t>
            </w:r>
          </w:p>
          <w:p w:rsidR="00751CB5" w:rsidRPr="008235BD" w:rsidRDefault="00751CB5" w:rsidP="001D192E">
            <w:pPr>
              <w:spacing w:before="0" w:line="240" w:lineRule="auto"/>
              <w:ind w:firstLine="0"/>
              <w:jc w:val="center"/>
              <w:rPr>
                <w:rFonts w:cs="Times New Roman"/>
                <w:szCs w:val="24"/>
              </w:rPr>
            </w:pPr>
            <w:r w:rsidRPr="008235BD">
              <w:rPr>
                <w:rFonts w:cs="Times New Roman"/>
                <w:i/>
                <w:szCs w:val="24"/>
              </w:rPr>
              <w:t>DY</w:t>
            </w:r>
            <w:r w:rsidRPr="008235BD">
              <w:rPr>
                <w:rFonts w:cs="Times New Roman"/>
                <w:szCs w:val="24"/>
              </w:rPr>
              <w:t xml:space="preserve"> – dividendų p</w:t>
            </w:r>
            <w:r>
              <w:rPr>
                <w:rFonts w:cs="Times New Roman"/>
                <w:szCs w:val="24"/>
              </w:rPr>
              <w:t>ajaminguma</w:t>
            </w:r>
            <w:r w:rsidRPr="008235BD">
              <w:rPr>
                <w:rFonts w:cs="Times New Roman"/>
                <w:szCs w:val="24"/>
              </w:rPr>
              <w:t xml:space="preserve">s, apskaičiuojamas kaip metinis dividendų dydis tenkantis vidutinei akcijos kainai per </w:t>
            </w:r>
            <w:r w:rsidRPr="00346041">
              <w:rPr>
                <w:rFonts w:cs="Times New Roman"/>
                <w:i/>
                <w:szCs w:val="24"/>
              </w:rPr>
              <w:t>t-1</w:t>
            </w:r>
            <w:r w:rsidRPr="008235BD">
              <w:rPr>
                <w:rFonts w:cs="Times New Roman"/>
                <w:szCs w:val="24"/>
              </w:rPr>
              <w:t xml:space="preserve"> metus. Skaičiuojamas 5 metų laikotarpiui;</w:t>
            </w:r>
          </w:p>
          <w:p w:rsidR="00751CB5" w:rsidRPr="008235BD" w:rsidRDefault="00751CB5" w:rsidP="001D192E">
            <w:pPr>
              <w:spacing w:before="0" w:line="240" w:lineRule="auto"/>
              <w:ind w:firstLine="0"/>
              <w:jc w:val="center"/>
              <w:rPr>
                <w:rFonts w:cs="Times New Roman"/>
                <w:szCs w:val="24"/>
              </w:rPr>
            </w:pPr>
            <w:r w:rsidRPr="008235BD">
              <w:rPr>
                <w:rFonts w:cs="Times New Roman"/>
                <w:i/>
                <w:szCs w:val="24"/>
              </w:rPr>
              <w:t>EV</w:t>
            </w:r>
            <w:r w:rsidRPr="008235BD">
              <w:rPr>
                <w:rFonts w:cs="Times New Roman"/>
                <w:szCs w:val="24"/>
              </w:rPr>
              <w:t xml:space="preserve"> – pelno kintamumas, apskaičiuojamas kaip veikl</w:t>
            </w:r>
            <w:r>
              <w:rPr>
                <w:rFonts w:cs="Times New Roman"/>
                <w:szCs w:val="24"/>
              </w:rPr>
              <w:t>os pelno ir viso turto santykis;</w:t>
            </w:r>
            <w:r w:rsidRPr="008235BD">
              <w:rPr>
                <w:rFonts w:cs="Times New Roman"/>
                <w:szCs w:val="24"/>
              </w:rPr>
              <w:t xml:space="preserve"> </w:t>
            </w:r>
          </w:p>
          <w:p w:rsidR="00751CB5" w:rsidRPr="008235BD" w:rsidRDefault="00751CB5" w:rsidP="001D192E">
            <w:pPr>
              <w:spacing w:before="0" w:line="240" w:lineRule="auto"/>
              <w:ind w:firstLine="0"/>
              <w:jc w:val="center"/>
              <w:rPr>
                <w:rFonts w:cs="Times New Roman"/>
                <w:szCs w:val="24"/>
              </w:rPr>
            </w:pPr>
            <w:r w:rsidRPr="008235BD">
              <w:rPr>
                <w:rFonts w:cs="Times New Roman"/>
                <w:i/>
                <w:szCs w:val="24"/>
              </w:rPr>
              <w:t>DP</w:t>
            </w:r>
            <w:r w:rsidRPr="008235BD">
              <w:rPr>
                <w:rFonts w:cs="Times New Roman"/>
                <w:szCs w:val="24"/>
              </w:rPr>
              <w:t xml:space="preserve"> – išmokamų dividendų dydis per 5 metus, apskaičiuojamas visus dividendus padalinus iš viso gauto pelno;</w:t>
            </w:r>
          </w:p>
          <w:p w:rsidR="00751CB5" w:rsidRPr="008235BD" w:rsidRDefault="00751CB5" w:rsidP="001D192E">
            <w:pPr>
              <w:spacing w:before="0" w:line="240" w:lineRule="auto"/>
              <w:ind w:firstLine="0"/>
              <w:jc w:val="center"/>
              <w:rPr>
                <w:rFonts w:cs="Times New Roman"/>
                <w:szCs w:val="24"/>
              </w:rPr>
            </w:pPr>
            <w:r w:rsidRPr="008235BD">
              <w:rPr>
                <w:rFonts w:cs="Times New Roman"/>
                <w:i/>
                <w:szCs w:val="24"/>
              </w:rPr>
              <w:t>GA</w:t>
            </w:r>
            <w:r w:rsidRPr="008235BD">
              <w:rPr>
                <w:rFonts w:cs="Times New Roman"/>
                <w:szCs w:val="24"/>
              </w:rPr>
              <w:t xml:space="preserve"> – vidutinis viso įmonės turto kitimas per 5 metus.</w:t>
            </w:r>
          </w:p>
        </w:tc>
      </w:tr>
      <w:tr w:rsidR="00751CB5" w:rsidRPr="008235BD"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restart"/>
            <w:vAlign w:val="center"/>
          </w:tcPr>
          <w:p w:rsidR="00751CB5" w:rsidRPr="00D132CB" w:rsidRDefault="00751CB5" w:rsidP="001D192E">
            <w:pPr>
              <w:spacing w:line="240" w:lineRule="auto"/>
              <w:ind w:firstLine="0"/>
              <w:jc w:val="center"/>
              <w:rPr>
                <w:rFonts w:cs="Times New Roman"/>
                <w:szCs w:val="24"/>
              </w:rPr>
            </w:pPr>
            <w:r>
              <w:rPr>
                <w:rFonts w:cs="Times New Roman"/>
                <w:szCs w:val="24"/>
              </w:rPr>
              <w:t>Nishat, Irfan (2001</w:t>
            </w:r>
            <w:r w:rsidRPr="00D132CB">
              <w:rPr>
                <w:rFonts w:cs="Times New Roman"/>
                <w:szCs w:val="24"/>
              </w:rPr>
              <w:t>)</w:t>
            </w:r>
          </w:p>
        </w:tc>
        <w:tc>
          <w:tcPr>
            <w:tcW w:w="8421" w:type="dxa"/>
            <w:gridSpan w:val="14"/>
            <w:tcBorders>
              <w:bottom w:val="nil"/>
            </w:tcBorders>
            <w:vAlign w:val="center"/>
          </w:tcPr>
          <w:p w:rsidR="00751CB5" w:rsidRPr="008235BD" w:rsidRDefault="00751CB5" w:rsidP="001D192E">
            <w:pPr>
              <w:spacing w:before="0" w:line="240" w:lineRule="auto"/>
              <w:ind w:firstLine="0"/>
              <w:jc w:val="center"/>
              <w:rPr>
                <w:rFonts w:cs="Times New Roman"/>
                <w:i/>
                <w:szCs w:val="24"/>
              </w:rPr>
            </w:pPr>
            <w:r>
              <w:rPr>
                <w:rFonts w:cs="Times New Roman"/>
                <w:b/>
              </w:rPr>
              <w:t>Siūlomas</w:t>
            </w:r>
            <w:r w:rsidRPr="008235BD">
              <w:rPr>
                <w:rFonts w:cs="Times New Roman"/>
                <w:b/>
              </w:rPr>
              <w:t xml:space="preserve"> modelis (regresijos lygtis)</w:t>
            </w:r>
          </w:p>
        </w:tc>
      </w:tr>
      <w:tr w:rsidR="00751CB5" w:rsidRPr="008235BD"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ign w:val="center"/>
          </w:tcPr>
          <w:p w:rsidR="00751CB5" w:rsidRPr="00D132CB" w:rsidRDefault="00751CB5" w:rsidP="001D192E">
            <w:pPr>
              <w:spacing w:line="240" w:lineRule="auto"/>
              <w:jc w:val="center"/>
              <w:rPr>
                <w:rFonts w:cs="Times New Roman"/>
                <w:szCs w:val="24"/>
              </w:rPr>
            </w:pPr>
          </w:p>
        </w:tc>
        <w:tc>
          <w:tcPr>
            <w:tcW w:w="8421" w:type="dxa"/>
            <w:gridSpan w:val="14"/>
            <w:tcBorders>
              <w:top w:val="nil"/>
              <w:bottom w:val="single" w:sz="12" w:space="0" w:color="auto"/>
            </w:tcBorders>
            <w:vAlign w:val="center"/>
          </w:tcPr>
          <w:p w:rsidR="00751CB5" w:rsidRPr="008235BD" w:rsidRDefault="00751CB5" w:rsidP="001D192E">
            <w:pPr>
              <w:spacing w:before="0" w:line="240" w:lineRule="auto"/>
              <w:ind w:firstLine="0"/>
              <w:jc w:val="center"/>
              <w:rPr>
                <w:rFonts w:cs="Times New Roman"/>
                <w:i/>
                <w:szCs w:val="24"/>
              </w:rPr>
            </w:pPr>
            <w:r w:rsidRPr="008235BD">
              <w:rPr>
                <w:rFonts w:cs="Times New Roman"/>
                <w:i/>
                <w:szCs w:val="24"/>
              </w:rPr>
              <w:t>PV</w:t>
            </w:r>
            <w:r w:rsidRPr="008235BD">
              <w:rPr>
                <w:rFonts w:cs="Times New Roman"/>
                <w:i/>
                <w:szCs w:val="24"/>
                <w:vertAlign w:val="subscript"/>
              </w:rPr>
              <w:t>j</w:t>
            </w:r>
            <w:r>
              <w:rPr>
                <w:rFonts w:cs="Times New Roman"/>
                <w:i/>
                <w:szCs w:val="24"/>
                <w:vertAlign w:val="subscript"/>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a</w:t>
            </w:r>
            <w:r w:rsidRPr="008235BD">
              <w:rPr>
                <w:rFonts w:cs="Times New Roman"/>
                <w:i/>
                <w:szCs w:val="24"/>
                <w:vertAlign w:val="subscript"/>
                <w:lang w:val="en-US"/>
              </w:rPr>
              <w:t>1</w:t>
            </w:r>
            <w:r w:rsidRPr="008235BD">
              <w:rPr>
                <w:rFonts w:cs="Times New Roman"/>
                <w:i/>
                <w:szCs w:val="24"/>
                <w:lang w:val="en-US"/>
              </w:rPr>
              <w:t>+ a</w:t>
            </w:r>
            <w:r w:rsidRPr="008235BD">
              <w:rPr>
                <w:rFonts w:cs="Times New Roman"/>
                <w:i/>
                <w:szCs w:val="24"/>
                <w:vertAlign w:val="subscript"/>
                <w:lang w:val="en-US"/>
              </w:rPr>
              <w:t>2</w:t>
            </w:r>
            <w:r w:rsidRPr="008235BD">
              <w:rPr>
                <w:rFonts w:cs="Times New Roman"/>
                <w:i/>
                <w:szCs w:val="24"/>
                <w:lang w:val="en-US"/>
              </w:rPr>
              <w:t>DY</w:t>
            </w:r>
            <w:r w:rsidRPr="008235BD">
              <w:rPr>
                <w:rFonts w:cs="Times New Roman"/>
                <w:i/>
                <w:szCs w:val="24"/>
                <w:vertAlign w:val="subscript"/>
                <w:lang w:val="en-US"/>
              </w:rPr>
              <w:t>j</w:t>
            </w:r>
            <w:r>
              <w:rPr>
                <w:rFonts w:cs="Times New Roman"/>
                <w:i/>
                <w:szCs w:val="24"/>
                <w:vertAlign w:val="subscript"/>
                <w:lang w:val="en-US"/>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a</w:t>
            </w:r>
            <w:r w:rsidRPr="008235BD">
              <w:rPr>
                <w:rFonts w:cs="Times New Roman"/>
                <w:i/>
                <w:szCs w:val="24"/>
                <w:vertAlign w:val="subscript"/>
                <w:lang w:val="en-US"/>
              </w:rPr>
              <w:t>3</w:t>
            </w:r>
            <w:r w:rsidRPr="008235BD">
              <w:rPr>
                <w:rFonts w:cs="Times New Roman"/>
                <w:i/>
                <w:szCs w:val="24"/>
                <w:lang w:val="en-US"/>
              </w:rPr>
              <w:t>POR</w:t>
            </w:r>
            <w:r w:rsidRPr="008235BD">
              <w:rPr>
                <w:rFonts w:cs="Times New Roman"/>
                <w:i/>
                <w:szCs w:val="24"/>
                <w:vertAlign w:val="subscript"/>
                <w:lang w:val="en-US"/>
              </w:rPr>
              <w:t>j</w:t>
            </w:r>
            <w:r>
              <w:rPr>
                <w:rFonts w:cs="Times New Roman"/>
                <w:i/>
                <w:szCs w:val="24"/>
                <w:vertAlign w:val="subscript"/>
                <w:lang w:val="en-US"/>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a</w:t>
            </w:r>
            <w:r w:rsidRPr="008235BD">
              <w:rPr>
                <w:rFonts w:cs="Times New Roman"/>
                <w:i/>
                <w:szCs w:val="24"/>
                <w:vertAlign w:val="subscript"/>
                <w:lang w:val="en-US"/>
              </w:rPr>
              <w:t>4</w:t>
            </w:r>
            <w:r w:rsidRPr="008235BD">
              <w:rPr>
                <w:rFonts w:cs="Times New Roman"/>
                <w:i/>
                <w:szCs w:val="24"/>
                <w:lang w:val="en-US"/>
              </w:rPr>
              <w:t>SZ</w:t>
            </w:r>
            <w:r w:rsidRPr="008235BD">
              <w:rPr>
                <w:rFonts w:cs="Times New Roman"/>
                <w:i/>
                <w:szCs w:val="24"/>
                <w:vertAlign w:val="subscript"/>
                <w:lang w:val="en-US"/>
              </w:rPr>
              <w:t>j</w:t>
            </w:r>
            <w:r>
              <w:rPr>
                <w:rFonts w:cs="Times New Roman"/>
                <w:i/>
                <w:szCs w:val="24"/>
                <w:vertAlign w:val="subscript"/>
                <w:lang w:val="en-US"/>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a</w:t>
            </w:r>
            <w:r w:rsidRPr="008235BD">
              <w:rPr>
                <w:rFonts w:cs="Times New Roman"/>
                <w:i/>
                <w:szCs w:val="24"/>
                <w:vertAlign w:val="subscript"/>
                <w:lang w:val="en-US"/>
              </w:rPr>
              <w:t>5</w:t>
            </w:r>
            <w:r w:rsidRPr="008235BD">
              <w:rPr>
                <w:rFonts w:cs="Times New Roman"/>
                <w:i/>
                <w:szCs w:val="24"/>
                <w:lang w:val="en-US"/>
              </w:rPr>
              <w:t>EV</w:t>
            </w:r>
            <w:r w:rsidRPr="008235BD">
              <w:rPr>
                <w:rFonts w:cs="Times New Roman"/>
                <w:i/>
                <w:szCs w:val="24"/>
                <w:vertAlign w:val="subscript"/>
                <w:lang w:val="en-US"/>
              </w:rPr>
              <w:t>j</w:t>
            </w:r>
            <w:r>
              <w:rPr>
                <w:rFonts w:cs="Times New Roman"/>
                <w:i/>
                <w:szCs w:val="24"/>
                <w:vertAlign w:val="subscript"/>
                <w:lang w:val="en-US"/>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a</w:t>
            </w:r>
            <w:r w:rsidRPr="008235BD">
              <w:rPr>
                <w:rFonts w:cs="Times New Roman"/>
                <w:i/>
                <w:szCs w:val="24"/>
                <w:vertAlign w:val="subscript"/>
                <w:lang w:val="en-US"/>
              </w:rPr>
              <w:t>6</w:t>
            </w:r>
            <w:r w:rsidRPr="008235BD">
              <w:rPr>
                <w:rFonts w:cs="Times New Roman"/>
                <w:i/>
                <w:szCs w:val="24"/>
                <w:lang w:val="en-US"/>
              </w:rPr>
              <w:t>DA</w:t>
            </w:r>
            <w:r w:rsidRPr="008235BD">
              <w:rPr>
                <w:rFonts w:cs="Times New Roman"/>
                <w:i/>
                <w:szCs w:val="24"/>
                <w:vertAlign w:val="subscript"/>
                <w:lang w:val="en-US"/>
              </w:rPr>
              <w:t>j</w:t>
            </w:r>
            <w:r>
              <w:rPr>
                <w:rFonts w:cs="Times New Roman"/>
                <w:i/>
                <w:szCs w:val="24"/>
                <w:vertAlign w:val="subscript"/>
                <w:lang w:val="en-US"/>
              </w:rPr>
              <w:t xml:space="preserve"> </w:t>
            </w:r>
            <w:r w:rsidRPr="008235BD">
              <w:rPr>
                <w:rFonts w:cs="Times New Roman"/>
                <w:i/>
                <w:szCs w:val="24"/>
                <w:lang w:val="en-US"/>
              </w:rPr>
              <w:t>+</w:t>
            </w:r>
            <w:r>
              <w:rPr>
                <w:rFonts w:cs="Times New Roman"/>
                <w:i/>
                <w:szCs w:val="24"/>
                <w:lang w:val="en-US"/>
              </w:rPr>
              <w:t xml:space="preserve"> </w:t>
            </w:r>
            <w:r w:rsidRPr="008235BD">
              <w:rPr>
                <w:rFonts w:cs="Times New Roman"/>
                <w:i/>
                <w:szCs w:val="24"/>
                <w:lang w:val="en-US"/>
              </w:rPr>
              <w:t>e</w:t>
            </w:r>
            <w:r w:rsidRPr="008235BD">
              <w:rPr>
                <w:rFonts w:cs="Times New Roman"/>
                <w:i/>
                <w:szCs w:val="24"/>
                <w:vertAlign w:val="subscript"/>
                <w:lang w:val="en-US"/>
              </w:rPr>
              <w:t>j</w:t>
            </w:r>
            <w:r>
              <w:rPr>
                <w:rFonts w:cs="Times New Roman"/>
                <w:i/>
                <w:szCs w:val="24"/>
                <w:vertAlign w:val="subscript"/>
                <w:lang w:val="en-US"/>
              </w:rPr>
              <w:t xml:space="preserve"> </w:t>
            </w:r>
            <w:r>
              <w:rPr>
                <w:rFonts w:cs="Times New Roman"/>
                <w:szCs w:val="24"/>
                <w:lang w:val="en-US"/>
              </w:rPr>
              <w:t>;          (6)</w:t>
            </w:r>
          </w:p>
        </w:tc>
      </w:tr>
      <w:tr w:rsidR="00751CB5" w:rsidRPr="008235BD"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ign w:val="center"/>
          </w:tcPr>
          <w:p w:rsidR="00751CB5" w:rsidRPr="00D132CB" w:rsidRDefault="00751CB5" w:rsidP="001D192E">
            <w:pPr>
              <w:spacing w:before="0" w:line="240" w:lineRule="auto"/>
              <w:ind w:firstLine="0"/>
              <w:jc w:val="center"/>
              <w:rPr>
                <w:rFonts w:cs="Times New Roman"/>
                <w:szCs w:val="24"/>
              </w:rPr>
            </w:pPr>
          </w:p>
        </w:tc>
        <w:tc>
          <w:tcPr>
            <w:tcW w:w="8421" w:type="dxa"/>
            <w:gridSpan w:val="14"/>
            <w:tcBorders>
              <w:top w:val="nil"/>
            </w:tcBorders>
            <w:vAlign w:val="center"/>
          </w:tcPr>
          <w:p w:rsidR="00751CB5" w:rsidRDefault="00751CB5" w:rsidP="001D192E">
            <w:pPr>
              <w:spacing w:before="0" w:line="240" w:lineRule="auto"/>
              <w:ind w:firstLine="0"/>
              <w:jc w:val="center"/>
              <w:rPr>
                <w:rFonts w:cs="Times New Roman"/>
                <w:szCs w:val="24"/>
              </w:rPr>
            </w:pPr>
            <w:r w:rsidRPr="006D5025">
              <w:rPr>
                <w:rFonts w:cs="Times New Roman"/>
                <w:b/>
                <w:szCs w:val="24"/>
              </w:rPr>
              <w:t>Čia:</w:t>
            </w:r>
            <w:r>
              <w:rPr>
                <w:rFonts w:cs="Times New Roman"/>
                <w:i/>
                <w:szCs w:val="24"/>
              </w:rPr>
              <w:t xml:space="preserve"> </w:t>
            </w:r>
            <w:r w:rsidRPr="000244C8">
              <w:rPr>
                <w:rFonts w:cs="Times New Roman"/>
                <w:i/>
                <w:szCs w:val="24"/>
              </w:rPr>
              <w:t>PV</w:t>
            </w:r>
            <w:r w:rsidRPr="008235BD">
              <w:rPr>
                <w:rFonts w:cs="Times New Roman"/>
                <w:szCs w:val="24"/>
              </w:rPr>
              <w:t xml:space="preserve"> – kainos jautrumo matas, parodantis laukiamos grąžos koeficientą.</w:t>
            </w:r>
          </w:p>
          <w:p w:rsidR="00751CB5" w:rsidRPr="008235BD" w:rsidRDefault="00751CB5" w:rsidP="001D192E">
            <w:pPr>
              <w:spacing w:before="0" w:line="240" w:lineRule="auto"/>
              <w:ind w:firstLine="0"/>
              <w:jc w:val="center"/>
              <w:rPr>
                <w:rFonts w:cs="Times New Roman"/>
                <w:szCs w:val="24"/>
              </w:rPr>
            </w:pPr>
            <w:r w:rsidRPr="008235BD">
              <w:rPr>
                <w:rFonts w:cs="Times New Roman"/>
                <w:szCs w:val="24"/>
              </w:rPr>
              <w:t>DY – dividendų p</w:t>
            </w:r>
            <w:r>
              <w:rPr>
                <w:rFonts w:cs="Times New Roman"/>
                <w:szCs w:val="24"/>
              </w:rPr>
              <w:t>ajamingu</w:t>
            </w:r>
            <w:r w:rsidRPr="008235BD">
              <w:rPr>
                <w:rFonts w:cs="Times New Roman"/>
                <w:szCs w:val="24"/>
              </w:rPr>
              <w:t>mas, apskaičiuojamas susumuojant visus metinius piniginius dividendus, išmokamus vienai akcijai, ir padalinus šią sumą iš vidutinės akcijos kainos per atitinkamus metus;</w:t>
            </w:r>
          </w:p>
          <w:p w:rsidR="00751CB5" w:rsidRPr="008235BD" w:rsidRDefault="00751CB5" w:rsidP="001D192E">
            <w:pPr>
              <w:spacing w:before="0" w:line="240" w:lineRule="auto"/>
              <w:ind w:firstLine="0"/>
              <w:jc w:val="center"/>
              <w:rPr>
                <w:rFonts w:cs="Times New Roman"/>
                <w:szCs w:val="24"/>
              </w:rPr>
            </w:pPr>
            <w:r w:rsidRPr="008235BD">
              <w:rPr>
                <w:rFonts w:cs="Times New Roman"/>
                <w:szCs w:val="24"/>
              </w:rPr>
              <w:t xml:space="preserve">EV – pelno kintamumas, apskaičiuojamas kaip veiklos pelno ir viso turto santykis, toliau skaičiuojant kvadratinio nuokrypio vidurkį  nuo bendro vidurkio. </w:t>
            </w:r>
          </w:p>
          <w:p w:rsidR="00751CB5" w:rsidRPr="008235BD" w:rsidRDefault="00751CB5" w:rsidP="001D192E">
            <w:pPr>
              <w:spacing w:before="0" w:line="240" w:lineRule="auto"/>
              <w:ind w:firstLine="0"/>
              <w:jc w:val="center"/>
              <w:rPr>
                <w:rFonts w:cs="Times New Roman"/>
                <w:szCs w:val="24"/>
              </w:rPr>
            </w:pPr>
            <w:r w:rsidRPr="008235BD">
              <w:rPr>
                <w:rFonts w:cs="Times New Roman"/>
                <w:szCs w:val="24"/>
              </w:rPr>
              <w:t>POR – išmokamų dividendų dydis, apskaičiuojamas susumavus gautus dividendus per laikotarpį padalinus iš viso pelno gauto per atitinkamą laikotarpį;</w:t>
            </w:r>
          </w:p>
          <w:p w:rsidR="00751CB5" w:rsidRPr="008235BD" w:rsidRDefault="00751CB5" w:rsidP="001D192E">
            <w:pPr>
              <w:spacing w:before="0" w:line="240" w:lineRule="auto"/>
              <w:ind w:firstLine="0"/>
              <w:jc w:val="center"/>
              <w:rPr>
                <w:rFonts w:cs="Times New Roman"/>
                <w:szCs w:val="24"/>
              </w:rPr>
            </w:pPr>
            <w:r w:rsidRPr="008235BD">
              <w:rPr>
                <w:rFonts w:cs="Times New Roman"/>
                <w:szCs w:val="24"/>
              </w:rPr>
              <w:t>SZ – vidutinė akcijos rinkos vertė, pagal kurią apskaičiuojamas realaus įmonės dydžio vertės vidurkis per analizuojamą periodą;</w:t>
            </w:r>
          </w:p>
          <w:p w:rsidR="00751CB5" w:rsidRPr="008235BD" w:rsidRDefault="00751CB5" w:rsidP="001D192E">
            <w:pPr>
              <w:spacing w:before="0" w:line="240" w:lineRule="auto"/>
              <w:ind w:firstLine="0"/>
              <w:jc w:val="center"/>
              <w:rPr>
                <w:rFonts w:cs="Times New Roman"/>
                <w:szCs w:val="24"/>
              </w:rPr>
            </w:pPr>
            <w:r w:rsidRPr="008235BD">
              <w:rPr>
                <w:rFonts w:cs="Times New Roman"/>
                <w:szCs w:val="24"/>
              </w:rPr>
              <w:t>DA – ilgalaikė skola, apskaičiuojama kaip ilgalaikės skolos (daugiau kaip metų) santykis su visu turtu. Apskaičiuojamas analizuojamo periodo vidurkis;</w:t>
            </w:r>
          </w:p>
        </w:tc>
      </w:tr>
      <w:tr w:rsidR="00751CB5" w:rsidRPr="000244C8"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trHeight w:val="435"/>
          <w:jc w:val="center"/>
        </w:trPr>
        <w:tc>
          <w:tcPr>
            <w:tcW w:w="9924" w:type="dxa"/>
            <w:gridSpan w:val="15"/>
            <w:vAlign w:val="center"/>
          </w:tcPr>
          <w:p w:rsidR="00751CB5" w:rsidRPr="000244C8" w:rsidRDefault="00751CB5" w:rsidP="001D192E">
            <w:pPr>
              <w:spacing w:before="0" w:line="240" w:lineRule="auto"/>
              <w:ind w:firstLine="0"/>
              <w:jc w:val="center"/>
              <w:rPr>
                <w:rFonts w:cs="Times New Roman"/>
                <w:i/>
                <w:szCs w:val="24"/>
              </w:rPr>
            </w:pPr>
            <w:r>
              <w:rPr>
                <w:rFonts w:cs="Times New Roman"/>
                <w:i/>
                <w:szCs w:val="24"/>
              </w:rPr>
              <w:t>Kitų autorių analizuojami dividendiniai modeliai</w:t>
            </w:r>
          </w:p>
        </w:tc>
      </w:tr>
      <w:tr w:rsidR="00751CB5"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restart"/>
            <w:vAlign w:val="center"/>
          </w:tcPr>
          <w:p w:rsidR="00751CB5" w:rsidRPr="00D132CB" w:rsidRDefault="00751CB5" w:rsidP="001D192E">
            <w:pPr>
              <w:spacing w:line="240" w:lineRule="auto"/>
              <w:ind w:firstLine="0"/>
              <w:jc w:val="center"/>
              <w:rPr>
                <w:rFonts w:cs="Times New Roman"/>
                <w:szCs w:val="24"/>
              </w:rPr>
            </w:pPr>
            <w:r w:rsidRPr="00D132CB">
              <w:rPr>
                <w:szCs w:val="24"/>
              </w:rPr>
              <w:t>Portniaguina, Uysal (2008)</w:t>
            </w:r>
          </w:p>
        </w:tc>
        <w:tc>
          <w:tcPr>
            <w:tcW w:w="8421" w:type="dxa"/>
            <w:gridSpan w:val="14"/>
            <w:tcBorders>
              <w:bottom w:val="nil"/>
            </w:tcBorders>
            <w:vAlign w:val="center"/>
          </w:tcPr>
          <w:p w:rsidR="00751CB5" w:rsidRDefault="00751CB5" w:rsidP="001D192E">
            <w:pPr>
              <w:spacing w:before="0" w:line="240" w:lineRule="auto"/>
              <w:ind w:firstLine="0"/>
              <w:jc w:val="center"/>
              <w:rPr>
                <w:rFonts w:cs="Times New Roman"/>
                <w:i/>
                <w:szCs w:val="24"/>
              </w:rPr>
            </w:pPr>
            <w:r w:rsidRPr="008235BD">
              <w:rPr>
                <w:rFonts w:cs="Times New Roman"/>
                <w:b/>
              </w:rPr>
              <w:t>Analizuojami kriterijai</w:t>
            </w:r>
          </w:p>
        </w:tc>
      </w:tr>
      <w:tr w:rsidR="00751CB5" w:rsidRPr="000244C8"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Merge/>
            <w:vAlign w:val="center"/>
          </w:tcPr>
          <w:p w:rsidR="00751CB5" w:rsidRPr="00D132CB" w:rsidRDefault="00751CB5" w:rsidP="001D192E">
            <w:pPr>
              <w:spacing w:before="0" w:line="240" w:lineRule="auto"/>
              <w:ind w:firstLine="0"/>
              <w:jc w:val="center"/>
              <w:rPr>
                <w:rFonts w:cs="Times New Roman"/>
                <w:szCs w:val="24"/>
              </w:rPr>
            </w:pPr>
          </w:p>
        </w:tc>
        <w:tc>
          <w:tcPr>
            <w:tcW w:w="8421" w:type="dxa"/>
            <w:gridSpan w:val="14"/>
            <w:tcBorders>
              <w:top w:val="nil"/>
              <w:bottom w:val="single" w:sz="12" w:space="0" w:color="auto"/>
            </w:tcBorders>
            <w:vAlign w:val="center"/>
          </w:tcPr>
          <w:p w:rsidR="00751CB5" w:rsidRPr="00CA21D1" w:rsidRDefault="00751CB5" w:rsidP="001D192E">
            <w:pPr>
              <w:spacing w:before="0" w:line="240" w:lineRule="auto"/>
              <w:ind w:firstLine="0"/>
              <w:jc w:val="center"/>
              <w:rPr>
                <w:rFonts w:cs="Times New Roman"/>
                <w:i/>
                <w:szCs w:val="24"/>
              </w:rPr>
            </w:pPr>
            <w:r w:rsidRPr="00CA21D1">
              <w:rPr>
                <w:rFonts w:cs="Times New Roman"/>
                <w:i/>
                <w:szCs w:val="24"/>
              </w:rPr>
              <w:t xml:space="preserve">CAR[-2;2] – </w:t>
            </w:r>
            <w:r w:rsidRPr="00CA21D1">
              <w:rPr>
                <w:rFonts w:cs="Times New Roman"/>
                <w:szCs w:val="24"/>
              </w:rPr>
              <w:t>priklausomas tyrimo kintamasis</w:t>
            </w:r>
          </w:p>
          <w:p w:rsidR="00751CB5" w:rsidRPr="00CA21D1" w:rsidRDefault="00751CB5" w:rsidP="001D192E">
            <w:pPr>
              <w:spacing w:before="0" w:line="240" w:lineRule="auto"/>
              <w:ind w:firstLine="0"/>
              <w:jc w:val="center"/>
              <w:rPr>
                <w:rFonts w:cs="Times New Roman"/>
                <w:i/>
                <w:szCs w:val="24"/>
              </w:rPr>
            </w:pPr>
            <w:r w:rsidRPr="00CA21D1">
              <w:rPr>
                <w:rFonts w:cs="Times New Roman"/>
                <w:i/>
                <w:szCs w:val="24"/>
              </w:rPr>
              <w:t xml:space="preserve">Sales </w:t>
            </w:r>
            <w:r w:rsidRPr="00CA21D1">
              <w:rPr>
                <w:rFonts w:cs="Times New Roman"/>
                <w:szCs w:val="24"/>
              </w:rPr>
              <w:t>– pardavimai, įvertinus infliacijos faktorių;</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 xml:space="preserve">TA </w:t>
            </w:r>
            <w:r w:rsidRPr="00CA21D1">
              <w:rPr>
                <w:rFonts w:cs="Times New Roman"/>
                <w:szCs w:val="24"/>
              </w:rPr>
              <w:t>– visas turtas;</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ME</w:t>
            </w:r>
            <w:r w:rsidRPr="00CA21D1">
              <w:rPr>
                <w:rFonts w:cs="Times New Roman"/>
                <w:szCs w:val="24"/>
              </w:rPr>
              <w:t xml:space="preserve"> – akcinio kapitalo rinkos vertė (</w:t>
            </w:r>
            <w:r w:rsidRPr="00CA21D1">
              <w:rPr>
                <w:rFonts w:cs="Times New Roman"/>
                <w:i/>
                <w:szCs w:val="24"/>
              </w:rPr>
              <w:t>akcijos kaina</w:t>
            </w:r>
            <w:r w:rsidRPr="00CA21D1">
              <w:rPr>
                <w:rFonts w:cs="Times New Roman"/>
                <w:szCs w:val="24"/>
              </w:rPr>
              <w:t xml:space="preserve"> x </w:t>
            </w:r>
            <w:r w:rsidRPr="00CA21D1">
              <w:rPr>
                <w:rFonts w:cs="Times New Roman"/>
                <w:i/>
                <w:szCs w:val="24"/>
              </w:rPr>
              <w:t>akcijų skaičius</w:t>
            </w:r>
            <w:r w:rsidRPr="00CA21D1">
              <w:rPr>
                <w:rFonts w:cs="Times New Roman"/>
                <w:szCs w:val="24"/>
              </w:rPr>
              <w:t>);</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 xml:space="preserve">MV </w:t>
            </w:r>
            <w:r w:rsidRPr="00CA21D1">
              <w:rPr>
                <w:rFonts w:cs="Times New Roman"/>
                <w:szCs w:val="24"/>
              </w:rPr>
              <w:t>– rinkos vertė (TA – buhalterinė akcinio kapitalo vertė + ME);</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TobinQ</w:t>
            </w:r>
            <w:r w:rsidRPr="00CA21D1">
              <w:rPr>
                <w:rFonts w:cs="Times New Roman"/>
                <w:szCs w:val="24"/>
              </w:rPr>
              <w:t xml:space="preserve"> </w:t>
            </w:r>
            <w:r w:rsidRPr="00CA21D1">
              <w:rPr>
                <w:rFonts w:cs="Times New Roman"/>
                <w:szCs w:val="24"/>
                <w:lang w:val="en-US"/>
              </w:rPr>
              <w:t xml:space="preserve">= </w:t>
            </w:r>
            <w:r w:rsidRPr="00CA21D1">
              <w:rPr>
                <w:rFonts w:cs="Times New Roman"/>
                <w:szCs w:val="24"/>
              </w:rPr>
              <w:t>MV/TA;</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BookLEVERAGE</w:t>
            </w:r>
            <w:r w:rsidRPr="00CA21D1">
              <w:rPr>
                <w:rFonts w:cs="Times New Roman"/>
                <w:szCs w:val="24"/>
              </w:rPr>
              <w:t xml:space="preserve"> </w:t>
            </w:r>
            <w:r w:rsidRPr="00CA21D1">
              <w:rPr>
                <w:rFonts w:cs="Times New Roman"/>
                <w:szCs w:val="24"/>
                <w:lang w:val="en-US"/>
              </w:rPr>
              <w:t>=</w:t>
            </w:r>
            <w:r w:rsidRPr="00CA21D1">
              <w:rPr>
                <w:rFonts w:cs="Times New Roman"/>
                <w:szCs w:val="24"/>
              </w:rPr>
              <w:t xml:space="preserve"> ilgalaikių ir trumpalaikių skolų santykis su TA</w:t>
            </w:r>
          </w:p>
          <w:p w:rsidR="00751CB5" w:rsidRPr="00CA21D1" w:rsidRDefault="00751CB5" w:rsidP="001D192E">
            <w:pPr>
              <w:spacing w:before="0" w:line="240" w:lineRule="auto"/>
              <w:ind w:firstLine="0"/>
              <w:jc w:val="center"/>
              <w:rPr>
                <w:rFonts w:cs="Times New Roman"/>
                <w:szCs w:val="24"/>
              </w:rPr>
            </w:pPr>
            <w:r w:rsidRPr="00CA21D1">
              <w:rPr>
                <w:rFonts w:cs="Times New Roman"/>
                <w:i/>
                <w:szCs w:val="24"/>
              </w:rPr>
              <w:t xml:space="preserve">EBITDA/TA - </w:t>
            </w:r>
            <w:r w:rsidRPr="00CA21D1">
              <w:rPr>
                <w:rFonts w:cs="Times New Roman"/>
                <w:szCs w:val="24"/>
              </w:rPr>
              <w:t>pelno prieš apmokestinimą santykis su TA</w:t>
            </w:r>
          </w:p>
          <w:p w:rsidR="00751CB5" w:rsidRPr="000244C8" w:rsidRDefault="00751CB5" w:rsidP="001D192E">
            <w:pPr>
              <w:spacing w:before="0" w:line="240" w:lineRule="auto"/>
              <w:ind w:firstLine="0"/>
              <w:jc w:val="center"/>
              <w:rPr>
                <w:rFonts w:cs="Times New Roman"/>
                <w:i/>
                <w:szCs w:val="24"/>
              </w:rPr>
            </w:pPr>
            <w:r w:rsidRPr="00CA21D1">
              <w:rPr>
                <w:rFonts w:cs="Times New Roman"/>
                <w:szCs w:val="24"/>
              </w:rPr>
              <w:t>RE/TE – pelno prieš apmokestinimą santykis su akcinio kapitalo rinkos verte (ME)</w:t>
            </w:r>
          </w:p>
        </w:tc>
      </w:tr>
      <w:tr w:rsidR="00751CB5" w:rsidRPr="00A42E0A"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jc w:val="center"/>
        </w:trPr>
        <w:tc>
          <w:tcPr>
            <w:tcW w:w="1503" w:type="dxa"/>
            <w:vAlign w:val="center"/>
          </w:tcPr>
          <w:p w:rsidR="00751CB5" w:rsidRPr="00D132CB" w:rsidRDefault="00751CB5" w:rsidP="001D192E">
            <w:pPr>
              <w:spacing w:before="0" w:line="240" w:lineRule="auto"/>
              <w:ind w:firstLine="0"/>
              <w:jc w:val="center"/>
              <w:rPr>
                <w:szCs w:val="24"/>
              </w:rPr>
            </w:pPr>
            <w:r w:rsidRPr="00D132CB">
              <w:rPr>
                <w:rFonts w:cs="Times New Roman"/>
                <w:bCs/>
                <w:szCs w:val="24"/>
              </w:rPr>
              <w:t>Hussainey, Mgbame, Chijoke-Mgbame (2010)</w:t>
            </w:r>
          </w:p>
        </w:tc>
        <w:tc>
          <w:tcPr>
            <w:tcW w:w="8421" w:type="dxa"/>
            <w:gridSpan w:val="14"/>
            <w:tcBorders>
              <w:top w:val="nil"/>
              <w:bottom w:val="single" w:sz="12" w:space="0" w:color="auto"/>
            </w:tcBorders>
            <w:vAlign w:val="center"/>
          </w:tcPr>
          <w:p w:rsidR="00751CB5" w:rsidRDefault="00751CB5" w:rsidP="001D192E">
            <w:pPr>
              <w:spacing w:before="0" w:line="240" w:lineRule="auto"/>
              <w:ind w:firstLine="0"/>
              <w:jc w:val="center"/>
              <w:rPr>
                <w:rFonts w:cs="Times New Roman"/>
                <w:b/>
              </w:rPr>
            </w:pPr>
            <w:r>
              <w:rPr>
                <w:rFonts w:cs="Times New Roman"/>
                <w:b/>
              </w:rPr>
              <w:t>Siūlomas</w:t>
            </w:r>
            <w:r w:rsidRPr="008235BD">
              <w:rPr>
                <w:rFonts w:cs="Times New Roman"/>
                <w:b/>
              </w:rPr>
              <w:t xml:space="preserve"> modelis (regresijos lygtis</w:t>
            </w:r>
            <w:r>
              <w:rPr>
                <w:rFonts w:cs="Times New Roman"/>
                <w:b/>
              </w:rPr>
              <w:t>)</w:t>
            </w:r>
          </w:p>
          <w:p w:rsidR="00751CB5" w:rsidRDefault="00751CB5" w:rsidP="001D192E">
            <w:pPr>
              <w:spacing w:before="0" w:line="240" w:lineRule="auto"/>
              <w:ind w:firstLine="0"/>
              <w:jc w:val="center"/>
              <w:rPr>
                <w:rFonts w:cs="Times New Roman"/>
                <w:b/>
              </w:rPr>
            </w:pPr>
          </w:p>
          <w:p w:rsidR="00751CB5" w:rsidRPr="00A42E0A" w:rsidRDefault="00751CB5" w:rsidP="001D192E">
            <w:pPr>
              <w:spacing w:before="0" w:line="240" w:lineRule="auto"/>
              <w:ind w:firstLine="0"/>
              <w:jc w:val="center"/>
              <w:rPr>
                <w:rFonts w:cs="Times New Roman"/>
                <w:i/>
                <w:szCs w:val="24"/>
              </w:rPr>
            </w:pPr>
            <w:r w:rsidRPr="00A42E0A">
              <w:rPr>
                <w:rFonts w:cs="Times New Roman"/>
                <w:i/>
                <w:szCs w:val="24"/>
              </w:rPr>
              <w:t>P-Vol=a</w:t>
            </w:r>
            <w:r w:rsidRPr="00261C29">
              <w:rPr>
                <w:rFonts w:cs="Times New Roman"/>
                <w:i/>
                <w:szCs w:val="24"/>
                <w:vertAlign w:val="subscript"/>
              </w:rPr>
              <w:t>1</w:t>
            </w:r>
            <w:r w:rsidRPr="00A42E0A">
              <w:rPr>
                <w:rFonts w:cs="Times New Roman"/>
                <w:i/>
                <w:szCs w:val="24"/>
              </w:rPr>
              <w:t>+a</w:t>
            </w:r>
            <w:r w:rsidRPr="00261C29">
              <w:rPr>
                <w:rFonts w:cs="Times New Roman"/>
                <w:i/>
                <w:szCs w:val="24"/>
                <w:vertAlign w:val="subscript"/>
              </w:rPr>
              <w:t>2</w:t>
            </w:r>
            <w:r w:rsidRPr="00A42E0A">
              <w:rPr>
                <w:rFonts w:cs="Times New Roman"/>
                <w:i/>
                <w:szCs w:val="24"/>
              </w:rPr>
              <w:t>D-yield</w:t>
            </w:r>
            <w:r w:rsidRPr="00261C29">
              <w:rPr>
                <w:rFonts w:cs="Times New Roman"/>
                <w:i/>
                <w:szCs w:val="24"/>
                <w:vertAlign w:val="subscript"/>
              </w:rPr>
              <w:t>j</w:t>
            </w:r>
            <w:r w:rsidRPr="00A42E0A">
              <w:rPr>
                <w:rFonts w:cs="Times New Roman"/>
                <w:i/>
                <w:szCs w:val="24"/>
              </w:rPr>
              <w:t xml:space="preserve"> + a</w:t>
            </w:r>
            <w:r w:rsidRPr="00261C29">
              <w:rPr>
                <w:rFonts w:cs="Times New Roman"/>
                <w:i/>
                <w:szCs w:val="24"/>
                <w:vertAlign w:val="subscript"/>
              </w:rPr>
              <w:t>3</w:t>
            </w:r>
            <w:r w:rsidRPr="00A42E0A">
              <w:rPr>
                <w:rFonts w:cs="Times New Roman"/>
                <w:i/>
                <w:szCs w:val="24"/>
              </w:rPr>
              <w:t>Payout</w:t>
            </w:r>
            <w:r w:rsidRPr="00261C29">
              <w:rPr>
                <w:rFonts w:cs="Times New Roman"/>
                <w:i/>
                <w:szCs w:val="24"/>
                <w:vertAlign w:val="subscript"/>
              </w:rPr>
              <w:t xml:space="preserve">j </w:t>
            </w:r>
            <w:r w:rsidRPr="00A42E0A">
              <w:rPr>
                <w:rFonts w:cs="Times New Roman"/>
                <w:i/>
                <w:szCs w:val="24"/>
              </w:rPr>
              <w:t>+ a</w:t>
            </w:r>
            <w:r w:rsidRPr="00261C29">
              <w:rPr>
                <w:rFonts w:cs="Times New Roman"/>
                <w:i/>
                <w:szCs w:val="24"/>
                <w:vertAlign w:val="subscript"/>
              </w:rPr>
              <w:t>4</w:t>
            </w:r>
            <w:r w:rsidRPr="00A42E0A">
              <w:rPr>
                <w:rFonts w:cs="Times New Roman"/>
                <w:i/>
                <w:szCs w:val="24"/>
              </w:rPr>
              <w:t>Size</w:t>
            </w:r>
            <w:r w:rsidRPr="00261C29">
              <w:rPr>
                <w:rFonts w:cs="Times New Roman"/>
                <w:i/>
                <w:szCs w:val="24"/>
                <w:vertAlign w:val="subscript"/>
              </w:rPr>
              <w:t>j</w:t>
            </w:r>
            <w:r w:rsidRPr="00A42E0A">
              <w:rPr>
                <w:rFonts w:cs="Times New Roman"/>
                <w:i/>
                <w:szCs w:val="24"/>
              </w:rPr>
              <w:t xml:space="preserve"> + a</w:t>
            </w:r>
            <w:r w:rsidRPr="00261C29">
              <w:rPr>
                <w:rFonts w:cs="Times New Roman"/>
                <w:i/>
                <w:szCs w:val="24"/>
                <w:vertAlign w:val="subscript"/>
              </w:rPr>
              <w:t>5</w:t>
            </w:r>
            <w:r w:rsidRPr="00A42E0A">
              <w:rPr>
                <w:rFonts w:cs="Times New Roman"/>
                <w:i/>
                <w:szCs w:val="24"/>
              </w:rPr>
              <w:t xml:space="preserve"> Earnings</w:t>
            </w:r>
            <w:r w:rsidRPr="00261C29">
              <w:rPr>
                <w:rFonts w:cs="Times New Roman"/>
                <w:i/>
                <w:szCs w:val="24"/>
                <w:vertAlign w:val="subscript"/>
              </w:rPr>
              <w:t>j</w:t>
            </w:r>
            <w:r w:rsidRPr="00A42E0A">
              <w:rPr>
                <w:rFonts w:cs="Times New Roman"/>
                <w:i/>
                <w:szCs w:val="24"/>
              </w:rPr>
              <w:t xml:space="preserve"> + a6Debt</w:t>
            </w:r>
            <w:r w:rsidRPr="00261C29">
              <w:rPr>
                <w:rFonts w:cs="Times New Roman"/>
                <w:i/>
                <w:szCs w:val="24"/>
                <w:vertAlign w:val="subscript"/>
              </w:rPr>
              <w:t>j</w:t>
            </w:r>
            <w:r w:rsidRPr="00A42E0A">
              <w:rPr>
                <w:rFonts w:cs="Times New Roman"/>
                <w:i/>
                <w:szCs w:val="24"/>
              </w:rPr>
              <w:t xml:space="preserve"> + a</w:t>
            </w:r>
            <w:r w:rsidRPr="00261C29">
              <w:rPr>
                <w:rFonts w:cs="Times New Roman"/>
                <w:i/>
                <w:szCs w:val="24"/>
                <w:vertAlign w:val="subscript"/>
              </w:rPr>
              <w:t>7</w:t>
            </w:r>
            <w:r w:rsidRPr="00A42E0A">
              <w:rPr>
                <w:rFonts w:cs="Times New Roman"/>
                <w:i/>
                <w:szCs w:val="24"/>
              </w:rPr>
              <w:t>Dum2 + e</w:t>
            </w:r>
            <w:r w:rsidRPr="00261C29">
              <w:rPr>
                <w:rFonts w:cs="Times New Roman"/>
                <w:i/>
                <w:szCs w:val="24"/>
                <w:vertAlign w:val="subscript"/>
              </w:rPr>
              <w:t>j</w:t>
            </w:r>
            <w:r>
              <w:rPr>
                <w:rFonts w:cs="Times New Roman"/>
                <w:i/>
                <w:szCs w:val="24"/>
              </w:rPr>
              <w:t xml:space="preserve">               </w:t>
            </w:r>
            <w:r w:rsidRPr="00A56391">
              <w:rPr>
                <w:rFonts w:cs="Times New Roman"/>
                <w:szCs w:val="24"/>
              </w:rPr>
              <w:t>(7)</w:t>
            </w:r>
          </w:p>
        </w:tc>
      </w:tr>
      <w:tr w:rsidR="00751CB5"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trHeight w:val="399"/>
          <w:jc w:val="center"/>
        </w:trPr>
        <w:tc>
          <w:tcPr>
            <w:tcW w:w="1503" w:type="dxa"/>
            <w:vMerge w:val="restart"/>
            <w:vAlign w:val="center"/>
          </w:tcPr>
          <w:p w:rsidR="00751CB5" w:rsidRPr="00D132CB" w:rsidRDefault="00751CB5" w:rsidP="001D192E">
            <w:pPr>
              <w:spacing w:before="0" w:line="240" w:lineRule="auto"/>
              <w:ind w:firstLine="0"/>
              <w:jc w:val="center"/>
              <w:rPr>
                <w:szCs w:val="24"/>
              </w:rPr>
            </w:pPr>
            <w:r w:rsidRPr="00D132CB">
              <w:rPr>
                <w:szCs w:val="24"/>
              </w:rPr>
              <w:t>Yeh, Liou, Lin (2011)</w:t>
            </w:r>
          </w:p>
        </w:tc>
        <w:tc>
          <w:tcPr>
            <w:tcW w:w="8421" w:type="dxa"/>
            <w:gridSpan w:val="14"/>
            <w:tcBorders>
              <w:bottom w:val="nil"/>
            </w:tcBorders>
            <w:vAlign w:val="center"/>
          </w:tcPr>
          <w:p w:rsidR="00751CB5" w:rsidRDefault="00751CB5" w:rsidP="001D192E">
            <w:pPr>
              <w:autoSpaceDE w:val="0"/>
              <w:autoSpaceDN w:val="0"/>
              <w:adjustRightInd w:val="0"/>
              <w:spacing w:before="0" w:line="240" w:lineRule="auto"/>
              <w:ind w:firstLine="0"/>
              <w:jc w:val="center"/>
              <w:rPr>
                <w:rFonts w:cs="Times New Roman"/>
                <w:i/>
                <w:szCs w:val="24"/>
              </w:rPr>
            </w:pPr>
            <w:r>
              <w:rPr>
                <w:rFonts w:cs="Times New Roman"/>
                <w:b/>
              </w:rPr>
              <w:t>Siūlomas</w:t>
            </w:r>
            <w:r w:rsidRPr="008235BD">
              <w:rPr>
                <w:rFonts w:cs="Times New Roman"/>
                <w:b/>
              </w:rPr>
              <w:t xml:space="preserve"> modelis (regresijos lygtis</w:t>
            </w:r>
            <w:r>
              <w:rPr>
                <w:rFonts w:cs="Times New Roman"/>
                <w:b/>
              </w:rPr>
              <w:t>)</w:t>
            </w:r>
          </w:p>
        </w:tc>
      </w:tr>
      <w:tr w:rsidR="00751CB5"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trHeight w:val="675"/>
          <w:jc w:val="center"/>
        </w:trPr>
        <w:tc>
          <w:tcPr>
            <w:tcW w:w="1503" w:type="dxa"/>
            <w:vMerge/>
            <w:vAlign w:val="center"/>
          </w:tcPr>
          <w:p w:rsidR="00751CB5" w:rsidRPr="00D132CB" w:rsidRDefault="00751CB5" w:rsidP="001D192E">
            <w:pPr>
              <w:spacing w:before="0" w:line="240" w:lineRule="auto"/>
              <w:ind w:firstLine="0"/>
              <w:jc w:val="center"/>
              <w:rPr>
                <w:szCs w:val="24"/>
              </w:rPr>
            </w:pPr>
          </w:p>
        </w:tc>
        <w:tc>
          <w:tcPr>
            <w:tcW w:w="8421" w:type="dxa"/>
            <w:gridSpan w:val="14"/>
            <w:tcBorders>
              <w:top w:val="nil"/>
              <w:bottom w:val="single" w:sz="12" w:space="0" w:color="auto"/>
            </w:tcBorders>
            <w:vAlign w:val="center"/>
          </w:tcPr>
          <w:p w:rsidR="00751CB5" w:rsidRDefault="00751CB5" w:rsidP="001D192E">
            <w:pPr>
              <w:autoSpaceDE w:val="0"/>
              <w:autoSpaceDN w:val="0"/>
              <w:adjustRightInd w:val="0"/>
              <w:spacing w:before="0" w:line="240" w:lineRule="auto"/>
              <w:ind w:firstLine="0"/>
              <w:jc w:val="center"/>
              <w:rPr>
                <w:rFonts w:cs="Times New Roman"/>
                <w:b/>
              </w:rPr>
            </w:pPr>
            <w:r w:rsidRPr="006F3F4B">
              <w:rPr>
                <w:rFonts w:cs="Times New Roman"/>
                <w:i/>
                <w:iCs/>
                <w:szCs w:val="24"/>
              </w:rPr>
              <w:t>CAR</w:t>
            </w:r>
            <w:r w:rsidRPr="006F3F4B">
              <w:rPr>
                <w:rFonts w:cs="Times New Roman"/>
                <w:i/>
                <w:iCs/>
                <w:szCs w:val="24"/>
                <w:vertAlign w:val="subscript"/>
              </w:rPr>
              <w:t>i</w:t>
            </w:r>
            <w:r w:rsidRPr="006F3F4B">
              <w:rPr>
                <w:rFonts w:cs="Times New Roman"/>
                <w:i/>
                <w:iCs/>
                <w:szCs w:val="24"/>
              </w:rPr>
              <w:t xml:space="preserve">(b,e) </w:t>
            </w:r>
            <w:r w:rsidRPr="006F3F4B">
              <w:rPr>
                <w:rFonts w:cs="Times New Roman"/>
                <w:i/>
                <w:iCs/>
                <w:szCs w:val="24"/>
                <w:lang w:val="en-US"/>
              </w:rPr>
              <w:t>=</w:t>
            </w:r>
            <w:r w:rsidRPr="006F3F4B">
              <w:rPr>
                <w:rFonts w:eastAsia="SymbolMT" w:cs="Times New Roman"/>
                <w:szCs w:val="24"/>
              </w:rPr>
              <w:t xml:space="preserve"> </w:t>
            </w:r>
            <w:r w:rsidRPr="008235BD">
              <w:rPr>
                <w:rFonts w:cs="Times New Roman"/>
                <w:i/>
                <w:szCs w:val="24"/>
              </w:rPr>
              <w:t>α</w:t>
            </w:r>
            <w:r>
              <w:rPr>
                <w:rFonts w:cs="Times New Roman"/>
                <w:i/>
                <w:szCs w:val="24"/>
                <w:vertAlign w:val="subscript"/>
              </w:rPr>
              <w:t xml:space="preserve"> </w:t>
            </w:r>
            <w:r>
              <w:rPr>
                <w:rFonts w:cs="Times New Roman"/>
                <w:i/>
                <w:szCs w:val="24"/>
                <w:lang w:val="en-US"/>
              </w:rPr>
              <w:t xml:space="preserve">+ </w:t>
            </w:r>
            <w:r w:rsidRPr="008235BD">
              <w:rPr>
                <w:rFonts w:cs="Times New Roman"/>
                <w:i/>
                <w:szCs w:val="24"/>
                <w:lang w:val="en-US"/>
              </w:rPr>
              <w:t>β</w:t>
            </w:r>
            <w:r>
              <w:rPr>
                <w:rFonts w:cs="Times New Roman"/>
                <w:i/>
                <w:szCs w:val="24"/>
                <w:vertAlign w:val="subscript"/>
              </w:rPr>
              <w:t>1</w:t>
            </w:r>
            <w:r w:rsidRPr="006F3F4B">
              <w:rPr>
                <w:rFonts w:cs="Times New Roman"/>
                <w:i/>
                <w:iCs/>
                <w:szCs w:val="24"/>
              </w:rPr>
              <w:t>EPS</w:t>
            </w:r>
            <w:r>
              <w:rPr>
                <w:rFonts w:cs="Times New Roman"/>
                <w:i/>
                <w:iCs/>
                <w:szCs w:val="24"/>
              </w:rPr>
              <w:t xml:space="preserve"> </w:t>
            </w:r>
            <w:r w:rsidRPr="006F3F4B">
              <w:rPr>
                <w:rFonts w:eastAsia="SymbolMT" w:cs="Times New Roman"/>
                <w:szCs w:val="24"/>
              </w:rPr>
              <w:t xml:space="preserve"> + </w:t>
            </w:r>
            <w:r w:rsidRPr="008235BD">
              <w:rPr>
                <w:rFonts w:cs="Times New Roman"/>
                <w:i/>
                <w:szCs w:val="24"/>
                <w:lang w:val="en-US"/>
              </w:rPr>
              <w:t>β</w:t>
            </w:r>
            <w:r w:rsidRPr="008235BD">
              <w:rPr>
                <w:rFonts w:cs="Times New Roman"/>
                <w:i/>
                <w:szCs w:val="24"/>
                <w:vertAlign w:val="subscript"/>
              </w:rPr>
              <w:t>2</w:t>
            </w:r>
            <w:r w:rsidRPr="006F3F4B">
              <w:rPr>
                <w:rFonts w:cs="Times New Roman"/>
                <w:i/>
                <w:iCs/>
                <w:szCs w:val="24"/>
              </w:rPr>
              <w:t>LA</w:t>
            </w:r>
            <w:r>
              <w:rPr>
                <w:rFonts w:cs="Times New Roman"/>
                <w:i/>
                <w:iCs/>
                <w:szCs w:val="24"/>
              </w:rPr>
              <w:t xml:space="preserve"> +</w:t>
            </w:r>
            <w:r>
              <w:rPr>
                <w:rFonts w:eastAsia="SymbolMT" w:cs="Times New Roman"/>
                <w:szCs w:val="24"/>
              </w:rPr>
              <w:t xml:space="preserve"> </w:t>
            </w:r>
            <w:r w:rsidRPr="008235BD">
              <w:rPr>
                <w:rFonts w:cs="Times New Roman"/>
                <w:i/>
                <w:szCs w:val="24"/>
                <w:lang w:val="en-US"/>
              </w:rPr>
              <w:t>β</w:t>
            </w:r>
            <w:r>
              <w:rPr>
                <w:rFonts w:cs="Times New Roman"/>
                <w:i/>
                <w:szCs w:val="24"/>
                <w:vertAlign w:val="subscript"/>
              </w:rPr>
              <w:t>3</w:t>
            </w:r>
            <w:r>
              <w:rPr>
                <w:rFonts w:cs="Times New Roman"/>
                <w:i/>
                <w:iCs/>
                <w:szCs w:val="24"/>
              </w:rPr>
              <w:t>Ln</w:t>
            </w:r>
            <w:r w:rsidRPr="006F3F4B">
              <w:rPr>
                <w:rFonts w:cs="Times New Roman"/>
                <w:i/>
                <w:iCs/>
                <w:szCs w:val="24"/>
              </w:rPr>
              <w:t>Assets</w:t>
            </w:r>
            <w:r>
              <w:rPr>
                <w:rFonts w:cs="Times New Roman"/>
                <w:i/>
                <w:iCs/>
                <w:szCs w:val="24"/>
              </w:rPr>
              <w:t xml:space="preserve"> +</w:t>
            </w:r>
            <w:r w:rsidRPr="006F3F4B">
              <w:rPr>
                <w:rFonts w:cs="Times New Roman"/>
                <w:i/>
                <w:iCs/>
                <w:szCs w:val="24"/>
              </w:rPr>
              <w:t xml:space="preserve"> </w:t>
            </w:r>
            <w:r w:rsidRPr="008235BD">
              <w:rPr>
                <w:rFonts w:cs="Times New Roman"/>
                <w:i/>
                <w:szCs w:val="24"/>
                <w:lang w:val="en-US"/>
              </w:rPr>
              <w:t>β</w:t>
            </w:r>
            <w:r>
              <w:rPr>
                <w:rFonts w:cs="Times New Roman"/>
                <w:i/>
                <w:szCs w:val="24"/>
                <w:vertAlign w:val="subscript"/>
              </w:rPr>
              <w:t>4</w:t>
            </w:r>
            <w:r w:rsidRPr="006F3F4B">
              <w:rPr>
                <w:rFonts w:eastAsia="SymbolMT" w:cs="Times New Roman"/>
                <w:szCs w:val="24"/>
              </w:rPr>
              <w:t>Δ</w:t>
            </w:r>
            <w:r w:rsidRPr="006F3F4B">
              <w:rPr>
                <w:rFonts w:cs="Times New Roman"/>
                <w:i/>
                <w:iCs/>
                <w:szCs w:val="24"/>
              </w:rPr>
              <w:t xml:space="preserve">DIV </w:t>
            </w:r>
            <w:r w:rsidRPr="008235BD">
              <w:rPr>
                <w:rFonts w:cs="Times New Roman"/>
                <w:i/>
                <w:szCs w:val="24"/>
                <w:lang w:val="en-US"/>
              </w:rPr>
              <w:t>β</w:t>
            </w:r>
            <w:r>
              <w:rPr>
                <w:rFonts w:cs="Times New Roman"/>
                <w:i/>
                <w:szCs w:val="24"/>
                <w:vertAlign w:val="subscript"/>
              </w:rPr>
              <w:t>5</w:t>
            </w:r>
            <w:r w:rsidRPr="006F3F4B">
              <w:rPr>
                <w:rFonts w:cs="Times New Roman"/>
                <w:i/>
                <w:iCs/>
                <w:szCs w:val="24"/>
              </w:rPr>
              <w:t>Risk(-1;1)</w:t>
            </w:r>
            <w:r>
              <w:rPr>
                <w:rFonts w:cs="Times New Roman"/>
                <w:i/>
                <w:iCs/>
                <w:szCs w:val="24"/>
              </w:rPr>
              <w:t xml:space="preserve"> +</w:t>
            </w:r>
            <w:r w:rsidRPr="006F3F4B">
              <w:rPr>
                <w:rFonts w:cs="Times New Roman"/>
                <w:i/>
                <w:iCs/>
                <w:szCs w:val="24"/>
              </w:rPr>
              <w:t xml:space="preserve"> </w:t>
            </w:r>
            <w:r w:rsidRPr="008235BD">
              <w:rPr>
                <w:rFonts w:cs="Times New Roman"/>
                <w:i/>
                <w:szCs w:val="24"/>
                <w:lang w:val="en-US"/>
              </w:rPr>
              <w:t>β</w:t>
            </w:r>
            <w:r>
              <w:rPr>
                <w:rFonts w:cs="Times New Roman"/>
                <w:i/>
                <w:szCs w:val="24"/>
                <w:vertAlign w:val="subscript"/>
              </w:rPr>
              <w:t>6</w:t>
            </w:r>
            <w:r>
              <w:rPr>
                <w:rFonts w:cs="Times New Roman"/>
                <w:i/>
                <w:iCs/>
                <w:szCs w:val="24"/>
              </w:rPr>
              <w:t>INSIDER(-1;</w:t>
            </w:r>
            <w:r w:rsidRPr="006F3F4B">
              <w:rPr>
                <w:rFonts w:cs="Times New Roman"/>
                <w:i/>
                <w:iCs/>
                <w:szCs w:val="24"/>
              </w:rPr>
              <w:t>0)</w:t>
            </w:r>
            <w:r>
              <w:rPr>
                <w:rFonts w:cs="Times New Roman"/>
                <w:i/>
                <w:iCs/>
                <w:szCs w:val="24"/>
              </w:rPr>
              <w:t>+</w:t>
            </w:r>
            <w:r w:rsidRPr="006F3F4B">
              <w:rPr>
                <w:rFonts w:cs="Times New Roman"/>
                <w:i/>
                <w:iCs/>
                <w:szCs w:val="24"/>
              </w:rPr>
              <w:t xml:space="preserve"> </w:t>
            </w:r>
            <w:r w:rsidRPr="008235BD">
              <w:rPr>
                <w:rFonts w:cs="Times New Roman"/>
                <w:i/>
                <w:szCs w:val="24"/>
                <w:lang w:val="en-US"/>
              </w:rPr>
              <w:t>β</w:t>
            </w:r>
            <w:r>
              <w:rPr>
                <w:rFonts w:cs="Times New Roman"/>
                <w:i/>
                <w:szCs w:val="24"/>
                <w:vertAlign w:val="subscript"/>
              </w:rPr>
              <w:t>7</w:t>
            </w:r>
            <w:r w:rsidRPr="006F3F4B">
              <w:rPr>
                <w:rFonts w:cs="Times New Roman"/>
                <w:i/>
                <w:iCs/>
                <w:szCs w:val="24"/>
              </w:rPr>
              <w:t>INSIDER(0;1)</w:t>
            </w:r>
            <w:r>
              <w:rPr>
                <w:rFonts w:cs="Times New Roman"/>
                <w:i/>
                <w:iCs/>
                <w:szCs w:val="24"/>
              </w:rPr>
              <w:t xml:space="preserve"> +</w:t>
            </w:r>
            <w:r w:rsidRPr="006F3F4B">
              <w:rPr>
                <w:rFonts w:cs="Times New Roman"/>
                <w:i/>
                <w:iCs/>
                <w:szCs w:val="24"/>
              </w:rPr>
              <w:t xml:space="preserve"> </w:t>
            </w:r>
            <w:r w:rsidRPr="008235BD">
              <w:rPr>
                <w:rFonts w:cs="Times New Roman"/>
                <w:i/>
                <w:szCs w:val="24"/>
                <w:lang w:val="en-US"/>
              </w:rPr>
              <w:t>β</w:t>
            </w:r>
            <w:r>
              <w:rPr>
                <w:rFonts w:cs="Times New Roman"/>
                <w:i/>
                <w:szCs w:val="24"/>
                <w:vertAlign w:val="subscript"/>
              </w:rPr>
              <w:t>7</w:t>
            </w:r>
            <w:r w:rsidRPr="006F3F4B">
              <w:rPr>
                <w:rFonts w:cs="Times New Roman"/>
                <w:i/>
                <w:iCs/>
                <w:szCs w:val="24"/>
              </w:rPr>
              <w:t>MBE</w:t>
            </w:r>
            <w:r>
              <w:rPr>
                <w:rFonts w:cs="Times New Roman"/>
                <w:i/>
                <w:iCs/>
                <w:szCs w:val="24"/>
              </w:rPr>
              <w:t xml:space="preserve"> </w:t>
            </w:r>
            <w:r w:rsidRPr="006F3F4B">
              <w:rPr>
                <w:rFonts w:cs="Times New Roman"/>
                <w:i/>
                <w:iCs/>
                <w:szCs w:val="24"/>
              </w:rPr>
              <w:t xml:space="preserve">+ </w:t>
            </w:r>
            <w:r w:rsidRPr="008235BD">
              <w:rPr>
                <w:rFonts w:cs="Times New Roman"/>
                <w:i/>
                <w:szCs w:val="24"/>
                <w:lang w:val="en-US"/>
              </w:rPr>
              <w:t>β</w:t>
            </w:r>
            <w:r>
              <w:rPr>
                <w:rFonts w:cs="Times New Roman"/>
                <w:i/>
                <w:szCs w:val="24"/>
                <w:vertAlign w:val="subscript"/>
              </w:rPr>
              <w:t>8</w:t>
            </w:r>
            <w:r w:rsidRPr="006F3F4B">
              <w:rPr>
                <w:rFonts w:cs="Times New Roman"/>
                <w:i/>
                <w:iCs/>
                <w:szCs w:val="24"/>
              </w:rPr>
              <w:t xml:space="preserve">CASH+ </w:t>
            </w:r>
            <w:r w:rsidRPr="008235BD">
              <w:rPr>
                <w:rFonts w:cs="Times New Roman"/>
                <w:i/>
                <w:szCs w:val="24"/>
                <w:lang w:val="en-US"/>
              </w:rPr>
              <w:t>β</w:t>
            </w:r>
            <w:r>
              <w:rPr>
                <w:rFonts w:cs="Times New Roman"/>
                <w:i/>
                <w:szCs w:val="24"/>
                <w:vertAlign w:val="subscript"/>
              </w:rPr>
              <w:t>9</w:t>
            </w:r>
            <w:r w:rsidRPr="006F3F4B">
              <w:rPr>
                <w:rFonts w:cs="Times New Roman"/>
                <w:i/>
                <w:iCs/>
                <w:szCs w:val="24"/>
              </w:rPr>
              <w:t>CASH+</w:t>
            </w:r>
            <w:r w:rsidRPr="008235BD">
              <w:rPr>
                <w:rFonts w:cs="Times New Roman"/>
                <w:i/>
                <w:szCs w:val="24"/>
                <w:lang w:val="en-US"/>
              </w:rPr>
              <w:t xml:space="preserve"> β</w:t>
            </w:r>
            <w:r>
              <w:rPr>
                <w:rFonts w:cs="Times New Roman"/>
                <w:i/>
                <w:szCs w:val="24"/>
                <w:vertAlign w:val="subscript"/>
              </w:rPr>
              <w:t>10</w:t>
            </w:r>
            <w:r w:rsidRPr="006F3F4B">
              <w:rPr>
                <w:rFonts w:cs="Times New Roman"/>
                <w:i/>
                <w:iCs/>
                <w:szCs w:val="24"/>
              </w:rPr>
              <w:t xml:space="preserve">LMBE+ </w:t>
            </w:r>
            <w:r w:rsidRPr="008235BD">
              <w:rPr>
                <w:rFonts w:cs="Times New Roman"/>
                <w:i/>
                <w:szCs w:val="24"/>
                <w:lang w:val="en-US"/>
              </w:rPr>
              <w:t>β</w:t>
            </w:r>
            <w:r>
              <w:rPr>
                <w:rFonts w:cs="Times New Roman"/>
                <w:i/>
                <w:szCs w:val="24"/>
                <w:vertAlign w:val="subscript"/>
              </w:rPr>
              <w:t>11</w:t>
            </w:r>
            <w:r w:rsidRPr="006F3F4B">
              <w:rPr>
                <w:rFonts w:cs="Times New Roman"/>
                <w:i/>
                <w:iCs/>
                <w:szCs w:val="24"/>
              </w:rPr>
              <w:t xml:space="preserve">ROE(-1;0) </w:t>
            </w:r>
            <w:r w:rsidRPr="008235BD">
              <w:rPr>
                <w:rFonts w:cs="Times New Roman"/>
                <w:i/>
                <w:szCs w:val="24"/>
                <w:lang w:val="en-US"/>
              </w:rPr>
              <w:t>β</w:t>
            </w:r>
            <w:r>
              <w:rPr>
                <w:rFonts w:cs="Times New Roman"/>
                <w:i/>
                <w:szCs w:val="24"/>
                <w:vertAlign w:val="subscript"/>
              </w:rPr>
              <w:t>12</w:t>
            </w:r>
            <w:r w:rsidRPr="006F3F4B">
              <w:rPr>
                <w:rFonts w:cs="Times New Roman"/>
                <w:i/>
                <w:iCs/>
                <w:szCs w:val="24"/>
              </w:rPr>
              <w:t>ROE(0;1)</w:t>
            </w:r>
            <w:r>
              <w:rPr>
                <w:rFonts w:cs="Times New Roman"/>
                <w:i/>
                <w:iCs/>
                <w:szCs w:val="24"/>
              </w:rPr>
              <w:t xml:space="preserve"> + </w:t>
            </w:r>
            <w:r>
              <w:rPr>
                <w:rFonts w:cs="Times New Roman"/>
                <w:i/>
                <w:iCs/>
                <w:szCs w:val="24"/>
              </w:rPr>
              <w:sym w:font="Symbol" w:char="F065"/>
            </w:r>
            <w:r>
              <w:rPr>
                <w:rFonts w:cs="Times New Roman"/>
                <w:i/>
                <w:iCs/>
                <w:szCs w:val="24"/>
                <w:vertAlign w:val="subscript"/>
              </w:rPr>
              <w:t xml:space="preserve">i                  </w:t>
            </w:r>
            <w:r w:rsidRPr="00A56391">
              <w:rPr>
                <w:rFonts w:cs="Times New Roman"/>
                <w:iCs/>
                <w:szCs w:val="24"/>
              </w:rPr>
              <w:t>(8)</w:t>
            </w:r>
          </w:p>
        </w:tc>
      </w:tr>
      <w:tr w:rsidR="00751CB5" w:rsidRPr="00CA21D1"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trHeight w:val="397"/>
          <w:jc w:val="center"/>
        </w:trPr>
        <w:tc>
          <w:tcPr>
            <w:tcW w:w="1503" w:type="dxa"/>
            <w:vMerge w:val="restart"/>
            <w:vAlign w:val="center"/>
          </w:tcPr>
          <w:p w:rsidR="00751CB5" w:rsidRPr="00D132CB" w:rsidRDefault="00751CB5" w:rsidP="001D192E">
            <w:pPr>
              <w:spacing w:line="240" w:lineRule="auto"/>
              <w:ind w:left="-196" w:right="-219" w:firstLine="0"/>
              <w:jc w:val="center"/>
              <w:rPr>
                <w:szCs w:val="24"/>
              </w:rPr>
            </w:pPr>
            <w:r w:rsidRPr="00D132CB">
              <w:rPr>
                <w:szCs w:val="24"/>
              </w:rPr>
              <w:t>Kurniasih, Siregar, Sembel, Achsani (2011)</w:t>
            </w:r>
          </w:p>
        </w:tc>
        <w:tc>
          <w:tcPr>
            <w:tcW w:w="8421" w:type="dxa"/>
            <w:gridSpan w:val="14"/>
            <w:tcBorders>
              <w:bottom w:val="nil"/>
            </w:tcBorders>
            <w:vAlign w:val="center"/>
          </w:tcPr>
          <w:p w:rsidR="00751CB5" w:rsidRPr="00CA21D1" w:rsidRDefault="00751CB5" w:rsidP="001D192E">
            <w:pPr>
              <w:autoSpaceDE w:val="0"/>
              <w:autoSpaceDN w:val="0"/>
              <w:adjustRightInd w:val="0"/>
              <w:spacing w:before="0" w:line="240" w:lineRule="auto"/>
              <w:ind w:firstLine="0"/>
              <w:jc w:val="center"/>
              <w:rPr>
                <w:rFonts w:ascii="Times-Roman" w:hAnsi="Times-Roman" w:cs="Times-Roman"/>
                <w:szCs w:val="24"/>
              </w:rPr>
            </w:pPr>
            <w:r w:rsidRPr="00CA21D1">
              <w:rPr>
                <w:rFonts w:cs="Times New Roman"/>
                <w:b/>
              </w:rPr>
              <w:t>Siūlomas modelis (regresijos lygtis)</w:t>
            </w:r>
          </w:p>
        </w:tc>
      </w:tr>
      <w:tr w:rsidR="00751CB5" w:rsidRPr="00A42E0A" w:rsidTr="001B618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gridAfter w:val="1"/>
          <w:wBefore w:w="303" w:type="dxa"/>
          <w:wAfter w:w="30" w:type="dxa"/>
          <w:trHeight w:val="675"/>
          <w:jc w:val="center"/>
        </w:trPr>
        <w:tc>
          <w:tcPr>
            <w:tcW w:w="1503" w:type="dxa"/>
            <w:vMerge/>
            <w:vAlign w:val="center"/>
          </w:tcPr>
          <w:p w:rsidR="00751CB5" w:rsidRPr="0046261F" w:rsidRDefault="00751CB5" w:rsidP="001D192E">
            <w:pPr>
              <w:spacing w:before="0" w:line="240" w:lineRule="auto"/>
              <w:ind w:firstLine="0"/>
              <w:jc w:val="center"/>
            </w:pPr>
          </w:p>
        </w:tc>
        <w:tc>
          <w:tcPr>
            <w:tcW w:w="8421" w:type="dxa"/>
            <w:gridSpan w:val="14"/>
            <w:tcBorders>
              <w:top w:val="nil"/>
            </w:tcBorders>
            <w:vAlign w:val="center"/>
          </w:tcPr>
          <w:p w:rsidR="00751CB5" w:rsidRPr="00A42E0A" w:rsidRDefault="00751CB5" w:rsidP="001D192E">
            <w:pPr>
              <w:autoSpaceDE w:val="0"/>
              <w:autoSpaceDN w:val="0"/>
              <w:adjustRightInd w:val="0"/>
              <w:spacing w:before="0" w:line="240" w:lineRule="auto"/>
              <w:ind w:firstLine="0"/>
              <w:jc w:val="center"/>
              <w:rPr>
                <w:rFonts w:cs="Times New Roman"/>
                <w:i/>
                <w:iCs/>
                <w:szCs w:val="24"/>
              </w:rPr>
            </w:pPr>
            <w:r w:rsidRPr="00A42E0A">
              <w:rPr>
                <w:rFonts w:ascii="Times-Roman" w:hAnsi="Times-Roman" w:cs="Times-Roman"/>
                <w:i/>
                <w:szCs w:val="24"/>
              </w:rPr>
              <w:t>CAR = a + b</w:t>
            </w:r>
            <w:r w:rsidRPr="00261C29">
              <w:rPr>
                <w:rFonts w:ascii="Times-Roman" w:hAnsi="Times-Roman" w:cs="Times-Roman"/>
                <w:i/>
                <w:szCs w:val="24"/>
                <w:vertAlign w:val="subscript"/>
              </w:rPr>
              <w:t>1</w:t>
            </w:r>
            <w:r w:rsidRPr="00A42E0A">
              <w:rPr>
                <w:rFonts w:ascii="Times-Roman" w:hAnsi="Times-Roman" w:cs="Times-Roman"/>
                <w:i/>
                <w:szCs w:val="24"/>
              </w:rPr>
              <w:t>Div_yield + b</w:t>
            </w:r>
            <w:r w:rsidRPr="00261C29">
              <w:rPr>
                <w:rFonts w:ascii="Times-Roman" w:hAnsi="Times-Roman" w:cs="Times-Roman"/>
                <w:i/>
                <w:szCs w:val="24"/>
                <w:vertAlign w:val="subscript"/>
              </w:rPr>
              <w:t>2</w:t>
            </w:r>
            <w:r w:rsidRPr="00A42E0A">
              <w:rPr>
                <w:rFonts w:ascii="Times-Roman" w:hAnsi="Times-Roman" w:cs="Times-Roman"/>
                <w:i/>
                <w:szCs w:val="24"/>
              </w:rPr>
              <w:t>growthDPS + b</w:t>
            </w:r>
            <w:r w:rsidRPr="00261C29">
              <w:rPr>
                <w:rFonts w:ascii="Times-Roman" w:hAnsi="Times-Roman" w:cs="Times-Roman"/>
                <w:i/>
                <w:szCs w:val="24"/>
                <w:vertAlign w:val="subscript"/>
              </w:rPr>
              <w:t>3</w:t>
            </w:r>
            <w:r w:rsidRPr="00A42E0A">
              <w:rPr>
                <w:rFonts w:ascii="Times-Roman" w:hAnsi="Times-Roman" w:cs="Times-Roman"/>
                <w:i/>
                <w:szCs w:val="24"/>
              </w:rPr>
              <w:t>ROA + b</w:t>
            </w:r>
            <w:r w:rsidRPr="00261C29">
              <w:rPr>
                <w:rFonts w:ascii="Times-Roman" w:hAnsi="Times-Roman" w:cs="Times-Roman"/>
                <w:i/>
                <w:szCs w:val="24"/>
                <w:vertAlign w:val="subscript"/>
              </w:rPr>
              <w:t>4</w:t>
            </w:r>
            <w:r w:rsidRPr="00A42E0A">
              <w:rPr>
                <w:rFonts w:ascii="Times-Roman" w:hAnsi="Times-Roman" w:cs="Times-Roman"/>
                <w:i/>
                <w:szCs w:val="24"/>
              </w:rPr>
              <w:t>deltaGPM + b</w:t>
            </w:r>
            <w:r w:rsidRPr="00261C29">
              <w:rPr>
                <w:rFonts w:ascii="Times-Roman" w:hAnsi="Times-Roman" w:cs="Times-Roman"/>
                <w:i/>
                <w:szCs w:val="24"/>
                <w:vertAlign w:val="subscript"/>
              </w:rPr>
              <w:t>5</w:t>
            </w:r>
            <w:r w:rsidRPr="00A42E0A">
              <w:rPr>
                <w:rFonts w:ascii="Times-Roman" w:hAnsi="Times-Roman" w:cs="Times-Roman"/>
                <w:i/>
                <w:szCs w:val="24"/>
              </w:rPr>
              <w:t>Beta + b</w:t>
            </w:r>
            <w:r w:rsidRPr="00261C29">
              <w:rPr>
                <w:rFonts w:ascii="Times-Roman" w:hAnsi="Times-Roman" w:cs="Times-Roman"/>
                <w:i/>
                <w:szCs w:val="24"/>
                <w:vertAlign w:val="subscript"/>
              </w:rPr>
              <w:t>6</w:t>
            </w:r>
            <w:r w:rsidRPr="00A42E0A">
              <w:rPr>
                <w:rFonts w:ascii="Times-Roman" w:hAnsi="Times-Roman" w:cs="Times-Roman"/>
                <w:i/>
                <w:szCs w:val="24"/>
              </w:rPr>
              <w:t>Size + e</w:t>
            </w:r>
            <w:r>
              <w:rPr>
                <w:rFonts w:ascii="Times-Roman" w:hAnsi="Times-Roman" w:cs="Times-Roman"/>
                <w:i/>
                <w:szCs w:val="24"/>
              </w:rPr>
              <w:t xml:space="preserve">            </w:t>
            </w:r>
            <w:r w:rsidRPr="00A56391">
              <w:rPr>
                <w:rFonts w:ascii="Times-Roman" w:hAnsi="Times-Roman" w:cs="Times-Roman"/>
                <w:szCs w:val="24"/>
              </w:rPr>
              <w:t>(9)</w:t>
            </w:r>
          </w:p>
        </w:tc>
      </w:tr>
      <w:tr w:rsidR="001B6184" w:rsidTr="006C013D">
        <w:trPr>
          <w:gridAfter w:val="3"/>
          <w:wAfter w:w="90" w:type="dxa"/>
          <w:trHeight w:val="798"/>
        </w:trPr>
        <w:tc>
          <w:tcPr>
            <w:tcW w:w="10137" w:type="dxa"/>
            <w:gridSpan w:val="15"/>
            <w:tcBorders>
              <w:top w:val="nil"/>
              <w:left w:val="nil"/>
              <w:bottom w:val="nil"/>
              <w:right w:val="nil"/>
            </w:tcBorders>
          </w:tcPr>
          <w:p w:rsidR="001B6184" w:rsidRDefault="006C013D" w:rsidP="006C013D">
            <w:pPr>
              <w:pStyle w:val="Priedai"/>
              <w:spacing w:after="0"/>
              <w:ind w:left="0" w:firstLine="8647"/>
              <w:jc w:val="center"/>
            </w:pPr>
            <w:r>
              <w:lastRenderedPageBreak/>
              <w:t xml:space="preserve"> </w:t>
            </w:r>
            <w:bookmarkStart w:id="140" w:name="_Ref343531512"/>
            <w:bookmarkStart w:id="141" w:name="_Toc343677777"/>
            <w:r w:rsidR="001B6184">
              <w:t>D</w:t>
            </w:r>
            <w:r w:rsidR="001B6184" w:rsidRPr="00562232">
              <w:t xml:space="preserve">ividendų paskelbimo </w:t>
            </w:r>
            <w:r w:rsidR="001B6184">
              <w:t>laikas ir išmokamų</w:t>
            </w:r>
            <w:r w:rsidR="001B6184" w:rsidRPr="00562232">
              <w:t xml:space="preserve"> dividendų dydis</w:t>
            </w:r>
            <w:r w:rsidR="001B6184">
              <w:t xml:space="preserve"> 2007-2012</w:t>
            </w:r>
            <w:bookmarkEnd w:id="140"/>
            <w:bookmarkEnd w:id="141"/>
          </w:p>
        </w:tc>
      </w:tr>
      <w:tr w:rsidR="00FC6A12" w:rsidRPr="00BC3475" w:rsidTr="001B6184">
        <w:trPr>
          <w:trHeight w:val="300"/>
        </w:trPr>
        <w:tc>
          <w:tcPr>
            <w:tcW w:w="1986" w:type="dxa"/>
            <w:gridSpan w:val="4"/>
            <w:tcBorders>
              <w:top w:val="single" w:sz="12" w:space="0" w:color="auto"/>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p>
        </w:tc>
        <w:tc>
          <w:tcPr>
            <w:tcW w:w="1607" w:type="dxa"/>
            <w:gridSpan w:val="2"/>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2012</w:t>
            </w:r>
          </w:p>
        </w:tc>
        <w:tc>
          <w:tcPr>
            <w:tcW w:w="1150" w:type="dxa"/>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p>
        </w:tc>
        <w:tc>
          <w:tcPr>
            <w:tcW w:w="1607" w:type="dxa"/>
            <w:gridSpan w:val="3"/>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2011</w:t>
            </w:r>
          </w:p>
        </w:tc>
        <w:tc>
          <w:tcPr>
            <w:tcW w:w="1150" w:type="dxa"/>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p>
        </w:tc>
        <w:tc>
          <w:tcPr>
            <w:tcW w:w="1607" w:type="dxa"/>
            <w:gridSpan w:val="3"/>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2010</w:t>
            </w:r>
          </w:p>
        </w:tc>
        <w:tc>
          <w:tcPr>
            <w:tcW w:w="1150" w:type="dxa"/>
            <w:gridSpan w:val="4"/>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p>
        </w:tc>
      </w:tr>
      <w:tr w:rsidR="00FC6A12" w:rsidRPr="00BC3475" w:rsidTr="001B6184">
        <w:trPr>
          <w:trHeight w:val="370"/>
        </w:trPr>
        <w:tc>
          <w:tcPr>
            <w:tcW w:w="1986" w:type="dxa"/>
            <w:gridSpan w:val="4"/>
            <w:tcBorders>
              <w:top w:val="nil"/>
              <w:left w:val="single" w:sz="12" w:space="0" w:color="auto"/>
              <w:bottom w:val="single" w:sz="12" w:space="0" w:color="auto"/>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Emitentas</w:t>
            </w:r>
          </w:p>
        </w:tc>
        <w:tc>
          <w:tcPr>
            <w:tcW w:w="1607" w:type="dxa"/>
            <w:gridSpan w:val="2"/>
            <w:tcBorders>
              <w:top w:val="nil"/>
              <w:left w:val="single" w:sz="12" w:space="0" w:color="auto"/>
              <w:bottom w:val="single" w:sz="12" w:space="0" w:color="auto"/>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Paskelbimo laikas</w:t>
            </w:r>
          </w:p>
        </w:tc>
        <w:tc>
          <w:tcPr>
            <w:tcW w:w="1150" w:type="dxa"/>
            <w:tcBorders>
              <w:top w:val="nil"/>
              <w:left w:val="nil"/>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Dividendai (EUR)</w:t>
            </w:r>
          </w:p>
        </w:tc>
        <w:tc>
          <w:tcPr>
            <w:tcW w:w="1607" w:type="dxa"/>
            <w:gridSpan w:val="3"/>
            <w:tcBorders>
              <w:top w:val="nil"/>
              <w:left w:val="single" w:sz="12" w:space="0" w:color="auto"/>
              <w:bottom w:val="single" w:sz="12" w:space="0" w:color="auto"/>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Paskelbimo laikas</w:t>
            </w:r>
          </w:p>
        </w:tc>
        <w:tc>
          <w:tcPr>
            <w:tcW w:w="1150" w:type="dxa"/>
            <w:tcBorders>
              <w:top w:val="nil"/>
              <w:left w:val="nil"/>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Dividendai (EUR)</w:t>
            </w:r>
          </w:p>
        </w:tc>
        <w:tc>
          <w:tcPr>
            <w:tcW w:w="1607" w:type="dxa"/>
            <w:gridSpan w:val="3"/>
            <w:tcBorders>
              <w:top w:val="nil"/>
              <w:left w:val="single" w:sz="12" w:space="0" w:color="auto"/>
              <w:bottom w:val="single" w:sz="12" w:space="0" w:color="auto"/>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Paskelbimo laikas</w:t>
            </w:r>
          </w:p>
        </w:tc>
        <w:tc>
          <w:tcPr>
            <w:tcW w:w="1150" w:type="dxa"/>
            <w:gridSpan w:val="4"/>
            <w:tcBorders>
              <w:top w:val="nil"/>
              <w:left w:val="nil"/>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b/>
                <w:bCs/>
                <w:color w:val="000000"/>
                <w:sz w:val="20"/>
                <w:szCs w:val="20"/>
                <w:lang w:eastAsia="lt-LT"/>
              </w:rPr>
            </w:pPr>
            <w:r w:rsidRPr="00BC3475">
              <w:rPr>
                <w:rFonts w:eastAsia="Times New Roman" w:cs="Times New Roman"/>
                <w:b/>
                <w:bCs/>
                <w:color w:val="000000"/>
                <w:sz w:val="20"/>
                <w:szCs w:val="20"/>
                <w:lang w:eastAsia="lt-LT"/>
              </w:rPr>
              <w:t>Dividendai (EUR)</w:t>
            </w:r>
          </w:p>
        </w:tc>
      </w:tr>
      <w:tr w:rsidR="00FC6A12" w:rsidRPr="00BC3475" w:rsidTr="001B6184">
        <w:trPr>
          <w:trHeight w:val="300"/>
        </w:trPr>
        <w:tc>
          <w:tcPr>
            <w:tcW w:w="1986" w:type="dxa"/>
            <w:gridSpan w:val="4"/>
            <w:tcBorders>
              <w:top w:val="single" w:sz="12" w:space="0" w:color="auto"/>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Harju Elekter</w:t>
            </w:r>
          </w:p>
        </w:tc>
        <w:tc>
          <w:tcPr>
            <w:tcW w:w="1607" w:type="dxa"/>
            <w:gridSpan w:val="2"/>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2012.04.11 09:00</w:t>
            </w:r>
          </w:p>
        </w:tc>
        <w:tc>
          <w:tcPr>
            <w:tcW w:w="1150" w:type="dxa"/>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0,070</w:t>
            </w:r>
          </w:p>
        </w:tc>
        <w:tc>
          <w:tcPr>
            <w:tcW w:w="1607" w:type="dxa"/>
            <w:gridSpan w:val="3"/>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2011.04.06 09:00</w:t>
            </w:r>
          </w:p>
        </w:tc>
        <w:tc>
          <w:tcPr>
            <w:tcW w:w="1150" w:type="dxa"/>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0,060</w:t>
            </w:r>
          </w:p>
        </w:tc>
        <w:tc>
          <w:tcPr>
            <w:tcW w:w="1607" w:type="dxa"/>
            <w:gridSpan w:val="3"/>
            <w:tcBorders>
              <w:top w:val="single" w:sz="12" w:space="0" w:color="auto"/>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07.04.2010 - 08:00</w:t>
            </w:r>
          </w:p>
        </w:tc>
        <w:tc>
          <w:tcPr>
            <w:tcW w:w="1150" w:type="dxa"/>
            <w:gridSpan w:val="4"/>
            <w:tcBorders>
              <w:top w:val="single" w:sz="12" w:space="0" w:color="auto"/>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0,050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Merko Ehitus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2012.05.15 15:30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2011.06.06 07:01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11.05.2010 - 16:15</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Silvano Fashion Group</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2012.06.06 18:31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0,250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2011.06.08 18:00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0,050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04.06.2010 - 15:33</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0,050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Tallinna Kaubamaja</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2012.03.16 15:31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0,350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2011.04.05 15:31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0,280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23.04.2010 - 16:30</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0,040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Tallinna Vesi</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2012.04.26 15:10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0,840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2011.05.02 04:00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0,800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22.04.2010 - 08:30</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1,600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SAF Tehnika</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2012.10.30 08:44</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0,142</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2011.10.27 08:46</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0,327</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06.10.2010 - 09:44</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0,327</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Latvijas Gāze</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2012.06.22 13:49</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0,854</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2011.06.17 13:08</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0,711</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17.06.2010 - 09:23</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0,569</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Olainfarm</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2012.04.16 07:43</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0,088</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2011.04.15 16:12</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0,036</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Kurzemes CMAS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2012.04.11 08:05</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0,071</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2011.04.13 08:48</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08.04.2010 - 14:24</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Valmieras stikla šķiedra</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2012.05.11 15:00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0,037</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2011.05.05 12:02</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0,011</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Siguldas CMAS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2012.04.11 15:41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0,142</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2011.03.28 17:06</w:t>
            </w:r>
          </w:p>
        </w:tc>
        <w:tc>
          <w:tcPr>
            <w:tcW w:w="1150" w:type="dxa"/>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0,114</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09.04.2010 - 08:18</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0,114</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3"/>
            <w:tcBorders>
              <w:top w:val="nil"/>
              <w:left w:val="single" w:sz="12" w:space="0" w:color="auto"/>
              <w:bottom w:val="nil"/>
              <w:right w:val="nil"/>
            </w:tcBorders>
            <w:shd w:val="clear" w:color="auto" w:fill="auto"/>
            <w:noWrap/>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b/>
                <w:color w:val="000000"/>
                <w:sz w:val="18"/>
                <w:szCs w:val="18"/>
                <w:lang w:eastAsia="lt-LT"/>
              </w:rPr>
              <w:t>M</w:t>
            </w:r>
            <w:r w:rsidRPr="00343BA5">
              <w:rPr>
                <w:rFonts w:eastAsia="Times New Roman" w:cs="Times New Roman"/>
                <w:color w:val="000000"/>
                <w:sz w:val="18"/>
                <w:szCs w:val="18"/>
                <w:lang w:eastAsia="lt-LT"/>
              </w:rPr>
              <w:t xml:space="preserve"> 2011.04.27  16:15:00</w:t>
            </w:r>
          </w:p>
        </w:tc>
        <w:tc>
          <w:tcPr>
            <w:tcW w:w="1150" w:type="dxa"/>
            <w:tcBorders>
              <w:top w:val="nil"/>
              <w:left w:val="nil"/>
              <w:bottom w:val="nil"/>
              <w:right w:val="single" w:sz="12" w:space="0" w:color="auto"/>
            </w:tcBorders>
            <w:shd w:val="clear" w:color="auto" w:fill="auto"/>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color w:val="000000"/>
                <w:sz w:val="18"/>
                <w:szCs w:val="18"/>
                <w:lang w:eastAsia="lt-LT"/>
              </w:rPr>
              <w:t>0,128</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APB Apranga</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04.04.2012  16:00:00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0,107</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07.04.2011  15:38:00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0,072</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08.04.2010 17:09</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City Service</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09.04.2012  23:59:00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0,067</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07.04.2011  23:58:00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0,072</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09.04.2010  20:45:00</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0,025</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Grigiškės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11.04.2012 16:14</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0,006</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11.04.2011 11:53</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0,006</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06.04.2010 17:13</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0,006</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Klaipėdos nafta</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2012.04.05 17:31</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0,049</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2011.04.05  18:02:51</w:t>
            </w:r>
          </w:p>
        </w:tc>
        <w:tc>
          <w:tcPr>
            <w:tcW w:w="1150" w:type="dxa"/>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0,010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26.03.2010 - 06:00</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0,014</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3"/>
            <w:tcBorders>
              <w:top w:val="nil"/>
              <w:left w:val="single" w:sz="12" w:space="0" w:color="auto"/>
              <w:bottom w:val="nil"/>
              <w:right w:val="nil"/>
            </w:tcBorders>
            <w:shd w:val="clear" w:color="auto" w:fill="auto"/>
            <w:noWrap/>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b/>
                <w:color w:val="000000"/>
                <w:sz w:val="18"/>
                <w:szCs w:val="18"/>
                <w:lang w:eastAsia="lt-LT"/>
              </w:rPr>
              <w:t>M</w:t>
            </w:r>
            <w:r w:rsidRPr="00343BA5">
              <w:rPr>
                <w:rFonts w:eastAsia="Times New Roman" w:cs="Times New Roman"/>
                <w:color w:val="000000"/>
                <w:sz w:val="18"/>
                <w:szCs w:val="18"/>
                <w:lang w:eastAsia="lt-LT"/>
              </w:rPr>
              <w:t xml:space="preserve"> 2011.07.04  22:00:00</w:t>
            </w:r>
          </w:p>
        </w:tc>
        <w:tc>
          <w:tcPr>
            <w:tcW w:w="1150" w:type="dxa"/>
            <w:tcBorders>
              <w:top w:val="nil"/>
              <w:left w:val="nil"/>
              <w:bottom w:val="nil"/>
              <w:right w:val="single" w:sz="12" w:space="0" w:color="auto"/>
            </w:tcBorders>
            <w:shd w:val="clear" w:color="auto" w:fill="auto"/>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color w:val="000000"/>
                <w:sz w:val="18"/>
                <w:szCs w:val="18"/>
                <w:lang w:eastAsia="lt-LT"/>
              </w:rPr>
              <w:t>0,000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LESTO</w:t>
            </w:r>
          </w:p>
        </w:tc>
        <w:tc>
          <w:tcPr>
            <w:tcW w:w="1607" w:type="dxa"/>
            <w:gridSpan w:val="2"/>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cs="Times New Roman"/>
                <w:sz w:val="18"/>
                <w:szCs w:val="18"/>
              </w:rPr>
            </w:pPr>
            <w:r w:rsidRPr="008905D0">
              <w:rPr>
                <w:rFonts w:cs="Times New Roman"/>
                <w:sz w:val="18"/>
                <w:szCs w:val="18"/>
              </w:rPr>
              <w:t>2012-04-03 15:54:51</w:t>
            </w:r>
          </w:p>
        </w:tc>
        <w:tc>
          <w:tcPr>
            <w:tcW w:w="1150" w:type="dxa"/>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0,000</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2011.04.07  18:55:40</w:t>
            </w:r>
          </w:p>
        </w:tc>
        <w:tc>
          <w:tcPr>
            <w:tcW w:w="1150" w:type="dxa"/>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0,000</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n/</w:t>
            </w:r>
            <w:r>
              <w:rPr>
                <w:rFonts w:eastAsia="Times New Roman" w:cs="Times New Roman"/>
                <w:color w:val="000000"/>
                <w:sz w:val="18"/>
                <w:szCs w:val="18"/>
                <w:lang w:eastAsia="lt-LT"/>
              </w:rPr>
              <w:t>d</w:t>
            </w:r>
          </w:p>
        </w:tc>
        <w:tc>
          <w:tcPr>
            <w:tcW w:w="1150" w:type="dxa"/>
            <w:gridSpan w:val="4"/>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0,050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2"/>
            <w:tcBorders>
              <w:top w:val="nil"/>
              <w:left w:val="single" w:sz="12" w:space="0" w:color="auto"/>
              <w:bottom w:val="nil"/>
              <w:right w:val="nil"/>
            </w:tcBorders>
            <w:shd w:val="clear" w:color="auto" w:fill="auto"/>
            <w:noWrap/>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b/>
                <w:color w:val="000000"/>
                <w:sz w:val="18"/>
                <w:szCs w:val="18"/>
                <w:lang w:eastAsia="lt-LT"/>
              </w:rPr>
              <w:t>M</w:t>
            </w:r>
            <w:r w:rsidRPr="00343BA5">
              <w:rPr>
                <w:rFonts w:eastAsia="Times New Roman" w:cs="Times New Roman"/>
                <w:color w:val="000000"/>
                <w:sz w:val="18"/>
                <w:szCs w:val="18"/>
                <w:lang w:eastAsia="lt-LT"/>
              </w:rPr>
              <w:t xml:space="preserve"> 27.04.2012 14:15</w:t>
            </w:r>
          </w:p>
        </w:tc>
        <w:tc>
          <w:tcPr>
            <w:tcW w:w="1150" w:type="dxa"/>
            <w:tcBorders>
              <w:top w:val="nil"/>
              <w:left w:val="nil"/>
              <w:bottom w:val="nil"/>
              <w:right w:val="single" w:sz="12" w:space="0" w:color="auto"/>
            </w:tcBorders>
            <w:shd w:val="clear" w:color="auto" w:fill="auto"/>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color w:val="000000"/>
                <w:sz w:val="18"/>
                <w:szCs w:val="18"/>
                <w:lang w:eastAsia="lt-LT"/>
              </w:rPr>
              <w:t>0,082</w:t>
            </w:r>
          </w:p>
        </w:tc>
        <w:tc>
          <w:tcPr>
            <w:tcW w:w="1607" w:type="dxa"/>
            <w:gridSpan w:val="3"/>
            <w:tcBorders>
              <w:top w:val="nil"/>
              <w:left w:val="single" w:sz="12" w:space="0" w:color="auto"/>
              <w:bottom w:val="nil"/>
              <w:right w:val="nil"/>
            </w:tcBorders>
            <w:shd w:val="clear" w:color="auto" w:fill="auto"/>
            <w:noWrap/>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b/>
                <w:color w:val="000000"/>
                <w:sz w:val="18"/>
                <w:szCs w:val="18"/>
                <w:lang w:eastAsia="lt-LT"/>
              </w:rPr>
              <w:t>M</w:t>
            </w:r>
            <w:r w:rsidRPr="00343BA5">
              <w:rPr>
                <w:rFonts w:eastAsia="Times New Roman" w:cs="Times New Roman"/>
                <w:color w:val="000000"/>
                <w:sz w:val="18"/>
                <w:szCs w:val="18"/>
                <w:lang w:eastAsia="lt-LT"/>
              </w:rPr>
              <w:t xml:space="preserve"> 29.04.2011 16:00</w:t>
            </w:r>
          </w:p>
        </w:tc>
        <w:tc>
          <w:tcPr>
            <w:tcW w:w="1150" w:type="dxa"/>
            <w:tcBorders>
              <w:top w:val="nil"/>
              <w:left w:val="nil"/>
              <w:bottom w:val="nil"/>
              <w:right w:val="single" w:sz="12" w:space="0" w:color="auto"/>
            </w:tcBorders>
            <w:shd w:val="clear" w:color="auto" w:fill="auto"/>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color w:val="000000"/>
                <w:sz w:val="18"/>
                <w:szCs w:val="18"/>
                <w:lang w:eastAsia="lt-LT"/>
              </w:rPr>
              <w:t>0,029</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Lietuvos dujos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23.03.2012  13:37:00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0,044</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25.03.2011 - 14:14</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0,074</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02.04.2010 - 14:04</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0,044</w:t>
            </w:r>
          </w:p>
        </w:tc>
      </w:tr>
      <w:tr w:rsidR="00FC6A12" w:rsidRPr="00BC3475" w:rsidTr="001B6184">
        <w:trPr>
          <w:trHeight w:val="525"/>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Panevėžio statybos trestas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05.04.2012 14:44:00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07.04.2011  08:54:20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05.05.2010 - 16:05</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Pieno žvaigždės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06.04.2012 17:00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0,145</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04.04.2011 20:25</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0,14</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30.03.2010 - 17:59</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0,067</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Rokiškio sūris</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05.04.2012 18.16</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0,029</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07.04.2011 17:10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0,029</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08.04.2010 - 20:28</w:t>
            </w:r>
          </w:p>
        </w:tc>
        <w:tc>
          <w:tcPr>
            <w:tcW w:w="1150" w:type="dxa"/>
            <w:gridSpan w:val="4"/>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0,000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8905D0">
              <w:rPr>
                <w:rFonts w:eastAsia="Times New Roman" w:cs="Times New Roman"/>
                <w:b/>
                <w:color w:val="000000"/>
                <w:sz w:val="20"/>
                <w:szCs w:val="20"/>
                <w:lang w:eastAsia="lt-LT"/>
              </w:rPr>
              <w:t>M</w:t>
            </w:r>
            <w:r>
              <w:rPr>
                <w:rFonts w:eastAsia="Times New Roman" w:cs="Times New Roman"/>
                <w:color w:val="000000"/>
                <w:sz w:val="20"/>
                <w:szCs w:val="20"/>
                <w:lang w:eastAsia="lt-LT"/>
              </w:rPr>
              <w:t xml:space="preserve"> </w:t>
            </w:r>
            <w:r w:rsidRPr="008905D0">
              <w:rPr>
                <w:rFonts w:eastAsia="Times New Roman" w:cs="Times New Roman"/>
                <w:color w:val="000000"/>
                <w:sz w:val="20"/>
                <w:szCs w:val="20"/>
                <w:lang w:eastAsia="lt-LT"/>
              </w:rPr>
              <w:t>30.04.2010 - 16:04</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0,029</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TEO LT</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22.03.2012  08:10:00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0,058</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28.03.2011 - 16:45</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0,052</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26.03.2010 - 10:00</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0,061</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Vilkyškių pieninė</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06.04.2012  15:43:00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0,072</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07.04.2011  07:29:00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0,070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19.04.2010 - 16:45</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0,030</w:t>
            </w:r>
          </w:p>
        </w:tc>
      </w:tr>
      <w:tr w:rsidR="00FC6A12" w:rsidRPr="00BC3475" w:rsidTr="001B6184">
        <w:trPr>
          <w:trHeight w:val="300"/>
        </w:trPr>
        <w:tc>
          <w:tcPr>
            <w:tcW w:w="1986" w:type="dxa"/>
            <w:gridSpan w:val="4"/>
            <w:tcBorders>
              <w:top w:val="nil"/>
              <w:left w:val="single" w:sz="12" w:space="0" w:color="auto"/>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AB Vilniaus baldai</w:t>
            </w:r>
          </w:p>
        </w:tc>
        <w:tc>
          <w:tcPr>
            <w:tcW w:w="1607" w:type="dxa"/>
            <w:gridSpan w:val="2"/>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05.04.2012  16:45:00</w:t>
            </w:r>
          </w:p>
        </w:tc>
        <w:tc>
          <w:tcPr>
            <w:tcW w:w="1150" w:type="dxa"/>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2,900</w:t>
            </w:r>
          </w:p>
        </w:tc>
        <w:tc>
          <w:tcPr>
            <w:tcW w:w="1607" w:type="dxa"/>
            <w:gridSpan w:val="3"/>
            <w:tcBorders>
              <w:top w:val="nil"/>
              <w:left w:val="single" w:sz="12" w:space="0" w:color="auto"/>
              <w:bottom w:val="nil"/>
              <w:right w:val="nil"/>
            </w:tcBorders>
            <w:shd w:val="clear" w:color="auto" w:fill="auto"/>
            <w:noWrap/>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06.04.2011  15:08:00</w:t>
            </w:r>
          </w:p>
        </w:tc>
        <w:tc>
          <w:tcPr>
            <w:tcW w:w="1150" w:type="dxa"/>
            <w:tcBorders>
              <w:top w:val="nil"/>
              <w:left w:val="nil"/>
              <w:bottom w:val="nil"/>
              <w:right w:val="single" w:sz="12" w:space="0" w:color="auto"/>
            </w:tcBorders>
            <w:shd w:val="clear" w:color="auto" w:fill="auto"/>
            <w:hideMark/>
          </w:tcPr>
          <w:p w:rsidR="00FC6A12" w:rsidRPr="008905D0" w:rsidRDefault="00FC6A12" w:rsidP="00FC6A12">
            <w:pPr>
              <w:spacing w:before="0" w:line="240" w:lineRule="auto"/>
              <w:ind w:firstLine="0"/>
              <w:jc w:val="center"/>
              <w:rPr>
                <w:rFonts w:eastAsia="Times New Roman" w:cs="Times New Roman"/>
                <w:color w:val="000000"/>
                <w:sz w:val="18"/>
                <w:szCs w:val="18"/>
                <w:lang w:eastAsia="lt-LT"/>
              </w:rPr>
            </w:pPr>
            <w:r w:rsidRPr="008905D0">
              <w:rPr>
                <w:rFonts w:eastAsia="Times New Roman" w:cs="Times New Roman"/>
                <w:color w:val="000000"/>
                <w:sz w:val="18"/>
                <w:szCs w:val="18"/>
                <w:lang w:eastAsia="lt-LT"/>
              </w:rPr>
              <w:t>0,870</w:t>
            </w:r>
          </w:p>
        </w:tc>
        <w:tc>
          <w:tcPr>
            <w:tcW w:w="1607" w:type="dxa"/>
            <w:gridSpan w:val="3"/>
            <w:tcBorders>
              <w:top w:val="nil"/>
              <w:left w:val="single" w:sz="12" w:space="0" w:color="auto"/>
              <w:bottom w:val="nil"/>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gridSpan w:val="4"/>
            <w:tcBorders>
              <w:top w:val="nil"/>
              <w:left w:val="nil"/>
              <w:bottom w:val="nil"/>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r w:rsidRPr="00BC3475">
              <w:rPr>
                <w:rFonts w:eastAsia="Times New Roman" w:cs="Times New Roman"/>
                <w:color w:val="000000"/>
                <w:sz w:val="20"/>
                <w:szCs w:val="20"/>
                <w:lang w:eastAsia="lt-LT"/>
              </w:rPr>
              <w:t>0,000</w:t>
            </w:r>
          </w:p>
        </w:tc>
      </w:tr>
      <w:tr w:rsidR="00FC6A12" w:rsidRPr="00BC3475" w:rsidTr="001B6184">
        <w:trPr>
          <w:trHeight w:val="300"/>
        </w:trPr>
        <w:tc>
          <w:tcPr>
            <w:tcW w:w="1986" w:type="dxa"/>
            <w:gridSpan w:val="4"/>
            <w:tcBorders>
              <w:top w:val="nil"/>
              <w:left w:val="single" w:sz="12" w:space="0" w:color="auto"/>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2"/>
            <w:tcBorders>
              <w:top w:val="nil"/>
              <w:left w:val="single" w:sz="12" w:space="0" w:color="auto"/>
              <w:bottom w:val="single" w:sz="12" w:space="0" w:color="auto"/>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607" w:type="dxa"/>
            <w:gridSpan w:val="3"/>
            <w:tcBorders>
              <w:top w:val="nil"/>
              <w:left w:val="single" w:sz="12" w:space="0" w:color="auto"/>
              <w:bottom w:val="single" w:sz="12" w:space="0" w:color="auto"/>
              <w:right w:val="nil"/>
            </w:tcBorders>
            <w:shd w:val="clear" w:color="auto" w:fill="auto"/>
            <w:noWrap/>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b/>
                <w:color w:val="000000"/>
                <w:sz w:val="18"/>
                <w:szCs w:val="18"/>
                <w:lang w:eastAsia="lt-LT"/>
              </w:rPr>
              <w:t>M</w:t>
            </w:r>
            <w:r w:rsidRPr="00343BA5">
              <w:rPr>
                <w:rFonts w:eastAsia="Times New Roman" w:cs="Times New Roman"/>
                <w:color w:val="000000"/>
                <w:sz w:val="18"/>
                <w:szCs w:val="18"/>
                <w:lang w:eastAsia="lt-LT"/>
              </w:rPr>
              <w:t xml:space="preserve"> 2011.04.28  11:45:52</w:t>
            </w:r>
          </w:p>
        </w:tc>
        <w:tc>
          <w:tcPr>
            <w:tcW w:w="1150" w:type="dxa"/>
            <w:tcBorders>
              <w:top w:val="nil"/>
              <w:left w:val="nil"/>
              <w:bottom w:val="single" w:sz="12" w:space="0" w:color="auto"/>
              <w:right w:val="single" w:sz="12" w:space="0" w:color="auto"/>
            </w:tcBorders>
            <w:shd w:val="clear" w:color="auto" w:fill="auto"/>
            <w:hideMark/>
          </w:tcPr>
          <w:p w:rsidR="00FC6A12" w:rsidRPr="00343BA5" w:rsidRDefault="00FC6A12" w:rsidP="00FC6A12">
            <w:pPr>
              <w:spacing w:before="0" w:line="240" w:lineRule="auto"/>
              <w:ind w:firstLine="0"/>
              <w:jc w:val="center"/>
              <w:rPr>
                <w:rFonts w:eastAsia="Times New Roman" w:cs="Times New Roman"/>
                <w:color w:val="000000"/>
                <w:sz w:val="18"/>
                <w:szCs w:val="18"/>
                <w:lang w:eastAsia="lt-LT"/>
              </w:rPr>
            </w:pPr>
            <w:r w:rsidRPr="00343BA5">
              <w:rPr>
                <w:rFonts w:eastAsia="Times New Roman" w:cs="Times New Roman"/>
                <w:color w:val="000000"/>
                <w:sz w:val="18"/>
                <w:szCs w:val="18"/>
                <w:lang w:eastAsia="lt-LT"/>
              </w:rPr>
              <w:t>1,160</w:t>
            </w:r>
          </w:p>
        </w:tc>
        <w:tc>
          <w:tcPr>
            <w:tcW w:w="1607" w:type="dxa"/>
            <w:gridSpan w:val="3"/>
            <w:tcBorders>
              <w:top w:val="nil"/>
              <w:left w:val="single" w:sz="12" w:space="0" w:color="auto"/>
              <w:bottom w:val="single" w:sz="12" w:space="0" w:color="auto"/>
              <w:right w:val="nil"/>
            </w:tcBorders>
            <w:shd w:val="clear" w:color="auto" w:fill="auto"/>
            <w:noWrap/>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gridSpan w:val="4"/>
            <w:tcBorders>
              <w:top w:val="nil"/>
              <w:left w:val="nil"/>
              <w:bottom w:val="single" w:sz="12" w:space="0" w:color="auto"/>
              <w:right w:val="single" w:sz="12" w:space="0" w:color="auto"/>
            </w:tcBorders>
            <w:shd w:val="clear" w:color="auto" w:fill="auto"/>
            <w:hideMark/>
          </w:tcPr>
          <w:p w:rsidR="00FC6A12" w:rsidRPr="00BC3475" w:rsidRDefault="00FC6A12" w:rsidP="00FC6A12">
            <w:pPr>
              <w:spacing w:before="0" w:line="240" w:lineRule="auto"/>
              <w:ind w:firstLine="0"/>
              <w:jc w:val="center"/>
              <w:rPr>
                <w:rFonts w:eastAsia="Times New Roman" w:cs="Times New Roman"/>
                <w:color w:val="000000"/>
                <w:sz w:val="20"/>
                <w:szCs w:val="20"/>
                <w:lang w:eastAsia="lt-LT"/>
              </w:rPr>
            </w:pPr>
          </w:p>
        </w:tc>
      </w:tr>
      <w:tr w:rsidR="00FC6A12" w:rsidRPr="006F629F" w:rsidTr="001B6184">
        <w:trPr>
          <w:gridAfter w:val="2"/>
          <w:wAfter w:w="50" w:type="dxa"/>
          <w:trHeight w:val="300"/>
        </w:trPr>
        <w:tc>
          <w:tcPr>
            <w:tcW w:w="2836" w:type="dxa"/>
            <w:gridSpan w:val="5"/>
            <w:tcBorders>
              <w:top w:val="single" w:sz="12" w:space="0" w:color="auto"/>
              <w:left w:val="single" w:sz="12" w:space="0" w:color="auto"/>
              <w:bottom w:val="nil"/>
              <w:right w:val="single" w:sz="12" w:space="0" w:color="auto"/>
            </w:tcBorders>
            <w:shd w:val="clear" w:color="auto" w:fill="auto"/>
            <w:noWrap/>
            <w:vAlign w:val="bottom"/>
            <w:hideMark/>
          </w:tcPr>
          <w:p w:rsidR="00FC6A12" w:rsidRPr="006F629F" w:rsidRDefault="00FC6A12" w:rsidP="00FC6A12">
            <w:pPr>
              <w:spacing w:before="0" w:line="240" w:lineRule="auto"/>
              <w:ind w:firstLine="0"/>
              <w:jc w:val="left"/>
              <w:rPr>
                <w:rFonts w:eastAsia="Times New Roman" w:cs="Times New Roman"/>
                <w:b/>
                <w:bCs/>
                <w:color w:val="000000"/>
                <w:sz w:val="20"/>
                <w:szCs w:val="20"/>
                <w:lang w:eastAsia="lt-LT"/>
              </w:rPr>
            </w:pPr>
          </w:p>
        </w:tc>
        <w:tc>
          <w:tcPr>
            <w:tcW w:w="2110" w:type="dxa"/>
            <w:gridSpan w:val="3"/>
            <w:tcBorders>
              <w:top w:val="single" w:sz="12" w:space="0" w:color="auto"/>
              <w:left w:val="single" w:sz="12" w:space="0" w:color="auto"/>
              <w:bottom w:val="nil"/>
              <w:right w:val="nil"/>
            </w:tcBorders>
            <w:shd w:val="clear" w:color="auto" w:fill="auto"/>
            <w:noWrap/>
            <w:vAlign w:val="bottom"/>
            <w:hideMark/>
          </w:tcPr>
          <w:p w:rsidR="00FC6A12" w:rsidRPr="006F629F" w:rsidRDefault="00FC6A12" w:rsidP="00FC6A12">
            <w:pPr>
              <w:spacing w:before="0" w:line="240" w:lineRule="auto"/>
              <w:ind w:firstLine="0"/>
              <w:jc w:val="right"/>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2009</w:t>
            </w:r>
          </w:p>
        </w:tc>
        <w:tc>
          <w:tcPr>
            <w:tcW w:w="1150" w:type="dxa"/>
            <w:tcBorders>
              <w:top w:val="single" w:sz="12" w:space="0" w:color="auto"/>
              <w:left w:val="nil"/>
              <w:bottom w:val="nil"/>
              <w:right w:val="single" w:sz="12" w:space="0" w:color="auto"/>
            </w:tcBorders>
            <w:shd w:val="clear" w:color="auto" w:fill="auto"/>
            <w:vAlign w:val="bottom"/>
            <w:hideMark/>
          </w:tcPr>
          <w:p w:rsidR="00FC6A12" w:rsidRPr="006F629F" w:rsidRDefault="00FC6A12" w:rsidP="00FC6A12">
            <w:pPr>
              <w:spacing w:before="0" w:line="240" w:lineRule="auto"/>
              <w:ind w:firstLine="0"/>
              <w:jc w:val="left"/>
              <w:rPr>
                <w:rFonts w:eastAsia="Times New Roman" w:cs="Times New Roman"/>
                <w:b/>
                <w:bCs/>
                <w:color w:val="000000"/>
                <w:sz w:val="20"/>
                <w:szCs w:val="20"/>
                <w:lang w:eastAsia="lt-LT"/>
              </w:rPr>
            </w:pPr>
          </w:p>
        </w:tc>
        <w:tc>
          <w:tcPr>
            <w:tcW w:w="1811" w:type="dxa"/>
            <w:gridSpan w:val="3"/>
            <w:tcBorders>
              <w:top w:val="single" w:sz="12" w:space="0" w:color="auto"/>
              <w:left w:val="single" w:sz="12" w:space="0" w:color="auto"/>
              <w:bottom w:val="nil"/>
              <w:right w:val="nil"/>
            </w:tcBorders>
            <w:shd w:val="clear" w:color="auto" w:fill="auto"/>
            <w:noWrap/>
            <w:vAlign w:val="bottom"/>
            <w:hideMark/>
          </w:tcPr>
          <w:p w:rsidR="00FC6A12" w:rsidRPr="006F629F" w:rsidRDefault="00FC6A12" w:rsidP="00FC6A12">
            <w:pPr>
              <w:spacing w:before="0" w:line="240" w:lineRule="auto"/>
              <w:ind w:firstLine="0"/>
              <w:jc w:val="right"/>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2008</w:t>
            </w:r>
          </w:p>
        </w:tc>
        <w:tc>
          <w:tcPr>
            <w:tcW w:w="1150" w:type="dxa"/>
            <w:tcBorders>
              <w:top w:val="single" w:sz="12" w:space="0" w:color="auto"/>
              <w:left w:val="nil"/>
              <w:bottom w:val="nil"/>
              <w:right w:val="single" w:sz="12" w:space="0" w:color="auto"/>
            </w:tcBorders>
            <w:shd w:val="clear" w:color="auto" w:fill="auto"/>
            <w:vAlign w:val="bottom"/>
            <w:hideMark/>
          </w:tcPr>
          <w:p w:rsidR="00FC6A12" w:rsidRPr="006F629F" w:rsidRDefault="00FC6A12" w:rsidP="00FC6A12">
            <w:pPr>
              <w:spacing w:before="0" w:line="240" w:lineRule="auto"/>
              <w:ind w:firstLine="0"/>
              <w:jc w:val="left"/>
              <w:rPr>
                <w:rFonts w:eastAsia="Times New Roman" w:cs="Times New Roman"/>
                <w:b/>
                <w:bCs/>
                <w:color w:val="000000"/>
                <w:sz w:val="20"/>
                <w:szCs w:val="20"/>
                <w:lang w:eastAsia="lt-LT"/>
              </w:rPr>
            </w:pPr>
          </w:p>
        </w:tc>
        <w:tc>
          <w:tcPr>
            <w:tcW w:w="1150" w:type="dxa"/>
            <w:gridSpan w:val="3"/>
            <w:tcBorders>
              <w:top w:val="single" w:sz="12" w:space="0" w:color="auto"/>
              <w:left w:val="single" w:sz="12" w:space="0" w:color="auto"/>
              <w:bottom w:val="nil"/>
              <w:right w:val="single" w:sz="12" w:space="0" w:color="auto"/>
            </w:tcBorders>
            <w:shd w:val="clear" w:color="auto" w:fill="auto"/>
            <w:vAlign w:val="bottom"/>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2007</w:t>
            </w:r>
          </w:p>
        </w:tc>
      </w:tr>
      <w:tr w:rsidR="00FC6A12" w:rsidRPr="006F629F" w:rsidTr="001B6184">
        <w:trPr>
          <w:gridAfter w:val="2"/>
          <w:wAfter w:w="50" w:type="dxa"/>
          <w:trHeight w:val="525"/>
        </w:trPr>
        <w:tc>
          <w:tcPr>
            <w:tcW w:w="2836" w:type="dxa"/>
            <w:gridSpan w:val="5"/>
            <w:tcBorders>
              <w:top w:val="nil"/>
              <w:left w:val="single" w:sz="12" w:space="0" w:color="auto"/>
              <w:bottom w:val="single" w:sz="12" w:space="0" w:color="auto"/>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Emitentas</w:t>
            </w:r>
          </w:p>
        </w:tc>
        <w:tc>
          <w:tcPr>
            <w:tcW w:w="2110" w:type="dxa"/>
            <w:gridSpan w:val="3"/>
            <w:tcBorders>
              <w:top w:val="nil"/>
              <w:left w:val="single" w:sz="12" w:space="0" w:color="auto"/>
              <w:bottom w:val="single" w:sz="12" w:space="0" w:color="auto"/>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Paskelbimo laikas</w:t>
            </w:r>
          </w:p>
        </w:tc>
        <w:tc>
          <w:tcPr>
            <w:tcW w:w="1150" w:type="dxa"/>
            <w:tcBorders>
              <w:top w:val="nil"/>
              <w:left w:val="nil"/>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Dividendai (EUR)</w:t>
            </w:r>
          </w:p>
        </w:tc>
        <w:tc>
          <w:tcPr>
            <w:tcW w:w="1811" w:type="dxa"/>
            <w:gridSpan w:val="3"/>
            <w:tcBorders>
              <w:top w:val="nil"/>
              <w:left w:val="single" w:sz="12" w:space="0" w:color="auto"/>
              <w:bottom w:val="single" w:sz="12" w:space="0" w:color="auto"/>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Paskelbimo laikas</w:t>
            </w:r>
          </w:p>
        </w:tc>
        <w:tc>
          <w:tcPr>
            <w:tcW w:w="1150" w:type="dxa"/>
            <w:tcBorders>
              <w:top w:val="nil"/>
              <w:left w:val="nil"/>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Dividendai (EUR)</w:t>
            </w:r>
          </w:p>
        </w:tc>
        <w:tc>
          <w:tcPr>
            <w:tcW w:w="1150" w:type="dxa"/>
            <w:gridSpan w:val="3"/>
            <w:tcBorders>
              <w:top w:val="nil"/>
              <w:left w:val="single" w:sz="12" w:space="0" w:color="auto"/>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b/>
                <w:bCs/>
                <w:color w:val="000000"/>
                <w:sz w:val="20"/>
                <w:szCs w:val="20"/>
                <w:lang w:eastAsia="lt-LT"/>
              </w:rPr>
            </w:pPr>
            <w:r w:rsidRPr="006F629F">
              <w:rPr>
                <w:rFonts w:eastAsia="Times New Roman" w:cs="Times New Roman"/>
                <w:b/>
                <w:bCs/>
                <w:color w:val="000000"/>
                <w:sz w:val="20"/>
                <w:szCs w:val="20"/>
                <w:lang w:eastAsia="lt-LT"/>
              </w:rPr>
              <w:t>Dividendai (EUR)</w:t>
            </w:r>
          </w:p>
        </w:tc>
      </w:tr>
      <w:tr w:rsidR="00FC6A12" w:rsidRPr="006F629F" w:rsidTr="001B6184">
        <w:trPr>
          <w:gridAfter w:val="2"/>
          <w:wAfter w:w="50" w:type="dxa"/>
          <w:trHeight w:val="300"/>
        </w:trPr>
        <w:tc>
          <w:tcPr>
            <w:tcW w:w="2836" w:type="dxa"/>
            <w:gridSpan w:val="5"/>
            <w:tcBorders>
              <w:top w:val="single" w:sz="12" w:space="0" w:color="auto"/>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Harju Elekter</w:t>
            </w:r>
          </w:p>
        </w:tc>
        <w:tc>
          <w:tcPr>
            <w:tcW w:w="2110" w:type="dxa"/>
            <w:gridSpan w:val="3"/>
            <w:tcBorders>
              <w:top w:val="single" w:sz="12" w:space="0" w:color="auto"/>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01.04.2009 - 13:43</w:t>
            </w:r>
          </w:p>
        </w:tc>
        <w:tc>
          <w:tcPr>
            <w:tcW w:w="1150" w:type="dxa"/>
            <w:tcBorders>
              <w:top w:val="single" w:sz="12" w:space="0" w:color="auto"/>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0,060</w:t>
            </w:r>
          </w:p>
        </w:tc>
        <w:tc>
          <w:tcPr>
            <w:tcW w:w="1811" w:type="dxa"/>
            <w:gridSpan w:val="3"/>
            <w:tcBorders>
              <w:top w:val="single" w:sz="12" w:space="0" w:color="auto"/>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31.03.2008 - 11:33</w:t>
            </w:r>
          </w:p>
        </w:tc>
        <w:tc>
          <w:tcPr>
            <w:tcW w:w="1150" w:type="dxa"/>
            <w:tcBorders>
              <w:top w:val="single" w:sz="12" w:space="0" w:color="auto"/>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0,130</w:t>
            </w:r>
          </w:p>
        </w:tc>
        <w:tc>
          <w:tcPr>
            <w:tcW w:w="1150" w:type="dxa"/>
            <w:gridSpan w:val="3"/>
            <w:tcBorders>
              <w:top w:val="single" w:sz="12" w:space="0" w:color="auto"/>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0,120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Merko Ehitus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08.05.2009 - 16:05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0,220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03.06.2008 - 14:59</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0,450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Silvano Fashion Group</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Tallinna Kaubamaja</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27.04.2009 - 16:15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0,030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14.04.2008 - 15:00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0,130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Tallinna Vesi</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27.04.2009 - 05:00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0,730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31.03.2008 - 07:59</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0,800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0,630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SAF Tehnika</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29.10.2009 - 17:28</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0,327</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Latvijas Gāze</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17.06.2009 - 15:24</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0,541</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20.06.2008 - 16:33</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0,711</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0,427</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Olainfarm</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Kurzemes CMAS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09.04.2009 - 10:56</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0,043</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31.03.2008 - 15:11</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0,142</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0,142</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Valmieras stikla šķiedra</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Siguldas CMAS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18"/>
                <w:szCs w:val="18"/>
                <w:lang w:eastAsia="lt-LT"/>
              </w:rPr>
            </w:pPr>
            <w:r w:rsidRPr="006F629F">
              <w:rPr>
                <w:rFonts w:eastAsia="Times New Roman" w:cs="Times New Roman"/>
                <w:color w:val="000000"/>
                <w:sz w:val="18"/>
                <w:szCs w:val="18"/>
                <w:lang w:eastAsia="lt-LT"/>
              </w:rPr>
              <w:t>09.04.2009 - 16:35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18"/>
                <w:szCs w:val="18"/>
                <w:lang w:eastAsia="lt-LT"/>
              </w:rPr>
            </w:pPr>
            <w:r w:rsidRPr="006F629F">
              <w:rPr>
                <w:rFonts w:eastAsia="Times New Roman" w:cs="Times New Roman"/>
                <w:color w:val="000000"/>
                <w:sz w:val="18"/>
                <w:szCs w:val="18"/>
                <w:lang w:eastAsia="lt-LT"/>
              </w:rPr>
              <w:t>0,071</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11.04.2008 - 15:35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0,142</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0,142</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562232">
              <w:rPr>
                <w:rFonts w:eastAsia="Times New Roman" w:cs="Times New Roman"/>
                <w:b/>
                <w:color w:val="000000"/>
                <w:sz w:val="20"/>
                <w:szCs w:val="20"/>
                <w:lang w:eastAsia="lt-LT"/>
              </w:rPr>
              <w:t xml:space="preserve">M </w:t>
            </w:r>
            <w:r w:rsidRPr="00562232">
              <w:rPr>
                <w:rFonts w:eastAsia="Times New Roman" w:cs="Times New Roman"/>
                <w:color w:val="000000"/>
                <w:sz w:val="20"/>
                <w:szCs w:val="20"/>
                <w:lang w:eastAsia="lt-LT"/>
              </w:rPr>
              <w:t>24.04.2009 - 16:37</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0,114</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APB Apranga</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20.04.2009 10:01</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18.04.2008 - 10:17</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0,046</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0,032</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City Service</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21.04.2009  23:40:00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0,032</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2008.04.08 - 21:35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0,050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n/a</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Grigiškės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10.04.2009 17:06</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15.04.2008 09:24</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0,014</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0,014</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Klaipėdos nafta</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09.04.2009 - 15:10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0,012</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07.04.2008 16:16</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0,006</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0,005</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LESTO</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n/a</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Pr>
                <w:rFonts w:eastAsia="Times New Roman" w:cs="Times New Roman"/>
                <w:color w:val="000000"/>
                <w:sz w:val="20"/>
                <w:szCs w:val="20"/>
                <w:lang w:eastAsia="lt-LT"/>
              </w:rPr>
              <w:t>n/d</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Lietuvos dujos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07.04.2009 - 16:23</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0,028</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02.04.2008 - 18:5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0,031</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0,019</w:t>
            </w:r>
          </w:p>
        </w:tc>
      </w:tr>
      <w:tr w:rsidR="00FC6A12" w:rsidRPr="006F629F" w:rsidTr="001B6184">
        <w:trPr>
          <w:gridAfter w:val="2"/>
          <w:wAfter w:w="50" w:type="dxa"/>
          <w:trHeight w:val="525"/>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Panevėžio statybos trestas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14.04.2009 - 13:18</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0,017</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15.04.2008 - 11:32</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0,067</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0,050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Pieno žvaigždės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10.04.2009 - 17:50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0,033</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20.03.2008 - 08:42</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0,065</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0,058</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Rokiškio sūris</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14.04.2009 - 10:35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14.04.2008 - 17:51</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0,070</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0,680</w:t>
            </w:r>
          </w:p>
        </w:tc>
      </w:tr>
      <w:tr w:rsidR="00FC6A12" w:rsidRPr="006F629F" w:rsidTr="001B6184">
        <w:trPr>
          <w:gridAfter w:val="2"/>
          <w:wAfter w:w="50" w:type="dxa"/>
          <w:trHeight w:val="300"/>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TEO LT</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23.03.2009 - 15:00</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0,067</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13.03.2008 - 16:15</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0,072</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0,075</w:t>
            </w:r>
          </w:p>
        </w:tc>
      </w:tr>
      <w:tr w:rsidR="00FC6A12" w:rsidRPr="006F629F" w:rsidTr="001B6184">
        <w:trPr>
          <w:gridAfter w:val="2"/>
          <w:wAfter w:w="50" w:type="dxa"/>
          <w:trHeight w:val="525"/>
        </w:trPr>
        <w:tc>
          <w:tcPr>
            <w:tcW w:w="2836" w:type="dxa"/>
            <w:gridSpan w:val="5"/>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Vilkyškių pieninė</w:t>
            </w:r>
          </w:p>
        </w:tc>
        <w:tc>
          <w:tcPr>
            <w:tcW w:w="2110"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20.04.2009 09:47</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nil"/>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18.04.2008 - 16:38</w:t>
            </w:r>
          </w:p>
        </w:tc>
        <w:tc>
          <w:tcPr>
            <w:tcW w:w="1150" w:type="dxa"/>
            <w:tcBorders>
              <w:top w:val="nil"/>
              <w:left w:val="nil"/>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0,049</w:t>
            </w:r>
          </w:p>
        </w:tc>
        <w:tc>
          <w:tcPr>
            <w:tcW w:w="1150" w:type="dxa"/>
            <w:gridSpan w:val="3"/>
            <w:tcBorders>
              <w:top w:val="nil"/>
              <w:left w:val="single" w:sz="12" w:space="0" w:color="auto"/>
              <w:bottom w:val="nil"/>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0,064</w:t>
            </w:r>
          </w:p>
        </w:tc>
      </w:tr>
      <w:tr w:rsidR="00FC6A12" w:rsidRPr="006F629F" w:rsidTr="001B6184">
        <w:trPr>
          <w:gridAfter w:val="2"/>
          <w:wAfter w:w="50" w:type="dxa"/>
          <w:trHeight w:val="300"/>
        </w:trPr>
        <w:tc>
          <w:tcPr>
            <w:tcW w:w="2836" w:type="dxa"/>
            <w:gridSpan w:val="5"/>
            <w:tcBorders>
              <w:top w:val="nil"/>
              <w:left w:val="single" w:sz="12" w:space="0" w:color="auto"/>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AB Vilniaus baldai</w:t>
            </w:r>
          </w:p>
        </w:tc>
        <w:tc>
          <w:tcPr>
            <w:tcW w:w="2110" w:type="dxa"/>
            <w:gridSpan w:val="3"/>
            <w:tcBorders>
              <w:top w:val="nil"/>
              <w:left w:val="single" w:sz="12" w:space="0" w:color="auto"/>
              <w:bottom w:val="single" w:sz="12" w:space="0" w:color="auto"/>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811" w:type="dxa"/>
            <w:gridSpan w:val="3"/>
            <w:tcBorders>
              <w:top w:val="nil"/>
              <w:left w:val="single" w:sz="12" w:space="0" w:color="auto"/>
              <w:bottom w:val="single" w:sz="12" w:space="0" w:color="auto"/>
              <w:right w:val="nil"/>
            </w:tcBorders>
            <w:shd w:val="clear" w:color="auto" w:fill="auto"/>
            <w:noWrap/>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n/</w:t>
            </w:r>
            <w:r>
              <w:rPr>
                <w:rFonts w:eastAsia="Times New Roman" w:cs="Times New Roman"/>
                <w:color w:val="000000"/>
                <w:sz w:val="20"/>
                <w:szCs w:val="20"/>
                <w:lang w:eastAsia="lt-LT"/>
              </w:rPr>
              <w:t>d</w:t>
            </w:r>
          </w:p>
        </w:tc>
        <w:tc>
          <w:tcPr>
            <w:tcW w:w="1150" w:type="dxa"/>
            <w:tcBorders>
              <w:top w:val="nil"/>
              <w:left w:val="nil"/>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c>
          <w:tcPr>
            <w:tcW w:w="1150" w:type="dxa"/>
            <w:gridSpan w:val="3"/>
            <w:tcBorders>
              <w:top w:val="nil"/>
              <w:left w:val="single" w:sz="12" w:space="0" w:color="auto"/>
              <w:bottom w:val="single" w:sz="12" w:space="0" w:color="auto"/>
              <w:right w:val="single" w:sz="12" w:space="0" w:color="auto"/>
            </w:tcBorders>
            <w:shd w:val="clear" w:color="auto" w:fill="auto"/>
            <w:hideMark/>
          </w:tcPr>
          <w:p w:rsidR="00FC6A12" w:rsidRPr="006F629F" w:rsidRDefault="00FC6A12" w:rsidP="00FC6A12">
            <w:pPr>
              <w:spacing w:before="0" w:line="240" w:lineRule="auto"/>
              <w:ind w:firstLine="0"/>
              <w:jc w:val="center"/>
              <w:rPr>
                <w:rFonts w:eastAsia="Times New Roman" w:cs="Times New Roman"/>
                <w:color w:val="000000"/>
                <w:sz w:val="20"/>
                <w:szCs w:val="20"/>
                <w:lang w:eastAsia="lt-LT"/>
              </w:rPr>
            </w:pPr>
            <w:r w:rsidRPr="006F629F">
              <w:rPr>
                <w:rFonts w:eastAsia="Times New Roman" w:cs="Times New Roman"/>
                <w:color w:val="000000"/>
                <w:sz w:val="20"/>
                <w:szCs w:val="20"/>
                <w:lang w:eastAsia="lt-LT"/>
              </w:rPr>
              <w:t>0,000</w:t>
            </w:r>
          </w:p>
        </w:tc>
      </w:tr>
    </w:tbl>
    <w:p w:rsidR="00754F54" w:rsidRDefault="00FC6A12" w:rsidP="00FC6A12">
      <w:pPr>
        <w:ind w:firstLine="0"/>
        <w:jc w:val="left"/>
        <w:rPr>
          <w:sz w:val="20"/>
          <w:szCs w:val="20"/>
        </w:rPr>
      </w:pPr>
      <w:r w:rsidRPr="00343BA5">
        <w:rPr>
          <w:b/>
          <w:sz w:val="20"/>
          <w:szCs w:val="20"/>
        </w:rPr>
        <w:t>Šaltinis:</w:t>
      </w:r>
      <w:r w:rsidRPr="00343BA5">
        <w:rPr>
          <w:sz w:val="20"/>
          <w:szCs w:val="20"/>
        </w:rPr>
        <w:t xml:space="preserve"> </w:t>
      </w:r>
      <w:r>
        <w:rPr>
          <w:sz w:val="20"/>
          <w:szCs w:val="20"/>
        </w:rPr>
        <w:t xml:space="preserve">Sudaryta autoriaus pagal </w:t>
      </w:r>
      <w:r w:rsidR="006C013D" w:rsidRPr="006C013D">
        <w:rPr>
          <w:i/>
          <w:sz w:val="20"/>
          <w:szCs w:val="20"/>
        </w:rPr>
        <w:t>Nasdaq OMX</w:t>
      </w:r>
      <w:r w:rsidRPr="006C013D">
        <w:rPr>
          <w:i/>
          <w:sz w:val="20"/>
          <w:szCs w:val="20"/>
        </w:rPr>
        <w:t xml:space="preserve"> Baltic</w:t>
      </w:r>
      <w:r w:rsidRPr="00343BA5">
        <w:rPr>
          <w:sz w:val="20"/>
          <w:szCs w:val="20"/>
        </w:rPr>
        <w:t xml:space="preserve"> duom</w:t>
      </w:r>
      <w:r>
        <w:rPr>
          <w:sz w:val="20"/>
          <w:szCs w:val="20"/>
        </w:rPr>
        <w:t>eni</w:t>
      </w:r>
      <w:r w:rsidRPr="00343BA5">
        <w:rPr>
          <w:sz w:val="20"/>
          <w:szCs w:val="20"/>
        </w:rPr>
        <w:t>s, 2007-2012</w:t>
      </w:r>
    </w:p>
    <w:p w:rsidR="00FC6A12" w:rsidRDefault="00754F54" w:rsidP="00754F54">
      <w:pPr>
        <w:spacing w:before="0" w:after="200" w:line="276" w:lineRule="auto"/>
        <w:ind w:firstLine="0"/>
        <w:jc w:val="left"/>
        <w:rPr>
          <w:sz w:val="20"/>
          <w:szCs w:val="20"/>
        </w:rPr>
      </w:pPr>
      <w:r>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BC2E39" w:rsidTr="00E329DE">
        <w:tc>
          <w:tcPr>
            <w:tcW w:w="10137" w:type="dxa"/>
          </w:tcPr>
          <w:p w:rsidR="00BC2E39" w:rsidRPr="00BC2E39" w:rsidRDefault="00E329DE" w:rsidP="00754F54">
            <w:pPr>
              <w:pStyle w:val="Priedai"/>
              <w:spacing w:before="240"/>
              <w:ind w:left="357" w:firstLine="8290"/>
            </w:pPr>
            <w:r>
              <w:lastRenderedPageBreak/>
              <w:t xml:space="preserve">  </w:t>
            </w:r>
            <w:bookmarkStart w:id="142" w:name="_Toc343677778"/>
            <w:r>
              <w:t>Analizuojamų prekybos dienų pelningumų skirstinio distribucijos tikrinimas</w:t>
            </w:r>
            <w:bookmarkEnd w:id="142"/>
          </w:p>
        </w:tc>
      </w:tr>
    </w:tbl>
    <w:p w:rsidR="001B21A3" w:rsidRPr="001B21A3" w:rsidRDefault="001B21A3" w:rsidP="001B21A3">
      <w:pPr>
        <w:tabs>
          <w:tab w:val="center" w:pos="8222"/>
        </w:tabs>
        <w:autoSpaceDE w:val="0"/>
        <w:autoSpaceDN w:val="0"/>
        <w:adjustRightInd w:val="0"/>
        <w:spacing w:before="0" w:line="240" w:lineRule="auto"/>
        <w:ind w:firstLine="0"/>
        <w:jc w:val="center"/>
        <w:rPr>
          <w:rFonts w:ascii="$F$" w:hAnsi="$F$" w:cs="$F$"/>
          <w:b/>
          <w:bCs/>
          <w:color w:val="000000"/>
          <w:sz w:val="18"/>
          <w:szCs w:val="18"/>
        </w:rPr>
      </w:pPr>
      <w:r w:rsidRPr="001B21A3">
        <w:rPr>
          <w:rFonts w:ascii="$F$" w:hAnsi="$F$" w:cs="$F$"/>
          <w:b/>
          <w:bCs/>
          <w:color w:val="000000"/>
          <w:sz w:val="18"/>
          <w:szCs w:val="18"/>
        </w:rPr>
        <w:t>One-Sample Kolmogorov-Smirnov Test</w:t>
      </w:r>
    </w:p>
    <w:p w:rsidR="001B21A3" w:rsidRPr="001B21A3" w:rsidRDefault="001B21A3" w:rsidP="001B21A3">
      <w:pPr>
        <w:tabs>
          <w:tab w:val="center" w:pos="8222"/>
        </w:tabs>
        <w:autoSpaceDE w:val="0"/>
        <w:autoSpaceDN w:val="0"/>
        <w:adjustRightInd w:val="0"/>
        <w:spacing w:before="0" w:line="240" w:lineRule="auto"/>
        <w:ind w:firstLine="0"/>
        <w:jc w:val="left"/>
        <w:rPr>
          <w:rFonts w:ascii="$F$" w:hAnsi="$F$" w:cs="$F$"/>
          <w:b/>
          <w:bCs/>
          <w:color w:val="000000"/>
          <w:sz w:val="18"/>
          <w:szCs w:val="18"/>
        </w:rPr>
      </w:pPr>
    </w:p>
    <w:tbl>
      <w:tblPr>
        <w:tblW w:w="9781" w:type="dxa"/>
        <w:tblInd w:w="93" w:type="dxa"/>
        <w:tblLayout w:type="fixed"/>
        <w:tblCellMar>
          <w:left w:w="93" w:type="dxa"/>
          <w:right w:w="93" w:type="dxa"/>
        </w:tblCellMar>
        <w:tblLook w:val="0000"/>
      </w:tblPr>
      <w:tblGrid>
        <w:gridCol w:w="993"/>
        <w:gridCol w:w="992"/>
        <w:gridCol w:w="709"/>
        <w:gridCol w:w="708"/>
        <w:gridCol w:w="709"/>
        <w:gridCol w:w="709"/>
        <w:gridCol w:w="709"/>
        <w:gridCol w:w="708"/>
        <w:gridCol w:w="709"/>
        <w:gridCol w:w="709"/>
        <w:gridCol w:w="709"/>
        <w:gridCol w:w="708"/>
        <w:gridCol w:w="709"/>
      </w:tblGrid>
      <w:tr w:rsidR="001B21A3" w:rsidRPr="001B21A3" w:rsidTr="001B21A3">
        <w:trPr>
          <w:trHeight w:val="273"/>
        </w:trPr>
        <w:tc>
          <w:tcPr>
            <w:tcW w:w="198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70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n5</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n4</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n3</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n2</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n1</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n0</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p1</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p2</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p3</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p4</w:t>
            </w:r>
          </w:p>
        </w:tc>
        <w:tc>
          <w:tcPr>
            <w:tcW w:w="70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p5</w:t>
            </w:r>
          </w:p>
        </w:tc>
      </w:tr>
      <w:tr w:rsidR="001B21A3" w:rsidRPr="001B21A3" w:rsidTr="001B21A3">
        <w:trPr>
          <w:trHeight w:val="273"/>
        </w:trPr>
        <w:tc>
          <w:tcPr>
            <w:tcW w:w="1985" w:type="dxa"/>
            <w:gridSpan w:val="2"/>
            <w:tcBorders>
              <w:top w:val="single" w:sz="12" w:space="0" w:color="000000"/>
              <w:left w:val="single" w:sz="12" w:space="0" w:color="000000"/>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N</w:t>
            </w:r>
          </w:p>
        </w:tc>
        <w:tc>
          <w:tcPr>
            <w:tcW w:w="709" w:type="dxa"/>
            <w:tcBorders>
              <w:top w:val="single" w:sz="12" w:space="0" w:color="000000"/>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c>
          <w:tcPr>
            <w:tcW w:w="709" w:type="dxa"/>
            <w:tcBorders>
              <w:top w:val="single" w:sz="12" w:space="0" w:color="000000"/>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99</w:t>
            </w:r>
          </w:p>
        </w:tc>
      </w:tr>
      <w:tr w:rsidR="001B21A3" w:rsidRPr="001B21A3" w:rsidTr="001B21A3">
        <w:trPr>
          <w:trHeight w:val="273"/>
        </w:trPr>
        <w:tc>
          <w:tcPr>
            <w:tcW w:w="993" w:type="dxa"/>
            <w:tcBorders>
              <w:top w:val="nil"/>
              <w:left w:val="single" w:sz="12" w:space="0" w:color="000000"/>
              <w:bottom w:val="nil"/>
              <w:right w:val="nil"/>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Normal Parameters(a,b)</w:t>
            </w:r>
          </w:p>
        </w:tc>
        <w:tc>
          <w:tcPr>
            <w:tcW w:w="992"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Mean</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,00266</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,00195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-,00123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,00084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,00115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,01556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,00158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-,00188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-,00036</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-,00049</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-,00479</w:t>
            </w:r>
          </w:p>
        </w:tc>
      </w:tr>
      <w:tr w:rsidR="001B21A3" w:rsidRPr="001B21A3" w:rsidTr="001B21A3">
        <w:trPr>
          <w:trHeight w:val="273"/>
        </w:trPr>
        <w:tc>
          <w:tcPr>
            <w:tcW w:w="993"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Std. Deviation</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,020207</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,024342</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,020317</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,015533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,018335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,034942</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,026276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,026145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,025175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,017979</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,021500</w:t>
            </w:r>
          </w:p>
        </w:tc>
      </w:tr>
      <w:tr w:rsidR="001B21A3" w:rsidRPr="001B21A3" w:rsidTr="001B21A3">
        <w:trPr>
          <w:trHeight w:val="273"/>
        </w:trPr>
        <w:tc>
          <w:tcPr>
            <w:tcW w:w="993"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Most Extreme Differences</w:t>
            </w:r>
          </w:p>
        </w:tc>
        <w:tc>
          <w:tcPr>
            <w:tcW w:w="992"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Absolute</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,229</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,236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,172</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,162</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,170</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,198</w:t>
            </w:r>
          </w:p>
        </w:tc>
      </w:tr>
      <w:tr w:rsidR="001B21A3" w:rsidRPr="001B21A3" w:rsidTr="001B21A3">
        <w:trPr>
          <w:trHeight w:val="273"/>
        </w:trPr>
        <w:tc>
          <w:tcPr>
            <w:tcW w:w="993"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Positive</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,229</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,236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,155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,162</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,180</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,170</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,140</w:t>
            </w:r>
          </w:p>
        </w:tc>
      </w:tr>
      <w:tr w:rsidR="001B21A3" w:rsidRPr="001B21A3" w:rsidTr="001B21A3">
        <w:trPr>
          <w:trHeight w:val="273"/>
        </w:trPr>
        <w:tc>
          <w:tcPr>
            <w:tcW w:w="993"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Negative</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-,180</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-,172</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-,097</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-,112</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-,118</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-,152</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-,198</w:t>
            </w:r>
          </w:p>
        </w:tc>
      </w:tr>
      <w:tr w:rsidR="001B21A3" w:rsidRPr="001B21A3" w:rsidTr="001B21A3">
        <w:trPr>
          <w:trHeight w:val="273"/>
        </w:trPr>
        <w:tc>
          <w:tcPr>
            <w:tcW w:w="1985" w:type="dxa"/>
            <w:gridSpan w:val="2"/>
            <w:tcBorders>
              <w:top w:val="nil"/>
              <w:left w:val="single" w:sz="12" w:space="0" w:color="000000"/>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Kolmogorov-Smirnov Z</w:t>
            </w:r>
          </w:p>
        </w:tc>
        <w:tc>
          <w:tcPr>
            <w:tcW w:w="709"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2,279</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2,348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1,943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1,671</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1,711</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1,608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1,631</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1,843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1,845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1,696</w:t>
            </w:r>
          </w:p>
        </w:tc>
        <w:tc>
          <w:tcPr>
            <w:tcW w:w="709"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1,972</w:t>
            </w:r>
          </w:p>
        </w:tc>
      </w:tr>
      <w:tr w:rsidR="001B21A3" w:rsidRPr="001B21A3" w:rsidTr="001B21A3">
        <w:trPr>
          <w:trHeight w:val="273"/>
        </w:trPr>
        <w:tc>
          <w:tcPr>
            <w:tcW w:w="1985" w:type="dxa"/>
            <w:gridSpan w:val="2"/>
            <w:tcBorders>
              <w:top w:val="nil"/>
              <w:left w:val="single" w:sz="12" w:space="0" w:color="000000"/>
              <w:bottom w:val="single" w:sz="12" w:space="0" w:color="000000"/>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Asymp. Sig. (2-tailed)</w:t>
            </w:r>
          </w:p>
        </w:tc>
        <w:tc>
          <w:tcPr>
            <w:tcW w:w="709" w:type="dxa"/>
            <w:tcBorders>
              <w:top w:val="nil"/>
              <w:left w:val="single" w:sz="1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,011</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,010</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w:t>
            </w:r>
          </w:p>
        </w:tc>
        <w:tc>
          <w:tcPr>
            <w:tcW w:w="709" w:type="dxa"/>
            <w:tcBorders>
              <w:top w:val="nil"/>
              <w:left w:val="single" w:sz="2" w:space="0" w:color="000000"/>
              <w:bottom w:val="single" w:sz="12" w:space="0" w:color="000000"/>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w:t>
            </w:r>
          </w:p>
        </w:tc>
      </w:tr>
    </w:tbl>
    <w:p w:rsidR="001B21A3" w:rsidRPr="001B21A3" w:rsidRDefault="001B21A3" w:rsidP="001B21A3">
      <w:pPr>
        <w:autoSpaceDE w:val="0"/>
        <w:autoSpaceDN w:val="0"/>
        <w:adjustRightInd w:val="0"/>
        <w:spacing w:before="0" w:line="240" w:lineRule="auto"/>
        <w:ind w:firstLine="0"/>
        <w:jc w:val="left"/>
        <w:rPr>
          <w:rFonts w:ascii="$F$" w:hAnsi="$F$" w:cs="$F$"/>
          <w:color w:val="000000"/>
          <w:sz w:val="18"/>
          <w:szCs w:val="18"/>
        </w:rPr>
      </w:pPr>
      <w:r w:rsidRPr="001B21A3">
        <w:rPr>
          <w:rFonts w:ascii="$F$" w:hAnsi="$F$" w:cs="$F$"/>
          <w:color w:val="000000"/>
          <w:sz w:val="18"/>
          <w:szCs w:val="18"/>
        </w:rPr>
        <w:t>a  Test distribution is Normal.</w:t>
      </w:r>
    </w:p>
    <w:p w:rsidR="001B21A3" w:rsidRDefault="001B21A3" w:rsidP="001B21A3">
      <w:pPr>
        <w:autoSpaceDE w:val="0"/>
        <w:autoSpaceDN w:val="0"/>
        <w:adjustRightInd w:val="0"/>
        <w:spacing w:before="0" w:line="240" w:lineRule="auto"/>
        <w:ind w:firstLine="0"/>
        <w:jc w:val="left"/>
        <w:rPr>
          <w:rFonts w:ascii="$F$" w:hAnsi="$F$" w:cs="$F$"/>
          <w:color w:val="000000"/>
          <w:sz w:val="18"/>
          <w:szCs w:val="18"/>
        </w:rPr>
      </w:pPr>
      <w:r w:rsidRPr="001B21A3">
        <w:rPr>
          <w:rFonts w:ascii="$F$" w:hAnsi="$F$" w:cs="$F$"/>
          <w:color w:val="000000"/>
          <w:sz w:val="18"/>
          <w:szCs w:val="18"/>
        </w:rPr>
        <w:t>b  Calculated from data.</w:t>
      </w:r>
    </w:p>
    <w:p w:rsidR="00754F54" w:rsidRPr="00754F54" w:rsidRDefault="00754F54" w:rsidP="00754F54">
      <w:pPr>
        <w:tabs>
          <w:tab w:val="center" w:pos="11966"/>
        </w:tabs>
        <w:autoSpaceDE w:val="0"/>
        <w:autoSpaceDN w:val="0"/>
        <w:adjustRightInd w:val="0"/>
        <w:spacing w:before="0" w:line="240" w:lineRule="auto"/>
        <w:ind w:firstLine="0"/>
        <w:jc w:val="center"/>
        <w:rPr>
          <w:rFonts w:ascii="$F$" w:hAnsi="$F$" w:cs="$F$"/>
          <w:b/>
          <w:bCs/>
          <w:color w:val="000000"/>
          <w:sz w:val="18"/>
          <w:szCs w:val="18"/>
        </w:rPr>
      </w:pPr>
      <w:r w:rsidRPr="00754F54">
        <w:rPr>
          <w:rFonts w:ascii="$F$" w:hAnsi="$F$" w:cs="$F$"/>
          <w:b/>
          <w:bCs/>
          <w:color w:val="000000"/>
          <w:sz w:val="18"/>
          <w:szCs w:val="18"/>
        </w:rPr>
        <w:t>One-Sample Kolmogorov-Smirnov Test</w:t>
      </w:r>
    </w:p>
    <w:p w:rsidR="00754F54" w:rsidRPr="00754F54" w:rsidRDefault="00754F54" w:rsidP="00754F54">
      <w:pPr>
        <w:tabs>
          <w:tab w:val="center" w:pos="11966"/>
        </w:tabs>
        <w:autoSpaceDE w:val="0"/>
        <w:autoSpaceDN w:val="0"/>
        <w:adjustRightInd w:val="0"/>
        <w:spacing w:before="0" w:line="240" w:lineRule="auto"/>
        <w:ind w:firstLine="0"/>
        <w:jc w:val="left"/>
        <w:rPr>
          <w:rFonts w:ascii="$F$" w:hAnsi="$F$" w:cs="$F$"/>
          <w:b/>
          <w:bCs/>
          <w:color w:val="000000"/>
          <w:sz w:val="18"/>
          <w:szCs w:val="18"/>
        </w:rPr>
      </w:pPr>
    </w:p>
    <w:tbl>
      <w:tblPr>
        <w:tblW w:w="9781" w:type="dxa"/>
        <w:tblInd w:w="93" w:type="dxa"/>
        <w:tblLayout w:type="fixed"/>
        <w:tblCellMar>
          <w:left w:w="93" w:type="dxa"/>
          <w:right w:w="93" w:type="dxa"/>
        </w:tblCellMar>
        <w:tblLook w:val="0000"/>
      </w:tblPr>
      <w:tblGrid>
        <w:gridCol w:w="993"/>
        <w:gridCol w:w="992"/>
        <w:gridCol w:w="709"/>
        <w:gridCol w:w="708"/>
        <w:gridCol w:w="709"/>
        <w:gridCol w:w="709"/>
        <w:gridCol w:w="709"/>
        <w:gridCol w:w="708"/>
        <w:gridCol w:w="709"/>
        <w:gridCol w:w="709"/>
        <w:gridCol w:w="709"/>
        <w:gridCol w:w="708"/>
        <w:gridCol w:w="709"/>
      </w:tblGrid>
      <w:tr w:rsidR="00754F54" w:rsidRPr="00754F54" w:rsidTr="00754F54">
        <w:trPr>
          <w:trHeight w:val="273"/>
        </w:trPr>
        <w:tc>
          <w:tcPr>
            <w:tcW w:w="198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70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[-5;5]</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[-5;-1]</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[-5;0]</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[-5;1]</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[3;-1]</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[-3;0]</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[-3;1]</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[-1;0]</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p>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[-1;1]</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[-2;2]</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[0;1]</w:t>
            </w:r>
          </w:p>
        </w:tc>
      </w:tr>
      <w:tr w:rsidR="00754F54" w:rsidRPr="00754F54" w:rsidTr="00754F54">
        <w:trPr>
          <w:trHeight w:val="273"/>
        </w:trPr>
        <w:tc>
          <w:tcPr>
            <w:tcW w:w="1985" w:type="dxa"/>
            <w:gridSpan w:val="2"/>
            <w:tcBorders>
              <w:top w:val="single" w:sz="12" w:space="0" w:color="000000"/>
              <w:left w:val="single" w:sz="12" w:space="0" w:color="000000"/>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w:t>
            </w:r>
          </w:p>
        </w:tc>
        <w:tc>
          <w:tcPr>
            <w:tcW w:w="709" w:type="dxa"/>
            <w:tcBorders>
              <w:top w:val="single" w:sz="12" w:space="0" w:color="000000"/>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Normal Parameters(a,b)</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Mean</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,01383</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,00532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,01959</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,02266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,00012</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,01442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,01744</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,01433</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,01735</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,0148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,01729</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Std. Deviation</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,068785</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,040761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,051311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,057266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,032254</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,045382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,050220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,038028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,045835</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,04978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,041365</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Most Extreme Differences</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Absolute</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,077</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,148</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,105</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,112</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,083</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,162</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Positive</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,076</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,069</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,148</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,105</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,112</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,083</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,162</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Negative</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-,077</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-,106</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-,102</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-,069</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-,109</w:t>
            </w:r>
          </w:p>
        </w:tc>
      </w:tr>
      <w:tr w:rsidR="00754F54" w:rsidRPr="00754F54" w:rsidTr="00754F54">
        <w:trPr>
          <w:trHeight w:val="273"/>
        </w:trPr>
        <w:tc>
          <w:tcPr>
            <w:tcW w:w="1985" w:type="dxa"/>
            <w:gridSpan w:val="2"/>
            <w:tcBorders>
              <w:top w:val="nil"/>
              <w:left w:val="single" w:sz="12" w:space="0" w:color="000000"/>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Kolmogorov-Smirnov Z</w:t>
            </w:r>
          </w:p>
        </w:tc>
        <w:tc>
          <w:tcPr>
            <w:tcW w:w="709" w:type="dxa"/>
            <w:tcBorders>
              <w:top w:val="nil"/>
              <w:left w:val="single" w:sz="1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,767</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1,155</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,805</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,901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1,469</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1,044</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1,014</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1,075</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1,115</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,824</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1,615</w:t>
            </w:r>
          </w:p>
        </w:tc>
      </w:tr>
      <w:tr w:rsidR="00754F54" w:rsidRPr="00754F54" w:rsidTr="00754F54">
        <w:trPr>
          <w:trHeight w:val="273"/>
        </w:trPr>
        <w:tc>
          <w:tcPr>
            <w:tcW w:w="1985" w:type="dxa"/>
            <w:gridSpan w:val="2"/>
            <w:tcBorders>
              <w:top w:val="nil"/>
              <w:left w:val="single" w:sz="12" w:space="0" w:color="000000"/>
              <w:bottom w:val="single" w:sz="12" w:space="0" w:color="000000"/>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Asymp. Sig. (2-tailed)</w:t>
            </w:r>
          </w:p>
        </w:tc>
        <w:tc>
          <w:tcPr>
            <w:tcW w:w="709" w:type="dxa"/>
            <w:tcBorders>
              <w:top w:val="nil"/>
              <w:left w:val="single" w:sz="1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,599</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,139</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,535</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,392</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,027</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,226</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,255</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,198</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,166</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,506</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,011</w:t>
            </w:r>
          </w:p>
        </w:tc>
      </w:tr>
    </w:tbl>
    <w:p w:rsidR="00754F54" w:rsidRPr="00754F54" w:rsidRDefault="00754F54" w:rsidP="00754F54">
      <w:pPr>
        <w:autoSpaceDE w:val="0"/>
        <w:autoSpaceDN w:val="0"/>
        <w:adjustRightInd w:val="0"/>
        <w:spacing w:before="0" w:line="240" w:lineRule="auto"/>
        <w:ind w:firstLine="0"/>
        <w:jc w:val="left"/>
        <w:rPr>
          <w:rFonts w:ascii="$F$" w:hAnsi="$F$" w:cs="$F$"/>
          <w:color w:val="000000"/>
          <w:sz w:val="18"/>
          <w:szCs w:val="18"/>
        </w:rPr>
      </w:pPr>
      <w:r w:rsidRPr="00754F54">
        <w:rPr>
          <w:rFonts w:ascii="$F$" w:hAnsi="$F$" w:cs="$F$"/>
          <w:color w:val="000000"/>
          <w:sz w:val="18"/>
          <w:szCs w:val="18"/>
        </w:rPr>
        <w:t>a  Test distribution is Normal.</w:t>
      </w:r>
    </w:p>
    <w:p w:rsidR="00754F54" w:rsidRPr="00754F54" w:rsidRDefault="00754F54" w:rsidP="00754F54">
      <w:pPr>
        <w:autoSpaceDE w:val="0"/>
        <w:autoSpaceDN w:val="0"/>
        <w:adjustRightInd w:val="0"/>
        <w:spacing w:before="0" w:line="240" w:lineRule="auto"/>
        <w:ind w:firstLine="0"/>
        <w:jc w:val="left"/>
        <w:rPr>
          <w:rFonts w:ascii="$F$" w:hAnsi="$F$" w:cs="$F$"/>
          <w:color w:val="000000"/>
          <w:sz w:val="18"/>
          <w:szCs w:val="18"/>
        </w:rPr>
      </w:pPr>
      <w:r w:rsidRPr="00754F54">
        <w:rPr>
          <w:rFonts w:ascii="$F$" w:hAnsi="$F$" w:cs="$F$"/>
          <w:color w:val="000000"/>
          <w:sz w:val="18"/>
          <w:szCs w:val="18"/>
        </w:rPr>
        <w:t>b  Calculated from data.</w:t>
      </w:r>
    </w:p>
    <w:p w:rsidR="00754F54" w:rsidRPr="00754F54" w:rsidRDefault="00754F54" w:rsidP="00754F54">
      <w:pPr>
        <w:autoSpaceDE w:val="0"/>
        <w:autoSpaceDN w:val="0"/>
        <w:adjustRightInd w:val="0"/>
        <w:spacing w:before="0" w:line="240" w:lineRule="auto"/>
        <w:ind w:firstLine="0"/>
        <w:jc w:val="left"/>
        <w:rPr>
          <w:rFonts w:ascii="$F$" w:hAnsi="$F$" w:cs="$F$"/>
          <w:color w:val="000000"/>
          <w:sz w:val="18"/>
          <w:szCs w:val="18"/>
        </w:rPr>
      </w:pPr>
    </w:p>
    <w:p w:rsidR="00754F54" w:rsidRDefault="00754F54" w:rsidP="001B21A3">
      <w:pPr>
        <w:autoSpaceDE w:val="0"/>
        <w:autoSpaceDN w:val="0"/>
        <w:adjustRightInd w:val="0"/>
        <w:spacing w:before="0" w:line="240" w:lineRule="auto"/>
        <w:ind w:firstLine="0"/>
        <w:jc w:val="left"/>
        <w:rPr>
          <w:rFonts w:ascii="$F$" w:hAnsi="$F$" w:cs="$F$"/>
          <w:color w:val="000000"/>
          <w:sz w:val="18"/>
          <w:szCs w:val="18"/>
        </w:rPr>
      </w:pPr>
    </w:p>
    <w:p w:rsidR="00754F54" w:rsidRPr="00754F54" w:rsidRDefault="00754F54" w:rsidP="00754F54">
      <w:pPr>
        <w:tabs>
          <w:tab w:val="center" w:pos="11966"/>
        </w:tabs>
        <w:autoSpaceDE w:val="0"/>
        <w:autoSpaceDN w:val="0"/>
        <w:adjustRightInd w:val="0"/>
        <w:spacing w:before="0" w:line="240" w:lineRule="auto"/>
        <w:ind w:firstLine="0"/>
        <w:jc w:val="center"/>
        <w:rPr>
          <w:rFonts w:ascii="$F$" w:hAnsi="$F$" w:cs="$F$"/>
          <w:b/>
          <w:bCs/>
          <w:color w:val="000000"/>
          <w:sz w:val="18"/>
          <w:szCs w:val="18"/>
        </w:rPr>
      </w:pPr>
      <w:r w:rsidRPr="00754F54">
        <w:rPr>
          <w:rFonts w:ascii="$F$" w:hAnsi="$F$" w:cs="$F$"/>
          <w:b/>
          <w:bCs/>
          <w:color w:val="000000"/>
          <w:sz w:val="18"/>
          <w:szCs w:val="18"/>
        </w:rPr>
        <w:t>One-Sample Kolmogorov-Smirnov Test</w:t>
      </w:r>
    </w:p>
    <w:p w:rsidR="00754F54" w:rsidRPr="00754F54" w:rsidRDefault="00754F54" w:rsidP="00754F54">
      <w:pPr>
        <w:tabs>
          <w:tab w:val="center" w:pos="11966"/>
        </w:tabs>
        <w:autoSpaceDE w:val="0"/>
        <w:autoSpaceDN w:val="0"/>
        <w:adjustRightInd w:val="0"/>
        <w:spacing w:before="0" w:line="240" w:lineRule="auto"/>
        <w:ind w:firstLine="0"/>
        <w:jc w:val="left"/>
        <w:rPr>
          <w:rFonts w:ascii="$F$" w:hAnsi="$F$" w:cs="$F$"/>
          <w:b/>
          <w:bCs/>
          <w:color w:val="000000"/>
          <w:sz w:val="18"/>
          <w:szCs w:val="18"/>
        </w:rPr>
      </w:pPr>
    </w:p>
    <w:tbl>
      <w:tblPr>
        <w:tblW w:w="6237" w:type="dxa"/>
        <w:tblInd w:w="93" w:type="dxa"/>
        <w:tblLayout w:type="fixed"/>
        <w:tblCellMar>
          <w:left w:w="93" w:type="dxa"/>
          <w:right w:w="93" w:type="dxa"/>
        </w:tblCellMar>
        <w:tblLook w:val="0000"/>
      </w:tblPr>
      <w:tblGrid>
        <w:gridCol w:w="993"/>
        <w:gridCol w:w="992"/>
        <w:gridCol w:w="709"/>
        <w:gridCol w:w="708"/>
        <w:gridCol w:w="709"/>
        <w:gridCol w:w="709"/>
        <w:gridCol w:w="709"/>
        <w:gridCol w:w="708"/>
      </w:tblGrid>
      <w:tr w:rsidR="00754F54" w:rsidRPr="00754F54" w:rsidTr="00754F54">
        <w:trPr>
          <w:trHeight w:val="273"/>
        </w:trPr>
        <w:tc>
          <w:tcPr>
            <w:tcW w:w="198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[-1;3]</w:t>
            </w:r>
          </w:p>
        </w:tc>
        <w:tc>
          <w:tcPr>
            <w:tcW w:w="70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[0;3]</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[1;3]</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[-1;5]</w:t>
            </w:r>
          </w:p>
        </w:tc>
        <w:tc>
          <w:tcPr>
            <w:tcW w:w="70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[0;5]</w:t>
            </w:r>
          </w:p>
        </w:tc>
        <w:tc>
          <w:tcPr>
            <w:tcW w:w="70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54F54" w:rsidRPr="00754F54" w:rsidRDefault="00754F54" w:rsidP="00754F54">
            <w:pPr>
              <w:autoSpaceDE w:val="0"/>
              <w:autoSpaceDN w:val="0"/>
              <w:adjustRightInd w:val="0"/>
              <w:spacing w:before="0" w:line="240" w:lineRule="auto"/>
              <w:ind w:firstLine="0"/>
              <w:jc w:val="center"/>
              <w:rPr>
                <w:rFonts w:ascii="$F$" w:hAnsi="$F$" w:cs="$F$"/>
                <w:color w:val="000000"/>
                <w:sz w:val="16"/>
                <w:szCs w:val="16"/>
              </w:rPr>
            </w:pPr>
            <w:r w:rsidRPr="00754F54">
              <w:rPr>
                <w:rFonts w:ascii="$F$" w:hAnsi="$F$" w:cs="$F$"/>
                <w:color w:val="000000"/>
                <w:sz w:val="16"/>
                <w:szCs w:val="16"/>
              </w:rPr>
              <w:t>CAAR</w:t>
            </w:r>
            <w:r>
              <w:rPr>
                <w:rFonts w:ascii="$F$" w:hAnsi="$F$" w:cs="$F$"/>
                <w:color w:val="000000"/>
                <w:sz w:val="16"/>
                <w:szCs w:val="16"/>
              </w:rPr>
              <w:t xml:space="preserve"> </w:t>
            </w:r>
            <w:r w:rsidRPr="00754F54">
              <w:rPr>
                <w:rFonts w:ascii="$F$" w:hAnsi="$F$" w:cs="$F$"/>
                <w:color w:val="000000"/>
                <w:sz w:val="16"/>
                <w:szCs w:val="16"/>
              </w:rPr>
              <w:t>[1;5]</w:t>
            </w:r>
          </w:p>
        </w:tc>
      </w:tr>
      <w:tr w:rsidR="00754F54" w:rsidRPr="00754F54" w:rsidTr="00754F54">
        <w:trPr>
          <w:trHeight w:val="273"/>
        </w:trPr>
        <w:tc>
          <w:tcPr>
            <w:tcW w:w="1985" w:type="dxa"/>
            <w:gridSpan w:val="2"/>
            <w:tcBorders>
              <w:top w:val="single" w:sz="12" w:space="0" w:color="000000"/>
              <w:left w:val="single" w:sz="12" w:space="0" w:color="000000"/>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c>
          <w:tcPr>
            <w:tcW w:w="708" w:type="dxa"/>
            <w:tcBorders>
              <w:top w:val="single" w:sz="12" w:space="0" w:color="000000"/>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99</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Normal Parameters(a,b)</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Mean</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,01363</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,01359</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-,00068</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,00860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,0085556</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-,0057172</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Std. Deviation</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,055731</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,051191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,039202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,060176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,05390472</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,04181715</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Most Extreme Differences</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Absolute</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,099</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,127</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,080</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,107</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Positive</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,099</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,127</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,080</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,107</w:t>
            </w:r>
          </w:p>
        </w:tc>
      </w:tr>
      <w:tr w:rsidR="00754F54" w:rsidRPr="00754F54" w:rsidTr="00754F54">
        <w:trPr>
          <w:trHeight w:val="273"/>
        </w:trPr>
        <w:tc>
          <w:tcPr>
            <w:tcW w:w="993" w:type="dxa"/>
            <w:tcBorders>
              <w:top w:val="nil"/>
              <w:left w:val="single" w:sz="12" w:space="0" w:color="000000"/>
              <w:bottom w:val="nil"/>
              <w:right w:val="nil"/>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 xml:space="preserve"> </w:t>
            </w:r>
          </w:p>
        </w:tc>
        <w:tc>
          <w:tcPr>
            <w:tcW w:w="992" w:type="dxa"/>
            <w:tcBorders>
              <w:top w:val="nil"/>
              <w:left w:val="nil"/>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Negative</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-,063</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-,101</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-,072</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-,047</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-,098</w:t>
            </w:r>
          </w:p>
        </w:tc>
      </w:tr>
      <w:tr w:rsidR="00754F54" w:rsidRPr="00754F54" w:rsidTr="00754F54">
        <w:trPr>
          <w:trHeight w:val="273"/>
        </w:trPr>
        <w:tc>
          <w:tcPr>
            <w:tcW w:w="1985" w:type="dxa"/>
            <w:gridSpan w:val="2"/>
            <w:tcBorders>
              <w:top w:val="nil"/>
              <w:left w:val="single" w:sz="12" w:space="0" w:color="000000"/>
              <w:bottom w:val="nil"/>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Kolmogorov-Smirnov Z</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,985</w:t>
            </w:r>
          </w:p>
        </w:tc>
        <w:tc>
          <w:tcPr>
            <w:tcW w:w="708"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1,010</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1,266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,716</w:t>
            </w:r>
          </w:p>
        </w:tc>
        <w:tc>
          <w:tcPr>
            <w:tcW w:w="709" w:type="dxa"/>
            <w:tcBorders>
              <w:top w:val="nil"/>
              <w:left w:val="single" w:sz="2" w:space="0" w:color="000000"/>
              <w:bottom w:val="nil"/>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,798</w:t>
            </w:r>
          </w:p>
        </w:tc>
        <w:tc>
          <w:tcPr>
            <w:tcW w:w="708" w:type="dxa"/>
            <w:tcBorders>
              <w:top w:val="nil"/>
              <w:left w:val="single" w:sz="2" w:space="0" w:color="000000"/>
              <w:bottom w:val="nil"/>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1,063</w:t>
            </w:r>
          </w:p>
        </w:tc>
      </w:tr>
      <w:tr w:rsidR="00754F54" w:rsidRPr="00754F54" w:rsidTr="00754F54">
        <w:trPr>
          <w:trHeight w:val="273"/>
        </w:trPr>
        <w:tc>
          <w:tcPr>
            <w:tcW w:w="1985" w:type="dxa"/>
            <w:gridSpan w:val="2"/>
            <w:tcBorders>
              <w:top w:val="nil"/>
              <w:left w:val="single" w:sz="12" w:space="0" w:color="000000"/>
              <w:bottom w:val="single" w:sz="12" w:space="0" w:color="000000"/>
              <w:right w:val="single" w:sz="12" w:space="0" w:color="000000"/>
            </w:tcBorders>
            <w:shd w:val="clear" w:color="000000" w:fill="FFFFFF"/>
          </w:tcPr>
          <w:p w:rsidR="00754F54" w:rsidRPr="00754F54" w:rsidRDefault="00754F54" w:rsidP="00754F54">
            <w:pPr>
              <w:autoSpaceDE w:val="0"/>
              <w:autoSpaceDN w:val="0"/>
              <w:adjustRightInd w:val="0"/>
              <w:spacing w:before="0" w:line="240" w:lineRule="auto"/>
              <w:ind w:firstLine="0"/>
              <w:jc w:val="left"/>
              <w:rPr>
                <w:rFonts w:ascii="$F$" w:hAnsi="$F$" w:cs="$F$"/>
                <w:color w:val="000000"/>
                <w:sz w:val="16"/>
                <w:szCs w:val="16"/>
              </w:rPr>
            </w:pPr>
            <w:r w:rsidRPr="00754F54">
              <w:rPr>
                <w:rFonts w:ascii="$F$" w:hAnsi="$F$" w:cs="$F$"/>
                <w:color w:val="000000"/>
                <w:sz w:val="16"/>
                <w:szCs w:val="16"/>
              </w:rPr>
              <w:t>Asymp. Sig. (2-tailed)</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,286</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,259</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,081</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,684</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,548</w:t>
            </w:r>
          </w:p>
        </w:tc>
        <w:tc>
          <w:tcPr>
            <w:tcW w:w="708" w:type="dxa"/>
            <w:tcBorders>
              <w:top w:val="nil"/>
              <w:left w:val="single" w:sz="2" w:space="0" w:color="000000"/>
              <w:bottom w:val="single" w:sz="12" w:space="0" w:color="000000"/>
              <w:right w:val="single" w:sz="12" w:space="0" w:color="000000"/>
            </w:tcBorders>
            <w:shd w:val="clear" w:color="000000" w:fill="FFFFFF"/>
            <w:vAlign w:val="center"/>
          </w:tcPr>
          <w:p w:rsidR="00754F54" w:rsidRPr="00754F54" w:rsidRDefault="00754F54" w:rsidP="00754F54">
            <w:pPr>
              <w:autoSpaceDE w:val="0"/>
              <w:autoSpaceDN w:val="0"/>
              <w:adjustRightInd w:val="0"/>
              <w:spacing w:before="0" w:line="240" w:lineRule="auto"/>
              <w:ind w:firstLine="0"/>
              <w:jc w:val="right"/>
              <w:rPr>
                <w:rFonts w:ascii="$F$" w:hAnsi="$F$" w:cs="$F$"/>
                <w:color w:val="000000"/>
                <w:sz w:val="16"/>
                <w:szCs w:val="16"/>
              </w:rPr>
            </w:pPr>
            <w:r w:rsidRPr="00754F54">
              <w:rPr>
                <w:rFonts w:ascii="$F$" w:hAnsi="$F$" w:cs="$F$"/>
                <w:color w:val="000000"/>
                <w:sz w:val="16"/>
                <w:szCs w:val="16"/>
              </w:rPr>
              <w:t>,208</w:t>
            </w:r>
          </w:p>
        </w:tc>
      </w:tr>
    </w:tbl>
    <w:p w:rsidR="00754F54" w:rsidRPr="00754F54" w:rsidRDefault="00754F54" w:rsidP="00754F54">
      <w:pPr>
        <w:autoSpaceDE w:val="0"/>
        <w:autoSpaceDN w:val="0"/>
        <w:adjustRightInd w:val="0"/>
        <w:spacing w:before="0" w:line="240" w:lineRule="auto"/>
        <w:ind w:firstLine="0"/>
        <w:jc w:val="left"/>
        <w:rPr>
          <w:rFonts w:ascii="$F$" w:hAnsi="$F$" w:cs="$F$"/>
          <w:color w:val="000000"/>
          <w:sz w:val="18"/>
          <w:szCs w:val="18"/>
        </w:rPr>
      </w:pPr>
      <w:r w:rsidRPr="00754F54">
        <w:rPr>
          <w:rFonts w:ascii="$F$" w:hAnsi="$F$" w:cs="$F$"/>
          <w:color w:val="000000"/>
          <w:sz w:val="18"/>
          <w:szCs w:val="18"/>
        </w:rPr>
        <w:t>a  Test distribution is Normal.</w:t>
      </w:r>
    </w:p>
    <w:p w:rsidR="00754F54" w:rsidRPr="00754F54" w:rsidRDefault="00754F54" w:rsidP="00754F54">
      <w:pPr>
        <w:autoSpaceDE w:val="0"/>
        <w:autoSpaceDN w:val="0"/>
        <w:adjustRightInd w:val="0"/>
        <w:spacing w:before="0" w:line="240" w:lineRule="auto"/>
        <w:ind w:firstLine="0"/>
        <w:jc w:val="left"/>
        <w:rPr>
          <w:rFonts w:ascii="$F$" w:hAnsi="$F$" w:cs="$F$"/>
          <w:color w:val="000000"/>
          <w:sz w:val="18"/>
          <w:szCs w:val="18"/>
        </w:rPr>
      </w:pPr>
      <w:r w:rsidRPr="00754F54">
        <w:rPr>
          <w:rFonts w:ascii="$F$" w:hAnsi="$F$" w:cs="$F$"/>
          <w:color w:val="000000"/>
          <w:sz w:val="18"/>
          <w:szCs w:val="18"/>
        </w:rPr>
        <w:t>b  Calculated from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BC2E39" w:rsidTr="00754F54">
        <w:tc>
          <w:tcPr>
            <w:tcW w:w="10137" w:type="dxa"/>
          </w:tcPr>
          <w:p w:rsidR="00BC2E39" w:rsidRPr="00BC2E39" w:rsidRDefault="00754F54" w:rsidP="00754F54">
            <w:pPr>
              <w:pStyle w:val="Priedai"/>
              <w:ind w:firstLine="8287"/>
              <w:jc w:val="center"/>
            </w:pPr>
            <w:r>
              <w:lastRenderedPageBreak/>
              <w:t xml:space="preserve"> </w:t>
            </w:r>
            <w:bookmarkStart w:id="143" w:name="_Toc343677779"/>
            <w:r>
              <w:t>Levene‘o testas nepriklausomoms imtims DPS pokyčio atveju</w:t>
            </w:r>
            <w:bookmarkEnd w:id="143"/>
          </w:p>
        </w:tc>
      </w:tr>
    </w:tbl>
    <w:p w:rsidR="00BC2E39" w:rsidRDefault="001B21A3" w:rsidP="00BC2E39">
      <w:pPr>
        <w:tabs>
          <w:tab w:val="center" w:pos="6465"/>
        </w:tabs>
        <w:autoSpaceDE w:val="0"/>
        <w:autoSpaceDN w:val="0"/>
        <w:adjustRightInd w:val="0"/>
        <w:spacing w:before="0" w:line="240" w:lineRule="auto"/>
        <w:ind w:firstLine="0"/>
        <w:jc w:val="left"/>
        <w:rPr>
          <w:rFonts w:ascii="$F$" w:hAnsi="$F$" w:cs="$F$"/>
          <w:b/>
          <w:bCs/>
          <w:color w:val="000000"/>
          <w:sz w:val="18"/>
          <w:szCs w:val="18"/>
        </w:rPr>
      </w:pPr>
      <w:r w:rsidRPr="001B21A3">
        <w:rPr>
          <w:rFonts w:ascii="$F$" w:hAnsi="$F$" w:cs="$F$"/>
          <w:b/>
          <w:bCs/>
          <w:color w:val="000000"/>
          <w:sz w:val="18"/>
          <w:szCs w:val="18"/>
        </w:rPr>
        <w:tab/>
      </w:r>
    </w:p>
    <w:p w:rsidR="001B21A3" w:rsidRPr="001B21A3" w:rsidRDefault="001B21A3" w:rsidP="00BC2E39">
      <w:pPr>
        <w:tabs>
          <w:tab w:val="center" w:pos="6465"/>
        </w:tabs>
        <w:autoSpaceDE w:val="0"/>
        <w:autoSpaceDN w:val="0"/>
        <w:adjustRightInd w:val="0"/>
        <w:spacing w:before="0" w:line="240" w:lineRule="auto"/>
        <w:ind w:firstLine="0"/>
        <w:jc w:val="center"/>
        <w:rPr>
          <w:rFonts w:ascii="$F$" w:hAnsi="$F$" w:cs="$F$"/>
          <w:b/>
          <w:bCs/>
          <w:color w:val="000000"/>
          <w:sz w:val="18"/>
          <w:szCs w:val="18"/>
        </w:rPr>
      </w:pPr>
      <w:r w:rsidRPr="001B21A3">
        <w:rPr>
          <w:rFonts w:ascii="$F$" w:hAnsi="$F$" w:cs="$F$"/>
          <w:b/>
          <w:bCs/>
          <w:color w:val="000000"/>
          <w:sz w:val="18"/>
          <w:szCs w:val="18"/>
        </w:rPr>
        <w:t>Independent Samples Test</w:t>
      </w:r>
    </w:p>
    <w:p w:rsidR="001B21A3" w:rsidRPr="001B21A3" w:rsidRDefault="001B21A3" w:rsidP="001B21A3">
      <w:pPr>
        <w:tabs>
          <w:tab w:val="center" w:pos="6465"/>
        </w:tabs>
        <w:autoSpaceDE w:val="0"/>
        <w:autoSpaceDN w:val="0"/>
        <w:adjustRightInd w:val="0"/>
        <w:spacing w:before="0" w:line="240" w:lineRule="auto"/>
        <w:ind w:firstLine="0"/>
        <w:jc w:val="left"/>
        <w:rPr>
          <w:rFonts w:ascii="$F$" w:hAnsi="$F$" w:cs="$F$"/>
          <w:b/>
          <w:bCs/>
          <w:color w:val="000000"/>
          <w:sz w:val="18"/>
          <w:szCs w:val="18"/>
        </w:rPr>
      </w:pPr>
    </w:p>
    <w:tbl>
      <w:tblPr>
        <w:tblW w:w="9781" w:type="dxa"/>
        <w:tblInd w:w="93" w:type="dxa"/>
        <w:tblLayout w:type="fixed"/>
        <w:tblCellMar>
          <w:left w:w="93" w:type="dxa"/>
          <w:right w:w="93" w:type="dxa"/>
        </w:tblCellMar>
        <w:tblLook w:val="0000"/>
      </w:tblPr>
      <w:tblGrid>
        <w:gridCol w:w="709"/>
        <w:gridCol w:w="1418"/>
        <w:gridCol w:w="992"/>
        <w:gridCol w:w="567"/>
        <w:gridCol w:w="709"/>
        <w:gridCol w:w="708"/>
        <w:gridCol w:w="709"/>
        <w:gridCol w:w="992"/>
        <w:gridCol w:w="993"/>
        <w:gridCol w:w="1134"/>
        <w:gridCol w:w="850"/>
      </w:tblGrid>
      <w:tr w:rsidR="00BC2E39" w:rsidRPr="001B21A3" w:rsidTr="00E329DE">
        <w:trPr>
          <w:trHeight w:val="504"/>
        </w:trPr>
        <w:tc>
          <w:tcPr>
            <w:tcW w:w="709" w:type="dxa"/>
            <w:tcBorders>
              <w:top w:val="single" w:sz="12" w:space="0" w:color="000000"/>
              <w:left w:val="single" w:sz="12" w:space="0" w:color="000000"/>
              <w:bottom w:val="single" w:sz="12" w:space="0" w:color="000000"/>
              <w:right w:val="nil"/>
            </w:tcBorders>
            <w:shd w:val="clear" w:color="000000" w:fill="FFFFFF"/>
            <w:vAlign w:val="bottom"/>
          </w:tcPr>
          <w:p w:rsidR="00BC2E39" w:rsidRPr="001B21A3" w:rsidRDefault="00BC2E39"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2977" w:type="dxa"/>
            <w:gridSpan w:val="3"/>
            <w:tcBorders>
              <w:top w:val="single" w:sz="12" w:space="0" w:color="000000"/>
              <w:left w:val="nil"/>
              <w:bottom w:val="single" w:sz="12" w:space="0" w:color="000000"/>
              <w:right w:val="single" w:sz="2" w:space="0" w:color="000000"/>
            </w:tcBorders>
            <w:shd w:val="clear" w:color="000000" w:fill="FFFFFF"/>
            <w:vAlign w:val="bottom"/>
          </w:tcPr>
          <w:p w:rsidR="00BC2E39" w:rsidRPr="001B21A3" w:rsidRDefault="00BC2E39"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p w:rsidR="00BC2E39" w:rsidRPr="001B21A3" w:rsidRDefault="00BC2E39"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Levene's Test for Equality of Variances</w:t>
            </w:r>
          </w:p>
        </w:tc>
        <w:tc>
          <w:tcPr>
            <w:tcW w:w="6095" w:type="dxa"/>
            <w:gridSpan w:val="7"/>
            <w:tcBorders>
              <w:top w:val="single" w:sz="12" w:space="0" w:color="000000"/>
              <w:left w:val="single" w:sz="2" w:space="0" w:color="000000"/>
              <w:bottom w:val="single" w:sz="2" w:space="0" w:color="000000"/>
              <w:right w:val="single" w:sz="12" w:space="0" w:color="000000"/>
            </w:tcBorders>
            <w:shd w:val="clear" w:color="000000" w:fill="FFFFFF"/>
            <w:vAlign w:val="bottom"/>
          </w:tcPr>
          <w:p w:rsidR="00BC2E39" w:rsidRPr="001B21A3" w:rsidRDefault="00BC2E39"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t-test for Equality of Means</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992"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F</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Sig.</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t</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df</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Sig. (2-tailed)</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Mean Difference</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Std. Error Difference</w:t>
            </w:r>
          </w:p>
        </w:tc>
        <w:tc>
          <w:tcPr>
            <w:tcW w:w="1984"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95% Confidence Interval of the Difference</w:t>
            </w:r>
          </w:p>
        </w:tc>
      </w:tr>
      <w:tr w:rsidR="001B21A3" w:rsidRPr="001B21A3" w:rsidTr="00BC2E39">
        <w:trPr>
          <w:trHeight w:val="226"/>
        </w:trPr>
        <w:tc>
          <w:tcPr>
            <w:tcW w:w="709" w:type="dxa"/>
            <w:tcBorders>
              <w:top w:val="nil"/>
              <w:left w:val="single" w:sz="12" w:space="0" w:color="000000"/>
              <w:bottom w:val="single" w:sz="12" w:space="0" w:color="000000"/>
              <w:right w:val="nil"/>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single" w:sz="12" w:space="0" w:color="000000"/>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9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56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70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99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993"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p>
        </w:tc>
        <w:tc>
          <w:tcPr>
            <w:tcW w:w="11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Lower</w:t>
            </w:r>
          </w:p>
        </w:tc>
        <w:tc>
          <w:tcPr>
            <w:tcW w:w="85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1B21A3" w:rsidRPr="001B21A3" w:rsidRDefault="001B21A3" w:rsidP="001B21A3">
            <w:pPr>
              <w:autoSpaceDE w:val="0"/>
              <w:autoSpaceDN w:val="0"/>
              <w:adjustRightInd w:val="0"/>
              <w:spacing w:before="0" w:line="240" w:lineRule="auto"/>
              <w:ind w:firstLine="0"/>
              <w:jc w:val="center"/>
              <w:rPr>
                <w:rFonts w:ascii="$F$" w:hAnsi="$F$" w:cs="$F$"/>
                <w:color w:val="000000"/>
                <w:sz w:val="16"/>
                <w:szCs w:val="16"/>
              </w:rPr>
            </w:pPr>
            <w:r w:rsidRPr="001B21A3">
              <w:rPr>
                <w:rFonts w:ascii="$F$" w:hAnsi="$F$" w:cs="$F$"/>
                <w:color w:val="000000"/>
                <w:sz w:val="16"/>
                <w:szCs w:val="16"/>
              </w:rPr>
              <w:t>Upper</w:t>
            </w:r>
          </w:p>
        </w:tc>
      </w:tr>
      <w:tr w:rsidR="001B21A3" w:rsidRPr="001B21A3" w:rsidTr="00BC2E39">
        <w:trPr>
          <w:trHeight w:val="504"/>
        </w:trPr>
        <w:tc>
          <w:tcPr>
            <w:tcW w:w="709" w:type="dxa"/>
            <w:tcBorders>
              <w:top w:val="single" w:sz="12" w:space="0" w:color="000000"/>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AR(-5)</w:t>
            </w:r>
          </w:p>
        </w:tc>
        <w:tc>
          <w:tcPr>
            <w:tcW w:w="1418" w:type="dxa"/>
            <w:tcBorders>
              <w:top w:val="single" w:sz="12" w:space="0" w:color="000000"/>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single" w:sz="12" w:space="0" w:color="000000"/>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1,004</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,320</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2,409</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,019</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,011717</w:t>
            </w:r>
          </w:p>
        </w:tc>
        <w:tc>
          <w:tcPr>
            <w:tcW w:w="993"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,004864</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,002001</w:t>
            </w:r>
          </w:p>
        </w:tc>
        <w:tc>
          <w:tcPr>
            <w:tcW w:w="850" w:type="dxa"/>
            <w:tcBorders>
              <w:top w:val="single" w:sz="12" w:space="0" w:color="000000"/>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,021434</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2,243</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41,184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,030</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,011717</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,005224</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,001168</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,022266</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AR(-4)</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,540</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,465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-1,972</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,053</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-,008375</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,004246</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-,016858</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,000108</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-1,871</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44,225</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,068</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-,008375</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,004476</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-,017395</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,000645</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AR(-3)</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,295</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,589</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-,575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,567</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-,002108</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,003667</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-,009434</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,005218</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-,580</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55,259</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,564</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-,002108</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,003632</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-,009386</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,005171</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AR(-2)</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,284</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,596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-,931</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,356</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-,002890</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,003106</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-,009096</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,003315</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-,911</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49,639</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,367</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-,002890</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,003174</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-,009267</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,003486</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AR(-1)</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5,468</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,023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-,237</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,814</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-,000935</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,003951</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-,008828</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,006959</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-,221</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41,973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,826</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-,000935</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,004223</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-,009457</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,007588</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AR(0)</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4,212</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,044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-,189</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,851</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-,001438</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,007621</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-,016664</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,013787</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-,167</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33,893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,869</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-,001438</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,008632</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-,018984</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,016107</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AR(1)</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,191</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-,735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,465</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-,004263</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,005798</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-,015846</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,007319</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-,802</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63,991</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,426</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-,004263</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,005316</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-,014884</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,006357</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AR(2)</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,226</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,636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-1,135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,261</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-,006312</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,005562</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-,017422</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,004799</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-1,134</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53,443</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,262</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-,006312</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,005565</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-,017472</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,004849</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AR(3)</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,958</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-1,475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,145</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-,008373</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,005678</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-,019716</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,002969</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-1,553</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61,684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,126</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-,008373</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,005391</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-,019151</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,002405</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AR(4)</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,316</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,576</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-,063</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,950</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-,000250</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,003957</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-,008155</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,007655</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-,065</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57,364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,949</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-,000250</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,003871</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-,008001</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,007501</w:t>
            </w:r>
          </w:p>
        </w:tc>
      </w:tr>
      <w:tr w:rsidR="001B21A3" w:rsidRPr="001B21A3" w:rsidTr="00BC2E39">
        <w:trPr>
          <w:trHeight w:val="504"/>
        </w:trPr>
        <w:tc>
          <w:tcPr>
            <w:tcW w:w="709" w:type="dxa"/>
            <w:tcBorders>
              <w:top w:val="nil"/>
              <w:left w:val="single" w:sz="12" w:space="0" w:color="000000"/>
              <w:bottom w:val="nil"/>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AR(5)</w:t>
            </w:r>
          </w:p>
        </w:tc>
        <w:tc>
          <w:tcPr>
            <w:tcW w:w="1418" w:type="dxa"/>
            <w:tcBorders>
              <w:top w:val="nil"/>
              <w:left w:val="nil"/>
              <w:bottom w:val="nil"/>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6,390</w:t>
            </w:r>
          </w:p>
        </w:tc>
        <w:tc>
          <w:tcPr>
            <w:tcW w:w="567"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-,473</w:t>
            </w:r>
          </w:p>
        </w:tc>
        <w:tc>
          <w:tcPr>
            <w:tcW w:w="708"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64</w:t>
            </w:r>
          </w:p>
        </w:tc>
        <w:tc>
          <w:tcPr>
            <w:tcW w:w="709"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,637</w:t>
            </w:r>
          </w:p>
        </w:tc>
        <w:tc>
          <w:tcPr>
            <w:tcW w:w="992"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-,002331</w:t>
            </w:r>
          </w:p>
        </w:tc>
        <w:tc>
          <w:tcPr>
            <w:tcW w:w="993"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,004922</w:t>
            </w:r>
          </w:p>
        </w:tc>
        <w:tc>
          <w:tcPr>
            <w:tcW w:w="1134" w:type="dxa"/>
            <w:tcBorders>
              <w:top w:val="nil"/>
              <w:left w:val="single" w:sz="2" w:space="0" w:color="000000"/>
              <w:bottom w:val="nil"/>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-,012165</w:t>
            </w:r>
          </w:p>
        </w:tc>
        <w:tc>
          <w:tcPr>
            <w:tcW w:w="850" w:type="dxa"/>
            <w:tcBorders>
              <w:top w:val="nil"/>
              <w:left w:val="single" w:sz="2" w:space="0" w:color="000000"/>
              <w:bottom w:val="nil"/>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,007503</w:t>
            </w:r>
          </w:p>
        </w:tc>
      </w:tr>
      <w:tr w:rsidR="001B21A3" w:rsidRPr="001B21A3" w:rsidTr="00BC2E39">
        <w:trPr>
          <w:trHeight w:val="504"/>
        </w:trPr>
        <w:tc>
          <w:tcPr>
            <w:tcW w:w="709" w:type="dxa"/>
            <w:tcBorders>
              <w:top w:val="nil"/>
              <w:left w:val="single" w:sz="12" w:space="0" w:color="000000"/>
              <w:bottom w:val="single" w:sz="12" w:space="0" w:color="000000"/>
              <w:right w:val="nil"/>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 xml:space="preserve"> </w:t>
            </w:r>
          </w:p>
        </w:tc>
        <w:tc>
          <w:tcPr>
            <w:tcW w:w="1418" w:type="dxa"/>
            <w:tcBorders>
              <w:top w:val="nil"/>
              <w:left w:val="nil"/>
              <w:bottom w:val="single" w:sz="12" w:space="0" w:color="000000"/>
              <w:right w:val="single" w:sz="12" w:space="0" w:color="000000"/>
            </w:tcBorders>
            <w:shd w:val="clear" w:color="000000" w:fill="FFFFFF"/>
          </w:tcPr>
          <w:p w:rsidR="001B21A3" w:rsidRPr="001B21A3" w:rsidRDefault="001B21A3" w:rsidP="001B21A3">
            <w:pPr>
              <w:autoSpaceDE w:val="0"/>
              <w:autoSpaceDN w:val="0"/>
              <w:adjustRightInd w:val="0"/>
              <w:spacing w:before="0" w:line="240" w:lineRule="auto"/>
              <w:ind w:firstLine="0"/>
              <w:jc w:val="left"/>
              <w:rPr>
                <w:rFonts w:ascii="$F$" w:hAnsi="$F$" w:cs="$F$"/>
                <w:color w:val="000000"/>
                <w:sz w:val="16"/>
                <w:szCs w:val="16"/>
              </w:rPr>
            </w:pPr>
            <w:r w:rsidRPr="001B21A3">
              <w:rPr>
                <w:rFonts w:ascii="$F$" w:hAnsi="$F$" w:cs="$F$"/>
                <w:color w:val="000000"/>
                <w:sz w:val="16"/>
                <w:szCs w:val="16"/>
              </w:rPr>
              <w:t>Equal variances not assumed</w:t>
            </w:r>
          </w:p>
        </w:tc>
        <w:tc>
          <w:tcPr>
            <w:tcW w:w="992" w:type="dxa"/>
            <w:tcBorders>
              <w:top w:val="nil"/>
              <w:left w:val="single" w:sz="1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567"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 xml:space="preserve"> </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-,433</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38,467</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,668</w:t>
            </w:r>
          </w:p>
        </w:tc>
        <w:tc>
          <w:tcPr>
            <w:tcW w:w="992"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-,002331</w:t>
            </w:r>
          </w:p>
        </w:tc>
        <w:tc>
          <w:tcPr>
            <w:tcW w:w="993"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,005385</w:t>
            </w:r>
          </w:p>
        </w:tc>
        <w:tc>
          <w:tcPr>
            <w:tcW w:w="1134" w:type="dxa"/>
            <w:tcBorders>
              <w:top w:val="nil"/>
              <w:left w:val="single" w:sz="2" w:space="0" w:color="000000"/>
              <w:bottom w:val="single" w:sz="12" w:space="0" w:color="000000"/>
              <w:right w:val="single" w:sz="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-,013227</w:t>
            </w:r>
          </w:p>
        </w:tc>
        <w:tc>
          <w:tcPr>
            <w:tcW w:w="850" w:type="dxa"/>
            <w:tcBorders>
              <w:top w:val="nil"/>
              <w:left w:val="single" w:sz="2" w:space="0" w:color="000000"/>
              <w:bottom w:val="single" w:sz="12" w:space="0" w:color="000000"/>
              <w:right w:val="single" w:sz="12" w:space="0" w:color="000000"/>
            </w:tcBorders>
            <w:shd w:val="clear" w:color="000000" w:fill="FFFFFF"/>
            <w:vAlign w:val="center"/>
          </w:tcPr>
          <w:p w:rsidR="001B21A3" w:rsidRPr="001B21A3" w:rsidRDefault="001B21A3" w:rsidP="001B21A3">
            <w:pPr>
              <w:autoSpaceDE w:val="0"/>
              <w:autoSpaceDN w:val="0"/>
              <w:adjustRightInd w:val="0"/>
              <w:spacing w:before="0" w:line="240" w:lineRule="auto"/>
              <w:ind w:firstLine="0"/>
              <w:jc w:val="right"/>
              <w:rPr>
                <w:rFonts w:ascii="$F$" w:hAnsi="$F$" w:cs="$F$"/>
                <w:color w:val="000000"/>
                <w:sz w:val="16"/>
                <w:szCs w:val="16"/>
              </w:rPr>
            </w:pPr>
            <w:r w:rsidRPr="001B21A3">
              <w:rPr>
                <w:rFonts w:ascii="$F$" w:hAnsi="$F$" w:cs="$F$"/>
                <w:color w:val="000000"/>
                <w:sz w:val="16"/>
                <w:szCs w:val="16"/>
              </w:rPr>
              <w:t>,008565</w:t>
            </w:r>
          </w:p>
        </w:tc>
      </w:tr>
    </w:tbl>
    <w:p w:rsidR="001B21A3" w:rsidRPr="001B21A3" w:rsidRDefault="001B21A3" w:rsidP="001B21A3">
      <w:pPr>
        <w:autoSpaceDE w:val="0"/>
        <w:autoSpaceDN w:val="0"/>
        <w:adjustRightInd w:val="0"/>
        <w:spacing w:before="0" w:line="240" w:lineRule="auto"/>
        <w:ind w:firstLine="0"/>
        <w:jc w:val="left"/>
        <w:rPr>
          <w:rFonts w:ascii="$F$" w:hAnsi="$F$" w:cs="$F$"/>
          <w:color w:val="000000"/>
          <w:sz w:val="18"/>
          <w:szCs w:val="18"/>
        </w:rPr>
      </w:pPr>
    </w:p>
    <w:p w:rsidR="001B21A3" w:rsidRDefault="001B21A3" w:rsidP="001B21A3">
      <w:pPr>
        <w:ind w:firstLine="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BC2E39" w:rsidTr="00754F54">
        <w:tc>
          <w:tcPr>
            <w:tcW w:w="10137" w:type="dxa"/>
          </w:tcPr>
          <w:p w:rsidR="00BC2E39" w:rsidRDefault="00754F54" w:rsidP="00754F54">
            <w:pPr>
              <w:pStyle w:val="Priedai"/>
              <w:ind w:firstLine="8287"/>
              <w:jc w:val="center"/>
            </w:pPr>
            <w:r>
              <w:t xml:space="preserve"> </w:t>
            </w:r>
            <w:bookmarkStart w:id="144" w:name="_Toc343677780"/>
            <w:r>
              <w:t>Levene‘o testas nepriklausomoms imtims DY pokyčio atveju</w:t>
            </w:r>
            <w:bookmarkEnd w:id="144"/>
          </w:p>
        </w:tc>
      </w:tr>
    </w:tbl>
    <w:p w:rsidR="00BC2E39" w:rsidRPr="00BC2E39" w:rsidRDefault="00BC2E39" w:rsidP="00BC2E39">
      <w:pPr>
        <w:tabs>
          <w:tab w:val="center" w:pos="6465"/>
        </w:tabs>
        <w:autoSpaceDE w:val="0"/>
        <w:autoSpaceDN w:val="0"/>
        <w:adjustRightInd w:val="0"/>
        <w:spacing w:before="0" w:line="240" w:lineRule="auto"/>
        <w:ind w:firstLine="0"/>
        <w:jc w:val="center"/>
        <w:rPr>
          <w:rFonts w:ascii="$F$" w:hAnsi="$F$" w:cs="$F$"/>
          <w:b/>
          <w:bCs/>
          <w:color w:val="000000"/>
          <w:sz w:val="18"/>
          <w:szCs w:val="18"/>
        </w:rPr>
      </w:pPr>
      <w:r w:rsidRPr="00BC2E39">
        <w:rPr>
          <w:rFonts w:ascii="$F$" w:hAnsi="$F$" w:cs="$F$"/>
          <w:b/>
          <w:bCs/>
          <w:color w:val="000000"/>
          <w:sz w:val="18"/>
          <w:szCs w:val="18"/>
        </w:rPr>
        <w:t>Independent Samples Test</w:t>
      </w:r>
    </w:p>
    <w:p w:rsidR="00BC2E39" w:rsidRPr="00BC2E39" w:rsidRDefault="00BC2E39" w:rsidP="00BC2E39">
      <w:pPr>
        <w:tabs>
          <w:tab w:val="center" w:pos="6465"/>
        </w:tabs>
        <w:autoSpaceDE w:val="0"/>
        <w:autoSpaceDN w:val="0"/>
        <w:adjustRightInd w:val="0"/>
        <w:spacing w:before="0" w:line="240" w:lineRule="auto"/>
        <w:ind w:firstLine="0"/>
        <w:jc w:val="left"/>
        <w:rPr>
          <w:rFonts w:ascii="$F$" w:hAnsi="$F$" w:cs="$F$"/>
          <w:b/>
          <w:bCs/>
          <w:color w:val="000000"/>
          <w:sz w:val="18"/>
          <w:szCs w:val="18"/>
        </w:rPr>
      </w:pPr>
    </w:p>
    <w:tbl>
      <w:tblPr>
        <w:tblW w:w="9781" w:type="dxa"/>
        <w:tblInd w:w="93" w:type="dxa"/>
        <w:tblLayout w:type="fixed"/>
        <w:tblCellMar>
          <w:left w:w="93" w:type="dxa"/>
          <w:right w:w="93" w:type="dxa"/>
        </w:tblCellMar>
        <w:tblLook w:val="0000"/>
      </w:tblPr>
      <w:tblGrid>
        <w:gridCol w:w="792"/>
        <w:gridCol w:w="1335"/>
        <w:gridCol w:w="992"/>
        <w:gridCol w:w="567"/>
        <w:gridCol w:w="709"/>
        <w:gridCol w:w="708"/>
        <w:gridCol w:w="709"/>
        <w:gridCol w:w="992"/>
        <w:gridCol w:w="993"/>
        <w:gridCol w:w="1134"/>
        <w:gridCol w:w="850"/>
      </w:tblGrid>
      <w:tr w:rsidR="00BC2E39" w:rsidRPr="00BC2E39" w:rsidTr="00BC2E39">
        <w:trPr>
          <w:trHeight w:val="279"/>
        </w:trPr>
        <w:tc>
          <w:tcPr>
            <w:tcW w:w="3686" w:type="dxa"/>
            <w:gridSpan w:val="4"/>
            <w:tcBorders>
              <w:top w:val="single" w:sz="12" w:space="0" w:color="000000"/>
              <w:left w:val="single" w:sz="1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Levene's Test for Equality of Variances</w:t>
            </w:r>
          </w:p>
        </w:tc>
        <w:tc>
          <w:tcPr>
            <w:tcW w:w="6095" w:type="dxa"/>
            <w:gridSpan w:val="7"/>
            <w:tcBorders>
              <w:top w:val="single" w:sz="12" w:space="0" w:color="000000"/>
              <w:left w:val="single" w:sz="2" w:space="0" w:color="000000"/>
              <w:bottom w:val="single" w:sz="2" w:space="0" w:color="000000"/>
              <w:right w:val="single" w:sz="1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t-test for Equality of Means</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992"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F</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Sig.</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t</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df</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Sig. (2-tailed)</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Mean Difference</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Std. Error Difference</w:t>
            </w:r>
          </w:p>
        </w:tc>
        <w:tc>
          <w:tcPr>
            <w:tcW w:w="1984"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95% Confidence Interval of the Difference</w:t>
            </w:r>
          </w:p>
        </w:tc>
      </w:tr>
      <w:tr w:rsidR="00BC2E39" w:rsidRPr="00BC2E39" w:rsidTr="00BC2E39">
        <w:trPr>
          <w:trHeight w:val="217"/>
        </w:trPr>
        <w:tc>
          <w:tcPr>
            <w:tcW w:w="792" w:type="dxa"/>
            <w:tcBorders>
              <w:top w:val="nil"/>
              <w:left w:val="single" w:sz="12" w:space="0" w:color="000000"/>
              <w:bottom w:val="single" w:sz="12" w:space="0" w:color="000000"/>
              <w:right w:val="nil"/>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single" w:sz="12" w:space="0" w:color="000000"/>
              <w:right w:val="single" w:sz="1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9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56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70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70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99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993"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p>
        </w:tc>
        <w:tc>
          <w:tcPr>
            <w:tcW w:w="11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Lower</w:t>
            </w:r>
          </w:p>
        </w:tc>
        <w:tc>
          <w:tcPr>
            <w:tcW w:w="85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BC2E39" w:rsidRPr="00BC2E39" w:rsidRDefault="00BC2E39" w:rsidP="00BC2E39">
            <w:pPr>
              <w:autoSpaceDE w:val="0"/>
              <w:autoSpaceDN w:val="0"/>
              <w:adjustRightInd w:val="0"/>
              <w:spacing w:before="0" w:line="240" w:lineRule="auto"/>
              <w:ind w:firstLine="0"/>
              <w:jc w:val="center"/>
              <w:rPr>
                <w:rFonts w:ascii="$F$" w:hAnsi="$F$" w:cs="$F$"/>
                <w:color w:val="000000"/>
                <w:sz w:val="16"/>
                <w:szCs w:val="16"/>
              </w:rPr>
            </w:pPr>
            <w:r w:rsidRPr="00BC2E39">
              <w:rPr>
                <w:rFonts w:ascii="$F$" w:hAnsi="$F$" w:cs="$F$"/>
                <w:color w:val="000000"/>
                <w:sz w:val="16"/>
                <w:szCs w:val="16"/>
              </w:rPr>
              <w:t>Upper</w:t>
            </w:r>
          </w:p>
        </w:tc>
      </w:tr>
      <w:tr w:rsidR="00BC2E39" w:rsidRPr="00BC2E39" w:rsidTr="00BC2E39">
        <w:trPr>
          <w:trHeight w:val="504"/>
        </w:trPr>
        <w:tc>
          <w:tcPr>
            <w:tcW w:w="792" w:type="dxa"/>
            <w:tcBorders>
              <w:top w:val="single" w:sz="12" w:space="0" w:color="000000"/>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AR(-5)</w:t>
            </w:r>
          </w:p>
        </w:tc>
        <w:tc>
          <w:tcPr>
            <w:tcW w:w="1335" w:type="dxa"/>
            <w:tcBorders>
              <w:top w:val="single" w:sz="12" w:space="0" w:color="000000"/>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single" w:sz="12" w:space="0" w:color="000000"/>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,369</w:t>
            </w:r>
          </w:p>
        </w:tc>
        <w:tc>
          <w:tcPr>
            <w:tcW w:w="567"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,545</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,368</w:t>
            </w:r>
          </w:p>
        </w:tc>
        <w:tc>
          <w:tcPr>
            <w:tcW w:w="708"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,714</w:t>
            </w:r>
          </w:p>
        </w:tc>
        <w:tc>
          <w:tcPr>
            <w:tcW w:w="992"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,001688</w:t>
            </w:r>
          </w:p>
        </w:tc>
        <w:tc>
          <w:tcPr>
            <w:tcW w:w="993"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,004581</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-,007435</w:t>
            </w:r>
          </w:p>
        </w:tc>
        <w:tc>
          <w:tcPr>
            <w:tcW w:w="850" w:type="dxa"/>
            <w:tcBorders>
              <w:top w:val="single" w:sz="12" w:space="0" w:color="000000"/>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,010810</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,359</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53,990</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,721</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,001688</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,004705</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-,007746</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,011121</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AR(-4)</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1,979</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,164</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-1,666</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,100</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-,006978</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,004189</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-,015319</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,001363</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-1,464</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39,771</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,151</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-,006978</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,004765</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-,016611</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,002655</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AR(-3)</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2,250</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,138</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-,532</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,596</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-,001875</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,003527</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-,008898</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,005148</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-,537</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60,591</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,593</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-,001875</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,003489</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-,008853</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,005102</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AR(-2)</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,761</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,386</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1,733</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,087</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,005292</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,003053</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-,000787</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,011371</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1,596</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45,500</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,117</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,005292</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,003315</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-,001382</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,011966</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AR(-1)</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1,197</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1,064</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,291</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,003747</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,003523</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-,003268</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,010762</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,997</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48,039</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,324</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,003747</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,003757</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-,003807</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,011301</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AR(0)</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3,348</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,071</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-2,661</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,009</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-,017364</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,006526</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-,030358</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-,004370</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-2,884</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72,607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-,017364</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,006020</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-,029364</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-,005365</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AR(1)</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2,189</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,143</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-2,042</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,045</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-,010043</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,004918</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-,019837</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-,000250</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-2,443</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73,626</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,017</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-,010043</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,004111</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-,018235</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-,001852</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AR(2)</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,147</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,703</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-2,145</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,035</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-,013076</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,006097</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-,025216</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-,000936</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-2,022</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48,854</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,049</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-,013076</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,006466</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-,026071</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-,000080</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AR(3)</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2,914</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,092</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,769</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,444</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,003808</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,004950</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-,006050</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,013665</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,656</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36,679</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,516</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,003808</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,005804</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-,007955</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,015570</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AR(4)</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,417</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,520</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-,168</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,867</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-,000686</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,004069</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-,008789</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,007418</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-,159</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49,207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,874</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-,000686</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,004306</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-,009338</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,007967</w:t>
            </w:r>
          </w:p>
        </w:tc>
      </w:tr>
      <w:tr w:rsidR="00BC2E39" w:rsidRPr="00BC2E39" w:rsidTr="00BC2E39">
        <w:trPr>
          <w:trHeight w:val="504"/>
        </w:trPr>
        <w:tc>
          <w:tcPr>
            <w:tcW w:w="792" w:type="dxa"/>
            <w:tcBorders>
              <w:top w:val="nil"/>
              <w:left w:val="single" w:sz="12" w:space="0" w:color="000000"/>
              <w:bottom w:val="nil"/>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AR(5)</w:t>
            </w:r>
          </w:p>
        </w:tc>
        <w:tc>
          <w:tcPr>
            <w:tcW w:w="1335" w:type="dxa"/>
            <w:tcBorders>
              <w:top w:val="nil"/>
              <w:left w:val="nil"/>
              <w:bottom w:val="nil"/>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assumed</w:t>
            </w:r>
          </w:p>
        </w:tc>
        <w:tc>
          <w:tcPr>
            <w:tcW w:w="992" w:type="dxa"/>
            <w:tcBorders>
              <w:top w:val="nil"/>
              <w:left w:val="single" w:sz="1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,407</w:t>
            </w:r>
          </w:p>
        </w:tc>
        <w:tc>
          <w:tcPr>
            <w:tcW w:w="567"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,525</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-,453</w:t>
            </w:r>
          </w:p>
        </w:tc>
        <w:tc>
          <w:tcPr>
            <w:tcW w:w="708"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77</w:t>
            </w:r>
          </w:p>
        </w:tc>
        <w:tc>
          <w:tcPr>
            <w:tcW w:w="709"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,652</w:t>
            </w:r>
          </w:p>
        </w:tc>
        <w:tc>
          <w:tcPr>
            <w:tcW w:w="992"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-,002290</w:t>
            </w:r>
          </w:p>
        </w:tc>
        <w:tc>
          <w:tcPr>
            <w:tcW w:w="993"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,005052</w:t>
            </w:r>
          </w:p>
        </w:tc>
        <w:tc>
          <w:tcPr>
            <w:tcW w:w="1134" w:type="dxa"/>
            <w:tcBorders>
              <w:top w:val="nil"/>
              <w:left w:val="single" w:sz="2" w:space="0" w:color="000000"/>
              <w:bottom w:val="nil"/>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-,012350</w:t>
            </w:r>
          </w:p>
        </w:tc>
        <w:tc>
          <w:tcPr>
            <w:tcW w:w="850" w:type="dxa"/>
            <w:tcBorders>
              <w:top w:val="nil"/>
              <w:left w:val="single" w:sz="2" w:space="0" w:color="000000"/>
              <w:bottom w:val="nil"/>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,007770</w:t>
            </w:r>
          </w:p>
        </w:tc>
      </w:tr>
      <w:tr w:rsidR="00BC2E39" w:rsidRPr="00BC2E39" w:rsidTr="00BC2E39">
        <w:trPr>
          <w:trHeight w:val="504"/>
        </w:trPr>
        <w:tc>
          <w:tcPr>
            <w:tcW w:w="792" w:type="dxa"/>
            <w:tcBorders>
              <w:top w:val="nil"/>
              <w:left w:val="single" w:sz="12" w:space="0" w:color="000000"/>
              <w:bottom w:val="single" w:sz="12" w:space="0" w:color="000000"/>
              <w:right w:val="nil"/>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 xml:space="preserve"> </w:t>
            </w:r>
          </w:p>
        </w:tc>
        <w:tc>
          <w:tcPr>
            <w:tcW w:w="1335" w:type="dxa"/>
            <w:tcBorders>
              <w:top w:val="nil"/>
              <w:left w:val="nil"/>
              <w:bottom w:val="single" w:sz="12" w:space="0" w:color="000000"/>
              <w:right w:val="single" w:sz="12" w:space="0" w:color="000000"/>
            </w:tcBorders>
            <w:shd w:val="clear" w:color="000000" w:fill="FFFFFF"/>
          </w:tcPr>
          <w:p w:rsidR="00BC2E39" w:rsidRPr="00BC2E39" w:rsidRDefault="00BC2E39" w:rsidP="00BC2E39">
            <w:pPr>
              <w:autoSpaceDE w:val="0"/>
              <w:autoSpaceDN w:val="0"/>
              <w:adjustRightInd w:val="0"/>
              <w:spacing w:before="0" w:line="240" w:lineRule="auto"/>
              <w:ind w:firstLine="0"/>
              <w:jc w:val="left"/>
              <w:rPr>
                <w:rFonts w:ascii="$F$" w:hAnsi="$F$" w:cs="$F$"/>
                <w:color w:val="000000"/>
                <w:sz w:val="16"/>
                <w:szCs w:val="16"/>
              </w:rPr>
            </w:pPr>
            <w:r w:rsidRPr="00BC2E39">
              <w:rPr>
                <w:rFonts w:ascii="$F$" w:hAnsi="$F$" w:cs="$F$"/>
                <w:color w:val="000000"/>
                <w:sz w:val="16"/>
                <w:szCs w:val="16"/>
              </w:rPr>
              <w:t>Equal variances not assumed</w:t>
            </w:r>
          </w:p>
        </w:tc>
        <w:tc>
          <w:tcPr>
            <w:tcW w:w="992" w:type="dxa"/>
            <w:tcBorders>
              <w:top w:val="nil"/>
              <w:left w:val="single" w:sz="1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567"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 xml:space="preserve"> </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-,488</w:t>
            </w:r>
          </w:p>
        </w:tc>
        <w:tc>
          <w:tcPr>
            <w:tcW w:w="708"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71,540</w:t>
            </w:r>
          </w:p>
        </w:tc>
        <w:tc>
          <w:tcPr>
            <w:tcW w:w="709"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,627</w:t>
            </w:r>
          </w:p>
        </w:tc>
        <w:tc>
          <w:tcPr>
            <w:tcW w:w="992"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-,002290</w:t>
            </w:r>
          </w:p>
        </w:tc>
        <w:tc>
          <w:tcPr>
            <w:tcW w:w="993"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,004695</w:t>
            </w:r>
          </w:p>
        </w:tc>
        <w:tc>
          <w:tcPr>
            <w:tcW w:w="1134" w:type="dxa"/>
            <w:tcBorders>
              <w:top w:val="nil"/>
              <w:left w:val="single" w:sz="2" w:space="0" w:color="000000"/>
              <w:bottom w:val="single" w:sz="12" w:space="0" w:color="000000"/>
              <w:right w:val="single" w:sz="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-,011650</w:t>
            </w:r>
          </w:p>
        </w:tc>
        <w:tc>
          <w:tcPr>
            <w:tcW w:w="850" w:type="dxa"/>
            <w:tcBorders>
              <w:top w:val="nil"/>
              <w:left w:val="single" w:sz="2" w:space="0" w:color="000000"/>
              <w:bottom w:val="single" w:sz="12" w:space="0" w:color="000000"/>
              <w:right w:val="single" w:sz="12" w:space="0" w:color="000000"/>
            </w:tcBorders>
            <w:shd w:val="clear" w:color="000000" w:fill="FFFFFF"/>
            <w:vAlign w:val="center"/>
          </w:tcPr>
          <w:p w:rsidR="00BC2E39" w:rsidRPr="00BC2E39" w:rsidRDefault="00BC2E39" w:rsidP="00BC2E39">
            <w:pPr>
              <w:autoSpaceDE w:val="0"/>
              <w:autoSpaceDN w:val="0"/>
              <w:adjustRightInd w:val="0"/>
              <w:spacing w:before="0" w:line="240" w:lineRule="auto"/>
              <w:ind w:firstLine="0"/>
              <w:jc w:val="right"/>
              <w:rPr>
                <w:rFonts w:ascii="$F$" w:hAnsi="$F$" w:cs="$F$"/>
                <w:color w:val="000000"/>
                <w:sz w:val="16"/>
                <w:szCs w:val="16"/>
              </w:rPr>
            </w:pPr>
            <w:r w:rsidRPr="00BC2E39">
              <w:rPr>
                <w:rFonts w:ascii="$F$" w:hAnsi="$F$" w:cs="$F$"/>
                <w:color w:val="000000"/>
                <w:sz w:val="16"/>
                <w:szCs w:val="16"/>
              </w:rPr>
              <w:t>,007069</w:t>
            </w:r>
          </w:p>
        </w:tc>
      </w:tr>
    </w:tbl>
    <w:p w:rsidR="00BC2E39" w:rsidRPr="00BC2E39" w:rsidRDefault="00BC2E39" w:rsidP="00BC2E39">
      <w:pPr>
        <w:autoSpaceDE w:val="0"/>
        <w:autoSpaceDN w:val="0"/>
        <w:adjustRightInd w:val="0"/>
        <w:spacing w:before="0" w:line="240" w:lineRule="auto"/>
        <w:ind w:firstLine="0"/>
        <w:jc w:val="left"/>
        <w:rPr>
          <w:rFonts w:ascii="$F$" w:hAnsi="$F$" w:cs="$F$"/>
          <w:color w:val="000000"/>
          <w:sz w:val="18"/>
          <w:szCs w:val="18"/>
        </w:rPr>
      </w:pPr>
    </w:p>
    <w:p w:rsidR="00BC2E39" w:rsidRDefault="00BC2E39">
      <w:pPr>
        <w:rPr>
          <w:b/>
        </w:rPr>
      </w:pPr>
    </w:p>
    <w:tbl>
      <w:tblPr>
        <w:tblW w:w="0" w:type="auto"/>
        <w:tblInd w:w="360" w:type="dxa"/>
        <w:tblBorders>
          <w:bottom w:val="single" w:sz="4" w:space="0" w:color="auto"/>
        </w:tblBorders>
        <w:tblLook w:val="04A0"/>
      </w:tblPr>
      <w:tblGrid>
        <w:gridCol w:w="906"/>
        <w:gridCol w:w="328"/>
        <w:gridCol w:w="985"/>
        <w:gridCol w:w="877"/>
        <w:gridCol w:w="1006"/>
        <w:gridCol w:w="921"/>
        <w:gridCol w:w="907"/>
        <w:gridCol w:w="1063"/>
        <w:gridCol w:w="839"/>
        <w:gridCol w:w="1161"/>
        <w:gridCol w:w="784"/>
      </w:tblGrid>
      <w:tr w:rsidR="006C013D" w:rsidTr="00E10F7A">
        <w:tc>
          <w:tcPr>
            <w:tcW w:w="9777" w:type="dxa"/>
            <w:gridSpan w:val="11"/>
            <w:tcBorders>
              <w:bottom w:val="nil"/>
            </w:tcBorders>
          </w:tcPr>
          <w:p w:rsidR="006C013D" w:rsidRPr="006C013D" w:rsidRDefault="00BC2E39" w:rsidP="00663A16">
            <w:pPr>
              <w:pStyle w:val="Priedai"/>
              <w:ind w:left="0" w:firstLine="8287"/>
              <w:jc w:val="center"/>
            </w:pPr>
            <w:r>
              <w:rPr>
                <w:b w:val="0"/>
              </w:rPr>
              <w:br w:type="page"/>
            </w:r>
            <w:r w:rsidR="006C013D">
              <w:t xml:space="preserve"> </w:t>
            </w:r>
            <w:bookmarkStart w:id="145" w:name="_Ref343531277"/>
            <w:bookmarkStart w:id="146" w:name="_Toc343677781"/>
            <w:r w:rsidR="006C013D">
              <w:t xml:space="preserve">Dividendų rodikliai, vidutinės akcijų kainos </w:t>
            </w:r>
            <w:bookmarkEnd w:id="145"/>
            <w:r w:rsidR="00663A16">
              <w:t>dividendų paskelbimo dienomis</w:t>
            </w:r>
            <w:bookmarkEnd w:id="146"/>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i</w:t>
            </w:r>
          </w:p>
        </w:tc>
        <w:tc>
          <w:tcPr>
            <w:tcW w:w="328"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w:t>
            </w:r>
          </w:p>
        </w:tc>
        <w:tc>
          <w:tcPr>
            <w:tcW w:w="985"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DPS(t+1)</w:t>
            </w:r>
          </w:p>
        </w:tc>
        <w:tc>
          <w:tcPr>
            <w:tcW w:w="877"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 xml:space="preserve">∆DPS </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∆DPS(</w:t>
            </w:r>
            <w:r w:rsidRPr="00E10F7A">
              <w:rPr>
                <w:rFonts w:eastAsia="Times New Roman" w:cs="Times New Roman"/>
                <w:color w:val="000000"/>
                <w:sz w:val="20"/>
                <w:szCs w:val="20"/>
                <w:lang w:val="en-US" w:eastAsia="lt-LT"/>
              </w:rPr>
              <w:t>%)</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left"/>
              <w:rPr>
                <w:rFonts w:eastAsia="Times New Roman" w:cs="Times New Roman"/>
                <w:sz w:val="20"/>
                <w:szCs w:val="20"/>
                <w:lang w:eastAsia="lt-LT"/>
              </w:rPr>
            </w:pPr>
            <w:r w:rsidRPr="00E10F7A">
              <w:rPr>
                <w:rFonts w:eastAsia="Times New Roman" w:cs="Times New Roman"/>
                <w:sz w:val="20"/>
                <w:szCs w:val="20"/>
                <w:lang w:eastAsia="lt-LT"/>
              </w:rPr>
              <w:t>InfoDPS</w:t>
            </w:r>
          </w:p>
        </w:tc>
        <w:tc>
          <w:tcPr>
            <w:tcW w:w="907"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DY(t+1)</w:t>
            </w:r>
          </w:p>
        </w:tc>
        <w:tc>
          <w:tcPr>
            <w:tcW w:w="1063" w:type="dxa"/>
            <w:shd w:val="clear" w:color="000000" w:fill="FFFFFF"/>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∆DY(%)</w:t>
            </w:r>
          </w:p>
        </w:tc>
        <w:tc>
          <w:tcPr>
            <w:tcW w:w="839" w:type="dxa"/>
            <w:shd w:val="pct5" w:color="auto" w:fill="auto"/>
            <w:vAlign w:val="bottom"/>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InfoDY</w:t>
            </w:r>
          </w:p>
        </w:tc>
        <w:tc>
          <w:tcPr>
            <w:tcW w:w="1161"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AVG_Price</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HAE1T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0,130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0,473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2,786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HAE1T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0,075</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0,611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0,798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HAE1T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-0,737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2,525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HAE1T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3,268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HAE1T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0,440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2,647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MRK1T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0,220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0,220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2,631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MRK1T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0,480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0,69</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8,075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MRK1T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-6,00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-0,849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7,616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MRK1T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6,179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SFG1T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1,502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SFG1T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-0,531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3,199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SFG1T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3,861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3,291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TKM1T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0,130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0,54</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1,886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6,504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TKM1T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-3,33</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-0,195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1,864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TKM1T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-0,497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4,940</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TKM1T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0,280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0,240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0,86</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4,274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6,557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TKM1T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0,452</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5,646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TVEAT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0,638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12,650</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TVEAT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0,730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0,285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8,986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TVEAT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1,600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0,870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0,54</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0,817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10,840</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TVEAT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-0,377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8,693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TVEAT</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0,840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7,608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SAF1R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0,327</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0,819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SAF1R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-0,818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4,493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SAF1R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0,619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2,775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SAF1R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-0,185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-1,30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-0,455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2,213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GZE1R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0,711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0,285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0,428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9,994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GZE1R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0,541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-0,171</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0,267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5,996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GZE1R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0,569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7,944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GZE1R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0,711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9,205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GZE1R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0,854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0,272</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8,685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2,258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0,043</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-2,33</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0,019</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-0,693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2,204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0,057</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1,673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1,924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2,432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-0,309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2,514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OLF1R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3,212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OLF1R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0,088</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0,59</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0,887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4,194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lastRenderedPageBreak/>
              <w:t>VSS1R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0,011</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1,145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VSS1R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2,884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0,995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2,936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1,992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2,049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0,128</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0,198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1,924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SCM1R</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2,352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APG1L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1,655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2,751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APG1L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-0,046</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0,498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APG1L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1,145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APG1L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1,905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APG1L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0,32</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0,523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1,853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CTS1L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3,113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CTS1L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-0,018</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1,227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0,892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CTS1L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0,025</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-0,007</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0,009</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-0,737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2,612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CTS1L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0,048</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0,66</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0,025</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1,695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2,853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CTS1L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0,455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1,804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GRG1L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0,699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GRG1L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0,100</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GRG1L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0,015</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0,378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GRG1L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-0,554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0,846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GRG1L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0,474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0,574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LDJ1L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0,39</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0,948</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0,872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LDJ1L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-0,003</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1,485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0,317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LDJ1L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0,36</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0,069</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-0,219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0,637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LDJ1L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0,389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0,772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LDJ1L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-0,68</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0,614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KNF1L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0,001</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3,537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0,278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KNF1L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1,091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0,266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KNF1L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0,341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KNF1L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-0,014</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0,478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KNF1L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0,049</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0,125</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0,391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LES1L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-0,021</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-0,74</w:t>
            </w:r>
          </w:p>
        </w:tc>
        <w:tc>
          <w:tcPr>
            <w:tcW w:w="921" w:type="dxa"/>
            <w:shd w:val="pct5" w:color="000000" w:fill="FFFFFF" w:themeFill="background1"/>
            <w:noWrap/>
            <w:vAlign w:val="bottom"/>
            <w:hideMark/>
          </w:tcPr>
          <w:p w:rsidR="00E10F7A" w:rsidRPr="001D31F3" w:rsidRDefault="00E10F7A" w:rsidP="00E10F7A">
            <w:pPr>
              <w:spacing w:before="0" w:line="240" w:lineRule="auto"/>
              <w:ind w:firstLine="0"/>
              <w:jc w:val="right"/>
              <w:rPr>
                <w:rFonts w:eastAsia="Times New Roman" w:cs="Times New Roman"/>
                <w:sz w:val="20"/>
                <w:szCs w:val="20"/>
                <w:lang w:eastAsia="lt-LT"/>
              </w:rPr>
            </w:pPr>
            <w:r w:rsidRPr="001D31F3">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-0,599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0,904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LES1L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0,053</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0,137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3,277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0,598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PTR1L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0,017</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0,022</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1,111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3,026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PTR1L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0,033</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-0,034</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-1,06</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2,030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0,486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PTR1L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-0,759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1,252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PTR1L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-0,306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1,803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PTR1L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-0,020</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1,209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PZV1L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0,065</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0,007</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0,167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1,479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PZV1L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0,033</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-0,032</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-0,99</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0,361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0,545</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PZV1L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0,034</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0,127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0,993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PZV1L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0,073</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0,52</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0,346</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1,543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PZV1L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0,145</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0,085</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1,706</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lastRenderedPageBreak/>
              <w:t>RSU1L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-0,610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-8,71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0,143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1,534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RSU1L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0,519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RSU1L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0,029</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0,028</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1,021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RSU1L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-0,423</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1,771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RSU1L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0</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0,021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0,295</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1,367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TEO1L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-0,003</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0,109</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0,167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0,661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TEO1L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0,067</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0,847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0,333</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TEO1L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0,061</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0,091</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-0,545</w:t>
            </w:r>
          </w:p>
        </w:tc>
        <w:tc>
          <w:tcPr>
            <w:tcW w:w="839" w:type="dxa"/>
            <w:shd w:val="pct5" w:color="auto" w:fill="auto"/>
            <w:vAlign w:val="bottom"/>
          </w:tcPr>
          <w:p w:rsidR="00E10F7A" w:rsidRPr="001D31F3" w:rsidRDefault="00E10F7A" w:rsidP="00E10F7A">
            <w:pPr>
              <w:spacing w:before="0" w:line="240" w:lineRule="auto"/>
              <w:ind w:firstLine="0"/>
              <w:jc w:val="right"/>
              <w:rPr>
                <w:rFonts w:eastAsia="Times New Roman" w:cs="Times New Roman"/>
                <w:sz w:val="20"/>
                <w:szCs w:val="20"/>
                <w:lang w:eastAsia="lt-LT"/>
              </w:rPr>
            </w:pPr>
            <w:r w:rsidRPr="001D31F3">
              <w:rPr>
                <w:rFonts w:eastAsia="Times New Roman" w:cs="Times New Roman"/>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0,667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TEO1L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-0,009</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-0,174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0,689</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TEO1L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0,058</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0,006</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0,090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0,197</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0,641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VLP1L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0,049</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-0,015</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-0,31</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-0,151</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1,444</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VLP1L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-0,049</w:t>
            </w:r>
          </w:p>
        </w:tc>
        <w:tc>
          <w:tcPr>
            <w:tcW w:w="10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0,198</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VLP1L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3</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1D31F3" w:rsidRDefault="00E10F7A" w:rsidP="00E10F7A">
            <w:pPr>
              <w:spacing w:before="0" w:line="240" w:lineRule="auto"/>
              <w:ind w:firstLine="0"/>
              <w:jc w:val="right"/>
              <w:rPr>
                <w:rFonts w:eastAsia="Times New Roman" w:cs="Times New Roman"/>
                <w:sz w:val="20"/>
                <w:szCs w:val="20"/>
                <w:lang w:eastAsia="lt-LT"/>
              </w:rPr>
            </w:pPr>
            <w:r w:rsidRPr="001D31F3">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0,030</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1,012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VLP1L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0,57</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0,043</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0,440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1,627</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VLP1L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0,072</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0,003</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0,04</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0,054</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0,254</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1,352</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VBL1L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4</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1,160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1,160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2</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0,116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1,000</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9,981</w:t>
            </w:r>
          </w:p>
        </w:tc>
      </w:tr>
      <w:tr w:rsidR="00E10F7A" w:rsidRPr="00E10F7A" w:rsidTr="001A496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84" w:type="dxa"/>
          <w:trHeight w:val="300"/>
        </w:trPr>
        <w:tc>
          <w:tcPr>
            <w:tcW w:w="906" w:type="dxa"/>
            <w:shd w:val="clear" w:color="auto" w:fill="auto"/>
            <w:noWrap/>
            <w:vAlign w:val="bottom"/>
            <w:hideMark/>
          </w:tcPr>
          <w:p w:rsidR="00E10F7A" w:rsidRPr="00E10F7A" w:rsidRDefault="00E10F7A" w:rsidP="00E10F7A">
            <w:pPr>
              <w:spacing w:before="0" w:line="240" w:lineRule="auto"/>
              <w:ind w:firstLine="0"/>
              <w:jc w:val="left"/>
              <w:rPr>
                <w:rFonts w:eastAsia="Times New Roman" w:cs="Times New Roman"/>
                <w:color w:val="000000"/>
                <w:sz w:val="20"/>
                <w:szCs w:val="20"/>
                <w:lang w:eastAsia="lt-LT"/>
              </w:rPr>
            </w:pPr>
            <w:r w:rsidRPr="00E10F7A">
              <w:rPr>
                <w:rFonts w:eastAsia="Times New Roman" w:cs="Times New Roman"/>
                <w:color w:val="000000"/>
                <w:sz w:val="20"/>
                <w:szCs w:val="20"/>
                <w:lang w:eastAsia="lt-LT"/>
              </w:rPr>
              <w:t>VBL1L</w:t>
            </w:r>
          </w:p>
        </w:tc>
        <w:tc>
          <w:tcPr>
            <w:tcW w:w="328"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5</w:t>
            </w:r>
          </w:p>
        </w:tc>
        <w:tc>
          <w:tcPr>
            <w:tcW w:w="985"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2,900</w:t>
            </w:r>
          </w:p>
        </w:tc>
        <w:tc>
          <w:tcPr>
            <w:tcW w:w="87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1,740</w:t>
            </w:r>
          </w:p>
        </w:tc>
        <w:tc>
          <w:tcPr>
            <w:tcW w:w="1006"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0,60</w:t>
            </w:r>
          </w:p>
        </w:tc>
        <w:tc>
          <w:tcPr>
            <w:tcW w:w="921" w:type="dxa"/>
            <w:shd w:val="pct5" w:color="000000" w:fill="FFFFFF" w:themeFill="background1"/>
            <w:noWrap/>
            <w:vAlign w:val="bottom"/>
            <w:hideMark/>
          </w:tcPr>
          <w:p w:rsidR="00E10F7A" w:rsidRPr="00E10F7A" w:rsidRDefault="00E10F7A" w:rsidP="00E10F7A">
            <w:pPr>
              <w:spacing w:before="0" w:line="240" w:lineRule="auto"/>
              <w:ind w:firstLine="0"/>
              <w:jc w:val="right"/>
              <w:rPr>
                <w:rFonts w:eastAsia="Times New Roman" w:cs="Times New Roman"/>
                <w:sz w:val="20"/>
                <w:szCs w:val="20"/>
                <w:lang w:eastAsia="lt-LT"/>
              </w:rPr>
            </w:pPr>
            <w:r w:rsidRPr="00E10F7A">
              <w:rPr>
                <w:rFonts w:eastAsia="Times New Roman" w:cs="Times New Roman"/>
                <w:sz w:val="20"/>
                <w:szCs w:val="20"/>
                <w:lang w:eastAsia="lt-LT"/>
              </w:rPr>
              <w:t>1</w:t>
            </w:r>
          </w:p>
        </w:tc>
        <w:tc>
          <w:tcPr>
            <w:tcW w:w="907"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0,206</w:t>
            </w:r>
          </w:p>
        </w:tc>
        <w:tc>
          <w:tcPr>
            <w:tcW w:w="1063"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0,769</w:t>
            </w:r>
          </w:p>
        </w:tc>
        <w:tc>
          <w:tcPr>
            <w:tcW w:w="839" w:type="dxa"/>
            <w:shd w:val="pct5" w:color="auto" w:fill="auto"/>
            <w:vAlign w:val="bottom"/>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w:t>
            </w:r>
          </w:p>
        </w:tc>
        <w:tc>
          <w:tcPr>
            <w:tcW w:w="1161" w:type="dxa"/>
            <w:shd w:val="clear" w:color="auto" w:fill="auto"/>
            <w:noWrap/>
            <w:vAlign w:val="bottom"/>
            <w:hideMark/>
          </w:tcPr>
          <w:p w:rsidR="00E10F7A" w:rsidRPr="00E10F7A" w:rsidRDefault="00E10F7A" w:rsidP="00E10F7A">
            <w:pPr>
              <w:spacing w:before="0" w:line="240" w:lineRule="auto"/>
              <w:ind w:firstLine="0"/>
              <w:jc w:val="right"/>
              <w:rPr>
                <w:rFonts w:eastAsia="Times New Roman" w:cs="Times New Roman"/>
                <w:color w:val="000000"/>
                <w:sz w:val="20"/>
                <w:szCs w:val="20"/>
                <w:lang w:eastAsia="lt-LT"/>
              </w:rPr>
            </w:pPr>
            <w:r w:rsidRPr="00E10F7A">
              <w:rPr>
                <w:rFonts w:eastAsia="Times New Roman" w:cs="Times New Roman"/>
                <w:color w:val="000000"/>
                <w:sz w:val="20"/>
                <w:szCs w:val="20"/>
                <w:lang w:eastAsia="lt-LT"/>
              </w:rPr>
              <w:t>14,104</w:t>
            </w:r>
          </w:p>
        </w:tc>
      </w:tr>
    </w:tbl>
    <w:p w:rsidR="00332172" w:rsidRDefault="00332172" w:rsidP="00E10F7A">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663A16" w:rsidTr="00663A16">
        <w:tc>
          <w:tcPr>
            <w:tcW w:w="10137" w:type="dxa"/>
          </w:tcPr>
          <w:p w:rsidR="00663A16" w:rsidRDefault="007F7304" w:rsidP="007F7304">
            <w:pPr>
              <w:pStyle w:val="Priedai"/>
              <w:ind w:left="-284" w:firstLine="8931"/>
              <w:jc w:val="center"/>
            </w:pPr>
            <w:bookmarkStart w:id="147" w:name="_Toc343677782"/>
            <w:r>
              <w:t>A</w:t>
            </w:r>
            <w:r w:rsidR="00663A16">
              <w:t>kcijų pelningumai dividendų paskelbimo dienomis, įvertinus rinkos rizikos faktorių</w:t>
            </w:r>
            <w:bookmarkEnd w:id="147"/>
          </w:p>
        </w:tc>
      </w:tr>
    </w:tbl>
    <w:tbl>
      <w:tblPr>
        <w:tblW w:w="992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93"/>
        <w:gridCol w:w="306"/>
        <w:gridCol w:w="828"/>
        <w:gridCol w:w="709"/>
        <w:gridCol w:w="709"/>
        <w:gridCol w:w="709"/>
        <w:gridCol w:w="850"/>
        <w:gridCol w:w="851"/>
        <w:gridCol w:w="850"/>
        <w:gridCol w:w="851"/>
        <w:gridCol w:w="850"/>
        <w:gridCol w:w="709"/>
        <w:gridCol w:w="709"/>
      </w:tblGrid>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i</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HAE1T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HAE1T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HAE1T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HAE1T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HAE1T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MRK1T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MRK1T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MRK1T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MRK1T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SFG1T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SFG1T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SFG1T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TKM1T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TKM1T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TKM1T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TKM1T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TKM1T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TVEAT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TVEAT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TVEAT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TVEAT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lastRenderedPageBreak/>
              <w:t>TVEAT</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SAF1R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0,121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SAF1R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SAF1R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0,080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SAF1R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GZE1R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GZE1R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GZE1R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GZE1R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GZE1R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-0,099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0,141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-0,150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OLF1R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OLF1R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VSS1R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0,090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VSS1R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SCM1R</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APG1L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APG1L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APG1L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APG1L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APG1L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CTS1L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CTS1L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CTS1L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CTS1L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CTS1L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GRG1L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GRG1L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GRG1L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GRG1L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GRG1L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LDJ1L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LDJ1L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LDJ1L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LDJ1L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LDJ1L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lastRenderedPageBreak/>
              <w:t>KNF1L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KNF1L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KNF1L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KNF1L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KNF1L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LES1L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LES1L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PTR1L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PTR1L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0,093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PTR1L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PTR1L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PTR1L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PZV1L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PZV1L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0,151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PZV1L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PZV1L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PZV1L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RSU1L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-0,079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RSU1L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RSU1L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RSU1L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RSU1L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TEO1L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TEO1L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TEO1L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TEO1L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-0,014</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TEO1L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VLP1L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1</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0,019</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-0,013</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VLP1L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2</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0,152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-0,054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VLP1L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3</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VLP1L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0,010</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0,009</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-0,004</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VLP1L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VBL1L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4</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0,021</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0,025</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0,001</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0,032</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0,027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r>
      <w:tr w:rsidR="001D31F3" w:rsidRPr="001D31F3" w:rsidTr="001A4969">
        <w:trPr>
          <w:trHeight w:val="300"/>
        </w:trPr>
        <w:tc>
          <w:tcPr>
            <w:tcW w:w="993"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VBL1L</w:t>
            </w:r>
          </w:p>
        </w:tc>
        <w:tc>
          <w:tcPr>
            <w:tcW w:w="306"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5</w:t>
            </w:r>
          </w:p>
        </w:tc>
        <w:tc>
          <w:tcPr>
            <w:tcW w:w="828"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0,002</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0,046</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-0,018</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0,008</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0,000</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0,067</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0,003</w:t>
            </w:r>
          </w:p>
        </w:tc>
        <w:tc>
          <w:tcPr>
            <w:tcW w:w="851"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c>
          <w:tcPr>
            <w:tcW w:w="850"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-0,005</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0,017</w:t>
            </w:r>
          </w:p>
        </w:tc>
        <w:tc>
          <w:tcPr>
            <w:tcW w:w="709" w:type="dxa"/>
            <w:shd w:val="clear" w:color="auto" w:fill="auto"/>
            <w:noWrap/>
            <w:vAlign w:val="center"/>
            <w:hideMark/>
          </w:tcPr>
          <w:p w:rsidR="001D31F3" w:rsidRPr="001D31F3" w:rsidRDefault="001D31F3" w:rsidP="001D31F3">
            <w:pPr>
              <w:spacing w:before="0" w:line="240" w:lineRule="auto"/>
              <w:ind w:firstLine="0"/>
              <w:jc w:val="center"/>
              <w:rPr>
                <w:rFonts w:eastAsia="Times New Roman" w:cs="Times New Roman"/>
                <w:color w:val="000000"/>
                <w:sz w:val="18"/>
                <w:szCs w:val="18"/>
                <w:lang w:eastAsia="lt-LT"/>
              </w:rPr>
            </w:pPr>
            <w:r w:rsidRPr="001D31F3">
              <w:rPr>
                <w:rFonts w:eastAsia="Times New Roman" w:cs="Times New Roman"/>
                <w:color w:val="000000"/>
                <w:sz w:val="18"/>
                <w:szCs w:val="18"/>
                <w:lang w:eastAsia="lt-LT"/>
              </w:rPr>
              <w:t>-0,016</w:t>
            </w:r>
          </w:p>
        </w:tc>
      </w:tr>
    </w:tbl>
    <w:p w:rsidR="001D31F3" w:rsidRDefault="001D31F3" w:rsidP="00E10F7A">
      <w:pPr>
        <w:ind w:firstLine="0"/>
      </w:pPr>
    </w:p>
    <w:p w:rsidR="00454998" w:rsidRDefault="00454998">
      <w:pPr>
        <w:spacing w:before="0" w:after="200" w:line="276" w:lineRule="auto"/>
        <w:ind w:firstLine="0"/>
        <w:jc w:val="left"/>
      </w:pPr>
    </w:p>
    <w:p w:rsidR="00454998" w:rsidRDefault="00454998">
      <w:pPr>
        <w:spacing w:before="0" w:after="200" w:line="276" w:lineRule="auto"/>
        <w:ind w:firstLine="0"/>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454998" w:rsidTr="00454998">
        <w:tc>
          <w:tcPr>
            <w:tcW w:w="10137" w:type="dxa"/>
          </w:tcPr>
          <w:p w:rsidR="00454998" w:rsidRDefault="00454998" w:rsidP="00454998">
            <w:pPr>
              <w:pStyle w:val="Priedai"/>
              <w:spacing w:after="0" w:line="240" w:lineRule="auto"/>
              <w:ind w:left="357" w:firstLine="8431"/>
            </w:pPr>
            <w:r>
              <w:lastRenderedPageBreak/>
              <w:br w:type="page"/>
              <w:t xml:space="preserve"> </w:t>
            </w:r>
            <w:bookmarkStart w:id="148" w:name="_Toc343677783"/>
            <w:r>
              <w:t>Div</w:t>
            </w:r>
            <w:r w:rsidR="007F7304">
              <w:t>idendų pelningumai, standartinis</w:t>
            </w:r>
            <w:r>
              <w:t xml:space="preserve"> nuokrypis, t ir z reikšmės analizuojamais periodais</w:t>
            </w:r>
            <w:bookmarkEnd w:id="148"/>
          </w:p>
        </w:tc>
      </w:tr>
    </w:tbl>
    <w:tbl>
      <w:tblPr>
        <w:tblW w:w="9970"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60"/>
        <w:gridCol w:w="872"/>
        <w:gridCol w:w="68"/>
        <w:gridCol w:w="741"/>
        <w:gridCol w:w="671"/>
        <w:gridCol w:w="840"/>
        <w:gridCol w:w="833"/>
        <w:gridCol w:w="680"/>
        <w:gridCol w:w="62"/>
        <w:gridCol w:w="689"/>
        <w:gridCol w:w="902"/>
        <w:gridCol w:w="832"/>
        <w:gridCol w:w="640"/>
        <w:gridCol w:w="1080"/>
      </w:tblGrid>
      <w:tr w:rsidR="00454998" w:rsidRPr="00454998" w:rsidTr="00454998">
        <w:trPr>
          <w:trHeight w:val="132"/>
          <w:jc w:val="center"/>
        </w:trPr>
        <w:tc>
          <w:tcPr>
            <w:tcW w:w="1060" w:type="dxa"/>
            <w:vMerge w:val="restart"/>
            <w:shd w:val="clear" w:color="auto" w:fill="auto"/>
            <w:noWrap/>
            <w:textDirection w:val="btLr"/>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Periodas</w:t>
            </w:r>
          </w:p>
        </w:tc>
        <w:tc>
          <w:tcPr>
            <w:tcW w:w="2352" w:type="dxa"/>
            <w:gridSpan w:val="4"/>
            <w:vMerge w:val="restart"/>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Dividendų paskelbimas</w:t>
            </w:r>
          </w:p>
        </w:tc>
        <w:tc>
          <w:tcPr>
            <w:tcW w:w="6558" w:type="dxa"/>
            <w:gridSpan w:val="9"/>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Neigiamos naujienos</w:t>
            </w:r>
          </w:p>
        </w:tc>
      </w:tr>
      <w:tr w:rsidR="00454998" w:rsidRPr="00454998" w:rsidTr="00454998">
        <w:trPr>
          <w:trHeight w:val="300"/>
          <w:jc w:val="center"/>
        </w:trPr>
        <w:tc>
          <w:tcPr>
            <w:tcW w:w="1060" w:type="dxa"/>
            <w:vMerge/>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p>
        </w:tc>
        <w:tc>
          <w:tcPr>
            <w:tcW w:w="2352" w:type="dxa"/>
            <w:gridSpan w:val="4"/>
            <w:vMerge/>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p>
        </w:tc>
        <w:tc>
          <w:tcPr>
            <w:tcW w:w="3104" w:type="dxa"/>
            <w:gridSpan w:val="5"/>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Dividendai neišmokami</w:t>
            </w:r>
          </w:p>
        </w:tc>
        <w:tc>
          <w:tcPr>
            <w:tcW w:w="3454" w:type="dxa"/>
            <w:gridSpan w:val="4"/>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DY sumažėjimas</w:t>
            </w:r>
          </w:p>
        </w:tc>
      </w:tr>
      <w:tr w:rsidR="00454998" w:rsidRPr="00454998" w:rsidTr="00454998">
        <w:trPr>
          <w:trHeight w:val="184"/>
          <w:jc w:val="center"/>
        </w:trPr>
        <w:tc>
          <w:tcPr>
            <w:tcW w:w="1060" w:type="dxa"/>
            <w:vMerge/>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p>
        </w:tc>
        <w:tc>
          <w:tcPr>
            <w:tcW w:w="872"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CAAR</w:t>
            </w:r>
          </w:p>
        </w:tc>
        <w:tc>
          <w:tcPr>
            <w:tcW w:w="809" w:type="dxa"/>
            <w:gridSpan w:val="2"/>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s</w:t>
            </w:r>
          </w:p>
        </w:tc>
        <w:tc>
          <w:tcPr>
            <w:tcW w:w="671"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w:t>
            </w:r>
          </w:p>
        </w:tc>
        <w:tc>
          <w:tcPr>
            <w:tcW w:w="840"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CAAR</w:t>
            </w:r>
          </w:p>
        </w:tc>
        <w:tc>
          <w:tcPr>
            <w:tcW w:w="833"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s</w:t>
            </w:r>
          </w:p>
        </w:tc>
        <w:tc>
          <w:tcPr>
            <w:tcW w:w="680"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w:t>
            </w:r>
          </w:p>
        </w:tc>
        <w:tc>
          <w:tcPr>
            <w:tcW w:w="751" w:type="dxa"/>
            <w:gridSpan w:val="2"/>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MW z</w:t>
            </w:r>
          </w:p>
        </w:tc>
        <w:tc>
          <w:tcPr>
            <w:tcW w:w="902"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CAAR</w:t>
            </w:r>
          </w:p>
        </w:tc>
        <w:tc>
          <w:tcPr>
            <w:tcW w:w="832"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s</w:t>
            </w:r>
          </w:p>
        </w:tc>
        <w:tc>
          <w:tcPr>
            <w:tcW w:w="640"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w:t>
            </w:r>
          </w:p>
        </w:tc>
        <w:tc>
          <w:tcPr>
            <w:tcW w:w="1080"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MW z</w:t>
            </w:r>
          </w:p>
        </w:tc>
      </w:tr>
      <w:tr w:rsidR="00454998" w:rsidRPr="00454998" w:rsidTr="00454998">
        <w:trPr>
          <w:trHeight w:val="272"/>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[-5;5]</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1,38%</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6,88%</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2,00</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1,33%</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13,02%</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0,29</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-1,56%</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5,97%</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-1,41</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-2,92</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0,53%</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4,08%</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1,30</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1,73%</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10,80%</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0,45</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-0,28</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0,59%</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3,00%</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1,05</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-0,24</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[-5;0]</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1,96%</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3,80</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0,63%</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11,47%</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0,15</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-0,26</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0,72%</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3,56%</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1,09</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-1,60</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2,27%</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5,73%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3,94</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0,12%</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12,30%</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0,03</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-0,33</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0,32%</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3,88%</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0,45</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-2,51</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0,01%</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3,23%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0,04</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-0,56%</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7,69%</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-0,21</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-1,13</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0,61%</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2,98%</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1,11</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-1,37</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[-3;0]</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1,44%</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4,54%</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3,16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-1,64%</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8,46%</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-0,55</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-1,46</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0,74%</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3,76%</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1,06</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-1,51</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1,74%</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5,02%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3,46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-2,14%</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9,40%</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-0,64</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-1,75</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0,33%</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3,85%</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0,47</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-2,45</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1,43%</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3,80%</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3,75</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4,06%</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-0,47</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-1,38</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0,37%</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3,00%</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0,66</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-1,35</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1,74%</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4,58%</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3,77</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-1,19%</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6,02%</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-0,56</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-0,90</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-0,05%</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3,36%</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-0,08</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-2,61</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[-2;2]</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1,48%</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4,98%</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2,96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-0,05%</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5,63%</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-0,03</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-1,19</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-0,92%</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4,42%</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-1,12</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-3,10</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1,73%</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4,14%</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4,16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5,23%</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-0,85</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-1,48</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-0,28%</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2,53%</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-0,59</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-3,78</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1,36%</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5,57%</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2,43</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-0,39%</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5,69%</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-0,19</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-0,87</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-0,90%</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5,46%</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-0,89</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-2,64</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1,36%</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2,64</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-0,78%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5,26%</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-0,42</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-1,13%</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4,72%</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-1,29</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-3,63</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-0,07%</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3,92%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-0,17</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0,31%</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3,60%</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0,25</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-1,26%</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4,04%</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-1,68</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-2,56</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0,86%</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6,02%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1,42</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-0,03%</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6,45%</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-0,01</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-0,22</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-1,93%</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5,67%</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-1,83</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-3,05</w:t>
            </w:r>
          </w:p>
        </w:tc>
      </w:tr>
      <w:tr w:rsidR="00454998" w:rsidRPr="00454998" w:rsidTr="00454998">
        <w:trPr>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w:t>
            </w:r>
          </w:p>
        </w:tc>
        <w:tc>
          <w:tcPr>
            <w:tcW w:w="87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0,86%</w:t>
            </w:r>
          </w:p>
        </w:tc>
        <w:tc>
          <w:tcPr>
            <w:tcW w:w="809"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5,39%</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1,58</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-0,41%</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5,56%</w:t>
            </w:r>
          </w:p>
        </w:tc>
        <w:tc>
          <w:tcPr>
            <w:tcW w:w="6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-0,21</w:t>
            </w:r>
          </w:p>
        </w:tc>
        <w:tc>
          <w:tcPr>
            <w:tcW w:w="751"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-2,15%</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4,93%</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-2,35</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-3,85</w:t>
            </w:r>
          </w:p>
        </w:tc>
      </w:tr>
      <w:tr w:rsidR="00454998" w:rsidRPr="00454998" w:rsidTr="00454998">
        <w:trPr>
          <w:trHeight w:val="330"/>
          <w:jc w:val="center"/>
        </w:trPr>
        <w:tc>
          <w:tcPr>
            <w:tcW w:w="1060"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w:t>
            </w:r>
          </w:p>
        </w:tc>
        <w:tc>
          <w:tcPr>
            <w:tcW w:w="872"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-0,57%</w:t>
            </w:r>
          </w:p>
        </w:tc>
        <w:tc>
          <w:tcPr>
            <w:tcW w:w="809" w:type="dxa"/>
            <w:gridSpan w:val="2"/>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4,18%</w:t>
            </w:r>
          </w:p>
        </w:tc>
        <w:tc>
          <w:tcPr>
            <w:tcW w:w="671"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-1,36</w:t>
            </w:r>
          </w:p>
        </w:tc>
        <w:tc>
          <w:tcPr>
            <w:tcW w:w="840"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0,68%</w:t>
            </w:r>
          </w:p>
        </w:tc>
        <w:tc>
          <w:tcPr>
            <w:tcW w:w="833"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3,54%</w:t>
            </w:r>
          </w:p>
        </w:tc>
        <w:tc>
          <w:tcPr>
            <w:tcW w:w="680"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0,54</w:t>
            </w:r>
          </w:p>
        </w:tc>
        <w:tc>
          <w:tcPr>
            <w:tcW w:w="751" w:type="dxa"/>
            <w:gridSpan w:val="2"/>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-0,74</w:t>
            </w:r>
          </w:p>
        </w:tc>
        <w:tc>
          <w:tcPr>
            <w:tcW w:w="902" w:type="dxa"/>
            <w:tcBorders>
              <w:bottom w:val="single" w:sz="12" w:space="0" w:color="auto"/>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-2,29%</w:t>
            </w:r>
          </w:p>
        </w:tc>
        <w:tc>
          <w:tcPr>
            <w:tcW w:w="83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4,29%</w:t>
            </w:r>
          </w:p>
        </w:tc>
        <w:tc>
          <w:tcPr>
            <w:tcW w:w="6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-2,87</w:t>
            </w:r>
          </w:p>
        </w:tc>
        <w:tc>
          <w:tcPr>
            <w:tcW w:w="108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-3,31</w:t>
            </w:r>
          </w:p>
        </w:tc>
      </w:tr>
      <w:tr w:rsidR="00454998" w:rsidRPr="00454998" w:rsidTr="00454998">
        <w:trPr>
          <w:gridAfter w:val="3"/>
          <w:wAfter w:w="2552" w:type="dxa"/>
          <w:trHeight w:val="238"/>
          <w:jc w:val="center"/>
        </w:trPr>
        <w:tc>
          <w:tcPr>
            <w:tcW w:w="1060" w:type="dxa"/>
            <w:tcBorders>
              <w:left w:val="nil"/>
              <w:right w:val="nil"/>
            </w:tcBorders>
            <w:shd w:val="clear" w:color="auto" w:fill="auto"/>
            <w:noWrap/>
            <w:textDirection w:val="btLr"/>
            <w:vAlign w:val="center"/>
            <w:hideMark/>
          </w:tcPr>
          <w:p w:rsidR="00454998" w:rsidRPr="00454998" w:rsidRDefault="00454998" w:rsidP="00454998">
            <w:pPr>
              <w:spacing w:before="0" w:line="240" w:lineRule="auto"/>
              <w:ind w:firstLine="0"/>
              <w:jc w:val="center"/>
              <w:rPr>
                <w:rFonts w:eastAsia="Times New Roman" w:cs="Times New Roman"/>
                <w:b/>
                <w:bCs/>
                <w:lang w:eastAsia="lt-LT"/>
              </w:rPr>
            </w:pPr>
          </w:p>
        </w:tc>
        <w:tc>
          <w:tcPr>
            <w:tcW w:w="6358" w:type="dxa"/>
            <w:gridSpan w:val="10"/>
            <w:tcBorders>
              <w:left w:val="nil"/>
              <w:right w:val="nil"/>
            </w:tcBorders>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lang w:eastAsia="lt-LT"/>
              </w:rPr>
            </w:pPr>
          </w:p>
        </w:tc>
      </w:tr>
      <w:tr w:rsidR="00454998" w:rsidRPr="00454998" w:rsidTr="00454998">
        <w:trPr>
          <w:gridAfter w:val="3"/>
          <w:wAfter w:w="2552" w:type="dxa"/>
          <w:trHeight w:val="262"/>
          <w:jc w:val="center"/>
        </w:trPr>
        <w:tc>
          <w:tcPr>
            <w:tcW w:w="1060" w:type="dxa"/>
            <w:vMerge w:val="restart"/>
            <w:shd w:val="clear" w:color="auto" w:fill="auto"/>
            <w:noWrap/>
            <w:textDirection w:val="btLr"/>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Periodas</w:t>
            </w:r>
          </w:p>
        </w:tc>
        <w:tc>
          <w:tcPr>
            <w:tcW w:w="6358" w:type="dxa"/>
            <w:gridSpan w:val="10"/>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Teigiamos naujienos</w:t>
            </w:r>
          </w:p>
        </w:tc>
      </w:tr>
      <w:tr w:rsidR="00454998" w:rsidRPr="00454998" w:rsidTr="00454998">
        <w:trPr>
          <w:gridAfter w:val="3"/>
          <w:wAfter w:w="2552" w:type="dxa"/>
          <w:trHeight w:val="300"/>
          <w:jc w:val="center"/>
        </w:trPr>
        <w:tc>
          <w:tcPr>
            <w:tcW w:w="1060" w:type="dxa"/>
            <w:vMerge/>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p>
        </w:tc>
        <w:tc>
          <w:tcPr>
            <w:tcW w:w="3192" w:type="dxa"/>
            <w:gridSpan w:val="5"/>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DY padidėjimas</w:t>
            </w:r>
          </w:p>
        </w:tc>
        <w:tc>
          <w:tcPr>
            <w:tcW w:w="3166" w:type="dxa"/>
            <w:gridSpan w:val="5"/>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Dividendų inicijavimas</w:t>
            </w:r>
          </w:p>
        </w:tc>
      </w:tr>
      <w:tr w:rsidR="00454998" w:rsidRPr="00454998" w:rsidTr="00454998">
        <w:trPr>
          <w:gridAfter w:val="3"/>
          <w:wAfter w:w="2552" w:type="dxa"/>
          <w:trHeight w:val="171"/>
          <w:jc w:val="center"/>
        </w:trPr>
        <w:tc>
          <w:tcPr>
            <w:tcW w:w="1060" w:type="dxa"/>
            <w:vMerge/>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p>
        </w:tc>
        <w:tc>
          <w:tcPr>
            <w:tcW w:w="940" w:type="dxa"/>
            <w:gridSpan w:val="2"/>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CAAR</w:t>
            </w:r>
          </w:p>
        </w:tc>
        <w:tc>
          <w:tcPr>
            <w:tcW w:w="741"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s</w:t>
            </w:r>
          </w:p>
        </w:tc>
        <w:tc>
          <w:tcPr>
            <w:tcW w:w="671"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w:t>
            </w:r>
          </w:p>
        </w:tc>
        <w:tc>
          <w:tcPr>
            <w:tcW w:w="840"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MW z</w:t>
            </w:r>
          </w:p>
        </w:tc>
        <w:tc>
          <w:tcPr>
            <w:tcW w:w="833"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CAAR</w:t>
            </w:r>
          </w:p>
        </w:tc>
        <w:tc>
          <w:tcPr>
            <w:tcW w:w="742" w:type="dxa"/>
            <w:gridSpan w:val="2"/>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color w:val="000000"/>
                <w:sz w:val="20"/>
                <w:szCs w:val="20"/>
                <w:lang w:eastAsia="lt-LT"/>
              </w:rPr>
            </w:pPr>
            <w:r w:rsidRPr="00454998">
              <w:rPr>
                <w:rFonts w:eastAsia="Times New Roman" w:cs="Times New Roman"/>
                <w:b/>
                <w:bCs/>
                <w:color w:val="000000"/>
                <w:sz w:val="20"/>
                <w:szCs w:val="20"/>
                <w:lang w:eastAsia="lt-LT"/>
              </w:rPr>
              <w:t>s</w:t>
            </w:r>
          </w:p>
        </w:tc>
        <w:tc>
          <w:tcPr>
            <w:tcW w:w="689"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t</w:t>
            </w:r>
          </w:p>
        </w:tc>
        <w:tc>
          <w:tcPr>
            <w:tcW w:w="902" w:type="dxa"/>
            <w:shd w:val="clear" w:color="auto" w:fill="auto"/>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MW z</w:t>
            </w:r>
          </w:p>
        </w:tc>
      </w:tr>
      <w:tr w:rsidR="00454998" w:rsidRPr="00454998" w:rsidTr="00454998">
        <w:trPr>
          <w:gridAfter w:val="3"/>
          <w:wAfter w:w="2552" w:type="dxa"/>
          <w:trHeight w:val="330"/>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[-5;5]</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2,21%</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5,27%</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2,96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-1,60</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5,10%</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7,63%</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2,32</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-1,28</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0,40%</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2,83%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1,01</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-0,17</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0,14%</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3,75%</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0,13</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-0,36</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[-5;0]</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2,27%</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4,27%</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3,75</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-0,26</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4,55%</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4,91%</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3,21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-2,05</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2,86%</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4,36%</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4,64</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-1,12</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5,92%</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6,61%</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3,10</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-2,06</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-0,11%</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2,11%</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-0,36</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-0,46</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-0,57%</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3,33%</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-0,59</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-0,26</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[-3;0]</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1,76%</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3,60%</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3,47</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-0,95</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3,85%</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5,42%</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2,46</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-1,87</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2,35%</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3,49%</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4,78</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-1,82</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5,20%</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6,76%</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2,67</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-2,09</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1,71%</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3,37%</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3,59</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4,26%</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5,43%</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2,72</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-2,16</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2,31%</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3,62%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4,50</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-1,08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5,63%</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6,65%</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2,93</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-2,73</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[-2;2]</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2,21%</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4,23%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3,68</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-1,73</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5,30%</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5,98%</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3,07</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-2,66</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[0;1]</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2,45%</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3,58%</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4,85</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-2,00</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5,76%</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4,79%</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4,16</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-3,44</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2,39%</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4,73%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3,57</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-1,87</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3,74%</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7,34%</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1,77</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-1,55</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[0;3]</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2,54%</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4,61%</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3,89</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-2,64</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3,88%</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5,63%</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2,39</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-2,03</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[1;3]</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0,67%</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3,84%</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1,23</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-2,00</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-0,52%</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3,86%</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-0,46</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-0,08</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1,66%</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4,83%</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2,44</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-1,70</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4,83%</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8,32%</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2,01</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-1,83</w:t>
            </w:r>
          </w:p>
        </w:tc>
      </w:tr>
      <w:tr w:rsidR="00454998" w:rsidRPr="00454998" w:rsidTr="00454998">
        <w:trPr>
          <w:gridAfter w:val="3"/>
          <w:wAfter w:w="2552" w:type="dxa"/>
          <w:trHeight w:val="315"/>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1,82%</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4,47%</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2,87</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-2,31</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4,96%</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6,37%</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2,70</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-2,33</w:t>
            </w:r>
          </w:p>
        </w:tc>
      </w:tr>
      <w:tr w:rsidR="00454998" w:rsidRPr="00454998" w:rsidTr="00454998">
        <w:trPr>
          <w:gridAfter w:val="3"/>
          <w:wAfter w:w="2552" w:type="dxa"/>
          <w:trHeight w:val="330"/>
          <w:jc w:val="center"/>
        </w:trPr>
        <w:tc>
          <w:tcPr>
            <w:tcW w:w="106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[1;5]</w:t>
            </w:r>
          </w:p>
        </w:tc>
        <w:tc>
          <w:tcPr>
            <w:tcW w:w="940"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-0,05%</w:t>
            </w:r>
          </w:p>
        </w:tc>
        <w:tc>
          <w:tcPr>
            <w:tcW w:w="74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3,92%</w:t>
            </w:r>
          </w:p>
        </w:tc>
        <w:tc>
          <w:tcPr>
            <w:tcW w:w="671"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-0,09</w:t>
            </w:r>
          </w:p>
        </w:tc>
        <w:tc>
          <w:tcPr>
            <w:tcW w:w="840"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b/>
                <w:bCs/>
                <w:sz w:val="20"/>
                <w:szCs w:val="20"/>
                <w:lang w:eastAsia="lt-LT"/>
              </w:rPr>
            </w:pPr>
            <w:r w:rsidRPr="00454998">
              <w:rPr>
                <w:rFonts w:eastAsia="Times New Roman" w:cs="Times New Roman"/>
                <w:b/>
                <w:bCs/>
                <w:sz w:val="20"/>
                <w:szCs w:val="20"/>
                <w:lang w:eastAsia="lt-LT"/>
              </w:rPr>
              <w:t>-1,98</w:t>
            </w:r>
          </w:p>
        </w:tc>
        <w:tc>
          <w:tcPr>
            <w:tcW w:w="833"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0,58%</w:t>
            </w:r>
          </w:p>
        </w:tc>
        <w:tc>
          <w:tcPr>
            <w:tcW w:w="742" w:type="dxa"/>
            <w:gridSpan w:val="2"/>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4,59%</w:t>
            </w:r>
          </w:p>
        </w:tc>
        <w:tc>
          <w:tcPr>
            <w:tcW w:w="689"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0,43</w:t>
            </w:r>
          </w:p>
        </w:tc>
        <w:tc>
          <w:tcPr>
            <w:tcW w:w="902" w:type="dxa"/>
            <w:shd w:val="clear" w:color="auto" w:fill="auto"/>
            <w:noWrap/>
            <w:vAlign w:val="center"/>
            <w:hideMark/>
          </w:tcPr>
          <w:p w:rsidR="00454998" w:rsidRPr="00454998" w:rsidRDefault="00454998" w:rsidP="00454998">
            <w:pPr>
              <w:spacing w:before="0" w:line="240" w:lineRule="auto"/>
              <w:ind w:firstLine="0"/>
              <w:jc w:val="center"/>
              <w:rPr>
                <w:rFonts w:eastAsia="Times New Roman" w:cs="Times New Roman"/>
                <w:sz w:val="20"/>
                <w:szCs w:val="20"/>
                <w:lang w:eastAsia="lt-LT"/>
              </w:rPr>
            </w:pPr>
            <w:r w:rsidRPr="00454998">
              <w:rPr>
                <w:rFonts w:eastAsia="Times New Roman" w:cs="Times New Roman"/>
                <w:sz w:val="20"/>
                <w:szCs w:val="20"/>
                <w:lang w:eastAsia="lt-LT"/>
              </w:rPr>
              <w:t>-0,97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A85687" w:rsidTr="007F7304">
        <w:tc>
          <w:tcPr>
            <w:tcW w:w="10137" w:type="dxa"/>
          </w:tcPr>
          <w:p w:rsidR="00A85687" w:rsidRDefault="007F7304" w:rsidP="007F7304">
            <w:pPr>
              <w:pStyle w:val="Priedai"/>
              <w:ind w:firstLine="8287"/>
              <w:jc w:val="center"/>
            </w:pPr>
            <w:r>
              <w:lastRenderedPageBreak/>
              <w:t xml:space="preserve"> </w:t>
            </w:r>
            <w:bookmarkStart w:id="149" w:name="_Toc343677784"/>
            <w:r w:rsidR="00E329DE">
              <w:t>Porinių imčių neparametriniai testai skirtingoms dividendų naujienų grupėms</w:t>
            </w:r>
            <w:bookmarkEnd w:id="149"/>
          </w:p>
        </w:tc>
      </w:tr>
    </w:tbl>
    <w:p w:rsidR="00A85687" w:rsidRDefault="00A85687" w:rsidP="00A85687">
      <w:pPr>
        <w:autoSpaceDE w:val="0"/>
        <w:autoSpaceDN w:val="0"/>
        <w:adjustRightInd w:val="0"/>
        <w:spacing w:before="0" w:line="240" w:lineRule="auto"/>
        <w:ind w:firstLine="0"/>
        <w:jc w:val="left"/>
        <w:rPr>
          <w:b/>
        </w:rPr>
      </w:pPr>
      <w:r>
        <w:rPr>
          <w:b/>
          <w:noProof/>
          <w:lang w:eastAsia="lt-LT"/>
        </w:rPr>
        <w:drawing>
          <wp:inline distT="0" distB="0" distL="0" distR="0">
            <wp:extent cx="4791075" cy="6238875"/>
            <wp:effectExtent l="1905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791075" cy="6238875"/>
                    </a:xfrm>
                    <a:prstGeom prst="rect">
                      <a:avLst/>
                    </a:prstGeom>
                    <a:noFill/>
                    <a:ln w="9525">
                      <a:noFill/>
                      <a:miter lim="800000"/>
                      <a:headEnd/>
                      <a:tailEnd/>
                    </a:ln>
                  </pic:spPr>
                </pic:pic>
              </a:graphicData>
            </a:graphic>
          </wp:inline>
        </w:drawing>
      </w:r>
    </w:p>
    <w:p w:rsidR="00A85687" w:rsidRDefault="00A85687">
      <w:pPr>
        <w:spacing w:before="0" w:after="200" w:line="276" w:lineRule="auto"/>
        <w:ind w:firstLine="0"/>
        <w:jc w:val="left"/>
        <w:rPr>
          <w:b/>
        </w:rPr>
      </w:pPr>
      <w:r>
        <w:rPr>
          <w:b/>
        </w:rPr>
        <w:br w:type="page"/>
      </w:r>
    </w:p>
    <w:p w:rsidR="00A85687" w:rsidRDefault="00A856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454998" w:rsidTr="00883DBB">
        <w:tc>
          <w:tcPr>
            <w:tcW w:w="10137" w:type="dxa"/>
          </w:tcPr>
          <w:p w:rsidR="00454998" w:rsidRDefault="007F7304" w:rsidP="007F7304">
            <w:pPr>
              <w:pStyle w:val="Priedai"/>
              <w:spacing w:after="0"/>
              <w:ind w:left="357" w:firstLine="8290"/>
              <w:jc w:val="center"/>
            </w:pPr>
            <w:r>
              <w:t xml:space="preserve"> </w:t>
            </w:r>
            <w:bookmarkStart w:id="150" w:name="_Toc343677785"/>
            <w:r w:rsidR="00883DBB">
              <w:t>Sharpe rodiklio reikšmės analizuojamais dividendų naujienų intervalais</w:t>
            </w:r>
            <w:bookmarkEnd w:id="150"/>
          </w:p>
        </w:tc>
      </w:tr>
    </w:tbl>
    <w:tbl>
      <w:tblPr>
        <w:tblW w:w="10044"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55"/>
        <w:gridCol w:w="945"/>
        <w:gridCol w:w="850"/>
        <w:gridCol w:w="851"/>
        <w:gridCol w:w="850"/>
        <w:gridCol w:w="851"/>
        <w:gridCol w:w="850"/>
        <w:gridCol w:w="993"/>
        <w:gridCol w:w="992"/>
        <w:gridCol w:w="992"/>
        <w:gridCol w:w="815"/>
      </w:tblGrid>
      <w:tr w:rsidR="00883DBB" w:rsidRPr="00883DBB" w:rsidTr="00E329DE">
        <w:trPr>
          <w:trHeight w:val="301"/>
          <w:jc w:val="center"/>
        </w:trPr>
        <w:tc>
          <w:tcPr>
            <w:tcW w:w="1055" w:type="dxa"/>
            <w:vMerge w:val="restart"/>
            <w:shd w:val="clear" w:color="auto" w:fill="auto"/>
            <w:textDirection w:val="btLr"/>
            <w:vAlign w:val="center"/>
            <w:hideMark/>
          </w:tcPr>
          <w:p w:rsidR="00883DBB" w:rsidRPr="00883DBB" w:rsidRDefault="00883DBB" w:rsidP="00883DBB">
            <w:pPr>
              <w:spacing w:before="0" w:line="240" w:lineRule="auto"/>
              <w:ind w:firstLine="0"/>
              <w:jc w:val="center"/>
              <w:rPr>
                <w:rFonts w:eastAsia="Times New Roman" w:cs="Times New Roman"/>
                <w:b/>
                <w:bCs/>
                <w:lang w:eastAsia="lt-LT"/>
              </w:rPr>
            </w:pPr>
            <w:r w:rsidRPr="00883DBB">
              <w:rPr>
                <w:rFonts w:eastAsia="Times New Roman" w:cs="Times New Roman"/>
                <w:b/>
                <w:bCs/>
                <w:sz w:val="22"/>
                <w:lang w:eastAsia="lt-LT"/>
              </w:rPr>
              <w:t>Periodas / Svoris</w:t>
            </w:r>
          </w:p>
        </w:tc>
        <w:tc>
          <w:tcPr>
            <w:tcW w:w="945"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w:t>
            </w:r>
          </w:p>
        </w:tc>
        <w:tc>
          <w:tcPr>
            <w:tcW w:w="850"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w:t>
            </w:r>
          </w:p>
        </w:tc>
        <w:tc>
          <w:tcPr>
            <w:tcW w:w="851"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w:t>
            </w:r>
          </w:p>
        </w:tc>
        <w:tc>
          <w:tcPr>
            <w:tcW w:w="850"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w:t>
            </w:r>
          </w:p>
        </w:tc>
        <w:tc>
          <w:tcPr>
            <w:tcW w:w="851" w:type="dxa"/>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4</w:t>
            </w:r>
          </w:p>
        </w:tc>
        <w:tc>
          <w:tcPr>
            <w:tcW w:w="850"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8</w:t>
            </w:r>
          </w:p>
        </w:tc>
        <w:tc>
          <w:tcPr>
            <w:tcW w:w="993"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29</w:t>
            </w:r>
          </w:p>
        </w:tc>
        <w:tc>
          <w:tcPr>
            <w:tcW w:w="992"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50</w:t>
            </w:r>
          </w:p>
        </w:tc>
        <w:tc>
          <w:tcPr>
            <w:tcW w:w="992"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12</w:t>
            </w:r>
          </w:p>
        </w:tc>
        <w:tc>
          <w:tcPr>
            <w:tcW w:w="815" w:type="dxa"/>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99</w:t>
            </w:r>
          </w:p>
        </w:tc>
      </w:tr>
      <w:tr w:rsidR="00883DBB" w:rsidRPr="00883DBB" w:rsidTr="00E329DE">
        <w:trPr>
          <w:trHeight w:val="707"/>
          <w:jc w:val="center"/>
        </w:trPr>
        <w:tc>
          <w:tcPr>
            <w:tcW w:w="1055" w:type="dxa"/>
            <w:vMerge/>
            <w:tcBorders>
              <w:bottom w:val="single" w:sz="12" w:space="0" w:color="auto"/>
            </w:tcBorders>
            <w:vAlign w:val="center"/>
            <w:hideMark/>
          </w:tcPr>
          <w:p w:rsidR="00883DBB" w:rsidRPr="00883DBB" w:rsidRDefault="00883DBB" w:rsidP="00883DBB">
            <w:pPr>
              <w:spacing w:before="0" w:line="240" w:lineRule="auto"/>
              <w:ind w:firstLine="0"/>
              <w:jc w:val="center"/>
              <w:rPr>
                <w:rFonts w:eastAsia="Times New Roman" w:cs="Times New Roman"/>
                <w:b/>
                <w:bCs/>
                <w:lang w:eastAsia="lt-LT"/>
              </w:rPr>
            </w:pPr>
          </w:p>
        </w:tc>
        <w:tc>
          <w:tcPr>
            <w:tcW w:w="945" w:type="dxa"/>
            <w:tcBorders>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25%</w:t>
            </w:r>
          </w:p>
        </w:tc>
        <w:tc>
          <w:tcPr>
            <w:tcW w:w="850" w:type="dxa"/>
            <w:tcBorders>
              <w:left w:val="nil"/>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25%</w:t>
            </w:r>
          </w:p>
        </w:tc>
        <w:tc>
          <w:tcPr>
            <w:tcW w:w="851" w:type="dxa"/>
            <w:tcBorders>
              <w:left w:val="nil"/>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25%</w:t>
            </w:r>
          </w:p>
        </w:tc>
        <w:tc>
          <w:tcPr>
            <w:tcW w:w="850" w:type="dxa"/>
            <w:tcBorders>
              <w:left w:val="nil"/>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25%</w:t>
            </w:r>
          </w:p>
        </w:tc>
        <w:tc>
          <w:tcPr>
            <w:tcW w:w="851"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100%</w:t>
            </w:r>
          </w:p>
        </w:tc>
        <w:tc>
          <w:tcPr>
            <w:tcW w:w="850" w:type="dxa"/>
            <w:tcBorders>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8,08%</w:t>
            </w:r>
          </w:p>
        </w:tc>
        <w:tc>
          <w:tcPr>
            <w:tcW w:w="993" w:type="dxa"/>
            <w:tcBorders>
              <w:left w:val="nil"/>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29,29%</w:t>
            </w:r>
          </w:p>
        </w:tc>
        <w:tc>
          <w:tcPr>
            <w:tcW w:w="992" w:type="dxa"/>
            <w:tcBorders>
              <w:left w:val="nil"/>
              <w:bottom w:val="single" w:sz="12" w:space="0" w:color="auto"/>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50,51%</w:t>
            </w:r>
          </w:p>
        </w:tc>
        <w:tc>
          <w:tcPr>
            <w:tcW w:w="992" w:type="dxa"/>
            <w:tcBorders>
              <w:left w:val="nil"/>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12,12%</w:t>
            </w:r>
          </w:p>
        </w:tc>
        <w:tc>
          <w:tcPr>
            <w:tcW w:w="815" w:type="dxa"/>
            <w:tcBorders>
              <w:bottom w:val="single" w:sz="12" w:space="0" w:color="auto"/>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Pr>
                <w:rFonts w:eastAsia="Times New Roman" w:cs="Times New Roman"/>
                <w:b/>
                <w:bCs/>
                <w:color w:val="000000"/>
                <w:sz w:val="22"/>
                <w:lang w:eastAsia="lt-LT"/>
              </w:rPr>
              <w:t>100</w:t>
            </w:r>
            <w:r w:rsidRPr="00883DBB">
              <w:rPr>
                <w:rFonts w:eastAsia="Times New Roman" w:cs="Times New Roman"/>
                <w:b/>
                <w:bCs/>
                <w:color w:val="000000"/>
                <w:sz w:val="22"/>
                <w:lang w:eastAsia="lt-LT"/>
              </w:rPr>
              <w:t>%</w:t>
            </w:r>
          </w:p>
        </w:tc>
      </w:tr>
      <w:tr w:rsidR="00883DBB" w:rsidRPr="00883DBB" w:rsidTr="00883DBB">
        <w:trPr>
          <w:trHeight w:val="331"/>
          <w:jc w:val="center"/>
        </w:trPr>
        <w:tc>
          <w:tcPr>
            <w:tcW w:w="1055" w:type="dxa"/>
            <w:tcBorders>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[-5;5]</w:t>
            </w:r>
          </w:p>
        </w:tc>
        <w:tc>
          <w:tcPr>
            <w:tcW w:w="945" w:type="dxa"/>
            <w:tcBorders>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-0,004</w:t>
            </w:r>
          </w:p>
        </w:tc>
        <w:tc>
          <w:tcPr>
            <w:tcW w:w="850" w:type="dxa"/>
            <w:tcBorders>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-0,493</w:t>
            </w:r>
          </w:p>
        </w:tc>
        <w:tc>
          <w:tcPr>
            <w:tcW w:w="851" w:type="dxa"/>
            <w:tcBorders>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0,167</w:t>
            </w:r>
          </w:p>
        </w:tc>
        <w:tc>
          <w:tcPr>
            <w:tcW w:w="850" w:type="dxa"/>
            <w:tcBorders>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0,487</w:t>
            </w:r>
          </w:p>
        </w:tc>
        <w:tc>
          <w:tcPr>
            <w:tcW w:w="851" w:type="dxa"/>
            <w:tcBorders>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0,157</w:t>
            </w:r>
          </w:p>
        </w:tc>
        <w:tc>
          <w:tcPr>
            <w:tcW w:w="850" w:type="dxa"/>
            <w:tcBorders>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0,000</w:t>
            </w:r>
          </w:p>
        </w:tc>
        <w:tc>
          <w:tcPr>
            <w:tcW w:w="993" w:type="dxa"/>
            <w:tcBorders>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-0,145</w:t>
            </w:r>
          </w:p>
        </w:tc>
        <w:tc>
          <w:tcPr>
            <w:tcW w:w="992" w:type="dxa"/>
            <w:tcBorders>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0,085</w:t>
            </w:r>
          </w:p>
        </w:tc>
        <w:tc>
          <w:tcPr>
            <w:tcW w:w="992" w:type="dxa"/>
            <w:tcBorders>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0,059</w:t>
            </w:r>
          </w:p>
        </w:tc>
        <w:tc>
          <w:tcPr>
            <w:tcW w:w="815" w:type="dxa"/>
            <w:tcBorders>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-0,001</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[-5;-1]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0,110</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0,018</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-0,467</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-0,104</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-0,443</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0,009</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0,005</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-0,236</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-0,013</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-0,234</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[-5;0]</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-0,116</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-0,347</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0,384</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0,528</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0,449</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-0,009</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-0,102</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0,194</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0,064</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0,147</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[-5;1]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-0,174</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-0,502</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0,628</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0,553</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0,505</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-0,014</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-0,147</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0,317</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0,067</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0,223</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[-3;-1]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-0,075</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0,202</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0,217</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-0,174</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0,170</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-0,006</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0,059</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0,109</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-0,021</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0,141</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[-3;0]</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-0,364</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-0,187</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0,946</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0,444</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0,839</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-0,029</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-0,055</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0,478</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0,054</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0,448</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[-3;1]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-0,413</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-0,366</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1,289</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0,511</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1,021</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-0,033</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-0,107</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0,651</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0,062</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0,572</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[-1;0]</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-0,519</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-0,355</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0,707</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0,520</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0,353</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-0,042</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-0,104</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0,357</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0,063</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0,274</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-0,485</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-0,531</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0,965</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0,585</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0,533</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-0,039</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-0,156</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0,487</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0,071</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0,363</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[-2;2]</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-0,272</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-0,543</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0,533</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0,639</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0,356</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-0,022</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-0,159</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0,269</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0,077</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0,165</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[0;1]</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-0,632</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-0,791</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1,125</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0,841</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0,543</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-0,051</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-0,232</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0,568</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0,102</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0,387</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[-1;3]</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-0,307</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-0,415</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0,586</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0,324</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0,188</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-0,025</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-0,122</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0,296</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0,039</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0,189</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[0;3]</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-0,405</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-0,527</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0,719</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0,449</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0,235</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-0,033</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-0,154</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0,363</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0,054</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0,230</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[1;3]</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0,106</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-0,295</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0,093</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-0,116</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-0,212</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0,009</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-0,086</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0,047</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-0,014</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-0,045</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[-1;5]</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-0,137</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-0,492</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0,350</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0,478</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0,199</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-0,011</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-0,144</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0,177</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0,058</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0,079</w:t>
            </w:r>
          </w:p>
        </w:tc>
      </w:tr>
      <w:tr w:rsidR="00883DBB" w:rsidRPr="00883DBB" w:rsidTr="00883DBB">
        <w:trPr>
          <w:trHeight w:val="316"/>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[0;5]</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-0,228</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-0,609</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0,498</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0,644</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0,305</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-0,018</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-0,178</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0,252</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0,078</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0,133</w:t>
            </w:r>
          </w:p>
        </w:tc>
      </w:tr>
      <w:tr w:rsidR="00883DBB" w:rsidRPr="00883DBB" w:rsidTr="00883DBB">
        <w:trPr>
          <w:trHeight w:val="331"/>
          <w:jc w:val="center"/>
        </w:trPr>
        <w:tc>
          <w:tcPr>
            <w:tcW w:w="105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lang w:eastAsia="lt-LT"/>
              </w:rPr>
            </w:pPr>
            <w:r w:rsidRPr="00883DBB">
              <w:rPr>
                <w:rFonts w:eastAsia="Times New Roman" w:cs="Times New Roman"/>
                <w:sz w:val="22"/>
                <w:lang w:eastAsia="lt-LT"/>
              </w:rPr>
              <w:t>[1;5]</w:t>
            </w:r>
          </w:p>
        </w:tc>
        <w:tc>
          <w:tcPr>
            <w:tcW w:w="945"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0,352</w:t>
            </w:r>
          </w:p>
        </w:tc>
        <w:tc>
          <w:tcPr>
            <w:tcW w:w="850"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-0,399</w:t>
            </w:r>
          </w:p>
        </w:tc>
        <w:tc>
          <w:tcPr>
            <w:tcW w:w="851"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-0,186</w:t>
            </w:r>
          </w:p>
        </w:tc>
        <w:tc>
          <w:tcPr>
            <w:tcW w:w="850"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0,250</w:t>
            </w:r>
          </w:p>
        </w:tc>
        <w:tc>
          <w:tcPr>
            <w:tcW w:w="851"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0,017</w:t>
            </w:r>
          </w:p>
        </w:tc>
        <w:tc>
          <w:tcPr>
            <w:tcW w:w="850" w:type="dxa"/>
            <w:tcBorders>
              <w:top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0,028</w:t>
            </w:r>
          </w:p>
        </w:tc>
        <w:tc>
          <w:tcPr>
            <w:tcW w:w="993"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-0,117</w:t>
            </w:r>
          </w:p>
        </w:tc>
        <w:tc>
          <w:tcPr>
            <w:tcW w:w="992" w:type="dxa"/>
            <w:tcBorders>
              <w:top w:val="nil"/>
              <w:left w:val="nil"/>
              <w:bottom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-0,094</w:t>
            </w:r>
          </w:p>
        </w:tc>
        <w:tc>
          <w:tcPr>
            <w:tcW w:w="992" w:type="dxa"/>
            <w:tcBorders>
              <w:top w:val="nil"/>
              <w:left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0,030</w:t>
            </w:r>
          </w:p>
        </w:tc>
        <w:tc>
          <w:tcPr>
            <w:tcW w:w="815" w:type="dxa"/>
            <w:tcBorders>
              <w:top w:val="nil"/>
              <w:bottom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-0,152</w:t>
            </w:r>
          </w:p>
        </w:tc>
      </w:tr>
      <w:tr w:rsidR="00883DBB" w:rsidRPr="00883DBB" w:rsidTr="00883DBB">
        <w:trPr>
          <w:trHeight w:val="346"/>
          <w:jc w:val="center"/>
        </w:trPr>
        <w:tc>
          <w:tcPr>
            <w:tcW w:w="1055" w:type="dxa"/>
            <w:tcBorders>
              <w:top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w:t>
            </w:r>
          </w:p>
        </w:tc>
        <w:tc>
          <w:tcPr>
            <w:tcW w:w="945" w:type="dxa"/>
            <w:tcBorders>
              <w:top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-1,393</w:t>
            </w:r>
          </w:p>
        </w:tc>
        <w:tc>
          <w:tcPr>
            <w:tcW w:w="850" w:type="dxa"/>
            <w:tcBorders>
              <w:top w:val="nil"/>
              <w:left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-0,452</w:t>
            </w:r>
          </w:p>
        </w:tc>
        <w:tc>
          <w:tcPr>
            <w:tcW w:w="851" w:type="dxa"/>
            <w:tcBorders>
              <w:top w:val="nil"/>
              <w:left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0,143</w:t>
            </w:r>
          </w:p>
        </w:tc>
        <w:tc>
          <w:tcPr>
            <w:tcW w:w="850" w:type="dxa"/>
            <w:tcBorders>
              <w:top w:val="nil"/>
              <w:lef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0,710</w:t>
            </w:r>
          </w:p>
        </w:tc>
        <w:tc>
          <w:tcPr>
            <w:tcW w:w="851" w:type="dxa"/>
            <w:tcBorders>
              <w:top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-0,992</w:t>
            </w:r>
          </w:p>
        </w:tc>
        <w:tc>
          <w:tcPr>
            <w:tcW w:w="850" w:type="dxa"/>
            <w:tcBorders>
              <w:top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-0,113</w:t>
            </w:r>
          </w:p>
        </w:tc>
        <w:tc>
          <w:tcPr>
            <w:tcW w:w="993" w:type="dxa"/>
            <w:tcBorders>
              <w:top w:val="nil"/>
              <w:left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-0,132</w:t>
            </w:r>
          </w:p>
        </w:tc>
        <w:tc>
          <w:tcPr>
            <w:tcW w:w="992" w:type="dxa"/>
            <w:tcBorders>
              <w:top w:val="nil"/>
              <w:left w:val="nil"/>
              <w:righ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0,072</w:t>
            </w:r>
          </w:p>
        </w:tc>
        <w:tc>
          <w:tcPr>
            <w:tcW w:w="992" w:type="dxa"/>
            <w:tcBorders>
              <w:top w:val="nil"/>
              <w:left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b/>
                <w:bCs/>
                <w:color w:val="000000"/>
                <w:lang w:eastAsia="lt-LT"/>
              </w:rPr>
            </w:pPr>
            <w:r w:rsidRPr="00883DBB">
              <w:rPr>
                <w:rFonts w:eastAsia="Times New Roman" w:cs="Times New Roman"/>
                <w:b/>
                <w:bCs/>
                <w:color w:val="000000"/>
                <w:sz w:val="22"/>
                <w:lang w:eastAsia="lt-LT"/>
              </w:rPr>
              <w:t>0,086</w:t>
            </w:r>
          </w:p>
        </w:tc>
        <w:tc>
          <w:tcPr>
            <w:tcW w:w="815" w:type="dxa"/>
            <w:tcBorders>
              <w:top w:val="nil"/>
            </w:tcBorders>
            <w:shd w:val="clear" w:color="auto" w:fill="auto"/>
            <w:noWrap/>
            <w:vAlign w:val="center"/>
            <w:hideMark/>
          </w:tcPr>
          <w:p w:rsidR="00883DBB" w:rsidRPr="00883DBB" w:rsidRDefault="00883DBB" w:rsidP="00883DBB">
            <w:pPr>
              <w:spacing w:before="0" w:line="240" w:lineRule="auto"/>
              <w:ind w:firstLine="0"/>
              <w:jc w:val="center"/>
              <w:rPr>
                <w:rFonts w:eastAsia="Times New Roman" w:cs="Times New Roman"/>
                <w:color w:val="000000"/>
                <w:lang w:eastAsia="lt-LT"/>
              </w:rPr>
            </w:pPr>
            <w:r w:rsidRPr="00883DBB">
              <w:rPr>
                <w:rFonts w:eastAsia="Times New Roman" w:cs="Times New Roman"/>
                <w:color w:val="000000"/>
                <w:sz w:val="22"/>
                <w:lang w:eastAsia="lt-LT"/>
              </w:rPr>
              <w:t>-0,087</w:t>
            </w:r>
          </w:p>
        </w:tc>
      </w:tr>
    </w:tbl>
    <w:p w:rsidR="00454998" w:rsidRDefault="00454998">
      <w:pPr>
        <w:spacing w:before="0" w:after="200" w:line="276" w:lineRule="auto"/>
        <w:ind w:firstLine="0"/>
        <w:jc w:val="left"/>
      </w:pPr>
      <w:r>
        <w:br w:type="page"/>
      </w:r>
    </w:p>
    <w:p w:rsidR="00454998" w:rsidRDefault="00454998">
      <w:pPr>
        <w:spacing w:before="0" w:after="200" w:line="276" w:lineRule="auto"/>
        <w:ind w:firstLine="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B81DC3" w:rsidTr="00B81DC3">
        <w:trPr>
          <w:trHeight w:val="771"/>
        </w:trPr>
        <w:tc>
          <w:tcPr>
            <w:tcW w:w="9889" w:type="dxa"/>
          </w:tcPr>
          <w:p w:rsidR="00B81DC3" w:rsidRDefault="007F7304" w:rsidP="007F7304">
            <w:pPr>
              <w:pStyle w:val="Priedai"/>
              <w:spacing w:after="0"/>
              <w:ind w:left="357" w:firstLine="8006"/>
              <w:jc w:val="center"/>
            </w:pPr>
            <w:r>
              <w:t xml:space="preserve"> </w:t>
            </w:r>
            <w:bookmarkStart w:id="151" w:name="_Toc343677786"/>
            <w:r w:rsidR="00E329DE">
              <w:t>Dividendinių įmonių f</w:t>
            </w:r>
            <w:r w:rsidR="00B81DC3">
              <w:t>undamentinių rodiklių duomenys 2007-2011</w:t>
            </w:r>
            <w:bookmarkEnd w:id="151"/>
          </w:p>
        </w:tc>
      </w:tr>
    </w:tbl>
    <w:tbl>
      <w:tblPr>
        <w:tblW w:w="8647"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
        <w:gridCol w:w="665"/>
        <w:gridCol w:w="708"/>
        <w:gridCol w:w="668"/>
        <w:gridCol w:w="608"/>
        <w:gridCol w:w="992"/>
        <w:gridCol w:w="709"/>
        <w:gridCol w:w="567"/>
        <w:gridCol w:w="567"/>
        <w:gridCol w:w="567"/>
        <w:gridCol w:w="851"/>
        <w:gridCol w:w="850"/>
      </w:tblGrid>
      <w:tr w:rsidR="001A4969" w:rsidRPr="001A4969" w:rsidTr="00454998">
        <w:trPr>
          <w:trHeight w:val="616"/>
          <w:jc w:val="center"/>
        </w:trPr>
        <w:tc>
          <w:tcPr>
            <w:tcW w:w="895" w:type="dxa"/>
            <w:shd w:val="clear" w:color="000000" w:fill="FFFFFF"/>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i</w:t>
            </w:r>
          </w:p>
        </w:tc>
        <w:tc>
          <w:tcPr>
            <w:tcW w:w="665" w:type="dxa"/>
            <w:shd w:val="clear" w:color="000000" w:fill="FFFFFF"/>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w:t>
            </w:r>
          </w:p>
        </w:tc>
        <w:tc>
          <w:tcPr>
            <w:tcW w:w="708"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lnTur</w:t>
            </w:r>
          </w:p>
        </w:tc>
        <w:tc>
          <w:tcPr>
            <w:tcW w:w="668" w:type="dxa"/>
            <w:shd w:val="clear" w:color="000000" w:fill="FFFFFF"/>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RETE</w:t>
            </w:r>
          </w:p>
        </w:tc>
        <w:tc>
          <w:tcPr>
            <w:tcW w:w="608"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RR</w:t>
            </w:r>
          </w:p>
        </w:tc>
        <w:tc>
          <w:tcPr>
            <w:tcW w:w="992" w:type="dxa"/>
            <w:shd w:val="clear" w:color="000000" w:fill="FFFFFF"/>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∆EBITDA</w:t>
            </w:r>
          </w:p>
        </w:tc>
        <w:tc>
          <w:tcPr>
            <w:tcW w:w="709" w:type="dxa"/>
            <w:shd w:val="clear" w:color="000000" w:fill="FFFFFF"/>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ROE</w:t>
            </w:r>
          </w:p>
        </w:tc>
        <w:tc>
          <w:tcPr>
            <w:tcW w:w="567"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CR</w:t>
            </w:r>
          </w:p>
        </w:tc>
        <w:tc>
          <w:tcPr>
            <w:tcW w:w="567"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D/E</w:t>
            </w:r>
          </w:p>
        </w:tc>
        <w:tc>
          <w:tcPr>
            <w:tcW w:w="567"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M/B</w:t>
            </w:r>
          </w:p>
        </w:tc>
        <w:tc>
          <w:tcPr>
            <w:tcW w:w="851"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lnApyv</w:t>
            </w:r>
          </w:p>
        </w:tc>
        <w:tc>
          <w:tcPr>
            <w:tcW w:w="850" w:type="dxa"/>
            <w:shd w:val="clear" w:color="000000" w:fill="FFFFFF"/>
            <w:vAlign w:val="center"/>
            <w:hideMark/>
          </w:tcPr>
          <w:p w:rsidR="00663A16" w:rsidRPr="001A4969" w:rsidRDefault="001A4969" w:rsidP="00454998">
            <w:pPr>
              <w:spacing w:before="0" w:line="240" w:lineRule="auto"/>
              <w:ind w:firstLine="0"/>
              <w:jc w:val="center"/>
              <w:rPr>
                <w:rFonts w:eastAsia="Times New Roman" w:cs="Times New Roman"/>
                <w:color w:val="000000"/>
                <w:sz w:val="18"/>
                <w:szCs w:val="18"/>
                <w:lang w:eastAsia="lt-LT"/>
              </w:rPr>
            </w:pPr>
            <w:r>
              <w:rPr>
                <w:rFonts w:eastAsia="Times New Roman" w:cs="Times New Roman"/>
                <w:color w:val="000000"/>
                <w:sz w:val="18"/>
                <w:szCs w:val="18"/>
                <w:lang w:eastAsia="lt-LT"/>
              </w:rPr>
              <w:t>DP</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HAE1T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3,83</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3,07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HAE1T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HAE1T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-0,401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HAE1T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HAE1T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3,97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0,58</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MRK1T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5,51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0,79</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2,79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MRK1T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5,41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-0,603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2,33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MRK1T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5,28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2,74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MRK1T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5,39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-4,128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SFG1T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2,058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SFG1T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1,732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SFG1T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4,23</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1,341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0,412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TKM1T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5,36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3,10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TKM1T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5,62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TKM1T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5,54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-0,929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2,92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TKM1T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5,56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16,176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3,04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TKM1T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5,57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TVEAT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5,10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0,226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3,29</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4,42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TVEAT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5,10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TVEAT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5,17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TVEAT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5,21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0,223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TVEAT</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5,26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1,59</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SAF1R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2,39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-5,024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SAF1R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2,885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SAF1R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SAF1R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6,67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GZE1R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6,52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GZE1R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6,54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GZE1R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6,13</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GZE1R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6,42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GZE1R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6,49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7,81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2,484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-3,00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-0,666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8,89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0,68</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4,83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OLF1R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3,84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0,89</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lastRenderedPageBreak/>
              <w:t>OLF1R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0,567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VSS1R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VSS1R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0,59</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7,61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0,59</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-0,611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7,16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-4,72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2,132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7,59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9,79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-3,28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SCM1R</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9,50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APG1L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5,78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3,99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APG1L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2,77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APG1L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3,92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-0,852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APG1L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3,73</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4,935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APG1L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3,84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CTS1L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4,71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CTS1L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3,70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CTS1L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0,891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0,199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CTS1L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0,68</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CTS1L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2,39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GRG1L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GRG1L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3,71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GRG1L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0,742</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GRG1L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0,476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GRG1L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4,28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LDJ1L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6,57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LDJ1L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6,60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LDJ1L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6,61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0,49</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LDJ1L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6,67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LDJ1L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6,66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KNF1L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4,86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KNF1L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4,88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0,670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KNF1L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4,91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5,13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KNF1L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4,92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8,10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1,39</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KNF1L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5,01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12,19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LES1L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6,80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0,847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4,83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LES1L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7,38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-3,12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PTR1L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1,083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0,349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3,27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PTR1L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4,42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PTR1L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-1,075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PTR1L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4,05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8,818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2,69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PTR1L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-0,618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PZV1L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0,418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0,210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2,52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PZV1L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4,76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3,47</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PZV1L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3,83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lastRenderedPageBreak/>
              <w:t>PZV1L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0,29</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1,34</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PZV1L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2,14</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0,97</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RSU1L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0,53</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0,71</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0,647</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1,69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2,94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RSU1L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-0,863</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-0,105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1,59</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RSU1L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4,61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3,856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0,079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RSU1L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0,030</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1,70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0,66</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1,22</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1,81</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RSU1L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4,87</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TEO1L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5,86</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0,27</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4,98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1,19</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TEO1L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-0,018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4,33</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1,12</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TEO1L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5,81</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-0,034</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4,38</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TEO1L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5,83</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0,15</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1,87</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3,70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TEO1L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-0,026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4,52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1,55</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3,26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1,01</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VLP1L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2007</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3,14</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0,955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3,29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1,81</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1,34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VLP1L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2008</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3,69</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-1,206</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-0,374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3,33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VLP1L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2009</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3,60</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0,18</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5,889</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0,171</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2,22</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VLP1L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3,58</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0,165</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0,237</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1,43</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0,62</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0,25</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VLP1L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3,72</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0,36</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0,72</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-0,068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0,189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1,54</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0,88</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0,75</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0,28</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VBL1L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2010</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3,45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0,44</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0,481</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0,383</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2,48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0,49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1,90</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0,20</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0,56</w:t>
            </w:r>
          </w:p>
        </w:tc>
      </w:tr>
      <w:tr w:rsidR="001A4969" w:rsidRPr="001A4969" w:rsidTr="00454998">
        <w:trPr>
          <w:trHeight w:val="301"/>
          <w:jc w:val="center"/>
        </w:trPr>
        <w:tc>
          <w:tcPr>
            <w:tcW w:w="89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VBL1L</w:t>
            </w:r>
          </w:p>
        </w:tc>
        <w:tc>
          <w:tcPr>
            <w:tcW w:w="665"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2011</w:t>
            </w:r>
          </w:p>
        </w:tc>
        <w:tc>
          <w:tcPr>
            <w:tcW w:w="7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4,75</w:t>
            </w:r>
          </w:p>
        </w:tc>
        <w:tc>
          <w:tcPr>
            <w:tcW w:w="66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0,52</w:t>
            </w:r>
          </w:p>
        </w:tc>
        <w:tc>
          <w:tcPr>
            <w:tcW w:w="608"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0,00</w:t>
            </w:r>
          </w:p>
        </w:tc>
        <w:tc>
          <w:tcPr>
            <w:tcW w:w="992"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-0,058</w:t>
            </w:r>
          </w:p>
        </w:tc>
        <w:tc>
          <w:tcPr>
            <w:tcW w:w="709"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0,319</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2,80</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0,38</w:t>
            </w:r>
          </w:p>
        </w:tc>
        <w:tc>
          <w:tcPr>
            <w:tcW w:w="567"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1,96</w:t>
            </w:r>
          </w:p>
        </w:tc>
        <w:tc>
          <w:tcPr>
            <w:tcW w:w="851"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0,14</w:t>
            </w:r>
          </w:p>
        </w:tc>
        <w:tc>
          <w:tcPr>
            <w:tcW w:w="850" w:type="dxa"/>
            <w:shd w:val="clear" w:color="000000" w:fill="FFFFFF"/>
            <w:noWrap/>
            <w:vAlign w:val="center"/>
            <w:hideMark/>
          </w:tcPr>
          <w:p w:rsidR="00663A16" w:rsidRPr="001A4969" w:rsidRDefault="00663A16" w:rsidP="00454998">
            <w:pPr>
              <w:spacing w:before="0" w:line="240" w:lineRule="auto"/>
              <w:ind w:firstLine="0"/>
              <w:jc w:val="center"/>
              <w:rPr>
                <w:rFonts w:eastAsia="Times New Roman" w:cs="Times New Roman"/>
                <w:color w:val="000000"/>
                <w:sz w:val="18"/>
                <w:szCs w:val="18"/>
                <w:lang w:eastAsia="lt-LT"/>
              </w:rPr>
            </w:pPr>
            <w:r w:rsidRPr="001A4969">
              <w:rPr>
                <w:rFonts w:eastAsia="Times New Roman" w:cs="Times New Roman"/>
                <w:color w:val="000000"/>
                <w:sz w:val="18"/>
                <w:szCs w:val="18"/>
                <w:lang w:eastAsia="lt-LT"/>
              </w:rPr>
              <w:t>1,45</w:t>
            </w:r>
          </w:p>
        </w:tc>
      </w:tr>
    </w:tbl>
    <w:p w:rsidR="00663A16" w:rsidRDefault="00663A16" w:rsidP="00E10F7A">
      <w:pPr>
        <w:ind w:firstLine="0"/>
      </w:pPr>
    </w:p>
    <w:p w:rsidR="009A1A64" w:rsidRDefault="009A1A64">
      <w:pPr>
        <w:spacing w:before="0" w:after="200" w:line="276" w:lineRule="auto"/>
        <w:ind w:firstLine="0"/>
        <w:jc w:val="left"/>
        <w:rPr>
          <w:rFonts w:cs="Times New Roman"/>
          <w:b/>
          <w:szCs w:val="24"/>
        </w:rPr>
      </w:pPr>
      <w:r>
        <w:rPr>
          <w:rFonts w:cs="Times New Roman"/>
          <w:b/>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7"/>
      </w:tblGrid>
      <w:tr w:rsidR="009C76A7" w:rsidTr="009C76A7">
        <w:tc>
          <w:tcPr>
            <w:tcW w:w="10137" w:type="dxa"/>
          </w:tcPr>
          <w:p w:rsidR="009C76A7" w:rsidRDefault="007F7304" w:rsidP="00A85687">
            <w:pPr>
              <w:pStyle w:val="Priedai"/>
              <w:ind w:firstLine="8287"/>
              <w:jc w:val="center"/>
            </w:pPr>
            <w:r>
              <w:lastRenderedPageBreak/>
              <w:t xml:space="preserve"> </w:t>
            </w:r>
            <w:bookmarkStart w:id="152" w:name="_Toc343677787"/>
            <w:r>
              <w:t>D</w:t>
            </w:r>
            <w:r w:rsidR="009C76A7">
              <w:t>ividendinio investavimo modelių rezultatai</w:t>
            </w:r>
            <w:r w:rsidR="00A85687">
              <w:t xml:space="preserve"> fiksuotų ir atsitiktinių efektų atvejais</w:t>
            </w:r>
            <w:bookmarkEnd w:id="152"/>
          </w:p>
        </w:tc>
      </w:tr>
    </w:tbl>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Model 42: Fixed-effects,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n3_p1</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Robust (HAC) standard errors</w:t>
      </w: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0,115927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0,0856739</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1,3531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0,18085</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-0,0528603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0,156321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-0,3382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0,73637</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-0,0321572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0,00716765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-4,4864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0,00003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-0,0103043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0,0210138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-0,4904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0,62558</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-0,0839703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0,0751545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-1,1173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0,26811</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-0,0701148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0,0292016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-2,4011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0,01931</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0,00227756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0,00162927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1,3979</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0,16704</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0,201486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0,107298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1,8778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0,06504</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0,00578067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0,00413937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1,3965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0,16746</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0,00213056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0,015347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0,1388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0,89003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-0,00302043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0,0105253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-0,2870</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0,77508</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-0,0100834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0,0090192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-1,1180</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0,26782</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0,00532749</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0,0277533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0,1920</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0,84839</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-0,0144238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0,0259321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-0,5562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0,58003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rPr>
                <w:rFonts w:cs="Times New Roman"/>
                <w:szCs w:val="24"/>
              </w:rPr>
            </w:pPr>
          </w:p>
        </w:tc>
      </w:tr>
    </w:tbl>
    <w:p w:rsidR="009A1A64" w:rsidRDefault="009A1A64" w:rsidP="009A1A64">
      <w:pPr>
        <w:autoSpaceDE w:val="0"/>
        <w:autoSpaceDN w:val="0"/>
        <w:adjustRightInd w:val="0"/>
        <w:spacing w:line="240" w:lineRule="auto"/>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0,017444</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0,050220</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0,152568</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0,049211</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R-squared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0,382728</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Adjusted R-squared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0,039799</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F(35, 63)</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1,116057</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P-value(F)</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0,345809</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180,0508</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-288,1016</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-194,6773</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-250,3020</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rho</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-0,275558</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18"/>
              <w:rPr>
                <w:rFonts w:cs="Times New Roman"/>
                <w:szCs w:val="24"/>
              </w:rPr>
            </w:pPr>
            <w:r>
              <w:rPr>
                <w:rFonts w:cs="Times New Roman"/>
                <w:szCs w:val="24"/>
              </w:rPr>
              <w:t>Durbin-Watson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18"/>
              <w:jc w:val="right"/>
              <w:rPr>
                <w:rFonts w:cs="Times New Roman"/>
                <w:szCs w:val="24"/>
              </w:rPr>
            </w:pPr>
            <w:r>
              <w:rPr>
                <w:rFonts w:cs="Times New Roman"/>
                <w:szCs w:val="24"/>
              </w:rPr>
              <w:t xml:space="preserve"> 2,120278</w:t>
            </w:r>
          </w:p>
        </w:tc>
      </w:tr>
    </w:tbl>
    <w:p w:rsidR="009A1A64" w:rsidRDefault="009A1A64" w:rsidP="009A1A64">
      <w:pPr>
        <w:autoSpaceDE w:val="0"/>
        <w:autoSpaceDN w:val="0"/>
        <w:adjustRightInd w:val="0"/>
        <w:spacing w:line="240" w:lineRule="auto"/>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Test for differing group intercepts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The groups have a common intercept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Test statistic: F(22, 63) = 1,0043</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P(F(22, 63) &gt; 1,0043) = 0,472607</w:t>
      </w:r>
    </w:p>
    <w:p w:rsidR="009A1A64" w:rsidRDefault="009A1A64" w:rsidP="009A1A64"/>
    <w:p w:rsidR="009A1A64" w:rsidRDefault="009A1A64"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Model 43: Random-effects (GLS),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n3_p1</w:t>
      </w: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0,0429876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0,0449085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0,9572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0,34117</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0,00979257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0,12617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0,0776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0,93832</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-0,0132987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0,00869835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-1,5289</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0,13001</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0,00153214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0,0057644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0,2658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0,79104</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-0,0106914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0,026189</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-0,4082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0,68412</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-0,0520162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0,0223215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-2,3303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0,02216</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0,00133654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0,00241425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0,5536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0,58130</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0,135343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0,0761001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1,7785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0,07890</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0,00306203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0,00325017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0,9421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0,34880</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0,000923388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0,00981143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0,0941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0,92524</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-0,00821031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0,00820012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-1,0012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0,31955</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-0,000356901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0,00403113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-0,0885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0,92966</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-0,0114653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0,0151957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-0,7545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0,45263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-0,0288933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0,0155093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-1,8630</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0,06592</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bl>
    <w:p w:rsidR="009A1A64" w:rsidRDefault="009A1A64" w:rsidP="009A1A64">
      <w:pPr>
        <w:autoSpaceDE w:val="0"/>
        <w:autoSpaceDN w:val="0"/>
        <w:adjustRightInd w:val="0"/>
        <w:spacing w:line="240" w:lineRule="auto"/>
        <w:ind w:firstLine="0"/>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0,017444</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0,050220</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0,206074</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0,048951</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165,1697</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-302,3393</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-266,0076</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-287,6395</w:t>
            </w:r>
          </w:p>
        </w:tc>
      </w:tr>
    </w:tbl>
    <w:p w:rsidR="009A1A64" w:rsidRDefault="009A1A64" w:rsidP="009A1A64">
      <w:pPr>
        <w:autoSpaceDE w:val="0"/>
        <w:autoSpaceDN w:val="0"/>
        <w:adjustRightInd w:val="0"/>
        <w:spacing w:line="240" w:lineRule="auto"/>
        <w:ind w:firstLine="0"/>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ab/>
        <w:t>'Within' variance = 0,00242171</w:t>
      </w:r>
    </w:p>
    <w:p w:rsidR="009A1A64" w:rsidRDefault="009A1A64" w:rsidP="009A1A64">
      <w:pPr>
        <w:autoSpaceDE w:val="0"/>
        <w:autoSpaceDN w:val="0"/>
        <w:adjustRightInd w:val="0"/>
        <w:spacing w:line="240" w:lineRule="auto"/>
        <w:rPr>
          <w:rFonts w:cs="Times New Roman"/>
          <w:szCs w:val="24"/>
        </w:rPr>
      </w:pPr>
      <w:r>
        <w:rPr>
          <w:rFonts w:cs="Times New Roman"/>
          <w:szCs w:val="24"/>
        </w:rPr>
        <w:tab/>
        <w:t>'Between' variance = 0,000615365</w:t>
      </w:r>
    </w:p>
    <w:p w:rsidR="009A1A64" w:rsidRDefault="009A1A64" w:rsidP="009A1A64">
      <w:pPr>
        <w:autoSpaceDE w:val="0"/>
        <w:autoSpaceDN w:val="0"/>
        <w:adjustRightInd w:val="0"/>
        <w:spacing w:line="240" w:lineRule="auto"/>
        <w:rPr>
          <w:rFonts w:cs="Times New Roman"/>
          <w:szCs w:val="24"/>
        </w:rPr>
      </w:pPr>
      <w:r>
        <w:rPr>
          <w:rFonts w:cs="Times New Roman"/>
          <w:szCs w:val="24"/>
        </w:rPr>
        <w:t>Breusch-Pagan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Variance of the unit-specific error = 0</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 = 0,382303</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0,536373</w:t>
      </w:r>
    </w:p>
    <w:p w:rsidR="009A1A64" w:rsidRDefault="009A1A64" w:rsidP="009A1A64">
      <w:pPr>
        <w:autoSpaceDE w:val="0"/>
        <w:autoSpaceDN w:val="0"/>
        <w:adjustRightInd w:val="0"/>
        <w:spacing w:line="240" w:lineRule="auto"/>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Hausman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GLS estimates are consistent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Chi-square(13) = 16,0723</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0,245245</w:t>
      </w:r>
    </w:p>
    <w:p w:rsidR="009A1A64" w:rsidRDefault="009A1A64" w:rsidP="009A1A64"/>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lastRenderedPageBreak/>
        <w:t>Model 44: Fixed-effects,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D0</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Robust (HAC) standard errors</w:t>
      </w: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0,0580791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0,042224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1,3755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0,17385</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0,408441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0,0632378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6,4588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&lt;0,00001</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-0,0143038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0,0106351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-1,3450</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0,18346</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-0,00609883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0,0093897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-0,6495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0,51836</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-0,0577622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0,0322385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-1,7917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0,07798</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-0,0320847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0,0192408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-1,6675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0,10037</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0,00191257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0,00108266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1,7665</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0,08215</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0,0810011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0,0429461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1,8861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0,06389</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-0,002022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0,00151777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-1,3322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0,18759</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0,0068678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0,00765803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0,8968</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0,37323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-0,00167552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0,00440587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-0,3803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0,70501</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0,000966024</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0,00325633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0,2967</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0,76770</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-0,00977682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0,0107666</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-0,9081</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0,36730</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-0,0139773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0,0109512</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-1,2763</w:t>
            </w:r>
          </w:p>
        </w:tc>
        <w:tc>
          <w:tcPr>
            <w:tcW w:w="1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r>
              <w:rPr>
                <w:rFonts w:cs="Times New Roman"/>
                <w:szCs w:val="24"/>
              </w:rPr>
              <w:t>0,20653</w:t>
            </w:r>
          </w:p>
        </w:tc>
        <w:tc>
          <w:tcPr>
            <w:tcW w:w="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p>
        </w:tc>
      </w:tr>
    </w:tbl>
    <w:p w:rsidR="009A1A64" w:rsidRDefault="009A1A64" w:rsidP="009A1A64">
      <w:pPr>
        <w:autoSpaceDE w:val="0"/>
        <w:autoSpaceDN w:val="0"/>
        <w:adjustRightInd w:val="0"/>
        <w:spacing w:line="240" w:lineRule="auto"/>
        <w:ind w:firstLine="0"/>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0,014253</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0,033106</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0,047644</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0,027500</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R-squared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0,556433</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Adjusted R-squared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0,310007</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F(35, 63)</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2,258012</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P-value(F)</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0,002425</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237,6616</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-403,3233</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-309,8989</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-365,5236</w:t>
            </w:r>
          </w:p>
        </w:tc>
      </w:tr>
      <w:tr w:rsidR="009A1A64" w:rsidTr="009A1A64">
        <w:trPr>
          <w:trHeight w:val="262"/>
          <w:jc w:val="center"/>
        </w:trPr>
        <w:tc>
          <w:tcPr>
            <w:tcW w:w="253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rho</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-0,359042</w:t>
            </w:r>
          </w:p>
        </w:tc>
        <w:tc>
          <w:tcPr>
            <w:tcW w:w="400" w:type="dxa"/>
            <w:tcBorders>
              <w:top w:val="nil"/>
              <w:left w:val="nil"/>
              <w:bottom w:val="nil"/>
              <w:right w:val="nil"/>
            </w:tcBorders>
          </w:tcPr>
          <w:p w:rsidR="009A1A64" w:rsidRDefault="009A1A64" w:rsidP="009A1A64">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A1A64">
            <w:pPr>
              <w:autoSpaceDE w:val="0"/>
              <w:autoSpaceDN w:val="0"/>
              <w:adjustRightInd w:val="0"/>
              <w:spacing w:line="240" w:lineRule="auto"/>
              <w:ind w:firstLine="0"/>
              <w:rPr>
                <w:rFonts w:cs="Times New Roman"/>
                <w:szCs w:val="24"/>
              </w:rPr>
            </w:pPr>
            <w:r>
              <w:rPr>
                <w:rFonts w:cs="Times New Roman"/>
                <w:szCs w:val="24"/>
              </w:rPr>
              <w:t>Durbin-Watson</w:t>
            </w:r>
          </w:p>
        </w:tc>
        <w:tc>
          <w:tcPr>
            <w:tcW w:w="1300" w:type="dxa"/>
            <w:tcBorders>
              <w:top w:val="nil"/>
              <w:left w:val="nil"/>
              <w:bottom w:val="nil"/>
              <w:right w:val="nil"/>
            </w:tcBorders>
          </w:tcPr>
          <w:p w:rsidR="009A1A64" w:rsidRDefault="009A1A64" w:rsidP="009A1A64">
            <w:pPr>
              <w:autoSpaceDE w:val="0"/>
              <w:autoSpaceDN w:val="0"/>
              <w:adjustRightInd w:val="0"/>
              <w:spacing w:line="240" w:lineRule="auto"/>
              <w:ind w:firstLine="0"/>
              <w:jc w:val="right"/>
              <w:rPr>
                <w:rFonts w:cs="Times New Roman"/>
                <w:szCs w:val="24"/>
              </w:rPr>
            </w:pPr>
            <w:r>
              <w:rPr>
                <w:rFonts w:cs="Times New Roman"/>
                <w:szCs w:val="24"/>
              </w:rPr>
              <w:t xml:space="preserve"> 2,174719</w:t>
            </w:r>
          </w:p>
        </w:tc>
      </w:tr>
    </w:tbl>
    <w:p w:rsidR="009A1A64" w:rsidRDefault="009A1A64" w:rsidP="009A1A64">
      <w:pPr>
        <w:autoSpaceDE w:val="0"/>
        <w:autoSpaceDN w:val="0"/>
        <w:adjustRightInd w:val="0"/>
        <w:spacing w:line="240" w:lineRule="auto"/>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Test for differing group intercepts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The groups have a common intercept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Test statistic: F(22, 63) = 1,33422</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P(F(22, 63) &gt; 1,33422) = 0,186043</w:t>
      </w:r>
    </w:p>
    <w:p w:rsidR="009A1A64" w:rsidRDefault="009A1A64" w:rsidP="009A1A64"/>
    <w:p w:rsidR="009A1A64" w:rsidRDefault="009A1A64"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Model 45: Random-effects (GLS),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D0</w:t>
      </w:r>
    </w:p>
    <w:p w:rsidR="009A1A64" w:rsidRDefault="009A1A64" w:rsidP="009A1A64">
      <w:pPr>
        <w:autoSpaceDE w:val="0"/>
        <w:autoSpaceDN w:val="0"/>
        <w:adjustRightInd w:val="0"/>
        <w:spacing w:line="240" w:lineRule="auto"/>
        <w:jc w:val="center"/>
        <w:rPr>
          <w:rFonts w:cs="Times New Roman"/>
          <w:szCs w:val="24"/>
        </w:rPr>
      </w:pP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0,037363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0,026466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1,4117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0,16168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0,312489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0,0737231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4,2387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0,00006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-0,00493573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0,00510914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-0,9661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0,33676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-0,00278115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0,00346923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-0,8017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0,42498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-0,0129415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0,0160019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-0,8087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0,42092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-0,0142552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0,013077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-1,0901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0,27875</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0,00103918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0,00139666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0,7441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0,45890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0,0209986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0,0444048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0,4729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0,63750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-0,00178624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0,00192428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-0,9283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0,35590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-0,000368898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0,00589791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-0,0625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0,95027</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-0,00241156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0,00478825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-0,5036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0,61582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0,00120216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0,00243456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0,4938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0,62273</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-0,0117445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0,00885771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-1,3259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0,18842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-0,0199311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0,00904735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-2,2030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0,03030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bl>
    <w:p w:rsidR="009A1A64" w:rsidRDefault="009A1A64" w:rsidP="009A1A64">
      <w:pPr>
        <w:autoSpaceDE w:val="0"/>
        <w:autoSpaceDN w:val="0"/>
        <w:adjustRightInd w:val="0"/>
        <w:spacing w:line="240" w:lineRule="auto"/>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 xml:space="preserve"> 0,014253</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 xml:space="preserve"> 0,033106</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 xml:space="preserve"> 0,069883</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 xml:space="preserve"> 0,028506</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 xml:space="preserve"> 218,6994</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-409,3988</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-373,0672</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18"/>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18"/>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18"/>
              <w:jc w:val="right"/>
              <w:rPr>
                <w:rFonts w:cs="Times New Roman"/>
                <w:szCs w:val="24"/>
              </w:rPr>
            </w:pPr>
            <w:r>
              <w:rPr>
                <w:rFonts w:cs="Times New Roman"/>
                <w:szCs w:val="24"/>
              </w:rPr>
              <w:t>-394,6990</w:t>
            </w:r>
          </w:p>
        </w:tc>
      </w:tr>
    </w:tbl>
    <w:p w:rsidR="009A1A64" w:rsidRDefault="009A1A64" w:rsidP="009A1A64">
      <w:pPr>
        <w:autoSpaceDE w:val="0"/>
        <w:autoSpaceDN w:val="0"/>
        <w:adjustRightInd w:val="0"/>
        <w:spacing w:line="240" w:lineRule="auto"/>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ab/>
        <w:t>'Within' variance = 0,000756251</w:t>
      </w:r>
    </w:p>
    <w:p w:rsidR="009A1A64" w:rsidRDefault="009A1A64" w:rsidP="009A1A64">
      <w:pPr>
        <w:autoSpaceDE w:val="0"/>
        <w:autoSpaceDN w:val="0"/>
        <w:adjustRightInd w:val="0"/>
        <w:spacing w:line="240" w:lineRule="auto"/>
        <w:rPr>
          <w:rFonts w:cs="Times New Roman"/>
          <w:szCs w:val="24"/>
        </w:rPr>
      </w:pPr>
      <w:r>
        <w:rPr>
          <w:rFonts w:cs="Times New Roman"/>
          <w:szCs w:val="24"/>
        </w:rPr>
        <w:tab/>
        <w:t>'Between' variance = 0,000227272</w:t>
      </w:r>
    </w:p>
    <w:p w:rsidR="009A1A64" w:rsidRDefault="009A1A64" w:rsidP="009A1A64">
      <w:pPr>
        <w:autoSpaceDE w:val="0"/>
        <w:autoSpaceDN w:val="0"/>
        <w:adjustRightInd w:val="0"/>
        <w:spacing w:line="240" w:lineRule="auto"/>
        <w:rPr>
          <w:rFonts w:cs="Times New Roman"/>
          <w:szCs w:val="24"/>
        </w:rPr>
      </w:pPr>
      <w:r>
        <w:rPr>
          <w:rFonts w:cs="Times New Roman"/>
          <w:szCs w:val="24"/>
        </w:rPr>
        <w:t>Breusch-Pagan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Variance of the unit-specific error = 0</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 = 0,00109436</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0,97361</w:t>
      </w:r>
    </w:p>
    <w:p w:rsidR="009A1A64" w:rsidRDefault="009A1A64" w:rsidP="009A1A64">
      <w:pPr>
        <w:autoSpaceDE w:val="0"/>
        <w:autoSpaceDN w:val="0"/>
        <w:adjustRightInd w:val="0"/>
        <w:spacing w:line="240" w:lineRule="auto"/>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Hausman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GLS estimates are consistent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Chi-square(13) = 21,4982</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0,0636416</w:t>
      </w:r>
    </w:p>
    <w:p w:rsidR="009A1A64" w:rsidRDefault="009A1A64" w:rsidP="009A1A64"/>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Model 46: Fixed-effects,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O_p5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Robust (HAC) standard errors</w:t>
      </w: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0,0847761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0,0820713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1,0330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0,30557</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0,193921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0,128136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1,5134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0,13518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-0,0139547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0,00708736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-1,9690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0,05336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-0,0275957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0,0174785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-1,5788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0,11938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0,133419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0,0967852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1,3785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0,17292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-0,0331533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0,0270869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-1,2240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0,22552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0,00489056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0,00180428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2,7105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0,00864</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-0,0454901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0,0729899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-0,6232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0,53538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0,00751706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0,00476715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1,5768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0,11984</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0,0127162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0,00926464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1,3726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0,17476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-0,00912601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0,00844224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-1,0810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0,28382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0,00263007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0,00896974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0,2932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0,77032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-0,00288917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0,0172944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-0,1671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0,86786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-0,0398685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0,0172656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-2,3091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0,02423</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bl>
    <w:p w:rsidR="009A1A64" w:rsidRDefault="009A1A64" w:rsidP="009C76A7">
      <w:pPr>
        <w:autoSpaceDE w:val="0"/>
        <w:autoSpaceDN w:val="0"/>
        <w:adjustRightInd w:val="0"/>
        <w:spacing w:line="240" w:lineRule="auto"/>
        <w:ind w:firstLine="0"/>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0,008556</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0,053905</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0,138764</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0,046932</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R-squared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0,512700</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Adjusted R-squared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0,241977</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F(35, 63)</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1,893821</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P-value(F)</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0,013637</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184,7451</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-297,4902</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-204,0659</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-259,6906</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rho</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-0,077438</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Durbin-Watson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1,607568</w:t>
            </w:r>
          </w:p>
        </w:tc>
      </w:tr>
    </w:tbl>
    <w:p w:rsidR="009A1A64" w:rsidRDefault="009A1A64" w:rsidP="009A1A64">
      <w:pPr>
        <w:autoSpaceDE w:val="0"/>
        <w:autoSpaceDN w:val="0"/>
        <w:adjustRightInd w:val="0"/>
        <w:spacing w:line="240" w:lineRule="auto"/>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Test for differing group intercepts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The groups have a common intercept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Test statistic: F(22, 63) = 1,49655</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P(F(22, 63) &gt; 1,49655) = 0,108426</w:t>
      </w:r>
    </w:p>
    <w:p w:rsidR="009A1A64" w:rsidRDefault="009A1A64" w:rsidP="009A1A64"/>
    <w:p w:rsidR="009A1A64" w:rsidRDefault="009A1A64"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C76A7" w:rsidRDefault="009C76A7" w:rsidP="009A1A64">
      <w:pPr>
        <w:autoSpaceDE w:val="0"/>
        <w:autoSpaceDN w:val="0"/>
        <w:adjustRightInd w:val="0"/>
        <w:spacing w:line="240" w:lineRule="auto"/>
        <w:rPr>
          <w:rFonts w:cs="Times New Roman"/>
          <w:szCs w:val="24"/>
        </w:rPr>
      </w:pP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Model 47: Random-effects (GLS), using 99 observations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Included 23 cross-sectional units</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Time-series length: minimum 2, maximum 5</w:t>
      </w:r>
    </w:p>
    <w:p w:rsidR="009A1A64" w:rsidRPr="009C76A7" w:rsidRDefault="009A1A64" w:rsidP="009C76A7">
      <w:pPr>
        <w:autoSpaceDE w:val="0"/>
        <w:autoSpaceDN w:val="0"/>
        <w:adjustRightInd w:val="0"/>
        <w:spacing w:before="0" w:line="240" w:lineRule="auto"/>
        <w:jc w:val="center"/>
        <w:rPr>
          <w:rFonts w:cs="Times New Roman"/>
          <w:b/>
          <w:szCs w:val="24"/>
        </w:rPr>
      </w:pPr>
      <w:r w:rsidRPr="009C76A7">
        <w:rPr>
          <w:rFonts w:cs="Times New Roman"/>
          <w:b/>
          <w:szCs w:val="24"/>
        </w:rPr>
        <w:t>Dependent variable: O_p5</w:t>
      </w:r>
    </w:p>
    <w:p w:rsidR="009A1A64" w:rsidRDefault="009A1A64" w:rsidP="009A1A64">
      <w:pPr>
        <w:autoSpaceDE w:val="0"/>
        <w:autoSpaceDN w:val="0"/>
        <w:adjustRightInd w:val="0"/>
        <w:spacing w:line="240" w:lineRule="auto"/>
        <w:jc w:val="center"/>
        <w:rPr>
          <w:rFonts w:cs="Times New Roman"/>
          <w:szCs w:val="24"/>
        </w:rPr>
      </w:pPr>
    </w:p>
    <w:tbl>
      <w:tblPr>
        <w:tblW w:w="0" w:type="auto"/>
        <w:jc w:val="center"/>
        <w:tblLayout w:type="fixed"/>
        <w:tblCellMar>
          <w:left w:w="30" w:type="dxa"/>
          <w:right w:w="30" w:type="dxa"/>
        </w:tblCellMar>
        <w:tblLook w:val="0000"/>
      </w:tblPr>
      <w:tblGrid>
        <w:gridCol w:w="1930"/>
        <w:gridCol w:w="1400"/>
        <w:gridCol w:w="1400"/>
        <w:gridCol w:w="1400"/>
        <w:gridCol w:w="1400"/>
        <w:gridCol w:w="500"/>
      </w:tblGrid>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 xml:space="preserve"> </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Coefficient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Std. Error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t-ratio</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i/>
                <w:iCs/>
                <w:szCs w:val="24"/>
              </w:rPr>
              <w:t>p-value</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const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0,0196668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0,0463921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0,4239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0,67269</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DY</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0,20714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0,128553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1,6113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0,11082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DivPAYOUT</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0,0012806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0,0089431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0,1432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0,88648</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Size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0,000646982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0,00616039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0,1050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0,91661</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0,0251274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0,0286799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0,8761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0,38343</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RetentionR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-0,0260236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0,0228342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-1,1397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0,25762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EBIDTAch</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0,00318401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0,00242028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1,3156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0,19186</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ROE</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0,0145413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0,0773851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0,1879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0,85140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CurrentR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0,00126389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0,00337934</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0,3740</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0,70933</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Debt_EquityR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0,00775405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0,0104563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0,7416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0,46040</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Market_bookR</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-0,0096903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0,00834142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-1,1617</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0,24861</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TURN</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0,000289549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0,00432949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0,0669</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0,94684</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DInfoDY_3</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-0,0157856</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0,0154231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-1,0235</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0,30897</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p>
        </w:tc>
      </w:tr>
      <w:tr w:rsidR="009A1A64" w:rsidTr="009A1A64">
        <w:trPr>
          <w:trHeight w:val="262"/>
          <w:jc w:val="center"/>
        </w:trPr>
        <w:tc>
          <w:tcPr>
            <w:tcW w:w="19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DInfoDY_2</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-0,051628</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0,0157591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-3,2761</w:t>
            </w:r>
          </w:p>
        </w:tc>
        <w:tc>
          <w:tcPr>
            <w:tcW w:w="1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r>
              <w:rPr>
                <w:rFonts w:cs="Times New Roman"/>
                <w:szCs w:val="24"/>
              </w:rPr>
              <w:t>0,00152</w:t>
            </w:r>
          </w:p>
        </w:tc>
        <w:tc>
          <w:tcPr>
            <w:tcW w:w="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w:t>
            </w:r>
          </w:p>
        </w:tc>
      </w:tr>
    </w:tbl>
    <w:p w:rsidR="009A1A64" w:rsidRDefault="009A1A64" w:rsidP="009C76A7">
      <w:pPr>
        <w:autoSpaceDE w:val="0"/>
        <w:autoSpaceDN w:val="0"/>
        <w:adjustRightInd w:val="0"/>
        <w:spacing w:line="240" w:lineRule="auto"/>
        <w:ind w:firstLine="0"/>
        <w:jc w:val="center"/>
        <w:rPr>
          <w:rFonts w:cs="Times New Roman"/>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Mean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0,008556</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S.D. dependent var</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0,053905</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Sum squared resid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0,211641</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S.E. of regression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0,049608</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Log-likelihood</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 xml:space="preserve"> 163,8503</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Akaike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-299,7006</w:t>
            </w:r>
          </w:p>
        </w:tc>
      </w:tr>
      <w:tr w:rsidR="009A1A64" w:rsidTr="009A1A64">
        <w:trPr>
          <w:trHeight w:val="262"/>
          <w:jc w:val="center"/>
        </w:trPr>
        <w:tc>
          <w:tcPr>
            <w:tcW w:w="253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Schwarz criterion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-263,3689</w:t>
            </w:r>
          </w:p>
        </w:tc>
        <w:tc>
          <w:tcPr>
            <w:tcW w:w="400" w:type="dxa"/>
            <w:tcBorders>
              <w:top w:val="nil"/>
              <w:left w:val="nil"/>
              <w:bottom w:val="nil"/>
              <w:right w:val="nil"/>
            </w:tcBorders>
          </w:tcPr>
          <w:p w:rsidR="009A1A64" w:rsidRDefault="009A1A64" w:rsidP="009C76A7">
            <w:pPr>
              <w:autoSpaceDE w:val="0"/>
              <w:autoSpaceDN w:val="0"/>
              <w:adjustRightInd w:val="0"/>
              <w:spacing w:line="240" w:lineRule="auto"/>
              <w:ind w:firstLine="0"/>
              <w:jc w:val="center"/>
              <w:rPr>
                <w:rFonts w:cs="Times New Roman"/>
                <w:szCs w:val="24"/>
              </w:rPr>
            </w:pPr>
          </w:p>
        </w:tc>
        <w:tc>
          <w:tcPr>
            <w:tcW w:w="2500" w:type="dxa"/>
            <w:tcBorders>
              <w:top w:val="nil"/>
              <w:left w:val="nil"/>
              <w:bottom w:val="nil"/>
              <w:right w:val="nil"/>
            </w:tcBorders>
          </w:tcPr>
          <w:p w:rsidR="009A1A64" w:rsidRDefault="009A1A64" w:rsidP="009C76A7">
            <w:pPr>
              <w:autoSpaceDE w:val="0"/>
              <w:autoSpaceDN w:val="0"/>
              <w:adjustRightInd w:val="0"/>
              <w:spacing w:line="240" w:lineRule="auto"/>
              <w:ind w:firstLine="0"/>
              <w:rPr>
                <w:rFonts w:cs="Times New Roman"/>
                <w:szCs w:val="24"/>
              </w:rPr>
            </w:pPr>
            <w:r>
              <w:rPr>
                <w:rFonts w:cs="Times New Roman"/>
                <w:szCs w:val="24"/>
              </w:rPr>
              <w:t>Hannan-Quinn</w:t>
            </w:r>
          </w:p>
        </w:tc>
        <w:tc>
          <w:tcPr>
            <w:tcW w:w="1300" w:type="dxa"/>
            <w:tcBorders>
              <w:top w:val="nil"/>
              <w:left w:val="nil"/>
              <w:bottom w:val="nil"/>
              <w:right w:val="nil"/>
            </w:tcBorders>
          </w:tcPr>
          <w:p w:rsidR="009A1A64" w:rsidRDefault="009A1A64" w:rsidP="009C76A7">
            <w:pPr>
              <w:autoSpaceDE w:val="0"/>
              <w:autoSpaceDN w:val="0"/>
              <w:adjustRightInd w:val="0"/>
              <w:spacing w:line="240" w:lineRule="auto"/>
              <w:ind w:firstLine="0"/>
              <w:jc w:val="right"/>
              <w:rPr>
                <w:rFonts w:cs="Times New Roman"/>
                <w:szCs w:val="24"/>
              </w:rPr>
            </w:pPr>
            <w:r>
              <w:rPr>
                <w:rFonts w:cs="Times New Roman"/>
                <w:szCs w:val="24"/>
              </w:rPr>
              <w:t>-285,0007</w:t>
            </w:r>
          </w:p>
        </w:tc>
      </w:tr>
    </w:tbl>
    <w:p w:rsidR="009A1A64" w:rsidRDefault="009A1A64" w:rsidP="009A1A64">
      <w:pPr>
        <w:autoSpaceDE w:val="0"/>
        <w:autoSpaceDN w:val="0"/>
        <w:adjustRightInd w:val="0"/>
        <w:spacing w:line="240" w:lineRule="auto"/>
        <w:jc w:val="center"/>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ab/>
        <w:t>'Within' variance = 0,0022026</w:t>
      </w:r>
    </w:p>
    <w:p w:rsidR="009A1A64" w:rsidRDefault="009A1A64" w:rsidP="009A1A64">
      <w:pPr>
        <w:autoSpaceDE w:val="0"/>
        <w:autoSpaceDN w:val="0"/>
        <w:adjustRightInd w:val="0"/>
        <w:spacing w:line="240" w:lineRule="auto"/>
        <w:rPr>
          <w:rFonts w:cs="Times New Roman"/>
          <w:szCs w:val="24"/>
        </w:rPr>
      </w:pPr>
      <w:r>
        <w:rPr>
          <w:rFonts w:cs="Times New Roman"/>
          <w:szCs w:val="24"/>
        </w:rPr>
        <w:tab/>
        <w:t>'Between' variance = 0,000720404</w:t>
      </w:r>
    </w:p>
    <w:p w:rsidR="009A1A64" w:rsidRDefault="009A1A64" w:rsidP="009A1A64">
      <w:pPr>
        <w:autoSpaceDE w:val="0"/>
        <w:autoSpaceDN w:val="0"/>
        <w:adjustRightInd w:val="0"/>
        <w:spacing w:line="240" w:lineRule="auto"/>
        <w:rPr>
          <w:rFonts w:cs="Times New Roman"/>
          <w:szCs w:val="24"/>
        </w:rPr>
      </w:pPr>
      <w:r>
        <w:rPr>
          <w:rFonts w:cs="Times New Roman"/>
          <w:szCs w:val="24"/>
        </w:rPr>
        <w:t>Breusch-Pagan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Variance of the unit-specific error = 0</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 = 0,000820279</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with p-value = 0,977151</w:t>
      </w:r>
    </w:p>
    <w:p w:rsidR="009A1A64" w:rsidRDefault="009A1A64" w:rsidP="009A1A64">
      <w:pPr>
        <w:autoSpaceDE w:val="0"/>
        <w:autoSpaceDN w:val="0"/>
        <w:adjustRightInd w:val="0"/>
        <w:spacing w:line="240" w:lineRule="auto"/>
        <w:rPr>
          <w:rFonts w:cs="Times New Roman"/>
          <w:szCs w:val="24"/>
        </w:rPr>
      </w:pPr>
    </w:p>
    <w:p w:rsidR="009A1A64" w:rsidRDefault="009A1A64" w:rsidP="009A1A64">
      <w:pPr>
        <w:autoSpaceDE w:val="0"/>
        <w:autoSpaceDN w:val="0"/>
        <w:adjustRightInd w:val="0"/>
        <w:spacing w:line="240" w:lineRule="auto"/>
        <w:rPr>
          <w:rFonts w:cs="Times New Roman"/>
          <w:szCs w:val="24"/>
        </w:rPr>
      </w:pPr>
      <w:r>
        <w:rPr>
          <w:rFonts w:cs="Times New Roman"/>
          <w:szCs w:val="24"/>
        </w:rPr>
        <w:t>Hausman test -</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Null hypothesis: GLS estimates are consistent</w:t>
      </w:r>
    </w:p>
    <w:p w:rsidR="009A1A64" w:rsidRDefault="009A1A64" w:rsidP="009A1A64">
      <w:pPr>
        <w:autoSpaceDE w:val="0"/>
        <w:autoSpaceDN w:val="0"/>
        <w:adjustRightInd w:val="0"/>
        <w:spacing w:line="240" w:lineRule="auto"/>
        <w:rPr>
          <w:rFonts w:cs="Times New Roman"/>
          <w:szCs w:val="24"/>
        </w:rPr>
      </w:pPr>
      <w:r>
        <w:rPr>
          <w:rFonts w:cs="Times New Roman"/>
          <w:szCs w:val="24"/>
        </w:rPr>
        <w:t xml:space="preserve"> Asymptotic test statistic: Chi-square(13) = 25,7888</w:t>
      </w:r>
    </w:p>
    <w:p w:rsidR="00A139DB" w:rsidRPr="00332172" w:rsidRDefault="009A1A64" w:rsidP="009C76A7">
      <w:pPr>
        <w:autoSpaceDE w:val="0"/>
        <w:autoSpaceDN w:val="0"/>
        <w:adjustRightInd w:val="0"/>
        <w:spacing w:line="240" w:lineRule="auto"/>
      </w:pPr>
      <w:r>
        <w:rPr>
          <w:rFonts w:cs="Times New Roman"/>
          <w:szCs w:val="24"/>
        </w:rPr>
        <w:t xml:space="preserve"> with p-value = 0,0181451</w:t>
      </w:r>
    </w:p>
    <w:sectPr w:rsidR="00A139DB" w:rsidRPr="00332172" w:rsidSect="00E10F7A">
      <w:headerReference w:type="default" r:id="rId19"/>
      <w:pgSz w:w="11906" w:h="16838"/>
      <w:pgMar w:top="1134" w:right="567" w:bottom="1134" w:left="1418" w:header="0" w:footer="283" w:gutter="0"/>
      <w:pgNumType w:start="3"/>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050" w:rsidRDefault="00507050" w:rsidP="007062CA">
      <w:pPr>
        <w:spacing w:before="0" w:line="240" w:lineRule="auto"/>
      </w:pPr>
      <w:r>
        <w:separator/>
      </w:r>
    </w:p>
  </w:endnote>
  <w:endnote w:type="continuationSeparator" w:id="0">
    <w:p w:rsidR="00507050" w:rsidRDefault="00507050" w:rsidP="007062C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T747o00">
    <w:altName w:val="MS Mincho"/>
    <w:panose1 w:val="00000000000000000000"/>
    <w:charset w:val="80"/>
    <w:family w:val="auto"/>
    <w:notTrueType/>
    <w:pitch w:val="default"/>
    <w:sig w:usb0="00000001" w:usb1="08070000" w:usb2="00000010" w:usb3="00000000" w:csb0="00020000" w:csb1="00000000"/>
  </w:font>
  <w:font w:name="TT746o00">
    <w:altName w:val="MS Mincho"/>
    <w:panose1 w:val="00000000000000000000"/>
    <w:charset w:val="80"/>
    <w:family w:val="auto"/>
    <w:notTrueType/>
    <w:pitch w:val="default"/>
    <w:sig w:usb0="00000001" w:usb1="08070000" w:usb2="00000010" w:usb3="00000000" w:csb0="00020000" w:csb1="00000000"/>
  </w:font>
  <w:font w:name="AdvTTb8864ccf.B">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MMI8">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Italic">
    <w:altName w:val="Times New Roman"/>
    <w:panose1 w:val="00000000000000000000"/>
    <w:charset w:val="00"/>
    <w:family w:val="auto"/>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050" w:rsidRDefault="00507050" w:rsidP="007062CA">
      <w:pPr>
        <w:spacing w:before="0" w:line="240" w:lineRule="auto"/>
      </w:pPr>
      <w:r>
        <w:separator/>
      </w:r>
    </w:p>
  </w:footnote>
  <w:footnote w:type="continuationSeparator" w:id="0">
    <w:p w:rsidR="00507050" w:rsidRDefault="00507050" w:rsidP="007062CA">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5458"/>
      <w:docPartObj>
        <w:docPartGallery w:val="Page Numbers (Top of Page)"/>
        <w:docPartUnique/>
      </w:docPartObj>
    </w:sdtPr>
    <w:sdtContent>
      <w:p w:rsidR="00B5369C" w:rsidRDefault="00B5369C">
        <w:pPr>
          <w:pStyle w:val="Header"/>
          <w:jc w:val="center"/>
        </w:pPr>
      </w:p>
    </w:sdtContent>
  </w:sdt>
  <w:p w:rsidR="00B5369C" w:rsidRDefault="00B5369C" w:rsidP="00380F5A">
    <w:pPr>
      <w:pStyle w:val="Header"/>
      <w:ind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69C" w:rsidRDefault="00B5369C" w:rsidP="00160F7F">
    <w:pPr>
      <w:pStyle w:val="Header"/>
      <w:tabs>
        <w:tab w:val="clear" w:pos="4320"/>
        <w:tab w:val="center" w:pos="3969"/>
      </w:tabs>
      <w:ind w:firstLine="0"/>
      <w:jc w:val="center"/>
    </w:pPr>
  </w:p>
  <w:p w:rsidR="00B5369C" w:rsidRDefault="00B5369C" w:rsidP="00160F7F">
    <w:pPr>
      <w:pStyle w:val="Header"/>
      <w:ind w:firstLine="0"/>
      <w:jc w:val="center"/>
    </w:pPr>
    <w:sdt>
      <w:sdtPr>
        <w:id w:val="10135436"/>
        <w:docPartObj>
          <w:docPartGallery w:val="Page Numbers (Top of Page)"/>
          <w:docPartUnique/>
        </w:docPartObj>
      </w:sdtPr>
      <w:sdtContent>
        <w:fldSimple w:instr=" PAGE   \* MERGEFORMAT ">
          <w:r>
            <w:rPr>
              <w:noProof/>
            </w:rPr>
            <w:t>1</w:t>
          </w:r>
        </w:fldSimple>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135459"/>
      <w:docPartObj>
        <w:docPartGallery w:val="Page Numbers (Top of Page)"/>
        <w:docPartUnique/>
      </w:docPartObj>
    </w:sdtPr>
    <w:sdtContent>
      <w:p w:rsidR="00B5369C" w:rsidRPr="00174D42" w:rsidRDefault="00B5369C">
        <w:pPr>
          <w:pStyle w:val="Header"/>
          <w:jc w:val="center"/>
          <w:rPr>
            <w:rFonts w:ascii="Times New Roman" w:hAnsi="Times New Roman"/>
          </w:rPr>
        </w:pPr>
      </w:p>
      <w:p w:rsidR="00B5369C" w:rsidRPr="00174D42" w:rsidRDefault="00B5369C" w:rsidP="00174D42">
        <w:pPr>
          <w:pStyle w:val="Header"/>
          <w:ind w:firstLine="0"/>
          <w:jc w:val="center"/>
          <w:rPr>
            <w:rFonts w:ascii="Times New Roman" w:hAnsi="Times New Roman"/>
          </w:rPr>
        </w:pPr>
        <w:r w:rsidRPr="00174D42">
          <w:rPr>
            <w:rFonts w:ascii="Times New Roman" w:hAnsi="Times New Roman"/>
          </w:rPr>
          <w:fldChar w:fldCharType="begin"/>
        </w:r>
        <w:r w:rsidRPr="00174D42">
          <w:rPr>
            <w:rFonts w:ascii="Times New Roman" w:hAnsi="Times New Roman"/>
          </w:rPr>
          <w:instrText xml:space="preserve"> PAGE   \* MERGEFORMAT </w:instrText>
        </w:r>
        <w:r w:rsidRPr="00174D42">
          <w:rPr>
            <w:rFonts w:ascii="Times New Roman" w:hAnsi="Times New Roman"/>
          </w:rPr>
          <w:fldChar w:fldCharType="separate"/>
        </w:r>
        <w:r w:rsidR="0009577F">
          <w:rPr>
            <w:rFonts w:ascii="Times New Roman" w:hAnsi="Times New Roman"/>
            <w:noProof/>
          </w:rPr>
          <w:t>63</w:t>
        </w:r>
        <w:r w:rsidRPr="00174D42">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7B5"/>
    <w:multiLevelType w:val="hybridMultilevel"/>
    <w:tmpl w:val="FCDC4C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AEF22E3"/>
    <w:multiLevelType w:val="hybridMultilevel"/>
    <w:tmpl w:val="FA425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12B42DC"/>
    <w:multiLevelType w:val="hybridMultilevel"/>
    <w:tmpl w:val="73CE0FC0"/>
    <w:lvl w:ilvl="0" w:tplc="25E881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3D4E7F"/>
    <w:multiLevelType w:val="hybridMultilevel"/>
    <w:tmpl w:val="EBC236A2"/>
    <w:lvl w:ilvl="0" w:tplc="8A56A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67008AF"/>
    <w:multiLevelType w:val="hybridMultilevel"/>
    <w:tmpl w:val="D924CA0C"/>
    <w:lvl w:ilvl="0" w:tplc="50CAAC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8104208"/>
    <w:multiLevelType w:val="hybridMultilevel"/>
    <w:tmpl w:val="D924CA0C"/>
    <w:lvl w:ilvl="0" w:tplc="50CAAC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D156C7D"/>
    <w:multiLevelType w:val="hybridMultilevel"/>
    <w:tmpl w:val="EE26C67C"/>
    <w:lvl w:ilvl="0" w:tplc="A64880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D980A42"/>
    <w:multiLevelType w:val="hybridMultilevel"/>
    <w:tmpl w:val="360E3DCC"/>
    <w:lvl w:ilvl="0" w:tplc="6828238C">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233C55"/>
    <w:multiLevelType w:val="hybridMultilevel"/>
    <w:tmpl w:val="7012023E"/>
    <w:lvl w:ilvl="0" w:tplc="D58026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353B9F"/>
    <w:multiLevelType w:val="hybridMultilevel"/>
    <w:tmpl w:val="F96EA1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371D39"/>
    <w:multiLevelType w:val="hybridMultilevel"/>
    <w:tmpl w:val="DC86C0C2"/>
    <w:lvl w:ilvl="0" w:tplc="2CFACBAE">
      <w:start w:val="1"/>
      <w:numFmt w:val="decimal"/>
      <w:lvlText w:val="3.1.%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2D56CA"/>
    <w:multiLevelType w:val="hybridMultilevel"/>
    <w:tmpl w:val="9E1E7832"/>
    <w:lvl w:ilvl="0" w:tplc="7DB63032">
      <w:start w:val="1"/>
      <w:numFmt w:val="decimal"/>
      <w:lvlText w:val="%1."/>
      <w:lvlJc w:val="left"/>
      <w:pPr>
        <w:ind w:left="1287"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3523E3A"/>
    <w:multiLevelType w:val="hybridMultilevel"/>
    <w:tmpl w:val="D924CA0C"/>
    <w:lvl w:ilvl="0" w:tplc="50CAAC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3A77F42"/>
    <w:multiLevelType w:val="hybridMultilevel"/>
    <w:tmpl w:val="B888B3E8"/>
    <w:lvl w:ilvl="0" w:tplc="4D44AD00">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D34737"/>
    <w:multiLevelType w:val="hybridMultilevel"/>
    <w:tmpl w:val="22E27FE8"/>
    <w:lvl w:ilvl="0" w:tplc="396085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2E721102"/>
    <w:multiLevelType w:val="hybridMultilevel"/>
    <w:tmpl w:val="BAC25F40"/>
    <w:lvl w:ilvl="0" w:tplc="A8A8C9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308E7235"/>
    <w:multiLevelType w:val="hybridMultilevel"/>
    <w:tmpl w:val="3E80FF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nsid w:val="337E2341"/>
    <w:multiLevelType w:val="hybridMultilevel"/>
    <w:tmpl w:val="5B24E84C"/>
    <w:lvl w:ilvl="0" w:tplc="99C6BF96">
      <w:start w:val="1"/>
      <w:numFmt w:val="decimal"/>
      <w:pStyle w:val="Priedai"/>
      <w:lvlText w:val="%1 PRIEDAS"/>
      <w:lvlJc w:val="left"/>
      <w:pPr>
        <w:ind w:left="9433"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3A16BF4"/>
    <w:multiLevelType w:val="hybridMultilevel"/>
    <w:tmpl w:val="FAA6788A"/>
    <w:lvl w:ilvl="0" w:tplc="1DB038D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4432A2C"/>
    <w:multiLevelType w:val="hybridMultilevel"/>
    <w:tmpl w:val="D924CA0C"/>
    <w:lvl w:ilvl="0" w:tplc="50CAAC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35D273C0"/>
    <w:multiLevelType w:val="multilevel"/>
    <w:tmpl w:val="3EF82F88"/>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1"/>
      <w:numFmt w:val="decimal"/>
      <w:lvlText w:val="1.1.%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1">
    <w:nsid w:val="3C8B73F0"/>
    <w:multiLevelType w:val="hybridMultilevel"/>
    <w:tmpl w:val="F8324FEC"/>
    <w:lvl w:ilvl="0" w:tplc="E578E05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D191C3F"/>
    <w:multiLevelType w:val="hybridMultilevel"/>
    <w:tmpl w:val="25E89A54"/>
    <w:lvl w:ilvl="0" w:tplc="3658548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F6376C2"/>
    <w:multiLevelType w:val="hybridMultilevel"/>
    <w:tmpl w:val="66EAC05C"/>
    <w:lvl w:ilvl="0" w:tplc="0FC2FC56">
      <w:start w:val="1"/>
      <w:numFmt w:val="decimal"/>
      <w:pStyle w:val="Subtitle"/>
      <w:lvlText w:val="%1 pav."/>
      <w:lvlJc w:val="left"/>
      <w:pPr>
        <w:ind w:left="502"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70003" w:tentative="1">
      <w:start w:val="1"/>
      <w:numFmt w:val="lowerLetter"/>
      <w:lvlText w:val="%2."/>
      <w:lvlJc w:val="left"/>
      <w:pPr>
        <w:ind w:left="4004" w:hanging="360"/>
      </w:pPr>
    </w:lvl>
    <w:lvl w:ilvl="2" w:tplc="04270005" w:tentative="1">
      <w:start w:val="1"/>
      <w:numFmt w:val="lowerRoman"/>
      <w:lvlText w:val="%3."/>
      <w:lvlJc w:val="right"/>
      <w:pPr>
        <w:ind w:left="4724" w:hanging="180"/>
      </w:pPr>
    </w:lvl>
    <w:lvl w:ilvl="3" w:tplc="04270001" w:tentative="1">
      <w:start w:val="1"/>
      <w:numFmt w:val="decimal"/>
      <w:lvlText w:val="%4."/>
      <w:lvlJc w:val="left"/>
      <w:pPr>
        <w:ind w:left="5444" w:hanging="360"/>
      </w:pPr>
    </w:lvl>
    <w:lvl w:ilvl="4" w:tplc="04270003" w:tentative="1">
      <w:start w:val="1"/>
      <w:numFmt w:val="lowerLetter"/>
      <w:lvlText w:val="%5."/>
      <w:lvlJc w:val="left"/>
      <w:pPr>
        <w:ind w:left="6164" w:hanging="360"/>
      </w:pPr>
    </w:lvl>
    <w:lvl w:ilvl="5" w:tplc="04270005" w:tentative="1">
      <w:start w:val="1"/>
      <w:numFmt w:val="lowerRoman"/>
      <w:lvlText w:val="%6."/>
      <w:lvlJc w:val="right"/>
      <w:pPr>
        <w:ind w:left="6884" w:hanging="180"/>
      </w:pPr>
    </w:lvl>
    <w:lvl w:ilvl="6" w:tplc="04270001" w:tentative="1">
      <w:start w:val="1"/>
      <w:numFmt w:val="decimal"/>
      <w:lvlText w:val="%7."/>
      <w:lvlJc w:val="left"/>
      <w:pPr>
        <w:ind w:left="7604" w:hanging="360"/>
      </w:pPr>
    </w:lvl>
    <w:lvl w:ilvl="7" w:tplc="04270003" w:tentative="1">
      <w:start w:val="1"/>
      <w:numFmt w:val="lowerLetter"/>
      <w:lvlText w:val="%8."/>
      <w:lvlJc w:val="left"/>
      <w:pPr>
        <w:ind w:left="8324" w:hanging="360"/>
      </w:pPr>
    </w:lvl>
    <w:lvl w:ilvl="8" w:tplc="04270005" w:tentative="1">
      <w:start w:val="1"/>
      <w:numFmt w:val="lowerRoman"/>
      <w:lvlText w:val="%9."/>
      <w:lvlJc w:val="right"/>
      <w:pPr>
        <w:ind w:left="9044" w:hanging="180"/>
      </w:pPr>
    </w:lvl>
  </w:abstractNum>
  <w:abstractNum w:abstractNumId="24">
    <w:nsid w:val="402F127F"/>
    <w:multiLevelType w:val="hybridMultilevel"/>
    <w:tmpl w:val="58D419F4"/>
    <w:lvl w:ilvl="0" w:tplc="C8481FC8">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39E3445"/>
    <w:multiLevelType w:val="multilevel"/>
    <w:tmpl w:val="599AD37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6003398"/>
    <w:multiLevelType w:val="hybridMultilevel"/>
    <w:tmpl w:val="13483166"/>
    <w:lvl w:ilvl="0" w:tplc="68AE43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B792B1E"/>
    <w:multiLevelType w:val="hybridMultilevel"/>
    <w:tmpl w:val="EF006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835D9E"/>
    <w:multiLevelType w:val="hybridMultilevel"/>
    <w:tmpl w:val="45645E3C"/>
    <w:lvl w:ilvl="0" w:tplc="9048802A">
      <w:start w:val="1"/>
      <w:numFmt w:val="decimal"/>
      <w:pStyle w:val="Caption"/>
      <w:lvlText w:val="%1 lentelė."/>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44A55BF"/>
    <w:multiLevelType w:val="hybridMultilevel"/>
    <w:tmpl w:val="D924CA0C"/>
    <w:lvl w:ilvl="0" w:tplc="50CAAC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nsid w:val="5FE63BED"/>
    <w:multiLevelType w:val="hybridMultilevel"/>
    <w:tmpl w:val="F2BA8B12"/>
    <w:lvl w:ilvl="0" w:tplc="3530F50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A27EB6"/>
    <w:multiLevelType w:val="hybridMultilevel"/>
    <w:tmpl w:val="AA90C39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nsid w:val="62936D86"/>
    <w:multiLevelType w:val="hybridMultilevel"/>
    <w:tmpl w:val="EC50618A"/>
    <w:lvl w:ilvl="0" w:tplc="FFFC1F6C">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3D641CE"/>
    <w:multiLevelType w:val="hybridMultilevel"/>
    <w:tmpl w:val="571E75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nsid w:val="64BE253E"/>
    <w:multiLevelType w:val="hybridMultilevel"/>
    <w:tmpl w:val="08CA7BB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80E3F8C"/>
    <w:multiLevelType w:val="hybridMultilevel"/>
    <w:tmpl w:val="5D90CD4E"/>
    <w:lvl w:ilvl="0" w:tplc="8F36B04C">
      <w:start w:val="33"/>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9454FDF"/>
    <w:multiLevelType w:val="hybridMultilevel"/>
    <w:tmpl w:val="DD9C528C"/>
    <w:lvl w:ilvl="0" w:tplc="1D246AA6">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D065089"/>
    <w:multiLevelType w:val="hybridMultilevel"/>
    <w:tmpl w:val="79D2027A"/>
    <w:lvl w:ilvl="0" w:tplc="3C40EADE">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D16349F"/>
    <w:multiLevelType w:val="hybridMultilevel"/>
    <w:tmpl w:val="7D525ADC"/>
    <w:lvl w:ilvl="0" w:tplc="47CA69B0">
      <w:start w:val="1"/>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6E310E17"/>
    <w:multiLevelType w:val="hybridMultilevel"/>
    <w:tmpl w:val="707251C4"/>
    <w:lvl w:ilvl="0" w:tplc="EBC0CD7A">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0275CBE"/>
    <w:multiLevelType w:val="hybridMultilevel"/>
    <w:tmpl w:val="7F2AF372"/>
    <w:lvl w:ilvl="0" w:tplc="8F36B04C">
      <w:start w:val="33"/>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0F66EDB"/>
    <w:multiLevelType w:val="hybridMultilevel"/>
    <w:tmpl w:val="4C0E2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2D40C1C"/>
    <w:multiLevelType w:val="hybridMultilevel"/>
    <w:tmpl w:val="53CAC16A"/>
    <w:lvl w:ilvl="0" w:tplc="34CCC3E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5353FBA"/>
    <w:multiLevelType w:val="hybridMultilevel"/>
    <w:tmpl w:val="254E99DA"/>
    <w:lvl w:ilvl="0" w:tplc="FD1E21A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B1656DF"/>
    <w:multiLevelType w:val="hybridMultilevel"/>
    <w:tmpl w:val="EBC236A2"/>
    <w:lvl w:ilvl="0" w:tplc="8A56A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3"/>
  </w:num>
  <w:num w:numId="2">
    <w:abstractNumId w:val="28"/>
  </w:num>
  <w:num w:numId="3">
    <w:abstractNumId w:val="17"/>
  </w:num>
  <w:num w:numId="4">
    <w:abstractNumId w:val="20"/>
  </w:num>
  <w:num w:numId="5">
    <w:abstractNumId w:val="21"/>
  </w:num>
  <w:num w:numId="6">
    <w:abstractNumId w:val="13"/>
  </w:num>
  <w:num w:numId="7">
    <w:abstractNumId w:val="6"/>
  </w:num>
  <w:num w:numId="8">
    <w:abstractNumId w:val="15"/>
  </w:num>
  <w:num w:numId="9">
    <w:abstractNumId w:val="44"/>
  </w:num>
  <w:num w:numId="10">
    <w:abstractNumId w:val="3"/>
  </w:num>
  <w:num w:numId="11">
    <w:abstractNumId w:val="31"/>
  </w:num>
  <w:num w:numId="12">
    <w:abstractNumId w:val="25"/>
  </w:num>
  <w:num w:numId="13">
    <w:abstractNumId w:val="26"/>
  </w:num>
  <w:num w:numId="14">
    <w:abstractNumId w:val="40"/>
  </w:num>
  <w:num w:numId="15">
    <w:abstractNumId w:val="8"/>
  </w:num>
  <w:num w:numId="16">
    <w:abstractNumId w:val="38"/>
  </w:num>
  <w:num w:numId="17">
    <w:abstractNumId w:val="16"/>
  </w:num>
  <w:num w:numId="18">
    <w:abstractNumId w:val="35"/>
  </w:num>
  <w:num w:numId="19">
    <w:abstractNumId w:val="39"/>
  </w:num>
  <w:num w:numId="20">
    <w:abstractNumId w:val="7"/>
  </w:num>
  <w:num w:numId="21">
    <w:abstractNumId w:val="43"/>
  </w:num>
  <w:num w:numId="22">
    <w:abstractNumId w:val="30"/>
  </w:num>
  <w:num w:numId="23">
    <w:abstractNumId w:val="14"/>
  </w:num>
  <w:num w:numId="24">
    <w:abstractNumId w:val="22"/>
  </w:num>
  <w:num w:numId="25">
    <w:abstractNumId w:val="18"/>
  </w:num>
  <w:num w:numId="26">
    <w:abstractNumId w:val="10"/>
  </w:num>
  <w:num w:numId="27">
    <w:abstractNumId w:val="4"/>
  </w:num>
  <w:num w:numId="28">
    <w:abstractNumId w:val="42"/>
  </w:num>
  <w:num w:numId="29">
    <w:abstractNumId w:val="24"/>
  </w:num>
  <w:num w:numId="30">
    <w:abstractNumId w:val="19"/>
  </w:num>
  <w:num w:numId="31">
    <w:abstractNumId w:val="29"/>
  </w:num>
  <w:num w:numId="32">
    <w:abstractNumId w:val="5"/>
  </w:num>
  <w:num w:numId="33">
    <w:abstractNumId w:val="12"/>
  </w:num>
  <w:num w:numId="34">
    <w:abstractNumId w:val="37"/>
  </w:num>
  <w:num w:numId="35">
    <w:abstractNumId w:val="41"/>
  </w:num>
  <w:num w:numId="36">
    <w:abstractNumId w:val="1"/>
  </w:num>
  <w:num w:numId="37">
    <w:abstractNumId w:val="34"/>
  </w:num>
  <w:num w:numId="38">
    <w:abstractNumId w:val="36"/>
  </w:num>
  <w:num w:numId="39">
    <w:abstractNumId w:val="9"/>
  </w:num>
  <w:num w:numId="40">
    <w:abstractNumId w:val="27"/>
  </w:num>
  <w:num w:numId="41">
    <w:abstractNumId w:val="2"/>
  </w:num>
  <w:num w:numId="42">
    <w:abstractNumId w:val="32"/>
  </w:num>
  <w:num w:numId="43">
    <w:abstractNumId w:val="33"/>
  </w:num>
  <w:num w:numId="44">
    <w:abstractNumId w:val="11"/>
  </w:num>
  <w:num w:numId="45">
    <w:abstractNumId w:val="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1296"/>
  <w:hyphenationZone w:val="396"/>
  <w:drawingGridHorizontalSpacing w:val="120"/>
  <w:displayHorizontalDrawingGridEvery w:val="2"/>
  <w:characterSpacingControl w:val="doNotCompress"/>
  <w:hdrShapeDefaults>
    <o:shapedefaults v:ext="edit" spidmax="61442">
      <o:colormenu v:ext="edit" fillcolor="none [2732]"/>
    </o:shapedefaults>
  </w:hdrShapeDefaults>
  <w:footnotePr>
    <w:footnote w:id="-1"/>
    <w:footnote w:id="0"/>
  </w:footnotePr>
  <w:endnotePr>
    <w:endnote w:id="-1"/>
    <w:endnote w:id="0"/>
  </w:endnotePr>
  <w:compat>
    <w:useFELayout/>
  </w:compat>
  <w:rsids>
    <w:rsidRoot w:val="00030CB3"/>
    <w:rsid w:val="0000228D"/>
    <w:rsid w:val="00004DD2"/>
    <w:rsid w:val="000054FC"/>
    <w:rsid w:val="00006C00"/>
    <w:rsid w:val="000114B2"/>
    <w:rsid w:val="000127CD"/>
    <w:rsid w:val="00012B05"/>
    <w:rsid w:val="000131E3"/>
    <w:rsid w:val="000133D0"/>
    <w:rsid w:val="00022A9D"/>
    <w:rsid w:val="00022F83"/>
    <w:rsid w:val="000244C8"/>
    <w:rsid w:val="00024ABA"/>
    <w:rsid w:val="000275BE"/>
    <w:rsid w:val="00030CB3"/>
    <w:rsid w:val="0003126D"/>
    <w:rsid w:val="0003145C"/>
    <w:rsid w:val="00031E2D"/>
    <w:rsid w:val="00037E97"/>
    <w:rsid w:val="0004103E"/>
    <w:rsid w:val="0004136C"/>
    <w:rsid w:val="00041500"/>
    <w:rsid w:val="00041B65"/>
    <w:rsid w:val="00041F2D"/>
    <w:rsid w:val="00045A58"/>
    <w:rsid w:val="00046FCB"/>
    <w:rsid w:val="00050267"/>
    <w:rsid w:val="000505A8"/>
    <w:rsid w:val="00050FDA"/>
    <w:rsid w:val="00051D73"/>
    <w:rsid w:val="000529E5"/>
    <w:rsid w:val="000534D8"/>
    <w:rsid w:val="00056C7B"/>
    <w:rsid w:val="0006196E"/>
    <w:rsid w:val="0006203C"/>
    <w:rsid w:val="00062436"/>
    <w:rsid w:val="00065664"/>
    <w:rsid w:val="0006747A"/>
    <w:rsid w:val="0007166C"/>
    <w:rsid w:val="00072A4F"/>
    <w:rsid w:val="000732AD"/>
    <w:rsid w:val="000764FE"/>
    <w:rsid w:val="00076718"/>
    <w:rsid w:val="000803D8"/>
    <w:rsid w:val="00080823"/>
    <w:rsid w:val="00080E63"/>
    <w:rsid w:val="00082B11"/>
    <w:rsid w:val="00082F17"/>
    <w:rsid w:val="00083A43"/>
    <w:rsid w:val="00083BC8"/>
    <w:rsid w:val="000862E2"/>
    <w:rsid w:val="00086985"/>
    <w:rsid w:val="00087250"/>
    <w:rsid w:val="000912FD"/>
    <w:rsid w:val="000950F1"/>
    <w:rsid w:val="0009577F"/>
    <w:rsid w:val="00095EF4"/>
    <w:rsid w:val="000A2B6A"/>
    <w:rsid w:val="000A340E"/>
    <w:rsid w:val="000A3999"/>
    <w:rsid w:val="000A499F"/>
    <w:rsid w:val="000A4E64"/>
    <w:rsid w:val="000A7C1E"/>
    <w:rsid w:val="000B1889"/>
    <w:rsid w:val="000B281A"/>
    <w:rsid w:val="000C00DC"/>
    <w:rsid w:val="000C2C03"/>
    <w:rsid w:val="000C7550"/>
    <w:rsid w:val="000D08DA"/>
    <w:rsid w:val="000D10EA"/>
    <w:rsid w:val="000D4685"/>
    <w:rsid w:val="000E1020"/>
    <w:rsid w:val="000E17AC"/>
    <w:rsid w:val="000E1813"/>
    <w:rsid w:val="000E1D6A"/>
    <w:rsid w:val="000E5E22"/>
    <w:rsid w:val="000F0182"/>
    <w:rsid w:val="000F0AC0"/>
    <w:rsid w:val="000F1360"/>
    <w:rsid w:val="000F4A46"/>
    <w:rsid w:val="000F4BD0"/>
    <w:rsid w:val="000F5451"/>
    <w:rsid w:val="000F582E"/>
    <w:rsid w:val="000F79AF"/>
    <w:rsid w:val="000F7CBA"/>
    <w:rsid w:val="00100CE1"/>
    <w:rsid w:val="00102915"/>
    <w:rsid w:val="001043F1"/>
    <w:rsid w:val="00104EF2"/>
    <w:rsid w:val="00105EA8"/>
    <w:rsid w:val="00106662"/>
    <w:rsid w:val="00106986"/>
    <w:rsid w:val="0011232E"/>
    <w:rsid w:val="00112755"/>
    <w:rsid w:val="00113175"/>
    <w:rsid w:val="0011437E"/>
    <w:rsid w:val="001146E0"/>
    <w:rsid w:val="001170FA"/>
    <w:rsid w:val="00117C4F"/>
    <w:rsid w:val="001224C2"/>
    <w:rsid w:val="00123588"/>
    <w:rsid w:val="0012482E"/>
    <w:rsid w:val="00126394"/>
    <w:rsid w:val="00126473"/>
    <w:rsid w:val="00130044"/>
    <w:rsid w:val="00131CEE"/>
    <w:rsid w:val="00133676"/>
    <w:rsid w:val="0013518B"/>
    <w:rsid w:val="0013666F"/>
    <w:rsid w:val="001405A6"/>
    <w:rsid w:val="00142002"/>
    <w:rsid w:val="00142942"/>
    <w:rsid w:val="00144794"/>
    <w:rsid w:val="001448DF"/>
    <w:rsid w:val="00144A1D"/>
    <w:rsid w:val="00144FF8"/>
    <w:rsid w:val="00145AFB"/>
    <w:rsid w:val="00146D73"/>
    <w:rsid w:val="00147661"/>
    <w:rsid w:val="00147CD9"/>
    <w:rsid w:val="00150972"/>
    <w:rsid w:val="00151BC7"/>
    <w:rsid w:val="0015239B"/>
    <w:rsid w:val="00154FF3"/>
    <w:rsid w:val="00157C5A"/>
    <w:rsid w:val="00157D73"/>
    <w:rsid w:val="00160F7F"/>
    <w:rsid w:val="001620CE"/>
    <w:rsid w:val="00163569"/>
    <w:rsid w:val="00163F90"/>
    <w:rsid w:val="00165E12"/>
    <w:rsid w:val="0016769F"/>
    <w:rsid w:val="001708AF"/>
    <w:rsid w:val="00174D42"/>
    <w:rsid w:val="00175526"/>
    <w:rsid w:val="00175C83"/>
    <w:rsid w:val="0018010D"/>
    <w:rsid w:val="0018033A"/>
    <w:rsid w:val="0018346B"/>
    <w:rsid w:val="0018395B"/>
    <w:rsid w:val="00184083"/>
    <w:rsid w:val="00184116"/>
    <w:rsid w:val="0018414D"/>
    <w:rsid w:val="0018436B"/>
    <w:rsid w:val="001851BF"/>
    <w:rsid w:val="001855A1"/>
    <w:rsid w:val="00185802"/>
    <w:rsid w:val="00185922"/>
    <w:rsid w:val="0018750A"/>
    <w:rsid w:val="00190755"/>
    <w:rsid w:val="001907B7"/>
    <w:rsid w:val="00191F53"/>
    <w:rsid w:val="00193A8F"/>
    <w:rsid w:val="0019421E"/>
    <w:rsid w:val="0019461F"/>
    <w:rsid w:val="0019571C"/>
    <w:rsid w:val="00197A6A"/>
    <w:rsid w:val="001A2190"/>
    <w:rsid w:val="001A279D"/>
    <w:rsid w:val="001A4330"/>
    <w:rsid w:val="001A4426"/>
    <w:rsid w:val="001A4969"/>
    <w:rsid w:val="001A5818"/>
    <w:rsid w:val="001B07E6"/>
    <w:rsid w:val="001B150D"/>
    <w:rsid w:val="001B21A3"/>
    <w:rsid w:val="001B2CF2"/>
    <w:rsid w:val="001B34E3"/>
    <w:rsid w:val="001B389A"/>
    <w:rsid w:val="001B4DE7"/>
    <w:rsid w:val="001B53DB"/>
    <w:rsid w:val="001B6184"/>
    <w:rsid w:val="001B70AD"/>
    <w:rsid w:val="001B74B6"/>
    <w:rsid w:val="001B7721"/>
    <w:rsid w:val="001C12E6"/>
    <w:rsid w:val="001C2D87"/>
    <w:rsid w:val="001C3413"/>
    <w:rsid w:val="001C5964"/>
    <w:rsid w:val="001C5B45"/>
    <w:rsid w:val="001C6457"/>
    <w:rsid w:val="001C6BA9"/>
    <w:rsid w:val="001D1398"/>
    <w:rsid w:val="001D192E"/>
    <w:rsid w:val="001D192F"/>
    <w:rsid w:val="001D2BEE"/>
    <w:rsid w:val="001D2D20"/>
    <w:rsid w:val="001D31F3"/>
    <w:rsid w:val="001D3A15"/>
    <w:rsid w:val="001D54CB"/>
    <w:rsid w:val="001D5E7E"/>
    <w:rsid w:val="001D6081"/>
    <w:rsid w:val="001D6A6E"/>
    <w:rsid w:val="001E1E2F"/>
    <w:rsid w:val="001E322B"/>
    <w:rsid w:val="001E3A9E"/>
    <w:rsid w:val="001E62B6"/>
    <w:rsid w:val="001F0819"/>
    <w:rsid w:val="001F1196"/>
    <w:rsid w:val="001F271F"/>
    <w:rsid w:val="001F30D2"/>
    <w:rsid w:val="001F3FAE"/>
    <w:rsid w:val="001F6759"/>
    <w:rsid w:val="001F7034"/>
    <w:rsid w:val="002004C1"/>
    <w:rsid w:val="002008A2"/>
    <w:rsid w:val="00200A00"/>
    <w:rsid w:val="002016BA"/>
    <w:rsid w:val="002052C2"/>
    <w:rsid w:val="00205432"/>
    <w:rsid w:val="00205679"/>
    <w:rsid w:val="0020607E"/>
    <w:rsid w:val="00210ED6"/>
    <w:rsid w:val="00212F64"/>
    <w:rsid w:val="002132D2"/>
    <w:rsid w:val="00217407"/>
    <w:rsid w:val="002223EC"/>
    <w:rsid w:val="00225389"/>
    <w:rsid w:val="00226E88"/>
    <w:rsid w:val="002307FC"/>
    <w:rsid w:val="00230AF4"/>
    <w:rsid w:val="0023122A"/>
    <w:rsid w:val="00231761"/>
    <w:rsid w:val="002325D4"/>
    <w:rsid w:val="00234118"/>
    <w:rsid w:val="002346A2"/>
    <w:rsid w:val="002364BB"/>
    <w:rsid w:val="00236641"/>
    <w:rsid w:val="00237291"/>
    <w:rsid w:val="00240100"/>
    <w:rsid w:val="00240F98"/>
    <w:rsid w:val="0025131B"/>
    <w:rsid w:val="002513C3"/>
    <w:rsid w:val="00251AAF"/>
    <w:rsid w:val="0026009F"/>
    <w:rsid w:val="002601D8"/>
    <w:rsid w:val="00261C29"/>
    <w:rsid w:val="00264488"/>
    <w:rsid w:val="00266659"/>
    <w:rsid w:val="0027335A"/>
    <w:rsid w:val="002752FB"/>
    <w:rsid w:val="0027545B"/>
    <w:rsid w:val="00276CDD"/>
    <w:rsid w:val="0028060E"/>
    <w:rsid w:val="00281424"/>
    <w:rsid w:val="00282FBD"/>
    <w:rsid w:val="002830D9"/>
    <w:rsid w:val="002840F9"/>
    <w:rsid w:val="002857BF"/>
    <w:rsid w:val="002866B9"/>
    <w:rsid w:val="00286936"/>
    <w:rsid w:val="00287A21"/>
    <w:rsid w:val="00287CDD"/>
    <w:rsid w:val="00295262"/>
    <w:rsid w:val="002963D7"/>
    <w:rsid w:val="00296444"/>
    <w:rsid w:val="002A230E"/>
    <w:rsid w:val="002A2954"/>
    <w:rsid w:val="002A2CB5"/>
    <w:rsid w:val="002A4511"/>
    <w:rsid w:val="002A47B9"/>
    <w:rsid w:val="002A4B59"/>
    <w:rsid w:val="002A73AF"/>
    <w:rsid w:val="002B03B7"/>
    <w:rsid w:val="002B4C2B"/>
    <w:rsid w:val="002C032C"/>
    <w:rsid w:val="002C42B6"/>
    <w:rsid w:val="002C7B82"/>
    <w:rsid w:val="002D007A"/>
    <w:rsid w:val="002D188C"/>
    <w:rsid w:val="002D2780"/>
    <w:rsid w:val="002D338E"/>
    <w:rsid w:val="002D366E"/>
    <w:rsid w:val="002E1CFF"/>
    <w:rsid w:val="002E1F33"/>
    <w:rsid w:val="002E2A5D"/>
    <w:rsid w:val="002E3129"/>
    <w:rsid w:val="002E42DB"/>
    <w:rsid w:val="002E5DB1"/>
    <w:rsid w:val="002E7A2E"/>
    <w:rsid w:val="002F12BA"/>
    <w:rsid w:val="002F1A3A"/>
    <w:rsid w:val="002F6514"/>
    <w:rsid w:val="002F6598"/>
    <w:rsid w:val="00300C84"/>
    <w:rsid w:val="003011AF"/>
    <w:rsid w:val="00302EBE"/>
    <w:rsid w:val="00303745"/>
    <w:rsid w:val="00304BF7"/>
    <w:rsid w:val="003057DA"/>
    <w:rsid w:val="0031077C"/>
    <w:rsid w:val="0031524A"/>
    <w:rsid w:val="003203FB"/>
    <w:rsid w:val="00322C1B"/>
    <w:rsid w:val="0033084E"/>
    <w:rsid w:val="00332172"/>
    <w:rsid w:val="003323FD"/>
    <w:rsid w:val="003339E6"/>
    <w:rsid w:val="00337DEC"/>
    <w:rsid w:val="00337E65"/>
    <w:rsid w:val="00337F5D"/>
    <w:rsid w:val="00342535"/>
    <w:rsid w:val="00346041"/>
    <w:rsid w:val="003462CE"/>
    <w:rsid w:val="003506EA"/>
    <w:rsid w:val="00350D04"/>
    <w:rsid w:val="0035197E"/>
    <w:rsid w:val="003536F3"/>
    <w:rsid w:val="003547BA"/>
    <w:rsid w:val="00356975"/>
    <w:rsid w:val="003635D0"/>
    <w:rsid w:val="00363E0D"/>
    <w:rsid w:val="003663D0"/>
    <w:rsid w:val="00366417"/>
    <w:rsid w:val="00372D65"/>
    <w:rsid w:val="00372E88"/>
    <w:rsid w:val="00374996"/>
    <w:rsid w:val="00374E25"/>
    <w:rsid w:val="00376DD8"/>
    <w:rsid w:val="00380EDE"/>
    <w:rsid w:val="00380F5A"/>
    <w:rsid w:val="003818E8"/>
    <w:rsid w:val="0038577C"/>
    <w:rsid w:val="00387118"/>
    <w:rsid w:val="0039370B"/>
    <w:rsid w:val="00393D6B"/>
    <w:rsid w:val="003A0529"/>
    <w:rsid w:val="003A0B24"/>
    <w:rsid w:val="003A1DA3"/>
    <w:rsid w:val="003A2860"/>
    <w:rsid w:val="003A2F2C"/>
    <w:rsid w:val="003A3D2C"/>
    <w:rsid w:val="003A45BC"/>
    <w:rsid w:val="003A4E62"/>
    <w:rsid w:val="003A7227"/>
    <w:rsid w:val="003A7446"/>
    <w:rsid w:val="003A7DB4"/>
    <w:rsid w:val="003B11E6"/>
    <w:rsid w:val="003B24EE"/>
    <w:rsid w:val="003B266B"/>
    <w:rsid w:val="003B27C1"/>
    <w:rsid w:val="003B2D3D"/>
    <w:rsid w:val="003B33C8"/>
    <w:rsid w:val="003B3B1E"/>
    <w:rsid w:val="003B76B8"/>
    <w:rsid w:val="003C0B80"/>
    <w:rsid w:val="003C0EC4"/>
    <w:rsid w:val="003C2308"/>
    <w:rsid w:val="003C5056"/>
    <w:rsid w:val="003C61BD"/>
    <w:rsid w:val="003C6450"/>
    <w:rsid w:val="003C6908"/>
    <w:rsid w:val="003D0EBF"/>
    <w:rsid w:val="003D2ADD"/>
    <w:rsid w:val="003D34C3"/>
    <w:rsid w:val="003D50A2"/>
    <w:rsid w:val="003E38D3"/>
    <w:rsid w:val="003E41A1"/>
    <w:rsid w:val="003F1204"/>
    <w:rsid w:val="003F2735"/>
    <w:rsid w:val="003F2F6C"/>
    <w:rsid w:val="003F4C4B"/>
    <w:rsid w:val="003F6058"/>
    <w:rsid w:val="003F6D44"/>
    <w:rsid w:val="004046D7"/>
    <w:rsid w:val="0040502C"/>
    <w:rsid w:val="0040561F"/>
    <w:rsid w:val="0040575C"/>
    <w:rsid w:val="00406B33"/>
    <w:rsid w:val="004071A6"/>
    <w:rsid w:val="0040768B"/>
    <w:rsid w:val="00407887"/>
    <w:rsid w:val="00411652"/>
    <w:rsid w:val="00411EBD"/>
    <w:rsid w:val="00413A6D"/>
    <w:rsid w:val="0041585E"/>
    <w:rsid w:val="00415965"/>
    <w:rsid w:val="00420BC9"/>
    <w:rsid w:val="00422151"/>
    <w:rsid w:val="00423C9D"/>
    <w:rsid w:val="0042414E"/>
    <w:rsid w:val="004242A7"/>
    <w:rsid w:val="004252E2"/>
    <w:rsid w:val="00425A01"/>
    <w:rsid w:val="004341B2"/>
    <w:rsid w:val="0043471D"/>
    <w:rsid w:val="004431A4"/>
    <w:rsid w:val="00444DB6"/>
    <w:rsid w:val="0044656A"/>
    <w:rsid w:val="00450F22"/>
    <w:rsid w:val="00451C4A"/>
    <w:rsid w:val="004525F2"/>
    <w:rsid w:val="00453DAE"/>
    <w:rsid w:val="0045456E"/>
    <w:rsid w:val="00454998"/>
    <w:rsid w:val="00455419"/>
    <w:rsid w:val="00457AB2"/>
    <w:rsid w:val="0046072E"/>
    <w:rsid w:val="0046261F"/>
    <w:rsid w:val="00463525"/>
    <w:rsid w:val="0046388F"/>
    <w:rsid w:val="00463D28"/>
    <w:rsid w:val="004641FC"/>
    <w:rsid w:val="00465C33"/>
    <w:rsid w:val="00466421"/>
    <w:rsid w:val="00467C55"/>
    <w:rsid w:val="004715CF"/>
    <w:rsid w:val="00474CA4"/>
    <w:rsid w:val="0047541B"/>
    <w:rsid w:val="00480F84"/>
    <w:rsid w:val="00481507"/>
    <w:rsid w:val="004871F3"/>
    <w:rsid w:val="00492022"/>
    <w:rsid w:val="00495BD9"/>
    <w:rsid w:val="00495F80"/>
    <w:rsid w:val="00496256"/>
    <w:rsid w:val="00496C89"/>
    <w:rsid w:val="004A3D7F"/>
    <w:rsid w:val="004A4880"/>
    <w:rsid w:val="004A578D"/>
    <w:rsid w:val="004A59A0"/>
    <w:rsid w:val="004B3E4A"/>
    <w:rsid w:val="004B57AC"/>
    <w:rsid w:val="004B57FE"/>
    <w:rsid w:val="004C4279"/>
    <w:rsid w:val="004C77E2"/>
    <w:rsid w:val="004D1B53"/>
    <w:rsid w:val="004D2152"/>
    <w:rsid w:val="004D3CFE"/>
    <w:rsid w:val="004D55A1"/>
    <w:rsid w:val="004E0002"/>
    <w:rsid w:val="004E0A75"/>
    <w:rsid w:val="004E1A22"/>
    <w:rsid w:val="004E610A"/>
    <w:rsid w:val="004E66C3"/>
    <w:rsid w:val="004E6B94"/>
    <w:rsid w:val="004F256D"/>
    <w:rsid w:val="004F6C03"/>
    <w:rsid w:val="005000C0"/>
    <w:rsid w:val="00501C38"/>
    <w:rsid w:val="005022B9"/>
    <w:rsid w:val="00503CD0"/>
    <w:rsid w:val="00504644"/>
    <w:rsid w:val="00505301"/>
    <w:rsid w:val="00507050"/>
    <w:rsid w:val="005074A4"/>
    <w:rsid w:val="00507C67"/>
    <w:rsid w:val="00511172"/>
    <w:rsid w:val="00514496"/>
    <w:rsid w:val="005157E9"/>
    <w:rsid w:val="00520E1A"/>
    <w:rsid w:val="0052103C"/>
    <w:rsid w:val="00521416"/>
    <w:rsid w:val="00522614"/>
    <w:rsid w:val="005229CE"/>
    <w:rsid w:val="005230FE"/>
    <w:rsid w:val="00524785"/>
    <w:rsid w:val="00532122"/>
    <w:rsid w:val="005347B1"/>
    <w:rsid w:val="005402C1"/>
    <w:rsid w:val="005413FB"/>
    <w:rsid w:val="00541467"/>
    <w:rsid w:val="005420BB"/>
    <w:rsid w:val="00542876"/>
    <w:rsid w:val="0054298D"/>
    <w:rsid w:val="00543E2E"/>
    <w:rsid w:val="00551576"/>
    <w:rsid w:val="00551766"/>
    <w:rsid w:val="00557A04"/>
    <w:rsid w:val="00560177"/>
    <w:rsid w:val="00561FB5"/>
    <w:rsid w:val="00565AA6"/>
    <w:rsid w:val="0056704D"/>
    <w:rsid w:val="005700B9"/>
    <w:rsid w:val="00570516"/>
    <w:rsid w:val="00570AC3"/>
    <w:rsid w:val="005711E6"/>
    <w:rsid w:val="005722A7"/>
    <w:rsid w:val="00574E26"/>
    <w:rsid w:val="00575760"/>
    <w:rsid w:val="00580026"/>
    <w:rsid w:val="00583F96"/>
    <w:rsid w:val="00586B95"/>
    <w:rsid w:val="0059003D"/>
    <w:rsid w:val="00593526"/>
    <w:rsid w:val="005974EC"/>
    <w:rsid w:val="005979B2"/>
    <w:rsid w:val="00597FDE"/>
    <w:rsid w:val="005A3365"/>
    <w:rsid w:val="005A4EB8"/>
    <w:rsid w:val="005A7080"/>
    <w:rsid w:val="005A7A50"/>
    <w:rsid w:val="005B00AC"/>
    <w:rsid w:val="005B0790"/>
    <w:rsid w:val="005B2C7F"/>
    <w:rsid w:val="005B5E26"/>
    <w:rsid w:val="005C1EC3"/>
    <w:rsid w:val="005C65EA"/>
    <w:rsid w:val="005C7D61"/>
    <w:rsid w:val="005D27AA"/>
    <w:rsid w:val="005D57B7"/>
    <w:rsid w:val="005D57C6"/>
    <w:rsid w:val="005D6302"/>
    <w:rsid w:val="005D6DC4"/>
    <w:rsid w:val="005D79DA"/>
    <w:rsid w:val="005E03D0"/>
    <w:rsid w:val="005E2054"/>
    <w:rsid w:val="005E2BD6"/>
    <w:rsid w:val="005E2ED1"/>
    <w:rsid w:val="005E5EB8"/>
    <w:rsid w:val="005E63F6"/>
    <w:rsid w:val="005F1231"/>
    <w:rsid w:val="005F1E0E"/>
    <w:rsid w:val="005F509C"/>
    <w:rsid w:val="005F70AC"/>
    <w:rsid w:val="006019A1"/>
    <w:rsid w:val="00602C46"/>
    <w:rsid w:val="00606118"/>
    <w:rsid w:val="006065BC"/>
    <w:rsid w:val="006142E3"/>
    <w:rsid w:val="00614C7E"/>
    <w:rsid w:val="00617B32"/>
    <w:rsid w:val="00620201"/>
    <w:rsid w:val="00620836"/>
    <w:rsid w:val="006352D3"/>
    <w:rsid w:val="00637FFC"/>
    <w:rsid w:val="006403CD"/>
    <w:rsid w:val="0064077C"/>
    <w:rsid w:val="00642061"/>
    <w:rsid w:val="006426AC"/>
    <w:rsid w:val="00644050"/>
    <w:rsid w:val="006478A0"/>
    <w:rsid w:val="00647978"/>
    <w:rsid w:val="00647BF9"/>
    <w:rsid w:val="006500BF"/>
    <w:rsid w:val="006501EB"/>
    <w:rsid w:val="00650B3D"/>
    <w:rsid w:val="00651E6B"/>
    <w:rsid w:val="00657717"/>
    <w:rsid w:val="00657C5B"/>
    <w:rsid w:val="00657D4D"/>
    <w:rsid w:val="006603FE"/>
    <w:rsid w:val="00662772"/>
    <w:rsid w:val="00663A16"/>
    <w:rsid w:val="006643C1"/>
    <w:rsid w:val="006703AF"/>
    <w:rsid w:val="00672903"/>
    <w:rsid w:val="0067558C"/>
    <w:rsid w:val="0067795C"/>
    <w:rsid w:val="006811A0"/>
    <w:rsid w:val="00681E60"/>
    <w:rsid w:val="006832D7"/>
    <w:rsid w:val="006846E0"/>
    <w:rsid w:val="00685589"/>
    <w:rsid w:val="00685706"/>
    <w:rsid w:val="0069075A"/>
    <w:rsid w:val="00691E5B"/>
    <w:rsid w:val="00693421"/>
    <w:rsid w:val="0069494A"/>
    <w:rsid w:val="006959DD"/>
    <w:rsid w:val="006A01ED"/>
    <w:rsid w:val="006A2AA0"/>
    <w:rsid w:val="006A3289"/>
    <w:rsid w:val="006A4BEC"/>
    <w:rsid w:val="006B5159"/>
    <w:rsid w:val="006B7C71"/>
    <w:rsid w:val="006C013D"/>
    <w:rsid w:val="006C3BD9"/>
    <w:rsid w:val="006D17C3"/>
    <w:rsid w:val="006D1F44"/>
    <w:rsid w:val="006D5025"/>
    <w:rsid w:val="006D5BEA"/>
    <w:rsid w:val="006E08AC"/>
    <w:rsid w:val="006E185D"/>
    <w:rsid w:val="006E399C"/>
    <w:rsid w:val="006E4CA1"/>
    <w:rsid w:val="006F0B60"/>
    <w:rsid w:val="006F0F7C"/>
    <w:rsid w:val="006F3F4B"/>
    <w:rsid w:val="006F489A"/>
    <w:rsid w:val="006F517F"/>
    <w:rsid w:val="006F7AB6"/>
    <w:rsid w:val="00700C92"/>
    <w:rsid w:val="0070202A"/>
    <w:rsid w:val="00702088"/>
    <w:rsid w:val="0070235E"/>
    <w:rsid w:val="007037A9"/>
    <w:rsid w:val="007055AB"/>
    <w:rsid w:val="0070575A"/>
    <w:rsid w:val="00706200"/>
    <w:rsid w:val="007062CA"/>
    <w:rsid w:val="00706809"/>
    <w:rsid w:val="00707DF4"/>
    <w:rsid w:val="00710C13"/>
    <w:rsid w:val="00711099"/>
    <w:rsid w:val="0071185D"/>
    <w:rsid w:val="00713E8B"/>
    <w:rsid w:val="00716F9B"/>
    <w:rsid w:val="00717596"/>
    <w:rsid w:val="00726D3A"/>
    <w:rsid w:val="007272D5"/>
    <w:rsid w:val="0073170E"/>
    <w:rsid w:val="00732F58"/>
    <w:rsid w:val="00732F7B"/>
    <w:rsid w:val="00736723"/>
    <w:rsid w:val="00740A60"/>
    <w:rsid w:val="00741602"/>
    <w:rsid w:val="00742016"/>
    <w:rsid w:val="00743321"/>
    <w:rsid w:val="00743F79"/>
    <w:rsid w:val="00744FC4"/>
    <w:rsid w:val="00747342"/>
    <w:rsid w:val="00747731"/>
    <w:rsid w:val="00751CB5"/>
    <w:rsid w:val="00754803"/>
    <w:rsid w:val="00754F54"/>
    <w:rsid w:val="00756204"/>
    <w:rsid w:val="00756858"/>
    <w:rsid w:val="007619D8"/>
    <w:rsid w:val="007621C2"/>
    <w:rsid w:val="00762A30"/>
    <w:rsid w:val="00762C27"/>
    <w:rsid w:val="00764D65"/>
    <w:rsid w:val="00767A5C"/>
    <w:rsid w:val="007707E4"/>
    <w:rsid w:val="00772AC9"/>
    <w:rsid w:val="007745F4"/>
    <w:rsid w:val="00780324"/>
    <w:rsid w:val="00781F79"/>
    <w:rsid w:val="00783949"/>
    <w:rsid w:val="00797B7D"/>
    <w:rsid w:val="007A070D"/>
    <w:rsid w:val="007A0A12"/>
    <w:rsid w:val="007A0CE8"/>
    <w:rsid w:val="007A3AA8"/>
    <w:rsid w:val="007A4C05"/>
    <w:rsid w:val="007A5319"/>
    <w:rsid w:val="007A7BAE"/>
    <w:rsid w:val="007B04C4"/>
    <w:rsid w:val="007B43EB"/>
    <w:rsid w:val="007B471F"/>
    <w:rsid w:val="007B60CA"/>
    <w:rsid w:val="007C43B8"/>
    <w:rsid w:val="007C7105"/>
    <w:rsid w:val="007C7BCE"/>
    <w:rsid w:val="007D3898"/>
    <w:rsid w:val="007D46EC"/>
    <w:rsid w:val="007E007C"/>
    <w:rsid w:val="007E17A9"/>
    <w:rsid w:val="007E4D09"/>
    <w:rsid w:val="007E5108"/>
    <w:rsid w:val="007E64AD"/>
    <w:rsid w:val="007E6F19"/>
    <w:rsid w:val="007F0800"/>
    <w:rsid w:val="007F0E6B"/>
    <w:rsid w:val="007F2762"/>
    <w:rsid w:val="007F5180"/>
    <w:rsid w:val="007F54F8"/>
    <w:rsid w:val="007F5E5A"/>
    <w:rsid w:val="007F7304"/>
    <w:rsid w:val="00801D86"/>
    <w:rsid w:val="0080297E"/>
    <w:rsid w:val="00803AAD"/>
    <w:rsid w:val="008046F2"/>
    <w:rsid w:val="0080514E"/>
    <w:rsid w:val="00805428"/>
    <w:rsid w:val="00805EC1"/>
    <w:rsid w:val="008070B0"/>
    <w:rsid w:val="008074AF"/>
    <w:rsid w:val="0080793B"/>
    <w:rsid w:val="00807ECC"/>
    <w:rsid w:val="00811257"/>
    <w:rsid w:val="0081337B"/>
    <w:rsid w:val="008161E8"/>
    <w:rsid w:val="0082053B"/>
    <w:rsid w:val="00820F3D"/>
    <w:rsid w:val="008235BD"/>
    <w:rsid w:val="0082392A"/>
    <w:rsid w:val="008242E3"/>
    <w:rsid w:val="0082679E"/>
    <w:rsid w:val="00831363"/>
    <w:rsid w:val="00831A97"/>
    <w:rsid w:val="00831BA9"/>
    <w:rsid w:val="00832983"/>
    <w:rsid w:val="008337C8"/>
    <w:rsid w:val="00834F33"/>
    <w:rsid w:val="00835B09"/>
    <w:rsid w:val="0083640C"/>
    <w:rsid w:val="00840AEB"/>
    <w:rsid w:val="00841DF6"/>
    <w:rsid w:val="00841ECE"/>
    <w:rsid w:val="00847D0D"/>
    <w:rsid w:val="00851601"/>
    <w:rsid w:val="00853096"/>
    <w:rsid w:val="00855909"/>
    <w:rsid w:val="00855BA5"/>
    <w:rsid w:val="0086487D"/>
    <w:rsid w:val="008660FE"/>
    <w:rsid w:val="00873D2B"/>
    <w:rsid w:val="00875BBE"/>
    <w:rsid w:val="0087728B"/>
    <w:rsid w:val="00880EE7"/>
    <w:rsid w:val="00881187"/>
    <w:rsid w:val="008811D9"/>
    <w:rsid w:val="00883008"/>
    <w:rsid w:val="0088375E"/>
    <w:rsid w:val="00883DBB"/>
    <w:rsid w:val="00883F20"/>
    <w:rsid w:val="00884204"/>
    <w:rsid w:val="00886EC8"/>
    <w:rsid w:val="00893361"/>
    <w:rsid w:val="008946D2"/>
    <w:rsid w:val="008A0564"/>
    <w:rsid w:val="008A090F"/>
    <w:rsid w:val="008A0B79"/>
    <w:rsid w:val="008A33E5"/>
    <w:rsid w:val="008A5520"/>
    <w:rsid w:val="008A72FB"/>
    <w:rsid w:val="008B1485"/>
    <w:rsid w:val="008B2EB4"/>
    <w:rsid w:val="008B4C8F"/>
    <w:rsid w:val="008B6B90"/>
    <w:rsid w:val="008C175F"/>
    <w:rsid w:val="008C2742"/>
    <w:rsid w:val="008C35B3"/>
    <w:rsid w:val="008C6768"/>
    <w:rsid w:val="008D0A34"/>
    <w:rsid w:val="008D2071"/>
    <w:rsid w:val="008E52D9"/>
    <w:rsid w:val="008E5497"/>
    <w:rsid w:val="008E7971"/>
    <w:rsid w:val="008E7E02"/>
    <w:rsid w:val="008F037B"/>
    <w:rsid w:val="008F0FFE"/>
    <w:rsid w:val="008F10B8"/>
    <w:rsid w:val="008F44E8"/>
    <w:rsid w:val="008F798C"/>
    <w:rsid w:val="0090049E"/>
    <w:rsid w:val="0090191D"/>
    <w:rsid w:val="009019F8"/>
    <w:rsid w:val="00903230"/>
    <w:rsid w:val="00907935"/>
    <w:rsid w:val="00912AB5"/>
    <w:rsid w:val="00912E13"/>
    <w:rsid w:val="00913EF9"/>
    <w:rsid w:val="00920DC6"/>
    <w:rsid w:val="00920E18"/>
    <w:rsid w:val="00921F9A"/>
    <w:rsid w:val="00922988"/>
    <w:rsid w:val="00926D0A"/>
    <w:rsid w:val="0092719C"/>
    <w:rsid w:val="00931F3E"/>
    <w:rsid w:val="00932AE1"/>
    <w:rsid w:val="009409A3"/>
    <w:rsid w:val="00942E38"/>
    <w:rsid w:val="009439A5"/>
    <w:rsid w:val="00943F7F"/>
    <w:rsid w:val="009467FC"/>
    <w:rsid w:val="00946ADE"/>
    <w:rsid w:val="009474A4"/>
    <w:rsid w:val="00947C6E"/>
    <w:rsid w:val="00950BD8"/>
    <w:rsid w:val="0095120C"/>
    <w:rsid w:val="00952045"/>
    <w:rsid w:val="00953AD5"/>
    <w:rsid w:val="0095511A"/>
    <w:rsid w:val="00956848"/>
    <w:rsid w:val="0096272D"/>
    <w:rsid w:val="00966F5D"/>
    <w:rsid w:val="009709BA"/>
    <w:rsid w:val="00970EFA"/>
    <w:rsid w:val="009724DD"/>
    <w:rsid w:val="0097262D"/>
    <w:rsid w:val="00972C74"/>
    <w:rsid w:val="00976498"/>
    <w:rsid w:val="00976D42"/>
    <w:rsid w:val="00977394"/>
    <w:rsid w:val="009776FE"/>
    <w:rsid w:val="009848C1"/>
    <w:rsid w:val="00984D46"/>
    <w:rsid w:val="00986EAC"/>
    <w:rsid w:val="00987D11"/>
    <w:rsid w:val="009916D5"/>
    <w:rsid w:val="0099241B"/>
    <w:rsid w:val="00992797"/>
    <w:rsid w:val="0099461F"/>
    <w:rsid w:val="00995FB0"/>
    <w:rsid w:val="009963ED"/>
    <w:rsid w:val="00997B0A"/>
    <w:rsid w:val="00997CA9"/>
    <w:rsid w:val="009A05A1"/>
    <w:rsid w:val="009A1A64"/>
    <w:rsid w:val="009A1AE3"/>
    <w:rsid w:val="009A1CAA"/>
    <w:rsid w:val="009A78DD"/>
    <w:rsid w:val="009B0952"/>
    <w:rsid w:val="009B33C9"/>
    <w:rsid w:val="009B3B48"/>
    <w:rsid w:val="009B4F5F"/>
    <w:rsid w:val="009C3A49"/>
    <w:rsid w:val="009C4442"/>
    <w:rsid w:val="009C4B59"/>
    <w:rsid w:val="009C6C80"/>
    <w:rsid w:val="009C76A7"/>
    <w:rsid w:val="009D0BB8"/>
    <w:rsid w:val="009D2690"/>
    <w:rsid w:val="009E1712"/>
    <w:rsid w:val="009E1C44"/>
    <w:rsid w:val="009E36E2"/>
    <w:rsid w:val="009E4B40"/>
    <w:rsid w:val="009E68F3"/>
    <w:rsid w:val="009F0401"/>
    <w:rsid w:val="009F5490"/>
    <w:rsid w:val="009F7901"/>
    <w:rsid w:val="009F7AF5"/>
    <w:rsid w:val="00A0539D"/>
    <w:rsid w:val="00A06EE0"/>
    <w:rsid w:val="00A10B16"/>
    <w:rsid w:val="00A117EB"/>
    <w:rsid w:val="00A139DB"/>
    <w:rsid w:val="00A15282"/>
    <w:rsid w:val="00A17828"/>
    <w:rsid w:val="00A17B0A"/>
    <w:rsid w:val="00A216A2"/>
    <w:rsid w:val="00A217EC"/>
    <w:rsid w:val="00A2271D"/>
    <w:rsid w:val="00A258E1"/>
    <w:rsid w:val="00A266C4"/>
    <w:rsid w:val="00A30935"/>
    <w:rsid w:val="00A36832"/>
    <w:rsid w:val="00A37E92"/>
    <w:rsid w:val="00A42E0A"/>
    <w:rsid w:val="00A44119"/>
    <w:rsid w:val="00A4455E"/>
    <w:rsid w:val="00A459E8"/>
    <w:rsid w:val="00A52C50"/>
    <w:rsid w:val="00A56391"/>
    <w:rsid w:val="00A63FDF"/>
    <w:rsid w:val="00A64DAF"/>
    <w:rsid w:val="00A650DF"/>
    <w:rsid w:val="00A65F4E"/>
    <w:rsid w:val="00A710DF"/>
    <w:rsid w:val="00A71284"/>
    <w:rsid w:val="00A7190A"/>
    <w:rsid w:val="00A76442"/>
    <w:rsid w:val="00A772A2"/>
    <w:rsid w:val="00A80EBA"/>
    <w:rsid w:val="00A8153D"/>
    <w:rsid w:val="00A819A5"/>
    <w:rsid w:val="00A8311A"/>
    <w:rsid w:val="00A8316B"/>
    <w:rsid w:val="00A85687"/>
    <w:rsid w:val="00A856C8"/>
    <w:rsid w:val="00A85A9E"/>
    <w:rsid w:val="00A9423C"/>
    <w:rsid w:val="00AA01CA"/>
    <w:rsid w:val="00AA0822"/>
    <w:rsid w:val="00AA0E57"/>
    <w:rsid w:val="00AA2846"/>
    <w:rsid w:val="00AB2EB9"/>
    <w:rsid w:val="00AC0A0D"/>
    <w:rsid w:val="00AC2BA4"/>
    <w:rsid w:val="00AC2EC6"/>
    <w:rsid w:val="00AC4126"/>
    <w:rsid w:val="00AC5C36"/>
    <w:rsid w:val="00AC6656"/>
    <w:rsid w:val="00AC6971"/>
    <w:rsid w:val="00AC7B66"/>
    <w:rsid w:val="00AD04CC"/>
    <w:rsid w:val="00AD0B50"/>
    <w:rsid w:val="00AD1849"/>
    <w:rsid w:val="00AD1FA1"/>
    <w:rsid w:val="00AD3C7D"/>
    <w:rsid w:val="00AD3ED9"/>
    <w:rsid w:val="00AD4EB5"/>
    <w:rsid w:val="00AE0424"/>
    <w:rsid w:val="00AE34C9"/>
    <w:rsid w:val="00AE37D6"/>
    <w:rsid w:val="00AE3E1C"/>
    <w:rsid w:val="00AE4794"/>
    <w:rsid w:val="00AE4E19"/>
    <w:rsid w:val="00AE7670"/>
    <w:rsid w:val="00AF15E7"/>
    <w:rsid w:val="00AF58A0"/>
    <w:rsid w:val="00AF6992"/>
    <w:rsid w:val="00AF7747"/>
    <w:rsid w:val="00B01074"/>
    <w:rsid w:val="00B01F35"/>
    <w:rsid w:val="00B02E96"/>
    <w:rsid w:val="00B04A42"/>
    <w:rsid w:val="00B06393"/>
    <w:rsid w:val="00B07A6C"/>
    <w:rsid w:val="00B07E6B"/>
    <w:rsid w:val="00B106B1"/>
    <w:rsid w:val="00B12450"/>
    <w:rsid w:val="00B141ED"/>
    <w:rsid w:val="00B1572A"/>
    <w:rsid w:val="00B1644B"/>
    <w:rsid w:val="00B17600"/>
    <w:rsid w:val="00B17756"/>
    <w:rsid w:val="00B239C5"/>
    <w:rsid w:val="00B24977"/>
    <w:rsid w:val="00B27057"/>
    <w:rsid w:val="00B27CD0"/>
    <w:rsid w:val="00B32C0D"/>
    <w:rsid w:val="00B332EE"/>
    <w:rsid w:val="00B41F5F"/>
    <w:rsid w:val="00B421C9"/>
    <w:rsid w:val="00B43E46"/>
    <w:rsid w:val="00B43EF3"/>
    <w:rsid w:val="00B52CA2"/>
    <w:rsid w:val="00B52E5E"/>
    <w:rsid w:val="00B5369C"/>
    <w:rsid w:val="00B56E82"/>
    <w:rsid w:val="00B61508"/>
    <w:rsid w:val="00B621C1"/>
    <w:rsid w:val="00B6266D"/>
    <w:rsid w:val="00B64EEA"/>
    <w:rsid w:val="00B66FEE"/>
    <w:rsid w:val="00B676A0"/>
    <w:rsid w:val="00B67DD5"/>
    <w:rsid w:val="00B702A0"/>
    <w:rsid w:val="00B704D8"/>
    <w:rsid w:val="00B70DB1"/>
    <w:rsid w:val="00B70E3E"/>
    <w:rsid w:val="00B7145C"/>
    <w:rsid w:val="00B7281B"/>
    <w:rsid w:val="00B73AB3"/>
    <w:rsid w:val="00B74E31"/>
    <w:rsid w:val="00B75C26"/>
    <w:rsid w:val="00B7726A"/>
    <w:rsid w:val="00B80E7C"/>
    <w:rsid w:val="00B811E8"/>
    <w:rsid w:val="00B81DC3"/>
    <w:rsid w:val="00B847BB"/>
    <w:rsid w:val="00B85A11"/>
    <w:rsid w:val="00B87B54"/>
    <w:rsid w:val="00B87BDE"/>
    <w:rsid w:val="00B90B7D"/>
    <w:rsid w:val="00B90C94"/>
    <w:rsid w:val="00B918D0"/>
    <w:rsid w:val="00B96647"/>
    <w:rsid w:val="00B96948"/>
    <w:rsid w:val="00BA0212"/>
    <w:rsid w:val="00BA6FCF"/>
    <w:rsid w:val="00BA7092"/>
    <w:rsid w:val="00BB14DC"/>
    <w:rsid w:val="00BB258F"/>
    <w:rsid w:val="00BB49FC"/>
    <w:rsid w:val="00BB52B5"/>
    <w:rsid w:val="00BB5415"/>
    <w:rsid w:val="00BB6E48"/>
    <w:rsid w:val="00BB7DAA"/>
    <w:rsid w:val="00BC05AE"/>
    <w:rsid w:val="00BC0B59"/>
    <w:rsid w:val="00BC1B13"/>
    <w:rsid w:val="00BC1EBB"/>
    <w:rsid w:val="00BC2326"/>
    <w:rsid w:val="00BC2E39"/>
    <w:rsid w:val="00BC3B39"/>
    <w:rsid w:val="00BC6C8E"/>
    <w:rsid w:val="00BD1165"/>
    <w:rsid w:val="00BD4E72"/>
    <w:rsid w:val="00BD7C9B"/>
    <w:rsid w:val="00BE1EDD"/>
    <w:rsid w:val="00BE3CD3"/>
    <w:rsid w:val="00BE5015"/>
    <w:rsid w:val="00BE6347"/>
    <w:rsid w:val="00BF0423"/>
    <w:rsid w:val="00BF43B8"/>
    <w:rsid w:val="00BF4534"/>
    <w:rsid w:val="00BF6066"/>
    <w:rsid w:val="00C02AB7"/>
    <w:rsid w:val="00C05644"/>
    <w:rsid w:val="00C13042"/>
    <w:rsid w:val="00C13437"/>
    <w:rsid w:val="00C14214"/>
    <w:rsid w:val="00C15A83"/>
    <w:rsid w:val="00C16315"/>
    <w:rsid w:val="00C16CC9"/>
    <w:rsid w:val="00C24640"/>
    <w:rsid w:val="00C26D79"/>
    <w:rsid w:val="00C30D97"/>
    <w:rsid w:val="00C3103D"/>
    <w:rsid w:val="00C310D3"/>
    <w:rsid w:val="00C31381"/>
    <w:rsid w:val="00C32F62"/>
    <w:rsid w:val="00C33DAC"/>
    <w:rsid w:val="00C37152"/>
    <w:rsid w:val="00C374E8"/>
    <w:rsid w:val="00C41F77"/>
    <w:rsid w:val="00C4577F"/>
    <w:rsid w:val="00C45EC5"/>
    <w:rsid w:val="00C508A5"/>
    <w:rsid w:val="00C50A73"/>
    <w:rsid w:val="00C5726A"/>
    <w:rsid w:val="00C57E06"/>
    <w:rsid w:val="00C608A0"/>
    <w:rsid w:val="00C618FD"/>
    <w:rsid w:val="00C619D8"/>
    <w:rsid w:val="00C638F2"/>
    <w:rsid w:val="00C7017F"/>
    <w:rsid w:val="00C70DB7"/>
    <w:rsid w:val="00C744D8"/>
    <w:rsid w:val="00C74A44"/>
    <w:rsid w:val="00C751CE"/>
    <w:rsid w:val="00C774CA"/>
    <w:rsid w:val="00C80727"/>
    <w:rsid w:val="00C80C4F"/>
    <w:rsid w:val="00C80FE9"/>
    <w:rsid w:val="00C82105"/>
    <w:rsid w:val="00C8244D"/>
    <w:rsid w:val="00C8249A"/>
    <w:rsid w:val="00C85752"/>
    <w:rsid w:val="00C8720E"/>
    <w:rsid w:val="00C9179B"/>
    <w:rsid w:val="00C93B8E"/>
    <w:rsid w:val="00C958A0"/>
    <w:rsid w:val="00CA0B69"/>
    <w:rsid w:val="00CA21D1"/>
    <w:rsid w:val="00CA395A"/>
    <w:rsid w:val="00CA77E8"/>
    <w:rsid w:val="00CA7FAE"/>
    <w:rsid w:val="00CB0273"/>
    <w:rsid w:val="00CB13BF"/>
    <w:rsid w:val="00CB71CB"/>
    <w:rsid w:val="00CC01F4"/>
    <w:rsid w:val="00CC27C7"/>
    <w:rsid w:val="00CC34A7"/>
    <w:rsid w:val="00CC4A56"/>
    <w:rsid w:val="00CC60D6"/>
    <w:rsid w:val="00CC64A0"/>
    <w:rsid w:val="00CC717B"/>
    <w:rsid w:val="00CC7439"/>
    <w:rsid w:val="00CD3753"/>
    <w:rsid w:val="00CD45ED"/>
    <w:rsid w:val="00CD61AB"/>
    <w:rsid w:val="00CE0DEB"/>
    <w:rsid w:val="00CE53DD"/>
    <w:rsid w:val="00CE5482"/>
    <w:rsid w:val="00CE7D9F"/>
    <w:rsid w:val="00CF11F9"/>
    <w:rsid w:val="00CF7075"/>
    <w:rsid w:val="00CF7413"/>
    <w:rsid w:val="00D003BD"/>
    <w:rsid w:val="00D0253A"/>
    <w:rsid w:val="00D029E9"/>
    <w:rsid w:val="00D03175"/>
    <w:rsid w:val="00D05F7E"/>
    <w:rsid w:val="00D10FD8"/>
    <w:rsid w:val="00D11B12"/>
    <w:rsid w:val="00D12A34"/>
    <w:rsid w:val="00D132CB"/>
    <w:rsid w:val="00D13D0D"/>
    <w:rsid w:val="00D14500"/>
    <w:rsid w:val="00D227FD"/>
    <w:rsid w:val="00D2382A"/>
    <w:rsid w:val="00D23D64"/>
    <w:rsid w:val="00D244BD"/>
    <w:rsid w:val="00D25872"/>
    <w:rsid w:val="00D25D8F"/>
    <w:rsid w:val="00D26C94"/>
    <w:rsid w:val="00D274E1"/>
    <w:rsid w:val="00D278E8"/>
    <w:rsid w:val="00D3009D"/>
    <w:rsid w:val="00D32110"/>
    <w:rsid w:val="00D32CF6"/>
    <w:rsid w:val="00D353C6"/>
    <w:rsid w:val="00D358B7"/>
    <w:rsid w:val="00D43466"/>
    <w:rsid w:val="00D43638"/>
    <w:rsid w:val="00D4424A"/>
    <w:rsid w:val="00D46C47"/>
    <w:rsid w:val="00D47B76"/>
    <w:rsid w:val="00D50856"/>
    <w:rsid w:val="00D50F18"/>
    <w:rsid w:val="00D510A2"/>
    <w:rsid w:val="00D517F5"/>
    <w:rsid w:val="00D53601"/>
    <w:rsid w:val="00D53918"/>
    <w:rsid w:val="00D55462"/>
    <w:rsid w:val="00D755A3"/>
    <w:rsid w:val="00D76762"/>
    <w:rsid w:val="00D77521"/>
    <w:rsid w:val="00D77804"/>
    <w:rsid w:val="00D82490"/>
    <w:rsid w:val="00D91A8C"/>
    <w:rsid w:val="00D932E1"/>
    <w:rsid w:val="00D9353B"/>
    <w:rsid w:val="00D94908"/>
    <w:rsid w:val="00D97EA5"/>
    <w:rsid w:val="00DA0870"/>
    <w:rsid w:val="00DA19AD"/>
    <w:rsid w:val="00DA25BC"/>
    <w:rsid w:val="00DA2A81"/>
    <w:rsid w:val="00DA3F89"/>
    <w:rsid w:val="00DA4811"/>
    <w:rsid w:val="00DA7112"/>
    <w:rsid w:val="00DB0DA8"/>
    <w:rsid w:val="00DB1755"/>
    <w:rsid w:val="00DB1E1F"/>
    <w:rsid w:val="00DB36E1"/>
    <w:rsid w:val="00DB5DAE"/>
    <w:rsid w:val="00DB5E57"/>
    <w:rsid w:val="00DB65D3"/>
    <w:rsid w:val="00DB7C7A"/>
    <w:rsid w:val="00DC0A20"/>
    <w:rsid w:val="00DC1B8B"/>
    <w:rsid w:val="00DC59FC"/>
    <w:rsid w:val="00DC5E54"/>
    <w:rsid w:val="00DD78DD"/>
    <w:rsid w:val="00DE2361"/>
    <w:rsid w:val="00DE4AE4"/>
    <w:rsid w:val="00DE524B"/>
    <w:rsid w:val="00DE6394"/>
    <w:rsid w:val="00DE72C1"/>
    <w:rsid w:val="00DE7931"/>
    <w:rsid w:val="00DF2C73"/>
    <w:rsid w:val="00DF3F57"/>
    <w:rsid w:val="00DF4026"/>
    <w:rsid w:val="00DF5F32"/>
    <w:rsid w:val="00DF751E"/>
    <w:rsid w:val="00E00978"/>
    <w:rsid w:val="00E01CA1"/>
    <w:rsid w:val="00E01FE5"/>
    <w:rsid w:val="00E02284"/>
    <w:rsid w:val="00E02CF0"/>
    <w:rsid w:val="00E03991"/>
    <w:rsid w:val="00E0546D"/>
    <w:rsid w:val="00E054AF"/>
    <w:rsid w:val="00E10F7A"/>
    <w:rsid w:val="00E11441"/>
    <w:rsid w:val="00E15EB3"/>
    <w:rsid w:val="00E1658B"/>
    <w:rsid w:val="00E16B65"/>
    <w:rsid w:val="00E16CC4"/>
    <w:rsid w:val="00E20F5E"/>
    <w:rsid w:val="00E21F67"/>
    <w:rsid w:val="00E24DC7"/>
    <w:rsid w:val="00E2594E"/>
    <w:rsid w:val="00E329DE"/>
    <w:rsid w:val="00E32AFA"/>
    <w:rsid w:val="00E3315B"/>
    <w:rsid w:val="00E37026"/>
    <w:rsid w:val="00E43EF4"/>
    <w:rsid w:val="00E44E56"/>
    <w:rsid w:val="00E46147"/>
    <w:rsid w:val="00E46333"/>
    <w:rsid w:val="00E51737"/>
    <w:rsid w:val="00E54C5A"/>
    <w:rsid w:val="00E5638D"/>
    <w:rsid w:val="00E57EEE"/>
    <w:rsid w:val="00E621C8"/>
    <w:rsid w:val="00E62962"/>
    <w:rsid w:val="00E6345E"/>
    <w:rsid w:val="00E63D6D"/>
    <w:rsid w:val="00E737EA"/>
    <w:rsid w:val="00E753CB"/>
    <w:rsid w:val="00E75A84"/>
    <w:rsid w:val="00E7613C"/>
    <w:rsid w:val="00E76E6E"/>
    <w:rsid w:val="00E8074E"/>
    <w:rsid w:val="00E8411E"/>
    <w:rsid w:val="00E850AC"/>
    <w:rsid w:val="00E853E7"/>
    <w:rsid w:val="00E86044"/>
    <w:rsid w:val="00E9013C"/>
    <w:rsid w:val="00E977C5"/>
    <w:rsid w:val="00EA1203"/>
    <w:rsid w:val="00EA1AA9"/>
    <w:rsid w:val="00EA341C"/>
    <w:rsid w:val="00EA50D4"/>
    <w:rsid w:val="00EA5686"/>
    <w:rsid w:val="00EA6199"/>
    <w:rsid w:val="00EB33DB"/>
    <w:rsid w:val="00EB4DBC"/>
    <w:rsid w:val="00EB6A86"/>
    <w:rsid w:val="00EC1F60"/>
    <w:rsid w:val="00EC2D11"/>
    <w:rsid w:val="00EC62C9"/>
    <w:rsid w:val="00EC7800"/>
    <w:rsid w:val="00ED073D"/>
    <w:rsid w:val="00EE150F"/>
    <w:rsid w:val="00EE1813"/>
    <w:rsid w:val="00EE3655"/>
    <w:rsid w:val="00EE3767"/>
    <w:rsid w:val="00EE6EEA"/>
    <w:rsid w:val="00EF3CEA"/>
    <w:rsid w:val="00EF62CB"/>
    <w:rsid w:val="00EF67EA"/>
    <w:rsid w:val="00EF70F2"/>
    <w:rsid w:val="00F01C14"/>
    <w:rsid w:val="00F01C73"/>
    <w:rsid w:val="00F0260F"/>
    <w:rsid w:val="00F1286A"/>
    <w:rsid w:val="00F144A6"/>
    <w:rsid w:val="00F162C1"/>
    <w:rsid w:val="00F1675D"/>
    <w:rsid w:val="00F16C06"/>
    <w:rsid w:val="00F16E96"/>
    <w:rsid w:val="00F20604"/>
    <w:rsid w:val="00F2356C"/>
    <w:rsid w:val="00F25FA2"/>
    <w:rsid w:val="00F26BD1"/>
    <w:rsid w:val="00F27527"/>
    <w:rsid w:val="00F32366"/>
    <w:rsid w:val="00F33C3F"/>
    <w:rsid w:val="00F37842"/>
    <w:rsid w:val="00F414EE"/>
    <w:rsid w:val="00F41FD8"/>
    <w:rsid w:val="00F45D07"/>
    <w:rsid w:val="00F47BEA"/>
    <w:rsid w:val="00F52FCE"/>
    <w:rsid w:val="00F54A00"/>
    <w:rsid w:val="00F54A59"/>
    <w:rsid w:val="00F5605C"/>
    <w:rsid w:val="00F57376"/>
    <w:rsid w:val="00F573F5"/>
    <w:rsid w:val="00F6135A"/>
    <w:rsid w:val="00F62E2D"/>
    <w:rsid w:val="00F63203"/>
    <w:rsid w:val="00F63940"/>
    <w:rsid w:val="00F63AB7"/>
    <w:rsid w:val="00F66C71"/>
    <w:rsid w:val="00F7073D"/>
    <w:rsid w:val="00F70833"/>
    <w:rsid w:val="00F70FCC"/>
    <w:rsid w:val="00F71E44"/>
    <w:rsid w:val="00F72377"/>
    <w:rsid w:val="00F75E15"/>
    <w:rsid w:val="00F801D3"/>
    <w:rsid w:val="00F81559"/>
    <w:rsid w:val="00F8183D"/>
    <w:rsid w:val="00F8301E"/>
    <w:rsid w:val="00F84EC4"/>
    <w:rsid w:val="00F90365"/>
    <w:rsid w:val="00F92DA9"/>
    <w:rsid w:val="00F936F8"/>
    <w:rsid w:val="00F93DEA"/>
    <w:rsid w:val="00F95847"/>
    <w:rsid w:val="00F96311"/>
    <w:rsid w:val="00FA5E0E"/>
    <w:rsid w:val="00FA6A75"/>
    <w:rsid w:val="00FA794E"/>
    <w:rsid w:val="00FB3098"/>
    <w:rsid w:val="00FB4F93"/>
    <w:rsid w:val="00FB74CF"/>
    <w:rsid w:val="00FC6A12"/>
    <w:rsid w:val="00FD12B8"/>
    <w:rsid w:val="00FD32FD"/>
    <w:rsid w:val="00FD417D"/>
    <w:rsid w:val="00FD4198"/>
    <w:rsid w:val="00FE0B43"/>
    <w:rsid w:val="00FE1D0F"/>
    <w:rsid w:val="00FE3BA1"/>
    <w:rsid w:val="00FE79DF"/>
    <w:rsid w:val="00FE7F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fillcolor="none [2732]"/>
    </o:shapedefaults>
    <o:shapelayout v:ext="edit">
      <o:idmap v:ext="edit" data="1"/>
      <o:rules v:ext="edit">
        <o:r id="V:Rule19" type="connector" idref="#_x0000_s1074"/>
        <o:r id="V:Rule20" type="connector" idref="#_x0000_s1119"/>
        <o:r id="V:Rule21" type="connector" idref="#_x0000_s1111"/>
        <o:r id="V:Rule22" type="connector" idref="#_x0000_s1118"/>
        <o:r id="V:Rule23" type="connector" idref="#_x0000_s1116"/>
        <o:r id="V:Rule24" type="connector" idref="#_x0000_s1124"/>
        <o:r id="V:Rule25" type="connector" idref="#_x0000_s1123"/>
        <o:r id="V:Rule26" type="connector" idref="#_x0000_s1075"/>
        <o:r id="V:Rule27" type="connector" idref="#_x0000_s1115"/>
        <o:r id="V:Rule28" type="connector" idref="#_x0000_s1121"/>
        <o:r id="V:Rule29" type="connector" idref="#_x0000_s1070"/>
        <o:r id="V:Rule30" type="connector" idref="#_x0000_s1122"/>
        <o:r id="V:Rule31" type="connector" idref="#_x0000_s1072"/>
        <o:r id="V:Rule32" type="connector" idref="#_x0000_s1073"/>
        <o:r id="V:Rule33" type="connector" idref="#_x0000_s1120"/>
        <o:r id="V:Rule34" type="connector" idref="#_x0000_s1110"/>
        <o:r id="V:Rule35" type="connector" idref="#_x0000_s1078"/>
        <o:r id="V:Rule3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kstas"/>
    <w:qFormat/>
    <w:rsid w:val="00046FCB"/>
    <w:pPr>
      <w:spacing w:before="120" w:after="0" w:line="360" w:lineRule="auto"/>
      <w:ind w:firstLine="567"/>
      <w:jc w:val="both"/>
    </w:pPr>
    <w:rPr>
      <w:rFonts w:ascii="Times New Roman" w:hAnsi="Times New Roman"/>
      <w:sz w:val="24"/>
    </w:rPr>
  </w:style>
  <w:style w:type="paragraph" w:styleId="Heading1">
    <w:name w:val="heading 1"/>
    <w:aliases w:val="Skyrius"/>
    <w:basedOn w:val="Normal"/>
    <w:next w:val="Normal"/>
    <w:link w:val="Heading1Char"/>
    <w:qFormat/>
    <w:rsid w:val="005D6302"/>
    <w:pPr>
      <w:keepNext/>
      <w:keepLines/>
      <w:spacing w:after="240"/>
      <w:ind w:firstLine="0"/>
      <w:jc w:val="center"/>
      <w:outlineLvl w:val="0"/>
    </w:pPr>
    <w:rPr>
      <w:rFonts w:eastAsiaTheme="majorEastAsia" w:cstheme="majorBidi"/>
      <w:b/>
      <w:bCs/>
      <w:caps/>
      <w:sz w:val="28"/>
      <w:szCs w:val="28"/>
    </w:rPr>
  </w:style>
  <w:style w:type="paragraph" w:styleId="Heading2">
    <w:name w:val="heading 2"/>
    <w:aliases w:val="Poskyris"/>
    <w:basedOn w:val="Normal"/>
    <w:next w:val="Normal"/>
    <w:link w:val="Heading2Char"/>
    <w:uiPriority w:val="9"/>
    <w:unhideWhenUsed/>
    <w:qFormat/>
    <w:rsid w:val="005D6302"/>
    <w:pPr>
      <w:keepNext/>
      <w:keepLines/>
      <w:spacing w:before="240" w:after="240"/>
      <w:ind w:left="567" w:hanging="567"/>
      <w:jc w:val="center"/>
      <w:outlineLvl w:val="1"/>
    </w:pPr>
    <w:rPr>
      <w:rFonts w:eastAsiaTheme="majorEastAsia" w:cstheme="majorBidi"/>
      <w:b/>
      <w:bCs/>
      <w:sz w:val="28"/>
      <w:szCs w:val="26"/>
    </w:rPr>
  </w:style>
  <w:style w:type="paragraph" w:styleId="Heading3">
    <w:name w:val="heading 3"/>
    <w:aliases w:val="Poskyrėlis"/>
    <w:basedOn w:val="Normal"/>
    <w:next w:val="Normal"/>
    <w:link w:val="Heading3Char"/>
    <w:qFormat/>
    <w:rsid w:val="005D6302"/>
    <w:pPr>
      <w:keepNext/>
      <w:spacing w:before="240" w:after="240"/>
      <w:ind w:firstLine="0"/>
      <w:jc w:val="center"/>
      <w:outlineLvl w:val="2"/>
    </w:pPr>
    <w:rPr>
      <w:rFonts w:eastAsia="Times New Roman" w:cs="Arial"/>
      <w:b/>
      <w:bCs/>
      <w:i/>
      <w:szCs w:val="26"/>
    </w:rPr>
  </w:style>
  <w:style w:type="paragraph" w:styleId="Heading4">
    <w:name w:val="heading 4"/>
    <w:basedOn w:val="Normal"/>
    <w:next w:val="Normal"/>
    <w:link w:val="Heading4Char"/>
    <w:rsid w:val="00F8301E"/>
    <w:pPr>
      <w:keepNext/>
      <w:spacing w:line="240" w:lineRule="auto"/>
      <w:jc w:val="center"/>
      <w:outlineLvl w:val="3"/>
    </w:pPr>
    <w:rPr>
      <w:rFonts w:ascii="Garamond" w:eastAsia="Times New Roman" w:hAnsi="Garamond" w:cs="Tahoma"/>
      <w:sz w:val="28"/>
      <w:szCs w:val="24"/>
    </w:rPr>
  </w:style>
  <w:style w:type="paragraph" w:styleId="Heading8">
    <w:name w:val="heading 8"/>
    <w:basedOn w:val="Normal"/>
    <w:next w:val="Normal"/>
    <w:link w:val="Heading8Char"/>
    <w:uiPriority w:val="9"/>
    <w:semiHidden/>
    <w:unhideWhenUsed/>
    <w:qFormat/>
    <w:rsid w:val="00D949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us Char"/>
    <w:basedOn w:val="DefaultParagraphFont"/>
    <w:link w:val="Heading1"/>
    <w:rsid w:val="005D6302"/>
    <w:rPr>
      <w:rFonts w:ascii="Times New Roman" w:eastAsiaTheme="majorEastAsia" w:hAnsi="Times New Roman" w:cstheme="majorBidi"/>
      <w:b/>
      <w:bCs/>
      <w:caps/>
      <w:sz w:val="28"/>
      <w:szCs w:val="28"/>
    </w:rPr>
  </w:style>
  <w:style w:type="character" w:customStyle="1" w:styleId="Heading2Char">
    <w:name w:val="Heading 2 Char"/>
    <w:aliases w:val="Poskyris Char"/>
    <w:basedOn w:val="DefaultParagraphFont"/>
    <w:link w:val="Heading2"/>
    <w:uiPriority w:val="9"/>
    <w:rsid w:val="005D6302"/>
    <w:rPr>
      <w:rFonts w:ascii="Times New Roman" w:eastAsiaTheme="majorEastAsia" w:hAnsi="Times New Roman" w:cstheme="majorBidi"/>
      <w:b/>
      <w:bCs/>
      <w:sz w:val="28"/>
      <w:szCs w:val="26"/>
    </w:rPr>
  </w:style>
  <w:style w:type="character" w:customStyle="1" w:styleId="Heading3Char">
    <w:name w:val="Heading 3 Char"/>
    <w:aliases w:val="Poskyrėlis Char"/>
    <w:basedOn w:val="DefaultParagraphFont"/>
    <w:link w:val="Heading3"/>
    <w:rsid w:val="005D6302"/>
    <w:rPr>
      <w:rFonts w:ascii="Times New Roman" w:eastAsia="Times New Roman" w:hAnsi="Times New Roman" w:cs="Arial"/>
      <w:b/>
      <w:bCs/>
      <w:i/>
      <w:sz w:val="24"/>
      <w:szCs w:val="26"/>
    </w:rPr>
  </w:style>
  <w:style w:type="character" w:customStyle="1" w:styleId="Heading4Char">
    <w:name w:val="Heading 4 Char"/>
    <w:basedOn w:val="DefaultParagraphFont"/>
    <w:link w:val="Heading4"/>
    <w:rsid w:val="00F8301E"/>
    <w:rPr>
      <w:rFonts w:ascii="Garamond" w:eastAsia="Times New Roman" w:hAnsi="Garamond" w:cs="Tahoma"/>
      <w:sz w:val="28"/>
      <w:szCs w:val="24"/>
    </w:rPr>
  </w:style>
  <w:style w:type="character" w:customStyle="1" w:styleId="Heading8Char">
    <w:name w:val="Heading 8 Char"/>
    <w:basedOn w:val="DefaultParagraphFont"/>
    <w:link w:val="Heading8"/>
    <w:uiPriority w:val="9"/>
    <w:semiHidden/>
    <w:rsid w:val="00D94908"/>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F8301E"/>
    <w:pPr>
      <w:ind w:left="720"/>
      <w:contextualSpacing/>
    </w:pPr>
  </w:style>
  <w:style w:type="character" w:styleId="SubtleEmphasis">
    <w:name w:val="Subtle Emphasis"/>
    <w:basedOn w:val="DefaultParagraphFont"/>
    <w:uiPriority w:val="19"/>
    <w:rsid w:val="00030CB3"/>
    <w:rPr>
      <w:i/>
      <w:iCs/>
      <w:color w:val="808080" w:themeColor="text1" w:themeTint="7F"/>
    </w:rPr>
  </w:style>
  <w:style w:type="paragraph" w:customStyle="1" w:styleId="Pavadinimas">
    <w:name w:val="Pavadinimas"/>
    <w:basedOn w:val="Heading1"/>
    <w:link w:val="PavadinimasChar"/>
    <w:qFormat/>
    <w:rsid w:val="00030CB3"/>
  </w:style>
  <w:style w:type="character" w:customStyle="1" w:styleId="PavadinimasChar">
    <w:name w:val="Pavadinimas Char"/>
    <w:basedOn w:val="Heading1Char"/>
    <w:link w:val="Pavadinimas"/>
    <w:rsid w:val="00030CB3"/>
  </w:style>
  <w:style w:type="paragraph" w:styleId="Subtitle">
    <w:name w:val="Subtitle"/>
    <w:aliases w:val="Paveikslai"/>
    <w:basedOn w:val="TOC4"/>
    <w:next w:val="Normal"/>
    <w:link w:val="SubtitleChar"/>
    <w:qFormat/>
    <w:rsid w:val="009D0BB8"/>
    <w:pPr>
      <w:numPr>
        <w:numId w:val="1"/>
      </w:numPr>
      <w:spacing w:after="120"/>
      <w:ind w:left="567" w:hanging="567"/>
      <w:jc w:val="center"/>
    </w:pPr>
    <w:rPr>
      <w:rFonts w:ascii="Times New Roman" w:eastAsia="SimSun" w:hAnsi="Times New Roman" w:cs="Times New Roman"/>
      <w:b/>
      <w:sz w:val="22"/>
      <w:szCs w:val="24"/>
    </w:rPr>
  </w:style>
  <w:style w:type="paragraph" w:styleId="TOC4">
    <w:name w:val="toc 4"/>
    <w:basedOn w:val="Normal"/>
    <w:next w:val="Normal"/>
    <w:autoRedefine/>
    <w:uiPriority w:val="39"/>
    <w:unhideWhenUsed/>
    <w:rsid w:val="00FE7FDC"/>
    <w:pPr>
      <w:spacing w:before="0"/>
      <w:ind w:left="720"/>
      <w:jc w:val="left"/>
    </w:pPr>
    <w:rPr>
      <w:rFonts w:asciiTheme="minorHAnsi" w:hAnsiTheme="minorHAnsi"/>
      <w:sz w:val="18"/>
      <w:szCs w:val="18"/>
    </w:rPr>
  </w:style>
  <w:style w:type="character" w:customStyle="1" w:styleId="SubtitleChar">
    <w:name w:val="Subtitle Char"/>
    <w:aliases w:val="Paveikslai Char"/>
    <w:basedOn w:val="DefaultParagraphFont"/>
    <w:link w:val="Subtitle"/>
    <w:rsid w:val="009D0BB8"/>
    <w:rPr>
      <w:rFonts w:ascii="Times New Roman" w:eastAsia="SimSun" w:hAnsi="Times New Roman" w:cs="Times New Roman"/>
      <w:b/>
      <w:szCs w:val="24"/>
    </w:rPr>
  </w:style>
  <w:style w:type="paragraph" w:styleId="BalloonText">
    <w:name w:val="Balloon Text"/>
    <w:basedOn w:val="Normal"/>
    <w:link w:val="BalloonTextChar"/>
    <w:uiPriority w:val="99"/>
    <w:semiHidden/>
    <w:unhideWhenUsed/>
    <w:rsid w:val="00D436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38"/>
    <w:rPr>
      <w:rFonts w:ascii="Tahoma" w:hAnsi="Tahoma" w:cs="Tahoma"/>
      <w:sz w:val="16"/>
      <w:szCs w:val="16"/>
    </w:rPr>
  </w:style>
  <w:style w:type="table" w:styleId="TableGrid">
    <w:name w:val="Table Grid"/>
    <w:basedOn w:val="TableNormal"/>
    <w:uiPriority w:val="59"/>
    <w:rsid w:val="00411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41ECE"/>
    <w:pPr>
      <w:tabs>
        <w:tab w:val="center" w:pos="4320"/>
        <w:tab w:val="right" w:pos="8640"/>
      </w:tabs>
    </w:pPr>
    <w:rPr>
      <w:rFonts w:ascii="Garamond" w:eastAsia="SimSun" w:hAnsi="Garamond" w:cs="Times New Roman"/>
      <w:szCs w:val="24"/>
    </w:rPr>
  </w:style>
  <w:style w:type="character" w:customStyle="1" w:styleId="HeaderChar">
    <w:name w:val="Header Char"/>
    <w:basedOn w:val="DefaultParagraphFont"/>
    <w:link w:val="Header"/>
    <w:uiPriority w:val="99"/>
    <w:rsid w:val="00841ECE"/>
    <w:rPr>
      <w:rFonts w:ascii="Garamond" w:eastAsia="SimSun" w:hAnsi="Garamond" w:cs="Times New Roman"/>
      <w:sz w:val="24"/>
      <w:szCs w:val="24"/>
    </w:rPr>
  </w:style>
  <w:style w:type="paragraph" w:styleId="TOC1">
    <w:name w:val="toc 1"/>
    <w:basedOn w:val="Normal"/>
    <w:next w:val="Normal"/>
    <w:autoRedefine/>
    <w:uiPriority w:val="39"/>
    <w:unhideWhenUsed/>
    <w:qFormat/>
    <w:rsid w:val="00465C33"/>
    <w:pPr>
      <w:tabs>
        <w:tab w:val="left" w:pos="720"/>
        <w:tab w:val="right" w:leader="dot" w:pos="9911"/>
      </w:tabs>
      <w:spacing w:before="0" w:line="240" w:lineRule="auto"/>
      <w:ind w:left="284" w:hanging="284"/>
      <w:jc w:val="left"/>
    </w:pPr>
    <w:rPr>
      <w:bCs/>
      <w:caps/>
      <w:szCs w:val="20"/>
    </w:rPr>
  </w:style>
  <w:style w:type="paragraph" w:styleId="TOC2">
    <w:name w:val="toc 2"/>
    <w:basedOn w:val="Normal"/>
    <w:next w:val="Normal"/>
    <w:autoRedefine/>
    <w:uiPriority w:val="39"/>
    <w:unhideWhenUsed/>
    <w:qFormat/>
    <w:rsid w:val="003D34C3"/>
    <w:pPr>
      <w:tabs>
        <w:tab w:val="right" w:leader="dot" w:pos="9911"/>
      </w:tabs>
      <w:spacing w:before="0" w:line="240" w:lineRule="atLeast"/>
      <w:ind w:left="454" w:hanging="454"/>
      <w:jc w:val="left"/>
    </w:pPr>
    <w:rPr>
      <w:szCs w:val="20"/>
    </w:rPr>
  </w:style>
  <w:style w:type="paragraph" w:styleId="TOC3">
    <w:name w:val="toc 3"/>
    <w:basedOn w:val="Normal"/>
    <w:next w:val="Normal"/>
    <w:autoRedefine/>
    <w:uiPriority w:val="39"/>
    <w:unhideWhenUsed/>
    <w:qFormat/>
    <w:rsid w:val="00465C33"/>
    <w:pPr>
      <w:spacing w:before="0" w:line="240" w:lineRule="auto"/>
      <w:ind w:left="1078" w:hanging="624"/>
      <w:jc w:val="left"/>
    </w:pPr>
    <w:rPr>
      <w:iCs/>
      <w:szCs w:val="20"/>
    </w:rPr>
  </w:style>
  <w:style w:type="character" w:styleId="Hyperlink">
    <w:name w:val="Hyperlink"/>
    <w:basedOn w:val="DefaultParagraphFont"/>
    <w:uiPriority w:val="99"/>
    <w:unhideWhenUsed/>
    <w:rsid w:val="007062CA"/>
    <w:rPr>
      <w:color w:val="0000FF" w:themeColor="hyperlink"/>
      <w:u w:val="single"/>
    </w:rPr>
  </w:style>
  <w:style w:type="paragraph" w:styleId="Footer">
    <w:name w:val="footer"/>
    <w:basedOn w:val="Normal"/>
    <w:link w:val="FooterChar"/>
    <w:uiPriority w:val="99"/>
    <w:unhideWhenUsed/>
    <w:rsid w:val="007062CA"/>
    <w:pPr>
      <w:tabs>
        <w:tab w:val="center" w:pos="4819"/>
        <w:tab w:val="right" w:pos="9638"/>
      </w:tabs>
      <w:spacing w:before="0" w:line="240" w:lineRule="auto"/>
    </w:pPr>
  </w:style>
  <w:style w:type="character" w:customStyle="1" w:styleId="FooterChar">
    <w:name w:val="Footer Char"/>
    <w:basedOn w:val="DefaultParagraphFont"/>
    <w:link w:val="Footer"/>
    <w:uiPriority w:val="99"/>
    <w:rsid w:val="007062CA"/>
    <w:rPr>
      <w:rFonts w:ascii="Times New Roman" w:hAnsi="Times New Roman"/>
      <w:sz w:val="24"/>
    </w:rPr>
  </w:style>
  <w:style w:type="paragraph" w:styleId="Caption">
    <w:name w:val="caption"/>
    <w:aliases w:val="Lentelės"/>
    <w:basedOn w:val="TOC5"/>
    <w:next w:val="Normal"/>
    <w:unhideWhenUsed/>
    <w:qFormat/>
    <w:rsid w:val="009D0BB8"/>
    <w:pPr>
      <w:numPr>
        <w:numId w:val="2"/>
      </w:numPr>
      <w:spacing w:after="120" w:line="240" w:lineRule="auto"/>
      <w:ind w:left="851" w:hanging="851"/>
      <w:jc w:val="center"/>
    </w:pPr>
    <w:rPr>
      <w:rFonts w:ascii="Times New Roman" w:hAnsi="Times New Roman"/>
      <w:b/>
      <w:bCs/>
      <w:sz w:val="22"/>
    </w:rPr>
  </w:style>
  <w:style w:type="paragraph" w:styleId="TOC5">
    <w:name w:val="toc 5"/>
    <w:basedOn w:val="Normal"/>
    <w:next w:val="Normal"/>
    <w:autoRedefine/>
    <w:uiPriority w:val="39"/>
    <w:unhideWhenUsed/>
    <w:rsid w:val="00FE7FDC"/>
    <w:pPr>
      <w:spacing w:before="0"/>
      <w:ind w:left="960"/>
      <w:jc w:val="left"/>
    </w:pPr>
    <w:rPr>
      <w:rFonts w:asciiTheme="minorHAnsi" w:hAnsiTheme="minorHAnsi"/>
      <w:sz w:val="18"/>
      <w:szCs w:val="18"/>
    </w:rPr>
  </w:style>
  <w:style w:type="paragraph" w:customStyle="1" w:styleId="Priedai">
    <w:name w:val="Priedai"/>
    <w:basedOn w:val="TOC4"/>
    <w:next w:val="TOC7"/>
    <w:qFormat/>
    <w:rsid w:val="001B6184"/>
    <w:pPr>
      <w:numPr>
        <w:numId w:val="3"/>
      </w:numPr>
      <w:spacing w:after="120"/>
      <w:ind w:left="360"/>
      <w:jc w:val="right"/>
    </w:pPr>
    <w:rPr>
      <w:rFonts w:ascii="Times New Roman" w:hAnsi="Times New Roman"/>
      <w:b/>
      <w:sz w:val="24"/>
    </w:rPr>
  </w:style>
  <w:style w:type="paragraph" w:styleId="TOC7">
    <w:name w:val="toc 7"/>
    <w:basedOn w:val="Normal"/>
    <w:next w:val="Normal"/>
    <w:autoRedefine/>
    <w:uiPriority w:val="39"/>
    <w:unhideWhenUsed/>
    <w:rsid w:val="00102915"/>
    <w:pPr>
      <w:spacing w:before="0"/>
      <w:ind w:left="1440"/>
      <w:jc w:val="left"/>
    </w:pPr>
    <w:rPr>
      <w:rFonts w:asciiTheme="minorHAnsi" w:hAnsiTheme="minorHAnsi"/>
      <w:sz w:val="18"/>
      <w:szCs w:val="18"/>
    </w:rPr>
  </w:style>
  <w:style w:type="paragraph" w:customStyle="1" w:styleId="Default">
    <w:name w:val="Default"/>
    <w:rsid w:val="00D94908"/>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text3">
    <w:name w:val="text3"/>
    <w:basedOn w:val="DefaultParagraphFont"/>
    <w:rsid w:val="001F271F"/>
  </w:style>
  <w:style w:type="character" w:styleId="FollowedHyperlink">
    <w:name w:val="FollowedHyperlink"/>
    <w:basedOn w:val="DefaultParagraphFont"/>
    <w:uiPriority w:val="99"/>
    <w:semiHidden/>
    <w:unhideWhenUsed/>
    <w:rsid w:val="002F1A3A"/>
    <w:rPr>
      <w:color w:val="800080" w:themeColor="followedHyperlink"/>
      <w:u w:val="single"/>
    </w:rPr>
  </w:style>
  <w:style w:type="paragraph" w:styleId="BodyText">
    <w:name w:val="Body Text"/>
    <w:basedOn w:val="Normal"/>
    <w:link w:val="BodyTextChar"/>
    <w:rsid w:val="00CA395A"/>
    <w:pPr>
      <w:spacing w:before="0" w:after="120" w:line="240" w:lineRule="auto"/>
      <w:ind w:firstLine="0"/>
    </w:pPr>
    <w:rPr>
      <w:rFonts w:eastAsia="Times New Roman" w:cs="Times New Roman"/>
      <w:sz w:val="20"/>
      <w:szCs w:val="20"/>
    </w:rPr>
  </w:style>
  <w:style w:type="character" w:customStyle="1" w:styleId="BodyTextChar">
    <w:name w:val="Body Text Char"/>
    <w:basedOn w:val="DefaultParagraphFont"/>
    <w:link w:val="BodyText"/>
    <w:rsid w:val="00CA395A"/>
    <w:rPr>
      <w:rFonts w:ascii="Times New Roman" w:eastAsia="Times New Roman" w:hAnsi="Times New Roman" w:cs="Times New Roman"/>
      <w:sz w:val="20"/>
      <w:szCs w:val="20"/>
    </w:rPr>
  </w:style>
  <w:style w:type="paragraph" w:styleId="FootnoteText">
    <w:name w:val="footnote text"/>
    <w:basedOn w:val="Normal"/>
    <w:link w:val="FootnoteTextChar"/>
    <w:semiHidden/>
    <w:rsid w:val="00CA395A"/>
    <w:pPr>
      <w:spacing w:before="0" w:line="240" w:lineRule="auto"/>
      <w:ind w:firstLine="0"/>
      <w:jc w:val="left"/>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CA395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A395A"/>
    <w:rPr>
      <w:vertAlign w:val="superscript"/>
    </w:rPr>
  </w:style>
  <w:style w:type="character" w:styleId="PlaceholderText">
    <w:name w:val="Placeholder Text"/>
    <w:basedOn w:val="DefaultParagraphFont"/>
    <w:uiPriority w:val="99"/>
    <w:semiHidden/>
    <w:rsid w:val="009E36E2"/>
    <w:rPr>
      <w:color w:val="808080"/>
    </w:rPr>
  </w:style>
  <w:style w:type="paragraph" w:styleId="NormalWeb">
    <w:name w:val="Normal (Web)"/>
    <w:basedOn w:val="Normal"/>
    <w:uiPriority w:val="99"/>
    <w:unhideWhenUsed/>
    <w:rsid w:val="00E54C5A"/>
    <w:pPr>
      <w:spacing w:before="100" w:beforeAutospacing="1" w:after="100" w:afterAutospacing="1" w:line="240" w:lineRule="auto"/>
      <w:ind w:firstLine="0"/>
      <w:jc w:val="left"/>
    </w:pPr>
    <w:rPr>
      <w:rFonts w:eastAsia="Times New Roman" w:cs="Times New Roman"/>
      <w:szCs w:val="24"/>
      <w:lang w:eastAsia="lt-LT" w:bidi="lo-LA"/>
    </w:rPr>
  </w:style>
  <w:style w:type="paragraph" w:styleId="TOCHeading">
    <w:name w:val="TOC Heading"/>
    <w:basedOn w:val="Heading1"/>
    <w:next w:val="Normal"/>
    <w:uiPriority w:val="39"/>
    <w:semiHidden/>
    <w:unhideWhenUsed/>
    <w:qFormat/>
    <w:rsid w:val="00465C33"/>
    <w:pPr>
      <w:spacing w:before="480" w:after="0" w:line="276" w:lineRule="auto"/>
      <w:jc w:val="left"/>
      <w:outlineLvl w:val="9"/>
    </w:pPr>
    <w:rPr>
      <w:rFonts w:asciiTheme="majorHAnsi" w:hAnsiTheme="majorHAnsi"/>
      <w:caps w:val="0"/>
      <w:color w:val="365F91" w:themeColor="accent1" w:themeShade="BF"/>
      <w:lang w:val="en-US"/>
    </w:rPr>
  </w:style>
  <w:style w:type="paragraph" w:styleId="TOC6">
    <w:name w:val="toc 6"/>
    <w:basedOn w:val="Normal"/>
    <w:next w:val="Normal"/>
    <w:autoRedefine/>
    <w:uiPriority w:val="39"/>
    <w:unhideWhenUsed/>
    <w:rsid w:val="00465C33"/>
    <w:pPr>
      <w:spacing w:before="0"/>
      <w:ind w:left="1200"/>
      <w:jc w:val="left"/>
    </w:pPr>
    <w:rPr>
      <w:rFonts w:asciiTheme="minorHAnsi" w:hAnsiTheme="minorHAnsi"/>
      <w:sz w:val="18"/>
      <w:szCs w:val="18"/>
    </w:rPr>
  </w:style>
  <w:style w:type="paragraph" w:styleId="TOC8">
    <w:name w:val="toc 8"/>
    <w:basedOn w:val="Normal"/>
    <w:next w:val="Normal"/>
    <w:autoRedefine/>
    <w:uiPriority w:val="39"/>
    <w:unhideWhenUsed/>
    <w:rsid w:val="00465C33"/>
    <w:pPr>
      <w:spacing w:before="0"/>
      <w:ind w:left="1680"/>
      <w:jc w:val="left"/>
    </w:pPr>
    <w:rPr>
      <w:rFonts w:asciiTheme="minorHAnsi" w:hAnsiTheme="minorHAnsi"/>
      <w:sz w:val="18"/>
      <w:szCs w:val="18"/>
    </w:rPr>
  </w:style>
  <w:style w:type="paragraph" w:styleId="TOC9">
    <w:name w:val="toc 9"/>
    <w:basedOn w:val="Normal"/>
    <w:next w:val="Normal"/>
    <w:autoRedefine/>
    <w:uiPriority w:val="39"/>
    <w:unhideWhenUsed/>
    <w:rsid w:val="00465C33"/>
    <w:pPr>
      <w:spacing w:before="0"/>
      <w:ind w:left="1920"/>
      <w:jc w:val="left"/>
    </w:pPr>
    <w:rPr>
      <w:rFonts w:asciiTheme="minorHAnsi" w:hAnsiTheme="minorHAnsi"/>
      <w:sz w:val="18"/>
      <w:szCs w:val="18"/>
    </w:rPr>
  </w:style>
  <w:style w:type="paragraph" w:styleId="TableofFigures">
    <w:name w:val="table of figures"/>
    <w:basedOn w:val="Normal"/>
    <w:next w:val="Normal"/>
    <w:uiPriority w:val="99"/>
    <w:unhideWhenUsed/>
    <w:rsid w:val="003D34C3"/>
    <w:pPr>
      <w:spacing w:before="0" w:line="288" w:lineRule="auto"/>
      <w:ind w:left="1021" w:hanging="1021"/>
    </w:pPr>
  </w:style>
  <w:style w:type="paragraph" w:customStyle="1" w:styleId="font5">
    <w:name w:val="font5"/>
    <w:basedOn w:val="Normal"/>
    <w:rsid w:val="001D31F3"/>
    <w:pPr>
      <w:spacing w:before="100" w:beforeAutospacing="1" w:after="100" w:afterAutospacing="1" w:line="240" w:lineRule="auto"/>
      <w:ind w:firstLine="0"/>
      <w:jc w:val="left"/>
    </w:pPr>
    <w:rPr>
      <w:rFonts w:ascii="Tahoma" w:eastAsia="Times New Roman" w:hAnsi="Tahoma" w:cs="Tahoma"/>
      <w:color w:val="000000"/>
      <w:sz w:val="18"/>
      <w:szCs w:val="18"/>
      <w:lang w:eastAsia="lt-LT"/>
    </w:rPr>
  </w:style>
  <w:style w:type="paragraph" w:customStyle="1" w:styleId="font6">
    <w:name w:val="font6"/>
    <w:basedOn w:val="Normal"/>
    <w:rsid w:val="001D31F3"/>
    <w:pPr>
      <w:spacing w:before="100" w:beforeAutospacing="1" w:after="100" w:afterAutospacing="1" w:line="240" w:lineRule="auto"/>
      <w:ind w:firstLine="0"/>
      <w:jc w:val="left"/>
    </w:pPr>
    <w:rPr>
      <w:rFonts w:ascii="Tahoma" w:eastAsia="Times New Roman" w:hAnsi="Tahoma" w:cs="Tahoma"/>
      <w:b/>
      <w:bCs/>
      <w:color w:val="000000"/>
      <w:sz w:val="18"/>
      <w:szCs w:val="18"/>
      <w:lang w:eastAsia="lt-LT"/>
    </w:rPr>
  </w:style>
  <w:style w:type="paragraph" w:customStyle="1" w:styleId="xl69">
    <w:name w:val="xl69"/>
    <w:basedOn w:val="Normal"/>
    <w:rsid w:val="001D31F3"/>
    <w:pPr>
      <w:spacing w:before="100" w:beforeAutospacing="1" w:after="100" w:afterAutospacing="1" w:line="240" w:lineRule="auto"/>
      <w:ind w:firstLine="0"/>
      <w:jc w:val="left"/>
    </w:pPr>
    <w:rPr>
      <w:rFonts w:eastAsia="Times New Roman" w:cs="Times New Roman"/>
      <w:szCs w:val="24"/>
      <w:lang w:eastAsia="lt-LT"/>
    </w:rPr>
  </w:style>
  <w:style w:type="paragraph" w:customStyle="1" w:styleId="xl73">
    <w:name w:val="xl73"/>
    <w:basedOn w:val="Normal"/>
    <w:rsid w:val="001D31F3"/>
    <w:pPr>
      <w:shd w:val="clear" w:color="000000" w:fill="FFFF00"/>
      <w:spacing w:before="100" w:beforeAutospacing="1" w:after="100" w:afterAutospacing="1" w:line="240" w:lineRule="auto"/>
      <w:ind w:firstLine="0"/>
      <w:jc w:val="left"/>
    </w:pPr>
    <w:rPr>
      <w:rFonts w:eastAsia="Times New Roman" w:cs="Times New Roman"/>
      <w:szCs w:val="24"/>
      <w:lang w:eastAsia="lt-LT"/>
    </w:rPr>
  </w:style>
  <w:style w:type="paragraph" w:customStyle="1" w:styleId="xl74">
    <w:name w:val="xl74"/>
    <w:basedOn w:val="Normal"/>
    <w:rsid w:val="001D31F3"/>
    <w:pPr>
      <w:shd w:val="clear" w:color="000000" w:fill="FFFFFF"/>
      <w:spacing w:before="100" w:beforeAutospacing="1" w:after="100" w:afterAutospacing="1" w:line="240" w:lineRule="auto"/>
      <w:ind w:firstLine="0"/>
      <w:jc w:val="left"/>
    </w:pPr>
    <w:rPr>
      <w:rFonts w:eastAsia="Times New Roman" w:cs="Times New Roman"/>
      <w:szCs w:val="24"/>
      <w:lang w:eastAsia="lt-LT"/>
    </w:rPr>
  </w:style>
  <w:style w:type="paragraph" w:customStyle="1" w:styleId="xl75">
    <w:name w:val="xl75"/>
    <w:basedOn w:val="Normal"/>
    <w:rsid w:val="001D31F3"/>
    <w:pPr>
      <w:shd w:val="clear" w:color="000000" w:fill="FFFF00"/>
      <w:spacing w:before="100" w:beforeAutospacing="1" w:after="100" w:afterAutospacing="1" w:line="240" w:lineRule="auto"/>
      <w:ind w:firstLine="0"/>
      <w:jc w:val="left"/>
    </w:pPr>
    <w:rPr>
      <w:rFonts w:eastAsia="Times New Roman" w:cs="Times New Roman"/>
      <w:color w:val="FF0000"/>
      <w:szCs w:val="24"/>
      <w:lang w:eastAsia="lt-LT"/>
    </w:rPr>
  </w:style>
  <w:style w:type="paragraph" w:customStyle="1" w:styleId="xl76">
    <w:name w:val="xl76"/>
    <w:basedOn w:val="Normal"/>
    <w:rsid w:val="001D31F3"/>
    <w:pPr>
      <w:shd w:val="clear" w:color="000000" w:fill="FFFF00"/>
      <w:spacing w:before="100" w:beforeAutospacing="1" w:after="100" w:afterAutospacing="1" w:line="240" w:lineRule="auto"/>
      <w:ind w:firstLine="0"/>
      <w:jc w:val="left"/>
    </w:pPr>
    <w:rPr>
      <w:rFonts w:eastAsia="Times New Roman" w:cs="Times New Roman"/>
      <w:szCs w:val="24"/>
      <w:lang w:eastAsia="lt-LT"/>
    </w:rPr>
  </w:style>
  <w:style w:type="paragraph" w:customStyle="1" w:styleId="xl77">
    <w:name w:val="xl77"/>
    <w:basedOn w:val="Normal"/>
    <w:rsid w:val="001D31F3"/>
    <w:pPr>
      <w:shd w:val="clear" w:color="000000" w:fill="FFFF00"/>
      <w:spacing w:before="100" w:beforeAutospacing="1" w:after="100" w:afterAutospacing="1" w:line="240" w:lineRule="auto"/>
      <w:ind w:firstLine="0"/>
      <w:jc w:val="left"/>
    </w:pPr>
    <w:rPr>
      <w:rFonts w:eastAsia="Times New Roman" w:cs="Times New Roman"/>
      <w:color w:val="FF0000"/>
      <w:szCs w:val="24"/>
      <w:lang w:eastAsia="lt-LT"/>
    </w:rPr>
  </w:style>
</w:styles>
</file>

<file path=word/webSettings.xml><?xml version="1.0" encoding="utf-8"?>
<w:webSettings xmlns:r="http://schemas.openxmlformats.org/officeDocument/2006/relationships" xmlns:w="http://schemas.openxmlformats.org/wordprocessingml/2006/main">
  <w:divs>
    <w:div w:id="27460820">
      <w:bodyDiv w:val="1"/>
      <w:marLeft w:val="0"/>
      <w:marRight w:val="0"/>
      <w:marTop w:val="0"/>
      <w:marBottom w:val="0"/>
      <w:divBdr>
        <w:top w:val="none" w:sz="0" w:space="0" w:color="auto"/>
        <w:left w:val="none" w:sz="0" w:space="0" w:color="auto"/>
        <w:bottom w:val="none" w:sz="0" w:space="0" w:color="auto"/>
        <w:right w:val="none" w:sz="0" w:space="0" w:color="auto"/>
      </w:divBdr>
    </w:div>
    <w:div w:id="136185071">
      <w:bodyDiv w:val="1"/>
      <w:marLeft w:val="0"/>
      <w:marRight w:val="0"/>
      <w:marTop w:val="0"/>
      <w:marBottom w:val="0"/>
      <w:divBdr>
        <w:top w:val="none" w:sz="0" w:space="0" w:color="auto"/>
        <w:left w:val="none" w:sz="0" w:space="0" w:color="auto"/>
        <w:bottom w:val="none" w:sz="0" w:space="0" w:color="auto"/>
        <w:right w:val="none" w:sz="0" w:space="0" w:color="auto"/>
      </w:divBdr>
    </w:div>
    <w:div w:id="160463905">
      <w:bodyDiv w:val="1"/>
      <w:marLeft w:val="0"/>
      <w:marRight w:val="0"/>
      <w:marTop w:val="0"/>
      <w:marBottom w:val="0"/>
      <w:divBdr>
        <w:top w:val="none" w:sz="0" w:space="0" w:color="auto"/>
        <w:left w:val="none" w:sz="0" w:space="0" w:color="auto"/>
        <w:bottom w:val="none" w:sz="0" w:space="0" w:color="auto"/>
        <w:right w:val="none" w:sz="0" w:space="0" w:color="auto"/>
      </w:divBdr>
    </w:div>
    <w:div w:id="161703069">
      <w:bodyDiv w:val="1"/>
      <w:marLeft w:val="0"/>
      <w:marRight w:val="0"/>
      <w:marTop w:val="0"/>
      <w:marBottom w:val="0"/>
      <w:divBdr>
        <w:top w:val="none" w:sz="0" w:space="0" w:color="auto"/>
        <w:left w:val="none" w:sz="0" w:space="0" w:color="auto"/>
        <w:bottom w:val="none" w:sz="0" w:space="0" w:color="auto"/>
        <w:right w:val="none" w:sz="0" w:space="0" w:color="auto"/>
      </w:divBdr>
    </w:div>
    <w:div w:id="240994419">
      <w:bodyDiv w:val="1"/>
      <w:marLeft w:val="0"/>
      <w:marRight w:val="0"/>
      <w:marTop w:val="0"/>
      <w:marBottom w:val="0"/>
      <w:divBdr>
        <w:top w:val="none" w:sz="0" w:space="0" w:color="auto"/>
        <w:left w:val="none" w:sz="0" w:space="0" w:color="auto"/>
        <w:bottom w:val="none" w:sz="0" w:space="0" w:color="auto"/>
        <w:right w:val="none" w:sz="0" w:space="0" w:color="auto"/>
      </w:divBdr>
    </w:div>
    <w:div w:id="289634705">
      <w:bodyDiv w:val="1"/>
      <w:marLeft w:val="0"/>
      <w:marRight w:val="0"/>
      <w:marTop w:val="0"/>
      <w:marBottom w:val="0"/>
      <w:divBdr>
        <w:top w:val="none" w:sz="0" w:space="0" w:color="auto"/>
        <w:left w:val="none" w:sz="0" w:space="0" w:color="auto"/>
        <w:bottom w:val="none" w:sz="0" w:space="0" w:color="auto"/>
        <w:right w:val="none" w:sz="0" w:space="0" w:color="auto"/>
      </w:divBdr>
    </w:div>
    <w:div w:id="297806096">
      <w:bodyDiv w:val="1"/>
      <w:marLeft w:val="0"/>
      <w:marRight w:val="0"/>
      <w:marTop w:val="0"/>
      <w:marBottom w:val="0"/>
      <w:divBdr>
        <w:top w:val="none" w:sz="0" w:space="0" w:color="auto"/>
        <w:left w:val="none" w:sz="0" w:space="0" w:color="auto"/>
        <w:bottom w:val="none" w:sz="0" w:space="0" w:color="auto"/>
        <w:right w:val="none" w:sz="0" w:space="0" w:color="auto"/>
      </w:divBdr>
    </w:div>
    <w:div w:id="301428683">
      <w:bodyDiv w:val="1"/>
      <w:marLeft w:val="0"/>
      <w:marRight w:val="0"/>
      <w:marTop w:val="0"/>
      <w:marBottom w:val="0"/>
      <w:divBdr>
        <w:top w:val="none" w:sz="0" w:space="0" w:color="auto"/>
        <w:left w:val="none" w:sz="0" w:space="0" w:color="auto"/>
        <w:bottom w:val="none" w:sz="0" w:space="0" w:color="auto"/>
        <w:right w:val="none" w:sz="0" w:space="0" w:color="auto"/>
      </w:divBdr>
    </w:div>
    <w:div w:id="383916422">
      <w:bodyDiv w:val="1"/>
      <w:marLeft w:val="0"/>
      <w:marRight w:val="0"/>
      <w:marTop w:val="0"/>
      <w:marBottom w:val="0"/>
      <w:divBdr>
        <w:top w:val="none" w:sz="0" w:space="0" w:color="auto"/>
        <w:left w:val="none" w:sz="0" w:space="0" w:color="auto"/>
        <w:bottom w:val="none" w:sz="0" w:space="0" w:color="auto"/>
        <w:right w:val="none" w:sz="0" w:space="0" w:color="auto"/>
      </w:divBdr>
    </w:div>
    <w:div w:id="457067251">
      <w:bodyDiv w:val="1"/>
      <w:marLeft w:val="0"/>
      <w:marRight w:val="0"/>
      <w:marTop w:val="0"/>
      <w:marBottom w:val="0"/>
      <w:divBdr>
        <w:top w:val="none" w:sz="0" w:space="0" w:color="auto"/>
        <w:left w:val="none" w:sz="0" w:space="0" w:color="auto"/>
        <w:bottom w:val="none" w:sz="0" w:space="0" w:color="auto"/>
        <w:right w:val="none" w:sz="0" w:space="0" w:color="auto"/>
      </w:divBdr>
    </w:div>
    <w:div w:id="469984617">
      <w:bodyDiv w:val="1"/>
      <w:marLeft w:val="0"/>
      <w:marRight w:val="0"/>
      <w:marTop w:val="0"/>
      <w:marBottom w:val="0"/>
      <w:divBdr>
        <w:top w:val="none" w:sz="0" w:space="0" w:color="auto"/>
        <w:left w:val="none" w:sz="0" w:space="0" w:color="auto"/>
        <w:bottom w:val="none" w:sz="0" w:space="0" w:color="auto"/>
        <w:right w:val="none" w:sz="0" w:space="0" w:color="auto"/>
      </w:divBdr>
    </w:div>
    <w:div w:id="518668162">
      <w:bodyDiv w:val="1"/>
      <w:marLeft w:val="0"/>
      <w:marRight w:val="0"/>
      <w:marTop w:val="0"/>
      <w:marBottom w:val="0"/>
      <w:divBdr>
        <w:top w:val="none" w:sz="0" w:space="0" w:color="auto"/>
        <w:left w:val="none" w:sz="0" w:space="0" w:color="auto"/>
        <w:bottom w:val="none" w:sz="0" w:space="0" w:color="auto"/>
        <w:right w:val="none" w:sz="0" w:space="0" w:color="auto"/>
      </w:divBdr>
    </w:div>
    <w:div w:id="563294377">
      <w:bodyDiv w:val="1"/>
      <w:marLeft w:val="0"/>
      <w:marRight w:val="0"/>
      <w:marTop w:val="0"/>
      <w:marBottom w:val="0"/>
      <w:divBdr>
        <w:top w:val="none" w:sz="0" w:space="0" w:color="auto"/>
        <w:left w:val="none" w:sz="0" w:space="0" w:color="auto"/>
        <w:bottom w:val="none" w:sz="0" w:space="0" w:color="auto"/>
        <w:right w:val="none" w:sz="0" w:space="0" w:color="auto"/>
      </w:divBdr>
      <w:divsChild>
        <w:div w:id="1511263568">
          <w:marLeft w:val="806"/>
          <w:marRight w:val="0"/>
          <w:marTop w:val="120"/>
          <w:marBottom w:val="0"/>
          <w:divBdr>
            <w:top w:val="none" w:sz="0" w:space="0" w:color="auto"/>
            <w:left w:val="none" w:sz="0" w:space="0" w:color="auto"/>
            <w:bottom w:val="none" w:sz="0" w:space="0" w:color="auto"/>
            <w:right w:val="none" w:sz="0" w:space="0" w:color="auto"/>
          </w:divBdr>
        </w:div>
        <w:div w:id="1107890934">
          <w:marLeft w:val="806"/>
          <w:marRight w:val="0"/>
          <w:marTop w:val="120"/>
          <w:marBottom w:val="0"/>
          <w:divBdr>
            <w:top w:val="none" w:sz="0" w:space="0" w:color="auto"/>
            <w:left w:val="none" w:sz="0" w:space="0" w:color="auto"/>
            <w:bottom w:val="none" w:sz="0" w:space="0" w:color="auto"/>
            <w:right w:val="none" w:sz="0" w:space="0" w:color="auto"/>
          </w:divBdr>
        </w:div>
        <w:div w:id="1822036397">
          <w:marLeft w:val="806"/>
          <w:marRight w:val="0"/>
          <w:marTop w:val="120"/>
          <w:marBottom w:val="0"/>
          <w:divBdr>
            <w:top w:val="none" w:sz="0" w:space="0" w:color="auto"/>
            <w:left w:val="none" w:sz="0" w:space="0" w:color="auto"/>
            <w:bottom w:val="none" w:sz="0" w:space="0" w:color="auto"/>
            <w:right w:val="none" w:sz="0" w:space="0" w:color="auto"/>
          </w:divBdr>
        </w:div>
        <w:div w:id="521629353">
          <w:marLeft w:val="806"/>
          <w:marRight w:val="0"/>
          <w:marTop w:val="120"/>
          <w:marBottom w:val="0"/>
          <w:divBdr>
            <w:top w:val="none" w:sz="0" w:space="0" w:color="auto"/>
            <w:left w:val="none" w:sz="0" w:space="0" w:color="auto"/>
            <w:bottom w:val="none" w:sz="0" w:space="0" w:color="auto"/>
            <w:right w:val="none" w:sz="0" w:space="0" w:color="auto"/>
          </w:divBdr>
        </w:div>
        <w:div w:id="1674600803">
          <w:marLeft w:val="806"/>
          <w:marRight w:val="0"/>
          <w:marTop w:val="120"/>
          <w:marBottom w:val="0"/>
          <w:divBdr>
            <w:top w:val="none" w:sz="0" w:space="0" w:color="auto"/>
            <w:left w:val="none" w:sz="0" w:space="0" w:color="auto"/>
            <w:bottom w:val="none" w:sz="0" w:space="0" w:color="auto"/>
            <w:right w:val="none" w:sz="0" w:space="0" w:color="auto"/>
          </w:divBdr>
        </w:div>
        <w:div w:id="685060644">
          <w:marLeft w:val="806"/>
          <w:marRight w:val="0"/>
          <w:marTop w:val="120"/>
          <w:marBottom w:val="0"/>
          <w:divBdr>
            <w:top w:val="none" w:sz="0" w:space="0" w:color="auto"/>
            <w:left w:val="none" w:sz="0" w:space="0" w:color="auto"/>
            <w:bottom w:val="none" w:sz="0" w:space="0" w:color="auto"/>
            <w:right w:val="none" w:sz="0" w:space="0" w:color="auto"/>
          </w:divBdr>
        </w:div>
      </w:divsChild>
    </w:div>
    <w:div w:id="612445657">
      <w:bodyDiv w:val="1"/>
      <w:marLeft w:val="0"/>
      <w:marRight w:val="0"/>
      <w:marTop w:val="0"/>
      <w:marBottom w:val="0"/>
      <w:divBdr>
        <w:top w:val="none" w:sz="0" w:space="0" w:color="auto"/>
        <w:left w:val="none" w:sz="0" w:space="0" w:color="auto"/>
        <w:bottom w:val="none" w:sz="0" w:space="0" w:color="auto"/>
        <w:right w:val="none" w:sz="0" w:space="0" w:color="auto"/>
      </w:divBdr>
    </w:div>
    <w:div w:id="625043777">
      <w:bodyDiv w:val="1"/>
      <w:marLeft w:val="0"/>
      <w:marRight w:val="0"/>
      <w:marTop w:val="0"/>
      <w:marBottom w:val="0"/>
      <w:divBdr>
        <w:top w:val="none" w:sz="0" w:space="0" w:color="auto"/>
        <w:left w:val="none" w:sz="0" w:space="0" w:color="auto"/>
        <w:bottom w:val="none" w:sz="0" w:space="0" w:color="auto"/>
        <w:right w:val="none" w:sz="0" w:space="0" w:color="auto"/>
      </w:divBdr>
    </w:div>
    <w:div w:id="699210906">
      <w:bodyDiv w:val="1"/>
      <w:marLeft w:val="0"/>
      <w:marRight w:val="0"/>
      <w:marTop w:val="0"/>
      <w:marBottom w:val="0"/>
      <w:divBdr>
        <w:top w:val="none" w:sz="0" w:space="0" w:color="auto"/>
        <w:left w:val="none" w:sz="0" w:space="0" w:color="auto"/>
        <w:bottom w:val="none" w:sz="0" w:space="0" w:color="auto"/>
        <w:right w:val="none" w:sz="0" w:space="0" w:color="auto"/>
      </w:divBdr>
    </w:div>
    <w:div w:id="731082548">
      <w:bodyDiv w:val="1"/>
      <w:marLeft w:val="0"/>
      <w:marRight w:val="0"/>
      <w:marTop w:val="0"/>
      <w:marBottom w:val="0"/>
      <w:divBdr>
        <w:top w:val="none" w:sz="0" w:space="0" w:color="auto"/>
        <w:left w:val="none" w:sz="0" w:space="0" w:color="auto"/>
        <w:bottom w:val="none" w:sz="0" w:space="0" w:color="auto"/>
        <w:right w:val="none" w:sz="0" w:space="0" w:color="auto"/>
      </w:divBdr>
    </w:div>
    <w:div w:id="862281454">
      <w:bodyDiv w:val="1"/>
      <w:marLeft w:val="0"/>
      <w:marRight w:val="0"/>
      <w:marTop w:val="0"/>
      <w:marBottom w:val="0"/>
      <w:divBdr>
        <w:top w:val="none" w:sz="0" w:space="0" w:color="auto"/>
        <w:left w:val="none" w:sz="0" w:space="0" w:color="auto"/>
        <w:bottom w:val="none" w:sz="0" w:space="0" w:color="auto"/>
        <w:right w:val="none" w:sz="0" w:space="0" w:color="auto"/>
      </w:divBdr>
    </w:div>
    <w:div w:id="917717717">
      <w:bodyDiv w:val="1"/>
      <w:marLeft w:val="0"/>
      <w:marRight w:val="0"/>
      <w:marTop w:val="0"/>
      <w:marBottom w:val="0"/>
      <w:divBdr>
        <w:top w:val="none" w:sz="0" w:space="0" w:color="auto"/>
        <w:left w:val="none" w:sz="0" w:space="0" w:color="auto"/>
        <w:bottom w:val="none" w:sz="0" w:space="0" w:color="auto"/>
        <w:right w:val="none" w:sz="0" w:space="0" w:color="auto"/>
      </w:divBdr>
    </w:div>
    <w:div w:id="918291177">
      <w:bodyDiv w:val="1"/>
      <w:marLeft w:val="0"/>
      <w:marRight w:val="0"/>
      <w:marTop w:val="0"/>
      <w:marBottom w:val="0"/>
      <w:divBdr>
        <w:top w:val="none" w:sz="0" w:space="0" w:color="auto"/>
        <w:left w:val="none" w:sz="0" w:space="0" w:color="auto"/>
        <w:bottom w:val="none" w:sz="0" w:space="0" w:color="auto"/>
        <w:right w:val="none" w:sz="0" w:space="0" w:color="auto"/>
      </w:divBdr>
    </w:div>
    <w:div w:id="921642833">
      <w:bodyDiv w:val="1"/>
      <w:marLeft w:val="0"/>
      <w:marRight w:val="0"/>
      <w:marTop w:val="0"/>
      <w:marBottom w:val="0"/>
      <w:divBdr>
        <w:top w:val="none" w:sz="0" w:space="0" w:color="auto"/>
        <w:left w:val="none" w:sz="0" w:space="0" w:color="auto"/>
        <w:bottom w:val="none" w:sz="0" w:space="0" w:color="auto"/>
        <w:right w:val="none" w:sz="0" w:space="0" w:color="auto"/>
      </w:divBdr>
    </w:div>
    <w:div w:id="1135291153">
      <w:bodyDiv w:val="1"/>
      <w:marLeft w:val="0"/>
      <w:marRight w:val="0"/>
      <w:marTop w:val="0"/>
      <w:marBottom w:val="0"/>
      <w:divBdr>
        <w:top w:val="none" w:sz="0" w:space="0" w:color="auto"/>
        <w:left w:val="none" w:sz="0" w:space="0" w:color="auto"/>
        <w:bottom w:val="none" w:sz="0" w:space="0" w:color="auto"/>
        <w:right w:val="none" w:sz="0" w:space="0" w:color="auto"/>
      </w:divBdr>
    </w:div>
    <w:div w:id="1142040341">
      <w:bodyDiv w:val="1"/>
      <w:marLeft w:val="0"/>
      <w:marRight w:val="0"/>
      <w:marTop w:val="0"/>
      <w:marBottom w:val="0"/>
      <w:divBdr>
        <w:top w:val="none" w:sz="0" w:space="0" w:color="auto"/>
        <w:left w:val="none" w:sz="0" w:space="0" w:color="auto"/>
        <w:bottom w:val="none" w:sz="0" w:space="0" w:color="auto"/>
        <w:right w:val="none" w:sz="0" w:space="0" w:color="auto"/>
      </w:divBdr>
    </w:div>
    <w:div w:id="1163812251">
      <w:bodyDiv w:val="1"/>
      <w:marLeft w:val="0"/>
      <w:marRight w:val="0"/>
      <w:marTop w:val="0"/>
      <w:marBottom w:val="0"/>
      <w:divBdr>
        <w:top w:val="none" w:sz="0" w:space="0" w:color="auto"/>
        <w:left w:val="none" w:sz="0" w:space="0" w:color="auto"/>
        <w:bottom w:val="none" w:sz="0" w:space="0" w:color="auto"/>
        <w:right w:val="none" w:sz="0" w:space="0" w:color="auto"/>
      </w:divBdr>
    </w:div>
    <w:div w:id="1403602934">
      <w:bodyDiv w:val="1"/>
      <w:marLeft w:val="0"/>
      <w:marRight w:val="0"/>
      <w:marTop w:val="0"/>
      <w:marBottom w:val="0"/>
      <w:divBdr>
        <w:top w:val="none" w:sz="0" w:space="0" w:color="auto"/>
        <w:left w:val="none" w:sz="0" w:space="0" w:color="auto"/>
        <w:bottom w:val="none" w:sz="0" w:space="0" w:color="auto"/>
        <w:right w:val="none" w:sz="0" w:space="0" w:color="auto"/>
      </w:divBdr>
    </w:div>
    <w:div w:id="1403913794">
      <w:bodyDiv w:val="1"/>
      <w:marLeft w:val="0"/>
      <w:marRight w:val="0"/>
      <w:marTop w:val="0"/>
      <w:marBottom w:val="0"/>
      <w:divBdr>
        <w:top w:val="none" w:sz="0" w:space="0" w:color="auto"/>
        <w:left w:val="none" w:sz="0" w:space="0" w:color="auto"/>
        <w:bottom w:val="none" w:sz="0" w:space="0" w:color="auto"/>
        <w:right w:val="none" w:sz="0" w:space="0" w:color="auto"/>
      </w:divBdr>
    </w:div>
    <w:div w:id="1454471686">
      <w:bodyDiv w:val="1"/>
      <w:marLeft w:val="0"/>
      <w:marRight w:val="0"/>
      <w:marTop w:val="0"/>
      <w:marBottom w:val="0"/>
      <w:divBdr>
        <w:top w:val="none" w:sz="0" w:space="0" w:color="auto"/>
        <w:left w:val="none" w:sz="0" w:space="0" w:color="auto"/>
        <w:bottom w:val="none" w:sz="0" w:space="0" w:color="auto"/>
        <w:right w:val="none" w:sz="0" w:space="0" w:color="auto"/>
      </w:divBdr>
    </w:div>
    <w:div w:id="1584870865">
      <w:bodyDiv w:val="1"/>
      <w:marLeft w:val="0"/>
      <w:marRight w:val="0"/>
      <w:marTop w:val="0"/>
      <w:marBottom w:val="0"/>
      <w:divBdr>
        <w:top w:val="none" w:sz="0" w:space="0" w:color="auto"/>
        <w:left w:val="none" w:sz="0" w:space="0" w:color="auto"/>
        <w:bottom w:val="none" w:sz="0" w:space="0" w:color="auto"/>
        <w:right w:val="none" w:sz="0" w:space="0" w:color="auto"/>
      </w:divBdr>
    </w:div>
    <w:div w:id="1658611011">
      <w:bodyDiv w:val="1"/>
      <w:marLeft w:val="0"/>
      <w:marRight w:val="0"/>
      <w:marTop w:val="0"/>
      <w:marBottom w:val="0"/>
      <w:divBdr>
        <w:top w:val="none" w:sz="0" w:space="0" w:color="auto"/>
        <w:left w:val="none" w:sz="0" w:space="0" w:color="auto"/>
        <w:bottom w:val="none" w:sz="0" w:space="0" w:color="auto"/>
        <w:right w:val="none" w:sz="0" w:space="0" w:color="auto"/>
      </w:divBdr>
    </w:div>
    <w:div w:id="1659265223">
      <w:bodyDiv w:val="1"/>
      <w:marLeft w:val="0"/>
      <w:marRight w:val="0"/>
      <w:marTop w:val="0"/>
      <w:marBottom w:val="0"/>
      <w:divBdr>
        <w:top w:val="none" w:sz="0" w:space="0" w:color="auto"/>
        <w:left w:val="none" w:sz="0" w:space="0" w:color="auto"/>
        <w:bottom w:val="none" w:sz="0" w:space="0" w:color="auto"/>
        <w:right w:val="none" w:sz="0" w:space="0" w:color="auto"/>
      </w:divBdr>
    </w:div>
    <w:div w:id="1668511421">
      <w:bodyDiv w:val="1"/>
      <w:marLeft w:val="0"/>
      <w:marRight w:val="0"/>
      <w:marTop w:val="0"/>
      <w:marBottom w:val="0"/>
      <w:divBdr>
        <w:top w:val="none" w:sz="0" w:space="0" w:color="auto"/>
        <w:left w:val="none" w:sz="0" w:space="0" w:color="auto"/>
        <w:bottom w:val="none" w:sz="0" w:space="0" w:color="auto"/>
        <w:right w:val="none" w:sz="0" w:space="0" w:color="auto"/>
      </w:divBdr>
    </w:div>
    <w:div w:id="1734231064">
      <w:bodyDiv w:val="1"/>
      <w:marLeft w:val="0"/>
      <w:marRight w:val="0"/>
      <w:marTop w:val="0"/>
      <w:marBottom w:val="0"/>
      <w:divBdr>
        <w:top w:val="none" w:sz="0" w:space="0" w:color="auto"/>
        <w:left w:val="none" w:sz="0" w:space="0" w:color="auto"/>
        <w:bottom w:val="none" w:sz="0" w:space="0" w:color="auto"/>
        <w:right w:val="none" w:sz="0" w:space="0" w:color="auto"/>
      </w:divBdr>
    </w:div>
    <w:div w:id="1738237506">
      <w:bodyDiv w:val="1"/>
      <w:marLeft w:val="0"/>
      <w:marRight w:val="0"/>
      <w:marTop w:val="0"/>
      <w:marBottom w:val="0"/>
      <w:divBdr>
        <w:top w:val="none" w:sz="0" w:space="0" w:color="auto"/>
        <w:left w:val="none" w:sz="0" w:space="0" w:color="auto"/>
        <w:bottom w:val="none" w:sz="0" w:space="0" w:color="auto"/>
        <w:right w:val="none" w:sz="0" w:space="0" w:color="auto"/>
      </w:divBdr>
    </w:div>
    <w:div w:id="1778938682">
      <w:bodyDiv w:val="1"/>
      <w:marLeft w:val="0"/>
      <w:marRight w:val="0"/>
      <w:marTop w:val="0"/>
      <w:marBottom w:val="0"/>
      <w:divBdr>
        <w:top w:val="none" w:sz="0" w:space="0" w:color="auto"/>
        <w:left w:val="none" w:sz="0" w:space="0" w:color="auto"/>
        <w:bottom w:val="none" w:sz="0" w:space="0" w:color="auto"/>
        <w:right w:val="none" w:sz="0" w:space="0" w:color="auto"/>
      </w:divBdr>
    </w:div>
    <w:div w:id="1950508066">
      <w:bodyDiv w:val="1"/>
      <w:marLeft w:val="0"/>
      <w:marRight w:val="0"/>
      <w:marTop w:val="0"/>
      <w:marBottom w:val="0"/>
      <w:divBdr>
        <w:top w:val="none" w:sz="0" w:space="0" w:color="auto"/>
        <w:left w:val="none" w:sz="0" w:space="0" w:color="auto"/>
        <w:bottom w:val="none" w:sz="0" w:space="0" w:color="auto"/>
        <w:right w:val="none" w:sz="0" w:space="0" w:color="auto"/>
      </w:divBdr>
    </w:div>
    <w:div w:id="1979601733">
      <w:bodyDiv w:val="1"/>
      <w:marLeft w:val="0"/>
      <w:marRight w:val="0"/>
      <w:marTop w:val="0"/>
      <w:marBottom w:val="0"/>
      <w:divBdr>
        <w:top w:val="none" w:sz="0" w:space="0" w:color="auto"/>
        <w:left w:val="none" w:sz="0" w:space="0" w:color="auto"/>
        <w:bottom w:val="none" w:sz="0" w:space="0" w:color="auto"/>
        <w:right w:val="none" w:sz="0" w:space="0" w:color="auto"/>
      </w:divBdr>
    </w:div>
    <w:div w:id="1993875131">
      <w:bodyDiv w:val="1"/>
      <w:marLeft w:val="0"/>
      <w:marRight w:val="0"/>
      <w:marTop w:val="0"/>
      <w:marBottom w:val="0"/>
      <w:divBdr>
        <w:top w:val="none" w:sz="0" w:space="0" w:color="auto"/>
        <w:left w:val="none" w:sz="0" w:space="0" w:color="auto"/>
        <w:bottom w:val="none" w:sz="0" w:space="0" w:color="auto"/>
        <w:right w:val="none" w:sz="0" w:space="0" w:color="auto"/>
      </w:divBdr>
    </w:div>
    <w:div w:id="20145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Vytas\Desktop\MBD\analitine%20dalis\MCAP%20OMX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ytas\Desktop\MBD\analitine%20dalis\MCAP%20OMX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ytas\Desktop\MBD\analitine%20dalis\MCAP%20OMX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ytas\Desktop\Pelningumu%20analiz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ytas\Desktop\Pelningumu%20analiz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3"/>
  <c:chart>
    <c:plotArea>
      <c:layout/>
      <c:barChart>
        <c:barDir val="col"/>
        <c:grouping val="clustered"/>
        <c:ser>
          <c:idx val="0"/>
          <c:order val="0"/>
          <c:tx>
            <c:strRef>
              <c:f>Sheet1!$B$1</c:f>
              <c:strCache>
                <c:ptCount val="1"/>
                <c:pt idx="0">
                  <c:v>Dividendų standartinis nuokrypis</c:v>
                </c:pt>
              </c:strCache>
            </c:strRef>
          </c:tx>
          <c:dLbls>
            <c:dLbl>
              <c:idx val="0"/>
              <c:layout>
                <c:manualLayout>
                  <c:x val="-1.1109119241005693E-2"/>
                  <c:y val="4.4362481005664395E-2"/>
                </c:manualLayout>
              </c:layout>
              <c:showVal val="1"/>
            </c:dLbl>
            <c:dLbl>
              <c:idx val="1"/>
              <c:layout>
                <c:manualLayout>
                  <c:x val="-1.6073840157020656E-2"/>
                  <c:y val="1.8181818181818299E-2"/>
                </c:manualLayout>
              </c:layout>
              <c:showVal val="1"/>
            </c:dLbl>
            <c:dLbl>
              <c:idx val="2"/>
              <c:layout>
                <c:manualLayout>
                  <c:x val="-1.840892480383912E-2"/>
                  <c:y val="2.0512820512820606E-2"/>
                </c:manualLayout>
              </c:layout>
              <c:showVal val="1"/>
            </c:dLbl>
            <c:dLbl>
              <c:idx val="3"/>
              <c:layout>
                <c:manualLayout>
                  <c:x val="-1.051946440145065E-2"/>
                  <c:y val="3.6363636363636362E-2"/>
                </c:manualLayout>
              </c:layout>
              <c:showVal val="1"/>
            </c:dLbl>
            <c:dLbl>
              <c:idx val="4"/>
              <c:layout>
                <c:manualLayout>
                  <c:x val="-7.0052539404553823E-3"/>
                  <c:y val="1.2121212121212118E-2"/>
                </c:manualLayout>
              </c:layout>
              <c:showVal val="1"/>
            </c:dLbl>
            <c:dLbl>
              <c:idx val="5"/>
              <c:layout>
                <c:manualLayout>
                  <c:x val="-2.3350846468184476E-3"/>
                  <c:y val="2.5199060643735342E-2"/>
                </c:manualLayout>
              </c:layout>
              <c:showVal val="1"/>
            </c:dLbl>
            <c:numFmt formatCode="0.0%" sourceLinked="0"/>
            <c:txPr>
              <a:bodyPr/>
              <a:lstStyle/>
              <a:p>
                <a:pPr>
                  <a:defRPr sz="800"/>
                </a:pPr>
                <a:endParaRPr lang="lt-LT"/>
              </a:p>
            </c:txPr>
            <c:showVal val="1"/>
          </c:dLbls>
          <c:cat>
            <c:strRef>
              <c:f>Sheet1!$A$2:$A$7</c:f>
              <c:strCache>
                <c:ptCount val="6"/>
                <c:pt idx="0">
                  <c:v>1871-1900</c:v>
                </c:pt>
                <c:pt idx="1">
                  <c:v>1901-1929</c:v>
                </c:pt>
                <c:pt idx="2">
                  <c:v>1930-1945</c:v>
                </c:pt>
                <c:pt idx="3">
                  <c:v>1946-1978</c:v>
                </c:pt>
                <c:pt idx="4">
                  <c:v>1979-2006</c:v>
                </c:pt>
                <c:pt idx="5">
                  <c:v>2001-2008</c:v>
                </c:pt>
              </c:strCache>
            </c:strRef>
          </c:cat>
          <c:val>
            <c:numRef>
              <c:f>Sheet1!$B$2:$B$7</c:f>
              <c:numCache>
                <c:formatCode>0.00%</c:formatCode>
                <c:ptCount val="6"/>
                <c:pt idx="0">
                  <c:v>0.15500000000000044</c:v>
                </c:pt>
                <c:pt idx="1">
                  <c:v>0.10600000000000002</c:v>
                </c:pt>
                <c:pt idx="2">
                  <c:v>0.22600000000000003</c:v>
                </c:pt>
                <c:pt idx="3">
                  <c:v>6.2000000000000104E-2</c:v>
                </c:pt>
                <c:pt idx="4">
                  <c:v>4.3000000000000003E-2</c:v>
                </c:pt>
                <c:pt idx="5">
                  <c:v>5.9000000000000385E-2</c:v>
                </c:pt>
              </c:numCache>
            </c:numRef>
          </c:val>
        </c:ser>
        <c:ser>
          <c:idx val="1"/>
          <c:order val="1"/>
          <c:tx>
            <c:strRef>
              <c:f>Sheet1!$C$1</c:f>
              <c:strCache>
                <c:ptCount val="1"/>
                <c:pt idx="0">
                  <c:v>Pelningumo standartinis nuokrypis</c:v>
                </c:pt>
              </c:strCache>
            </c:strRef>
          </c:tx>
          <c:dLbls>
            <c:dLbl>
              <c:idx val="0"/>
              <c:layout>
                <c:manualLayout>
                  <c:x val="5.2596975673899014E-3"/>
                  <c:y val="1.5384615384615611E-2"/>
                </c:manualLayout>
              </c:layout>
              <c:showVal val="1"/>
            </c:dLbl>
            <c:dLbl>
              <c:idx val="3"/>
              <c:layout>
                <c:manualLayout>
                  <c:x val="5.2596975673899014E-3"/>
                  <c:y val="0"/>
                </c:manualLayout>
              </c:layout>
              <c:showVal val="1"/>
            </c:dLbl>
            <c:numFmt formatCode="0.0%" sourceLinked="0"/>
            <c:txPr>
              <a:bodyPr/>
              <a:lstStyle/>
              <a:p>
                <a:pPr>
                  <a:defRPr sz="800"/>
                </a:pPr>
                <a:endParaRPr lang="lt-LT"/>
              </a:p>
            </c:txPr>
            <c:showVal val="1"/>
          </c:dLbls>
          <c:cat>
            <c:strRef>
              <c:f>Sheet1!$A$2:$A$7</c:f>
              <c:strCache>
                <c:ptCount val="6"/>
                <c:pt idx="0">
                  <c:v>1871-1900</c:v>
                </c:pt>
                <c:pt idx="1">
                  <c:v>1901-1929</c:v>
                </c:pt>
                <c:pt idx="2">
                  <c:v>1930-1945</c:v>
                </c:pt>
                <c:pt idx="3">
                  <c:v>1946-1978</c:v>
                </c:pt>
                <c:pt idx="4">
                  <c:v>1979-2006</c:v>
                </c:pt>
                <c:pt idx="5">
                  <c:v>2001-2008</c:v>
                </c:pt>
              </c:strCache>
            </c:strRef>
          </c:cat>
          <c:val>
            <c:numRef>
              <c:f>Sheet1!$C$2:$C$7</c:f>
              <c:numCache>
                <c:formatCode>0.00%</c:formatCode>
                <c:ptCount val="6"/>
                <c:pt idx="0">
                  <c:v>0.22400000000000003</c:v>
                </c:pt>
                <c:pt idx="1">
                  <c:v>0.33700000000000252</c:v>
                </c:pt>
                <c:pt idx="2">
                  <c:v>0.30700000000000038</c:v>
                </c:pt>
                <c:pt idx="3">
                  <c:v>0.13400000000000001</c:v>
                </c:pt>
                <c:pt idx="4">
                  <c:v>0.22800000000000004</c:v>
                </c:pt>
                <c:pt idx="5">
                  <c:v>0.38600000000000217</c:v>
                </c:pt>
              </c:numCache>
            </c:numRef>
          </c:val>
        </c:ser>
        <c:axId val="116120576"/>
        <c:axId val="116339840"/>
      </c:barChart>
      <c:catAx>
        <c:axId val="116120576"/>
        <c:scaling>
          <c:orientation val="minMax"/>
        </c:scaling>
        <c:axPos val="b"/>
        <c:tickLblPos val="nextTo"/>
        <c:crossAx val="116339840"/>
        <c:crosses val="autoZero"/>
        <c:auto val="1"/>
        <c:lblAlgn val="ctr"/>
        <c:lblOffset val="100"/>
      </c:catAx>
      <c:valAx>
        <c:axId val="116339840"/>
        <c:scaling>
          <c:orientation val="minMax"/>
        </c:scaling>
        <c:axPos val="l"/>
        <c:majorGridlines/>
        <c:numFmt formatCode="0%" sourceLinked="0"/>
        <c:tickLblPos val="nextTo"/>
        <c:txPr>
          <a:bodyPr/>
          <a:lstStyle/>
          <a:p>
            <a:pPr>
              <a:defRPr sz="1200">
                <a:latin typeface="Times New Roman" pitchFamily="18" charset="0"/>
                <a:cs typeface="Times New Roman" pitchFamily="18" charset="0"/>
              </a:defRPr>
            </a:pPr>
            <a:endParaRPr lang="lt-LT"/>
          </a:p>
        </c:txPr>
        <c:crossAx val="116120576"/>
        <c:crosses val="autoZero"/>
        <c:crossBetween val="between"/>
      </c:valAx>
    </c:plotArea>
    <c:legend>
      <c:legendPos val="r"/>
      <c:txPr>
        <a:bodyPr/>
        <a:lstStyle/>
        <a:p>
          <a:pPr>
            <a:defRPr sz="1200">
              <a:latin typeface="Times New Roman" pitchFamily="18" charset="0"/>
              <a:cs typeface="Times New Roman" pitchFamily="18" charset="0"/>
            </a:defRPr>
          </a:pPr>
          <a:endParaRPr lang="lt-LT"/>
        </a:p>
      </c:txPr>
    </c:legend>
    <c:plotVisOnly val="1"/>
  </c:chart>
  <c:txPr>
    <a:bodyPr/>
    <a:lstStyle/>
    <a:p>
      <a:pPr>
        <a:defRPr sz="900">
          <a:latin typeface="Arial" pitchFamily="34" charset="0"/>
          <a:cs typeface="Arial" pitchFamily="34" charset="0"/>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3"/>
  <c:chart>
    <c:plotArea>
      <c:layout/>
      <c:barChart>
        <c:barDir val="col"/>
        <c:grouping val="clustered"/>
        <c:ser>
          <c:idx val="0"/>
          <c:order val="0"/>
          <c:tx>
            <c:strRef>
              <c:f>'bALTIS VS jav'!$F$1</c:f>
              <c:strCache>
                <c:ptCount val="1"/>
                <c:pt idx="0">
                  <c:v>Baltijos šalys</c:v>
                </c:pt>
              </c:strCache>
            </c:strRef>
          </c:tx>
          <c:cat>
            <c:strRef>
              <c:f>'bALTIS VS jav'!$E$2:$E$11</c:f>
              <c:strCache>
                <c:ptCount val="10"/>
                <c:pt idx="0">
                  <c:v>Nafta ir dujos</c:v>
                </c:pt>
                <c:pt idx="1">
                  <c:v>Pagrindinės medžiagos</c:v>
                </c:pt>
                <c:pt idx="2">
                  <c:v>Pramoniniai gaminiai</c:v>
                </c:pt>
                <c:pt idx="3">
                  <c:v>Plataus vartojimo prekės</c:v>
                </c:pt>
                <c:pt idx="4">
                  <c:v>Sveikatos priežiūra</c:v>
                </c:pt>
                <c:pt idx="5">
                  <c:v>Paslaugos vartotojams</c:v>
                </c:pt>
                <c:pt idx="6">
                  <c:v>Telekomunikacijos</c:v>
                </c:pt>
                <c:pt idx="7">
                  <c:v>Komunalinės paslaugos</c:v>
                </c:pt>
                <c:pt idx="8">
                  <c:v>Finansų paslaugos</c:v>
                </c:pt>
                <c:pt idx="9">
                  <c:v> Technologijos</c:v>
                </c:pt>
              </c:strCache>
            </c:strRef>
          </c:cat>
          <c:val>
            <c:numRef>
              <c:f>'bALTIS VS jav'!$F$2:$F$12</c:f>
              <c:numCache>
                <c:formatCode>0.0%</c:formatCode>
                <c:ptCount val="11"/>
                <c:pt idx="0">
                  <c:v>0</c:v>
                </c:pt>
                <c:pt idx="1">
                  <c:v>8.6956521739130543E-2</c:v>
                </c:pt>
                <c:pt idx="2">
                  <c:v>0.21739130434782944</c:v>
                </c:pt>
                <c:pt idx="3">
                  <c:v>0.30434782608695682</c:v>
                </c:pt>
                <c:pt idx="4">
                  <c:v>4.3478260869565223E-2</c:v>
                </c:pt>
                <c:pt idx="5">
                  <c:v>8.6956521739130543E-2</c:v>
                </c:pt>
                <c:pt idx="6">
                  <c:v>4.3478260869565223E-2</c:v>
                </c:pt>
                <c:pt idx="7">
                  <c:v>0.17391304347826458</c:v>
                </c:pt>
                <c:pt idx="8">
                  <c:v>0</c:v>
                </c:pt>
                <c:pt idx="9">
                  <c:v>4.3478260869565223E-2</c:v>
                </c:pt>
              </c:numCache>
            </c:numRef>
          </c:val>
        </c:ser>
        <c:ser>
          <c:idx val="1"/>
          <c:order val="1"/>
          <c:tx>
            <c:strRef>
              <c:f>'bALTIS VS jav'!$G$1</c:f>
              <c:strCache>
                <c:ptCount val="1"/>
                <c:pt idx="0">
                  <c:v>S&amp;P500</c:v>
                </c:pt>
              </c:strCache>
            </c:strRef>
          </c:tx>
          <c:cat>
            <c:strRef>
              <c:f>'bALTIS VS jav'!$E$2:$E$11</c:f>
              <c:strCache>
                <c:ptCount val="10"/>
                <c:pt idx="0">
                  <c:v>Nafta ir dujos</c:v>
                </c:pt>
                <c:pt idx="1">
                  <c:v>Pagrindinės medžiagos</c:v>
                </c:pt>
                <c:pt idx="2">
                  <c:v>Pramoniniai gaminiai</c:v>
                </c:pt>
                <c:pt idx="3">
                  <c:v>Plataus vartojimo prekės</c:v>
                </c:pt>
                <c:pt idx="4">
                  <c:v>Sveikatos priežiūra</c:v>
                </c:pt>
                <c:pt idx="5">
                  <c:v>Paslaugos vartotojams</c:v>
                </c:pt>
                <c:pt idx="6">
                  <c:v>Telekomunikacijos</c:v>
                </c:pt>
                <c:pt idx="7">
                  <c:v>Komunalinės paslaugos</c:v>
                </c:pt>
                <c:pt idx="8">
                  <c:v>Finansų paslaugos</c:v>
                </c:pt>
                <c:pt idx="9">
                  <c:v> Technologijos</c:v>
                </c:pt>
              </c:strCache>
            </c:strRef>
          </c:cat>
          <c:val>
            <c:numRef>
              <c:f>'bALTIS VS jav'!$G$2:$G$11</c:f>
              <c:numCache>
                <c:formatCode>0.0%</c:formatCode>
                <c:ptCount val="10"/>
                <c:pt idx="0">
                  <c:v>8.6848635235732011E-2</c:v>
                </c:pt>
                <c:pt idx="1">
                  <c:v>7.4441687344914034E-2</c:v>
                </c:pt>
                <c:pt idx="2">
                  <c:v>0.14143920595533802</c:v>
                </c:pt>
                <c:pt idx="3">
                  <c:v>9.4292803970224548E-2</c:v>
                </c:pt>
                <c:pt idx="4">
                  <c:v>7.9404466501240833E-2</c:v>
                </c:pt>
                <c:pt idx="5">
                  <c:v>0.14640198511166588</c:v>
                </c:pt>
                <c:pt idx="6">
                  <c:v>1.2406947890818859E-2</c:v>
                </c:pt>
                <c:pt idx="7">
                  <c:v>7.6923076923076927E-2</c:v>
                </c:pt>
                <c:pt idx="8">
                  <c:v>0.18610421836228291</c:v>
                </c:pt>
                <c:pt idx="9">
                  <c:v>0.10173697270471529</c:v>
                </c:pt>
              </c:numCache>
            </c:numRef>
          </c:val>
        </c:ser>
        <c:axId val="81858944"/>
        <c:axId val="81860480"/>
      </c:barChart>
      <c:catAx>
        <c:axId val="81858944"/>
        <c:scaling>
          <c:orientation val="minMax"/>
        </c:scaling>
        <c:axPos val="b"/>
        <c:tickLblPos val="nextTo"/>
        <c:crossAx val="81860480"/>
        <c:crosses val="autoZero"/>
        <c:auto val="1"/>
        <c:lblAlgn val="ctr"/>
        <c:lblOffset val="100"/>
      </c:catAx>
      <c:valAx>
        <c:axId val="81860480"/>
        <c:scaling>
          <c:orientation val="minMax"/>
        </c:scaling>
        <c:axPos val="l"/>
        <c:majorGridlines/>
        <c:numFmt formatCode="0.0%" sourceLinked="1"/>
        <c:tickLblPos val="nextTo"/>
        <c:crossAx val="81858944"/>
        <c:crosses val="autoZero"/>
        <c:crossBetween val="between"/>
      </c:valAx>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11"/>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Įmonių skaičius</a:t>
            </a:r>
          </a:p>
        </c:rich>
      </c:tx>
      <c:layout>
        <c:manualLayout>
          <c:xMode val="edge"/>
          <c:yMode val="edge"/>
          <c:x val="0.27798092311632183"/>
          <c:y val="2.3148148148148147E-2"/>
        </c:manualLayout>
      </c:layout>
    </c:title>
    <c:plotArea>
      <c:layout/>
      <c:pieChart>
        <c:varyColors val="1"/>
        <c:ser>
          <c:idx val="0"/>
          <c:order val="0"/>
          <c:tx>
            <c:v>Įmonių skaičius</c:v>
          </c:tx>
          <c:dLbls>
            <c:numFmt formatCode="0.0%" sourceLinked="0"/>
            <c:txPr>
              <a:bodyPr/>
              <a:lstStyle/>
              <a:p>
                <a:pPr>
                  <a:defRPr>
                    <a:latin typeface="Times New Roman" pitchFamily="18" charset="0"/>
                    <a:cs typeface="Times New Roman" pitchFamily="18" charset="0"/>
                  </a:defRPr>
                </a:pPr>
                <a:endParaRPr lang="lt-LT"/>
              </a:p>
            </c:txPr>
            <c:dLblPos val="bestFit"/>
            <c:showPercent val="1"/>
            <c:showLeaderLines val="1"/>
          </c:dLbls>
          <c:cat>
            <c:strRef>
              <c:f>'MCAP 2011.12.30'!$N$93:$N$100</c:f>
              <c:strCache>
                <c:ptCount val="8"/>
                <c:pt idx="0">
                  <c:v>Plataus vartojimo prekės</c:v>
                </c:pt>
                <c:pt idx="1">
                  <c:v>Pramoniniai gaminiai</c:v>
                </c:pt>
                <c:pt idx="2">
                  <c:v>Komunalinės paslaugos</c:v>
                </c:pt>
                <c:pt idx="3">
                  <c:v>Paslaugos vartotojams</c:v>
                </c:pt>
                <c:pt idx="4">
                  <c:v>Pagrindinės medžiagos</c:v>
                </c:pt>
                <c:pt idx="5">
                  <c:v>Sveikatos priežiūra</c:v>
                </c:pt>
                <c:pt idx="6">
                  <c:v> Technologijos</c:v>
                </c:pt>
                <c:pt idx="7">
                  <c:v>Telekomunikacijos</c:v>
                </c:pt>
              </c:strCache>
            </c:strRef>
          </c:cat>
          <c:val>
            <c:numRef>
              <c:f>'MCAP 2011.12.30'!$M$93:$M$100</c:f>
              <c:numCache>
                <c:formatCode>General</c:formatCode>
                <c:ptCount val="8"/>
                <c:pt idx="0">
                  <c:v>7</c:v>
                </c:pt>
                <c:pt idx="1">
                  <c:v>5</c:v>
                </c:pt>
                <c:pt idx="2">
                  <c:v>4</c:v>
                </c:pt>
                <c:pt idx="3">
                  <c:v>1</c:v>
                </c:pt>
                <c:pt idx="4">
                  <c:v>2</c:v>
                </c:pt>
                <c:pt idx="5">
                  <c:v>1</c:v>
                </c:pt>
                <c:pt idx="6">
                  <c:v>1</c:v>
                </c:pt>
                <c:pt idx="7">
                  <c:v>1</c:v>
                </c:pt>
              </c:numCache>
            </c:numRef>
          </c:val>
        </c:ser>
        <c:dLbls>
          <c:showVal val="1"/>
        </c:dLbls>
        <c:firstSliceAng val="0"/>
      </c:pie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11"/>
  <c:chart>
    <c:title>
      <c:layout>
        <c:manualLayout>
          <c:xMode val="edge"/>
          <c:yMode val="edge"/>
          <c:x val="0.17806255468066493"/>
          <c:y val="1.8518518518518583E-2"/>
        </c:manualLayout>
      </c:layout>
      <c:txPr>
        <a:bodyPr/>
        <a:lstStyle/>
        <a:p>
          <a:pPr>
            <a:defRPr sz="1100">
              <a:latin typeface="Times New Roman" pitchFamily="18" charset="0"/>
              <a:cs typeface="Times New Roman" pitchFamily="18" charset="0"/>
            </a:defRPr>
          </a:pPr>
          <a:endParaRPr lang="lt-LT"/>
        </a:p>
      </c:txPr>
    </c:title>
    <c:plotArea>
      <c:layout/>
      <c:pieChart>
        <c:varyColors val="1"/>
        <c:ser>
          <c:idx val="0"/>
          <c:order val="0"/>
          <c:tx>
            <c:v>Rinkos kapitalizacija</c:v>
          </c:tx>
          <c:dLbls>
            <c:numFmt formatCode="0.0%" sourceLinked="0"/>
            <c:txPr>
              <a:bodyPr/>
              <a:lstStyle/>
              <a:p>
                <a:pPr>
                  <a:defRPr>
                    <a:latin typeface="Times New Roman" pitchFamily="18" charset="0"/>
                    <a:cs typeface="Times New Roman" pitchFamily="18" charset="0"/>
                  </a:defRPr>
                </a:pPr>
                <a:endParaRPr lang="lt-LT"/>
              </a:p>
            </c:txPr>
            <c:showPercent val="1"/>
            <c:showLeaderLines val="1"/>
          </c:dLbls>
          <c:cat>
            <c:strRef>
              <c:f>'MCAP 2011.12.30'!$Q$93:$Q$100</c:f>
              <c:strCache>
                <c:ptCount val="8"/>
                <c:pt idx="0">
                  <c:v>Plataus vartojimo prekės</c:v>
                </c:pt>
                <c:pt idx="1">
                  <c:v>Pramoniniai gaminiai</c:v>
                </c:pt>
                <c:pt idx="2">
                  <c:v>Komunalinės paslaugos</c:v>
                </c:pt>
                <c:pt idx="3">
                  <c:v>Paslaugos vartotojams</c:v>
                </c:pt>
                <c:pt idx="4">
                  <c:v>Pagrindinės medžiagos</c:v>
                </c:pt>
                <c:pt idx="5">
                  <c:v>Sveikatos priežiūra</c:v>
                </c:pt>
                <c:pt idx="6">
                  <c:v> Technologijos</c:v>
                </c:pt>
                <c:pt idx="7">
                  <c:v>Telekomunikacijos</c:v>
                </c:pt>
              </c:strCache>
            </c:strRef>
          </c:cat>
          <c:val>
            <c:numRef>
              <c:f>'MCAP 2011.12.30'!$P$93:$P$100</c:f>
              <c:numCache>
                <c:formatCode>General</c:formatCode>
                <c:ptCount val="8"/>
                <c:pt idx="0">
                  <c:v>315138849.77000004</c:v>
                </c:pt>
                <c:pt idx="1">
                  <c:v>347230760</c:v>
                </c:pt>
                <c:pt idx="2">
                  <c:v>1065802735.3</c:v>
                </c:pt>
                <c:pt idx="3">
                  <c:v>276424149.44</c:v>
                </c:pt>
                <c:pt idx="4">
                  <c:v>46970337.25</c:v>
                </c:pt>
                <c:pt idx="5">
                  <c:v>49201294.349999994</c:v>
                </c:pt>
                <c:pt idx="6">
                  <c:v>7015467.75</c:v>
                </c:pt>
                <c:pt idx="7">
                  <c:v>466090510.80000001</c:v>
                </c:pt>
              </c:numCache>
            </c:numRef>
          </c:val>
        </c:ser>
        <c:firstSliceAng val="0"/>
      </c:pieChart>
    </c:plotArea>
    <c:legend>
      <c:legendPos val="r"/>
      <c:layout>
        <c:manualLayout>
          <c:xMode val="edge"/>
          <c:yMode val="edge"/>
          <c:x val="0.61116080850719312"/>
          <c:y val="0.11129410906970012"/>
          <c:w val="0.38591849987824783"/>
          <c:h val="0.88870589093030061"/>
        </c:manualLayout>
      </c:layout>
      <c:txPr>
        <a:bodyPr/>
        <a:lstStyle/>
        <a:p>
          <a:pPr>
            <a:defRPr>
              <a:latin typeface="Times New Roman" pitchFamily="18" charset="0"/>
              <a:cs typeface="Times New Roman" pitchFamily="18" charset="0"/>
            </a:defRPr>
          </a:pPr>
          <a:endParaRPr lang="lt-LT"/>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3"/>
  <c:chart>
    <c:title>
      <c:tx>
        <c:rich>
          <a:bodyPr/>
          <a:lstStyle/>
          <a:p>
            <a:pPr>
              <a:defRPr/>
            </a:pPr>
            <a:r>
              <a:rPr lang="lt-LT" sz="1100">
                <a:latin typeface="Times New Roman" pitchFamily="18" charset="0"/>
                <a:cs typeface="Times New Roman" pitchFamily="18" charset="0"/>
              </a:rPr>
              <a:t>Sudėtinis</a:t>
            </a:r>
            <a:r>
              <a:rPr lang="lt-LT" sz="1100" baseline="0">
                <a:latin typeface="Times New Roman" pitchFamily="18" charset="0"/>
                <a:cs typeface="Times New Roman" pitchFamily="18" charset="0"/>
              </a:rPr>
              <a:t> pelningumas (CAAR)</a:t>
            </a:r>
            <a:endParaRPr lang="lt-LT" sz="1100">
              <a:latin typeface="Times New Roman" pitchFamily="18" charset="0"/>
              <a:cs typeface="Times New Roman" pitchFamily="18" charset="0"/>
            </a:endParaRPr>
          </a:p>
        </c:rich>
      </c:tx>
      <c:layout>
        <c:manualLayout>
          <c:xMode val="edge"/>
          <c:yMode val="edge"/>
          <c:x val="0.17001054932442144"/>
          <c:y val="4.4280442804428104E-2"/>
        </c:manualLayout>
      </c:layout>
    </c:title>
    <c:plotArea>
      <c:layout/>
      <c:lineChart>
        <c:grouping val="standard"/>
        <c:ser>
          <c:idx val="1"/>
          <c:order val="0"/>
          <c:tx>
            <c:strRef>
              <c:f>grafikai!$J$3</c:f>
              <c:strCache>
                <c:ptCount val="1"/>
                <c:pt idx="0">
                  <c:v>DY=2</c:v>
                </c:pt>
              </c:strCache>
            </c:strRef>
          </c:tx>
          <c:marker>
            <c:symbol val="none"/>
          </c:marker>
          <c:cat>
            <c:numRef>
              <c:f>grafikai!$H$4:$H$14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grafikai!$J$4:$J$14</c:f>
              <c:numCache>
                <c:formatCode>0.00%</c:formatCode>
                <c:ptCount val="11"/>
                <c:pt idx="0">
                  <c:v>8.333333333333329E-5</c:v>
                </c:pt>
                <c:pt idx="1">
                  <c:v>7.0000000000000071E-3</c:v>
                </c:pt>
                <c:pt idx="2">
                  <c:v>2.7500000000000011E-3</c:v>
                </c:pt>
                <c:pt idx="3">
                  <c:v>2.7500000000000011E-3</c:v>
                </c:pt>
                <c:pt idx="4">
                  <c:v>1.4166666666666681E-3</c:v>
                </c:pt>
                <c:pt idx="5">
                  <c:v>4.5250000000000005E-2</c:v>
                </c:pt>
                <c:pt idx="6">
                  <c:v>5.8833333333333453E-2</c:v>
                </c:pt>
                <c:pt idx="7">
                  <c:v>5.5666666666666711E-2</c:v>
                </c:pt>
                <c:pt idx="8">
                  <c:v>3.9916666666666684E-2</c:v>
                </c:pt>
                <c:pt idx="9">
                  <c:v>4.9750000000000093E-2</c:v>
                </c:pt>
                <c:pt idx="10">
                  <c:v>5.0666666666666693E-2</c:v>
                </c:pt>
              </c:numCache>
            </c:numRef>
          </c:val>
        </c:ser>
        <c:ser>
          <c:idx val="2"/>
          <c:order val="1"/>
          <c:tx>
            <c:strRef>
              <c:f>grafikai!$K$3</c:f>
              <c:strCache>
                <c:ptCount val="1"/>
                <c:pt idx="0">
                  <c:v>DY=1</c:v>
                </c:pt>
              </c:strCache>
            </c:strRef>
          </c:tx>
          <c:spPr>
            <a:ln cmpd="dbl"/>
          </c:spPr>
          <c:marker>
            <c:symbol val="none"/>
          </c:marker>
          <c:cat>
            <c:numRef>
              <c:f>grafikai!$H$4:$H$14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grafikai!$K$4:$K$14</c:f>
              <c:numCache>
                <c:formatCode>0.00%</c:formatCode>
                <c:ptCount val="11"/>
                <c:pt idx="0">
                  <c:v>3.1400000000000056E-3</c:v>
                </c:pt>
                <c:pt idx="1">
                  <c:v>4.9800000000000079E-3</c:v>
                </c:pt>
                <c:pt idx="2">
                  <c:v>8.2000000000000007E-3</c:v>
                </c:pt>
                <c:pt idx="3">
                  <c:v>5.4600000000000004E-3</c:v>
                </c:pt>
                <c:pt idx="4">
                  <c:v>3.9199999999999999E-3</c:v>
                </c:pt>
                <c:pt idx="5">
                  <c:v>2.256E-2</c:v>
                </c:pt>
                <c:pt idx="6">
                  <c:v>2.8500000000000001E-2</c:v>
                </c:pt>
                <c:pt idx="7">
                  <c:v>3.0300000000000001E-2</c:v>
                </c:pt>
                <c:pt idx="8">
                  <c:v>2.9319999999999999E-2</c:v>
                </c:pt>
                <c:pt idx="9">
                  <c:v>2.8040000000000002E-2</c:v>
                </c:pt>
                <c:pt idx="10">
                  <c:v>2.2020000000000001E-2</c:v>
                </c:pt>
              </c:numCache>
            </c:numRef>
          </c:val>
        </c:ser>
        <c:ser>
          <c:idx val="0"/>
          <c:order val="2"/>
          <c:tx>
            <c:strRef>
              <c:f>grafikai!$I$3</c:f>
              <c:strCache>
                <c:ptCount val="1"/>
                <c:pt idx="0">
                  <c:v>DY</c:v>
                </c:pt>
              </c:strCache>
            </c:strRef>
          </c:tx>
          <c:spPr>
            <a:ln w="53975">
              <a:solidFill>
                <a:prstClr val="black"/>
              </a:solidFill>
            </a:ln>
          </c:spPr>
          <c:marker>
            <c:symbol val="none"/>
          </c:marker>
          <c:cat>
            <c:numRef>
              <c:f>grafikai!$H$4:$H$14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grafikai!$I$4:$I$14</c:f>
              <c:numCache>
                <c:formatCode>0.00%</c:formatCode>
                <c:ptCount val="11"/>
                <c:pt idx="0">
                  <c:v>3.6363636363636372E-3</c:v>
                </c:pt>
                <c:pt idx="1">
                  <c:v>5.1313131313131472E-3</c:v>
                </c:pt>
                <c:pt idx="2">
                  <c:v>5.3737373737373804E-3</c:v>
                </c:pt>
                <c:pt idx="3">
                  <c:v>5.222222222222234E-3</c:v>
                </c:pt>
                <c:pt idx="4">
                  <c:v>5.2424242424242429E-3</c:v>
                </c:pt>
                <c:pt idx="5">
                  <c:v>1.9494949494949499E-2</c:v>
                </c:pt>
                <c:pt idx="6">
                  <c:v>2.2525252525252563E-2</c:v>
                </c:pt>
                <c:pt idx="7">
                  <c:v>2.02020202020202E-2</c:v>
                </c:pt>
                <c:pt idx="8">
                  <c:v>1.8838383838383835E-2</c:v>
                </c:pt>
                <c:pt idx="9">
                  <c:v>1.8787878787878812E-2</c:v>
                </c:pt>
                <c:pt idx="10">
                  <c:v>1.3737373737373741E-2</c:v>
                </c:pt>
              </c:numCache>
            </c:numRef>
          </c:val>
        </c:ser>
        <c:ser>
          <c:idx val="3"/>
          <c:order val="3"/>
          <c:tx>
            <c:strRef>
              <c:f>grafikai!$L$3</c:f>
              <c:strCache>
                <c:ptCount val="1"/>
                <c:pt idx="0">
                  <c:v>DY=-1</c:v>
                </c:pt>
              </c:strCache>
            </c:strRef>
          </c:tx>
          <c:spPr>
            <a:ln cmpd="dbl"/>
          </c:spPr>
          <c:marker>
            <c:symbol val="none"/>
          </c:marker>
          <c:cat>
            <c:numRef>
              <c:f>grafikai!$H$4:$H$14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grafikai!$L$4:$L$14</c:f>
              <c:numCache>
                <c:formatCode>0.00%</c:formatCode>
                <c:ptCount val="11"/>
                <c:pt idx="0">
                  <c:v>4.8275862068965373E-3</c:v>
                </c:pt>
                <c:pt idx="1">
                  <c:v>-3.1034482758620562E-4</c:v>
                </c:pt>
                <c:pt idx="2">
                  <c:v>1.0344827586206921E-3</c:v>
                </c:pt>
                <c:pt idx="3">
                  <c:v>3.5862068965517293E-3</c:v>
                </c:pt>
                <c:pt idx="4">
                  <c:v>5.793103448275873E-3</c:v>
                </c:pt>
                <c:pt idx="5">
                  <c:v>7.0689655172413808E-3</c:v>
                </c:pt>
                <c:pt idx="6">
                  <c:v>2.965517241379321E-3</c:v>
                </c:pt>
                <c:pt idx="7">
                  <c:v>-8.3103448275862381E-3</c:v>
                </c:pt>
                <c:pt idx="8">
                  <c:v>-5.4827586206896654E-3</c:v>
                </c:pt>
                <c:pt idx="9">
                  <c:v>-7.4482758620689708E-3</c:v>
                </c:pt>
                <c:pt idx="10">
                  <c:v>-1.5758620689655181E-2</c:v>
                </c:pt>
              </c:numCache>
            </c:numRef>
          </c:val>
        </c:ser>
        <c:ser>
          <c:idx val="4"/>
          <c:order val="4"/>
          <c:tx>
            <c:strRef>
              <c:f>grafikai!$M$3</c:f>
              <c:strCache>
                <c:ptCount val="1"/>
                <c:pt idx="0">
                  <c:v>DY=-2</c:v>
                </c:pt>
              </c:strCache>
            </c:strRef>
          </c:tx>
          <c:marker>
            <c:symbol val="none"/>
          </c:marker>
          <c:cat>
            <c:numRef>
              <c:f>grafikai!$H$4:$H$14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grafikai!$M$4:$M$14</c:f>
              <c:numCache>
                <c:formatCode>0.00%</c:formatCode>
                <c:ptCount val="11"/>
                <c:pt idx="0">
                  <c:v>7.7500000000000112E-3</c:v>
                </c:pt>
                <c:pt idx="1">
                  <c:v>2.3E-2</c:v>
                </c:pt>
                <c:pt idx="2">
                  <c:v>7.3750000000000083E-3</c:v>
                </c:pt>
                <c:pt idx="3">
                  <c:v>1.3374999999999998E-2</c:v>
                </c:pt>
                <c:pt idx="4">
                  <c:v>1.7249999999999998E-2</c:v>
                </c:pt>
                <c:pt idx="5">
                  <c:v>6.7500000000000034E-3</c:v>
                </c:pt>
                <c:pt idx="6">
                  <c:v>1.6249999999999962E-3</c:v>
                </c:pt>
                <c:pt idx="7">
                  <c:v>7.2500000000000047E-3</c:v>
                </c:pt>
                <c:pt idx="8">
                  <c:v>9.8750000000000209E-3</c:v>
                </c:pt>
                <c:pt idx="9">
                  <c:v>9.6250000000000068E-3</c:v>
                </c:pt>
                <c:pt idx="10">
                  <c:v>1.3499999999999996E-2</c:v>
                </c:pt>
              </c:numCache>
            </c:numRef>
          </c:val>
        </c:ser>
        <c:marker val="1"/>
        <c:axId val="87446272"/>
        <c:axId val="87447808"/>
      </c:lineChart>
      <c:catAx>
        <c:axId val="87446272"/>
        <c:scaling>
          <c:orientation val="minMax"/>
        </c:scaling>
        <c:axPos val="b"/>
        <c:numFmt formatCode="General" sourceLinked="1"/>
        <c:tickLblPos val="nextTo"/>
        <c:crossAx val="87447808"/>
        <c:crosses val="autoZero"/>
        <c:auto val="1"/>
        <c:lblAlgn val="ctr"/>
        <c:lblOffset val="500"/>
      </c:catAx>
      <c:valAx>
        <c:axId val="87447808"/>
        <c:scaling>
          <c:orientation val="minMax"/>
          <c:max val="6.0000000000000032E-2"/>
        </c:scaling>
        <c:delete val="1"/>
        <c:axPos val="l"/>
        <c:majorGridlines/>
        <c:numFmt formatCode="0.00%" sourceLinked="1"/>
        <c:tickLblPos val="none"/>
        <c:crossAx val="87446272"/>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3"/>
  <c:chart>
    <c:title>
      <c:tx>
        <c:rich>
          <a:bodyPr/>
          <a:lstStyle/>
          <a:p>
            <a:pPr>
              <a:defRPr sz="1100">
                <a:latin typeface="Times New Roman" pitchFamily="18" charset="0"/>
                <a:cs typeface="Times New Roman" pitchFamily="18" charset="0"/>
              </a:defRPr>
            </a:pPr>
            <a:r>
              <a:rPr lang="lt-LT" sz="1100">
                <a:latin typeface="Times New Roman" pitchFamily="18" charset="0"/>
                <a:cs typeface="Times New Roman" pitchFamily="18" charset="0"/>
              </a:rPr>
              <a:t>Vidutinis</a:t>
            </a:r>
            <a:r>
              <a:rPr lang="lt-LT" sz="1100" baseline="0">
                <a:latin typeface="Times New Roman" pitchFamily="18" charset="0"/>
                <a:cs typeface="Times New Roman" pitchFamily="18" charset="0"/>
              </a:rPr>
              <a:t> pelningumas (AAR)</a:t>
            </a:r>
            <a:endParaRPr lang="lt-LT" sz="1100">
              <a:latin typeface="Times New Roman" pitchFamily="18" charset="0"/>
              <a:cs typeface="Times New Roman" pitchFamily="18" charset="0"/>
            </a:endParaRPr>
          </a:p>
        </c:rich>
      </c:tx>
      <c:layout>
        <c:manualLayout>
          <c:xMode val="edge"/>
          <c:yMode val="edge"/>
          <c:x val="0.22505657131841567"/>
          <c:y val="4.0968342644320296E-2"/>
        </c:manualLayout>
      </c:layout>
    </c:title>
    <c:plotArea>
      <c:layout>
        <c:manualLayout>
          <c:layoutTarget val="inner"/>
          <c:xMode val="edge"/>
          <c:yMode val="edge"/>
          <c:x val="0.16456070109880333"/>
          <c:y val="0.13231336991966913"/>
          <c:w val="0.7940080371309518"/>
          <c:h val="0.59526890956812217"/>
        </c:manualLayout>
      </c:layout>
      <c:lineChart>
        <c:grouping val="standard"/>
        <c:ser>
          <c:idx val="1"/>
          <c:order val="0"/>
          <c:tx>
            <c:strRef>
              <c:f>grafikai!$C$3</c:f>
              <c:strCache>
                <c:ptCount val="1"/>
                <c:pt idx="0">
                  <c:v>Dividendų inicijavimas</c:v>
                </c:pt>
              </c:strCache>
            </c:strRef>
          </c:tx>
          <c:marker>
            <c:symbol val="none"/>
          </c:marker>
          <c:cat>
            <c:numRef>
              <c:f>grafikai!$A$4:$A$14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grafikai!$C$4:$C$14</c:f>
              <c:numCache>
                <c:formatCode>0.00%</c:formatCode>
                <c:ptCount val="11"/>
                <c:pt idx="0">
                  <c:v>8.333333333333329E-5</c:v>
                </c:pt>
                <c:pt idx="1">
                  <c:v>6.9166666666666795E-3</c:v>
                </c:pt>
                <c:pt idx="2">
                  <c:v>-4.2499999999999994E-3</c:v>
                </c:pt>
                <c:pt idx="3">
                  <c:v>-5.7824115865893961E-19</c:v>
                </c:pt>
                <c:pt idx="4">
                  <c:v>-1.3333333333333339E-3</c:v>
                </c:pt>
                <c:pt idx="5">
                  <c:v>4.3833333333333439E-2</c:v>
                </c:pt>
                <c:pt idx="6">
                  <c:v>1.3583333333333341E-2</c:v>
                </c:pt>
                <c:pt idx="7">
                  <c:v>-3.1666666666666692E-3</c:v>
                </c:pt>
                <c:pt idx="8">
                  <c:v>-1.5749999999999997E-2</c:v>
                </c:pt>
                <c:pt idx="9">
                  <c:v>9.8333333333333519E-3</c:v>
                </c:pt>
                <c:pt idx="10">
                  <c:v>9.1666666666667023E-4</c:v>
                </c:pt>
              </c:numCache>
            </c:numRef>
          </c:val>
        </c:ser>
        <c:ser>
          <c:idx val="2"/>
          <c:order val="1"/>
          <c:tx>
            <c:strRef>
              <c:f>grafikai!$D$3</c:f>
              <c:strCache>
                <c:ptCount val="1"/>
                <c:pt idx="0">
                  <c:v>DY padidėjimas</c:v>
                </c:pt>
              </c:strCache>
            </c:strRef>
          </c:tx>
          <c:spPr>
            <a:ln cmpd="dbl"/>
          </c:spPr>
          <c:marker>
            <c:symbol val="none"/>
          </c:marker>
          <c:cat>
            <c:numRef>
              <c:f>grafikai!$A$4:$A$14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grafikai!$D$4:$D$14</c:f>
              <c:numCache>
                <c:formatCode>0.00%</c:formatCode>
                <c:ptCount val="11"/>
                <c:pt idx="0">
                  <c:v>3.1400000000000056E-3</c:v>
                </c:pt>
                <c:pt idx="1">
                  <c:v>1.8400000000000033E-3</c:v>
                </c:pt>
                <c:pt idx="2">
                  <c:v>3.2200000000000045E-3</c:v>
                </c:pt>
                <c:pt idx="3">
                  <c:v>-2.740000000000005E-3</c:v>
                </c:pt>
                <c:pt idx="4">
                  <c:v>-1.5400000000000027E-3</c:v>
                </c:pt>
                <c:pt idx="5">
                  <c:v>1.8640000000000028E-2</c:v>
                </c:pt>
                <c:pt idx="6">
                  <c:v>5.9400000000000121E-3</c:v>
                </c:pt>
                <c:pt idx="7">
                  <c:v>1.8000000000000039E-3</c:v>
                </c:pt>
                <c:pt idx="8">
                  <c:v>-9.8000000000000214E-4</c:v>
                </c:pt>
                <c:pt idx="9">
                  <c:v>-1.2800000000000025E-3</c:v>
                </c:pt>
                <c:pt idx="10">
                  <c:v>-6.020000000000001E-3</c:v>
                </c:pt>
              </c:numCache>
            </c:numRef>
          </c:val>
        </c:ser>
        <c:ser>
          <c:idx val="0"/>
          <c:order val="2"/>
          <c:tx>
            <c:strRef>
              <c:f>grafikai!$B$3</c:f>
              <c:strCache>
                <c:ptCount val="1"/>
                <c:pt idx="0">
                  <c:v>Dividendų paskelbimas</c:v>
                </c:pt>
              </c:strCache>
            </c:strRef>
          </c:tx>
          <c:spPr>
            <a:ln w="53975">
              <a:solidFill>
                <a:schemeClr val="tx1"/>
              </a:solidFill>
            </a:ln>
          </c:spPr>
          <c:marker>
            <c:symbol val="none"/>
          </c:marker>
          <c:cat>
            <c:numRef>
              <c:f>grafikai!$A$4:$A$14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grafikai!$B$4:$B$14</c:f>
              <c:numCache>
                <c:formatCode>0.00%</c:formatCode>
                <c:ptCount val="11"/>
                <c:pt idx="0">
                  <c:v>3.6363636363636372E-3</c:v>
                </c:pt>
                <c:pt idx="1">
                  <c:v>1.4949494949494954E-3</c:v>
                </c:pt>
                <c:pt idx="2">
                  <c:v>2.4242424242424301E-4</c:v>
                </c:pt>
                <c:pt idx="3">
                  <c:v>-1.5151515151515152E-4</c:v>
                </c:pt>
                <c:pt idx="4">
                  <c:v>2.0202020202020308E-5</c:v>
                </c:pt>
                <c:pt idx="5">
                  <c:v>1.4252525252525274E-2</c:v>
                </c:pt>
                <c:pt idx="6">
                  <c:v>3.0303030303030312E-3</c:v>
                </c:pt>
                <c:pt idx="7">
                  <c:v>-2.3232323232323252E-3</c:v>
                </c:pt>
                <c:pt idx="8">
                  <c:v>-1.3636363636363655E-3</c:v>
                </c:pt>
                <c:pt idx="9">
                  <c:v>-5.0505050505050722E-5</c:v>
                </c:pt>
                <c:pt idx="10">
                  <c:v>-5.0505050505050475E-3</c:v>
                </c:pt>
              </c:numCache>
            </c:numRef>
          </c:val>
        </c:ser>
        <c:ser>
          <c:idx val="3"/>
          <c:order val="3"/>
          <c:tx>
            <c:strRef>
              <c:f>grafikai!$E$3</c:f>
              <c:strCache>
                <c:ptCount val="1"/>
                <c:pt idx="0">
                  <c:v>DY sumažėjimas</c:v>
                </c:pt>
              </c:strCache>
            </c:strRef>
          </c:tx>
          <c:spPr>
            <a:ln cmpd="dbl"/>
          </c:spPr>
          <c:marker>
            <c:symbol val="none"/>
          </c:marker>
          <c:cat>
            <c:numRef>
              <c:f>grafikai!$A$4:$A$14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grafikai!$E$4:$E$14</c:f>
              <c:numCache>
                <c:formatCode>0.00%</c:formatCode>
                <c:ptCount val="11"/>
                <c:pt idx="0">
                  <c:v>4.8275862068965373E-3</c:v>
                </c:pt>
                <c:pt idx="1">
                  <c:v>-5.137931034482757E-3</c:v>
                </c:pt>
                <c:pt idx="2">
                  <c:v>1.3448275862068997E-3</c:v>
                </c:pt>
                <c:pt idx="3">
                  <c:v>2.551724137931039E-3</c:v>
                </c:pt>
                <c:pt idx="4">
                  <c:v>2.2068965517241424E-3</c:v>
                </c:pt>
                <c:pt idx="5">
                  <c:v>1.2758620689655191E-3</c:v>
                </c:pt>
                <c:pt idx="6">
                  <c:v>-4.1034482758620762E-3</c:v>
                </c:pt>
                <c:pt idx="7">
                  <c:v>-1.1275862068965537E-2</c:v>
                </c:pt>
                <c:pt idx="8">
                  <c:v>2.8275862068965611E-3</c:v>
                </c:pt>
                <c:pt idx="9">
                  <c:v>-1.9655172413793128E-3</c:v>
                </c:pt>
                <c:pt idx="10">
                  <c:v>-8.3103448275862381E-3</c:v>
                </c:pt>
              </c:numCache>
            </c:numRef>
          </c:val>
        </c:ser>
        <c:ser>
          <c:idx val="4"/>
          <c:order val="4"/>
          <c:tx>
            <c:strRef>
              <c:f>grafikai!$F$3</c:f>
              <c:strCache>
                <c:ptCount val="1"/>
                <c:pt idx="0">
                  <c:v>Dividendai neišmokami</c:v>
                </c:pt>
              </c:strCache>
            </c:strRef>
          </c:tx>
          <c:marker>
            <c:symbol val="none"/>
          </c:marker>
          <c:cat>
            <c:numRef>
              <c:f>grafikai!$A$4:$A$14</c:f>
              <c:numCache>
                <c:formatCode>General</c:formatCode>
                <c:ptCount val="11"/>
                <c:pt idx="0">
                  <c:v>-5</c:v>
                </c:pt>
                <c:pt idx="1">
                  <c:v>-4</c:v>
                </c:pt>
                <c:pt idx="2">
                  <c:v>-3</c:v>
                </c:pt>
                <c:pt idx="3">
                  <c:v>-2</c:v>
                </c:pt>
                <c:pt idx="4">
                  <c:v>-1</c:v>
                </c:pt>
                <c:pt idx="5">
                  <c:v>0</c:v>
                </c:pt>
                <c:pt idx="6">
                  <c:v>1</c:v>
                </c:pt>
                <c:pt idx="7">
                  <c:v>2</c:v>
                </c:pt>
                <c:pt idx="8">
                  <c:v>3</c:v>
                </c:pt>
                <c:pt idx="9">
                  <c:v>4</c:v>
                </c:pt>
                <c:pt idx="10">
                  <c:v>5</c:v>
                </c:pt>
              </c:numCache>
            </c:numRef>
          </c:cat>
          <c:val>
            <c:numRef>
              <c:f>grafikai!$F$4:$F$14</c:f>
              <c:numCache>
                <c:formatCode>0.00%</c:formatCode>
                <c:ptCount val="11"/>
                <c:pt idx="0">
                  <c:v>7.7500000000000112E-3</c:v>
                </c:pt>
                <c:pt idx="1">
                  <c:v>1.5250000000000001E-2</c:v>
                </c:pt>
                <c:pt idx="2">
                  <c:v>-1.5625E-2</c:v>
                </c:pt>
                <c:pt idx="3">
                  <c:v>6.0000000000000062E-3</c:v>
                </c:pt>
                <c:pt idx="4">
                  <c:v>3.875000000000003E-3</c:v>
                </c:pt>
                <c:pt idx="5">
                  <c:v>-1.0500000000000015E-2</c:v>
                </c:pt>
                <c:pt idx="6">
                  <c:v>-5.1250000000000011E-3</c:v>
                </c:pt>
                <c:pt idx="7">
                  <c:v>5.6250000000000007E-3</c:v>
                </c:pt>
                <c:pt idx="8">
                  <c:v>2.6250000000000036E-3</c:v>
                </c:pt>
                <c:pt idx="9">
                  <c:v>-2.5000000000000066E-4</c:v>
                </c:pt>
                <c:pt idx="10">
                  <c:v>3.875000000000003E-3</c:v>
                </c:pt>
              </c:numCache>
            </c:numRef>
          </c:val>
        </c:ser>
        <c:marker val="1"/>
        <c:axId val="87549824"/>
        <c:axId val="87551360"/>
      </c:lineChart>
      <c:catAx>
        <c:axId val="87549824"/>
        <c:scaling>
          <c:orientation val="minMax"/>
        </c:scaling>
        <c:axPos val="b"/>
        <c:numFmt formatCode="General" sourceLinked="1"/>
        <c:tickLblPos val="nextTo"/>
        <c:crossAx val="87551360"/>
        <c:crosses val="autoZero"/>
        <c:auto val="1"/>
        <c:lblAlgn val="ctr"/>
        <c:lblOffset val="500"/>
      </c:catAx>
      <c:valAx>
        <c:axId val="87551360"/>
        <c:scaling>
          <c:orientation val="minMax"/>
          <c:max val="6.0000000000000032E-2"/>
        </c:scaling>
        <c:axPos val="l"/>
        <c:majorGridlines/>
        <c:numFmt formatCode="0.00%" sourceLinked="1"/>
        <c:tickLblPos val="nextTo"/>
        <c:crossAx val="87549824"/>
        <c:crosses val="autoZero"/>
        <c:crossBetween val="between"/>
      </c:valAx>
    </c:plotArea>
    <c:legend>
      <c:legendPos val="b"/>
      <c:layout>
        <c:manualLayout>
          <c:xMode val="edge"/>
          <c:yMode val="edge"/>
          <c:x val="6.3408514613639402E-2"/>
          <c:y val="0.7711769967301576"/>
          <c:w val="0.9365914853863605"/>
          <c:h val="0.19491986686021975"/>
        </c:manualLayout>
      </c:layout>
      <c:txPr>
        <a:bodyPr/>
        <a:lstStyle/>
        <a:p>
          <a:pPr>
            <a:defRPr>
              <a:latin typeface="Times New Roman" pitchFamily="18" charset="0"/>
              <a:cs typeface="Times New Roman" pitchFamily="18" charset="0"/>
            </a:defRPr>
          </a:pPr>
          <a:endParaRPr lang="lt-LT"/>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D690-AEC2-4CE1-A643-1C5B1087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Pages>
  <Words>185661</Words>
  <Characters>105828</Characters>
  <Application>Microsoft Office Word</Application>
  <DocSecurity>0</DocSecurity>
  <Lines>881</Lines>
  <Paragraphs>581</Paragraphs>
  <ScaleCrop>false</ScaleCrop>
  <HeadingPairs>
    <vt:vector size="2" baseType="variant">
      <vt:variant>
        <vt:lpstr>Title</vt:lpstr>
      </vt:variant>
      <vt:variant>
        <vt:i4>1</vt:i4>
      </vt:variant>
    </vt:vector>
  </HeadingPairs>
  <TitlesOfParts>
    <vt:vector size="1" baseType="lpstr">
      <vt:lpstr>MTD I semestro Ataskaita</vt:lpstr>
    </vt:vector>
  </TitlesOfParts>
  <Company/>
  <LinksUpToDate>false</LinksUpToDate>
  <CharactersWithSpaces>290908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Dividendinio investavimo strategijos modeliavimas</dc:title>
  <dc:subject>MBD, 2012</dc:subject>
  <dc:creator>Vytautas Tamošiūnas</dc:creator>
  <cp:keywords>Dividendinio investavimo strategijos modeliavimas</cp:keywords>
  <cp:lastModifiedBy>Vytas</cp:lastModifiedBy>
  <cp:revision>42</cp:revision>
  <cp:lastPrinted>2012-12-20T08:46:00Z</cp:lastPrinted>
  <dcterms:created xsi:type="dcterms:W3CDTF">2012-12-17T07:51:00Z</dcterms:created>
  <dcterms:modified xsi:type="dcterms:W3CDTF">2012-12-20T08:47:00Z</dcterms:modified>
</cp:coreProperties>
</file>